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5BF5D" w14:textId="2971031D" w:rsidR="00821A87" w:rsidRPr="00A33264" w:rsidRDefault="005921BC" w:rsidP="00F67217">
      <w:pPr>
        <w:pStyle w:val="Heading1"/>
        <w:spacing w:before="2800"/>
        <w:rPr>
          <w:lang w:val="en-GB"/>
        </w:rPr>
      </w:pPr>
      <w:bookmarkStart w:id="0" w:name="_Toc169592950"/>
      <w:bookmarkStart w:id="1" w:name="_Toc174354172"/>
      <w:bookmarkStart w:id="2" w:name="_Toc174354226"/>
      <w:bookmarkStart w:id="3" w:name="_Toc180488027"/>
      <w:bookmarkStart w:id="4" w:name="_Toc180505649"/>
      <w:r w:rsidRPr="00A33264">
        <w:rPr>
          <w:lang w:val="en-GB"/>
        </w:rPr>
        <w:t>Annual Report</w:t>
      </w:r>
      <w:r w:rsidR="00F67217">
        <w:rPr>
          <w:lang w:val="en-GB"/>
        </w:rPr>
        <w:br/>
      </w:r>
      <w:r w:rsidRPr="00A33264">
        <w:rPr>
          <w:lang w:val="en-GB"/>
        </w:rPr>
        <w:t>2023–24</w:t>
      </w:r>
      <w:bookmarkStart w:id="5" w:name="_Toc157528057"/>
      <w:bookmarkStart w:id="6" w:name="_Toc157528252"/>
      <w:bookmarkStart w:id="7" w:name="_Toc157529519"/>
      <w:bookmarkStart w:id="8" w:name="_Toc157529657"/>
      <w:bookmarkStart w:id="9" w:name="_Toc157679812"/>
      <w:bookmarkStart w:id="10" w:name="_Toc157682116"/>
      <w:bookmarkStart w:id="11" w:name="_Toc169592951"/>
      <w:bookmarkEnd w:id="0"/>
      <w:bookmarkEnd w:id="1"/>
      <w:bookmarkEnd w:id="2"/>
      <w:bookmarkEnd w:id="3"/>
      <w:bookmarkEnd w:id="4"/>
    </w:p>
    <w:p w14:paraId="0D1746E9" w14:textId="77777777" w:rsidR="00F67217" w:rsidRDefault="00F67217">
      <w:pPr>
        <w:spacing w:after="0" w:line="240" w:lineRule="auto"/>
        <w:rPr>
          <w:lang w:val="en-GB"/>
        </w:rPr>
        <w:sectPr w:rsidR="00F67217" w:rsidSect="00BF265E">
          <w:headerReference w:type="default" r:id="rId11"/>
          <w:footerReference w:type="default" r:id="rId12"/>
          <w:headerReference w:type="first" r:id="rId13"/>
          <w:footerReference w:type="first" r:id="rId14"/>
          <w:pgSz w:w="11906" w:h="16838" w:code="9"/>
          <w:pgMar w:top="1701" w:right="1440" w:bottom="1440" w:left="1440" w:header="561" w:footer="374" w:gutter="0"/>
          <w:cols w:space="708"/>
          <w:titlePg/>
          <w:docGrid w:linePitch="360"/>
        </w:sectPr>
      </w:pPr>
    </w:p>
    <w:p w14:paraId="7D5841EB" w14:textId="77777777" w:rsidR="00821A87" w:rsidRDefault="00BE3421" w:rsidP="009E1CB5">
      <w:pPr>
        <w:pStyle w:val="TOCHeading"/>
        <w:spacing w:after="240"/>
      </w:pPr>
      <w:r w:rsidRPr="00BE3421">
        <w:lastRenderedPageBreak/>
        <w:t>Miracle child Mia is living a happy, fulfilling life</w:t>
      </w:r>
    </w:p>
    <w:p w14:paraId="51922BA3" w14:textId="77777777" w:rsidR="00BE3421" w:rsidRPr="00BE3421" w:rsidRDefault="00BE3421" w:rsidP="00BE3421">
      <w:pPr>
        <w:rPr>
          <w:lang w:val="en-US" w:eastAsia="en-US"/>
        </w:rPr>
      </w:pPr>
      <w:r w:rsidRPr="00BE3421">
        <w:rPr>
          <w:lang w:val="en-US" w:eastAsia="en-US"/>
        </w:rPr>
        <w:t xml:space="preserve">Margie Mutambara </w:t>
      </w:r>
      <w:proofErr w:type="gramStart"/>
      <w:r w:rsidRPr="00BE3421">
        <w:rPr>
          <w:lang w:val="en-US" w:eastAsia="en-US"/>
        </w:rPr>
        <w:t>can’t</w:t>
      </w:r>
      <w:proofErr w:type="gramEnd"/>
      <w:r w:rsidRPr="00BE3421">
        <w:rPr>
          <w:lang w:val="en-US" w:eastAsia="en-US"/>
        </w:rPr>
        <w:t xml:space="preserve"> believe her daughter, Mia, is 12.</w:t>
      </w:r>
    </w:p>
    <w:p w14:paraId="6FA0DBDC" w14:textId="77777777" w:rsidR="00BE3421" w:rsidRPr="00BE3421" w:rsidRDefault="00BE3421" w:rsidP="00BE3421">
      <w:pPr>
        <w:rPr>
          <w:lang w:val="en-US" w:eastAsia="en-US"/>
        </w:rPr>
      </w:pPr>
      <w:r w:rsidRPr="00BE3421">
        <w:rPr>
          <w:lang w:val="en-US" w:eastAsia="en-US"/>
        </w:rPr>
        <w:t>‘When Mia was born, doctors didn’t think she would make it to her first birthday,’ Margie said.</w:t>
      </w:r>
    </w:p>
    <w:p w14:paraId="091F8A5A" w14:textId="77777777" w:rsidR="00BE3421" w:rsidRPr="00BE3421" w:rsidRDefault="00BE3421" w:rsidP="00BE3421">
      <w:pPr>
        <w:rPr>
          <w:lang w:val="en-US" w:eastAsia="en-US"/>
        </w:rPr>
      </w:pPr>
      <w:r w:rsidRPr="00BE3421">
        <w:rPr>
          <w:lang w:val="en-US" w:eastAsia="en-US"/>
        </w:rPr>
        <w:t xml:space="preserve">‘Since then, every birthday has been so special. </w:t>
      </w:r>
      <w:proofErr w:type="gramStart"/>
      <w:r w:rsidRPr="00BE3421">
        <w:rPr>
          <w:lang w:val="en-US" w:eastAsia="en-US"/>
        </w:rPr>
        <w:t>It’s</w:t>
      </w:r>
      <w:proofErr w:type="gramEnd"/>
      <w:r w:rsidRPr="00BE3421">
        <w:rPr>
          <w:lang w:val="en-US" w:eastAsia="en-US"/>
        </w:rPr>
        <w:t xml:space="preserve"> been a remarkable journey – I call it my miracle story!’ she added.</w:t>
      </w:r>
    </w:p>
    <w:p w14:paraId="1A0B42E3" w14:textId="77777777" w:rsidR="00BE3421" w:rsidRPr="00BE3421" w:rsidRDefault="00BE3421" w:rsidP="00BE3421">
      <w:pPr>
        <w:rPr>
          <w:lang w:val="en-US" w:eastAsia="en-US"/>
        </w:rPr>
      </w:pPr>
      <w:r w:rsidRPr="00BE3421">
        <w:rPr>
          <w:lang w:val="en-US" w:eastAsia="en-US"/>
        </w:rPr>
        <w:t>Mia is defying the odds. She was born with lobar holoprosencephaly, a rare disability that affects her ability to sit up, walk and speak.</w:t>
      </w:r>
    </w:p>
    <w:p w14:paraId="3D11CE0A" w14:textId="77777777" w:rsidR="00BE3421" w:rsidRPr="00BE3421" w:rsidRDefault="00BE3421" w:rsidP="00BE3421">
      <w:pPr>
        <w:rPr>
          <w:lang w:val="en-US" w:eastAsia="en-US"/>
        </w:rPr>
      </w:pPr>
      <w:r w:rsidRPr="00BE3421">
        <w:rPr>
          <w:lang w:val="en-US" w:eastAsia="en-US"/>
        </w:rPr>
        <w:t>‘Mia loves going to school and enjoys regular occupational, physio and hydro therapies.</w:t>
      </w:r>
    </w:p>
    <w:p w14:paraId="6F1A2BB9" w14:textId="77777777" w:rsidR="00BE3421" w:rsidRPr="00BE3421" w:rsidRDefault="00BE3421" w:rsidP="00BE3421">
      <w:pPr>
        <w:rPr>
          <w:lang w:val="en-US" w:eastAsia="en-US"/>
        </w:rPr>
      </w:pPr>
      <w:proofErr w:type="gramStart"/>
      <w:r w:rsidRPr="00BE3421">
        <w:rPr>
          <w:lang w:val="en-US" w:eastAsia="en-US"/>
        </w:rPr>
        <w:t>They’re</w:t>
      </w:r>
      <w:proofErr w:type="gramEnd"/>
      <w:r w:rsidRPr="00BE3421">
        <w:rPr>
          <w:lang w:val="en-US" w:eastAsia="en-US"/>
        </w:rPr>
        <w:t xml:space="preserve"> really helping her develop physically and mentally,’ Margie said.</w:t>
      </w:r>
    </w:p>
    <w:p w14:paraId="5A0C4D18" w14:textId="77777777" w:rsidR="00BE3421" w:rsidRPr="00BE3421" w:rsidRDefault="00BE3421" w:rsidP="00BE3421">
      <w:pPr>
        <w:rPr>
          <w:lang w:val="en-US" w:eastAsia="en-US"/>
        </w:rPr>
      </w:pPr>
      <w:r w:rsidRPr="00BE3421">
        <w:rPr>
          <w:lang w:val="en-US" w:eastAsia="en-US"/>
        </w:rPr>
        <w:t xml:space="preserve">‘Mia loves being around people. She understands </w:t>
      </w:r>
      <w:proofErr w:type="gramStart"/>
      <w:r w:rsidRPr="00BE3421">
        <w:rPr>
          <w:lang w:val="en-US" w:eastAsia="en-US"/>
        </w:rPr>
        <w:t>what’s</w:t>
      </w:r>
      <w:proofErr w:type="gramEnd"/>
      <w:r w:rsidRPr="00BE3421">
        <w:rPr>
          <w:lang w:val="en-US" w:eastAsia="en-US"/>
        </w:rPr>
        <w:t xml:space="preserve"> going on around her and joins in. We love it.’</w:t>
      </w:r>
    </w:p>
    <w:p w14:paraId="24F67959" w14:textId="77777777" w:rsidR="00BE3421" w:rsidRPr="00BE3421" w:rsidRDefault="00BE3421" w:rsidP="00BE3421">
      <w:pPr>
        <w:rPr>
          <w:lang w:val="en-US" w:eastAsia="en-US"/>
        </w:rPr>
      </w:pPr>
      <w:r w:rsidRPr="00BE3421">
        <w:rPr>
          <w:lang w:val="en-US" w:eastAsia="en-US"/>
        </w:rPr>
        <w:t>Mia uses eye gaze technology to communicate.</w:t>
      </w:r>
    </w:p>
    <w:p w14:paraId="1604AF09" w14:textId="77777777" w:rsidR="00BE3421" w:rsidRPr="00BE3421" w:rsidRDefault="00BE3421" w:rsidP="00BE3421">
      <w:pPr>
        <w:rPr>
          <w:lang w:val="en-US" w:eastAsia="en-US"/>
        </w:rPr>
      </w:pPr>
      <w:r w:rsidRPr="00BE3421">
        <w:rPr>
          <w:lang w:val="en-US" w:eastAsia="en-US"/>
        </w:rPr>
        <w:t>‘It’s revolutionary really,’ Margie explained. ‘</w:t>
      </w:r>
      <w:proofErr w:type="gramStart"/>
      <w:r w:rsidRPr="00BE3421">
        <w:rPr>
          <w:lang w:val="en-US" w:eastAsia="en-US"/>
        </w:rPr>
        <w:t>It’s</w:t>
      </w:r>
      <w:proofErr w:type="gramEnd"/>
      <w:r w:rsidRPr="00BE3421">
        <w:rPr>
          <w:lang w:val="en-US" w:eastAsia="en-US"/>
        </w:rPr>
        <w:t xml:space="preserve"> an app on her computer. It has </w:t>
      </w:r>
      <w:proofErr w:type="gramStart"/>
      <w:r w:rsidRPr="00BE3421">
        <w:rPr>
          <w:lang w:val="en-US" w:eastAsia="en-US"/>
        </w:rPr>
        <w:t>16</w:t>
      </w:r>
      <w:proofErr w:type="gramEnd"/>
      <w:r w:rsidRPr="00BE3421">
        <w:rPr>
          <w:lang w:val="en-US" w:eastAsia="en-US"/>
        </w:rPr>
        <w:t xml:space="preserve"> cells, and each cell has a picture.</w:t>
      </w:r>
    </w:p>
    <w:p w14:paraId="4CBBB2B4" w14:textId="77777777" w:rsidR="00BE3421" w:rsidRPr="00BE3421" w:rsidRDefault="00BE3421" w:rsidP="00BE3421">
      <w:pPr>
        <w:rPr>
          <w:lang w:val="en-US" w:eastAsia="en-US"/>
        </w:rPr>
      </w:pPr>
      <w:r w:rsidRPr="00BE3421">
        <w:rPr>
          <w:lang w:val="en-US" w:eastAsia="en-US"/>
        </w:rPr>
        <w:t xml:space="preserve">‘If Mia wants to say something, like </w:t>
      </w:r>
      <w:proofErr w:type="gramStart"/>
      <w:r w:rsidRPr="00BE3421">
        <w:rPr>
          <w:lang w:val="en-US" w:eastAsia="en-US"/>
        </w:rPr>
        <w:t>she’s</w:t>
      </w:r>
      <w:proofErr w:type="gramEnd"/>
      <w:r w:rsidRPr="00BE3421">
        <w:rPr>
          <w:lang w:val="en-US" w:eastAsia="en-US"/>
        </w:rPr>
        <w:t xml:space="preserve"> feeling sad, she gazes at the sad face picture for a few seconds, then it will vocalise she’s sad. It helps us understand her feelings and meet her needs.</w:t>
      </w:r>
    </w:p>
    <w:p w14:paraId="57C37357" w14:textId="77777777" w:rsidR="00BE3421" w:rsidRPr="00BE3421" w:rsidRDefault="00BE3421" w:rsidP="00BE3421">
      <w:pPr>
        <w:rPr>
          <w:lang w:val="en-US" w:eastAsia="en-US"/>
        </w:rPr>
      </w:pPr>
      <w:r w:rsidRPr="00BE3421">
        <w:rPr>
          <w:lang w:val="en-US" w:eastAsia="en-US"/>
        </w:rPr>
        <w:t xml:space="preserve">‘Mia is quite a character. </w:t>
      </w:r>
      <w:proofErr w:type="gramStart"/>
      <w:r w:rsidRPr="00BE3421">
        <w:rPr>
          <w:lang w:val="en-US" w:eastAsia="en-US"/>
        </w:rPr>
        <w:t>She’s</w:t>
      </w:r>
      <w:proofErr w:type="gramEnd"/>
      <w:r w:rsidRPr="00BE3421">
        <w:rPr>
          <w:lang w:val="en-US" w:eastAsia="en-US"/>
        </w:rPr>
        <w:t xml:space="preserve"> sassy. She uses her eye gaze app to say </w:t>
      </w:r>
      <w:proofErr w:type="gramStart"/>
      <w:r w:rsidRPr="00BE3421">
        <w:rPr>
          <w:lang w:val="en-US" w:eastAsia="en-US"/>
        </w:rPr>
        <w:t>she’s</w:t>
      </w:r>
      <w:proofErr w:type="gramEnd"/>
      <w:r w:rsidRPr="00BE3421">
        <w:rPr>
          <w:lang w:val="en-US" w:eastAsia="en-US"/>
        </w:rPr>
        <w:t xml:space="preserve"> bored, ask what you’re doing, or tell you to stop making too much noise!’ Margie laughed.</w:t>
      </w:r>
    </w:p>
    <w:p w14:paraId="002CA32E" w14:textId="77777777" w:rsidR="00BE3421" w:rsidRPr="00BE3421" w:rsidRDefault="00BE3421" w:rsidP="00BE3421">
      <w:pPr>
        <w:rPr>
          <w:lang w:val="en-US" w:eastAsia="en-US"/>
        </w:rPr>
      </w:pPr>
      <w:r w:rsidRPr="00BE3421">
        <w:rPr>
          <w:lang w:val="en-US" w:eastAsia="en-US"/>
        </w:rPr>
        <w:t xml:space="preserve">Margie works as a teacher 4 days a </w:t>
      </w:r>
      <w:proofErr w:type="gramStart"/>
      <w:r w:rsidRPr="00BE3421">
        <w:rPr>
          <w:lang w:val="en-US" w:eastAsia="en-US"/>
        </w:rPr>
        <w:t>week, and</w:t>
      </w:r>
      <w:proofErr w:type="gramEnd"/>
      <w:r w:rsidRPr="00BE3421">
        <w:rPr>
          <w:lang w:val="en-US" w:eastAsia="en-US"/>
        </w:rPr>
        <w:t xml:space="preserve"> says she’s grateful to the NDIS for the supports and equipment Mia has received.</w:t>
      </w:r>
    </w:p>
    <w:p w14:paraId="35695987" w14:textId="4B7CD5A1" w:rsidR="00BE3421" w:rsidRPr="00BE3421" w:rsidRDefault="00BE3421" w:rsidP="00BE3421">
      <w:pPr>
        <w:rPr>
          <w:lang w:val="en-US" w:eastAsia="en-US"/>
        </w:rPr>
      </w:pPr>
      <w:r w:rsidRPr="00BE3421">
        <w:rPr>
          <w:lang w:val="en-US" w:eastAsia="en-US"/>
        </w:rPr>
        <w:t xml:space="preserve">‘Mia is living a happy and fulfilling life. </w:t>
      </w:r>
      <w:proofErr w:type="gramStart"/>
      <w:r w:rsidRPr="00BE3421">
        <w:rPr>
          <w:lang w:val="en-US" w:eastAsia="en-US"/>
        </w:rPr>
        <w:t>It’s</w:t>
      </w:r>
      <w:proofErr w:type="gramEnd"/>
      <w:r w:rsidRPr="00BE3421">
        <w:rPr>
          <w:lang w:val="en-US" w:eastAsia="en-US"/>
        </w:rPr>
        <w:t xml:space="preserve"> beautiful to see.’</w:t>
      </w:r>
    </w:p>
    <w:p w14:paraId="135D87E8" w14:textId="1B894A65" w:rsidR="00BE3421" w:rsidRPr="00BE3421" w:rsidRDefault="00BE3421" w:rsidP="00BE3421">
      <w:pPr>
        <w:rPr>
          <w:lang w:val="en-US" w:eastAsia="en-US"/>
        </w:rPr>
        <w:sectPr w:rsidR="00BE3421" w:rsidRPr="00BE3421" w:rsidSect="007D1B8F">
          <w:headerReference w:type="first" r:id="rId15"/>
          <w:footerReference w:type="first" r:id="rId16"/>
          <w:pgSz w:w="11906" w:h="16838" w:code="9"/>
          <w:pgMar w:top="1361" w:right="1361" w:bottom="1361" w:left="1361" w:header="561" w:footer="374" w:gutter="0"/>
          <w:cols w:space="708"/>
          <w:titlePg/>
          <w:docGrid w:linePitch="360"/>
        </w:sectPr>
      </w:pPr>
    </w:p>
    <w:p w14:paraId="51245187" w14:textId="2F5EBCAD" w:rsidR="00C4270E" w:rsidRPr="00A33264" w:rsidRDefault="005F5CE9" w:rsidP="00D000EA">
      <w:pPr>
        <w:pStyle w:val="TOCHeading"/>
        <w:rPr>
          <w:lang w:val="en-GB"/>
        </w:rPr>
      </w:pPr>
      <w:bookmarkStart w:id="12" w:name="_Toc174354173"/>
      <w:bookmarkStart w:id="13" w:name="_Toc174354227"/>
      <w:r w:rsidRPr="00A33264">
        <w:rPr>
          <w:lang w:val="en-GB"/>
        </w:rPr>
        <w:lastRenderedPageBreak/>
        <w:t>Contents</w:t>
      </w:r>
      <w:bookmarkEnd w:id="5"/>
      <w:bookmarkEnd w:id="6"/>
      <w:bookmarkEnd w:id="7"/>
      <w:bookmarkEnd w:id="8"/>
      <w:bookmarkEnd w:id="9"/>
      <w:bookmarkEnd w:id="10"/>
      <w:bookmarkEnd w:id="11"/>
      <w:bookmarkEnd w:id="12"/>
      <w:bookmarkEnd w:id="13"/>
    </w:p>
    <w:p w14:paraId="5E6E49E4" w14:textId="60E69D04" w:rsidR="004466FC" w:rsidRPr="004466FC" w:rsidRDefault="00BE3421" w:rsidP="004466FC">
      <w:pPr>
        <w:pStyle w:val="TOC1"/>
        <w:spacing w:before="120" w:line="264" w:lineRule="auto"/>
        <w:rPr>
          <w:rFonts w:eastAsiaTheme="minorEastAsia"/>
          <w:color w:val="auto"/>
          <w:kern w:val="2"/>
          <w:lang w:val="en-AU" w:eastAsia="en-AU"/>
          <w14:ligatures w14:val="standardContextual"/>
        </w:rPr>
      </w:pPr>
      <w:r w:rsidRPr="004466FC">
        <w:rPr>
          <w:color w:val="auto"/>
        </w:rPr>
        <w:fldChar w:fldCharType="begin"/>
      </w:r>
      <w:r w:rsidRPr="004466FC">
        <w:rPr>
          <w:color w:val="auto"/>
        </w:rPr>
        <w:instrText xml:space="preserve"> TOC \t "Heading 1,1,Heading 2,1,Heading 3,2,Intro paragraph,1,Heading 3a,3" </w:instrText>
      </w:r>
      <w:r w:rsidRPr="004466FC">
        <w:rPr>
          <w:color w:val="auto"/>
        </w:rPr>
        <w:fldChar w:fldCharType="separate"/>
      </w:r>
      <w:r w:rsidR="004466FC" w:rsidRPr="004466FC">
        <w:rPr>
          <w:color w:val="auto"/>
        </w:rPr>
        <w:t>Letter of transmittal</w:t>
      </w:r>
      <w:r w:rsidR="004466FC" w:rsidRPr="004466FC">
        <w:rPr>
          <w:color w:val="auto"/>
        </w:rPr>
        <w:tab/>
      </w:r>
      <w:r w:rsidR="004466FC" w:rsidRPr="004466FC">
        <w:rPr>
          <w:color w:val="auto"/>
        </w:rPr>
        <w:fldChar w:fldCharType="begin"/>
      </w:r>
      <w:r w:rsidR="004466FC" w:rsidRPr="004466FC">
        <w:rPr>
          <w:color w:val="auto"/>
        </w:rPr>
        <w:instrText xml:space="preserve"> PAGEREF _Toc180505650 \h </w:instrText>
      </w:r>
      <w:r w:rsidR="004466FC" w:rsidRPr="004466FC">
        <w:rPr>
          <w:color w:val="auto"/>
        </w:rPr>
      </w:r>
      <w:r w:rsidR="004466FC" w:rsidRPr="004466FC">
        <w:rPr>
          <w:color w:val="auto"/>
        </w:rPr>
        <w:fldChar w:fldCharType="separate"/>
      </w:r>
      <w:r w:rsidR="00460680">
        <w:rPr>
          <w:color w:val="auto"/>
        </w:rPr>
        <w:t>5</w:t>
      </w:r>
      <w:r w:rsidR="004466FC" w:rsidRPr="004466FC">
        <w:rPr>
          <w:color w:val="auto"/>
        </w:rPr>
        <w:fldChar w:fldCharType="end"/>
      </w:r>
    </w:p>
    <w:p w14:paraId="481594D5" w14:textId="67F5DBB1"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t>1.</w:t>
      </w:r>
      <w:r w:rsidRPr="004466FC">
        <w:rPr>
          <w:rFonts w:eastAsiaTheme="minorEastAsia"/>
          <w:color w:val="auto"/>
          <w:kern w:val="2"/>
          <w:lang w:val="en-AU" w:eastAsia="en-AU"/>
          <w14:ligatures w14:val="standardContextual"/>
        </w:rPr>
        <w:tab/>
      </w:r>
      <w:r w:rsidRPr="004466FC">
        <w:rPr>
          <w:color w:val="auto"/>
        </w:rPr>
        <w:t>Introduction</w:t>
      </w:r>
      <w:r w:rsidRPr="004466FC">
        <w:rPr>
          <w:color w:val="auto"/>
        </w:rPr>
        <w:tab/>
      </w:r>
      <w:r w:rsidRPr="004466FC">
        <w:rPr>
          <w:color w:val="auto"/>
        </w:rPr>
        <w:fldChar w:fldCharType="begin"/>
      </w:r>
      <w:r w:rsidRPr="004466FC">
        <w:rPr>
          <w:color w:val="auto"/>
        </w:rPr>
        <w:instrText xml:space="preserve"> PAGEREF _Toc180505651 \h </w:instrText>
      </w:r>
      <w:r w:rsidRPr="004466FC">
        <w:rPr>
          <w:color w:val="auto"/>
        </w:rPr>
      </w:r>
      <w:r w:rsidRPr="004466FC">
        <w:rPr>
          <w:color w:val="auto"/>
        </w:rPr>
        <w:fldChar w:fldCharType="separate"/>
      </w:r>
      <w:r w:rsidR="00460680">
        <w:rPr>
          <w:color w:val="auto"/>
        </w:rPr>
        <w:t>6</w:t>
      </w:r>
      <w:r w:rsidRPr="004466FC">
        <w:rPr>
          <w:color w:val="auto"/>
        </w:rPr>
        <w:fldChar w:fldCharType="end"/>
      </w:r>
    </w:p>
    <w:p w14:paraId="7EFB8385" w14:textId="5BFB5FD9" w:rsidR="004466FC" w:rsidRPr="004466FC" w:rsidRDefault="004466FC" w:rsidP="004466FC">
      <w:pPr>
        <w:pStyle w:val="TOC1"/>
        <w:spacing w:before="120" w:line="264" w:lineRule="auto"/>
        <w:ind w:left="1276" w:firstLine="0"/>
        <w:rPr>
          <w:rFonts w:eastAsiaTheme="minorEastAsia"/>
          <w:b w:val="0"/>
          <w:bCs w:val="0"/>
          <w:color w:val="auto"/>
          <w:kern w:val="2"/>
          <w:lang w:val="en-AU" w:eastAsia="en-AU"/>
          <w14:ligatures w14:val="standardContextual"/>
        </w:rPr>
      </w:pPr>
      <w:r w:rsidRPr="004466FC">
        <w:rPr>
          <w:b w:val="0"/>
          <w:bCs w:val="0"/>
          <w:color w:val="auto"/>
        </w:rPr>
        <w:t>About this report</w:t>
      </w:r>
      <w:r w:rsidRPr="004466FC">
        <w:rPr>
          <w:b w:val="0"/>
          <w:bCs w:val="0"/>
          <w:color w:val="auto"/>
        </w:rPr>
        <w:tab/>
      </w:r>
      <w:r w:rsidRPr="004466FC">
        <w:rPr>
          <w:b w:val="0"/>
          <w:bCs w:val="0"/>
          <w:color w:val="auto"/>
        </w:rPr>
        <w:fldChar w:fldCharType="begin"/>
      </w:r>
      <w:r w:rsidRPr="004466FC">
        <w:rPr>
          <w:b w:val="0"/>
          <w:bCs w:val="0"/>
          <w:color w:val="auto"/>
        </w:rPr>
        <w:instrText xml:space="preserve"> PAGEREF _Toc180505652 \h </w:instrText>
      </w:r>
      <w:r w:rsidRPr="004466FC">
        <w:rPr>
          <w:b w:val="0"/>
          <w:bCs w:val="0"/>
          <w:color w:val="auto"/>
        </w:rPr>
      </w:r>
      <w:r w:rsidRPr="004466FC">
        <w:rPr>
          <w:b w:val="0"/>
          <w:bCs w:val="0"/>
          <w:color w:val="auto"/>
        </w:rPr>
        <w:fldChar w:fldCharType="separate"/>
      </w:r>
      <w:r w:rsidR="00460680">
        <w:rPr>
          <w:b w:val="0"/>
          <w:bCs w:val="0"/>
          <w:color w:val="auto"/>
        </w:rPr>
        <w:t>6</w:t>
      </w:r>
      <w:r w:rsidRPr="004466FC">
        <w:rPr>
          <w:b w:val="0"/>
          <w:bCs w:val="0"/>
          <w:color w:val="auto"/>
        </w:rPr>
        <w:fldChar w:fldCharType="end"/>
      </w:r>
    </w:p>
    <w:p w14:paraId="7982324D" w14:textId="662488FF"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1.1</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Chair’s foreword</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_Toc180505654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6</w:t>
      </w:r>
      <w:r w:rsidRPr="004466FC">
        <w:rPr>
          <w:rFonts w:ascii="Arial" w:hAnsi="Arial" w:cs="Arial"/>
          <w:i w:val="0"/>
          <w:iCs w:val="0"/>
          <w:noProof/>
          <w:sz w:val="24"/>
          <w:szCs w:val="24"/>
        </w:rPr>
        <w:fldChar w:fldCharType="end"/>
      </w:r>
    </w:p>
    <w:p w14:paraId="12D09A07" w14:textId="39417705"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1.2</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Chief Executive Officer’s foreword</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_Toc180505655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7</w:t>
      </w:r>
      <w:r w:rsidRPr="004466FC">
        <w:rPr>
          <w:rFonts w:ascii="Arial" w:hAnsi="Arial" w:cs="Arial"/>
          <w:i w:val="0"/>
          <w:iCs w:val="0"/>
          <w:noProof/>
          <w:sz w:val="24"/>
          <w:szCs w:val="24"/>
        </w:rPr>
        <w:fldChar w:fldCharType="end"/>
      </w:r>
    </w:p>
    <w:p w14:paraId="67B1C14D" w14:textId="0613C273"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1.3</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The National Disability Insurance Scheme</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_Toc180505656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9</w:t>
      </w:r>
      <w:r w:rsidRPr="004466FC">
        <w:rPr>
          <w:rFonts w:ascii="Arial" w:hAnsi="Arial" w:cs="Arial"/>
          <w:i w:val="0"/>
          <w:iCs w:val="0"/>
          <w:noProof/>
          <w:sz w:val="24"/>
          <w:szCs w:val="24"/>
        </w:rPr>
        <w:fldChar w:fldCharType="end"/>
      </w:r>
    </w:p>
    <w:p w14:paraId="2951A11C" w14:textId="7EE04349"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1.4</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The National Disability Insurance Agency</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_Toc180505657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9</w:t>
      </w:r>
      <w:r w:rsidRPr="004466FC">
        <w:rPr>
          <w:rFonts w:ascii="Arial" w:hAnsi="Arial" w:cs="Arial"/>
          <w:i w:val="0"/>
          <w:iCs w:val="0"/>
          <w:noProof/>
          <w:sz w:val="24"/>
          <w:szCs w:val="24"/>
        </w:rPr>
        <w:fldChar w:fldCharType="end"/>
      </w:r>
    </w:p>
    <w:p w14:paraId="3B9E657F" w14:textId="29DBBA6D"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1.5</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Our outcome</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_Toc180505658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10</w:t>
      </w:r>
      <w:r w:rsidRPr="004466FC">
        <w:rPr>
          <w:rFonts w:ascii="Arial" w:hAnsi="Arial" w:cs="Arial"/>
          <w:i w:val="0"/>
          <w:iCs w:val="0"/>
          <w:noProof/>
          <w:sz w:val="24"/>
          <w:szCs w:val="24"/>
        </w:rPr>
        <w:fldChar w:fldCharType="end"/>
      </w:r>
    </w:p>
    <w:p w14:paraId="46A88710" w14:textId="22751ACC"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1.6</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Our programs</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_Toc180505659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10</w:t>
      </w:r>
      <w:r w:rsidRPr="004466FC">
        <w:rPr>
          <w:rFonts w:ascii="Arial" w:hAnsi="Arial" w:cs="Arial"/>
          <w:i w:val="0"/>
          <w:iCs w:val="0"/>
          <w:noProof/>
          <w:sz w:val="24"/>
          <w:szCs w:val="24"/>
        </w:rPr>
        <w:fldChar w:fldCharType="end"/>
      </w:r>
    </w:p>
    <w:p w14:paraId="4A52470E" w14:textId="50A9AB3B" w:rsidR="004466FC" w:rsidRPr="004466FC" w:rsidRDefault="004466FC" w:rsidP="004466FC">
      <w:pPr>
        <w:pStyle w:val="TOC2"/>
        <w:tabs>
          <w:tab w:val="left" w:pos="1276"/>
          <w:tab w:val="right" w:pos="9174"/>
        </w:tabs>
        <w:spacing w:after="120" w:line="264" w:lineRule="auto"/>
        <w:ind w:left="1276" w:hanging="794"/>
        <w:rPr>
          <w:rFonts w:ascii="Arial" w:eastAsiaTheme="minorEastAsia" w:hAnsi="Arial" w:cs="Arial"/>
          <w:i w:val="0"/>
          <w:iCs w:val="0"/>
          <w:noProof/>
          <w:kern w:val="2"/>
          <w:sz w:val="24"/>
          <w:szCs w:val="24"/>
          <w:lang w:eastAsia="en-AU"/>
          <w14:ligatures w14:val="standardContextual"/>
        </w:rPr>
      </w:pPr>
      <w:r w:rsidRPr="004466FC">
        <w:rPr>
          <w:rFonts w:ascii="Arial" w:hAnsi="Arial" w:cs="Arial"/>
          <w:i w:val="0"/>
          <w:iCs w:val="0"/>
          <w:noProof/>
          <w:sz w:val="24"/>
          <w:szCs w:val="24"/>
          <w:lang w:val="en-GB"/>
        </w:rPr>
        <w:t>1.7</w:t>
      </w:r>
      <w:r w:rsidRPr="004466FC">
        <w:rPr>
          <w:rFonts w:ascii="Arial" w:eastAsiaTheme="minorEastAsia" w:hAnsi="Arial" w:cs="Arial"/>
          <w:i w:val="0"/>
          <w:iCs w:val="0"/>
          <w:noProof/>
          <w:kern w:val="2"/>
          <w:sz w:val="24"/>
          <w:szCs w:val="24"/>
          <w:lang w:eastAsia="en-AU"/>
          <w14:ligatures w14:val="standardContextual"/>
        </w:rPr>
        <w:tab/>
      </w:r>
      <w:r w:rsidRPr="004466FC">
        <w:rPr>
          <w:rFonts w:ascii="Arial" w:hAnsi="Arial" w:cs="Arial"/>
          <w:i w:val="0"/>
          <w:iCs w:val="0"/>
          <w:noProof/>
          <w:sz w:val="24"/>
          <w:szCs w:val="24"/>
          <w:lang w:val="en-GB"/>
        </w:rPr>
        <w:t>Context for this report</w:t>
      </w:r>
      <w:r w:rsidRPr="004466FC">
        <w:rPr>
          <w:rFonts w:ascii="Arial" w:hAnsi="Arial" w:cs="Arial"/>
          <w:i w:val="0"/>
          <w:iCs w:val="0"/>
          <w:noProof/>
          <w:sz w:val="24"/>
          <w:szCs w:val="24"/>
        </w:rPr>
        <w:tab/>
      </w:r>
      <w:r w:rsidRPr="004466FC">
        <w:rPr>
          <w:rFonts w:ascii="Arial" w:hAnsi="Arial" w:cs="Arial"/>
          <w:i w:val="0"/>
          <w:iCs w:val="0"/>
          <w:noProof/>
          <w:sz w:val="24"/>
          <w:szCs w:val="24"/>
        </w:rPr>
        <w:fldChar w:fldCharType="begin"/>
      </w:r>
      <w:r w:rsidRPr="004466FC">
        <w:rPr>
          <w:rFonts w:ascii="Arial" w:hAnsi="Arial" w:cs="Arial"/>
          <w:i w:val="0"/>
          <w:iCs w:val="0"/>
          <w:noProof/>
          <w:sz w:val="24"/>
          <w:szCs w:val="24"/>
        </w:rPr>
        <w:instrText xml:space="preserve"> PAGEREF _Toc180505660 \h </w:instrText>
      </w:r>
      <w:r w:rsidRPr="004466FC">
        <w:rPr>
          <w:rFonts w:ascii="Arial" w:hAnsi="Arial" w:cs="Arial"/>
          <w:i w:val="0"/>
          <w:iCs w:val="0"/>
          <w:noProof/>
          <w:sz w:val="24"/>
          <w:szCs w:val="24"/>
        </w:rPr>
      </w:r>
      <w:r w:rsidRPr="004466FC">
        <w:rPr>
          <w:rFonts w:ascii="Arial" w:hAnsi="Arial" w:cs="Arial"/>
          <w:i w:val="0"/>
          <w:iCs w:val="0"/>
          <w:noProof/>
          <w:sz w:val="24"/>
          <w:szCs w:val="24"/>
        </w:rPr>
        <w:fldChar w:fldCharType="separate"/>
      </w:r>
      <w:r w:rsidR="00460680">
        <w:rPr>
          <w:rFonts w:ascii="Arial" w:hAnsi="Arial" w:cs="Arial"/>
          <w:i w:val="0"/>
          <w:iCs w:val="0"/>
          <w:noProof/>
          <w:sz w:val="24"/>
          <w:szCs w:val="24"/>
        </w:rPr>
        <w:t>11</w:t>
      </w:r>
      <w:r w:rsidRPr="004466FC">
        <w:rPr>
          <w:rFonts w:ascii="Arial" w:hAnsi="Arial" w:cs="Arial"/>
          <w:i w:val="0"/>
          <w:iCs w:val="0"/>
          <w:noProof/>
          <w:sz w:val="24"/>
          <w:szCs w:val="24"/>
        </w:rPr>
        <w:fldChar w:fldCharType="end"/>
      </w:r>
    </w:p>
    <w:p w14:paraId="517CC08C" w14:textId="5678B8CA"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t>2.</w:t>
      </w:r>
      <w:r w:rsidRPr="004466FC">
        <w:rPr>
          <w:rFonts w:eastAsiaTheme="minorEastAsia"/>
          <w:color w:val="auto"/>
          <w:kern w:val="2"/>
          <w:lang w:val="en-AU" w:eastAsia="en-AU"/>
          <w14:ligatures w14:val="standardContextual"/>
        </w:rPr>
        <w:tab/>
      </w:r>
      <w:r w:rsidRPr="004466FC">
        <w:rPr>
          <w:color w:val="auto"/>
        </w:rPr>
        <w:t>NDIA annual performance statements</w:t>
      </w:r>
      <w:r w:rsidRPr="004466FC">
        <w:rPr>
          <w:color w:val="auto"/>
        </w:rPr>
        <w:tab/>
      </w:r>
      <w:r w:rsidRPr="004466FC">
        <w:rPr>
          <w:color w:val="auto"/>
        </w:rPr>
        <w:fldChar w:fldCharType="begin"/>
      </w:r>
      <w:r w:rsidRPr="004466FC">
        <w:rPr>
          <w:color w:val="auto"/>
        </w:rPr>
        <w:instrText xml:space="preserve"> PAGEREF _Toc180505661 \h </w:instrText>
      </w:r>
      <w:r w:rsidRPr="004466FC">
        <w:rPr>
          <w:color w:val="auto"/>
        </w:rPr>
      </w:r>
      <w:r w:rsidRPr="004466FC">
        <w:rPr>
          <w:color w:val="auto"/>
        </w:rPr>
        <w:fldChar w:fldCharType="separate"/>
      </w:r>
      <w:r w:rsidR="00460680">
        <w:rPr>
          <w:color w:val="auto"/>
        </w:rPr>
        <w:t>12</w:t>
      </w:r>
      <w:r w:rsidRPr="004466FC">
        <w:rPr>
          <w:color w:val="auto"/>
        </w:rPr>
        <w:fldChar w:fldCharType="end"/>
      </w:r>
    </w:p>
    <w:p w14:paraId="39F39A3E" w14:textId="3066CFF0"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2.1</w:t>
      </w:r>
      <w:r w:rsidRPr="004466FC">
        <w:rPr>
          <w:rFonts w:ascii="Arial" w:hAnsi="Arial" w:cs="Arial"/>
          <w:i w:val="0"/>
          <w:iCs w:val="0"/>
          <w:noProof/>
          <w:sz w:val="24"/>
          <w:szCs w:val="24"/>
          <w:lang w:val="en-GB"/>
        </w:rPr>
        <w:tab/>
        <w:t>Statement of preparation</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_Toc180505662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12</w:t>
      </w:r>
      <w:r w:rsidRPr="004466FC">
        <w:rPr>
          <w:rFonts w:ascii="Arial" w:hAnsi="Arial" w:cs="Arial"/>
          <w:i w:val="0"/>
          <w:iCs w:val="0"/>
          <w:noProof/>
          <w:sz w:val="24"/>
          <w:szCs w:val="24"/>
          <w:lang w:val="en-GB"/>
        </w:rPr>
        <w:fldChar w:fldCharType="end"/>
      </w:r>
    </w:p>
    <w:p w14:paraId="51711F21" w14:textId="0EE9056E"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2.2</w:t>
      </w:r>
      <w:r w:rsidRPr="004466FC">
        <w:rPr>
          <w:rFonts w:ascii="Arial" w:hAnsi="Arial" w:cs="Arial"/>
          <w:i w:val="0"/>
          <w:iCs w:val="0"/>
          <w:noProof/>
          <w:sz w:val="24"/>
          <w:szCs w:val="24"/>
          <w:lang w:val="en-GB"/>
        </w:rPr>
        <w:tab/>
        <w:t>Introduction</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_Toc180505663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w:t>
      </w:r>
      <w:r w:rsidRPr="004466FC">
        <w:rPr>
          <w:rFonts w:ascii="Arial" w:hAnsi="Arial" w:cs="Arial"/>
          <w:i w:val="0"/>
          <w:iCs w:val="0"/>
          <w:noProof/>
          <w:sz w:val="24"/>
          <w:szCs w:val="24"/>
          <w:lang w:val="en-GB"/>
        </w:rPr>
        <w:fldChar w:fldCharType="end"/>
      </w:r>
    </w:p>
    <w:p w14:paraId="7BC41053" w14:textId="4565772F"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2.3</w:t>
      </w:r>
      <w:r w:rsidRPr="004466FC">
        <w:rPr>
          <w:rFonts w:ascii="Arial" w:hAnsi="Arial" w:cs="Arial"/>
          <w:i w:val="0"/>
          <w:iCs w:val="0"/>
          <w:noProof/>
          <w:sz w:val="24"/>
          <w:szCs w:val="24"/>
          <w:lang w:val="en-GB"/>
        </w:rPr>
        <w:tab/>
        <w:t>NDIA performance 2023</w:t>
      </w:r>
      <w:r w:rsidRPr="004466FC">
        <w:rPr>
          <w:rFonts w:ascii="Arial" w:hAnsi="Arial" w:cs="Arial"/>
          <w:i w:val="0"/>
          <w:iCs w:val="0"/>
          <w:noProof/>
          <w:sz w:val="24"/>
          <w:szCs w:val="24"/>
          <w:lang w:val="en-GB"/>
        </w:rPr>
        <w:sym w:font="Symbol" w:char="F02D"/>
      </w:r>
      <w:r w:rsidRPr="004466FC">
        <w:rPr>
          <w:rFonts w:ascii="Arial" w:hAnsi="Arial" w:cs="Arial"/>
          <w:i w:val="0"/>
          <w:iCs w:val="0"/>
          <w:noProof/>
          <w:sz w:val="24"/>
          <w:szCs w:val="24"/>
          <w:lang w:val="en-GB"/>
        </w:rPr>
        <w:t>24</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_Toc180505664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15</w:t>
      </w:r>
      <w:r w:rsidRPr="004466FC">
        <w:rPr>
          <w:rFonts w:ascii="Arial" w:hAnsi="Arial" w:cs="Arial"/>
          <w:i w:val="0"/>
          <w:iCs w:val="0"/>
          <w:noProof/>
          <w:sz w:val="24"/>
          <w:szCs w:val="24"/>
          <w:lang w:val="en-GB"/>
        </w:rPr>
        <w:fldChar w:fldCharType="end"/>
      </w:r>
    </w:p>
    <w:p w14:paraId="2BB32A1A" w14:textId="1273F4F1"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t>3.</w:t>
      </w:r>
      <w:r w:rsidRPr="004466FC">
        <w:rPr>
          <w:rFonts w:eastAsiaTheme="minorEastAsia"/>
          <w:color w:val="auto"/>
          <w:kern w:val="2"/>
          <w:lang w:val="en-AU" w:eastAsia="en-AU"/>
          <w14:ligatures w14:val="standardContextual"/>
        </w:rPr>
        <w:tab/>
      </w:r>
      <w:r w:rsidRPr="004466FC">
        <w:rPr>
          <w:color w:val="auto"/>
        </w:rPr>
        <w:t>Financial statements</w:t>
      </w:r>
      <w:r w:rsidRPr="004466FC">
        <w:rPr>
          <w:color w:val="auto"/>
        </w:rPr>
        <w:tab/>
      </w:r>
      <w:r w:rsidRPr="004466FC">
        <w:rPr>
          <w:color w:val="auto"/>
        </w:rPr>
        <w:fldChar w:fldCharType="begin"/>
      </w:r>
      <w:r w:rsidRPr="004466FC">
        <w:rPr>
          <w:color w:val="auto"/>
        </w:rPr>
        <w:instrText xml:space="preserve"> PAGEREF _Toc180505665 \h </w:instrText>
      </w:r>
      <w:r w:rsidRPr="004466FC">
        <w:rPr>
          <w:color w:val="auto"/>
        </w:rPr>
      </w:r>
      <w:r w:rsidRPr="004466FC">
        <w:rPr>
          <w:color w:val="auto"/>
        </w:rPr>
        <w:fldChar w:fldCharType="separate"/>
      </w:r>
      <w:r w:rsidR="00460680">
        <w:rPr>
          <w:color w:val="auto"/>
        </w:rPr>
        <w:t>36</w:t>
      </w:r>
      <w:r w:rsidRPr="004466FC">
        <w:rPr>
          <w:color w:val="auto"/>
        </w:rPr>
        <w:fldChar w:fldCharType="end"/>
      </w:r>
    </w:p>
    <w:p w14:paraId="1362FB4B" w14:textId="62CFB33E"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3.1</w:t>
      </w:r>
      <w:r w:rsidRPr="004466FC">
        <w:rPr>
          <w:rFonts w:ascii="Arial" w:hAnsi="Arial" w:cs="Arial"/>
          <w:i w:val="0"/>
          <w:iCs w:val="0"/>
          <w:noProof/>
          <w:sz w:val="24"/>
          <w:szCs w:val="24"/>
          <w:lang w:val="en-GB"/>
        </w:rPr>
        <w:tab/>
        <w:t>Independent audit report</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_Toc180505666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36</w:t>
      </w:r>
      <w:r w:rsidRPr="004466FC">
        <w:rPr>
          <w:rFonts w:ascii="Arial" w:hAnsi="Arial" w:cs="Arial"/>
          <w:i w:val="0"/>
          <w:iCs w:val="0"/>
          <w:noProof/>
          <w:sz w:val="24"/>
          <w:szCs w:val="24"/>
          <w:lang w:val="en-GB"/>
        </w:rPr>
        <w:fldChar w:fldCharType="end"/>
      </w:r>
    </w:p>
    <w:p w14:paraId="574F2989" w14:textId="376481AE"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3.2</w:t>
      </w:r>
      <w:r w:rsidRPr="004466FC">
        <w:rPr>
          <w:rFonts w:ascii="Arial" w:hAnsi="Arial" w:cs="Arial"/>
          <w:i w:val="0"/>
          <w:iCs w:val="0"/>
          <w:noProof/>
          <w:sz w:val="24"/>
          <w:szCs w:val="24"/>
          <w:lang w:val="en-GB"/>
        </w:rPr>
        <w:tab/>
        <w:t>Financial statements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_Toc180505667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40</w:t>
      </w:r>
      <w:r w:rsidRPr="004466FC">
        <w:rPr>
          <w:rFonts w:ascii="Arial" w:hAnsi="Arial" w:cs="Arial"/>
          <w:i w:val="0"/>
          <w:iCs w:val="0"/>
          <w:noProof/>
          <w:sz w:val="24"/>
          <w:szCs w:val="24"/>
          <w:lang w:val="en-GB"/>
        </w:rPr>
        <w:fldChar w:fldCharType="end"/>
      </w:r>
    </w:p>
    <w:p w14:paraId="12F95CF1" w14:textId="2C344CAD"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t>4.</w:t>
      </w:r>
      <w:r w:rsidRPr="004466FC">
        <w:rPr>
          <w:rFonts w:eastAsiaTheme="minorEastAsia"/>
          <w:color w:val="auto"/>
          <w:kern w:val="2"/>
          <w:lang w:val="en-AU" w:eastAsia="en-AU"/>
          <w14:ligatures w14:val="standardContextual"/>
        </w:rPr>
        <w:tab/>
      </w:r>
      <w:r w:rsidRPr="004466FC">
        <w:rPr>
          <w:color w:val="auto"/>
        </w:rPr>
        <w:t>Financial sustainability</w:t>
      </w:r>
      <w:r w:rsidRPr="004466FC">
        <w:rPr>
          <w:color w:val="auto"/>
        </w:rPr>
        <w:tab/>
      </w:r>
      <w:r w:rsidRPr="004466FC">
        <w:rPr>
          <w:color w:val="auto"/>
        </w:rPr>
        <w:fldChar w:fldCharType="begin"/>
      </w:r>
      <w:r w:rsidRPr="004466FC">
        <w:rPr>
          <w:color w:val="auto"/>
        </w:rPr>
        <w:instrText xml:space="preserve"> PAGEREF _Toc180505668 \h </w:instrText>
      </w:r>
      <w:r w:rsidRPr="004466FC">
        <w:rPr>
          <w:color w:val="auto"/>
        </w:rPr>
      </w:r>
      <w:r w:rsidRPr="004466FC">
        <w:rPr>
          <w:color w:val="auto"/>
        </w:rPr>
        <w:fldChar w:fldCharType="separate"/>
      </w:r>
      <w:r w:rsidR="00460680">
        <w:rPr>
          <w:color w:val="auto"/>
        </w:rPr>
        <w:t>71</w:t>
      </w:r>
      <w:r w:rsidRPr="004466FC">
        <w:rPr>
          <w:color w:val="auto"/>
        </w:rPr>
        <w:fldChar w:fldCharType="end"/>
      </w:r>
    </w:p>
    <w:p w14:paraId="036F39CF" w14:textId="3D9099D6"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4.1</w:t>
      </w:r>
      <w:r w:rsidRPr="004466FC">
        <w:rPr>
          <w:rFonts w:ascii="Arial" w:hAnsi="Arial" w:cs="Arial"/>
          <w:i w:val="0"/>
          <w:iCs w:val="0"/>
          <w:noProof/>
          <w:sz w:val="24"/>
          <w:szCs w:val="24"/>
          <w:lang w:val="en-GB"/>
        </w:rPr>
        <w:tab/>
        <w:t>Executive summary</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_Toc180505669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71</w:t>
      </w:r>
      <w:r w:rsidRPr="004466FC">
        <w:rPr>
          <w:rFonts w:ascii="Arial" w:hAnsi="Arial" w:cs="Arial"/>
          <w:i w:val="0"/>
          <w:iCs w:val="0"/>
          <w:noProof/>
          <w:sz w:val="24"/>
          <w:szCs w:val="24"/>
          <w:lang w:val="en-GB"/>
        </w:rPr>
        <w:fldChar w:fldCharType="end"/>
      </w:r>
    </w:p>
    <w:p w14:paraId="5D096CC6" w14:textId="62B432BB"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4.2</w:t>
      </w:r>
      <w:r w:rsidRPr="004466FC">
        <w:rPr>
          <w:rFonts w:ascii="Arial" w:hAnsi="Arial" w:cs="Arial"/>
          <w:i w:val="0"/>
          <w:iCs w:val="0"/>
          <w:noProof/>
          <w:sz w:val="24"/>
          <w:szCs w:val="24"/>
          <w:lang w:val="en-GB"/>
        </w:rPr>
        <w:tab/>
        <w:t>NDIS reforms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_Toc180505670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71</w:t>
      </w:r>
      <w:r w:rsidRPr="004466FC">
        <w:rPr>
          <w:rFonts w:ascii="Arial" w:hAnsi="Arial" w:cs="Arial"/>
          <w:i w:val="0"/>
          <w:iCs w:val="0"/>
          <w:noProof/>
          <w:sz w:val="24"/>
          <w:szCs w:val="24"/>
          <w:lang w:val="en-GB"/>
        </w:rPr>
        <w:fldChar w:fldCharType="end"/>
      </w:r>
    </w:p>
    <w:p w14:paraId="4D9ED912" w14:textId="64BB91F9"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4.3</w:t>
      </w:r>
      <w:r w:rsidRPr="004466FC">
        <w:rPr>
          <w:rFonts w:ascii="Arial" w:hAnsi="Arial" w:cs="Arial"/>
          <w:i w:val="0"/>
          <w:iCs w:val="0"/>
          <w:noProof/>
          <w:sz w:val="24"/>
          <w:szCs w:val="24"/>
          <w:lang w:val="en-GB"/>
        </w:rPr>
        <w:tab/>
        <w:t>June 2024 projection of Scheme expenses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_Toc180505671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73</w:t>
      </w:r>
      <w:r w:rsidRPr="004466FC">
        <w:rPr>
          <w:rFonts w:ascii="Arial" w:hAnsi="Arial" w:cs="Arial"/>
          <w:i w:val="0"/>
          <w:iCs w:val="0"/>
          <w:noProof/>
          <w:sz w:val="24"/>
          <w:szCs w:val="24"/>
          <w:lang w:val="en-GB"/>
        </w:rPr>
        <w:fldChar w:fldCharType="end"/>
      </w:r>
    </w:p>
    <w:p w14:paraId="61FA6C04" w14:textId="324EE8B5"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4.4</w:t>
      </w:r>
      <w:r w:rsidRPr="004466FC">
        <w:rPr>
          <w:rFonts w:ascii="Arial" w:hAnsi="Arial" w:cs="Arial"/>
          <w:i w:val="0"/>
          <w:iCs w:val="0"/>
          <w:noProof/>
          <w:sz w:val="24"/>
          <w:szCs w:val="24"/>
          <w:lang w:val="en-GB"/>
        </w:rPr>
        <w:tab/>
        <w:t>Letter from Independent Actuary</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_Toc180505672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76</w:t>
      </w:r>
      <w:r w:rsidRPr="004466FC">
        <w:rPr>
          <w:rFonts w:ascii="Arial" w:hAnsi="Arial" w:cs="Arial"/>
          <w:i w:val="0"/>
          <w:iCs w:val="0"/>
          <w:noProof/>
          <w:sz w:val="24"/>
          <w:szCs w:val="24"/>
          <w:lang w:val="en-GB"/>
        </w:rPr>
        <w:fldChar w:fldCharType="end"/>
      </w:r>
    </w:p>
    <w:p w14:paraId="5F0EC58B" w14:textId="4187AE22"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t>5.</w:t>
      </w:r>
      <w:r w:rsidRPr="004466FC">
        <w:rPr>
          <w:rFonts w:eastAsiaTheme="minorEastAsia"/>
          <w:color w:val="auto"/>
          <w:kern w:val="2"/>
          <w:lang w:val="en-AU" w:eastAsia="en-AU"/>
          <w14:ligatures w14:val="standardContextual"/>
        </w:rPr>
        <w:tab/>
      </w:r>
      <w:r w:rsidRPr="004466FC">
        <w:rPr>
          <w:color w:val="auto"/>
        </w:rPr>
        <w:t>Management and accountability</w:t>
      </w:r>
      <w:r w:rsidRPr="004466FC">
        <w:rPr>
          <w:color w:val="auto"/>
        </w:rPr>
        <w:tab/>
      </w:r>
      <w:r w:rsidRPr="004466FC">
        <w:rPr>
          <w:color w:val="auto"/>
        </w:rPr>
        <w:fldChar w:fldCharType="begin"/>
      </w:r>
      <w:r w:rsidRPr="004466FC">
        <w:rPr>
          <w:color w:val="auto"/>
        </w:rPr>
        <w:instrText xml:space="preserve"> PAGEREF _Toc180505673 \h </w:instrText>
      </w:r>
      <w:r w:rsidRPr="004466FC">
        <w:rPr>
          <w:color w:val="auto"/>
        </w:rPr>
      </w:r>
      <w:r w:rsidRPr="004466FC">
        <w:rPr>
          <w:color w:val="auto"/>
        </w:rPr>
        <w:fldChar w:fldCharType="separate"/>
      </w:r>
      <w:r w:rsidR="00460680">
        <w:rPr>
          <w:color w:val="auto"/>
        </w:rPr>
        <w:t>77</w:t>
      </w:r>
      <w:r w:rsidRPr="004466FC">
        <w:rPr>
          <w:color w:val="auto"/>
        </w:rPr>
        <w:fldChar w:fldCharType="end"/>
      </w:r>
    </w:p>
    <w:p w14:paraId="54BD5B82" w14:textId="08E20FBD"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5.1</w:t>
      </w:r>
      <w:r w:rsidRPr="004466FC">
        <w:rPr>
          <w:rFonts w:ascii="Arial" w:hAnsi="Arial" w:cs="Arial"/>
          <w:i w:val="0"/>
          <w:iCs w:val="0"/>
          <w:noProof/>
          <w:sz w:val="24"/>
          <w:szCs w:val="24"/>
          <w:lang w:val="en-GB"/>
        </w:rPr>
        <w:tab/>
        <w:t>Governance</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_Toc180505674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77</w:t>
      </w:r>
      <w:r w:rsidRPr="004466FC">
        <w:rPr>
          <w:rFonts w:ascii="Arial" w:hAnsi="Arial" w:cs="Arial"/>
          <w:i w:val="0"/>
          <w:iCs w:val="0"/>
          <w:noProof/>
          <w:sz w:val="24"/>
          <w:szCs w:val="24"/>
          <w:lang w:val="en-GB"/>
        </w:rPr>
        <w:fldChar w:fldCharType="end"/>
      </w:r>
    </w:p>
    <w:p w14:paraId="7F6C6749" w14:textId="2025FD1D"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5.2</w:t>
      </w:r>
      <w:r w:rsidRPr="004466FC">
        <w:rPr>
          <w:rFonts w:ascii="Arial" w:hAnsi="Arial" w:cs="Arial"/>
          <w:i w:val="0"/>
          <w:iCs w:val="0"/>
          <w:noProof/>
          <w:sz w:val="24"/>
          <w:szCs w:val="24"/>
          <w:lang w:val="en-GB"/>
        </w:rPr>
        <w:tab/>
        <w:t>NDIA Board</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_Toc180505675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77</w:t>
      </w:r>
      <w:r w:rsidRPr="004466FC">
        <w:rPr>
          <w:rFonts w:ascii="Arial" w:hAnsi="Arial" w:cs="Arial"/>
          <w:i w:val="0"/>
          <w:iCs w:val="0"/>
          <w:noProof/>
          <w:sz w:val="24"/>
          <w:szCs w:val="24"/>
          <w:lang w:val="en-GB"/>
        </w:rPr>
        <w:fldChar w:fldCharType="end"/>
      </w:r>
    </w:p>
    <w:p w14:paraId="7CC34C49" w14:textId="0549FE44"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5.3</w:t>
      </w:r>
      <w:r w:rsidRPr="004466FC">
        <w:rPr>
          <w:rFonts w:ascii="Arial" w:hAnsi="Arial" w:cs="Arial"/>
          <w:i w:val="0"/>
          <w:iCs w:val="0"/>
          <w:noProof/>
          <w:sz w:val="24"/>
          <w:szCs w:val="24"/>
          <w:lang w:val="en-GB"/>
        </w:rPr>
        <w:tab/>
        <w:t>The Independent Advisory Council</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_Toc180505676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98</w:t>
      </w:r>
      <w:r w:rsidRPr="004466FC">
        <w:rPr>
          <w:rFonts w:ascii="Arial" w:hAnsi="Arial" w:cs="Arial"/>
          <w:i w:val="0"/>
          <w:iCs w:val="0"/>
          <w:noProof/>
          <w:sz w:val="24"/>
          <w:szCs w:val="24"/>
          <w:lang w:val="en-GB"/>
        </w:rPr>
        <w:fldChar w:fldCharType="end"/>
      </w:r>
    </w:p>
    <w:p w14:paraId="6B527498" w14:textId="2076886C"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5.4</w:t>
      </w:r>
      <w:r w:rsidRPr="004466FC">
        <w:rPr>
          <w:rFonts w:ascii="Arial" w:hAnsi="Arial" w:cs="Arial"/>
          <w:i w:val="0"/>
          <w:iCs w:val="0"/>
          <w:noProof/>
          <w:sz w:val="24"/>
          <w:szCs w:val="24"/>
          <w:lang w:val="en-GB"/>
        </w:rPr>
        <w:tab/>
        <w:t>Chief Executive Officer and Strategic Leadership Team</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_Toc180505677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100</w:t>
      </w:r>
      <w:r w:rsidRPr="004466FC">
        <w:rPr>
          <w:rFonts w:ascii="Arial" w:hAnsi="Arial" w:cs="Arial"/>
          <w:i w:val="0"/>
          <w:iCs w:val="0"/>
          <w:noProof/>
          <w:sz w:val="24"/>
          <w:szCs w:val="24"/>
          <w:lang w:val="en-GB"/>
        </w:rPr>
        <w:fldChar w:fldCharType="end"/>
      </w:r>
    </w:p>
    <w:p w14:paraId="554FD099" w14:textId="37713C5C"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5.5</w:t>
      </w:r>
      <w:r w:rsidRPr="004466FC">
        <w:rPr>
          <w:rFonts w:ascii="Arial" w:hAnsi="Arial" w:cs="Arial"/>
          <w:i w:val="0"/>
          <w:iCs w:val="0"/>
          <w:noProof/>
          <w:sz w:val="24"/>
          <w:szCs w:val="24"/>
          <w:lang w:val="en-GB"/>
        </w:rPr>
        <w:tab/>
        <w:t>Partners in the community</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_Toc180505678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101</w:t>
      </w:r>
      <w:r w:rsidRPr="004466FC">
        <w:rPr>
          <w:rFonts w:ascii="Arial" w:hAnsi="Arial" w:cs="Arial"/>
          <w:i w:val="0"/>
          <w:iCs w:val="0"/>
          <w:noProof/>
          <w:sz w:val="24"/>
          <w:szCs w:val="24"/>
          <w:lang w:val="en-GB"/>
        </w:rPr>
        <w:fldChar w:fldCharType="end"/>
      </w:r>
    </w:p>
    <w:p w14:paraId="72024E47" w14:textId="4BE83D7F"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5.6</w:t>
      </w:r>
      <w:r w:rsidRPr="004466FC">
        <w:rPr>
          <w:rFonts w:ascii="Arial" w:hAnsi="Arial" w:cs="Arial"/>
          <w:i w:val="0"/>
          <w:iCs w:val="0"/>
          <w:noProof/>
          <w:sz w:val="24"/>
          <w:szCs w:val="24"/>
          <w:lang w:val="en-GB"/>
        </w:rPr>
        <w:tab/>
        <w:t>Workforce management</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_Toc180505679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102</w:t>
      </w:r>
      <w:r w:rsidRPr="004466FC">
        <w:rPr>
          <w:rFonts w:ascii="Arial" w:hAnsi="Arial" w:cs="Arial"/>
          <w:i w:val="0"/>
          <w:iCs w:val="0"/>
          <w:noProof/>
          <w:sz w:val="24"/>
          <w:szCs w:val="24"/>
          <w:lang w:val="en-GB"/>
        </w:rPr>
        <w:fldChar w:fldCharType="end"/>
      </w:r>
    </w:p>
    <w:p w14:paraId="5D81EBAF" w14:textId="42AAA933"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5.7</w:t>
      </w:r>
      <w:r w:rsidRPr="004466FC">
        <w:rPr>
          <w:rFonts w:ascii="Arial" w:hAnsi="Arial" w:cs="Arial"/>
          <w:i w:val="0"/>
          <w:iCs w:val="0"/>
          <w:noProof/>
          <w:sz w:val="24"/>
          <w:szCs w:val="24"/>
          <w:lang w:val="en-GB"/>
        </w:rPr>
        <w:tab/>
        <w:t>Staff engagement</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_Toc180505680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105</w:t>
      </w:r>
      <w:r w:rsidRPr="004466FC">
        <w:rPr>
          <w:rFonts w:ascii="Arial" w:hAnsi="Arial" w:cs="Arial"/>
          <w:i w:val="0"/>
          <w:iCs w:val="0"/>
          <w:noProof/>
          <w:sz w:val="24"/>
          <w:szCs w:val="24"/>
          <w:lang w:val="en-GB"/>
        </w:rPr>
        <w:fldChar w:fldCharType="end"/>
      </w:r>
    </w:p>
    <w:p w14:paraId="5C3B7602" w14:textId="6985E482"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5.8</w:t>
      </w:r>
      <w:r w:rsidRPr="004466FC">
        <w:rPr>
          <w:rFonts w:ascii="Arial" w:hAnsi="Arial" w:cs="Arial"/>
          <w:i w:val="0"/>
          <w:iCs w:val="0"/>
          <w:noProof/>
          <w:sz w:val="24"/>
          <w:szCs w:val="24"/>
          <w:lang w:val="en-GB"/>
        </w:rPr>
        <w:tab/>
        <w:t>Risk management</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_Toc180505681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105</w:t>
      </w:r>
      <w:r w:rsidRPr="004466FC">
        <w:rPr>
          <w:rFonts w:ascii="Arial" w:hAnsi="Arial" w:cs="Arial"/>
          <w:i w:val="0"/>
          <w:iCs w:val="0"/>
          <w:noProof/>
          <w:sz w:val="24"/>
          <w:szCs w:val="24"/>
          <w:lang w:val="en-GB"/>
        </w:rPr>
        <w:fldChar w:fldCharType="end"/>
      </w:r>
    </w:p>
    <w:p w14:paraId="702B17F8" w14:textId="15FC5384"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lastRenderedPageBreak/>
        <w:t>6.</w:t>
      </w:r>
      <w:r w:rsidRPr="004466FC">
        <w:rPr>
          <w:rFonts w:eastAsiaTheme="minorEastAsia"/>
          <w:color w:val="auto"/>
          <w:kern w:val="2"/>
          <w:lang w:val="en-AU" w:eastAsia="en-AU"/>
          <w14:ligatures w14:val="standardContextual"/>
        </w:rPr>
        <w:tab/>
      </w:r>
      <w:r w:rsidRPr="004466FC">
        <w:rPr>
          <w:color w:val="auto"/>
        </w:rPr>
        <w:t>Appendices</w:t>
      </w:r>
      <w:r w:rsidRPr="004466FC">
        <w:rPr>
          <w:color w:val="auto"/>
        </w:rPr>
        <w:tab/>
      </w:r>
      <w:r w:rsidRPr="004466FC">
        <w:rPr>
          <w:color w:val="auto"/>
        </w:rPr>
        <w:fldChar w:fldCharType="begin"/>
      </w:r>
      <w:r w:rsidRPr="004466FC">
        <w:rPr>
          <w:color w:val="auto"/>
        </w:rPr>
        <w:instrText xml:space="preserve"> PAGEREF _Toc180505682 \h </w:instrText>
      </w:r>
      <w:r w:rsidRPr="004466FC">
        <w:rPr>
          <w:color w:val="auto"/>
        </w:rPr>
      </w:r>
      <w:r w:rsidRPr="004466FC">
        <w:rPr>
          <w:color w:val="auto"/>
        </w:rPr>
        <w:fldChar w:fldCharType="separate"/>
      </w:r>
      <w:r w:rsidR="00460680">
        <w:rPr>
          <w:color w:val="auto"/>
        </w:rPr>
        <w:t>109</w:t>
      </w:r>
      <w:r w:rsidRPr="004466FC">
        <w:rPr>
          <w:color w:val="auto"/>
        </w:rPr>
        <w:fldChar w:fldCharType="end"/>
      </w:r>
    </w:p>
    <w:p w14:paraId="40437EDA" w14:textId="456CFB25"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w:t>
      </w:r>
      <w:r w:rsidRPr="004466FC">
        <w:rPr>
          <w:rFonts w:ascii="Arial" w:hAnsi="Arial" w:cs="Arial"/>
          <w:i w:val="0"/>
          <w:iCs w:val="0"/>
          <w:noProof/>
          <w:sz w:val="24"/>
          <w:szCs w:val="24"/>
          <w:lang w:val="en-GB"/>
        </w:rPr>
        <w:tab/>
        <w:t>Enabling legislation</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_Toc180505683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109</w:t>
      </w:r>
      <w:r w:rsidRPr="004466FC">
        <w:rPr>
          <w:rFonts w:ascii="Arial" w:hAnsi="Arial" w:cs="Arial"/>
          <w:i w:val="0"/>
          <w:iCs w:val="0"/>
          <w:noProof/>
          <w:sz w:val="24"/>
          <w:szCs w:val="24"/>
          <w:lang w:val="en-GB"/>
        </w:rPr>
        <w:fldChar w:fldCharType="end"/>
      </w:r>
    </w:p>
    <w:p w14:paraId="7866517A" w14:textId="68D81D80"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6.2</w:t>
      </w:r>
      <w:r w:rsidRPr="004466FC">
        <w:rPr>
          <w:rFonts w:ascii="Arial" w:hAnsi="Arial" w:cs="Arial"/>
          <w:i w:val="0"/>
          <w:iCs w:val="0"/>
          <w:noProof/>
          <w:sz w:val="24"/>
          <w:szCs w:val="24"/>
          <w:lang w:val="en-GB"/>
        </w:rPr>
        <w:tab/>
        <w:t>Audit and Risk Committee</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_Toc180505684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109</w:t>
      </w:r>
      <w:r w:rsidRPr="004466FC">
        <w:rPr>
          <w:rFonts w:ascii="Arial" w:hAnsi="Arial" w:cs="Arial"/>
          <w:i w:val="0"/>
          <w:iCs w:val="0"/>
          <w:noProof/>
          <w:sz w:val="24"/>
          <w:szCs w:val="24"/>
          <w:lang w:val="en-GB"/>
        </w:rPr>
        <w:fldChar w:fldCharType="end"/>
      </w:r>
    </w:p>
    <w:p w14:paraId="08509ED3" w14:textId="3955101F"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6.3</w:t>
      </w:r>
      <w:r w:rsidRPr="004466FC">
        <w:rPr>
          <w:rFonts w:ascii="Arial" w:hAnsi="Arial" w:cs="Arial"/>
          <w:i w:val="0"/>
          <w:iCs w:val="0"/>
          <w:noProof/>
          <w:sz w:val="24"/>
          <w:szCs w:val="24"/>
          <w:lang w:val="en-GB"/>
        </w:rPr>
        <w:tab/>
        <w:t>Work health and safety</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_Toc180505685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110</w:t>
      </w:r>
      <w:r w:rsidRPr="004466FC">
        <w:rPr>
          <w:rFonts w:ascii="Arial" w:hAnsi="Arial" w:cs="Arial"/>
          <w:i w:val="0"/>
          <w:iCs w:val="0"/>
          <w:noProof/>
          <w:sz w:val="24"/>
          <w:szCs w:val="24"/>
          <w:lang w:val="en-GB"/>
        </w:rPr>
        <w:fldChar w:fldCharType="end"/>
      </w:r>
    </w:p>
    <w:p w14:paraId="17E9AE8A" w14:textId="488F1940"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6.4</w:t>
      </w:r>
      <w:r w:rsidRPr="004466FC">
        <w:rPr>
          <w:rFonts w:ascii="Arial" w:hAnsi="Arial" w:cs="Arial"/>
          <w:i w:val="0"/>
          <w:iCs w:val="0"/>
          <w:noProof/>
          <w:sz w:val="24"/>
          <w:szCs w:val="24"/>
          <w:lang w:val="en-GB"/>
        </w:rPr>
        <w:tab/>
        <w:t>Workforce statistics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_Toc180505686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112</w:t>
      </w:r>
      <w:r w:rsidRPr="004466FC">
        <w:rPr>
          <w:rFonts w:ascii="Arial" w:hAnsi="Arial" w:cs="Arial"/>
          <w:i w:val="0"/>
          <w:iCs w:val="0"/>
          <w:noProof/>
          <w:sz w:val="24"/>
          <w:szCs w:val="24"/>
          <w:lang w:val="en-GB"/>
        </w:rPr>
        <w:fldChar w:fldCharType="end"/>
      </w:r>
    </w:p>
    <w:p w14:paraId="7AD9AC36" w14:textId="09406F63"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6.5</w:t>
      </w:r>
      <w:r w:rsidRPr="004466FC">
        <w:rPr>
          <w:rFonts w:ascii="Arial" w:hAnsi="Arial" w:cs="Arial"/>
          <w:i w:val="0"/>
          <w:iCs w:val="0"/>
          <w:noProof/>
          <w:sz w:val="24"/>
          <w:szCs w:val="24"/>
          <w:lang w:val="en-GB"/>
        </w:rPr>
        <w:tab/>
        <w:t>Executive remuneration policy</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_Toc180505687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114</w:t>
      </w:r>
      <w:r w:rsidRPr="004466FC">
        <w:rPr>
          <w:rFonts w:ascii="Arial" w:hAnsi="Arial" w:cs="Arial"/>
          <w:i w:val="0"/>
          <w:iCs w:val="0"/>
          <w:noProof/>
          <w:sz w:val="24"/>
          <w:szCs w:val="24"/>
          <w:lang w:val="en-GB"/>
        </w:rPr>
        <w:fldChar w:fldCharType="end"/>
      </w:r>
    </w:p>
    <w:p w14:paraId="0BB089C8" w14:textId="3323B406"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6.6</w:t>
      </w:r>
      <w:r w:rsidRPr="004466FC">
        <w:rPr>
          <w:rFonts w:ascii="Arial" w:hAnsi="Arial" w:cs="Arial"/>
          <w:i w:val="0"/>
          <w:iCs w:val="0"/>
          <w:noProof/>
          <w:sz w:val="24"/>
          <w:szCs w:val="24"/>
          <w:lang w:val="en-GB"/>
        </w:rPr>
        <w:tab/>
        <w:t>Executive remuneration</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_Toc180505688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115</w:t>
      </w:r>
      <w:r w:rsidRPr="004466FC">
        <w:rPr>
          <w:rFonts w:ascii="Arial" w:hAnsi="Arial" w:cs="Arial"/>
          <w:i w:val="0"/>
          <w:iCs w:val="0"/>
          <w:noProof/>
          <w:sz w:val="24"/>
          <w:szCs w:val="24"/>
          <w:lang w:val="en-GB"/>
        </w:rPr>
        <w:fldChar w:fldCharType="end"/>
      </w:r>
    </w:p>
    <w:p w14:paraId="0EA2825E" w14:textId="456DA889"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6.7</w:t>
      </w:r>
      <w:r w:rsidRPr="004466FC">
        <w:rPr>
          <w:rFonts w:ascii="Arial" w:hAnsi="Arial" w:cs="Arial"/>
          <w:i w:val="0"/>
          <w:iCs w:val="0"/>
          <w:noProof/>
          <w:sz w:val="24"/>
          <w:szCs w:val="24"/>
          <w:lang w:val="en-GB"/>
        </w:rPr>
        <w:tab/>
        <w:t>Reports by parliamentary committees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_Toc180505689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125</w:t>
      </w:r>
      <w:r w:rsidRPr="004466FC">
        <w:rPr>
          <w:rFonts w:ascii="Arial" w:hAnsi="Arial" w:cs="Arial"/>
          <w:i w:val="0"/>
          <w:iCs w:val="0"/>
          <w:noProof/>
          <w:sz w:val="24"/>
          <w:szCs w:val="24"/>
          <w:lang w:val="en-GB"/>
        </w:rPr>
        <w:fldChar w:fldCharType="end"/>
      </w:r>
    </w:p>
    <w:p w14:paraId="0B701948" w14:textId="3B60D09F"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6.8</w:t>
      </w:r>
      <w:r w:rsidRPr="004466FC">
        <w:rPr>
          <w:rFonts w:ascii="Arial" w:hAnsi="Arial" w:cs="Arial"/>
          <w:i w:val="0"/>
          <w:iCs w:val="0"/>
          <w:noProof/>
          <w:sz w:val="24"/>
          <w:szCs w:val="24"/>
          <w:lang w:val="en-GB"/>
        </w:rPr>
        <w:tab/>
        <w:t>Judicial decisions and external reviews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_Toc180505690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127</w:t>
      </w:r>
      <w:r w:rsidRPr="004466FC">
        <w:rPr>
          <w:rFonts w:ascii="Arial" w:hAnsi="Arial" w:cs="Arial"/>
          <w:i w:val="0"/>
          <w:iCs w:val="0"/>
          <w:noProof/>
          <w:sz w:val="24"/>
          <w:szCs w:val="24"/>
          <w:lang w:val="en-GB"/>
        </w:rPr>
        <w:fldChar w:fldCharType="end"/>
      </w:r>
    </w:p>
    <w:p w14:paraId="66869D6B" w14:textId="2E487631"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6.9</w:t>
      </w:r>
      <w:r w:rsidRPr="004466FC">
        <w:rPr>
          <w:rFonts w:ascii="Arial" w:hAnsi="Arial" w:cs="Arial"/>
          <w:i w:val="0"/>
          <w:iCs w:val="0"/>
          <w:noProof/>
          <w:sz w:val="24"/>
          <w:szCs w:val="24"/>
          <w:lang w:val="en-GB"/>
        </w:rPr>
        <w:tab/>
        <w:t>Other PGPA Act reportable items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_Toc180505691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131</w:t>
      </w:r>
      <w:r w:rsidRPr="004466FC">
        <w:rPr>
          <w:rFonts w:ascii="Arial" w:hAnsi="Arial" w:cs="Arial"/>
          <w:i w:val="0"/>
          <w:iCs w:val="0"/>
          <w:noProof/>
          <w:sz w:val="24"/>
          <w:szCs w:val="24"/>
          <w:lang w:val="en-GB"/>
        </w:rPr>
        <w:fldChar w:fldCharType="end"/>
      </w:r>
    </w:p>
    <w:p w14:paraId="55520FE6" w14:textId="4FF4E190"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6.10</w:t>
      </w:r>
      <w:r w:rsidRPr="004466FC">
        <w:rPr>
          <w:rFonts w:ascii="Arial" w:hAnsi="Arial" w:cs="Arial"/>
          <w:i w:val="0"/>
          <w:iCs w:val="0"/>
          <w:noProof/>
          <w:sz w:val="24"/>
          <w:szCs w:val="24"/>
          <w:lang w:val="en-GB"/>
        </w:rPr>
        <w:tab/>
        <w:t>Advertising and market research</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_Toc180505692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131</w:t>
      </w:r>
      <w:r w:rsidRPr="004466FC">
        <w:rPr>
          <w:rFonts w:ascii="Arial" w:hAnsi="Arial" w:cs="Arial"/>
          <w:i w:val="0"/>
          <w:iCs w:val="0"/>
          <w:noProof/>
          <w:sz w:val="24"/>
          <w:szCs w:val="24"/>
          <w:lang w:val="en-GB"/>
        </w:rPr>
        <w:fldChar w:fldCharType="end"/>
      </w:r>
    </w:p>
    <w:p w14:paraId="4838D853" w14:textId="01B21B35"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6.11</w:t>
      </w:r>
      <w:r w:rsidRPr="004466FC">
        <w:rPr>
          <w:rFonts w:ascii="Arial" w:hAnsi="Arial" w:cs="Arial"/>
          <w:i w:val="0"/>
          <w:iCs w:val="0"/>
          <w:noProof/>
          <w:sz w:val="24"/>
          <w:szCs w:val="24"/>
          <w:lang w:val="en-GB"/>
        </w:rPr>
        <w:tab/>
        <w:t>Ecologically sustainable development and environmental performance</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_Toc180505693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133</w:t>
      </w:r>
      <w:r w:rsidRPr="004466FC">
        <w:rPr>
          <w:rFonts w:ascii="Arial" w:hAnsi="Arial" w:cs="Arial"/>
          <w:i w:val="0"/>
          <w:iCs w:val="0"/>
          <w:noProof/>
          <w:sz w:val="24"/>
          <w:szCs w:val="24"/>
          <w:lang w:val="en-GB"/>
        </w:rPr>
        <w:fldChar w:fldCharType="end"/>
      </w:r>
    </w:p>
    <w:p w14:paraId="47CFC5F6" w14:textId="7B2B1A11"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6.12</w:t>
      </w:r>
      <w:r w:rsidRPr="004466FC">
        <w:rPr>
          <w:rFonts w:ascii="Arial" w:hAnsi="Arial" w:cs="Arial"/>
          <w:i w:val="0"/>
          <w:iCs w:val="0"/>
          <w:noProof/>
          <w:sz w:val="24"/>
          <w:szCs w:val="24"/>
          <w:lang w:val="en-GB"/>
        </w:rPr>
        <w:tab/>
        <w:t>Compliance with Carer Recognition Act</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_Toc180505694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135</w:t>
      </w:r>
      <w:r w:rsidRPr="004466FC">
        <w:rPr>
          <w:rFonts w:ascii="Arial" w:hAnsi="Arial" w:cs="Arial"/>
          <w:i w:val="0"/>
          <w:iCs w:val="0"/>
          <w:noProof/>
          <w:sz w:val="24"/>
          <w:szCs w:val="24"/>
          <w:lang w:val="en-GB"/>
        </w:rPr>
        <w:fldChar w:fldCharType="end"/>
      </w:r>
    </w:p>
    <w:p w14:paraId="08EA5818" w14:textId="2869755B"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6.13</w:t>
      </w:r>
      <w:r w:rsidRPr="004466FC">
        <w:rPr>
          <w:rFonts w:ascii="Arial" w:hAnsi="Arial" w:cs="Arial"/>
          <w:i w:val="0"/>
          <w:iCs w:val="0"/>
          <w:noProof/>
          <w:sz w:val="24"/>
          <w:szCs w:val="24"/>
          <w:lang w:val="en-GB"/>
        </w:rPr>
        <w:tab/>
        <w:t>Information on other specific statutory provisions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_Toc180505695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137</w:t>
      </w:r>
      <w:r w:rsidRPr="004466FC">
        <w:rPr>
          <w:rFonts w:ascii="Arial" w:hAnsi="Arial" w:cs="Arial"/>
          <w:i w:val="0"/>
          <w:iCs w:val="0"/>
          <w:noProof/>
          <w:sz w:val="24"/>
          <w:szCs w:val="24"/>
          <w:lang w:val="en-GB"/>
        </w:rPr>
        <w:fldChar w:fldCharType="end"/>
      </w:r>
    </w:p>
    <w:p w14:paraId="21424F83" w14:textId="3F78FF5D"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6.14</w:t>
      </w:r>
      <w:r w:rsidRPr="004466FC">
        <w:rPr>
          <w:rFonts w:ascii="Arial" w:hAnsi="Arial" w:cs="Arial"/>
          <w:i w:val="0"/>
          <w:iCs w:val="0"/>
          <w:noProof/>
          <w:sz w:val="24"/>
          <w:szCs w:val="24"/>
          <w:lang w:val="en-GB"/>
        </w:rPr>
        <w:tab/>
        <w:t>Correction of material errors in NDIA Annual Report 2022–23</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_Toc180505696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138</w:t>
      </w:r>
      <w:r w:rsidRPr="004466FC">
        <w:rPr>
          <w:rFonts w:ascii="Arial" w:hAnsi="Arial" w:cs="Arial"/>
          <w:i w:val="0"/>
          <w:iCs w:val="0"/>
          <w:noProof/>
          <w:sz w:val="24"/>
          <w:szCs w:val="24"/>
          <w:lang w:val="en-GB"/>
        </w:rPr>
        <w:fldChar w:fldCharType="end"/>
      </w:r>
    </w:p>
    <w:p w14:paraId="07F11050" w14:textId="55FC6A32"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6.15</w:t>
      </w:r>
      <w:r w:rsidRPr="004466FC">
        <w:rPr>
          <w:rFonts w:ascii="Arial" w:hAnsi="Arial" w:cs="Arial"/>
          <w:i w:val="0"/>
          <w:iCs w:val="0"/>
          <w:noProof/>
          <w:sz w:val="24"/>
          <w:szCs w:val="24"/>
          <w:lang w:val="en-GB"/>
        </w:rPr>
        <w:tab/>
        <w:t>Glossary</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_Toc180505697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139</w:t>
      </w:r>
      <w:r w:rsidRPr="004466FC">
        <w:rPr>
          <w:rFonts w:ascii="Arial" w:hAnsi="Arial" w:cs="Arial"/>
          <w:i w:val="0"/>
          <w:iCs w:val="0"/>
          <w:noProof/>
          <w:sz w:val="24"/>
          <w:szCs w:val="24"/>
          <w:lang w:val="en-GB"/>
        </w:rPr>
        <w:fldChar w:fldCharType="end"/>
      </w:r>
    </w:p>
    <w:p w14:paraId="460B779F" w14:textId="6D2E04C9" w:rsidR="004466FC" w:rsidRPr="004466FC" w:rsidRDefault="004466FC" w:rsidP="004466FC">
      <w:pPr>
        <w:pStyle w:val="TOC1"/>
        <w:spacing w:before="120" w:line="264" w:lineRule="auto"/>
        <w:rPr>
          <w:rFonts w:eastAsiaTheme="minorEastAsia"/>
          <w:color w:val="auto"/>
          <w:kern w:val="2"/>
          <w:lang w:val="en-AU" w:eastAsia="en-AU"/>
          <w14:ligatures w14:val="standardContextual"/>
        </w:rPr>
      </w:pPr>
      <w:r w:rsidRPr="004466FC">
        <w:rPr>
          <w:color w:val="auto"/>
        </w:rPr>
        <w:t>7.</w:t>
      </w:r>
      <w:r w:rsidRPr="004466FC">
        <w:rPr>
          <w:rFonts w:eastAsiaTheme="minorEastAsia"/>
          <w:color w:val="auto"/>
          <w:kern w:val="2"/>
          <w:lang w:val="en-AU" w:eastAsia="en-AU"/>
          <w14:ligatures w14:val="standardContextual"/>
        </w:rPr>
        <w:tab/>
      </w:r>
      <w:r w:rsidRPr="004466FC">
        <w:rPr>
          <w:color w:val="auto"/>
        </w:rPr>
        <w:t>Indexes</w:t>
      </w:r>
      <w:r w:rsidRPr="004466FC">
        <w:rPr>
          <w:color w:val="auto"/>
        </w:rPr>
        <w:tab/>
      </w:r>
      <w:r w:rsidRPr="004466FC">
        <w:rPr>
          <w:color w:val="auto"/>
        </w:rPr>
        <w:fldChar w:fldCharType="begin"/>
      </w:r>
      <w:r w:rsidRPr="004466FC">
        <w:rPr>
          <w:color w:val="auto"/>
        </w:rPr>
        <w:instrText xml:space="preserve"> PAGEREF _Toc180505698 \h </w:instrText>
      </w:r>
      <w:r w:rsidRPr="004466FC">
        <w:rPr>
          <w:color w:val="auto"/>
        </w:rPr>
      </w:r>
      <w:r w:rsidRPr="004466FC">
        <w:rPr>
          <w:color w:val="auto"/>
        </w:rPr>
        <w:fldChar w:fldCharType="separate"/>
      </w:r>
      <w:r w:rsidR="00460680">
        <w:rPr>
          <w:color w:val="auto"/>
        </w:rPr>
        <w:t>141</w:t>
      </w:r>
      <w:r w:rsidRPr="004466FC">
        <w:rPr>
          <w:color w:val="auto"/>
        </w:rPr>
        <w:fldChar w:fldCharType="end"/>
      </w:r>
    </w:p>
    <w:p w14:paraId="40F8EF32" w14:textId="0EB98018"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7.1</w:t>
      </w:r>
      <w:r w:rsidRPr="004466FC">
        <w:rPr>
          <w:rFonts w:ascii="Arial" w:hAnsi="Arial" w:cs="Arial"/>
          <w:i w:val="0"/>
          <w:iCs w:val="0"/>
          <w:noProof/>
          <w:sz w:val="24"/>
          <w:szCs w:val="24"/>
          <w:lang w:val="en-GB"/>
        </w:rPr>
        <w:tab/>
        <w:t>Compliance indexes</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_Toc180505699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141</w:t>
      </w:r>
      <w:r w:rsidRPr="004466FC">
        <w:rPr>
          <w:rFonts w:ascii="Arial" w:hAnsi="Arial" w:cs="Arial"/>
          <w:i w:val="0"/>
          <w:iCs w:val="0"/>
          <w:noProof/>
          <w:sz w:val="24"/>
          <w:szCs w:val="24"/>
          <w:lang w:val="en-GB"/>
        </w:rPr>
        <w:fldChar w:fldCharType="end"/>
      </w:r>
    </w:p>
    <w:p w14:paraId="28FD223D" w14:textId="609832E0"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7.2</w:t>
      </w:r>
      <w:r w:rsidRPr="004466FC">
        <w:rPr>
          <w:rFonts w:ascii="Arial" w:hAnsi="Arial" w:cs="Arial"/>
          <w:i w:val="0"/>
          <w:iCs w:val="0"/>
          <w:noProof/>
          <w:sz w:val="24"/>
          <w:szCs w:val="24"/>
          <w:lang w:val="en-GB"/>
        </w:rPr>
        <w:tab/>
        <w:t>Tables index</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_Toc180505700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149</w:t>
      </w:r>
      <w:r w:rsidRPr="004466FC">
        <w:rPr>
          <w:rFonts w:ascii="Arial" w:hAnsi="Arial" w:cs="Arial"/>
          <w:i w:val="0"/>
          <w:iCs w:val="0"/>
          <w:noProof/>
          <w:sz w:val="24"/>
          <w:szCs w:val="24"/>
          <w:lang w:val="en-GB"/>
        </w:rPr>
        <w:fldChar w:fldCharType="end"/>
      </w:r>
    </w:p>
    <w:p w14:paraId="1217462B" w14:textId="62B89F94" w:rsidR="004466FC" w:rsidRPr="004466FC" w:rsidRDefault="004466FC" w:rsidP="004466FC">
      <w:pPr>
        <w:pStyle w:val="TOC2"/>
        <w:tabs>
          <w:tab w:val="left" w:pos="1276"/>
          <w:tab w:val="right" w:pos="9174"/>
        </w:tabs>
        <w:spacing w:after="120" w:line="264" w:lineRule="auto"/>
        <w:ind w:left="1276" w:hanging="794"/>
        <w:rPr>
          <w:rFonts w:ascii="Arial" w:hAnsi="Arial" w:cs="Arial"/>
          <w:i w:val="0"/>
          <w:iCs w:val="0"/>
          <w:noProof/>
          <w:sz w:val="24"/>
          <w:szCs w:val="24"/>
          <w:lang w:val="en-GB"/>
        </w:rPr>
      </w:pPr>
      <w:r w:rsidRPr="004466FC">
        <w:rPr>
          <w:rFonts w:ascii="Arial" w:hAnsi="Arial" w:cs="Arial"/>
          <w:i w:val="0"/>
          <w:iCs w:val="0"/>
          <w:noProof/>
          <w:sz w:val="24"/>
          <w:szCs w:val="24"/>
          <w:lang w:val="en-GB"/>
        </w:rPr>
        <w:t>7.3</w:t>
      </w:r>
      <w:r w:rsidRPr="004466FC">
        <w:rPr>
          <w:rFonts w:ascii="Arial" w:hAnsi="Arial" w:cs="Arial"/>
          <w:i w:val="0"/>
          <w:iCs w:val="0"/>
          <w:noProof/>
          <w:sz w:val="24"/>
          <w:szCs w:val="24"/>
          <w:lang w:val="en-GB"/>
        </w:rPr>
        <w:tab/>
        <w:t>Figures index</w:t>
      </w:r>
      <w:r w:rsidRPr="004466FC">
        <w:rPr>
          <w:rFonts w:ascii="Arial" w:hAnsi="Arial" w:cs="Arial"/>
          <w:i w:val="0"/>
          <w:iCs w:val="0"/>
          <w:noProof/>
          <w:sz w:val="24"/>
          <w:szCs w:val="24"/>
          <w:lang w:val="en-GB"/>
        </w:rPr>
        <w:tab/>
      </w:r>
      <w:r w:rsidRPr="004466FC">
        <w:rPr>
          <w:rFonts w:ascii="Arial" w:hAnsi="Arial" w:cs="Arial"/>
          <w:i w:val="0"/>
          <w:iCs w:val="0"/>
          <w:noProof/>
          <w:sz w:val="24"/>
          <w:szCs w:val="24"/>
          <w:lang w:val="en-GB"/>
        </w:rPr>
        <w:fldChar w:fldCharType="begin"/>
      </w:r>
      <w:r w:rsidRPr="004466FC">
        <w:rPr>
          <w:rFonts w:ascii="Arial" w:hAnsi="Arial" w:cs="Arial"/>
          <w:i w:val="0"/>
          <w:iCs w:val="0"/>
          <w:noProof/>
          <w:sz w:val="24"/>
          <w:szCs w:val="24"/>
          <w:lang w:val="en-GB"/>
        </w:rPr>
        <w:instrText xml:space="preserve"> PAGEREF _Toc180505701 \h </w:instrText>
      </w:r>
      <w:r w:rsidRPr="004466FC">
        <w:rPr>
          <w:rFonts w:ascii="Arial" w:hAnsi="Arial" w:cs="Arial"/>
          <w:i w:val="0"/>
          <w:iCs w:val="0"/>
          <w:noProof/>
          <w:sz w:val="24"/>
          <w:szCs w:val="24"/>
          <w:lang w:val="en-GB"/>
        </w:rPr>
      </w:r>
      <w:r w:rsidRPr="004466FC">
        <w:rPr>
          <w:rFonts w:ascii="Arial" w:hAnsi="Arial" w:cs="Arial"/>
          <w:i w:val="0"/>
          <w:iCs w:val="0"/>
          <w:noProof/>
          <w:sz w:val="24"/>
          <w:szCs w:val="24"/>
          <w:lang w:val="en-GB"/>
        </w:rPr>
        <w:fldChar w:fldCharType="separate"/>
      </w:r>
      <w:r w:rsidR="00460680">
        <w:rPr>
          <w:rFonts w:ascii="Arial" w:hAnsi="Arial" w:cs="Arial"/>
          <w:i w:val="0"/>
          <w:iCs w:val="0"/>
          <w:noProof/>
          <w:sz w:val="24"/>
          <w:szCs w:val="24"/>
          <w:lang w:val="en-GB"/>
        </w:rPr>
        <w:t>150</w:t>
      </w:r>
      <w:r w:rsidRPr="004466FC">
        <w:rPr>
          <w:rFonts w:ascii="Arial" w:hAnsi="Arial" w:cs="Arial"/>
          <w:i w:val="0"/>
          <w:iCs w:val="0"/>
          <w:noProof/>
          <w:sz w:val="24"/>
          <w:szCs w:val="24"/>
          <w:lang w:val="en-GB"/>
        </w:rPr>
        <w:fldChar w:fldCharType="end"/>
      </w:r>
    </w:p>
    <w:p w14:paraId="11A8E5A2" w14:textId="68AA32E5" w:rsidR="004D32B5" w:rsidRPr="00A33264" w:rsidRDefault="00BE3421" w:rsidP="00933EF1">
      <w:pPr>
        <w:tabs>
          <w:tab w:val="left" w:pos="851"/>
        </w:tabs>
        <w:spacing w:before="60" w:after="60"/>
        <w:ind w:left="851" w:hanging="851"/>
        <w:rPr>
          <w:lang w:val="en-GB"/>
        </w:rPr>
      </w:pPr>
      <w:r w:rsidRPr="004466FC">
        <w:rPr>
          <w:rFonts w:cs="Arial"/>
          <w:b/>
          <w:bCs/>
          <w:lang w:val="en-GB"/>
        </w:rPr>
        <w:fldChar w:fldCharType="end"/>
      </w:r>
      <w:r w:rsidR="004D32B5" w:rsidRPr="00A33264">
        <w:rPr>
          <w:lang w:val="en-GB"/>
        </w:rPr>
        <w:br w:type="page"/>
      </w:r>
    </w:p>
    <w:p w14:paraId="3E58B761" w14:textId="469D44E6" w:rsidR="00255A26" w:rsidRDefault="00BE3421" w:rsidP="00BE3421">
      <w:pPr>
        <w:pStyle w:val="Heading2"/>
        <w:numPr>
          <w:ilvl w:val="0"/>
          <w:numId w:val="0"/>
        </w:numPr>
        <w:rPr>
          <w:lang w:val="en-GB"/>
        </w:rPr>
      </w:pPr>
      <w:bookmarkStart w:id="14" w:name="_Toc180505650"/>
      <w:r>
        <w:rPr>
          <w:lang w:val="en-GB"/>
        </w:rPr>
        <w:lastRenderedPageBreak/>
        <w:t>Letter of transmittal</w:t>
      </w:r>
      <w:bookmarkEnd w:id="14"/>
    </w:p>
    <w:p w14:paraId="76047712" w14:textId="02ADEEB6" w:rsidR="00AC15D1" w:rsidRPr="00AC15D1" w:rsidRDefault="00AC15D1" w:rsidP="00AC15D1">
      <w:pPr>
        <w:rPr>
          <w:lang w:val="en-GB"/>
        </w:rPr>
      </w:pPr>
      <w:r w:rsidRPr="00AC15D1">
        <w:rPr>
          <w:lang w:val="en-GB"/>
        </w:rPr>
        <w:t>Dear Minister,</w:t>
      </w:r>
    </w:p>
    <w:p w14:paraId="2458E6B3" w14:textId="77777777" w:rsidR="00AC15D1" w:rsidRPr="00AC15D1" w:rsidRDefault="00AC15D1" w:rsidP="00AC15D1">
      <w:pPr>
        <w:rPr>
          <w:lang w:val="en-GB"/>
        </w:rPr>
      </w:pPr>
      <w:r w:rsidRPr="00AC15D1">
        <w:rPr>
          <w:lang w:val="en-GB"/>
        </w:rPr>
        <w:t>On behalf of the National Disability Insurance Agency, I present to you the annual report for the reporting year 1 July 2023 to 30 June 2024.</w:t>
      </w:r>
    </w:p>
    <w:p w14:paraId="01972FEE" w14:textId="73C93026" w:rsidR="00AC15D1" w:rsidRPr="00AC15D1" w:rsidRDefault="00AC15D1" w:rsidP="00AC15D1">
      <w:pPr>
        <w:rPr>
          <w:lang w:val="en-GB"/>
        </w:rPr>
      </w:pPr>
      <w:r w:rsidRPr="00AC15D1">
        <w:rPr>
          <w:lang w:val="en-GB"/>
        </w:rPr>
        <w:t xml:space="preserve">The report provides a detailed description of the </w:t>
      </w:r>
      <w:r w:rsidR="004139EB">
        <w:rPr>
          <w:lang w:val="en-GB"/>
        </w:rPr>
        <w:t>NDIA</w:t>
      </w:r>
      <w:r w:rsidRPr="00AC15D1">
        <w:rPr>
          <w:lang w:val="en-GB"/>
        </w:rPr>
        <w:t xml:space="preserve">’s operations during the year and has been prepared in accordance with the </w:t>
      </w:r>
      <w:r w:rsidRPr="00BB40DF">
        <w:rPr>
          <w:i/>
          <w:iCs/>
          <w:lang w:val="en-GB"/>
        </w:rPr>
        <w:t>Public Governance, Performance and Accountability Act 2013</w:t>
      </w:r>
      <w:r w:rsidRPr="00AC15D1">
        <w:rPr>
          <w:lang w:val="en-GB"/>
        </w:rPr>
        <w:t xml:space="preserve"> (</w:t>
      </w:r>
      <w:r w:rsidR="004139EB">
        <w:rPr>
          <w:lang w:val="en-GB"/>
        </w:rPr>
        <w:t>Cth) (</w:t>
      </w:r>
      <w:r w:rsidRPr="00AC15D1">
        <w:rPr>
          <w:lang w:val="en-GB"/>
        </w:rPr>
        <w:t xml:space="preserve">PGPA Act) and the </w:t>
      </w:r>
      <w:r w:rsidRPr="00BB40DF">
        <w:rPr>
          <w:i/>
          <w:iCs/>
          <w:lang w:val="en-GB"/>
        </w:rPr>
        <w:t>National Disability Insurance Scheme Act 2013</w:t>
      </w:r>
      <w:r w:rsidRPr="00AC15D1">
        <w:rPr>
          <w:lang w:val="en-GB"/>
        </w:rPr>
        <w:t xml:space="preserve"> (</w:t>
      </w:r>
      <w:r w:rsidR="004139EB">
        <w:rPr>
          <w:lang w:val="en-GB"/>
        </w:rPr>
        <w:t>Cth) (</w:t>
      </w:r>
      <w:r w:rsidRPr="00AC15D1">
        <w:rPr>
          <w:lang w:val="en-GB"/>
        </w:rPr>
        <w:t>NDIS Act).</w:t>
      </w:r>
    </w:p>
    <w:p w14:paraId="20167B34" w14:textId="65353DAF" w:rsidR="00AC15D1" w:rsidRPr="00AC15D1" w:rsidRDefault="00AC15D1" w:rsidP="00AC15D1">
      <w:pPr>
        <w:rPr>
          <w:lang w:val="en-GB"/>
        </w:rPr>
      </w:pPr>
      <w:r w:rsidRPr="00AC15D1">
        <w:rPr>
          <w:lang w:val="en-GB"/>
        </w:rPr>
        <w:t xml:space="preserve">In accordance with section 39 of the PGPA Act, the report provides information about the </w:t>
      </w:r>
      <w:r w:rsidR="004139EB">
        <w:rPr>
          <w:lang w:val="en-GB"/>
        </w:rPr>
        <w:t>NDIA</w:t>
      </w:r>
      <w:r w:rsidRPr="00AC15D1">
        <w:rPr>
          <w:lang w:val="en-GB"/>
        </w:rPr>
        <w:t>’s performance in achieving its purposes.</w:t>
      </w:r>
    </w:p>
    <w:p w14:paraId="19814725" w14:textId="7D6088BD" w:rsidR="00AC15D1" w:rsidRPr="00AC15D1" w:rsidRDefault="00AC15D1" w:rsidP="00AC15D1">
      <w:pPr>
        <w:rPr>
          <w:lang w:val="en-GB"/>
        </w:rPr>
      </w:pPr>
      <w:r w:rsidRPr="00AC15D1">
        <w:rPr>
          <w:lang w:val="en-GB"/>
        </w:rPr>
        <w:t xml:space="preserve">The report includes a copy of the </w:t>
      </w:r>
      <w:r w:rsidR="004139EB">
        <w:rPr>
          <w:lang w:val="en-GB"/>
        </w:rPr>
        <w:t>NDIA</w:t>
      </w:r>
      <w:r w:rsidRPr="00AC15D1">
        <w:rPr>
          <w:lang w:val="en-GB"/>
        </w:rPr>
        <w:t>’s annual financial statements and the Auditor-General’s report as prescribed by subsection 43(4) of the PGPA Act.</w:t>
      </w:r>
    </w:p>
    <w:p w14:paraId="0F931FD6" w14:textId="077B4963" w:rsidR="00AC15D1" w:rsidRPr="00AC15D1" w:rsidRDefault="00AC15D1" w:rsidP="00AC15D1">
      <w:pPr>
        <w:rPr>
          <w:lang w:val="en-GB"/>
        </w:rPr>
      </w:pPr>
      <w:r w:rsidRPr="00AC15D1">
        <w:rPr>
          <w:lang w:val="en-GB"/>
        </w:rPr>
        <w:t xml:space="preserve">The report is made in accordance with a resolution of the Board of Directors, on </w:t>
      </w:r>
      <w:r w:rsidR="00C60FE8">
        <w:rPr>
          <w:lang w:val="en-GB"/>
        </w:rPr>
        <w:t>4 October</w:t>
      </w:r>
      <w:r w:rsidRPr="00AC15D1">
        <w:rPr>
          <w:lang w:val="en-GB"/>
        </w:rPr>
        <w:t xml:space="preserve"> 2024. The Board is responsible for its preparation and content. The report is provided to you as the responsible minister under section 46 of the PGPA Act.</w:t>
      </w:r>
    </w:p>
    <w:p w14:paraId="1A391838" w14:textId="7B6AB76A" w:rsidR="00AC15D1" w:rsidRPr="00AC15D1" w:rsidRDefault="00AC15D1" w:rsidP="00AC15D1">
      <w:pPr>
        <w:rPr>
          <w:lang w:val="en-GB"/>
        </w:rPr>
      </w:pPr>
      <w:r w:rsidRPr="00AC15D1">
        <w:rPr>
          <w:lang w:val="en-GB"/>
        </w:rPr>
        <w:t xml:space="preserve">The incorporated summary of the Annual Financial Sustainability Report 2023–24 and the inclusion of the reviewing actuary’s report fulfils the </w:t>
      </w:r>
      <w:r w:rsidR="004139EB">
        <w:rPr>
          <w:lang w:val="en-GB"/>
        </w:rPr>
        <w:t>NDIA</w:t>
      </w:r>
      <w:r w:rsidRPr="00AC15D1">
        <w:rPr>
          <w:lang w:val="en-GB"/>
        </w:rPr>
        <w:t>’s obligations under subsection 172(4) of the NDIS Act.</w:t>
      </w:r>
    </w:p>
    <w:p w14:paraId="392EA880" w14:textId="77777777" w:rsidR="00AC15D1" w:rsidRDefault="00AC15D1" w:rsidP="00AC15D1">
      <w:pPr>
        <w:rPr>
          <w:lang w:val="en-GB"/>
        </w:rPr>
      </w:pPr>
      <w:r w:rsidRPr="00AC15D1">
        <w:rPr>
          <w:lang w:val="en-GB"/>
        </w:rPr>
        <w:t>Yours sincerely</w:t>
      </w:r>
    </w:p>
    <w:p w14:paraId="2C6C55B9" w14:textId="74A90764" w:rsidR="00AC15D1" w:rsidRPr="00AC15D1" w:rsidRDefault="00927263" w:rsidP="00AC15D1">
      <w:pPr>
        <w:rPr>
          <w:lang w:val="en-GB"/>
        </w:rPr>
      </w:pPr>
      <w:r>
        <w:rPr>
          <w:noProof/>
        </w:rPr>
        <w:drawing>
          <wp:inline distT="0" distB="0" distL="0" distR="0" wp14:anchorId="138D7DDE" wp14:editId="06F288AE">
            <wp:extent cx="855878" cy="862080"/>
            <wp:effectExtent l="0" t="0" r="1905" b="0"/>
            <wp:docPr id="732926426" name="Picture 1" descr="Kurt Fearnle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26426" name="Picture 1" descr="Kurt Fearnley signature"/>
                    <pic:cNvPicPr/>
                  </pic:nvPicPr>
                  <pic:blipFill>
                    <a:blip r:embed="rId17"/>
                    <a:stretch>
                      <a:fillRect/>
                    </a:stretch>
                  </pic:blipFill>
                  <pic:spPr>
                    <a:xfrm>
                      <a:off x="0" y="0"/>
                      <a:ext cx="863199" cy="869454"/>
                    </a:xfrm>
                    <a:prstGeom prst="rect">
                      <a:avLst/>
                    </a:prstGeom>
                  </pic:spPr>
                </pic:pic>
              </a:graphicData>
            </a:graphic>
          </wp:inline>
        </w:drawing>
      </w:r>
    </w:p>
    <w:p w14:paraId="655629A8" w14:textId="77777777" w:rsidR="00AC15D1" w:rsidRPr="00AC15D1" w:rsidRDefault="00AC15D1" w:rsidP="00AC15D1">
      <w:pPr>
        <w:rPr>
          <w:lang w:val="en-GB"/>
        </w:rPr>
      </w:pPr>
      <w:r w:rsidRPr="00AC15D1">
        <w:rPr>
          <w:lang w:val="en-GB"/>
        </w:rPr>
        <w:t>Kurt Fearnley AO</w:t>
      </w:r>
    </w:p>
    <w:p w14:paraId="35890D70" w14:textId="77777777" w:rsidR="00AC15D1" w:rsidRPr="00AC15D1" w:rsidRDefault="00AC15D1" w:rsidP="00AC15D1">
      <w:pPr>
        <w:rPr>
          <w:lang w:val="en-GB"/>
        </w:rPr>
      </w:pPr>
      <w:r w:rsidRPr="00AC15D1">
        <w:rPr>
          <w:lang w:val="en-GB"/>
        </w:rPr>
        <w:t>Chair</w:t>
      </w:r>
    </w:p>
    <w:p w14:paraId="74395286" w14:textId="4529BB18" w:rsidR="003060A1" w:rsidRDefault="00AC15D1" w:rsidP="00BE3421">
      <w:pPr>
        <w:rPr>
          <w:lang w:val="en-GB"/>
        </w:rPr>
      </w:pPr>
      <w:r w:rsidRPr="00AC15D1">
        <w:rPr>
          <w:lang w:val="en-GB"/>
        </w:rPr>
        <w:t>National Disability Insurance Agency Board</w:t>
      </w:r>
      <w:bookmarkStart w:id="15" w:name="_Toc169592952"/>
      <w:bookmarkStart w:id="16" w:name="_Toc174354174"/>
      <w:bookmarkStart w:id="17" w:name="_Toc174354228"/>
      <w:bookmarkStart w:id="18" w:name="_Toc175316877"/>
      <w:r w:rsidR="003060A1">
        <w:rPr>
          <w:lang w:val="en-GB"/>
        </w:rPr>
        <w:br w:type="page"/>
      </w:r>
    </w:p>
    <w:p w14:paraId="177E451B" w14:textId="4A8BE768" w:rsidR="004D32B5" w:rsidRPr="00A33264" w:rsidRDefault="005921BC" w:rsidP="00042A45">
      <w:pPr>
        <w:pStyle w:val="Heading2"/>
        <w:rPr>
          <w:lang w:val="en-GB"/>
        </w:rPr>
      </w:pPr>
      <w:bookmarkStart w:id="19" w:name="_Toc176786371"/>
      <w:bookmarkStart w:id="20" w:name="_Toc180505651"/>
      <w:r w:rsidRPr="00A33264">
        <w:rPr>
          <w:lang w:val="en-GB"/>
        </w:rPr>
        <w:lastRenderedPageBreak/>
        <w:t>Introduction</w:t>
      </w:r>
      <w:bookmarkEnd w:id="15"/>
      <w:bookmarkEnd w:id="16"/>
      <w:bookmarkEnd w:id="17"/>
      <w:bookmarkEnd w:id="18"/>
      <w:bookmarkEnd w:id="19"/>
      <w:bookmarkEnd w:id="20"/>
    </w:p>
    <w:p w14:paraId="142BE038" w14:textId="468071D0" w:rsidR="005F5CE9" w:rsidRPr="00A33264" w:rsidRDefault="005921BC" w:rsidP="00E16083">
      <w:pPr>
        <w:pStyle w:val="Introparagraph"/>
        <w:rPr>
          <w:lang w:val="en-GB"/>
        </w:rPr>
      </w:pPr>
      <w:bookmarkStart w:id="21" w:name="_Toc169592953"/>
      <w:bookmarkStart w:id="22" w:name="_Toc180505652"/>
      <w:r w:rsidRPr="00A33264">
        <w:rPr>
          <w:lang w:val="en-GB"/>
        </w:rPr>
        <w:t>About this report</w:t>
      </w:r>
      <w:bookmarkEnd w:id="21"/>
      <w:bookmarkEnd w:id="22"/>
    </w:p>
    <w:p w14:paraId="36376B17" w14:textId="2A14ED79" w:rsidR="00E16083" w:rsidRPr="00A33264" w:rsidRDefault="00E16083" w:rsidP="00E16083">
      <w:pPr>
        <w:pStyle w:val="paragraph"/>
        <w:spacing w:before="0" w:beforeAutospacing="0" w:after="240" w:afterAutospacing="0" w:line="288" w:lineRule="auto"/>
        <w:textAlignment w:val="baseline"/>
        <w:rPr>
          <w:rFonts w:asciiTheme="minorHAnsi" w:hAnsiTheme="minorHAnsi" w:cstheme="minorHAnsi"/>
          <w:lang w:val="en-GB"/>
        </w:rPr>
      </w:pPr>
      <w:r w:rsidRPr="00A33264">
        <w:rPr>
          <w:rStyle w:val="normaltextrun"/>
          <w:rFonts w:asciiTheme="minorHAnsi" w:hAnsiTheme="minorHAnsi" w:cstheme="minorHAnsi"/>
          <w:lang w:val="en-GB"/>
        </w:rPr>
        <w:t xml:space="preserve">This annual report </w:t>
      </w:r>
      <w:r w:rsidR="00154B0A" w:rsidRPr="00A33264">
        <w:rPr>
          <w:rStyle w:val="normaltextrun"/>
          <w:rFonts w:asciiTheme="minorHAnsi" w:hAnsiTheme="minorHAnsi" w:cstheme="minorHAnsi"/>
          <w:lang w:val="en-GB"/>
        </w:rPr>
        <w:t xml:space="preserve">is </w:t>
      </w:r>
      <w:r w:rsidRPr="00A33264">
        <w:rPr>
          <w:rStyle w:val="normaltextrun"/>
          <w:rFonts w:asciiTheme="minorHAnsi" w:hAnsiTheme="minorHAnsi" w:cstheme="minorHAnsi"/>
          <w:lang w:val="en-GB"/>
        </w:rPr>
        <w:t>prepared by the National Disability Insurance Agency (NDIA</w:t>
      </w:r>
      <w:r w:rsidR="00574B05">
        <w:rPr>
          <w:rStyle w:val="normaltextrun"/>
          <w:rFonts w:asciiTheme="minorHAnsi" w:hAnsiTheme="minorHAnsi" w:cstheme="minorHAnsi"/>
          <w:lang w:val="en-GB"/>
        </w:rPr>
        <w:t>)</w:t>
      </w:r>
      <w:r w:rsidRPr="00A33264">
        <w:rPr>
          <w:rStyle w:val="normaltextrun"/>
          <w:rFonts w:asciiTheme="minorHAnsi" w:hAnsiTheme="minorHAnsi" w:cstheme="minorHAnsi"/>
          <w:lang w:val="en-GB"/>
        </w:rPr>
        <w:t xml:space="preserve"> in accordance with legislative requirements. It summarises the NDIA’s financial, social and environmental activities from 1 July 2023 until 30 June 2024. This includes how the NDIA fulfilled the principles set out in the </w:t>
      </w:r>
      <w:r w:rsidRPr="00A33264">
        <w:rPr>
          <w:rStyle w:val="normaltextrun"/>
          <w:rFonts w:asciiTheme="minorHAnsi" w:hAnsiTheme="minorHAnsi" w:cstheme="minorHAnsi"/>
          <w:i/>
          <w:iCs/>
          <w:lang w:val="en-GB"/>
        </w:rPr>
        <w:t>National Disability Insurance Scheme Act 2013</w:t>
      </w:r>
      <w:r w:rsidRPr="00A33264">
        <w:rPr>
          <w:rStyle w:val="normaltextrun"/>
          <w:rFonts w:asciiTheme="minorHAnsi" w:hAnsiTheme="minorHAnsi" w:cstheme="minorHAnsi"/>
          <w:lang w:val="en-GB"/>
        </w:rPr>
        <w:t xml:space="preserve"> </w:t>
      </w:r>
      <w:r w:rsidR="00CB3000">
        <w:rPr>
          <w:rStyle w:val="normaltextrun"/>
          <w:rFonts w:asciiTheme="minorHAnsi" w:hAnsiTheme="minorHAnsi" w:cstheme="minorHAnsi"/>
          <w:lang w:val="en-GB"/>
        </w:rPr>
        <w:t xml:space="preserve">(Cth) </w:t>
      </w:r>
      <w:r w:rsidRPr="00A33264">
        <w:rPr>
          <w:rStyle w:val="normaltextrun"/>
          <w:rFonts w:asciiTheme="minorHAnsi" w:hAnsiTheme="minorHAnsi" w:cstheme="minorHAnsi"/>
          <w:lang w:val="en-GB"/>
        </w:rPr>
        <w:t>(NDIS Act).</w:t>
      </w:r>
    </w:p>
    <w:p w14:paraId="54AF4E8F" w14:textId="7DF7F5F0" w:rsidR="00E16083" w:rsidRPr="00A33264" w:rsidRDefault="00E16083" w:rsidP="003131F3">
      <w:pPr>
        <w:rPr>
          <w:lang w:val="en-GB"/>
        </w:rPr>
      </w:pPr>
      <w:r w:rsidRPr="00A33264">
        <w:rPr>
          <w:lang w:val="en-GB"/>
        </w:rPr>
        <w:t>The annual report for the 2023</w:t>
      </w:r>
      <w:r w:rsidR="00773A49">
        <w:rPr>
          <w:rFonts w:ascii="Symbol" w:eastAsia="Symbol" w:hAnsi="Symbol" w:cs="Symbol"/>
          <w:lang w:val="en-GB"/>
        </w:rPr>
        <w:sym w:font="Symbol" w:char="F02D"/>
      </w:r>
      <w:r w:rsidRPr="00A33264">
        <w:rPr>
          <w:lang w:val="en-GB"/>
        </w:rPr>
        <w:t>24 reporting period provides information for stakeholders</w:t>
      </w:r>
      <w:r w:rsidR="00CB3000">
        <w:rPr>
          <w:lang w:val="en-GB"/>
        </w:rPr>
        <w:t>,</w:t>
      </w:r>
      <w:r w:rsidR="00905671">
        <w:rPr>
          <w:lang w:val="en-GB"/>
        </w:rPr>
        <w:t xml:space="preserve"> including </w:t>
      </w:r>
      <w:r w:rsidRPr="00A33264">
        <w:rPr>
          <w:lang w:val="en-GB"/>
        </w:rPr>
        <w:t>participants</w:t>
      </w:r>
      <w:r w:rsidR="00CB3000">
        <w:rPr>
          <w:lang w:val="en-GB"/>
        </w:rPr>
        <w:t>;</w:t>
      </w:r>
      <w:r w:rsidR="00905671">
        <w:rPr>
          <w:lang w:val="en-GB"/>
        </w:rPr>
        <w:t xml:space="preserve"> </w:t>
      </w:r>
      <w:r w:rsidRPr="00A33264">
        <w:rPr>
          <w:lang w:val="en-GB"/>
        </w:rPr>
        <w:t>providers</w:t>
      </w:r>
      <w:r w:rsidR="00CB3000">
        <w:rPr>
          <w:lang w:val="en-GB"/>
        </w:rPr>
        <w:t>;</w:t>
      </w:r>
      <w:r w:rsidR="00905671">
        <w:rPr>
          <w:lang w:val="en-GB"/>
        </w:rPr>
        <w:t xml:space="preserve"> </w:t>
      </w:r>
      <w:r w:rsidRPr="00A33264">
        <w:rPr>
          <w:lang w:val="en-GB"/>
        </w:rPr>
        <w:t xml:space="preserve">Commonwealth, </w:t>
      </w:r>
      <w:r w:rsidR="009B61F9" w:rsidRPr="00A33264">
        <w:rPr>
          <w:lang w:val="en-GB"/>
        </w:rPr>
        <w:t>s</w:t>
      </w:r>
      <w:r w:rsidRPr="00A33264">
        <w:rPr>
          <w:lang w:val="en-GB"/>
        </w:rPr>
        <w:t xml:space="preserve">tate and </w:t>
      </w:r>
      <w:r w:rsidR="009B61F9" w:rsidRPr="00A33264">
        <w:rPr>
          <w:lang w:val="en-GB"/>
        </w:rPr>
        <w:t>t</w:t>
      </w:r>
      <w:r w:rsidRPr="00A33264">
        <w:rPr>
          <w:lang w:val="en-GB"/>
        </w:rPr>
        <w:t xml:space="preserve">erritory </w:t>
      </w:r>
      <w:r w:rsidR="009B61F9" w:rsidRPr="00A33264">
        <w:rPr>
          <w:lang w:val="en-GB"/>
        </w:rPr>
        <w:t>g</w:t>
      </w:r>
      <w:r w:rsidRPr="00A33264">
        <w:rPr>
          <w:lang w:val="en-GB"/>
        </w:rPr>
        <w:t>overnments</w:t>
      </w:r>
      <w:r w:rsidR="00CB3000">
        <w:rPr>
          <w:lang w:val="en-GB"/>
        </w:rPr>
        <w:t>;</w:t>
      </w:r>
      <w:r w:rsidR="00905671">
        <w:rPr>
          <w:lang w:val="en-GB"/>
        </w:rPr>
        <w:t xml:space="preserve"> and the public</w:t>
      </w:r>
      <w:r w:rsidRPr="00A33264">
        <w:rPr>
          <w:lang w:val="en-GB"/>
        </w:rPr>
        <w:t>.</w:t>
      </w:r>
    </w:p>
    <w:p w14:paraId="3A019538" w14:textId="6465A7AD" w:rsidR="00096E39" w:rsidRPr="00A33264" w:rsidRDefault="00E16083" w:rsidP="00E16083">
      <w:pPr>
        <w:rPr>
          <w:lang w:val="en-GB"/>
        </w:rPr>
      </w:pPr>
      <w:r w:rsidRPr="00A33264">
        <w:rPr>
          <w:lang w:val="en-GB"/>
        </w:rPr>
        <w:t>It also acknowledges the critical role played by the disability sector.</w:t>
      </w:r>
    </w:p>
    <w:p w14:paraId="0E8716E3" w14:textId="2501F5F2" w:rsidR="00096E39" w:rsidRPr="00A33264" w:rsidRDefault="00E16083" w:rsidP="00096E39">
      <w:pPr>
        <w:pStyle w:val="Introparagraph"/>
        <w:rPr>
          <w:lang w:val="en-GB"/>
        </w:rPr>
      </w:pPr>
      <w:bookmarkStart w:id="23" w:name="_Toc180488031"/>
      <w:bookmarkStart w:id="24" w:name="_Toc180505653"/>
      <w:r w:rsidRPr="00A33264">
        <w:rPr>
          <w:lang w:val="en-GB"/>
        </w:rPr>
        <w:t>Acknowledgement</w:t>
      </w:r>
      <w:bookmarkEnd w:id="23"/>
      <w:bookmarkEnd w:id="24"/>
    </w:p>
    <w:p w14:paraId="43889128" w14:textId="2CA300DC" w:rsidR="00E16083" w:rsidRPr="00A33264" w:rsidRDefault="00E16083" w:rsidP="00E16083">
      <w:pPr>
        <w:rPr>
          <w:lang w:val="en-GB"/>
        </w:rPr>
      </w:pPr>
      <w:r w:rsidRPr="00A33264">
        <w:rPr>
          <w:lang w:val="en-GB"/>
        </w:rPr>
        <w:t>The NDIA acknowledges the Traditional Owners and Custodians of Country throughout Australia and their continuing connection to land, sea and community. We pay our respects to their Elders past, present and emerging.</w:t>
      </w:r>
    </w:p>
    <w:p w14:paraId="0FB90E51" w14:textId="6DB38C62" w:rsidR="00096E39" w:rsidRPr="00A33264" w:rsidRDefault="00E16083" w:rsidP="00E16083">
      <w:pPr>
        <w:rPr>
          <w:lang w:val="en-GB"/>
        </w:rPr>
      </w:pPr>
      <w:r w:rsidRPr="00A33264">
        <w:rPr>
          <w:lang w:val="en-GB"/>
        </w:rPr>
        <w:t>The NDIA acknowledges the objectives of the United Nations Convention on the Rights of Persons with Disabilities.</w:t>
      </w:r>
    </w:p>
    <w:p w14:paraId="02FDA9FD" w14:textId="1C1D8091" w:rsidR="005921BC" w:rsidRPr="00A33264" w:rsidRDefault="005921BC" w:rsidP="005921BC">
      <w:pPr>
        <w:pStyle w:val="Heading3"/>
        <w:rPr>
          <w:lang w:val="en-GB"/>
        </w:rPr>
      </w:pPr>
      <w:bookmarkStart w:id="25" w:name="_Toc169592954"/>
      <w:bookmarkStart w:id="26" w:name="_Toc174354175"/>
      <w:bookmarkStart w:id="27" w:name="_Toc175316878"/>
      <w:bookmarkStart w:id="28" w:name="_Toc176786372"/>
      <w:bookmarkStart w:id="29" w:name="_Toc180505654"/>
      <w:r w:rsidRPr="00A33264">
        <w:rPr>
          <w:lang w:val="en-GB"/>
        </w:rPr>
        <w:t xml:space="preserve">Chair’s </w:t>
      </w:r>
      <w:bookmarkEnd w:id="25"/>
      <w:bookmarkEnd w:id="26"/>
      <w:bookmarkEnd w:id="27"/>
      <w:r w:rsidR="0019732F">
        <w:rPr>
          <w:lang w:val="en-GB"/>
        </w:rPr>
        <w:t>foreword</w:t>
      </w:r>
      <w:bookmarkEnd w:id="28"/>
      <w:bookmarkEnd w:id="29"/>
    </w:p>
    <w:p w14:paraId="747EF638" w14:textId="0464B764" w:rsidR="00C038F6" w:rsidRPr="00C038F6" w:rsidRDefault="00C038F6" w:rsidP="00C038F6">
      <w:pPr>
        <w:rPr>
          <w:lang w:val="en-GB"/>
        </w:rPr>
      </w:pPr>
      <w:r w:rsidRPr="00C038F6">
        <w:rPr>
          <w:lang w:val="en-GB"/>
        </w:rPr>
        <w:t xml:space="preserve">It has been an honour to chair the Board of the National Disability Insurance Agency across the last year as we deliver significant reform to the </w:t>
      </w:r>
      <w:r w:rsidR="00CB3000">
        <w:rPr>
          <w:lang w:val="en-GB"/>
        </w:rPr>
        <w:t>National Disability Insurance Scheme (</w:t>
      </w:r>
      <w:r w:rsidRPr="00C038F6">
        <w:rPr>
          <w:lang w:val="en-GB"/>
        </w:rPr>
        <w:t>NDIS</w:t>
      </w:r>
      <w:r w:rsidR="00CB3000">
        <w:rPr>
          <w:lang w:val="en-GB"/>
        </w:rPr>
        <w:t>)</w:t>
      </w:r>
      <w:r w:rsidRPr="00C038F6">
        <w:rPr>
          <w:lang w:val="en-GB"/>
        </w:rPr>
        <w:t xml:space="preserve"> with a focus on outcomes and elevating the voices of participants.</w:t>
      </w:r>
    </w:p>
    <w:p w14:paraId="45B8C458" w14:textId="3916F149" w:rsidR="00C038F6" w:rsidRPr="00C038F6" w:rsidRDefault="00C038F6" w:rsidP="00C038F6">
      <w:pPr>
        <w:rPr>
          <w:lang w:val="en-GB"/>
        </w:rPr>
      </w:pPr>
      <w:r w:rsidRPr="00C038F6">
        <w:rPr>
          <w:lang w:val="en-GB"/>
        </w:rPr>
        <w:t>The NDIS now supports over 661,000 participants</w:t>
      </w:r>
      <w:r w:rsidR="00BA1155">
        <w:rPr>
          <w:lang w:val="en-GB"/>
        </w:rPr>
        <w:t>,</w:t>
      </w:r>
      <w:r w:rsidRPr="00C038F6">
        <w:rPr>
          <w:lang w:val="en-GB"/>
        </w:rPr>
        <w:t xml:space="preserve"> </w:t>
      </w:r>
      <w:r w:rsidR="000511FD">
        <w:rPr>
          <w:lang w:val="en-GB"/>
        </w:rPr>
        <w:t>w</w:t>
      </w:r>
      <w:r w:rsidR="0097290B">
        <w:rPr>
          <w:lang w:val="en-GB"/>
        </w:rPr>
        <w:t>ith m</w:t>
      </w:r>
      <w:r w:rsidRPr="00C038F6">
        <w:rPr>
          <w:lang w:val="en-GB"/>
        </w:rPr>
        <w:t xml:space="preserve">ore than three-quarters of </w:t>
      </w:r>
      <w:r w:rsidR="00CD3FA1">
        <w:rPr>
          <w:lang w:val="en-GB"/>
        </w:rPr>
        <w:t>surveyed participants</w:t>
      </w:r>
      <w:r w:rsidR="00CB3000">
        <w:rPr>
          <w:lang w:val="en-GB"/>
        </w:rPr>
        <w:t xml:space="preserve"> </w:t>
      </w:r>
      <w:r w:rsidRPr="00C038F6">
        <w:rPr>
          <w:lang w:val="en-GB"/>
        </w:rPr>
        <w:t>report</w:t>
      </w:r>
      <w:r w:rsidR="00CD3FA1">
        <w:rPr>
          <w:lang w:val="en-GB"/>
        </w:rPr>
        <w:t>ing</w:t>
      </w:r>
      <w:r w:rsidR="00CB3000">
        <w:rPr>
          <w:lang w:val="en-GB"/>
        </w:rPr>
        <w:t xml:space="preserve"> that</w:t>
      </w:r>
      <w:r w:rsidRPr="00C038F6">
        <w:rPr>
          <w:lang w:val="en-GB"/>
        </w:rPr>
        <w:t xml:space="preserve"> the NDIS has given them more choice and control in their lives.</w:t>
      </w:r>
    </w:p>
    <w:p w14:paraId="5C514380" w14:textId="4E0AC169" w:rsidR="00C038F6" w:rsidRPr="00C038F6" w:rsidRDefault="00C038F6" w:rsidP="00C038F6">
      <w:pPr>
        <w:rPr>
          <w:lang w:val="en-GB"/>
        </w:rPr>
      </w:pPr>
      <w:r w:rsidRPr="00C038F6">
        <w:rPr>
          <w:lang w:val="en-GB"/>
        </w:rPr>
        <w:t>Importantly, participation in community and social activities continues to improve for participants. Families and carers are also seeing the benefits of NDIS support</w:t>
      </w:r>
      <w:r w:rsidR="002E4B7D">
        <w:rPr>
          <w:lang w:val="en-GB"/>
        </w:rPr>
        <w:t>,</w:t>
      </w:r>
      <w:r w:rsidRPr="00C038F6">
        <w:rPr>
          <w:lang w:val="en-GB"/>
        </w:rPr>
        <w:t xml:space="preserve"> with more than half now reporting paid employment.</w:t>
      </w:r>
    </w:p>
    <w:p w14:paraId="3497760B" w14:textId="39E2CA79" w:rsidR="00C038F6" w:rsidRPr="00C038F6" w:rsidRDefault="00C038F6" w:rsidP="00C038F6">
      <w:pPr>
        <w:rPr>
          <w:lang w:val="en-GB"/>
        </w:rPr>
      </w:pPr>
      <w:r w:rsidRPr="00C038F6">
        <w:rPr>
          <w:lang w:val="en-GB"/>
        </w:rPr>
        <w:t xml:space="preserve">I am also pleased to share that more First Nations people are receiving supports for their disability for the first time. Of the 14,000 people who joined the NDIS in the last quarter, 9.9% were First Nations people. This important progress is supported by our First Nations </w:t>
      </w:r>
      <w:r w:rsidR="00CB3000">
        <w:rPr>
          <w:lang w:val="en-GB"/>
        </w:rPr>
        <w:t>G</w:t>
      </w:r>
      <w:r w:rsidRPr="00C038F6">
        <w:rPr>
          <w:lang w:val="en-GB"/>
        </w:rPr>
        <w:t>roup within the NDIA</w:t>
      </w:r>
      <w:r w:rsidR="00CB3000">
        <w:rPr>
          <w:lang w:val="en-GB"/>
        </w:rPr>
        <w:t>,</w:t>
      </w:r>
      <w:r w:rsidRPr="00C038F6">
        <w:rPr>
          <w:lang w:val="en-GB"/>
        </w:rPr>
        <w:t xml:space="preserve"> which focuses our effort and attention </w:t>
      </w:r>
      <w:r w:rsidR="00CB3000">
        <w:rPr>
          <w:lang w:val="en-GB"/>
        </w:rPr>
        <w:t>on</w:t>
      </w:r>
      <w:r w:rsidRPr="00C038F6">
        <w:rPr>
          <w:lang w:val="en-GB"/>
        </w:rPr>
        <w:t xml:space="preserve"> ensuring the NDIS belongs to and works for First Nations people and communities.</w:t>
      </w:r>
    </w:p>
    <w:p w14:paraId="3C51F80E" w14:textId="7B459E45" w:rsidR="00C038F6" w:rsidRPr="00C038F6" w:rsidRDefault="00C038F6" w:rsidP="00C038F6">
      <w:pPr>
        <w:rPr>
          <w:lang w:val="en-GB"/>
        </w:rPr>
      </w:pPr>
      <w:r w:rsidRPr="00C038F6">
        <w:rPr>
          <w:lang w:val="en-GB"/>
        </w:rPr>
        <w:lastRenderedPageBreak/>
        <w:t>Despite this positive activity, the Board and I recognise that genuine reform is needed to ensure the NDIS works for all participants.</w:t>
      </w:r>
      <w:r w:rsidR="00CB3000">
        <w:rPr>
          <w:lang w:val="en-GB"/>
        </w:rPr>
        <w:t xml:space="preserve"> </w:t>
      </w:r>
      <w:r w:rsidRPr="00C038F6">
        <w:rPr>
          <w:lang w:val="en-GB"/>
        </w:rPr>
        <w:t xml:space="preserve">The </w:t>
      </w:r>
      <w:r w:rsidR="00CB3000">
        <w:rPr>
          <w:lang w:val="en-GB"/>
        </w:rPr>
        <w:t>Australian</w:t>
      </w:r>
      <w:r w:rsidRPr="00C038F6">
        <w:rPr>
          <w:lang w:val="en-GB"/>
        </w:rPr>
        <w:t xml:space="preserve"> Government allocated $720 million in the 2023</w:t>
      </w:r>
      <w:r w:rsidR="00386595">
        <w:rPr>
          <w:rFonts w:ascii="Symbol" w:eastAsia="Symbol" w:hAnsi="Symbol" w:cs="Symbol"/>
          <w:lang w:val="en-GB"/>
        </w:rPr>
        <w:sym w:font="Symbol" w:char="F02D"/>
      </w:r>
      <w:r w:rsidRPr="00C038F6">
        <w:rPr>
          <w:lang w:val="en-GB"/>
        </w:rPr>
        <w:t xml:space="preserve">24 </w:t>
      </w:r>
      <w:r w:rsidR="00CB3000">
        <w:rPr>
          <w:lang w:val="en-GB"/>
        </w:rPr>
        <w:t>B</w:t>
      </w:r>
      <w:r w:rsidRPr="00C038F6">
        <w:rPr>
          <w:lang w:val="en-GB"/>
        </w:rPr>
        <w:t xml:space="preserve">udget to support the NDIA to work on key reform initiatives </w:t>
      </w:r>
      <w:r w:rsidR="00CB3000">
        <w:rPr>
          <w:lang w:val="en-GB"/>
        </w:rPr>
        <w:t>to</w:t>
      </w:r>
      <w:r w:rsidRPr="00C038F6">
        <w:rPr>
          <w:lang w:val="en-GB"/>
        </w:rPr>
        <w:t xml:space="preserve"> improv</w:t>
      </w:r>
      <w:r w:rsidR="00CB3000">
        <w:rPr>
          <w:lang w:val="en-GB"/>
        </w:rPr>
        <w:t>e</w:t>
      </w:r>
      <w:r w:rsidRPr="00C038F6">
        <w:rPr>
          <w:lang w:val="en-GB"/>
        </w:rPr>
        <w:t xml:space="preserve"> the experience of and outcomes for participants in the NDIS.</w:t>
      </w:r>
    </w:p>
    <w:p w14:paraId="4CAE4D33" w14:textId="319EFE41" w:rsidR="00C038F6" w:rsidRPr="00C038F6" w:rsidRDefault="00C038F6" w:rsidP="00C038F6">
      <w:pPr>
        <w:rPr>
          <w:lang w:val="en-GB"/>
        </w:rPr>
      </w:pPr>
      <w:r w:rsidRPr="00C038F6">
        <w:rPr>
          <w:lang w:val="en-GB"/>
        </w:rPr>
        <w:t xml:space="preserve">Alongside these initiatives, we are taking the first steps towards implementation of the </w:t>
      </w:r>
      <w:r w:rsidR="00B90433">
        <w:rPr>
          <w:lang w:val="en-GB"/>
        </w:rPr>
        <w:t>G</w:t>
      </w:r>
      <w:r w:rsidRPr="00C038F6">
        <w:rPr>
          <w:lang w:val="en-GB"/>
        </w:rPr>
        <w:t xml:space="preserve">overnment’s legislative changes introduced through the </w:t>
      </w:r>
      <w:r w:rsidR="00CB3000">
        <w:rPr>
          <w:lang w:val="en-GB"/>
        </w:rPr>
        <w:t xml:space="preserve">National Disability Insurance Scheme </w:t>
      </w:r>
      <w:r w:rsidR="00CB3000" w:rsidRPr="008A1E4D">
        <w:rPr>
          <w:lang w:val="en-GB"/>
        </w:rPr>
        <w:t>Amendment (Getting the NDIS Back on Track No. 1) Bill 2024</w:t>
      </w:r>
      <w:r w:rsidR="00CB3000">
        <w:rPr>
          <w:lang w:val="en-GB"/>
        </w:rPr>
        <w:t xml:space="preserve"> (</w:t>
      </w:r>
      <w:r w:rsidRPr="00C038F6">
        <w:rPr>
          <w:lang w:val="en-GB"/>
        </w:rPr>
        <w:t>NDIS Amendment Bill</w:t>
      </w:r>
      <w:r w:rsidR="00CB3000">
        <w:rPr>
          <w:lang w:val="en-GB"/>
        </w:rPr>
        <w:t>)</w:t>
      </w:r>
      <w:r w:rsidRPr="00C038F6">
        <w:rPr>
          <w:lang w:val="en-GB"/>
        </w:rPr>
        <w:t>.</w:t>
      </w:r>
      <w:r w:rsidR="00CB3000">
        <w:rPr>
          <w:lang w:val="en-GB"/>
        </w:rPr>
        <w:t xml:space="preserve"> </w:t>
      </w:r>
      <w:r w:rsidRPr="00C038F6">
        <w:rPr>
          <w:lang w:val="en-GB"/>
        </w:rPr>
        <w:t>Among these reforms is a focus on plans and budget settings and quality and safety. Once implemented, these reforms will help us to improve participant outcomes by providing greater clarity and flexibility for participants in the use of their plan budget.</w:t>
      </w:r>
      <w:r w:rsidR="00CB3000">
        <w:rPr>
          <w:lang w:val="en-GB"/>
        </w:rPr>
        <w:t xml:space="preserve"> </w:t>
      </w:r>
      <w:r w:rsidRPr="00C038F6">
        <w:rPr>
          <w:lang w:val="en-GB"/>
        </w:rPr>
        <w:t>The reforms will also bolster the powers of the NDIS Quality and Safeguards Commission to protect participants from illegal and unethical conduct and help stamp out unscrupulous operators.</w:t>
      </w:r>
    </w:p>
    <w:p w14:paraId="55D4768B" w14:textId="6CB0299B" w:rsidR="00C038F6" w:rsidRPr="00C038F6" w:rsidRDefault="00C038F6" w:rsidP="00C038F6">
      <w:pPr>
        <w:rPr>
          <w:lang w:val="en-GB"/>
        </w:rPr>
      </w:pPr>
      <w:r w:rsidRPr="00C038F6">
        <w:rPr>
          <w:lang w:val="en-GB"/>
        </w:rPr>
        <w:t>We know putting participants at the centre of all that we do makes the NDIS stronger. That</w:t>
      </w:r>
      <w:r w:rsidR="00201406">
        <w:rPr>
          <w:lang w:val="en-GB"/>
        </w:rPr>
        <w:t xml:space="preserve"> i</w:t>
      </w:r>
      <w:r w:rsidRPr="00C038F6">
        <w:rPr>
          <w:lang w:val="en-GB"/>
        </w:rPr>
        <w:t>s why we</w:t>
      </w:r>
      <w:r w:rsidR="00201406">
        <w:rPr>
          <w:lang w:val="en-GB"/>
        </w:rPr>
        <w:t xml:space="preserve"> a</w:t>
      </w:r>
      <w:r w:rsidRPr="00C038F6">
        <w:rPr>
          <w:lang w:val="en-GB"/>
        </w:rPr>
        <w:t>re working closely with participants and the disability community to ensure the changes we make are designed and implemented with people with disability. We remain committed to co-design, continuous improvement and lasting reforms to make the NDIS stronger and the experience for participants better</w:t>
      </w:r>
      <w:r w:rsidR="00850F85">
        <w:rPr>
          <w:lang w:val="en-GB"/>
        </w:rPr>
        <w:t>.</w:t>
      </w:r>
    </w:p>
    <w:p w14:paraId="52D4843E" w14:textId="0BC984CF" w:rsidR="00C038F6" w:rsidRPr="00C038F6" w:rsidRDefault="00C038F6" w:rsidP="00C038F6">
      <w:pPr>
        <w:rPr>
          <w:lang w:val="en-GB"/>
        </w:rPr>
      </w:pPr>
      <w:r w:rsidRPr="00C038F6">
        <w:rPr>
          <w:lang w:val="en-GB"/>
        </w:rPr>
        <w:t>While the number of participants the NDIS supports will continue to grow, we are seeing positive signs that NDIS expenditure continues to stabilise</w:t>
      </w:r>
      <w:r w:rsidR="00201406">
        <w:rPr>
          <w:lang w:val="en-GB"/>
        </w:rPr>
        <w:t>.</w:t>
      </w:r>
      <w:r w:rsidRPr="00C038F6">
        <w:rPr>
          <w:lang w:val="en-GB"/>
        </w:rPr>
        <w:t xml:space="preserve"> </w:t>
      </w:r>
      <w:r w:rsidR="00201406">
        <w:rPr>
          <w:lang w:val="en-GB"/>
        </w:rPr>
        <w:t>This</w:t>
      </w:r>
      <w:r w:rsidRPr="00C038F6">
        <w:rPr>
          <w:lang w:val="en-GB"/>
        </w:rPr>
        <w:t xml:space="preserve"> is important</w:t>
      </w:r>
      <w:r w:rsidR="00201406">
        <w:rPr>
          <w:lang w:val="en-GB"/>
        </w:rPr>
        <w:t>, as it</w:t>
      </w:r>
      <w:r w:rsidRPr="00C038F6">
        <w:rPr>
          <w:lang w:val="en-GB"/>
        </w:rPr>
        <w:t xml:space="preserve"> ensure</w:t>
      </w:r>
      <w:r w:rsidR="00201406">
        <w:rPr>
          <w:lang w:val="en-GB"/>
        </w:rPr>
        <w:t>s</w:t>
      </w:r>
      <w:r w:rsidRPr="00C038F6">
        <w:rPr>
          <w:lang w:val="en-GB"/>
        </w:rPr>
        <w:t xml:space="preserve"> the NDIS </w:t>
      </w:r>
      <w:r w:rsidR="00201406">
        <w:rPr>
          <w:lang w:val="en-GB"/>
        </w:rPr>
        <w:t xml:space="preserve">will </w:t>
      </w:r>
      <w:r w:rsidRPr="00C038F6">
        <w:rPr>
          <w:lang w:val="en-GB"/>
        </w:rPr>
        <w:t>continue to deliver for people with disability for generations to come.</w:t>
      </w:r>
    </w:p>
    <w:p w14:paraId="3DE21EE2" w14:textId="77777777" w:rsidR="00C038F6" w:rsidRPr="00C038F6" w:rsidRDefault="00C038F6" w:rsidP="00C038F6">
      <w:pPr>
        <w:rPr>
          <w:lang w:val="en-GB"/>
        </w:rPr>
      </w:pPr>
      <w:r w:rsidRPr="00C038F6">
        <w:rPr>
          <w:lang w:val="en-GB"/>
        </w:rPr>
        <w:t>As Chair I am fortunate to hear directly from participants about the NDIS and its impact on their lives. While each conversation is unique, and we know there is still work to be done, it is clear the NDIA has made significant progress in helping to build on economic, social, community and individual outcomes.</w:t>
      </w:r>
    </w:p>
    <w:p w14:paraId="26C78E35" w14:textId="5BBCC0B5" w:rsidR="00C038F6" w:rsidRPr="00C038F6" w:rsidRDefault="00201406" w:rsidP="00C038F6">
      <w:pPr>
        <w:rPr>
          <w:lang w:val="en-GB"/>
        </w:rPr>
      </w:pPr>
      <w:r>
        <w:rPr>
          <w:lang w:val="en-GB"/>
        </w:rPr>
        <w:t>I thank</w:t>
      </w:r>
      <w:r w:rsidR="00C038F6" w:rsidRPr="00C038F6">
        <w:rPr>
          <w:lang w:val="en-GB"/>
        </w:rPr>
        <w:t xml:space="preserve"> all NDIA staff and the Board for </w:t>
      </w:r>
      <w:r>
        <w:rPr>
          <w:lang w:val="en-GB"/>
        </w:rPr>
        <w:t>their</w:t>
      </w:r>
      <w:r w:rsidRPr="00C038F6">
        <w:rPr>
          <w:lang w:val="en-GB"/>
        </w:rPr>
        <w:t xml:space="preserve"> </w:t>
      </w:r>
      <w:r w:rsidR="00C038F6" w:rsidRPr="00C038F6">
        <w:rPr>
          <w:lang w:val="en-GB"/>
        </w:rPr>
        <w:t>commitment to the NDIS and its participants</w:t>
      </w:r>
      <w:r w:rsidR="00D57322">
        <w:t xml:space="preserve"> </w:t>
      </w:r>
      <w:r w:rsidR="00B57C21">
        <w:rPr>
          <w:lang w:val="en-GB"/>
        </w:rPr>
        <w:t xml:space="preserve">– </w:t>
      </w:r>
      <w:r w:rsidR="00C038F6" w:rsidRPr="00C038F6">
        <w:rPr>
          <w:lang w:val="en-GB"/>
        </w:rPr>
        <w:t xml:space="preserve">and </w:t>
      </w:r>
      <w:r>
        <w:rPr>
          <w:lang w:val="en-GB"/>
        </w:rPr>
        <w:t xml:space="preserve">also </w:t>
      </w:r>
      <w:r w:rsidR="00C038F6" w:rsidRPr="00C038F6">
        <w:rPr>
          <w:lang w:val="en-GB"/>
        </w:rPr>
        <w:t>the disability community</w:t>
      </w:r>
      <w:r>
        <w:rPr>
          <w:lang w:val="en-GB"/>
        </w:rPr>
        <w:t>,</w:t>
      </w:r>
      <w:r w:rsidR="00C038F6" w:rsidRPr="00C038F6">
        <w:rPr>
          <w:lang w:val="en-GB"/>
        </w:rPr>
        <w:t xml:space="preserve"> </w:t>
      </w:r>
      <w:r>
        <w:rPr>
          <w:lang w:val="en-GB"/>
        </w:rPr>
        <w:t>which has</w:t>
      </w:r>
      <w:r w:rsidR="00C038F6" w:rsidRPr="00C038F6">
        <w:rPr>
          <w:lang w:val="en-GB"/>
        </w:rPr>
        <w:t xml:space="preserve"> worked so closely with the NDIA to improve the NDIS and make it stronger.</w:t>
      </w:r>
    </w:p>
    <w:p w14:paraId="50A75361" w14:textId="77777777" w:rsidR="00C038F6" w:rsidRPr="00C038F6" w:rsidRDefault="00C038F6" w:rsidP="00C038F6">
      <w:pPr>
        <w:rPr>
          <w:lang w:val="en-GB"/>
        </w:rPr>
      </w:pPr>
      <w:r w:rsidRPr="00C038F6">
        <w:rPr>
          <w:lang w:val="en-GB"/>
        </w:rPr>
        <w:t xml:space="preserve">Kurt Fearnley AO </w:t>
      </w:r>
    </w:p>
    <w:p w14:paraId="25F484CE" w14:textId="3E369F0F" w:rsidR="005921BC" w:rsidRPr="00A33264" w:rsidRDefault="00C038F6" w:rsidP="00C038F6">
      <w:pPr>
        <w:rPr>
          <w:lang w:val="en-GB"/>
        </w:rPr>
      </w:pPr>
      <w:r w:rsidRPr="00C038F6">
        <w:rPr>
          <w:lang w:val="en-GB"/>
        </w:rPr>
        <w:t>NDIA Board Chair</w:t>
      </w:r>
    </w:p>
    <w:p w14:paraId="6218D11F" w14:textId="4ED724FE" w:rsidR="005921BC" w:rsidRPr="00A33264" w:rsidRDefault="005921BC" w:rsidP="005921BC">
      <w:pPr>
        <w:pStyle w:val="Heading3"/>
        <w:rPr>
          <w:lang w:val="en-GB"/>
        </w:rPr>
      </w:pPr>
      <w:bookmarkStart w:id="30" w:name="_Toc169592955"/>
      <w:bookmarkStart w:id="31" w:name="_Toc174354176"/>
      <w:bookmarkStart w:id="32" w:name="_Toc175316879"/>
      <w:bookmarkStart w:id="33" w:name="_Toc176786373"/>
      <w:bookmarkStart w:id="34" w:name="_Toc180505655"/>
      <w:r w:rsidRPr="00A33264">
        <w:rPr>
          <w:lang w:val="en-GB"/>
        </w:rPr>
        <w:t xml:space="preserve">Chief Executive Officer’s </w:t>
      </w:r>
      <w:bookmarkEnd w:id="30"/>
      <w:bookmarkEnd w:id="31"/>
      <w:bookmarkEnd w:id="32"/>
      <w:r w:rsidR="0019732F">
        <w:rPr>
          <w:lang w:val="en-GB"/>
        </w:rPr>
        <w:t>foreword</w:t>
      </w:r>
      <w:bookmarkEnd w:id="33"/>
      <w:bookmarkEnd w:id="34"/>
    </w:p>
    <w:p w14:paraId="0C2BDEA0" w14:textId="6CFB593E" w:rsidR="00247078" w:rsidRDefault="00C038F6" w:rsidP="00247078">
      <w:pPr>
        <w:rPr>
          <w:lang w:val="en-GB"/>
        </w:rPr>
      </w:pPr>
      <w:bookmarkStart w:id="35" w:name="_Toc169592956"/>
      <w:bookmarkStart w:id="36" w:name="_Toc174354177"/>
      <w:r w:rsidRPr="00C038F6">
        <w:rPr>
          <w:lang w:val="en-GB"/>
        </w:rPr>
        <w:t>This has been a significant</w:t>
      </w:r>
      <w:r w:rsidR="00201406">
        <w:rPr>
          <w:lang w:val="en-GB"/>
        </w:rPr>
        <w:t xml:space="preserve"> and</w:t>
      </w:r>
      <w:r w:rsidRPr="00C038F6">
        <w:rPr>
          <w:lang w:val="en-GB"/>
        </w:rPr>
        <w:t xml:space="preserve"> historic year for the NDIS.</w:t>
      </w:r>
    </w:p>
    <w:p w14:paraId="7B21AFBD" w14:textId="69D78590" w:rsidR="00C038F6" w:rsidRPr="00C038F6" w:rsidRDefault="00C038F6" w:rsidP="00C038F6">
      <w:pPr>
        <w:rPr>
          <w:lang w:val="en-GB"/>
        </w:rPr>
      </w:pPr>
      <w:r w:rsidRPr="00C038F6">
        <w:rPr>
          <w:lang w:val="en-GB"/>
        </w:rPr>
        <w:t xml:space="preserve">The past 12 months has been underpinned by the outcomes and impacts of the </w:t>
      </w:r>
      <w:r w:rsidR="00201406" w:rsidRPr="002703A5">
        <w:rPr>
          <w:lang w:val="en-GB"/>
        </w:rPr>
        <w:t xml:space="preserve">Royal Commission into Violence, Abuse, Neglect and Exploitation of People with </w:t>
      </w:r>
      <w:r w:rsidR="00201406" w:rsidRPr="002B1859">
        <w:rPr>
          <w:lang w:val="en-GB"/>
        </w:rPr>
        <w:t>Disability</w:t>
      </w:r>
      <w:r w:rsidRPr="00C038F6">
        <w:rPr>
          <w:lang w:val="en-GB"/>
        </w:rPr>
        <w:t xml:space="preserve">, </w:t>
      </w:r>
      <w:r w:rsidRPr="00C038F6">
        <w:rPr>
          <w:lang w:val="en-GB"/>
        </w:rPr>
        <w:lastRenderedPageBreak/>
        <w:t>findings from the NDIS Review</w:t>
      </w:r>
      <w:r w:rsidR="00201406">
        <w:rPr>
          <w:lang w:val="en-GB"/>
        </w:rPr>
        <w:t>,</w:t>
      </w:r>
      <w:r w:rsidRPr="00C038F6">
        <w:rPr>
          <w:lang w:val="en-GB"/>
        </w:rPr>
        <w:t xml:space="preserve"> and the </w:t>
      </w:r>
      <w:r w:rsidR="00157600">
        <w:rPr>
          <w:lang w:val="en-GB"/>
        </w:rPr>
        <w:t>G</w:t>
      </w:r>
      <w:r w:rsidRPr="00C038F6">
        <w:rPr>
          <w:lang w:val="en-GB"/>
        </w:rPr>
        <w:t>overnment’s commitment to ‘getting the NDIS back on track’ with the NDIS Amendment Bill.</w:t>
      </w:r>
    </w:p>
    <w:p w14:paraId="565FF0A7" w14:textId="022C1685" w:rsidR="00C038F6" w:rsidRPr="00C038F6" w:rsidRDefault="00201406" w:rsidP="00C038F6">
      <w:pPr>
        <w:rPr>
          <w:lang w:val="en-GB"/>
        </w:rPr>
      </w:pPr>
      <w:r>
        <w:rPr>
          <w:lang w:val="en-GB"/>
        </w:rPr>
        <w:t>During this time, t</w:t>
      </w:r>
      <w:r w:rsidR="00C038F6" w:rsidRPr="00C038F6">
        <w:rPr>
          <w:lang w:val="en-GB"/>
        </w:rPr>
        <w:t xml:space="preserve">he NDIA </w:t>
      </w:r>
      <w:r>
        <w:rPr>
          <w:lang w:val="en-GB"/>
        </w:rPr>
        <w:t xml:space="preserve">has continued to </w:t>
      </w:r>
      <w:r w:rsidR="00C038F6" w:rsidRPr="00C038F6">
        <w:rPr>
          <w:lang w:val="en-GB"/>
        </w:rPr>
        <w:t>focus on making the NDIS stronger and improving our systems</w:t>
      </w:r>
      <w:r w:rsidR="005F6BFD">
        <w:rPr>
          <w:lang w:val="en-GB"/>
        </w:rPr>
        <w:t xml:space="preserve"> and the way we work</w:t>
      </w:r>
      <w:r w:rsidR="00C038F6" w:rsidRPr="00C038F6">
        <w:rPr>
          <w:lang w:val="en-GB"/>
        </w:rPr>
        <w:t xml:space="preserve"> to support the needs of participants and the wider disability community.</w:t>
      </w:r>
    </w:p>
    <w:p w14:paraId="4C55A085" w14:textId="0CE75BF9" w:rsidR="00C038F6" w:rsidRPr="00C038F6" w:rsidRDefault="00C038F6" w:rsidP="00C038F6">
      <w:pPr>
        <w:rPr>
          <w:lang w:val="en-GB"/>
        </w:rPr>
      </w:pPr>
      <w:r w:rsidRPr="00C038F6">
        <w:rPr>
          <w:lang w:val="en-GB"/>
        </w:rPr>
        <w:t xml:space="preserve">In this time of growth and change, significant and long-term reform efforts are currently underway, and the </w:t>
      </w:r>
      <w:r w:rsidR="009017C5">
        <w:rPr>
          <w:lang w:val="en-GB"/>
        </w:rPr>
        <w:t>G</w:t>
      </w:r>
      <w:r w:rsidRPr="00C038F6">
        <w:rPr>
          <w:lang w:val="en-GB"/>
        </w:rPr>
        <w:t>overnment’s new legislation creates important scaffolding for these reforms.</w:t>
      </w:r>
    </w:p>
    <w:p w14:paraId="2C3962F4" w14:textId="1FE78F1D" w:rsidR="00201406" w:rsidRDefault="00C038F6" w:rsidP="00C038F6">
      <w:pPr>
        <w:rPr>
          <w:lang w:val="en-GB"/>
        </w:rPr>
      </w:pPr>
      <w:r w:rsidRPr="00C038F6">
        <w:rPr>
          <w:lang w:val="en-GB"/>
        </w:rPr>
        <w:t>Our task now is to work with people with disability and the disability community to develop the detail and implement the reforms</w:t>
      </w:r>
      <w:r w:rsidR="00201406">
        <w:rPr>
          <w:lang w:val="en-GB"/>
        </w:rPr>
        <w:t>;</w:t>
      </w:r>
      <w:r w:rsidRPr="00C038F6">
        <w:rPr>
          <w:lang w:val="en-GB"/>
        </w:rPr>
        <w:t xml:space="preserve"> </w:t>
      </w:r>
      <w:r w:rsidR="00201406">
        <w:rPr>
          <w:lang w:val="en-GB"/>
        </w:rPr>
        <w:t xml:space="preserve">and </w:t>
      </w:r>
      <w:r w:rsidRPr="00C038F6">
        <w:rPr>
          <w:lang w:val="en-GB"/>
        </w:rPr>
        <w:t>improve the experience and outcomes of participants in the NDIS.</w:t>
      </w:r>
    </w:p>
    <w:p w14:paraId="5A005876" w14:textId="116A1C3C" w:rsidR="00C038F6" w:rsidRPr="00C038F6" w:rsidRDefault="00C038F6" w:rsidP="00C038F6">
      <w:pPr>
        <w:rPr>
          <w:lang w:val="en-GB"/>
        </w:rPr>
      </w:pPr>
      <w:r w:rsidRPr="00C038F6">
        <w:rPr>
          <w:lang w:val="en-GB"/>
        </w:rPr>
        <w:t xml:space="preserve">These will be lasting changes to make the NDIS stronger, </w:t>
      </w:r>
      <w:r w:rsidR="00110B07">
        <w:rPr>
          <w:lang w:val="en-GB"/>
        </w:rPr>
        <w:t>and we are determined</w:t>
      </w:r>
      <w:r w:rsidRPr="00C038F6">
        <w:rPr>
          <w:lang w:val="en-GB"/>
        </w:rPr>
        <w:t xml:space="preserve"> to get them right</w:t>
      </w:r>
      <w:r w:rsidR="00110B07">
        <w:rPr>
          <w:lang w:val="en-GB"/>
        </w:rPr>
        <w:t xml:space="preserve"> for participants and the broader community</w:t>
      </w:r>
      <w:r w:rsidRPr="00C038F6">
        <w:rPr>
          <w:lang w:val="en-GB"/>
        </w:rPr>
        <w:t>.</w:t>
      </w:r>
    </w:p>
    <w:p w14:paraId="5A4E887F" w14:textId="14D54E97" w:rsidR="00C038F6" w:rsidRPr="00C038F6" w:rsidRDefault="00C038F6" w:rsidP="00C038F6">
      <w:pPr>
        <w:rPr>
          <w:lang w:val="en-GB"/>
        </w:rPr>
      </w:pPr>
      <w:r w:rsidRPr="00C038F6">
        <w:rPr>
          <w:lang w:val="en-GB"/>
        </w:rPr>
        <w:t>Importantly, disability representative and carer organisations, the Independent Advisory Council, the NDIA and the Department of Social Services, together with the Minister, have agreed to a co-design approach for the delivery of NDIS reforms. To support the 27</w:t>
      </w:r>
      <w:r w:rsidR="00201406">
        <w:rPr>
          <w:lang w:val="en-GB"/>
        </w:rPr>
        <w:t xml:space="preserve"> </w:t>
      </w:r>
      <w:r w:rsidRPr="00C038F6">
        <w:rPr>
          <w:lang w:val="en-GB"/>
        </w:rPr>
        <w:t>disability representative and carer organisations in this program of work, the NDIA has boosted their funding by $10.7 million.</w:t>
      </w:r>
    </w:p>
    <w:p w14:paraId="11D763FB" w14:textId="3D57DD13" w:rsidR="00C038F6" w:rsidRPr="00C038F6" w:rsidRDefault="00201406" w:rsidP="00C038F6">
      <w:pPr>
        <w:rPr>
          <w:lang w:val="en-GB"/>
        </w:rPr>
      </w:pPr>
      <w:r>
        <w:rPr>
          <w:lang w:val="en-GB"/>
        </w:rPr>
        <w:t>The w</w:t>
      </w:r>
      <w:r w:rsidR="00C038F6" w:rsidRPr="00C038F6">
        <w:rPr>
          <w:lang w:val="en-GB"/>
        </w:rPr>
        <w:t xml:space="preserve">ork </w:t>
      </w:r>
      <w:r>
        <w:rPr>
          <w:lang w:val="en-GB"/>
        </w:rPr>
        <w:t xml:space="preserve">we do </w:t>
      </w:r>
      <w:r w:rsidR="00C038F6" w:rsidRPr="00C038F6">
        <w:rPr>
          <w:lang w:val="en-GB"/>
        </w:rPr>
        <w:t xml:space="preserve">together to implement and deliver these reforms </w:t>
      </w:r>
      <w:r>
        <w:rPr>
          <w:lang w:val="en-GB"/>
        </w:rPr>
        <w:t>is</w:t>
      </w:r>
      <w:r w:rsidR="00C038F6" w:rsidRPr="00C038F6">
        <w:rPr>
          <w:lang w:val="en-GB"/>
        </w:rPr>
        <w:t xml:space="preserve"> critical</w:t>
      </w:r>
      <w:r w:rsidR="00C8488C">
        <w:t xml:space="preserve"> – </w:t>
      </w:r>
      <w:r>
        <w:rPr>
          <w:lang w:val="en-GB"/>
        </w:rPr>
        <w:t>it will lead</w:t>
      </w:r>
      <w:r w:rsidR="00C038F6" w:rsidRPr="00C038F6">
        <w:rPr>
          <w:lang w:val="en-GB"/>
        </w:rPr>
        <w:t xml:space="preserve"> to a better, more sustainable NDIS for participants</w:t>
      </w:r>
      <w:r>
        <w:rPr>
          <w:lang w:val="en-GB"/>
        </w:rPr>
        <w:t>.</w:t>
      </w:r>
      <w:r w:rsidR="00C038F6" w:rsidRPr="00C038F6">
        <w:rPr>
          <w:lang w:val="en-GB"/>
        </w:rPr>
        <w:t xml:space="preserve"> I am pleased that co-design will remain at the centre of our reform efforts.</w:t>
      </w:r>
    </w:p>
    <w:p w14:paraId="0F23409F" w14:textId="748363B5" w:rsidR="00C038F6" w:rsidRPr="00C038F6" w:rsidRDefault="00C038F6" w:rsidP="00C038F6">
      <w:pPr>
        <w:rPr>
          <w:lang w:val="en-GB"/>
        </w:rPr>
      </w:pPr>
      <w:r w:rsidRPr="00C038F6">
        <w:rPr>
          <w:lang w:val="en-GB"/>
        </w:rPr>
        <w:t>As part of our commitment to delivering a better experience for participants, we have now rolled out PACE, our new computer system</w:t>
      </w:r>
      <w:r w:rsidR="00201406">
        <w:rPr>
          <w:lang w:val="en-GB"/>
        </w:rPr>
        <w:t>,</w:t>
      </w:r>
      <w:r w:rsidRPr="00C038F6">
        <w:rPr>
          <w:lang w:val="en-GB"/>
        </w:rPr>
        <w:t xml:space="preserve"> nationwide.</w:t>
      </w:r>
      <w:r w:rsidR="0024613A">
        <w:rPr>
          <w:lang w:val="en-GB"/>
        </w:rPr>
        <w:t xml:space="preserve"> Participants are being gradually </w:t>
      </w:r>
      <w:r w:rsidR="00472A9C">
        <w:rPr>
          <w:lang w:val="en-GB"/>
        </w:rPr>
        <w:t xml:space="preserve">transitioned onto the system and we continue to improve and expand the </w:t>
      </w:r>
      <w:r w:rsidR="003B589B">
        <w:rPr>
          <w:lang w:val="en-GB"/>
        </w:rPr>
        <w:t xml:space="preserve">use of PACE. This will set us up to successfully implement </w:t>
      </w:r>
      <w:r w:rsidR="00D066CF">
        <w:rPr>
          <w:lang w:val="en-GB"/>
        </w:rPr>
        <w:t xml:space="preserve">legislative changes, and continue to support </w:t>
      </w:r>
      <w:r w:rsidR="009B2EED">
        <w:rPr>
          <w:lang w:val="en-GB"/>
        </w:rPr>
        <w:t xml:space="preserve">participants </w:t>
      </w:r>
      <w:r w:rsidR="00D066CF">
        <w:rPr>
          <w:lang w:val="en-GB"/>
        </w:rPr>
        <w:t>now and into the future.</w:t>
      </w:r>
      <w:r w:rsidRPr="00C038F6">
        <w:rPr>
          <w:lang w:val="en-GB"/>
        </w:rPr>
        <w:t xml:space="preserve"> </w:t>
      </w:r>
    </w:p>
    <w:p w14:paraId="0AB70487" w14:textId="019B81FC" w:rsidR="00247078" w:rsidRDefault="00C038F6" w:rsidP="00247078">
      <w:pPr>
        <w:rPr>
          <w:lang w:val="en-GB"/>
        </w:rPr>
      </w:pPr>
      <w:r w:rsidRPr="00C038F6">
        <w:rPr>
          <w:lang w:val="en-GB"/>
        </w:rPr>
        <w:t>What often stands out to me in the stories I hear from participants are the efforts and dedication of NDIA staff. I am proud to serve a workforce that is equally passionate and committed.</w:t>
      </w:r>
      <w:r w:rsidR="00201406">
        <w:rPr>
          <w:lang w:val="en-GB"/>
        </w:rPr>
        <w:t xml:space="preserve"> </w:t>
      </w:r>
      <w:r w:rsidRPr="00C038F6">
        <w:rPr>
          <w:lang w:val="en-GB"/>
        </w:rPr>
        <w:t>To support our staff in delivering on these outcomes, we are dedicated to driving a culture of accessibility and inclusion. The release of the NDIA’s Culturally and Linguistically Diverse Inclusion Plan, and the establishment of the Office of Agency Accessibility and Inclusion</w:t>
      </w:r>
      <w:r w:rsidR="00201406">
        <w:rPr>
          <w:lang w:val="en-GB"/>
        </w:rPr>
        <w:t>,</w:t>
      </w:r>
      <w:r w:rsidRPr="00C038F6">
        <w:rPr>
          <w:lang w:val="en-GB"/>
        </w:rPr>
        <w:t xml:space="preserve"> are significant steps towards this goal.</w:t>
      </w:r>
    </w:p>
    <w:p w14:paraId="781F36D6" w14:textId="7CEC2792" w:rsidR="00C038F6" w:rsidRPr="00C038F6" w:rsidRDefault="00C038F6" w:rsidP="00C038F6">
      <w:pPr>
        <w:rPr>
          <w:lang w:val="en-GB"/>
        </w:rPr>
      </w:pPr>
      <w:r w:rsidRPr="00C038F6">
        <w:rPr>
          <w:lang w:val="en-GB"/>
        </w:rPr>
        <w:t xml:space="preserve">As part of our commitment to supporting diversity and inclusivity within the NDIS, we have established </w:t>
      </w:r>
      <w:r w:rsidR="00110B07">
        <w:rPr>
          <w:lang w:val="en-GB"/>
        </w:rPr>
        <w:t>a</w:t>
      </w:r>
      <w:r w:rsidR="00110B07" w:rsidRPr="00C038F6">
        <w:rPr>
          <w:lang w:val="en-GB"/>
        </w:rPr>
        <w:t xml:space="preserve"> </w:t>
      </w:r>
      <w:r w:rsidRPr="00C038F6">
        <w:rPr>
          <w:lang w:val="en-GB"/>
        </w:rPr>
        <w:t xml:space="preserve">First Nations Group. This group has been created to improve services in remote and very remote communities and support positive outcomes for </w:t>
      </w:r>
      <w:r w:rsidRPr="00C038F6">
        <w:rPr>
          <w:lang w:val="en-GB"/>
        </w:rPr>
        <w:lastRenderedPageBreak/>
        <w:t xml:space="preserve">First Nations and other participants </w:t>
      </w:r>
      <w:r w:rsidR="00201406">
        <w:rPr>
          <w:lang w:val="en-GB"/>
        </w:rPr>
        <w:t xml:space="preserve">and their </w:t>
      </w:r>
      <w:r w:rsidRPr="00C038F6">
        <w:rPr>
          <w:lang w:val="en-GB"/>
        </w:rPr>
        <w:t>families and carers in these communities.</w:t>
      </w:r>
    </w:p>
    <w:p w14:paraId="6087B9FC" w14:textId="615F77F3" w:rsidR="00C038F6" w:rsidRPr="00C038F6" w:rsidRDefault="00110B07" w:rsidP="00C038F6">
      <w:pPr>
        <w:rPr>
          <w:lang w:val="en-GB"/>
        </w:rPr>
      </w:pPr>
      <w:r>
        <w:rPr>
          <w:lang w:val="en-GB"/>
        </w:rPr>
        <w:t>S</w:t>
      </w:r>
      <w:r w:rsidR="00C038F6" w:rsidRPr="00C038F6">
        <w:rPr>
          <w:lang w:val="en-GB"/>
        </w:rPr>
        <w:t>taff wellbeing continues to be a priority</w:t>
      </w:r>
      <w:r>
        <w:rPr>
          <w:lang w:val="en-GB"/>
        </w:rPr>
        <w:t xml:space="preserve"> across the NDIA</w:t>
      </w:r>
      <w:r w:rsidR="00C038F6" w:rsidRPr="00C038F6">
        <w:rPr>
          <w:lang w:val="en-GB"/>
        </w:rPr>
        <w:t>. To support staff to deliver their best, we have implemented a</w:t>
      </w:r>
      <w:r w:rsidR="00201406">
        <w:rPr>
          <w:lang w:val="en-GB"/>
        </w:rPr>
        <w:t xml:space="preserve"> Senior Executive Service</w:t>
      </w:r>
      <w:r w:rsidR="00C038F6" w:rsidRPr="00C038F6">
        <w:rPr>
          <w:lang w:val="en-GB"/>
        </w:rPr>
        <w:t xml:space="preserve"> </w:t>
      </w:r>
      <w:r w:rsidR="00201406">
        <w:rPr>
          <w:lang w:val="en-GB"/>
        </w:rPr>
        <w:t>(</w:t>
      </w:r>
      <w:r w:rsidR="00C038F6" w:rsidRPr="00C038F6">
        <w:rPr>
          <w:lang w:val="en-GB"/>
        </w:rPr>
        <w:t>SES</w:t>
      </w:r>
      <w:r w:rsidR="00201406">
        <w:rPr>
          <w:lang w:val="en-GB"/>
        </w:rPr>
        <w:t>)</w:t>
      </w:r>
      <w:r w:rsidR="00C038F6" w:rsidRPr="00C038F6">
        <w:rPr>
          <w:lang w:val="en-GB"/>
        </w:rPr>
        <w:t xml:space="preserve"> Site Champions program</w:t>
      </w:r>
      <w:r w:rsidR="00201406">
        <w:rPr>
          <w:lang w:val="en-GB"/>
        </w:rPr>
        <w:t>.</w:t>
      </w:r>
      <w:r w:rsidR="00C038F6" w:rsidRPr="00C038F6">
        <w:rPr>
          <w:lang w:val="en-GB"/>
        </w:rPr>
        <w:t xml:space="preserve"> </w:t>
      </w:r>
      <w:r w:rsidR="0075484E">
        <w:rPr>
          <w:lang w:val="en-GB"/>
        </w:rPr>
        <w:t xml:space="preserve">This program gives staff direct access to an Agency leader and is designed to provide staff with greater workplace engagement and increased avenues for support. </w:t>
      </w:r>
      <w:r w:rsidR="00C038F6" w:rsidRPr="00C038F6">
        <w:rPr>
          <w:lang w:val="en-GB"/>
        </w:rPr>
        <w:t>We are committed to creating a safe and supportive workplace for all our staff.</w:t>
      </w:r>
    </w:p>
    <w:p w14:paraId="51F6D755" w14:textId="43DB3B21" w:rsidR="00C038F6" w:rsidRPr="00C038F6" w:rsidRDefault="00C038F6" w:rsidP="00C038F6">
      <w:pPr>
        <w:rPr>
          <w:lang w:val="en-GB"/>
        </w:rPr>
      </w:pPr>
      <w:r w:rsidRPr="00C038F6">
        <w:rPr>
          <w:lang w:val="en-GB"/>
        </w:rPr>
        <w:t>I would like to express my thanks to the disability community, our Board and</w:t>
      </w:r>
      <w:r w:rsidR="0066083A">
        <w:rPr>
          <w:lang w:val="en-GB"/>
        </w:rPr>
        <w:t>,</w:t>
      </w:r>
      <w:r w:rsidRPr="00C038F6">
        <w:rPr>
          <w:lang w:val="en-GB"/>
        </w:rPr>
        <w:t xml:space="preserve"> importantly</w:t>
      </w:r>
      <w:r w:rsidR="0066083A">
        <w:rPr>
          <w:lang w:val="en-GB"/>
        </w:rPr>
        <w:t>,</w:t>
      </w:r>
      <w:r w:rsidRPr="00C038F6">
        <w:rPr>
          <w:lang w:val="en-GB"/>
        </w:rPr>
        <w:t xml:space="preserve"> all NDIA staff. It has been a year of tremendous but fulfilling change</w:t>
      </w:r>
      <w:r w:rsidR="00954681">
        <w:t xml:space="preserve"> </w:t>
      </w:r>
      <w:r w:rsidR="00954681">
        <w:rPr>
          <w:lang w:val="en-GB"/>
        </w:rPr>
        <w:t>–</w:t>
      </w:r>
      <w:r w:rsidR="0066083A">
        <w:rPr>
          <w:lang w:val="en-GB"/>
        </w:rPr>
        <w:t xml:space="preserve"> </w:t>
      </w:r>
      <w:r w:rsidRPr="00C038F6">
        <w:rPr>
          <w:lang w:val="en-GB"/>
        </w:rPr>
        <w:t>one I am confident positions us well to meet the needs of participants and focus on building positive outcomes.</w:t>
      </w:r>
    </w:p>
    <w:p w14:paraId="05AFA91B" w14:textId="77777777" w:rsidR="00C038F6" w:rsidRPr="00C038F6" w:rsidRDefault="00C038F6" w:rsidP="00C038F6">
      <w:pPr>
        <w:rPr>
          <w:lang w:val="en-GB"/>
        </w:rPr>
      </w:pPr>
      <w:r w:rsidRPr="00C038F6">
        <w:rPr>
          <w:lang w:val="en-GB"/>
        </w:rPr>
        <w:t>Rebecca Falkingham PSM</w:t>
      </w:r>
    </w:p>
    <w:p w14:paraId="6B1ED9F7" w14:textId="3EF72063" w:rsidR="002C00B8" w:rsidRPr="00A33264" w:rsidRDefault="00C038F6" w:rsidP="00C038F6">
      <w:pPr>
        <w:rPr>
          <w:lang w:val="en-GB"/>
        </w:rPr>
      </w:pPr>
      <w:r w:rsidRPr="00C038F6">
        <w:rPr>
          <w:lang w:val="en-GB"/>
        </w:rPr>
        <w:t>Chief Executive Officer</w:t>
      </w:r>
    </w:p>
    <w:p w14:paraId="3D222C3E" w14:textId="011111AD" w:rsidR="005921BC" w:rsidRPr="00A33264" w:rsidRDefault="005921BC" w:rsidP="005921BC">
      <w:pPr>
        <w:pStyle w:val="Heading3"/>
        <w:rPr>
          <w:lang w:val="en-GB"/>
        </w:rPr>
      </w:pPr>
      <w:bookmarkStart w:id="37" w:name="_Toc175316880"/>
      <w:bookmarkStart w:id="38" w:name="_Toc176786374"/>
      <w:bookmarkStart w:id="39" w:name="_Toc180505656"/>
      <w:r w:rsidRPr="00A33264">
        <w:rPr>
          <w:lang w:val="en-GB"/>
        </w:rPr>
        <w:t>The National Disability Insurance Scheme</w:t>
      </w:r>
      <w:bookmarkEnd w:id="35"/>
      <w:bookmarkEnd w:id="36"/>
      <w:bookmarkEnd w:id="37"/>
      <w:bookmarkEnd w:id="38"/>
      <w:bookmarkEnd w:id="39"/>
    </w:p>
    <w:p w14:paraId="362B9073" w14:textId="1C32E0C4" w:rsidR="00611605" w:rsidRPr="00A33264" w:rsidRDefault="00A27A9C" w:rsidP="00611605">
      <w:pPr>
        <w:rPr>
          <w:rFonts w:eastAsiaTheme="minorEastAsia"/>
          <w:lang w:val="en-GB"/>
        </w:rPr>
      </w:pPr>
      <w:r>
        <w:rPr>
          <w:rFonts w:eastAsiaTheme="minorEastAsia"/>
          <w:lang w:val="en-GB"/>
        </w:rPr>
        <w:t>The NDI</w:t>
      </w:r>
      <w:r w:rsidR="00BB23CF">
        <w:rPr>
          <w:rFonts w:eastAsiaTheme="minorEastAsia"/>
          <w:lang w:val="en-GB"/>
        </w:rPr>
        <w:t>S</w:t>
      </w:r>
      <w:r>
        <w:rPr>
          <w:rFonts w:eastAsiaTheme="minorEastAsia"/>
          <w:lang w:val="en-GB"/>
        </w:rPr>
        <w:t xml:space="preserve"> was e</w:t>
      </w:r>
      <w:r w:rsidR="00611605" w:rsidRPr="00697772">
        <w:rPr>
          <w:rFonts w:eastAsiaTheme="minorEastAsia"/>
          <w:lang w:val="en-GB"/>
        </w:rPr>
        <w:t>stablished in July 2013 under the NDIS Act</w:t>
      </w:r>
      <w:r>
        <w:rPr>
          <w:rFonts w:eastAsiaTheme="minorEastAsia"/>
          <w:lang w:val="en-GB"/>
        </w:rPr>
        <w:t>.</w:t>
      </w:r>
      <w:r w:rsidR="00611605" w:rsidRPr="00697772">
        <w:rPr>
          <w:rFonts w:eastAsiaTheme="minorEastAsia"/>
          <w:lang w:val="en-GB"/>
        </w:rPr>
        <w:t xml:space="preserve"> </w:t>
      </w:r>
      <w:r>
        <w:rPr>
          <w:rFonts w:eastAsiaTheme="minorEastAsia"/>
          <w:lang w:val="en-GB"/>
        </w:rPr>
        <w:t>It</w:t>
      </w:r>
      <w:r w:rsidR="00611605" w:rsidRPr="00697772">
        <w:rPr>
          <w:rFonts w:eastAsiaTheme="minorEastAsia"/>
          <w:lang w:val="en-GB"/>
        </w:rPr>
        <w:t xml:space="preserve"> replace</w:t>
      </w:r>
      <w:r>
        <w:rPr>
          <w:rFonts w:eastAsiaTheme="minorEastAsia"/>
          <w:lang w:val="en-GB"/>
        </w:rPr>
        <w:t>d</w:t>
      </w:r>
      <w:r w:rsidR="00611605" w:rsidRPr="00697772">
        <w:rPr>
          <w:rFonts w:eastAsiaTheme="minorEastAsia"/>
          <w:lang w:val="en-GB"/>
        </w:rPr>
        <w:t xml:space="preserve"> the previous primarily state-based welfare system of disability care</w:t>
      </w:r>
      <w:r>
        <w:rPr>
          <w:rFonts w:eastAsiaTheme="minorEastAsia"/>
          <w:lang w:val="en-GB"/>
        </w:rPr>
        <w:t xml:space="preserve"> and</w:t>
      </w:r>
      <w:r w:rsidR="00611605" w:rsidRPr="00697772">
        <w:rPr>
          <w:rFonts w:eastAsiaTheme="minorEastAsia"/>
          <w:lang w:val="en-GB"/>
        </w:rPr>
        <w:t xml:space="preserve"> provides a single, national insurance-based approach to fund support for people with disability.</w:t>
      </w:r>
    </w:p>
    <w:p w14:paraId="405162C5" w14:textId="77777777" w:rsidR="00611605" w:rsidRPr="00A33264" w:rsidRDefault="00611605" w:rsidP="00611605">
      <w:pPr>
        <w:rPr>
          <w:rFonts w:eastAsiaTheme="minorEastAsia"/>
          <w:lang w:val="en-GB"/>
        </w:rPr>
      </w:pPr>
      <w:r w:rsidRPr="00A33264">
        <w:rPr>
          <w:rFonts w:eastAsiaTheme="minorEastAsia"/>
          <w:lang w:val="en-GB"/>
        </w:rPr>
        <w:t>The NDIS is based on the guiding principles that people with disability:</w:t>
      </w:r>
    </w:p>
    <w:p w14:paraId="0D46F4FD" w14:textId="5AF0FA76" w:rsidR="00611605" w:rsidRPr="00A33264" w:rsidRDefault="00611605" w:rsidP="00611605">
      <w:pPr>
        <w:pStyle w:val="Bullet1"/>
        <w:rPr>
          <w:rFonts w:eastAsiaTheme="minorEastAsia"/>
          <w:lang w:val="en-GB"/>
        </w:rPr>
      </w:pPr>
      <w:r w:rsidRPr="00A33264">
        <w:rPr>
          <w:rFonts w:eastAsiaTheme="minorEastAsia"/>
          <w:lang w:val="en-GB"/>
        </w:rPr>
        <w:t>have the same rights as all Australians to realise their potential for physical, social, emotional and intellectual development</w:t>
      </w:r>
    </w:p>
    <w:p w14:paraId="76314415" w14:textId="77777777" w:rsidR="00611605" w:rsidRPr="00A33264" w:rsidRDefault="00611605" w:rsidP="00611605">
      <w:pPr>
        <w:pStyle w:val="Bullet1"/>
        <w:rPr>
          <w:lang w:val="en-GB"/>
        </w:rPr>
      </w:pPr>
      <w:r w:rsidRPr="00A33264">
        <w:rPr>
          <w:rFonts w:eastAsiaTheme="minorEastAsia"/>
          <w:lang w:val="en-GB"/>
        </w:rPr>
        <w:t>are supported to participate in and contribute to social and economic life to the full extent of their ability.</w:t>
      </w:r>
    </w:p>
    <w:p w14:paraId="38B6A3ED" w14:textId="45D647BC" w:rsidR="00247078" w:rsidRPr="00247078" w:rsidRDefault="00611605" w:rsidP="00247078">
      <w:r w:rsidRPr="00976E8D">
        <w:rPr>
          <w:lang w:val="en-GB"/>
        </w:rPr>
        <w:t xml:space="preserve">The NDIS </w:t>
      </w:r>
      <w:r w:rsidRPr="00611605">
        <w:rPr>
          <w:rFonts w:eastAsiaTheme="minorEastAsia"/>
          <w:lang w:val="en-GB"/>
        </w:rPr>
        <w:t>provides funding to eligible people with disability to access reasonable and necessary supports and services. The NDIS also helps people with disability to connect with mainstream services and supports, community activities and local groups. The NDIS works with state and territory governments to ensure that people with disability can access the supports they need.</w:t>
      </w:r>
      <w:bookmarkStart w:id="40" w:name="_Toc169592957"/>
      <w:bookmarkStart w:id="41" w:name="_Toc174354178"/>
      <w:bookmarkStart w:id="42" w:name="_Toc175316881"/>
      <w:bookmarkStart w:id="43" w:name="_Toc176786375"/>
    </w:p>
    <w:p w14:paraId="50119AA4" w14:textId="5D8454D0" w:rsidR="005921BC" w:rsidRPr="00A33264" w:rsidRDefault="005921BC" w:rsidP="005921BC">
      <w:pPr>
        <w:pStyle w:val="Heading3"/>
        <w:rPr>
          <w:lang w:val="en-GB"/>
        </w:rPr>
      </w:pPr>
      <w:bookmarkStart w:id="44" w:name="_Toc180505657"/>
      <w:r w:rsidRPr="00A33264">
        <w:rPr>
          <w:lang w:val="en-GB"/>
        </w:rPr>
        <w:t>The National Disability Insurance Agency</w:t>
      </w:r>
      <w:bookmarkEnd w:id="40"/>
      <w:bookmarkEnd w:id="41"/>
      <w:bookmarkEnd w:id="42"/>
      <w:bookmarkEnd w:id="43"/>
      <w:bookmarkEnd w:id="44"/>
    </w:p>
    <w:p w14:paraId="76C1439E" w14:textId="450A8269" w:rsidR="00E16083" w:rsidRPr="00A33264" w:rsidRDefault="00E16083" w:rsidP="00F11A3E">
      <w:pPr>
        <w:rPr>
          <w:lang w:val="en-GB"/>
        </w:rPr>
      </w:pPr>
      <w:r w:rsidRPr="00A33264">
        <w:rPr>
          <w:lang w:val="en-GB"/>
        </w:rPr>
        <w:t xml:space="preserve">The NDIA is a corporate Commonwealth entity under the </w:t>
      </w:r>
      <w:r w:rsidRPr="00A33264">
        <w:rPr>
          <w:i/>
          <w:iCs/>
          <w:lang w:val="en-GB"/>
        </w:rPr>
        <w:t>Public Governance, Performance and Accountability Act 2013</w:t>
      </w:r>
      <w:r w:rsidRPr="00A33264">
        <w:rPr>
          <w:lang w:val="en-GB"/>
        </w:rPr>
        <w:t xml:space="preserve"> </w:t>
      </w:r>
      <w:r w:rsidR="009056B6" w:rsidRPr="00A33264">
        <w:rPr>
          <w:lang w:val="en-GB"/>
        </w:rPr>
        <w:t xml:space="preserve">and was established </w:t>
      </w:r>
      <w:r w:rsidRPr="00A33264">
        <w:rPr>
          <w:lang w:val="en-GB"/>
        </w:rPr>
        <w:t>under the NDIS Act.</w:t>
      </w:r>
    </w:p>
    <w:p w14:paraId="3F318A41" w14:textId="048BBF9B" w:rsidR="009056B6" w:rsidRPr="00A33264" w:rsidRDefault="009056B6" w:rsidP="00F11A3E">
      <w:pPr>
        <w:rPr>
          <w:lang w:val="en-GB"/>
        </w:rPr>
      </w:pPr>
      <w:r w:rsidRPr="00A33264">
        <w:rPr>
          <w:lang w:val="en-GB"/>
        </w:rPr>
        <w:t xml:space="preserve">The NDIA’s purpose is to support individuals with a significant and permanent disability (participants) to be more independent and engage socially and economically, </w:t>
      </w:r>
      <w:r w:rsidRPr="00A33264">
        <w:rPr>
          <w:lang w:val="en-GB"/>
        </w:rPr>
        <w:lastRenderedPageBreak/>
        <w:t>while delivering a financially sustainable NDIS that builds genuinely connected and engaged communities and stakeholders.</w:t>
      </w:r>
    </w:p>
    <w:p w14:paraId="7925DFE0" w14:textId="3E09EC21" w:rsidR="005921BC" w:rsidRPr="00A33264" w:rsidRDefault="00117F5F" w:rsidP="00F86FC3">
      <w:pPr>
        <w:pStyle w:val="Heading4"/>
        <w:rPr>
          <w:lang w:val="en-GB"/>
        </w:rPr>
      </w:pPr>
      <w:bookmarkStart w:id="45" w:name="_Toc174354179"/>
      <w:bookmarkStart w:id="46" w:name="_Toc175316883"/>
      <w:r>
        <w:rPr>
          <w:lang w:val="en-GB"/>
        </w:rPr>
        <w:t>NDIA</w:t>
      </w:r>
      <w:r w:rsidRPr="00A33264">
        <w:rPr>
          <w:lang w:val="en-GB"/>
        </w:rPr>
        <w:t xml:space="preserve"> </w:t>
      </w:r>
      <w:r w:rsidR="00E16083" w:rsidRPr="00A33264">
        <w:rPr>
          <w:lang w:val="en-GB"/>
        </w:rPr>
        <w:t>functions</w:t>
      </w:r>
      <w:bookmarkEnd w:id="45"/>
      <w:bookmarkEnd w:id="46"/>
    </w:p>
    <w:p w14:paraId="1CD5B596" w14:textId="3F39CBB7" w:rsidR="00F30A6D" w:rsidRPr="00A33264" w:rsidRDefault="00F30A6D" w:rsidP="00F30A6D">
      <w:pPr>
        <w:rPr>
          <w:lang w:val="en-GB"/>
        </w:rPr>
      </w:pPr>
      <w:r w:rsidRPr="00A33264">
        <w:rPr>
          <w:lang w:val="en-GB"/>
        </w:rPr>
        <w:t xml:space="preserve">The </w:t>
      </w:r>
      <w:r w:rsidR="00F742F9">
        <w:rPr>
          <w:lang w:val="en-GB"/>
        </w:rPr>
        <w:t>NDIA</w:t>
      </w:r>
      <w:r w:rsidR="00F742F9" w:rsidRPr="00A33264">
        <w:rPr>
          <w:lang w:val="en-GB"/>
        </w:rPr>
        <w:t>’s</w:t>
      </w:r>
      <w:r w:rsidR="00F742F9">
        <w:rPr>
          <w:lang w:val="en-GB"/>
        </w:rPr>
        <w:t xml:space="preserve"> main</w:t>
      </w:r>
      <w:r w:rsidR="00F742F9" w:rsidRPr="00A33264">
        <w:rPr>
          <w:lang w:val="en-GB"/>
        </w:rPr>
        <w:t xml:space="preserve"> </w:t>
      </w:r>
      <w:r w:rsidR="002B17B8" w:rsidRPr="00A33264">
        <w:rPr>
          <w:lang w:val="en-GB"/>
        </w:rPr>
        <w:t>functions, as outlined in the NDI</w:t>
      </w:r>
      <w:r w:rsidR="00F742F9">
        <w:rPr>
          <w:lang w:val="en-GB"/>
        </w:rPr>
        <w:t>S</w:t>
      </w:r>
      <w:r w:rsidR="002B17B8" w:rsidRPr="00A33264">
        <w:rPr>
          <w:lang w:val="en-GB"/>
        </w:rPr>
        <w:t xml:space="preserve"> Act</w:t>
      </w:r>
      <w:r w:rsidR="00F742F9">
        <w:rPr>
          <w:lang w:val="en-GB"/>
        </w:rPr>
        <w:t xml:space="preserve"> (section 118)</w:t>
      </w:r>
      <w:r w:rsidR="002B17B8" w:rsidRPr="00A33264">
        <w:rPr>
          <w:lang w:val="en-GB"/>
        </w:rPr>
        <w:t>, are</w:t>
      </w:r>
      <w:r w:rsidR="00717578">
        <w:rPr>
          <w:lang w:val="en-GB"/>
        </w:rPr>
        <w:t xml:space="preserve"> summarised below</w:t>
      </w:r>
      <w:r w:rsidR="00A27A9C">
        <w:rPr>
          <w:lang w:val="en-GB"/>
        </w:rPr>
        <w:t>.</w:t>
      </w:r>
    </w:p>
    <w:p w14:paraId="1C43BF92" w14:textId="3A330DFF" w:rsidR="00AD517E" w:rsidRPr="00A33264" w:rsidRDefault="0035317C" w:rsidP="00AD517E">
      <w:pPr>
        <w:rPr>
          <w:lang w:val="en-GB"/>
        </w:rPr>
      </w:pPr>
      <w:r>
        <w:rPr>
          <w:noProof/>
        </w:rPr>
        <w:drawing>
          <wp:inline distT="0" distB="0" distL="0" distR="0" wp14:anchorId="53ACC67A" wp14:editId="34FA79D1">
            <wp:extent cx="5831840" cy="4706620"/>
            <wp:effectExtent l="0" t="0" r="0" b="0"/>
            <wp:docPr id="1722724734" name="Picture 1" descr="Function 1 - Deliver the NDIS to support the independence, and social and economic participation, of people with disability.&#10;Function 2 - Manage, and advise and report on, the financial sustainability of the NDIS.&#10;Function 3 - Develop and enhance the disability sector, including by facilitating innovation, research and contemporary best practice in the sector.&#10;Function 4 - Build community awareness of disabilities and the social contributors to disabilities.&#10;Function 5 - Collect, analyse and exchange data about disabilities and the supports (including early intervention supports) for people with disability.&#10;Function 6 - Undertake research relating to disabilities, the supports (including early intervention supports) for people with disability and the social contributors to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24734" name="Picture 1" descr="Function 1 - Deliver the NDIS to support the independence, and social and economic participation, of people with disability.&#10;Function 2 - Manage, and advise and report on, the financial sustainability of the NDIS.&#10;Function 3 - Develop and enhance the disability sector, including by facilitating innovation, research and contemporary best practice in the sector.&#10;Function 4 - Build community awareness of disabilities and the social contributors to disabilities.&#10;Function 5 - Collect, analyse and exchange data about disabilities and the supports (including early intervention supports) for people with disability.&#10;Function 6 - Undertake research relating to disabilities, the supports (including early intervention supports) for people with disability and the social contributors to disabilities."/>
                    <pic:cNvPicPr/>
                  </pic:nvPicPr>
                  <pic:blipFill>
                    <a:blip r:embed="rId18"/>
                    <a:stretch>
                      <a:fillRect/>
                    </a:stretch>
                  </pic:blipFill>
                  <pic:spPr>
                    <a:xfrm>
                      <a:off x="0" y="0"/>
                      <a:ext cx="5831840" cy="4706620"/>
                    </a:xfrm>
                    <a:prstGeom prst="rect">
                      <a:avLst/>
                    </a:prstGeom>
                  </pic:spPr>
                </pic:pic>
              </a:graphicData>
            </a:graphic>
          </wp:inline>
        </w:drawing>
      </w:r>
    </w:p>
    <w:p w14:paraId="71607A6C" w14:textId="011E08EC" w:rsidR="00E16083" w:rsidRPr="00A33264" w:rsidRDefault="002B17B8" w:rsidP="00E16083">
      <w:pPr>
        <w:pStyle w:val="Heading3"/>
        <w:rPr>
          <w:lang w:val="en-GB"/>
        </w:rPr>
      </w:pPr>
      <w:bookmarkStart w:id="47" w:name="_Toc174354181"/>
      <w:bookmarkStart w:id="48" w:name="_Toc175316885"/>
      <w:bookmarkStart w:id="49" w:name="_Toc176786376"/>
      <w:bookmarkStart w:id="50" w:name="_Toc180505658"/>
      <w:r w:rsidRPr="00A33264">
        <w:rPr>
          <w:lang w:val="en-GB"/>
        </w:rPr>
        <w:t>Our</w:t>
      </w:r>
      <w:r w:rsidR="00AD517E" w:rsidRPr="00A33264">
        <w:rPr>
          <w:lang w:val="en-GB"/>
        </w:rPr>
        <w:t xml:space="preserve"> o</w:t>
      </w:r>
      <w:r w:rsidR="00E16083" w:rsidRPr="00A33264">
        <w:rPr>
          <w:lang w:val="en-GB"/>
        </w:rPr>
        <w:t>utcome</w:t>
      </w:r>
      <w:bookmarkEnd w:id="47"/>
      <w:bookmarkEnd w:id="48"/>
      <w:bookmarkEnd w:id="49"/>
      <w:bookmarkEnd w:id="50"/>
    </w:p>
    <w:p w14:paraId="10219DD2" w14:textId="47C24F0D" w:rsidR="00E16083" w:rsidRPr="00A33264" w:rsidRDefault="00C85E29" w:rsidP="00E16083">
      <w:pPr>
        <w:pStyle w:val="NormalWeb"/>
        <w:shd w:val="clear" w:color="auto" w:fill="FFFFFF"/>
        <w:spacing w:before="0" w:beforeAutospacing="0" w:after="200" w:afterAutospacing="0" w:line="288" w:lineRule="auto"/>
        <w:rPr>
          <w:rFonts w:asciiTheme="minorHAnsi" w:hAnsiTheme="minorHAnsi" w:cstheme="minorHAnsi"/>
          <w:color w:val="000000" w:themeColor="accent6"/>
          <w:lang w:val="en-GB"/>
        </w:rPr>
      </w:pPr>
      <w:r>
        <w:rPr>
          <w:rFonts w:asciiTheme="minorHAnsi" w:hAnsiTheme="minorHAnsi" w:cstheme="minorHAnsi"/>
          <w:color w:val="000000" w:themeColor="accent6"/>
          <w:lang w:val="en-GB"/>
        </w:rPr>
        <w:t xml:space="preserve">As outlined in the </w:t>
      </w:r>
      <w:r w:rsidR="002A5677">
        <w:rPr>
          <w:rFonts w:asciiTheme="minorHAnsi" w:hAnsiTheme="minorHAnsi" w:cstheme="minorHAnsi"/>
          <w:color w:val="000000" w:themeColor="accent6"/>
          <w:lang w:val="en-GB"/>
        </w:rPr>
        <w:t xml:space="preserve">NDIA </w:t>
      </w:r>
      <w:r>
        <w:rPr>
          <w:rFonts w:asciiTheme="minorHAnsi" w:hAnsiTheme="minorHAnsi" w:cstheme="minorHAnsi"/>
          <w:color w:val="000000" w:themeColor="accent6"/>
          <w:lang w:val="en-GB"/>
        </w:rPr>
        <w:t>Corporate Plan</w:t>
      </w:r>
      <w:r w:rsidR="002A5677">
        <w:rPr>
          <w:rFonts w:asciiTheme="minorHAnsi" w:hAnsiTheme="minorHAnsi" w:cstheme="minorHAnsi"/>
          <w:color w:val="000000" w:themeColor="accent6"/>
          <w:lang w:val="en-GB"/>
        </w:rPr>
        <w:t xml:space="preserve"> 2023</w:t>
      </w:r>
      <w:r w:rsidR="00D05B22">
        <w:rPr>
          <w:rFonts w:asciiTheme="minorHAnsi" w:eastAsia="Symbol" w:hAnsiTheme="minorHAnsi" w:cstheme="minorHAnsi"/>
          <w:color w:val="000000" w:themeColor="accent6"/>
          <w:lang w:val="en-GB"/>
        </w:rPr>
        <w:sym w:font="Symbol" w:char="F02D"/>
      </w:r>
      <w:r w:rsidR="00D05B22">
        <w:rPr>
          <w:rFonts w:asciiTheme="minorHAnsi" w:hAnsiTheme="minorHAnsi" w:cstheme="minorHAnsi"/>
          <w:color w:val="000000" w:themeColor="accent6"/>
          <w:lang w:val="en-GB"/>
        </w:rPr>
        <w:t xml:space="preserve">2027, </w:t>
      </w:r>
      <w:r>
        <w:rPr>
          <w:rFonts w:asciiTheme="minorHAnsi" w:hAnsiTheme="minorHAnsi" w:cstheme="minorHAnsi"/>
          <w:color w:val="000000" w:themeColor="accent6"/>
          <w:lang w:val="en-GB"/>
        </w:rPr>
        <w:t>t</w:t>
      </w:r>
      <w:r w:rsidRPr="00F86FC3">
        <w:rPr>
          <w:rFonts w:asciiTheme="minorHAnsi" w:hAnsiTheme="minorHAnsi"/>
          <w:color w:val="000000" w:themeColor="accent6"/>
        </w:rPr>
        <w:t xml:space="preserve">he </w:t>
      </w:r>
      <w:r>
        <w:rPr>
          <w:rFonts w:asciiTheme="minorHAnsi" w:hAnsiTheme="minorHAnsi" w:cstheme="minorHAnsi"/>
          <w:color w:val="000000" w:themeColor="accent6"/>
        </w:rPr>
        <w:t>NDIA</w:t>
      </w:r>
      <w:r w:rsidRPr="00C85E29">
        <w:rPr>
          <w:rFonts w:asciiTheme="minorHAnsi" w:hAnsiTheme="minorHAnsi" w:cstheme="minorHAnsi"/>
          <w:color w:val="000000" w:themeColor="accent6"/>
        </w:rPr>
        <w:t>’s</w:t>
      </w:r>
      <w:r w:rsidRPr="00F86FC3">
        <w:rPr>
          <w:rFonts w:asciiTheme="minorHAnsi" w:hAnsiTheme="minorHAnsi"/>
          <w:color w:val="000000" w:themeColor="accent6"/>
        </w:rPr>
        <w:t xml:space="preserve"> outcome </w:t>
      </w:r>
      <w:r w:rsidRPr="00C85E29">
        <w:rPr>
          <w:rFonts w:asciiTheme="minorHAnsi" w:hAnsiTheme="minorHAnsi" w:cstheme="minorHAnsi"/>
          <w:color w:val="000000" w:themeColor="accent6"/>
        </w:rPr>
        <w:t>is to implement</w:t>
      </w:r>
      <w:r w:rsidRPr="00F86FC3">
        <w:rPr>
          <w:rFonts w:asciiTheme="minorHAnsi" w:hAnsiTheme="minorHAnsi"/>
          <w:color w:val="000000" w:themeColor="accent6"/>
        </w:rPr>
        <w:t xml:space="preserve"> a</w:t>
      </w:r>
      <w:r w:rsidR="002A5677">
        <w:rPr>
          <w:rFonts w:asciiTheme="minorHAnsi" w:hAnsiTheme="minorHAnsi"/>
          <w:color w:val="000000" w:themeColor="accent6"/>
        </w:rPr>
        <w:t>n NDIS</w:t>
      </w:r>
      <w:r w:rsidRPr="00F86FC3">
        <w:rPr>
          <w:rFonts w:asciiTheme="minorHAnsi" w:hAnsiTheme="minorHAnsi"/>
          <w:color w:val="000000" w:themeColor="accent6"/>
        </w:rPr>
        <w:t xml:space="preserve">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14:paraId="73C1519C" w14:textId="737A0FBA" w:rsidR="00E16083" w:rsidRPr="00A33264" w:rsidRDefault="00E16083" w:rsidP="00E16083">
      <w:pPr>
        <w:pStyle w:val="Heading3"/>
        <w:rPr>
          <w:lang w:val="en-GB"/>
        </w:rPr>
      </w:pPr>
      <w:bookmarkStart w:id="51" w:name="_Toc174354182"/>
      <w:bookmarkStart w:id="52" w:name="_Toc175316886"/>
      <w:bookmarkStart w:id="53" w:name="_Toc176786377"/>
      <w:bookmarkStart w:id="54" w:name="_Toc180505659"/>
      <w:r w:rsidRPr="00A33264">
        <w:rPr>
          <w:lang w:val="en-GB"/>
        </w:rPr>
        <w:t xml:space="preserve">Our </w:t>
      </w:r>
      <w:bookmarkEnd w:id="51"/>
      <w:r w:rsidR="00AD517E" w:rsidRPr="00A33264">
        <w:rPr>
          <w:lang w:val="en-GB"/>
        </w:rPr>
        <w:t>programs</w:t>
      </w:r>
      <w:bookmarkEnd w:id="52"/>
      <w:bookmarkEnd w:id="53"/>
      <w:bookmarkEnd w:id="54"/>
    </w:p>
    <w:p w14:paraId="3CA69DF3" w14:textId="385BF9DA" w:rsidR="005B7ABE" w:rsidRPr="00A33264" w:rsidRDefault="006526AA" w:rsidP="00A9438A">
      <w:pPr>
        <w:rPr>
          <w:lang w:val="en-GB"/>
        </w:rPr>
      </w:pPr>
      <w:r w:rsidRPr="00A33264">
        <w:rPr>
          <w:lang w:val="en-GB"/>
        </w:rPr>
        <w:t>The NDIA deliver</w:t>
      </w:r>
      <w:r w:rsidR="00905671">
        <w:rPr>
          <w:lang w:val="en-GB"/>
        </w:rPr>
        <w:t>s</w:t>
      </w:r>
      <w:r w:rsidRPr="00A33264">
        <w:rPr>
          <w:lang w:val="en-GB"/>
        </w:rPr>
        <w:t xml:space="preserve"> </w:t>
      </w:r>
      <w:r w:rsidR="00F742F9">
        <w:rPr>
          <w:lang w:val="en-GB"/>
        </w:rPr>
        <w:t>2</w:t>
      </w:r>
      <w:r w:rsidR="00F742F9" w:rsidRPr="00A33264">
        <w:rPr>
          <w:lang w:val="en-GB"/>
        </w:rPr>
        <w:t xml:space="preserve"> </w:t>
      </w:r>
      <w:r w:rsidRPr="00A33264">
        <w:rPr>
          <w:lang w:val="en-GB"/>
        </w:rPr>
        <w:t xml:space="preserve">programs that achieve the </w:t>
      </w:r>
      <w:r w:rsidR="00F742F9">
        <w:rPr>
          <w:lang w:val="en-GB"/>
        </w:rPr>
        <w:t>NDIA</w:t>
      </w:r>
      <w:r w:rsidR="00F742F9" w:rsidRPr="00A33264">
        <w:rPr>
          <w:lang w:val="en-GB"/>
        </w:rPr>
        <w:t xml:space="preserve">’s </w:t>
      </w:r>
      <w:r w:rsidRPr="00A33264">
        <w:rPr>
          <w:lang w:val="en-GB"/>
        </w:rPr>
        <w:t>outcome.</w:t>
      </w:r>
    </w:p>
    <w:p w14:paraId="7F43A10A" w14:textId="6DB9FB9F" w:rsidR="00E16083" w:rsidRPr="00A33264" w:rsidRDefault="00AD517E" w:rsidP="00763AF2">
      <w:pPr>
        <w:rPr>
          <w:b/>
          <w:bCs/>
          <w:lang w:val="en-GB"/>
        </w:rPr>
      </w:pPr>
      <w:r w:rsidRPr="00A33264">
        <w:rPr>
          <w:b/>
          <w:bCs/>
          <w:lang w:val="en-GB"/>
        </w:rPr>
        <w:lastRenderedPageBreak/>
        <w:t>Pr</w:t>
      </w:r>
      <w:r w:rsidR="00E16083" w:rsidRPr="00A33264">
        <w:rPr>
          <w:b/>
          <w:bCs/>
          <w:lang w:val="en-GB"/>
        </w:rPr>
        <w:t xml:space="preserve">ogram 1.1 Reasonable and </w:t>
      </w:r>
      <w:r w:rsidR="002A5677">
        <w:rPr>
          <w:b/>
          <w:bCs/>
          <w:lang w:val="en-GB"/>
        </w:rPr>
        <w:t>n</w:t>
      </w:r>
      <w:r w:rsidR="00E16083" w:rsidRPr="00A33264">
        <w:rPr>
          <w:b/>
          <w:bCs/>
          <w:lang w:val="en-GB"/>
        </w:rPr>
        <w:t xml:space="preserve">ecessary </w:t>
      </w:r>
      <w:r w:rsidR="002A5677">
        <w:rPr>
          <w:b/>
          <w:bCs/>
          <w:lang w:val="en-GB"/>
        </w:rPr>
        <w:t>s</w:t>
      </w:r>
      <w:r w:rsidR="00E16083" w:rsidRPr="00A33264">
        <w:rPr>
          <w:b/>
          <w:bCs/>
          <w:lang w:val="en-GB"/>
        </w:rPr>
        <w:t xml:space="preserve">upports for </w:t>
      </w:r>
      <w:r w:rsidR="002A5677">
        <w:rPr>
          <w:b/>
          <w:bCs/>
          <w:lang w:val="en-GB"/>
        </w:rPr>
        <w:t>p</w:t>
      </w:r>
      <w:r w:rsidR="00E16083" w:rsidRPr="00A33264">
        <w:rPr>
          <w:b/>
          <w:bCs/>
          <w:lang w:val="en-GB"/>
        </w:rPr>
        <w:t>articipants</w:t>
      </w:r>
    </w:p>
    <w:p w14:paraId="6086005B" w14:textId="65E65C94" w:rsidR="00E16083" w:rsidRPr="00A33264" w:rsidRDefault="002A5677" w:rsidP="00E16083">
      <w:pPr>
        <w:pStyle w:val="NormalWeb"/>
        <w:shd w:val="clear" w:color="auto" w:fill="FFFFFF"/>
        <w:spacing w:before="0" w:beforeAutospacing="0" w:after="200" w:afterAutospacing="0" w:line="288" w:lineRule="auto"/>
        <w:rPr>
          <w:rFonts w:asciiTheme="minorHAnsi" w:hAnsiTheme="minorHAnsi" w:cstheme="minorHAnsi"/>
          <w:color w:val="000000" w:themeColor="accent6"/>
          <w:lang w:val="en-GB"/>
        </w:rPr>
      </w:pPr>
      <w:r>
        <w:rPr>
          <w:rFonts w:asciiTheme="minorHAnsi" w:hAnsiTheme="minorHAnsi" w:cstheme="minorHAnsi"/>
          <w:color w:val="000000" w:themeColor="accent6"/>
          <w:lang w:val="en-GB"/>
        </w:rPr>
        <w:t>P</w:t>
      </w:r>
      <w:r w:rsidR="00E16083" w:rsidRPr="00A33264">
        <w:rPr>
          <w:rFonts w:asciiTheme="minorHAnsi" w:hAnsiTheme="minorHAnsi" w:cstheme="minorHAnsi"/>
          <w:color w:val="000000" w:themeColor="accent6"/>
          <w:lang w:val="en-GB"/>
        </w:rPr>
        <w:t xml:space="preserve">rogram </w:t>
      </w:r>
      <w:r>
        <w:rPr>
          <w:rFonts w:asciiTheme="minorHAnsi" w:hAnsiTheme="minorHAnsi" w:cstheme="minorHAnsi"/>
          <w:color w:val="000000" w:themeColor="accent6"/>
          <w:lang w:val="en-GB"/>
        </w:rPr>
        <w:t xml:space="preserve">1.1 </w:t>
      </w:r>
      <w:r w:rsidR="00E16083" w:rsidRPr="00A33264">
        <w:rPr>
          <w:rFonts w:asciiTheme="minorHAnsi" w:hAnsiTheme="minorHAnsi" w:cstheme="minorHAnsi"/>
          <w:color w:val="000000" w:themeColor="accent6"/>
          <w:lang w:val="en-GB"/>
        </w:rPr>
        <w:t>provide</w:t>
      </w:r>
      <w:r w:rsidR="006526AA" w:rsidRPr="00A33264">
        <w:rPr>
          <w:rFonts w:asciiTheme="minorHAnsi" w:hAnsiTheme="minorHAnsi" w:cstheme="minorHAnsi"/>
          <w:color w:val="000000" w:themeColor="accent6"/>
          <w:lang w:val="en-GB"/>
        </w:rPr>
        <w:t>s</w:t>
      </w:r>
      <w:r w:rsidR="00E16083" w:rsidRPr="00A33264">
        <w:rPr>
          <w:rFonts w:asciiTheme="minorHAnsi" w:hAnsiTheme="minorHAnsi" w:cstheme="minorHAnsi"/>
          <w:color w:val="000000" w:themeColor="accent6"/>
          <w:lang w:val="en-GB"/>
        </w:rPr>
        <w:t xml:space="preserve"> funding for reasonable and necessary supports to eligible people with disability through consistent, high-quality plans</w:t>
      </w:r>
      <w:r w:rsidR="005D5631">
        <w:rPr>
          <w:rFonts w:asciiTheme="minorHAnsi" w:hAnsiTheme="minorHAnsi" w:cstheme="minorHAnsi"/>
          <w:color w:val="000000" w:themeColor="accent6"/>
          <w:lang w:val="en-GB"/>
        </w:rPr>
        <w:t>,</w:t>
      </w:r>
      <w:r w:rsidR="00D114BE">
        <w:rPr>
          <w:rFonts w:asciiTheme="minorHAnsi" w:hAnsiTheme="minorHAnsi" w:cstheme="minorHAnsi"/>
          <w:color w:val="000000" w:themeColor="accent6"/>
          <w:lang w:val="en-GB"/>
        </w:rPr>
        <w:t xml:space="preserve"> and to ensure they are in control and have choices to appropriately support their independence and social and economic participation.</w:t>
      </w:r>
      <w:r>
        <w:rPr>
          <w:rFonts w:asciiTheme="minorHAnsi" w:hAnsiTheme="minorHAnsi" w:cstheme="minorHAnsi"/>
          <w:color w:val="000000" w:themeColor="accent6"/>
          <w:lang w:val="en-GB"/>
        </w:rPr>
        <w:t xml:space="preserve"> </w:t>
      </w:r>
      <w:r w:rsidR="00E16083" w:rsidRPr="00A33264">
        <w:rPr>
          <w:rFonts w:asciiTheme="minorHAnsi" w:hAnsiTheme="minorHAnsi" w:cstheme="minorHAnsi"/>
          <w:color w:val="000000" w:themeColor="accent6"/>
          <w:lang w:val="en-GB"/>
        </w:rPr>
        <w:t>This program contributes to the</w:t>
      </w:r>
      <w:r w:rsidR="006526AA" w:rsidRPr="00A33264">
        <w:rPr>
          <w:rFonts w:asciiTheme="minorHAnsi" w:hAnsiTheme="minorHAnsi" w:cstheme="minorHAnsi"/>
          <w:color w:val="000000" w:themeColor="accent6"/>
          <w:lang w:val="en-GB"/>
        </w:rPr>
        <w:t xml:space="preserve"> </w:t>
      </w:r>
      <w:r w:rsidR="00E16083" w:rsidRPr="00A33264">
        <w:rPr>
          <w:rFonts w:asciiTheme="minorHAnsi" w:hAnsiTheme="minorHAnsi" w:cstheme="minorHAnsi"/>
          <w:color w:val="000000" w:themeColor="accent6"/>
          <w:lang w:val="en-GB"/>
        </w:rPr>
        <w:t xml:space="preserve">outcome by </w:t>
      </w:r>
      <w:r w:rsidR="00CE35DE">
        <w:rPr>
          <w:rFonts w:asciiTheme="minorHAnsi" w:hAnsiTheme="minorHAnsi" w:cstheme="minorHAnsi"/>
          <w:color w:val="000000" w:themeColor="accent6"/>
          <w:lang w:val="en-GB"/>
        </w:rPr>
        <w:t xml:space="preserve">the </w:t>
      </w:r>
      <w:r>
        <w:rPr>
          <w:rFonts w:asciiTheme="minorHAnsi" w:hAnsiTheme="minorHAnsi" w:cstheme="minorHAnsi"/>
          <w:color w:val="000000" w:themeColor="accent6"/>
          <w:lang w:val="en-GB"/>
        </w:rPr>
        <w:t>deliver</w:t>
      </w:r>
      <w:r w:rsidR="00CE35DE">
        <w:rPr>
          <w:rFonts w:asciiTheme="minorHAnsi" w:hAnsiTheme="minorHAnsi" w:cstheme="minorHAnsi"/>
          <w:color w:val="000000" w:themeColor="accent6"/>
          <w:lang w:val="en-GB"/>
        </w:rPr>
        <w:t>y of</w:t>
      </w:r>
      <w:r w:rsidR="00E16083" w:rsidRPr="00A33264">
        <w:rPr>
          <w:rFonts w:asciiTheme="minorHAnsi" w:hAnsiTheme="minorHAnsi" w:cstheme="minorHAnsi"/>
          <w:color w:val="000000" w:themeColor="accent6"/>
          <w:lang w:val="en-GB"/>
        </w:rPr>
        <w:t xml:space="preserve"> financially sustainable funding for participants’ reasonable supports, enabling participants to source services in their plans to pursue their goals.</w:t>
      </w:r>
    </w:p>
    <w:p w14:paraId="0FC8897D" w14:textId="0ADF2F4D" w:rsidR="00E16083" w:rsidRPr="00A33264" w:rsidRDefault="00AD517E" w:rsidP="00763AF2">
      <w:pPr>
        <w:rPr>
          <w:b/>
          <w:bCs/>
          <w:lang w:val="en-GB"/>
        </w:rPr>
      </w:pPr>
      <w:r w:rsidRPr="00A33264">
        <w:rPr>
          <w:b/>
          <w:bCs/>
          <w:lang w:val="en-GB"/>
        </w:rPr>
        <w:t>P</w:t>
      </w:r>
      <w:r w:rsidR="00E16083" w:rsidRPr="00A33264">
        <w:rPr>
          <w:b/>
          <w:bCs/>
          <w:lang w:val="en-GB"/>
        </w:rPr>
        <w:t xml:space="preserve">rogram 1.2 Agency </w:t>
      </w:r>
      <w:r w:rsidR="002A5677">
        <w:rPr>
          <w:b/>
          <w:bCs/>
          <w:lang w:val="en-GB"/>
        </w:rPr>
        <w:t>c</w:t>
      </w:r>
      <w:r w:rsidR="00E16083" w:rsidRPr="00A33264">
        <w:rPr>
          <w:b/>
          <w:bCs/>
          <w:lang w:val="en-GB"/>
        </w:rPr>
        <w:t>osts</w:t>
      </w:r>
    </w:p>
    <w:p w14:paraId="1B4F3F81" w14:textId="332CD29C" w:rsidR="00E16083" w:rsidRDefault="002A5677" w:rsidP="00E16083">
      <w:pPr>
        <w:pStyle w:val="NormalWeb"/>
        <w:shd w:val="clear" w:color="auto" w:fill="FFFFFF"/>
        <w:spacing w:before="0" w:beforeAutospacing="0" w:after="200" w:afterAutospacing="0" w:line="288" w:lineRule="auto"/>
        <w:rPr>
          <w:rFonts w:asciiTheme="minorHAnsi" w:hAnsiTheme="minorHAnsi" w:cstheme="minorHAnsi"/>
          <w:color w:val="000000" w:themeColor="accent6"/>
          <w:lang w:val="en-GB"/>
        </w:rPr>
      </w:pPr>
      <w:r>
        <w:rPr>
          <w:rFonts w:asciiTheme="minorHAnsi" w:hAnsiTheme="minorHAnsi" w:cstheme="minorHAnsi"/>
          <w:color w:val="000000" w:themeColor="accent6"/>
          <w:lang w:val="en-GB"/>
        </w:rPr>
        <w:t>P</w:t>
      </w:r>
      <w:r w:rsidR="00E16083" w:rsidRPr="00A33264">
        <w:rPr>
          <w:rFonts w:asciiTheme="minorHAnsi" w:hAnsiTheme="minorHAnsi" w:cstheme="minorHAnsi"/>
          <w:color w:val="000000" w:themeColor="accent6"/>
          <w:lang w:val="en-GB"/>
        </w:rPr>
        <w:t>rogram</w:t>
      </w:r>
      <w:r>
        <w:rPr>
          <w:rFonts w:asciiTheme="minorHAnsi" w:hAnsiTheme="minorHAnsi" w:cstheme="minorHAnsi"/>
          <w:color w:val="000000" w:themeColor="accent6"/>
          <w:lang w:val="en-GB"/>
        </w:rPr>
        <w:t xml:space="preserve"> 1.2</w:t>
      </w:r>
      <w:r w:rsidR="00E16083" w:rsidRPr="00A33264">
        <w:rPr>
          <w:rFonts w:asciiTheme="minorHAnsi" w:hAnsiTheme="minorHAnsi" w:cstheme="minorHAnsi"/>
          <w:color w:val="000000" w:themeColor="accent6"/>
          <w:lang w:val="en-GB"/>
        </w:rPr>
        <w:t xml:space="preserve"> ensures efficient and effective use of NDIA operating resources to </w:t>
      </w:r>
      <w:r w:rsidR="00216313">
        <w:rPr>
          <w:rFonts w:asciiTheme="minorHAnsi" w:hAnsiTheme="minorHAnsi" w:cstheme="minorHAnsi"/>
          <w:color w:val="000000" w:themeColor="accent6"/>
          <w:lang w:val="en-GB"/>
        </w:rPr>
        <w:t>implement</w:t>
      </w:r>
      <w:r w:rsidR="00A50D1B" w:rsidRPr="00A33264">
        <w:rPr>
          <w:rFonts w:asciiTheme="minorHAnsi" w:hAnsiTheme="minorHAnsi" w:cstheme="minorHAnsi"/>
          <w:color w:val="000000" w:themeColor="accent6"/>
          <w:lang w:val="en-GB"/>
        </w:rPr>
        <w:t xml:space="preserve"> </w:t>
      </w:r>
      <w:r w:rsidR="00E16083" w:rsidRPr="00A33264">
        <w:rPr>
          <w:rFonts w:asciiTheme="minorHAnsi" w:hAnsiTheme="minorHAnsi" w:cstheme="minorHAnsi"/>
          <w:color w:val="000000" w:themeColor="accent6"/>
          <w:lang w:val="en-GB"/>
        </w:rPr>
        <w:t xml:space="preserve">the outcomes of the NDIA. </w:t>
      </w:r>
      <w:r w:rsidR="00A50D1B">
        <w:rPr>
          <w:rFonts w:asciiTheme="minorHAnsi" w:hAnsiTheme="minorHAnsi" w:cstheme="minorHAnsi"/>
          <w:color w:val="000000" w:themeColor="accent6"/>
          <w:lang w:val="en-GB"/>
        </w:rPr>
        <w:t>It</w:t>
      </w:r>
      <w:r w:rsidR="00E16083" w:rsidRPr="00A33264">
        <w:rPr>
          <w:rFonts w:asciiTheme="minorHAnsi" w:hAnsiTheme="minorHAnsi" w:cstheme="minorHAnsi"/>
          <w:color w:val="000000" w:themeColor="accent6"/>
          <w:lang w:val="en-GB"/>
        </w:rPr>
        <w:t xml:space="preserve"> contributes to the </w:t>
      </w:r>
      <w:r w:rsidR="00E86C7D" w:rsidRPr="00A33264">
        <w:rPr>
          <w:rFonts w:asciiTheme="minorHAnsi" w:hAnsiTheme="minorHAnsi" w:cstheme="minorHAnsi"/>
          <w:color w:val="000000" w:themeColor="accent6"/>
          <w:lang w:val="en-GB"/>
        </w:rPr>
        <w:t xml:space="preserve">NDIA’s </w:t>
      </w:r>
      <w:r w:rsidR="00E16083" w:rsidRPr="00A33264">
        <w:rPr>
          <w:rFonts w:asciiTheme="minorHAnsi" w:hAnsiTheme="minorHAnsi" w:cstheme="minorHAnsi"/>
          <w:color w:val="000000" w:themeColor="accent6"/>
          <w:lang w:val="en-GB"/>
        </w:rPr>
        <w:t xml:space="preserve">outcome because it enables the delivery of the </w:t>
      </w:r>
      <w:r w:rsidR="001708A8">
        <w:rPr>
          <w:rFonts w:asciiTheme="minorHAnsi" w:hAnsiTheme="minorHAnsi" w:cstheme="minorHAnsi"/>
          <w:color w:val="000000" w:themeColor="accent6"/>
          <w:lang w:val="en-GB"/>
        </w:rPr>
        <w:t>NDIS</w:t>
      </w:r>
      <w:r w:rsidR="00E16083" w:rsidRPr="00A33264">
        <w:rPr>
          <w:rFonts w:asciiTheme="minorHAnsi" w:hAnsiTheme="minorHAnsi" w:cstheme="minorHAnsi"/>
          <w:color w:val="000000" w:themeColor="accent6"/>
          <w:lang w:val="en-GB"/>
        </w:rPr>
        <w:t xml:space="preserve">. The </w:t>
      </w:r>
      <w:r w:rsidR="00E86C7D" w:rsidRPr="00A33264">
        <w:rPr>
          <w:rFonts w:asciiTheme="minorHAnsi" w:hAnsiTheme="minorHAnsi" w:cstheme="minorHAnsi"/>
          <w:color w:val="000000" w:themeColor="accent6"/>
          <w:lang w:val="en-GB"/>
        </w:rPr>
        <w:t xml:space="preserve">NDIA </w:t>
      </w:r>
      <w:r w:rsidR="00E16083" w:rsidRPr="00A33264">
        <w:rPr>
          <w:rFonts w:asciiTheme="minorHAnsi" w:hAnsiTheme="minorHAnsi" w:cstheme="minorHAnsi"/>
          <w:color w:val="000000" w:themeColor="accent6"/>
          <w:lang w:val="en-GB"/>
        </w:rPr>
        <w:t xml:space="preserve">is responsible for assessing applicants to the </w:t>
      </w:r>
      <w:r w:rsidR="001708A8">
        <w:rPr>
          <w:rFonts w:asciiTheme="minorHAnsi" w:hAnsiTheme="minorHAnsi" w:cstheme="minorHAnsi"/>
          <w:color w:val="000000" w:themeColor="accent6"/>
          <w:lang w:val="en-GB"/>
        </w:rPr>
        <w:t>NDIS</w:t>
      </w:r>
      <w:r w:rsidR="00A50D1B">
        <w:rPr>
          <w:rFonts w:asciiTheme="minorHAnsi" w:hAnsiTheme="minorHAnsi" w:cstheme="minorHAnsi"/>
          <w:color w:val="000000" w:themeColor="accent6"/>
          <w:lang w:val="en-GB"/>
        </w:rPr>
        <w:t>;</w:t>
      </w:r>
      <w:r w:rsidR="00E16083" w:rsidRPr="00A33264">
        <w:rPr>
          <w:rFonts w:asciiTheme="minorHAnsi" w:hAnsiTheme="minorHAnsi" w:cstheme="minorHAnsi"/>
          <w:color w:val="000000" w:themeColor="accent6"/>
          <w:lang w:val="en-GB"/>
        </w:rPr>
        <w:t xml:space="preserve"> developing plans, for those who are eligible, in a manner that is based on insurance principles</w:t>
      </w:r>
      <w:r w:rsidR="00A50D1B">
        <w:rPr>
          <w:rFonts w:asciiTheme="minorHAnsi" w:hAnsiTheme="minorHAnsi" w:cstheme="minorHAnsi"/>
          <w:color w:val="000000" w:themeColor="accent6"/>
          <w:lang w:val="en-GB"/>
        </w:rPr>
        <w:t>;</w:t>
      </w:r>
      <w:r w:rsidR="00E16083" w:rsidRPr="00A33264">
        <w:rPr>
          <w:rFonts w:asciiTheme="minorHAnsi" w:hAnsiTheme="minorHAnsi" w:cstheme="minorHAnsi"/>
          <w:color w:val="000000" w:themeColor="accent6"/>
          <w:lang w:val="en-GB"/>
        </w:rPr>
        <w:t xml:space="preserve"> and administering the payments made under Program 1.1.</w:t>
      </w:r>
    </w:p>
    <w:p w14:paraId="781143A9" w14:textId="77777777" w:rsidR="00574B05" w:rsidRPr="00A33264" w:rsidRDefault="00574B05" w:rsidP="00574B05">
      <w:pPr>
        <w:pStyle w:val="Heading3"/>
        <w:rPr>
          <w:lang w:val="en-GB"/>
        </w:rPr>
      </w:pPr>
      <w:bookmarkStart w:id="55" w:name="_Toc176786378"/>
      <w:bookmarkStart w:id="56" w:name="_Toc180505660"/>
      <w:r w:rsidRPr="00A33264">
        <w:rPr>
          <w:lang w:val="en-GB"/>
        </w:rPr>
        <w:t>Context for this report</w:t>
      </w:r>
      <w:bookmarkEnd w:id="55"/>
      <w:bookmarkEnd w:id="56"/>
    </w:p>
    <w:p w14:paraId="495DB0E4" w14:textId="2C49C2F9" w:rsidR="00574B05" w:rsidRPr="00A33264" w:rsidRDefault="00905671" w:rsidP="00574B05">
      <w:pPr>
        <w:rPr>
          <w:lang w:val="en-GB"/>
        </w:rPr>
      </w:pPr>
      <w:r>
        <w:rPr>
          <w:lang w:val="en-GB"/>
        </w:rPr>
        <w:t>T</w:t>
      </w:r>
      <w:r w:rsidR="00574B05" w:rsidRPr="00A33264">
        <w:rPr>
          <w:lang w:val="en-GB"/>
        </w:rPr>
        <w:t>he NDIA is subject to the Commonwealth Performance Framework. This annual report is a key element of the framework. The annual report incorporates the NDIA’s performance statements and audited financial statements, which report respectively on our non-financial and financial results. Under the framework, the NDIA also publishes an annual corporate plan, which is our primary non-financial planning document.</w:t>
      </w:r>
    </w:p>
    <w:p w14:paraId="4EDE5763" w14:textId="24C98E1F" w:rsidR="00574B05" w:rsidRPr="00A33264" w:rsidRDefault="00574B05" w:rsidP="00574B05">
      <w:pPr>
        <w:rPr>
          <w:lang w:val="en-GB"/>
        </w:rPr>
      </w:pPr>
      <w:r w:rsidRPr="00A33264">
        <w:rPr>
          <w:lang w:val="en-GB"/>
        </w:rPr>
        <w:t xml:space="preserve">The NDIA also provides detailed quarterly reports to the Disability Reform Ministerial Council (Ministerial Council) that outline NDIS performance as required under the NDIS Act. All </w:t>
      </w:r>
      <w:r w:rsidR="00F742F9">
        <w:rPr>
          <w:lang w:val="en-GB"/>
        </w:rPr>
        <w:t xml:space="preserve">of these </w:t>
      </w:r>
      <w:r w:rsidRPr="00A33264">
        <w:rPr>
          <w:lang w:val="en-GB"/>
        </w:rPr>
        <w:t xml:space="preserve">reports are available on the NDIS website. </w:t>
      </w:r>
    </w:p>
    <w:p w14:paraId="076AA17D" w14:textId="77777777" w:rsidR="00CD66A8" w:rsidRPr="00A33264" w:rsidRDefault="00CD66A8" w:rsidP="005921BC">
      <w:pPr>
        <w:pStyle w:val="Heading2"/>
        <w:rPr>
          <w:lang w:val="en-GB"/>
        </w:rPr>
        <w:sectPr w:rsidR="00CD66A8" w:rsidRPr="00A33264" w:rsidSect="00F67217">
          <w:headerReference w:type="default" r:id="rId19"/>
          <w:footerReference w:type="default" r:id="rId20"/>
          <w:headerReference w:type="first" r:id="rId21"/>
          <w:footerReference w:type="first" r:id="rId22"/>
          <w:pgSz w:w="11906" w:h="16838" w:code="9"/>
          <w:pgMar w:top="1361" w:right="1361" w:bottom="1361" w:left="1361" w:header="561" w:footer="374" w:gutter="0"/>
          <w:cols w:space="708"/>
          <w:titlePg/>
          <w:docGrid w:linePitch="360"/>
        </w:sectPr>
      </w:pPr>
      <w:bookmarkStart w:id="57" w:name="_Toc169592959"/>
      <w:bookmarkStart w:id="58" w:name="_Toc174354184"/>
      <w:bookmarkStart w:id="59" w:name="_Toc174354229"/>
    </w:p>
    <w:p w14:paraId="1AB0F6A1" w14:textId="6F94FF85" w:rsidR="000D3DCF" w:rsidRPr="00BB40DF" w:rsidRDefault="000D3DCF" w:rsidP="00BB40DF">
      <w:pPr>
        <w:pStyle w:val="Heading2"/>
      </w:pPr>
      <w:bookmarkStart w:id="60" w:name="_Toc175316887"/>
      <w:bookmarkStart w:id="61" w:name="_Toc176786379"/>
      <w:bookmarkStart w:id="62" w:name="_Toc176849739"/>
      <w:bookmarkStart w:id="63" w:name="_Toc180505661"/>
      <w:bookmarkStart w:id="64" w:name="_Toc169592963"/>
      <w:bookmarkStart w:id="65" w:name="_Toc174354188"/>
      <w:bookmarkStart w:id="66" w:name="_Toc174354230"/>
      <w:bookmarkEnd w:id="57"/>
      <w:bookmarkEnd w:id="58"/>
      <w:bookmarkEnd w:id="59"/>
      <w:r w:rsidRPr="00BB40DF">
        <w:lastRenderedPageBreak/>
        <w:t>NDIA annual performance statements</w:t>
      </w:r>
      <w:bookmarkEnd w:id="60"/>
      <w:bookmarkEnd w:id="61"/>
      <w:bookmarkEnd w:id="62"/>
      <w:bookmarkEnd w:id="63"/>
    </w:p>
    <w:p w14:paraId="11F2490C" w14:textId="77777777" w:rsidR="000D3DCF" w:rsidRPr="00BB40DF" w:rsidRDefault="000D3DCF" w:rsidP="00BB40DF">
      <w:pPr>
        <w:pStyle w:val="Heading3"/>
      </w:pPr>
      <w:bookmarkStart w:id="67" w:name="_Toc176786380"/>
      <w:bookmarkStart w:id="68" w:name="_Toc176849740"/>
      <w:bookmarkStart w:id="69" w:name="_Toc180505662"/>
      <w:r w:rsidRPr="00BB40DF">
        <w:t>Statement of preparation</w:t>
      </w:r>
      <w:bookmarkEnd w:id="67"/>
      <w:bookmarkEnd w:id="68"/>
      <w:bookmarkEnd w:id="69"/>
    </w:p>
    <w:p w14:paraId="16E8FA93" w14:textId="77777777" w:rsidR="000D3DCF" w:rsidRPr="009C34F0" w:rsidRDefault="000D3DCF" w:rsidP="00AE6762">
      <w:pPr>
        <w:rPr>
          <w:lang w:val="en-GB"/>
        </w:rPr>
      </w:pPr>
      <w:r w:rsidRPr="009C34F0">
        <w:rPr>
          <w:lang w:val="en-GB"/>
        </w:rPr>
        <w:t xml:space="preserve">I, Kurt Fearnley, as the Chair of the National Disability Insurance Agency Board, the Accountable Authority of the National Disability Insurance Agency (NDIA), present the NDIA annual performance statements for 2023–24 reporting period, as required under paragraph 39(1)(a) of the </w:t>
      </w:r>
      <w:r w:rsidRPr="009C34F0">
        <w:rPr>
          <w:i/>
          <w:iCs/>
          <w:lang w:val="en-GB"/>
        </w:rPr>
        <w:t>Public Governance, Performance and Accountability Act 2013</w:t>
      </w:r>
      <w:r w:rsidRPr="009C34F0">
        <w:rPr>
          <w:lang w:val="en-GB"/>
        </w:rPr>
        <w:t xml:space="preserve"> (PGPA Act). </w:t>
      </w:r>
    </w:p>
    <w:p w14:paraId="02E18923" w14:textId="77777777" w:rsidR="000D3DCF" w:rsidRPr="009C34F0" w:rsidRDefault="000D3DCF" w:rsidP="00AE6762">
      <w:pPr>
        <w:rPr>
          <w:lang w:val="en-GB"/>
        </w:rPr>
      </w:pPr>
      <w:r w:rsidRPr="009C34F0">
        <w:rPr>
          <w:lang w:val="en-GB"/>
        </w:rPr>
        <w:t>In the opinion of the Board, these annual performance statements accurately present the performance of the NDIA in the reporting period and comply with subsection 39(2) of the PGPA Act and section 16F of the Public Governance, Performance and Accountability Rule 2014.</w:t>
      </w:r>
    </w:p>
    <w:p w14:paraId="2156ABE1" w14:textId="04AEC674" w:rsidR="000D3DCF" w:rsidRPr="009C34F0" w:rsidRDefault="00366EFA" w:rsidP="00AE6762">
      <w:pPr>
        <w:rPr>
          <w:lang w:val="en-GB"/>
        </w:rPr>
      </w:pPr>
      <w:r>
        <w:rPr>
          <w:noProof/>
        </w:rPr>
        <w:drawing>
          <wp:inline distT="0" distB="0" distL="0" distR="0" wp14:anchorId="3ED3513C" wp14:editId="44CAB2C6">
            <wp:extent cx="921715" cy="974993"/>
            <wp:effectExtent l="0" t="0" r="0" b="0"/>
            <wp:docPr id="1902349725" name="Picture 1" descr="Kurt Fearnle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49725" name="Picture 1" descr="Kurt Fearnley signature"/>
                    <pic:cNvPicPr/>
                  </pic:nvPicPr>
                  <pic:blipFill>
                    <a:blip r:embed="rId23"/>
                    <a:stretch>
                      <a:fillRect/>
                    </a:stretch>
                  </pic:blipFill>
                  <pic:spPr>
                    <a:xfrm>
                      <a:off x="0" y="0"/>
                      <a:ext cx="931267" cy="985098"/>
                    </a:xfrm>
                    <a:prstGeom prst="rect">
                      <a:avLst/>
                    </a:prstGeom>
                  </pic:spPr>
                </pic:pic>
              </a:graphicData>
            </a:graphic>
          </wp:inline>
        </w:drawing>
      </w:r>
    </w:p>
    <w:p w14:paraId="1F3030DD" w14:textId="3717E43D" w:rsidR="000D3DCF" w:rsidRPr="00247078" w:rsidRDefault="000D3DCF" w:rsidP="00247078">
      <w:r w:rsidRPr="009C34F0">
        <w:rPr>
          <w:lang w:val="en-GB"/>
        </w:rPr>
        <w:t>Chair, National Disability Insurance Agency</w:t>
      </w:r>
      <w:bookmarkStart w:id="70" w:name="_Toc169592961"/>
      <w:bookmarkStart w:id="71" w:name="_Toc174354186"/>
      <w:r>
        <w:rPr>
          <w:lang w:val="en-GB"/>
        </w:rPr>
        <w:br w:type="page"/>
      </w:r>
    </w:p>
    <w:p w14:paraId="16CF413D" w14:textId="77777777" w:rsidR="000D3DCF" w:rsidRPr="00BB40DF" w:rsidRDefault="000D3DCF" w:rsidP="00BB40DF">
      <w:pPr>
        <w:pStyle w:val="Heading3"/>
      </w:pPr>
      <w:bookmarkStart w:id="72" w:name="_Toc175316889"/>
      <w:bookmarkStart w:id="73" w:name="_Toc176786381"/>
      <w:bookmarkStart w:id="74" w:name="_Toc176849741"/>
      <w:bookmarkStart w:id="75" w:name="_Toc180505663"/>
      <w:r w:rsidRPr="00BB40DF">
        <w:lastRenderedPageBreak/>
        <w:t>Introduction</w:t>
      </w:r>
      <w:bookmarkEnd w:id="70"/>
      <w:bookmarkEnd w:id="71"/>
      <w:bookmarkEnd w:id="72"/>
      <w:bookmarkEnd w:id="73"/>
      <w:bookmarkEnd w:id="74"/>
      <w:bookmarkEnd w:id="75"/>
    </w:p>
    <w:p w14:paraId="2806886B" w14:textId="77777777" w:rsidR="000D3DCF" w:rsidRPr="00BB40DF" w:rsidRDefault="000D3DCF" w:rsidP="00BB40DF">
      <w:pPr>
        <w:pStyle w:val="Heading4"/>
      </w:pPr>
      <w:r w:rsidRPr="00BB40DF">
        <w:t>NDIA performance framework</w:t>
      </w:r>
    </w:p>
    <w:p w14:paraId="1DAC40BF" w14:textId="0DFC262D" w:rsidR="000D3DCF" w:rsidRPr="009C34F0" w:rsidRDefault="000D3DCF" w:rsidP="009B5EFC">
      <w:pPr>
        <w:rPr>
          <w:lang w:val="en-GB"/>
        </w:rPr>
      </w:pPr>
      <w:r w:rsidRPr="009C34F0">
        <w:t xml:space="preserve">The NDIA performance framework is based on the </w:t>
      </w:r>
      <w:r>
        <w:t>p</w:t>
      </w:r>
      <w:r w:rsidRPr="009C34F0">
        <w:t xml:space="preserve">lanning and </w:t>
      </w:r>
      <w:r>
        <w:t>r</w:t>
      </w:r>
      <w:r w:rsidRPr="009C34F0">
        <w:t xml:space="preserve">eporting obligations in the Commonwealth Resource Management Framework and the </w:t>
      </w:r>
      <w:r w:rsidRPr="00650775">
        <w:rPr>
          <w:i/>
          <w:iCs/>
        </w:rPr>
        <w:t>National Disability Insurance Scheme Act 2013</w:t>
      </w:r>
      <w:r>
        <w:t xml:space="preserve"> (Cth) (</w:t>
      </w:r>
      <w:r w:rsidRPr="009C34F0">
        <w:t>NDIS Act</w:t>
      </w:r>
      <w:r>
        <w:t>)</w:t>
      </w:r>
      <w:r w:rsidRPr="009C34F0">
        <w:t>. The NDIA performance framework has 4 key documents</w:t>
      </w:r>
      <w:r>
        <w:t>:</w:t>
      </w:r>
      <w:r w:rsidRPr="009C34F0">
        <w:t xml:space="preserve"> the Corporate Plan, the Portfolio Budget Statements, </w:t>
      </w:r>
      <w:r>
        <w:rPr>
          <w:rFonts w:eastAsia="DengXian"/>
        </w:rPr>
        <w:t>quarterly report</w:t>
      </w:r>
      <w:r w:rsidR="009E742A">
        <w:rPr>
          <w:rFonts w:eastAsia="DengXian"/>
        </w:rPr>
        <w:t>s</w:t>
      </w:r>
      <w:r>
        <w:rPr>
          <w:rFonts w:eastAsia="DengXian"/>
        </w:rPr>
        <w:t xml:space="preserve"> to the </w:t>
      </w:r>
      <w:r w:rsidRPr="00DB501F">
        <w:rPr>
          <w:rFonts w:eastAsia="DengXian"/>
        </w:rPr>
        <w:t>Ministerial Council</w:t>
      </w:r>
      <w:r>
        <w:rPr>
          <w:rFonts w:eastAsia="DengXian"/>
        </w:rPr>
        <w:t xml:space="preserve"> </w:t>
      </w:r>
      <w:r w:rsidRPr="009C34F0">
        <w:t xml:space="preserve">and the </w:t>
      </w:r>
      <w:r w:rsidRPr="003131F3">
        <w:rPr>
          <w:rFonts w:eastAsia="DengXian"/>
        </w:rPr>
        <w:t>Annual Report</w:t>
      </w:r>
      <w:r w:rsidRPr="009C34F0">
        <w:t xml:space="preserve"> (as outlined in Figure </w:t>
      </w:r>
      <w:r w:rsidR="00C74028">
        <w:t>1</w:t>
      </w:r>
      <w:r w:rsidRPr="009C34F0">
        <w:t xml:space="preserve">). </w:t>
      </w:r>
    </w:p>
    <w:p w14:paraId="743CAAFD" w14:textId="2596BF17" w:rsidR="000D3DCF" w:rsidRPr="009C34F0" w:rsidRDefault="000D3DCF" w:rsidP="001F5A8E">
      <w:pPr>
        <w:rPr>
          <w:u w:val="single"/>
          <w:lang w:val="en-GB"/>
        </w:rPr>
      </w:pPr>
      <w:r w:rsidRPr="009C34F0">
        <w:rPr>
          <w:u w:val="single"/>
          <w:lang w:val="en-GB"/>
        </w:rPr>
        <w:t xml:space="preserve">Figure </w:t>
      </w:r>
      <w:r w:rsidR="0035317C">
        <w:rPr>
          <w:u w:val="single"/>
          <w:lang w:val="en-GB"/>
        </w:rPr>
        <w:t>1</w:t>
      </w:r>
      <w:r w:rsidRPr="009C34F0">
        <w:rPr>
          <w:u w:val="single"/>
          <w:lang w:val="en-GB"/>
        </w:rPr>
        <w:t>: NDIA performance framework</w:t>
      </w:r>
    </w:p>
    <w:p w14:paraId="56789050" w14:textId="7712D68E" w:rsidR="000D3DCF" w:rsidRDefault="00460680" w:rsidP="003131F3">
      <w:pPr>
        <w:jc w:val="center"/>
        <w:rPr>
          <w:lang w:val="en-GB"/>
        </w:rPr>
      </w:pPr>
      <w:r>
        <w:rPr>
          <w:noProof/>
          <w:lang w:val="en-GB"/>
        </w:rPr>
        <w:drawing>
          <wp:inline distT="0" distB="0" distL="0" distR="0" wp14:anchorId="28BE09D6" wp14:editId="2A3DAB53">
            <wp:extent cx="5181600" cy="2897553"/>
            <wp:effectExtent l="0" t="0" r="0" b="0"/>
            <wp:docPr id="1065177826" name="Picture 1" descr="This figure demonstrates two phases of the framework; Planning and Reporting with activities aligned to each phase. The Planning phase includes; Portfolio Budget statements which sets out the funding for the NDIA, and the Corporate Plan which sets the strategic direction and the key activities to achieve the NDIA's purposes.&#10;The reporting phase includes Annual Report: annual performance statements, and Assess the extent to which the NDIA has achieved its purpose. The budget statements and corporate plan have arrows to the reporting content, assess the extent to which the NDIA has achieved its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77826" name="Picture 1" descr="This figure demonstrates two phases of the framework; Planning and Reporting with activities aligned to each phase. The Planning phase includes; Portfolio Budget statements which sets out the funding for the NDIA, and the Corporate Plan which sets the strategic direction and the key activities to achieve the NDIA's purposes.&#10;The reporting phase includes Annual Report: annual performance statements, and Assess the extent to which the NDIA has achieved its purpose. The budget statements and corporate plan have arrows to the reporting content, assess the extent to which the NDIA has achieved its purpose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86750" cy="2900433"/>
                    </a:xfrm>
                    <a:prstGeom prst="rect">
                      <a:avLst/>
                    </a:prstGeom>
                  </pic:spPr>
                </pic:pic>
              </a:graphicData>
            </a:graphic>
          </wp:inline>
        </w:drawing>
      </w:r>
    </w:p>
    <w:p w14:paraId="25E1F930" w14:textId="2ED930A4" w:rsidR="00211BA2" w:rsidRPr="00E90C5B" w:rsidRDefault="000E6604" w:rsidP="00D52F83">
      <w:r w:rsidRPr="00E90C5B">
        <w:t>The Australian National Audit Office (ANAO) has included the NDIA in their Performance Statement Audit program for the first time. Feedback has been reviewed and actions to address the recommendations ha</w:t>
      </w:r>
      <w:r w:rsidR="0072291B">
        <w:t>ve</w:t>
      </w:r>
      <w:r w:rsidRPr="00E90C5B">
        <w:t xml:space="preserve"> commenced.</w:t>
      </w:r>
    </w:p>
    <w:p w14:paraId="6A45362F" w14:textId="02F90282" w:rsidR="000D3DCF" w:rsidRPr="00BB40DF" w:rsidRDefault="000D3DCF" w:rsidP="00BB40DF">
      <w:pPr>
        <w:pStyle w:val="Heading4"/>
      </w:pPr>
      <w:r w:rsidRPr="00BB40DF">
        <w:t xml:space="preserve">Understanding </w:t>
      </w:r>
      <w:r w:rsidR="005F72DE">
        <w:t xml:space="preserve">the </w:t>
      </w:r>
      <w:r w:rsidRPr="00BB40DF">
        <w:t>NDIA</w:t>
      </w:r>
      <w:r w:rsidR="005F72DE">
        <w:t>’s</w:t>
      </w:r>
      <w:r w:rsidRPr="00BB40DF">
        <w:t xml:space="preserve"> performance information structure and content</w:t>
      </w:r>
    </w:p>
    <w:p w14:paraId="390E43D8" w14:textId="734D9A65" w:rsidR="00247078" w:rsidRDefault="000D3DCF" w:rsidP="00247078">
      <w:r w:rsidRPr="009C34F0">
        <w:t xml:space="preserve">The structure of the </w:t>
      </w:r>
      <w:r>
        <w:t>a</w:t>
      </w:r>
      <w:r w:rsidRPr="009C34F0">
        <w:t xml:space="preserve">nnual </w:t>
      </w:r>
      <w:r>
        <w:t>p</w:t>
      </w:r>
      <w:r w:rsidRPr="009C34F0">
        <w:t xml:space="preserve">erformance </w:t>
      </w:r>
      <w:r>
        <w:t>s</w:t>
      </w:r>
      <w:r w:rsidRPr="009C34F0">
        <w:t>tatements is consistent with the NDIA Corporate Plan 2023</w:t>
      </w:r>
      <w:r>
        <w:t>–20</w:t>
      </w:r>
      <w:r w:rsidRPr="009C34F0">
        <w:t xml:space="preserve">27 </w:t>
      </w:r>
      <w:r>
        <w:t>so that it clearly reports against</w:t>
      </w:r>
      <w:r w:rsidRPr="009C34F0">
        <w:t xml:space="preserve"> </w:t>
      </w:r>
      <w:r>
        <w:t>our</w:t>
      </w:r>
      <w:r w:rsidRPr="009C34F0">
        <w:t xml:space="preserve"> </w:t>
      </w:r>
      <w:r>
        <w:t xml:space="preserve">key </w:t>
      </w:r>
      <w:r w:rsidRPr="009C34F0">
        <w:t xml:space="preserve">activities to </w:t>
      </w:r>
      <w:r w:rsidRPr="0076354B">
        <w:t xml:space="preserve">achieve the NDIA’s purposes. The NDIA </w:t>
      </w:r>
      <w:r>
        <w:t>manages</w:t>
      </w:r>
      <w:r w:rsidRPr="0076354B">
        <w:t xml:space="preserve"> 2 </w:t>
      </w:r>
      <w:r>
        <w:t>p</w:t>
      </w:r>
      <w:r w:rsidRPr="0076354B">
        <w:t xml:space="preserve">rograms: Program 1.1 Reasonable and </w:t>
      </w:r>
      <w:r>
        <w:t>n</w:t>
      </w:r>
      <w:r w:rsidRPr="0076354B">
        <w:t xml:space="preserve">ecessary </w:t>
      </w:r>
      <w:r>
        <w:t>s</w:t>
      </w:r>
      <w:r w:rsidRPr="0076354B">
        <w:t xml:space="preserve">upports for </w:t>
      </w:r>
      <w:r>
        <w:t>p</w:t>
      </w:r>
      <w:r w:rsidRPr="0076354B">
        <w:t>articipants</w:t>
      </w:r>
      <w:r w:rsidR="00186CE7">
        <w:t>;</w:t>
      </w:r>
      <w:r w:rsidRPr="0076354B">
        <w:t xml:space="preserve"> and Program 1.2 Agency </w:t>
      </w:r>
      <w:r>
        <w:t>c</w:t>
      </w:r>
      <w:r w:rsidRPr="0076354B">
        <w:t>osts.</w:t>
      </w:r>
      <w:r w:rsidR="00247078">
        <w:br w:type="page"/>
      </w:r>
    </w:p>
    <w:p w14:paraId="3D4E04F1" w14:textId="3AD92FDF" w:rsidR="000D3DCF" w:rsidRPr="00F86FC3" w:rsidRDefault="000D3DCF" w:rsidP="003131F3">
      <w:pPr>
        <w:rPr>
          <w:highlight w:val="yellow"/>
        </w:rPr>
      </w:pPr>
      <w:r w:rsidRPr="009C34F0">
        <w:lastRenderedPageBreak/>
        <w:t xml:space="preserve">The NDIA </w:t>
      </w:r>
      <w:r>
        <w:t>operates as part of the Social Services Portfolio and contributes</w:t>
      </w:r>
      <w:r w:rsidRPr="009C34F0">
        <w:t xml:space="preserve"> to Outcome 3</w:t>
      </w:r>
      <w:r>
        <w:t>,</w:t>
      </w:r>
      <w:r w:rsidRPr="009C34F0">
        <w:t xml:space="preserve"> ‘Supporting the independence of, and economic participation by, people with disability</w:t>
      </w:r>
      <w:r>
        <w:t xml:space="preserve"> and</w:t>
      </w:r>
      <w:r w:rsidRPr="009C34F0">
        <w:t xml:space="preserve"> carers by providing targeted supports’</w:t>
      </w:r>
      <w:r>
        <w:t>.</w:t>
      </w:r>
      <w:r w:rsidRPr="009C34F0">
        <w:t xml:space="preserve"> </w:t>
      </w:r>
      <w:r>
        <w:t xml:space="preserve">Further information on related programs managed by the Department of Social Services (DSS) is available on the </w:t>
      </w:r>
      <w:hyperlink r:id="rId25" w:history="1">
        <w:r w:rsidRPr="00E45688">
          <w:rPr>
            <w:rStyle w:val="Hyperlink"/>
          </w:rPr>
          <w:t>DSS website</w:t>
        </w:r>
      </w:hyperlink>
      <w:r>
        <w:t xml:space="preserve">. </w:t>
      </w:r>
    </w:p>
    <w:p w14:paraId="75205F8C" w14:textId="77777777" w:rsidR="000D3DCF" w:rsidRDefault="000D3DCF" w:rsidP="00713CE1">
      <w:r>
        <w:t>Our performance measures focus on</w:t>
      </w:r>
      <w:r w:rsidRPr="009C34F0">
        <w:t xml:space="preserve"> </w:t>
      </w:r>
      <w:r>
        <w:t xml:space="preserve">key </w:t>
      </w:r>
      <w:r w:rsidRPr="009C34F0">
        <w:t xml:space="preserve">legislated functions </w:t>
      </w:r>
      <w:r>
        <w:t>to:</w:t>
      </w:r>
    </w:p>
    <w:p w14:paraId="75FE816E" w14:textId="2D6AE82E" w:rsidR="000D3DCF" w:rsidRPr="003131F3" w:rsidRDefault="000D3DCF" w:rsidP="00C01B34">
      <w:pPr>
        <w:pStyle w:val="Bullet1"/>
        <w:rPr>
          <w:lang w:val="en-GB"/>
        </w:rPr>
      </w:pPr>
      <w:r w:rsidRPr="009C34F0">
        <w:t xml:space="preserve">deliver the NDIS </w:t>
      </w:r>
    </w:p>
    <w:p w14:paraId="3FB857AA" w14:textId="09EE8C9C" w:rsidR="000D3DCF" w:rsidRPr="003131F3" w:rsidRDefault="000D3DCF" w:rsidP="00C01B34">
      <w:pPr>
        <w:pStyle w:val="Bullet1"/>
        <w:rPr>
          <w:lang w:val="en-GB"/>
        </w:rPr>
      </w:pPr>
      <w:r w:rsidRPr="009C34F0">
        <w:t>collect, analyse and exchange data relating to disabilities</w:t>
      </w:r>
    </w:p>
    <w:p w14:paraId="1E07F498" w14:textId="1F94FB8A" w:rsidR="000D3DCF" w:rsidRPr="003131F3" w:rsidRDefault="000D3DCF" w:rsidP="00C01B34">
      <w:pPr>
        <w:pStyle w:val="Bullet1"/>
        <w:rPr>
          <w:lang w:val="en-GB"/>
        </w:rPr>
      </w:pPr>
      <w:r w:rsidRPr="009C34F0">
        <w:t>manage, advise and report on the financial sustainability of the NDIS.</w:t>
      </w:r>
    </w:p>
    <w:p w14:paraId="323F2AE9" w14:textId="31829FD2" w:rsidR="000D3DCF" w:rsidRPr="009C34F0" w:rsidRDefault="000D3DCF" w:rsidP="00C01B34">
      <w:pPr>
        <w:rPr>
          <w:lang w:val="en-GB"/>
        </w:rPr>
      </w:pPr>
      <w:r>
        <w:t>Our</w:t>
      </w:r>
      <w:r w:rsidRPr="009C34F0">
        <w:t xml:space="preserve"> remaining </w:t>
      </w:r>
      <w:r>
        <w:t xml:space="preserve">legislated </w:t>
      </w:r>
      <w:r w:rsidRPr="009C34F0">
        <w:t xml:space="preserve">functions </w:t>
      </w:r>
      <w:r>
        <w:t>represent a smaller proportion of our activities or support other broader Social Services Portfolio initiatives</w:t>
      </w:r>
      <w:r w:rsidRPr="009C34F0">
        <w:t>.</w:t>
      </w:r>
    </w:p>
    <w:p w14:paraId="3C5DEF42" w14:textId="77777777" w:rsidR="000D3DCF" w:rsidRPr="00BB40DF" w:rsidRDefault="000D3DCF" w:rsidP="00BB40DF">
      <w:pPr>
        <w:pStyle w:val="Heading4"/>
      </w:pPr>
      <w:r w:rsidRPr="00BB40DF">
        <w:t>Changes to performance information</w:t>
      </w:r>
    </w:p>
    <w:p w14:paraId="7AB07CCE" w14:textId="0FDB9099" w:rsidR="000D3DCF" w:rsidRDefault="000D3DCF" w:rsidP="000D0D5D">
      <w:r>
        <w:t xml:space="preserve">In 2023, in </w:t>
      </w:r>
      <w:r w:rsidRPr="009C34F0">
        <w:t xml:space="preserve">the </w:t>
      </w:r>
      <w:hyperlink r:id="rId26" w:history="1">
        <w:r w:rsidRPr="009C34F0">
          <w:rPr>
            <w:rStyle w:val="Hyperlink"/>
          </w:rPr>
          <w:t>NDIA Corporate Plan 2023</w:t>
        </w:r>
        <w:r w:rsidRPr="004919D2">
          <w:rPr>
            <w:rStyle w:val="Hyperlink"/>
            <w:rFonts w:ascii="Symbol" w:eastAsia="Symbol" w:hAnsi="Symbol" w:cs="Symbol"/>
          </w:rPr>
          <w:t>-</w:t>
        </w:r>
        <w:r>
          <w:rPr>
            <w:rStyle w:val="Hyperlink"/>
          </w:rPr>
          <w:t>20</w:t>
        </w:r>
        <w:r w:rsidRPr="009C34F0">
          <w:rPr>
            <w:rStyle w:val="Hyperlink"/>
          </w:rPr>
          <w:t>27</w:t>
        </w:r>
      </w:hyperlink>
      <w:r w:rsidRPr="009C34F0">
        <w:t xml:space="preserve">, the NDIA </w:t>
      </w:r>
      <w:r>
        <w:t>refreshed the format of</w:t>
      </w:r>
      <w:r w:rsidRPr="009C34F0">
        <w:t xml:space="preserve"> its </w:t>
      </w:r>
      <w:r>
        <w:t>s</w:t>
      </w:r>
      <w:r w:rsidRPr="009C34F0">
        <w:t xml:space="preserve">trategic </w:t>
      </w:r>
      <w:r>
        <w:t>d</w:t>
      </w:r>
      <w:r w:rsidRPr="009C34F0">
        <w:t>irection and introduced 2 key activities.</w:t>
      </w:r>
      <w:r>
        <w:t xml:space="preserve"> The improved format:</w:t>
      </w:r>
    </w:p>
    <w:p w14:paraId="5FB0F620" w14:textId="246D1BBF" w:rsidR="000D3DCF" w:rsidRDefault="000D3DCF" w:rsidP="000D0D5D">
      <w:pPr>
        <w:pStyle w:val="Bullet1"/>
      </w:pPr>
      <w:r>
        <w:t xml:space="preserve">replaces aspirations from previous corporate plans with 2 key activities </w:t>
      </w:r>
    </w:p>
    <w:p w14:paraId="22DF1D3E" w14:textId="6B5E4555" w:rsidR="000D3DCF" w:rsidRDefault="000D3DCF" w:rsidP="000D0D5D">
      <w:pPr>
        <w:pStyle w:val="Bullet1"/>
      </w:pPr>
      <w:r>
        <w:t>retains most performance measures and targets from 2022-23 to ensure transparency and continuity with previous reporting, noting that these will be updated or changed to reflect the outcomes of the NDIS Review</w:t>
      </w:r>
    </w:p>
    <w:p w14:paraId="6471916A" w14:textId="231FB366" w:rsidR="000D3DCF" w:rsidRDefault="000D3DCF" w:rsidP="003131F3">
      <w:pPr>
        <w:pStyle w:val="Bullet1"/>
      </w:pPr>
      <w:r>
        <w:t xml:space="preserve">responds to section 16EA of the </w:t>
      </w:r>
      <w:r w:rsidRPr="00BB40DF">
        <w:rPr>
          <w:i/>
          <w:iCs/>
        </w:rPr>
        <w:t>Public Governance</w:t>
      </w:r>
      <w:r>
        <w:rPr>
          <w:i/>
          <w:iCs/>
        </w:rPr>
        <w:t>,</w:t>
      </w:r>
      <w:r w:rsidRPr="00BB40DF">
        <w:rPr>
          <w:i/>
          <w:iCs/>
        </w:rPr>
        <w:t xml:space="preserve"> Performance and Accountability Rule</w:t>
      </w:r>
      <w:r>
        <w:rPr>
          <w:i/>
          <w:iCs/>
        </w:rPr>
        <w:t xml:space="preserve"> 2014</w:t>
      </w:r>
      <w:r w:rsidRPr="00BB40DF">
        <w:rPr>
          <w:i/>
          <w:iCs/>
        </w:rPr>
        <w:t xml:space="preserve"> </w:t>
      </w:r>
      <w:r>
        <w:t>(PGPA Rule) by removing measures not directly linked to an NDIA key activity, as they were aligned to monitoring controls or considered in other measures.</w:t>
      </w:r>
    </w:p>
    <w:p w14:paraId="73E46AB1" w14:textId="2810F84A" w:rsidR="000D3DCF" w:rsidRPr="009C34F0" w:rsidRDefault="000D3DCF" w:rsidP="00713CE1">
      <w:r w:rsidRPr="009C34F0">
        <w:t xml:space="preserve">Key </w:t>
      </w:r>
      <w:r>
        <w:t>a</w:t>
      </w:r>
      <w:r w:rsidRPr="009C34F0">
        <w:t>ctivity 1</w:t>
      </w:r>
      <w:r>
        <w:t>,</w:t>
      </w:r>
      <w:r w:rsidRPr="009C34F0">
        <w:t xml:space="preserve"> ‘Improve participant experience and outcomes with a financially sustainable Scheme’</w:t>
      </w:r>
      <w:r>
        <w:t>,</w:t>
      </w:r>
      <w:r w:rsidRPr="009C34F0">
        <w:t xml:space="preserve"> brought together Aspiration 1 (A quality experience and improved outcomes for participants) and Aspiration 5 (A financially sustainable Scheme). This activity is aligned to Program 1.1</w:t>
      </w:r>
      <w:r>
        <w:t>,</w:t>
      </w:r>
      <w:r w:rsidRPr="009C34F0">
        <w:t xml:space="preserve"> which funds reasonable and necessary supports </w:t>
      </w:r>
      <w:r>
        <w:t>through</w:t>
      </w:r>
      <w:r w:rsidRPr="009C34F0">
        <w:t xml:space="preserve"> participant plans.</w:t>
      </w:r>
    </w:p>
    <w:p w14:paraId="582D9CDE" w14:textId="68E7DDE5" w:rsidR="00247078" w:rsidRDefault="000D3DCF" w:rsidP="00247078">
      <w:r w:rsidRPr="009C34F0">
        <w:t xml:space="preserve">Key </w:t>
      </w:r>
      <w:r w:rsidR="00AB2B8C">
        <w:t>a</w:t>
      </w:r>
      <w:r w:rsidRPr="009C34F0">
        <w:t>ctivity 2</w:t>
      </w:r>
      <w:r>
        <w:t>,</w:t>
      </w:r>
      <w:r w:rsidRPr="009C34F0">
        <w:t xml:space="preserve"> ‘A high</w:t>
      </w:r>
      <w:r>
        <w:t>-</w:t>
      </w:r>
      <w:r w:rsidRPr="009C34F0">
        <w:t>performing NDIA’</w:t>
      </w:r>
      <w:r>
        <w:t>,</w:t>
      </w:r>
      <w:r w:rsidRPr="009C34F0">
        <w:t xml:space="preserve"> brought together Aspiration 2 </w:t>
      </w:r>
      <w:r>
        <w:t>(</w:t>
      </w:r>
      <w:r w:rsidRPr="009C34F0">
        <w:t>A competitive market with innovative supports</w:t>
      </w:r>
      <w:r>
        <w:t>)</w:t>
      </w:r>
      <w:r w:rsidRPr="009C34F0">
        <w:t xml:space="preserve">, Aspiration 3 </w:t>
      </w:r>
      <w:r>
        <w:t>(</w:t>
      </w:r>
      <w:r w:rsidRPr="009C34F0">
        <w:t>A genuinely connected and engaged stakeholder sector</w:t>
      </w:r>
      <w:r>
        <w:t>)</w:t>
      </w:r>
      <w:r w:rsidRPr="009C34F0">
        <w:t xml:space="preserve"> and Aspiration 4 </w:t>
      </w:r>
      <w:r>
        <w:t>(</w:t>
      </w:r>
      <w:r w:rsidRPr="009C34F0">
        <w:t>A high-performing NDIA</w:t>
      </w:r>
      <w:r>
        <w:t>)</w:t>
      </w:r>
      <w:r w:rsidRPr="009C34F0">
        <w:rPr>
          <w:rStyle w:val="normaltextrun"/>
          <w:color w:val="000000"/>
          <w:bdr w:val="none" w:sz="0" w:space="0" w:color="auto" w:frame="1"/>
        </w:rPr>
        <w:t>.</w:t>
      </w:r>
      <w:r w:rsidRPr="009C34F0">
        <w:t xml:space="preserve"> This activity is aligned to Program 1.2</w:t>
      </w:r>
      <w:r>
        <w:t>,</w:t>
      </w:r>
      <w:r w:rsidRPr="009C34F0">
        <w:t xml:space="preserve"> Agency </w:t>
      </w:r>
      <w:r>
        <w:t>c</w:t>
      </w:r>
      <w:r w:rsidRPr="009C34F0">
        <w:t>osts</w:t>
      </w:r>
      <w:r w:rsidR="00E752EC">
        <w:t>,</w:t>
      </w:r>
      <w:r w:rsidRPr="009C34F0">
        <w:t xml:space="preserve"> as it provides for </w:t>
      </w:r>
      <w:r>
        <w:t>NDIA’s</w:t>
      </w:r>
      <w:r w:rsidRPr="009C34F0">
        <w:t xml:space="preserve"> costs to administer the </w:t>
      </w:r>
      <w:r>
        <w:t>NDIS</w:t>
      </w:r>
      <w:r w:rsidRPr="009C34F0">
        <w:t xml:space="preserve"> (including </w:t>
      </w:r>
      <w:r>
        <w:t>g</w:t>
      </w:r>
      <w:r w:rsidRPr="009C34F0">
        <w:t xml:space="preserve">eneral </w:t>
      </w:r>
      <w:r>
        <w:t>s</w:t>
      </w:r>
      <w:r w:rsidRPr="009C34F0">
        <w:t>upports).</w:t>
      </w:r>
      <w:r w:rsidR="00247078">
        <w:br w:type="page"/>
      </w:r>
    </w:p>
    <w:p w14:paraId="0D4C6ACA" w14:textId="0329083C" w:rsidR="000D3DCF" w:rsidRPr="00DF06A9" w:rsidRDefault="000D3DCF" w:rsidP="00A15A18">
      <w:r w:rsidRPr="00DF06A9">
        <w:lastRenderedPageBreak/>
        <w:t>The following measures were reviewed and retired:</w:t>
      </w:r>
    </w:p>
    <w:p w14:paraId="47A975FD" w14:textId="77777777" w:rsidR="000D3DCF" w:rsidRPr="00E67DBE" w:rsidRDefault="000D3DCF" w:rsidP="00E67DBE">
      <w:pPr>
        <w:pStyle w:val="Bullet1"/>
      </w:pPr>
      <w:r w:rsidRPr="00E67DBE">
        <w:t>extrapolated payment errors and anomalies</w:t>
      </w:r>
    </w:p>
    <w:p w14:paraId="4B204400" w14:textId="77777777" w:rsidR="000D3DCF" w:rsidRPr="00E67DBE" w:rsidRDefault="000D3DCF" w:rsidP="00E67DBE">
      <w:pPr>
        <w:pStyle w:val="Bullet1"/>
      </w:pPr>
      <w:r w:rsidRPr="00E67DBE">
        <w:t>payment growth compared to health</w:t>
      </w:r>
      <w:r>
        <w:t xml:space="preserve"> </w:t>
      </w:r>
      <w:r w:rsidRPr="00E67DBE">
        <w:t>care and social assistance wages growth</w:t>
      </w:r>
    </w:p>
    <w:p w14:paraId="2FDD8CB7" w14:textId="77777777" w:rsidR="000D3DCF" w:rsidRPr="00E67DBE" w:rsidRDefault="000D3DCF" w:rsidP="00E67DBE">
      <w:pPr>
        <w:pStyle w:val="Bullet1"/>
      </w:pPr>
      <w:r w:rsidRPr="00E67DBE">
        <w:t xml:space="preserve">provider sentiment and confidence </w:t>
      </w:r>
    </w:p>
    <w:p w14:paraId="616C24B7" w14:textId="77777777" w:rsidR="000D3DCF" w:rsidRPr="00E67DBE" w:rsidRDefault="000D3DCF" w:rsidP="00E67DBE">
      <w:pPr>
        <w:pStyle w:val="Bullet1"/>
      </w:pPr>
      <w:r w:rsidRPr="00E67DBE">
        <w:t>family and carer employment rate</w:t>
      </w:r>
    </w:p>
    <w:p w14:paraId="0CC97153" w14:textId="77777777" w:rsidR="000D3DCF" w:rsidRPr="00E67DBE" w:rsidRDefault="000D3DCF" w:rsidP="00E67DBE">
      <w:pPr>
        <w:pStyle w:val="Bullet1"/>
      </w:pPr>
      <w:r w:rsidRPr="00E67DBE">
        <w:t>female representation in the SES</w:t>
      </w:r>
    </w:p>
    <w:p w14:paraId="270D45C2" w14:textId="77777777" w:rsidR="000D3DCF" w:rsidRPr="00E67DBE" w:rsidRDefault="000D3DCF" w:rsidP="00E67DBE">
      <w:pPr>
        <w:pStyle w:val="Bullet1"/>
      </w:pPr>
      <w:r w:rsidRPr="00E67DBE">
        <w:t>market concentration</w:t>
      </w:r>
    </w:p>
    <w:p w14:paraId="4339FDB1" w14:textId="77777777" w:rsidR="000D3DCF" w:rsidRPr="00E67DBE" w:rsidRDefault="000D3DCF" w:rsidP="00E67DBE">
      <w:pPr>
        <w:pStyle w:val="Bullet1"/>
      </w:pPr>
      <w:r w:rsidRPr="00E67DBE">
        <w:t>providers charging below the price limit</w:t>
      </w:r>
    </w:p>
    <w:p w14:paraId="22C63D74" w14:textId="77777777" w:rsidR="000D3DCF" w:rsidRPr="00E67DBE" w:rsidRDefault="000D3DCF" w:rsidP="00E67DBE">
      <w:pPr>
        <w:pStyle w:val="Bullet1"/>
      </w:pPr>
      <w:r w:rsidRPr="00E67DBE">
        <w:t>plan utilisation.</w:t>
      </w:r>
    </w:p>
    <w:p w14:paraId="2A304FED" w14:textId="324B3E45" w:rsidR="000D3DCF" w:rsidRPr="00BB40DF" w:rsidRDefault="000D3DCF" w:rsidP="00BB40DF">
      <w:pPr>
        <w:pStyle w:val="Heading3"/>
      </w:pPr>
      <w:bookmarkStart w:id="76" w:name="_Toc175316890"/>
      <w:bookmarkStart w:id="77" w:name="_Toc176786382"/>
      <w:bookmarkStart w:id="78" w:name="_Toc176849742"/>
      <w:bookmarkStart w:id="79" w:name="_Toc180505664"/>
      <w:r w:rsidRPr="00BB40DF">
        <w:t>NDIA performance 2023</w:t>
      </w:r>
      <w:r w:rsidRPr="00BB40DF">
        <w:rPr>
          <w:rFonts w:ascii="Symbol" w:eastAsia="Symbol" w:hAnsi="Symbol" w:cs="Symbol"/>
        </w:rPr>
        <w:sym w:font="Symbol" w:char="F02D"/>
      </w:r>
      <w:r w:rsidRPr="00BB40DF">
        <w:t>24</w:t>
      </w:r>
      <w:bookmarkEnd w:id="76"/>
      <w:bookmarkEnd w:id="77"/>
      <w:bookmarkEnd w:id="78"/>
      <w:bookmarkEnd w:id="79"/>
    </w:p>
    <w:p w14:paraId="1A770733" w14:textId="77777777" w:rsidR="000D3DCF" w:rsidRPr="00BB40DF" w:rsidRDefault="000D3DCF" w:rsidP="00BB40DF">
      <w:pPr>
        <w:pStyle w:val="Heading4"/>
      </w:pPr>
      <w:r w:rsidRPr="00BB40DF">
        <w:t>Overall performance toward our outcome</w:t>
      </w:r>
    </w:p>
    <w:p w14:paraId="58204386" w14:textId="7CC085C8" w:rsidR="000D3DCF" w:rsidRDefault="00CE3F21" w:rsidP="00713CE1">
      <w:r>
        <w:t>During the reporting period, exter</w:t>
      </w:r>
      <w:r w:rsidR="0042656F">
        <w:t xml:space="preserve">nal </w:t>
      </w:r>
      <w:r w:rsidR="00957ACA">
        <w:t>re</w:t>
      </w:r>
      <w:r w:rsidR="0042656F">
        <w:t xml:space="preserve">views were conducted, </w:t>
      </w:r>
      <w:r w:rsidR="00312E0B">
        <w:t xml:space="preserve">which included </w:t>
      </w:r>
      <w:r w:rsidR="000D3DCF">
        <w:t xml:space="preserve">the </w:t>
      </w:r>
      <w:r w:rsidR="000D3DCF" w:rsidRPr="00A86155">
        <w:t>Disability Royal Commission into Violence, Abuse, Neglect and Exploitation of People with Disability</w:t>
      </w:r>
      <w:r w:rsidR="000D3DCF">
        <w:t xml:space="preserve"> and the</w:t>
      </w:r>
      <w:r w:rsidR="000D3DCF" w:rsidRPr="00A86155">
        <w:t xml:space="preserve"> NDIS Review</w:t>
      </w:r>
      <w:r w:rsidR="00AB0931">
        <w:t>.</w:t>
      </w:r>
      <w:r w:rsidR="000D3DCF" w:rsidRPr="002B4A35">
        <w:t xml:space="preserve"> </w:t>
      </w:r>
      <w:r w:rsidR="0074016E" w:rsidRPr="00B41FE1">
        <w:t>The anticipated recommendations from these public reviews were not released during the reporting period</w:t>
      </w:r>
      <w:r w:rsidR="0074016E">
        <w:t xml:space="preserve">. </w:t>
      </w:r>
      <w:r w:rsidR="0074016E" w:rsidRPr="00B41FE1">
        <w:t xml:space="preserve">Consequently, there were no variations to our strategic direction, </w:t>
      </w:r>
      <w:r w:rsidR="0074016E">
        <w:t xml:space="preserve">or </w:t>
      </w:r>
      <w:r w:rsidR="0074016E" w:rsidRPr="00B41FE1">
        <w:t>performance measure</w:t>
      </w:r>
      <w:r w:rsidR="0074016E">
        <w:t>s</w:t>
      </w:r>
      <w:r w:rsidR="0074016E" w:rsidRPr="00B41FE1">
        <w:t xml:space="preserve"> of our activities</w:t>
      </w:r>
      <w:r w:rsidR="0074016E">
        <w:t>, as documented in</w:t>
      </w:r>
      <w:r w:rsidR="004F70BD">
        <w:t xml:space="preserve"> the NDIA Corporate Plan 2023</w:t>
      </w:r>
      <w:r w:rsidR="00370316">
        <w:t>–</w:t>
      </w:r>
      <w:r w:rsidR="004F70BD">
        <w:t>2027.</w:t>
      </w:r>
    </w:p>
    <w:p w14:paraId="300FA023" w14:textId="403D18F2" w:rsidR="004F70BD" w:rsidRPr="009C34F0" w:rsidRDefault="0041592C" w:rsidP="00713CE1">
      <w:r w:rsidRPr="009C34F0">
        <w:t>Out of the 19 performance measures</w:t>
      </w:r>
      <w:r>
        <w:t xml:space="preserve"> documented in the </w:t>
      </w:r>
      <w:r w:rsidRPr="002B4A35">
        <w:t>Corporate Plan 2023</w:t>
      </w:r>
      <w:r>
        <w:rPr>
          <w:rFonts w:ascii="Symbol" w:eastAsia="Symbol" w:hAnsi="Symbol" w:cs="Symbol"/>
        </w:rPr>
        <w:t>-</w:t>
      </w:r>
      <w:r>
        <w:t>20</w:t>
      </w:r>
      <w:r w:rsidRPr="002B4A35">
        <w:t>27</w:t>
      </w:r>
      <w:r>
        <w:t>,</w:t>
      </w:r>
      <w:r w:rsidRPr="009C34F0">
        <w:t xml:space="preserve"> the NDIA achieved 9, partially achieved 4 </w:t>
      </w:r>
      <w:r>
        <w:t xml:space="preserve">and </w:t>
      </w:r>
      <w:r w:rsidRPr="009C34F0">
        <w:t xml:space="preserve">did not achieve 5. </w:t>
      </w:r>
      <w:r>
        <w:t>Due to the rollout of the new computer system, the NDIA did not yet have any d</w:t>
      </w:r>
      <w:r w:rsidRPr="009C34F0">
        <w:t xml:space="preserve">ata for </w:t>
      </w:r>
      <w:r>
        <w:t>c</w:t>
      </w:r>
      <w:r w:rsidRPr="009C34F0">
        <w:t xml:space="preserve">hildren who have benefited from the </w:t>
      </w:r>
      <w:r>
        <w:t>NDIS</w:t>
      </w:r>
      <w:r w:rsidRPr="009C34F0">
        <w:t xml:space="preserve"> and no longer need support</w:t>
      </w:r>
      <w:r>
        <w:t>.</w:t>
      </w:r>
    </w:p>
    <w:p w14:paraId="68CB55ED" w14:textId="052C419F" w:rsidR="000D3DCF" w:rsidRPr="00BB40DF" w:rsidRDefault="000D3DCF" w:rsidP="00BB40DF">
      <w:pPr>
        <w:pStyle w:val="Heading4"/>
      </w:pPr>
      <w:r w:rsidRPr="00BB40DF">
        <w:t>Program 1.1 performance statement</w:t>
      </w:r>
    </w:p>
    <w:p w14:paraId="5BAC54AA" w14:textId="77777777" w:rsidR="000D3DCF" w:rsidRPr="00A33264" w:rsidRDefault="000D3DCF" w:rsidP="00CC1405">
      <w:pPr>
        <w:pStyle w:val="Heading5"/>
        <w:rPr>
          <w:lang w:val="en-GB"/>
        </w:rPr>
      </w:pPr>
      <w:r w:rsidRPr="00A33264">
        <w:rPr>
          <w:lang w:val="en-GB"/>
        </w:rPr>
        <w:t>Program 1.1 – Reasonable and necessary supports for participants</w:t>
      </w:r>
    </w:p>
    <w:p w14:paraId="6D436BFF" w14:textId="4E92F8FE" w:rsidR="00247078" w:rsidRPr="00247078" w:rsidRDefault="000D3DCF" w:rsidP="00247078">
      <w:r>
        <w:t>The objective of Program 1.1 is to provide funding for reasonable and necessary supports to eligible people with disability through consistent, high-quality plans; and to ensure they are in control and have choices to appropriately support their independence and social and economic participation. This program contributes to the outcome by the delivery of financially sustainable funding for participants’ reasonable supports, enabling participants to source services in their plans to pursue their goals.</w:t>
      </w:r>
      <w:r w:rsidR="00247078" w:rsidRPr="00247078">
        <w:br w:type="page"/>
      </w:r>
    </w:p>
    <w:p w14:paraId="0B5D1B9B" w14:textId="22388497" w:rsidR="000D3DCF" w:rsidRPr="00A33264" w:rsidRDefault="000D3DCF" w:rsidP="00CC1405">
      <w:pPr>
        <w:pStyle w:val="Heading5"/>
        <w:rPr>
          <w:lang w:val="en-GB"/>
        </w:rPr>
      </w:pPr>
      <w:r w:rsidRPr="00A33264">
        <w:rPr>
          <w:lang w:val="en-GB"/>
        </w:rPr>
        <w:lastRenderedPageBreak/>
        <w:t xml:space="preserve">Key </w:t>
      </w:r>
      <w:r>
        <w:rPr>
          <w:lang w:val="en-GB"/>
        </w:rPr>
        <w:t>a</w:t>
      </w:r>
      <w:r w:rsidRPr="00A33264">
        <w:rPr>
          <w:lang w:val="en-GB"/>
        </w:rPr>
        <w:t>ctivity 1 – Improve participant experience and outcomes with a financially sustainable Scheme.</w:t>
      </w:r>
    </w:p>
    <w:p w14:paraId="0DF8D12B" w14:textId="77777777" w:rsidR="000D3DCF" w:rsidRPr="00A33264" w:rsidRDefault="000D3DCF" w:rsidP="00CC1405">
      <w:pPr>
        <w:rPr>
          <w:b/>
          <w:bCs/>
          <w:lang w:val="en-GB"/>
        </w:rPr>
      </w:pPr>
      <w:r w:rsidRPr="00A33264">
        <w:rPr>
          <w:b/>
          <w:bCs/>
          <w:lang w:val="en-GB"/>
        </w:rPr>
        <w:t>Why this matter</w:t>
      </w:r>
      <w:r>
        <w:rPr>
          <w:b/>
          <w:bCs/>
          <w:lang w:val="en-GB"/>
        </w:rPr>
        <w:t>s</w:t>
      </w:r>
    </w:p>
    <w:p w14:paraId="1D7D1984" w14:textId="53AE88CC" w:rsidR="000D3DCF" w:rsidRPr="009C34F0" w:rsidRDefault="000D3DCF" w:rsidP="00A01981">
      <w:r w:rsidRPr="009C34F0">
        <w:t>Improving participants’ (including children’s) independence</w:t>
      </w:r>
      <w:r>
        <w:t xml:space="preserve"> and</w:t>
      </w:r>
      <w:r w:rsidRPr="009C34F0">
        <w:t xml:space="preserve"> economic and social outcomes is at the core of the </w:t>
      </w:r>
      <w:r>
        <w:t>NDIS</w:t>
      </w:r>
      <w:r w:rsidRPr="009C34F0">
        <w:t xml:space="preserve"> purpose. The </w:t>
      </w:r>
      <w:r>
        <w:t>NDIA</w:t>
      </w:r>
      <w:r w:rsidRPr="009C34F0">
        <w:t xml:space="preserve">’s delivery of the </w:t>
      </w:r>
      <w:r>
        <w:t>NDIS</w:t>
      </w:r>
      <w:r w:rsidRPr="009C34F0">
        <w:t xml:space="preserve"> under </w:t>
      </w:r>
      <w:r>
        <w:t>section</w:t>
      </w:r>
      <w:r w:rsidRPr="009C34F0">
        <w:t xml:space="preserve"> 118(1)(a) of the </w:t>
      </w:r>
      <w:r>
        <w:t xml:space="preserve">NDIS Act </w:t>
      </w:r>
      <w:r w:rsidRPr="009C34F0">
        <w:t>is contributing to:</w:t>
      </w:r>
    </w:p>
    <w:p w14:paraId="6348ADF3" w14:textId="77777777" w:rsidR="000D3DCF" w:rsidRPr="009C34F0" w:rsidRDefault="000D3DCF" w:rsidP="00A01981">
      <w:pPr>
        <w:pStyle w:val="Bullet1"/>
      </w:pPr>
      <w:r w:rsidRPr="009C34F0">
        <w:t>improvements to participant outcomes (including early intervention)</w:t>
      </w:r>
    </w:p>
    <w:p w14:paraId="76462AAD" w14:textId="69C2E900" w:rsidR="000D3DCF" w:rsidRPr="009C34F0" w:rsidRDefault="000D3DCF" w:rsidP="00A01981">
      <w:pPr>
        <w:pStyle w:val="Bullet1"/>
      </w:pPr>
      <w:r w:rsidRPr="009C34F0">
        <w:t xml:space="preserve">effectiveness of services and supports in plans funded through Program 1.1 </w:t>
      </w:r>
      <w:r>
        <w:t>– R</w:t>
      </w:r>
      <w:r w:rsidRPr="009C34F0">
        <w:t>easonable and necessary supports for participants</w:t>
      </w:r>
    </w:p>
    <w:p w14:paraId="7CE02229" w14:textId="77777777" w:rsidR="000D3DCF" w:rsidRPr="009C34F0" w:rsidRDefault="000D3DCF" w:rsidP="00A01981">
      <w:pPr>
        <w:pStyle w:val="Bullet1"/>
      </w:pPr>
      <w:r w:rsidRPr="009C34F0">
        <w:t>a growing understanding of best practice in relation to services and supports</w:t>
      </w:r>
    </w:p>
    <w:p w14:paraId="3D8B6DB7" w14:textId="77777777" w:rsidR="000D3DCF" w:rsidRPr="009C34F0" w:rsidRDefault="000D3DCF" w:rsidP="00A01981">
      <w:pPr>
        <w:pStyle w:val="Bullet1"/>
      </w:pPr>
      <w:r w:rsidRPr="009C34F0">
        <w:t xml:space="preserve">participants who are supported with a safe environment to make decisions during their journey with the </w:t>
      </w:r>
      <w:r>
        <w:t>NDIS</w:t>
      </w:r>
      <w:r w:rsidRPr="009C34F0">
        <w:t>.</w:t>
      </w:r>
    </w:p>
    <w:p w14:paraId="28FCD1D6" w14:textId="2CBBECFA" w:rsidR="000D3DCF" w:rsidRPr="009C34F0" w:rsidRDefault="000D3DCF" w:rsidP="00A01981">
      <w:r w:rsidRPr="009C34F0">
        <w:t xml:space="preserve">The NDIA has remained focused on </w:t>
      </w:r>
      <w:r w:rsidR="00726350">
        <w:t>helping</w:t>
      </w:r>
      <w:r w:rsidRPr="009C34F0">
        <w:t xml:space="preserve"> participants to exercise choice and control </w:t>
      </w:r>
      <w:r>
        <w:t>as</w:t>
      </w:r>
      <w:r w:rsidRPr="009C34F0">
        <w:t xml:space="preserve"> they implement their plans</w:t>
      </w:r>
      <w:r w:rsidR="00705502">
        <w:t xml:space="preserve">, </w:t>
      </w:r>
      <w:r w:rsidR="00705502" w:rsidRPr="00AA0637">
        <w:t>following the guiding principles outlined in section 4 of the NDIS Act</w:t>
      </w:r>
      <w:r w:rsidRPr="0095513E">
        <w:t>.</w:t>
      </w:r>
      <w:r w:rsidR="007B331D">
        <w:t xml:space="preserve"> </w:t>
      </w:r>
      <w:r w:rsidR="005A78B0" w:rsidRPr="00AA0637">
        <w:t xml:space="preserve">By selecting their goals and choosing their providers, participants demonstrate how the NDIS promotes their independence and ensures they receive the necessary supports. Additionally, having choice and control allows participants to take reasonable risks in managing their own plans, as stated in </w:t>
      </w:r>
      <w:r w:rsidR="00612879">
        <w:t>section</w:t>
      </w:r>
      <w:r w:rsidR="005A78B0" w:rsidRPr="00AA0637">
        <w:t xml:space="preserve"> 118(1)(a) of the </w:t>
      </w:r>
      <w:hyperlink r:id="rId27" w:history="1">
        <w:r w:rsidR="005A78B0" w:rsidRPr="00AA0637">
          <w:t>NDIS</w:t>
        </w:r>
      </w:hyperlink>
      <w:r w:rsidR="005A78B0" w:rsidRPr="00AA0637">
        <w:t xml:space="preserve"> Act</w:t>
      </w:r>
      <w:r w:rsidRPr="005A78B0">
        <w:t>.</w:t>
      </w:r>
    </w:p>
    <w:p w14:paraId="060AB5BE" w14:textId="5785AED1" w:rsidR="000D3DCF" w:rsidRPr="009C34F0" w:rsidRDefault="000D3DCF" w:rsidP="00A01981">
      <w:r>
        <w:t>I</w:t>
      </w:r>
      <w:r w:rsidRPr="009C34F0">
        <w:t>n the</w:t>
      </w:r>
      <w:r>
        <w:t xml:space="preserve"> NDIS</w:t>
      </w:r>
      <w:r w:rsidRPr="009C34F0">
        <w:t xml:space="preserve"> </w:t>
      </w:r>
      <w:hyperlink r:id="rId28" w:history="1">
        <w:r w:rsidRPr="009C34F0">
          <w:rPr>
            <w:rStyle w:val="Hyperlink"/>
          </w:rPr>
          <w:t>Insurance Principles and Financial Sustainability Manual 2016</w:t>
        </w:r>
      </w:hyperlink>
      <w:r w:rsidRPr="009C34F0">
        <w:t xml:space="preserve">, </w:t>
      </w:r>
      <w:r>
        <w:t xml:space="preserve">‘financial sustainability of the NDIS’ is defined </w:t>
      </w:r>
      <w:r w:rsidRPr="009C34F0">
        <w:t>as a state where:</w:t>
      </w:r>
    </w:p>
    <w:p w14:paraId="63EAF9EF" w14:textId="462B550B" w:rsidR="000D3DCF" w:rsidRPr="009C34F0" w:rsidRDefault="000D3DCF" w:rsidP="00A01981">
      <w:pPr>
        <w:pStyle w:val="Bullet1"/>
      </w:pPr>
      <w:r w:rsidRPr="009C34F0">
        <w:t xml:space="preserve">the </w:t>
      </w:r>
      <w:r>
        <w:t>NDIS</w:t>
      </w:r>
      <w:r w:rsidRPr="009C34F0">
        <w:t xml:space="preserve"> is successful on the balance of objective measures and projections of economic and social participation, and independence, on participants’ views that they are getting enough money to buy enough goods and services to allow them reasonable access to life opportunities </w:t>
      </w:r>
      <w:r w:rsidRPr="00290FEA">
        <w:rPr>
          <w:rFonts w:ascii="Symbol" w:eastAsia="Symbol" w:hAnsi="Symbol" w:cs="Symbol"/>
        </w:rPr>
        <w:sym w:font="Symbol" w:char="F02D"/>
      </w:r>
      <w:r w:rsidRPr="009C34F0">
        <w:t xml:space="preserve"> that is, reasonable and necessary support</w:t>
      </w:r>
    </w:p>
    <w:p w14:paraId="488343B4" w14:textId="77777777" w:rsidR="000D3DCF" w:rsidRPr="009C34F0" w:rsidRDefault="000D3DCF" w:rsidP="00A01981">
      <w:pPr>
        <w:pStyle w:val="Bullet1"/>
      </w:pPr>
      <w:r w:rsidRPr="009C34F0">
        <w:t>contributors think that the cost is and will continue to be affordable, under control, represents value for money and, therefore, remain willing to contribute.</w:t>
      </w:r>
    </w:p>
    <w:p w14:paraId="59C5DF0F" w14:textId="170B1A31" w:rsidR="00247078" w:rsidRDefault="000D3DCF" w:rsidP="00247078">
      <w:pPr>
        <w:rPr>
          <w:b/>
          <w:color w:val="6B2876" w:themeColor="text1"/>
          <w:sz w:val="28"/>
          <w:lang w:val="en-GB"/>
        </w:rPr>
      </w:pPr>
      <w:r w:rsidRPr="009C34F0">
        <w:rPr>
          <w:rStyle w:val="ui-provider"/>
        </w:rPr>
        <w:t>The NDIA performance measures for key activity 1 are intended to act as a set when assessing achievement. This section provides analysis of performance for each performance measur</w:t>
      </w:r>
      <w:r>
        <w:rPr>
          <w:rStyle w:val="ui-provider"/>
        </w:rPr>
        <w:t>e</w:t>
      </w:r>
      <w:r w:rsidRPr="009C34F0">
        <w:rPr>
          <w:rStyle w:val="ui-provider"/>
        </w:rPr>
        <w:t xml:space="preserve"> from the NDIA Corporate Plan 2023</w:t>
      </w:r>
      <w:r w:rsidRPr="00290FEA">
        <w:rPr>
          <w:rStyle w:val="ui-provider"/>
          <w:rFonts w:ascii="Symbol" w:eastAsia="Symbol" w:hAnsi="Symbol" w:cs="Symbol"/>
        </w:rPr>
        <w:sym w:font="Symbol" w:char="F02D"/>
      </w:r>
      <w:r>
        <w:rPr>
          <w:rStyle w:val="ui-provider"/>
        </w:rPr>
        <w:t>2027. A</w:t>
      </w:r>
      <w:r w:rsidRPr="009C34F0">
        <w:rPr>
          <w:rStyle w:val="ui-provider"/>
        </w:rPr>
        <w:t xml:space="preserve"> table for each measure </w:t>
      </w:r>
      <w:r>
        <w:rPr>
          <w:rStyle w:val="ui-provider"/>
        </w:rPr>
        <w:t>shows</w:t>
      </w:r>
      <w:r w:rsidRPr="009C34F0">
        <w:rPr>
          <w:rStyle w:val="ui-provider"/>
        </w:rPr>
        <w:t xml:space="preserve"> the result and the outcome</w:t>
      </w:r>
      <w:r>
        <w:rPr>
          <w:rStyle w:val="ui-provider"/>
        </w:rPr>
        <w:t>. Outcomes are</w:t>
      </w:r>
      <w:r w:rsidRPr="009C34F0">
        <w:rPr>
          <w:rStyle w:val="ui-provider"/>
        </w:rPr>
        <w:t xml:space="preserve"> simplified to </w:t>
      </w:r>
      <w:r>
        <w:rPr>
          <w:rStyle w:val="ui-provider"/>
        </w:rPr>
        <w:t>‘</w:t>
      </w:r>
      <w:r w:rsidRPr="009C34F0">
        <w:rPr>
          <w:rStyle w:val="ui-provider"/>
        </w:rPr>
        <w:t>achieved</w:t>
      </w:r>
      <w:r>
        <w:rPr>
          <w:rStyle w:val="ui-provider"/>
        </w:rPr>
        <w:t>’</w:t>
      </w:r>
      <w:r w:rsidRPr="009C34F0">
        <w:rPr>
          <w:rStyle w:val="ui-provider"/>
        </w:rPr>
        <w:t xml:space="preserve">, </w:t>
      </w:r>
      <w:r>
        <w:rPr>
          <w:rStyle w:val="ui-provider"/>
        </w:rPr>
        <w:t>‘</w:t>
      </w:r>
      <w:r w:rsidRPr="009C34F0">
        <w:rPr>
          <w:rStyle w:val="ui-provider"/>
        </w:rPr>
        <w:t>partially achieved</w:t>
      </w:r>
      <w:r>
        <w:rPr>
          <w:rStyle w:val="ui-provider"/>
        </w:rPr>
        <w:t>’</w:t>
      </w:r>
      <w:r w:rsidRPr="009C34F0">
        <w:rPr>
          <w:rStyle w:val="ui-provider"/>
        </w:rPr>
        <w:t xml:space="preserve"> </w:t>
      </w:r>
      <w:r>
        <w:rPr>
          <w:rStyle w:val="ui-provider"/>
        </w:rPr>
        <w:t>and</w:t>
      </w:r>
      <w:r w:rsidRPr="009C34F0">
        <w:rPr>
          <w:rStyle w:val="ui-provider"/>
        </w:rPr>
        <w:t xml:space="preserve"> </w:t>
      </w:r>
      <w:r>
        <w:rPr>
          <w:rStyle w:val="ui-provider"/>
        </w:rPr>
        <w:t>‘</w:t>
      </w:r>
      <w:r w:rsidRPr="009C34F0">
        <w:rPr>
          <w:rStyle w:val="ui-provider"/>
        </w:rPr>
        <w:t>not achieved</w:t>
      </w:r>
      <w:r>
        <w:rPr>
          <w:rStyle w:val="ui-provider"/>
        </w:rPr>
        <w:t>’</w:t>
      </w:r>
      <w:r w:rsidRPr="009C34F0">
        <w:rPr>
          <w:rStyle w:val="ui-provider"/>
        </w:rPr>
        <w:t xml:space="preserve">. The analysis of performance </w:t>
      </w:r>
      <w:r>
        <w:rPr>
          <w:rStyle w:val="ui-provider"/>
        </w:rPr>
        <w:t>gives</w:t>
      </w:r>
      <w:r w:rsidRPr="009C34F0">
        <w:rPr>
          <w:rStyle w:val="ui-provider"/>
        </w:rPr>
        <w:t xml:space="preserve"> detail </w:t>
      </w:r>
      <w:r>
        <w:rPr>
          <w:rStyle w:val="ui-provider"/>
        </w:rPr>
        <w:t>about</w:t>
      </w:r>
      <w:r w:rsidRPr="009C34F0">
        <w:rPr>
          <w:rStyle w:val="ui-provider"/>
        </w:rPr>
        <w:t xml:space="preserve"> impacts on the achievement of key activity targets.</w:t>
      </w:r>
      <w:r w:rsidR="00247078">
        <w:rPr>
          <w:lang w:val="en-GB"/>
        </w:rPr>
        <w:br w:type="page"/>
      </w:r>
    </w:p>
    <w:p w14:paraId="4398F6B7" w14:textId="7BE6A145" w:rsidR="000D3DCF" w:rsidRPr="00A33264" w:rsidRDefault="000D3DCF" w:rsidP="00CC1405">
      <w:pPr>
        <w:pStyle w:val="Heading5"/>
        <w:rPr>
          <w:lang w:val="en-GB"/>
        </w:rPr>
      </w:pPr>
      <w:r w:rsidRPr="00A33264">
        <w:rPr>
          <w:lang w:val="en-GB"/>
        </w:rPr>
        <w:lastRenderedPageBreak/>
        <w:t>Analysis of performance</w:t>
      </w:r>
    </w:p>
    <w:p w14:paraId="5E3DA751" w14:textId="77777777" w:rsidR="000D3DCF" w:rsidRPr="00A33264" w:rsidRDefault="000D3DCF" w:rsidP="00CC1405">
      <w:pPr>
        <w:rPr>
          <w:b/>
          <w:bCs/>
          <w:lang w:val="en-GB"/>
        </w:rPr>
      </w:pPr>
      <w:r w:rsidRPr="00A33264">
        <w:rPr>
          <w:b/>
          <w:bCs/>
          <w:lang w:val="en-GB"/>
        </w:rPr>
        <w:t>NDIS annual spend (Program 1.1) compared to estimates</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0D3DCF" w:rsidRPr="00A33264" w14:paraId="6A7F0AA2"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A1CE63"/>
          </w:tcPr>
          <w:p w14:paraId="7E48AA49" w14:textId="371E1F32" w:rsidR="000D3DCF" w:rsidRPr="00A33264" w:rsidRDefault="000D3DCF">
            <w:pPr>
              <w:pStyle w:val="TableBody"/>
              <w:rPr>
                <w:color w:val="auto"/>
                <w:lang w:val="en-GB"/>
              </w:rPr>
            </w:pPr>
            <w:bookmarkStart w:id="80" w:name="ColumnTitle_PerformanceMeasure1"/>
            <w:bookmarkEnd w:id="80"/>
            <w:r w:rsidRPr="00A33264">
              <w:rPr>
                <w:color w:val="auto"/>
                <w:lang w:val="en-GB"/>
              </w:rPr>
              <w:t xml:space="preserve">Performance </w:t>
            </w:r>
            <w:r>
              <w:rPr>
                <w:color w:val="auto"/>
                <w:lang w:val="en-GB"/>
              </w:rPr>
              <w:t>m</w:t>
            </w:r>
            <w:r w:rsidRPr="00A33264">
              <w:rPr>
                <w:color w:val="auto"/>
                <w:lang w:val="en-GB"/>
              </w:rPr>
              <w:t>easure</w:t>
            </w:r>
          </w:p>
        </w:tc>
        <w:tc>
          <w:tcPr>
            <w:tcW w:w="1361" w:type="dxa"/>
            <w:shd w:val="clear" w:color="auto" w:fill="A1CE63"/>
          </w:tcPr>
          <w:p w14:paraId="44B9A6E2"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61" w:type="dxa"/>
            <w:shd w:val="clear" w:color="auto" w:fill="A1CE63"/>
          </w:tcPr>
          <w:p w14:paraId="21440964"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61" w:type="dxa"/>
            <w:shd w:val="clear" w:color="auto" w:fill="A1CE63"/>
          </w:tcPr>
          <w:p w14:paraId="4A28FA46"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24 O</w:t>
            </w:r>
            <w:r w:rsidRPr="00A33264">
              <w:rPr>
                <w:color w:val="auto"/>
                <w:lang w:val="en-GB"/>
              </w:rPr>
              <w:t>utcome</w:t>
            </w:r>
          </w:p>
        </w:tc>
        <w:tc>
          <w:tcPr>
            <w:tcW w:w="1361" w:type="dxa"/>
            <w:shd w:val="clear" w:color="auto" w:fill="A1CE63"/>
          </w:tcPr>
          <w:p w14:paraId="21162B12" w14:textId="77777777" w:rsidR="000D3DCF" w:rsidRPr="00A01981"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207BD0F7" w14:textId="77777777" w:rsidTr="00A01981">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E5F1D4"/>
          </w:tcPr>
          <w:p w14:paraId="26C7D26D" w14:textId="77777777" w:rsidR="000D3DCF" w:rsidRPr="00A33264" w:rsidRDefault="000D3DCF" w:rsidP="001C74C2">
            <w:pPr>
              <w:pStyle w:val="TableBody"/>
              <w:rPr>
                <w:lang w:val="en-GB"/>
              </w:rPr>
            </w:pPr>
            <w:r w:rsidRPr="00A33264">
              <w:rPr>
                <w:lang w:val="en-GB"/>
              </w:rPr>
              <w:t>NDIS annual spend (Program 1.1) compared to estimates </w:t>
            </w:r>
          </w:p>
        </w:tc>
        <w:tc>
          <w:tcPr>
            <w:tcW w:w="1361" w:type="dxa"/>
            <w:shd w:val="clear" w:color="auto" w:fill="E5F1D4"/>
          </w:tcPr>
          <w:p w14:paraId="5AE076D0" w14:textId="77777777" w:rsidR="000D3DCF" w:rsidRPr="00A33264" w:rsidRDefault="000D3DCF" w:rsidP="00BB40DF">
            <w:pPr>
              <w:pStyle w:val="TableBody"/>
              <w:jc w:val="right"/>
              <w:rPr>
                <w:lang w:val="en-GB"/>
              </w:rPr>
            </w:pPr>
            <w:r w:rsidRPr="00A33264">
              <w:rPr>
                <w:lang w:val="en-GB"/>
              </w:rPr>
              <w:t>100%</w:t>
            </w:r>
          </w:p>
        </w:tc>
        <w:tc>
          <w:tcPr>
            <w:tcW w:w="1361" w:type="dxa"/>
            <w:shd w:val="clear" w:color="auto" w:fill="E5F1D4"/>
          </w:tcPr>
          <w:p w14:paraId="703AF3E2" w14:textId="77777777" w:rsidR="000D3DCF" w:rsidRPr="00A33264" w:rsidRDefault="000D3DCF" w:rsidP="00BB40DF">
            <w:pPr>
              <w:pStyle w:val="TableBody"/>
              <w:jc w:val="right"/>
              <w:rPr>
                <w:lang w:val="en-GB"/>
              </w:rPr>
            </w:pPr>
            <w:r w:rsidRPr="00A33264">
              <w:rPr>
                <w:lang w:val="en-GB"/>
              </w:rPr>
              <w:t>101.2%</w:t>
            </w:r>
          </w:p>
        </w:tc>
        <w:tc>
          <w:tcPr>
            <w:tcW w:w="1361" w:type="dxa"/>
            <w:shd w:val="clear" w:color="auto" w:fill="E5F1D4"/>
          </w:tcPr>
          <w:p w14:paraId="20AB1BA4" w14:textId="77777777" w:rsidR="000D3DCF" w:rsidRPr="00A33264" w:rsidRDefault="000D3DCF" w:rsidP="00BB40DF">
            <w:pPr>
              <w:pStyle w:val="TableBody"/>
              <w:jc w:val="right"/>
              <w:rPr>
                <w:lang w:val="en-GB"/>
              </w:rPr>
            </w:pPr>
            <w:r w:rsidRPr="00A33264">
              <w:rPr>
                <w:lang w:val="en-GB"/>
              </w:rPr>
              <w:t>Not achieved</w:t>
            </w:r>
          </w:p>
        </w:tc>
        <w:tc>
          <w:tcPr>
            <w:tcW w:w="1361" w:type="dxa"/>
            <w:shd w:val="clear" w:color="auto" w:fill="E5F1D4"/>
          </w:tcPr>
          <w:p w14:paraId="5F5023D7" w14:textId="77777777" w:rsidR="000D3DCF" w:rsidRPr="00A33264" w:rsidRDefault="000D3DCF" w:rsidP="00BB40DF">
            <w:pPr>
              <w:pStyle w:val="TableBody"/>
              <w:jc w:val="right"/>
              <w:rPr>
                <w:lang w:val="en-GB"/>
              </w:rPr>
            </w:pPr>
            <w:r>
              <w:rPr>
                <w:lang w:val="en-GB"/>
              </w:rPr>
              <w:t>103.6%</w:t>
            </w:r>
          </w:p>
        </w:tc>
      </w:tr>
    </w:tbl>
    <w:p w14:paraId="490C4FBF" w14:textId="77777777" w:rsidR="000D3DCF" w:rsidRPr="00B27FA1" w:rsidRDefault="000D3DCF" w:rsidP="00B27FA1">
      <w:pPr>
        <w:pStyle w:val="Heading6"/>
      </w:pPr>
      <w:r w:rsidRPr="00B27FA1">
        <w:t>Why we measure this</w:t>
      </w:r>
    </w:p>
    <w:p w14:paraId="785C3F2E" w14:textId="199F8E31" w:rsidR="000D3DCF" w:rsidRDefault="000D3DCF" w:rsidP="00A01981">
      <w:r w:rsidRPr="009C34F0">
        <w:t xml:space="preserve">This measure assesses the effectiveness of </w:t>
      </w:r>
      <w:r>
        <w:t>NDIS</w:t>
      </w:r>
      <w:r w:rsidRPr="009C34F0">
        <w:t xml:space="preserve"> projections of expenditure for participants’ reasonable and necessary supports.</w:t>
      </w:r>
    </w:p>
    <w:p w14:paraId="05F0BE07" w14:textId="77777777" w:rsidR="000D3DCF" w:rsidRDefault="000D3DCF" w:rsidP="00B27FA1">
      <w:pPr>
        <w:pStyle w:val="Heading6"/>
      </w:pPr>
      <w:r>
        <w:t>How we measure this</w:t>
      </w:r>
    </w:p>
    <w:p w14:paraId="7FB6BED2" w14:textId="7702A0EE" w:rsidR="000D3DCF" w:rsidRDefault="000D3DCF" w:rsidP="00A01981">
      <w:r>
        <w:t>We obtain our results for this performance measure by</w:t>
      </w:r>
      <w:r w:rsidRPr="009C34F0" w:rsidDel="00517795">
        <w:t xml:space="preserve"> </w:t>
      </w:r>
      <w:r w:rsidRPr="009C34F0">
        <w:t>divid</w:t>
      </w:r>
      <w:r>
        <w:t>ing</w:t>
      </w:r>
      <w:r w:rsidRPr="009C34F0">
        <w:t xml:space="preserve"> actual payments (calculated on an accrual basis) by</w:t>
      </w:r>
      <w:r>
        <w:t xml:space="preserve"> the</w:t>
      </w:r>
      <w:r w:rsidRPr="009C34F0">
        <w:t xml:space="preserve"> projection in the 2022</w:t>
      </w:r>
      <w:r w:rsidRPr="003131F3">
        <w:t>–</w:t>
      </w:r>
      <w:r w:rsidRPr="009C34F0">
        <w:t>23 Annual Financial Sustainability Report</w:t>
      </w:r>
      <w:r>
        <w:t xml:space="preserve"> which informs the</w:t>
      </w:r>
      <w:r w:rsidRPr="009C34F0">
        <w:t xml:space="preserve"> </w:t>
      </w:r>
      <w:r w:rsidRPr="003131F3">
        <w:t>Mid-Year Economic and Fiscal Outlook 2023–24</w:t>
      </w:r>
      <w:r>
        <w:t>.</w:t>
      </w:r>
    </w:p>
    <w:p w14:paraId="20C38BE8" w14:textId="77777777" w:rsidR="000D3DCF" w:rsidRPr="009C34F0" w:rsidRDefault="000D3DCF" w:rsidP="00B27FA1">
      <w:pPr>
        <w:pStyle w:val="Heading6"/>
      </w:pPr>
      <w:r>
        <w:t>Analysis</w:t>
      </w:r>
    </w:p>
    <w:p w14:paraId="08DB0273" w14:textId="3A5B7C72" w:rsidR="000D3DCF" w:rsidRPr="009C34F0" w:rsidRDefault="000D3DCF" w:rsidP="00A01981">
      <w:r w:rsidRPr="00E2624C">
        <w:t xml:space="preserve">The Scheme Actuary provides forecasts of NDIS expenditure in the Annual Financial Sustainability Report. These forecasts are peer reviewed annually by the Australian Government Actuary and </w:t>
      </w:r>
      <w:r>
        <w:t>the NDIA’s actuarial forecast model was</w:t>
      </w:r>
      <w:r w:rsidRPr="00E2624C">
        <w:t xml:space="preserve"> reviewed by actuarial consultancy Taylor Fry in 2022. The assumption is made that</w:t>
      </w:r>
      <w:r>
        <w:t>,</w:t>
      </w:r>
      <w:r w:rsidRPr="00E2624C">
        <w:t xml:space="preserve"> if contributors</w:t>
      </w:r>
      <w:r w:rsidRPr="008C5B5A">
        <w:t xml:space="preserve"> to the NDIS</w:t>
      </w:r>
      <w:r w:rsidRPr="00E2624C">
        <w:t xml:space="preserve"> agree to the budget and the forecast, the </w:t>
      </w:r>
      <w:r>
        <w:t>’</w:t>
      </w:r>
      <w:r w:rsidRPr="00E2624C">
        <w:t>state of financial sustainability</w:t>
      </w:r>
      <w:r>
        <w:t>’</w:t>
      </w:r>
      <w:r w:rsidRPr="00E2624C">
        <w:t xml:space="preserve"> has been met for the reporting period.</w:t>
      </w:r>
    </w:p>
    <w:p w14:paraId="1EF2D00A" w14:textId="6423D35E" w:rsidR="00247078" w:rsidRDefault="000D3DCF" w:rsidP="00247078">
      <w:pPr>
        <w:rPr>
          <w:b/>
          <w:bCs/>
          <w:lang w:val="en-GB"/>
        </w:rPr>
      </w:pPr>
      <w:r w:rsidRPr="00F86FC3">
        <w:rPr>
          <w:lang w:val="en-GB"/>
        </w:rPr>
        <w:t>For 2023</w:t>
      </w:r>
      <w:r w:rsidRPr="00A15A18">
        <w:t>–</w:t>
      </w:r>
      <w:r w:rsidRPr="00F86FC3">
        <w:rPr>
          <w:lang w:val="en-GB"/>
        </w:rPr>
        <w:t>24, Program 1.1 expenditure was $41.8 billion</w:t>
      </w:r>
      <w:r>
        <w:rPr>
          <w:lang w:val="en-GB"/>
        </w:rPr>
        <w:t xml:space="preserve"> </w:t>
      </w:r>
      <w:r>
        <w:rPr>
          <w:rFonts w:ascii="Symbol" w:eastAsia="Symbol" w:hAnsi="Symbol" w:cs="Symbol"/>
          <w:lang w:val="en-GB"/>
        </w:rPr>
        <w:sym w:font="Symbol" w:char="F02D"/>
      </w:r>
      <w:r w:rsidRPr="00F86FC3">
        <w:rPr>
          <w:lang w:val="en-GB"/>
        </w:rPr>
        <w:t xml:space="preserve"> 1.2% more than expected</w:t>
      </w:r>
      <w:r w:rsidRPr="002B4A35">
        <w:rPr>
          <w:lang w:val="en-GB"/>
        </w:rPr>
        <w:t>.</w:t>
      </w:r>
      <w:r w:rsidRPr="00F86FC3">
        <w:rPr>
          <w:lang w:val="en-GB"/>
        </w:rPr>
        <w:t xml:space="preserve"> This was due to higher payments to </w:t>
      </w:r>
      <w:r w:rsidRPr="00114123">
        <w:rPr>
          <w:lang w:val="en-GB"/>
        </w:rPr>
        <w:t>participants</w:t>
      </w:r>
      <w:r>
        <w:rPr>
          <w:lang w:val="en-GB"/>
        </w:rPr>
        <w:t>,</w:t>
      </w:r>
      <w:r w:rsidRPr="00114123">
        <w:rPr>
          <w:lang w:val="en-GB"/>
        </w:rPr>
        <w:t xml:space="preserve"> </w:t>
      </w:r>
      <w:r>
        <w:rPr>
          <w:lang w:val="en-GB"/>
        </w:rPr>
        <w:t xml:space="preserve">particularly those </w:t>
      </w:r>
      <w:r w:rsidRPr="00114123">
        <w:rPr>
          <w:lang w:val="en-GB"/>
        </w:rPr>
        <w:t xml:space="preserve">without </w:t>
      </w:r>
      <w:r>
        <w:rPr>
          <w:lang w:val="en-GB"/>
        </w:rPr>
        <w:t>s</w:t>
      </w:r>
      <w:r w:rsidRPr="002B4A35">
        <w:rPr>
          <w:lang w:val="en-GB"/>
        </w:rPr>
        <w:t xml:space="preserve">upported </w:t>
      </w:r>
      <w:r>
        <w:rPr>
          <w:lang w:val="en-GB"/>
        </w:rPr>
        <w:t>i</w:t>
      </w:r>
      <w:r w:rsidRPr="002B4A35">
        <w:rPr>
          <w:lang w:val="en-GB"/>
        </w:rPr>
        <w:t xml:space="preserve">ndependent </w:t>
      </w:r>
      <w:r>
        <w:rPr>
          <w:lang w:val="en-GB"/>
        </w:rPr>
        <w:t>l</w:t>
      </w:r>
      <w:r w:rsidRPr="002B4A35">
        <w:rPr>
          <w:lang w:val="en-GB"/>
        </w:rPr>
        <w:t>iving</w:t>
      </w:r>
      <w:r w:rsidRPr="00F86FC3">
        <w:rPr>
          <w:lang w:val="en-GB"/>
        </w:rPr>
        <w:t xml:space="preserve"> supports. The target of 100% was not achieved.</w:t>
      </w:r>
      <w:r w:rsidRPr="002B4A35">
        <w:rPr>
          <w:lang w:val="en-GB"/>
        </w:rPr>
        <w:t xml:space="preserve"> </w:t>
      </w:r>
      <w:r>
        <w:rPr>
          <w:lang w:val="en-GB"/>
        </w:rPr>
        <w:t>NDIS</w:t>
      </w:r>
      <w:r w:rsidRPr="00F86FC3">
        <w:rPr>
          <w:lang w:val="en-GB"/>
        </w:rPr>
        <w:t xml:space="preserve"> growth </w:t>
      </w:r>
      <w:r w:rsidRPr="002B4A35">
        <w:rPr>
          <w:lang w:val="en-GB"/>
        </w:rPr>
        <w:t>was</w:t>
      </w:r>
      <w:r w:rsidRPr="00F86FC3">
        <w:rPr>
          <w:lang w:val="en-GB"/>
        </w:rPr>
        <w:t xml:space="preserve"> 19% over the 12 months ending 30 June 2024, reduced from 23% over the previous year. Additional growth in payments </w:t>
      </w:r>
      <w:r w:rsidRPr="002B4A35">
        <w:rPr>
          <w:lang w:val="en-GB"/>
        </w:rPr>
        <w:t>was</w:t>
      </w:r>
      <w:r w:rsidRPr="00F86FC3">
        <w:rPr>
          <w:lang w:val="en-GB"/>
        </w:rPr>
        <w:t xml:space="preserve"> the </w:t>
      </w:r>
      <w:r w:rsidRPr="002B4A35">
        <w:rPr>
          <w:lang w:val="en-GB"/>
        </w:rPr>
        <w:t>main</w:t>
      </w:r>
      <w:r w:rsidRPr="00F86FC3">
        <w:rPr>
          <w:lang w:val="en-GB"/>
        </w:rPr>
        <w:t xml:space="preserve"> factor, with signs of moderation observed.</w:t>
      </w:r>
      <w:r w:rsidR="00247078">
        <w:rPr>
          <w:b/>
          <w:bCs/>
          <w:lang w:val="en-GB"/>
        </w:rPr>
        <w:br w:type="page"/>
      </w:r>
    </w:p>
    <w:p w14:paraId="09940C24" w14:textId="1FF8982E" w:rsidR="000D3DCF" w:rsidRPr="00A33264" w:rsidRDefault="000D3DCF" w:rsidP="001C74C2">
      <w:pPr>
        <w:rPr>
          <w:b/>
          <w:bCs/>
          <w:lang w:val="en-GB"/>
        </w:rPr>
      </w:pPr>
      <w:r w:rsidRPr="00A33264">
        <w:rPr>
          <w:b/>
          <w:bCs/>
          <w:lang w:val="en-GB"/>
        </w:rPr>
        <w:lastRenderedPageBreak/>
        <w:t>Participant perception of choice and control over their life (independence)</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0D3DCF" w:rsidRPr="00A33264" w14:paraId="60048CC3"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A1CE63"/>
          </w:tcPr>
          <w:p w14:paraId="0FA27D06" w14:textId="553FDCF5" w:rsidR="000D3DCF" w:rsidRPr="00A33264" w:rsidRDefault="000D3DCF" w:rsidP="001C74C2">
            <w:pPr>
              <w:pStyle w:val="TableBody"/>
              <w:rPr>
                <w:color w:val="auto"/>
                <w:lang w:val="en-GB"/>
              </w:rPr>
            </w:pPr>
            <w:bookmarkStart w:id="81" w:name="ColumnTitle_PerformanceMeasure2"/>
            <w:bookmarkEnd w:id="81"/>
            <w:r w:rsidRPr="00A33264">
              <w:rPr>
                <w:color w:val="auto"/>
                <w:lang w:val="en-GB"/>
              </w:rPr>
              <w:t xml:space="preserve">Performance </w:t>
            </w:r>
            <w:r>
              <w:rPr>
                <w:color w:val="auto"/>
                <w:lang w:val="en-GB"/>
              </w:rPr>
              <w:t>m</w:t>
            </w:r>
            <w:r w:rsidRPr="00A33264">
              <w:rPr>
                <w:color w:val="auto"/>
                <w:lang w:val="en-GB"/>
              </w:rPr>
              <w:t>easure</w:t>
            </w:r>
          </w:p>
        </w:tc>
        <w:tc>
          <w:tcPr>
            <w:tcW w:w="1361" w:type="dxa"/>
            <w:shd w:val="clear" w:color="auto" w:fill="A1CE63"/>
          </w:tcPr>
          <w:p w14:paraId="67A30EA4"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61" w:type="dxa"/>
            <w:shd w:val="clear" w:color="auto" w:fill="A1CE63"/>
          </w:tcPr>
          <w:p w14:paraId="7575A402"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61" w:type="dxa"/>
            <w:shd w:val="clear" w:color="auto" w:fill="A1CE63"/>
          </w:tcPr>
          <w:p w14:paraId="3D21D949"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24 O</w:t>
            </w:r>
            <w:r w:rsidRPr="00A33264">
              <w:rPr>
                <w:color w:val="auto"/>
                <w:lang w:val="en-GB"/>
              </w:rPr>
              <w:t>utcome</w:t>
            </w:r>
          </w:p>
        </w:tc>
        <w:tc>
          <w:tcPr>
            <w:tcW w:w="1361" w:type="dxa"/>
            <w:shd w:val="clear" w:color="auto" w:fill="A1CE63"/>
          </w:tcPr>
          <w:p w14:paraId="5699A966" w14:textId="77777777" w:rsidR="000D3DCF" w:rsidRPr="00A01981"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7F329189" w14:textId="77777777" w:rsidTr="00A01981">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E5F1D4"/>
          </w:tcPr>
          <w:p w14:paraId="29990575" w14:textId="0E0C950C" w:rsidR="000D3DCF" w:rsidRPr="00A33264" w:rsidRDefault="000D3DCF" w:rsidP="001C74C2">
            <w:pPr>
              <w:pStyle w:val="TableBody"/>
              <w:rPr>
                <w:lang w:val="en-GB"/>
              </w:rPr>
            </w:pPr>
            <w:r w:rsidRPr="00A33264">
              <w:rPr>
                <w:lang w:val="en-GB"/>
              </w:rPr>
              <w:t>Participant perception of choice and control over their life (independence)</w:t>
            </w:r>
          </w:p>
        </w:tc>
        <w:tc>
          <w:tcPr>
            <w:tcW w:w="1361" w:type="dxa"/>
            <w:shd w:val="clear" w:color="auto" w:fill="E5F1D4"/>
          </w:tcPr>
          <w:p w14:paraId="6E733391" w14:textId="77777777" w:rsidR="000D3DCF" w:rsidRPr="00A33264" w:rsidRDefault="000D3DCF" w:rsidP="00BB40DF">
            <w:pPr>
              <w:pStyle w:val="TableBody"/>
              <w:jc w:val="right"/>
              <w:rPr>
                <w:lang w:val="en-GB"/>
              </w:rPr>
            </w:pPr>
            <w:r w:rsidRPr="00A33264">
              <w:rPr>
                <w:lang w:val="en-GB"/>
              </w:rPr>
              <w:t>75%</w:t>
            </w:r>
          </w:p>
        </w:tc>
        <w:tc>
          <w:tcPr>
            <w:tcW w:w="1361" w:type="dxa"/>
            <w:shd w:val="clear" w:color="auto" w:fill="E5F1D4"/>
          </w:tcPr>
          <w:p w14:paraId="548E2840" w14:textId="77777777" w:rsidR="000D3DCF" w:rsidRPr="00A33264" w:rsidRDefault="000D3DCF" w:rsidP="00BB40DF">
            <w:pPr>
              <w:pStyle w:val="TableBody"/>
              <w:jc w:val="right"/>
              <w:rPr>
                <w:lang w:val="en-GB"/>
              </w:rPr>
            </w:pPr>
            <w:r w:rsidRPr="00A33264">
              <w:rPr>
                <w:lang w:val="en-GB"/>
              </w:rPr>
              <w:t>7</w:t>
            </w:r>
            <w:r>
              <w:rPr>
                <w:lang w:val="en-GB"/>
              </w:rPr>
              <w:t>8.9</w:t>
            </w:r>
            <w:r w:rsidRPr="00A33264">
              <w:rPr>
                <w:lang w:val="en-GB"/>
              </w:rPr>
              <w:t>%</w:t>
            </w:r>
          </w:p>
        </w:tc>
        <w:tc>
          <w:tcPr>
            <w:tcW w:w="1361" w:type="dxa"/>
            <w:shd w:val="clear" w:color="auto" w:fill="E5F1D4"/>
          </w:tcPr>
          <w:p w14:paraId="6CAB12B6" w14:textId="77777777" w:rsidR="000D3DCF" w:rsidRPr="00A33264" w:rsidRDefault="000D3DCF" w:rsidP="00BB40DF">
            <w:pPr>
              <w:pStyle w:val="TableBody"/>
              <w:jc w:val="right"/>
              <w:rPr>
                <w:lang w:val="en-GB"/>
              </w:rPr>
            </w:pPr>
            <w:r w:rsidRPr="00A33264">
              <w:rPr>
                <w:lang w:val="en-GB"/>
              </w:rPr>
              <w:t>Achieved</w:t>
            </w:r>
          </w:p>
        </w:tc>
        <w:tc>
          <w:tcPr>
            <w:tcW w:w="1361" w:type="dxa"/>
            <w:shd w:val="clear" w:color="auto" w:fill="E5F1D4"/>
          </w:tcPr>
          <w:p w14:paraId="79F9CCCB" w14:textId="77777777" w:rsidR="000D3DCF" w:rsidRPr="00A33264" w:rsidRDefault="000D3DCF" w:rsidP="00BB40DF">
            <w:pPr>
              <w:pStyle w:val="TableBody"/>
              <w:jc w:val="right"/>
              <w:rPr>
                <w:lang w:val="en-GB"/>
              </w:rPr>
            </w:pPr>
            <w:r>
              <w:rPr>
                <w:lang w:val="en-GB"/>
              </w:rPr>
              <w:t>76.8%</w:t>
            </w:r>
          </w:p>
        </w:tc>
      </w:tr>
    </w:tbl>
    <w:p w14:paraId="52063678" w14:textId="77777777" w:rsidR="000D3DCF" w:rsidRDefault="000D3DCF" w:rsidP="00B27FA1">
      <w:pPr>
        <w:pStyle w:val="Heading6"/>
        <w:rPr>
          <w:rFonts w:eastAsia="Arial"/>
        </w:rPr>
      </w:pPr>
      <w:r>
        <w:rPr>
          <w:rFonts w:eastAsia="Arial"/>
        </w:rPr>
        <w:t>Why we measure this</w:t>
      </w:r>
    </w:p>
    <w:p w14:paraId="5364839E" w14:textId="77777777" w:rsidR="000D3DCF" w:rsidRDefault="000D3DCF" w:rsidP="00A01981">
      <w:r w:rsidRPr="009C34F0">
        <w:rPr>
          <w:rFonts w:eastAsia="Arial"/>
          <w:color w:val="000000"/>
        </w:rPr>
        <w:t xml:space="preserve">This measure assesses </w:t>
      </w:r>
      <w:r w:rsidRPr="00F86FC3">
        <w:t xml:space="preserve">the </w:t>
      </w:r>
      <w:r w:rsidRPr="009C34F0">
        <w:t xml:space="preserve">effectiveness of reasonable and necessary supports on participant independence. </w:t>
      </w:r>
    </w:p>
    <w:p w14:paraId="521A1F10" w14:textId="77777777" w:rsidR="000D3DCF" w:rsidRDefault="000D3DCF" w:rsidP="00B27FA1">
      <w:pPr>
        <w:pStyle w:val="Heading6"/>
      </w:pPr>
      <w:r>
        <w:t>How we measure this</w:t>
      </w:r>
    </w:p>
    <w:p w14:paraId="4F267A69" w14:textId="758E75CD" w:rsidR="000D3DCF" w:rsidRPr="009C34F0" w:rsidRDefault="000D3DCF" w:rsidP="00A01981">
      <w:pPr>
        <w:rPr>
          <w:rFonts w:eastAsia="Arial"/>
          <w:color w:val="000000"/>
        </w:rPr>
      </w:pPr>
      <w:r>
        <w:t>We obtain our results for this performance measure by</w:t>
      </w:r>
      <w:r w:rsidRPr="009C34F0" w:rsidDel="0059375C">
        <w:t xml:space="preserve"> </w:t>
      </w:r>
      <w:r w:rsidRPr="009C34F0">
        <w:t>calculat</w:t>
      </w:r>
      <w:r>
        <w:t>ing</w:t>
      </w:r>
      <w:r w:rsidRPr="009C34F0">
        <w:t xml:space="preserve"> the percentage of participants</w:t>
      </w:r>
      <w:r>
        <w:t xml:space="preserve"> (</w:t>
      </w:r>
      <w:r w:rsidRPr="009C34F0">
        <w:t xml:space="preserve">aged 15+ who have been in the </w:t>
      </w:r>
      <w:r>
        <w:t>NDIS</w:t>
      </w:r>
      <w:r w:rsidRPr="009C34F0">
        <w:t xml:space="preserve"> for at least 2 years</w:t>
      </w:r>
      <w:r>
        <w:t>)</w:t>
      </w:r>
      <w:r w:rsidRPr="009C34F0">
        <w:t xml:space="preserve"> who answer ‘yes’ to</w:t>
      </w:r>
      <w:r>
        <w:t xml:space="preserve"> the question</w:t>
      </w:r>
      <w:r w:rsidRPr="009C34F0">
        <w:t xml:space="preserve"> ‘</w:t>
      </w:r>
      <w:r>
        <w:t>H</w:t>
      </w:r>
      <w:r w:rsidRPr="009C34F0">
        <w:t>as the NDIS helped you have more choice and control over your life?’,</w:t>
      </w:r>
      <w:r>
        <w:t xml:space="preserve"> using the participant’s most recent response to</w:t>
      </w:r>
      <w:r w:rsidRPr="009C34F0">
        <w:t xml:space="preserve"> the </w:t>
      </w:r>
      <w:r>
        <w:t xml:space="preserve">NDIS Short Form Outcomes Framework survey. </w:t>
      </w:r>
    </w:p>
    <w:p w14:paraId="1232E092" w14:textId="77777777" w:rsidR="000D3DCF" w:rsidRDefault="000D3DCF" w:rsidP="00B27FA1">
      <w:pPr>
        <w:pStyle w:val="Heading6"/>
        <w:rPr>
          <w:rFonts w:eastAsia="Arial"/>
        </w:rPr>
      </w:pPr>
      <w:r>
        <w:rPr>
          <w:rFonts w:eastAsia="Arial"/>
        </w:rPr>
        <w:t>Analysis</w:t>
      </w:r>
    </w:p>
    <w:p w14:paraId="44DDED06" w14:textId="2ADC11C4" w:rsidR="000D3DCF" w:rsidRDefault="000D3DCF" w:rsidP="00A01981">
      <w:pPr>
        <w:rPr>
          <w:rFonts w:eastAsia="Arial"/>
          <w:color w:val="000000"/>
        </w:rPr>
      </w:pPr>
      <w:r w:rsidRPr="00650B72">
        <w:rPr>
          <w:rFonts w:eastAsia="Yu Mincho"/>
        </w:rPr>
        <w:t xml:space="preserve">The NDIA has observed that participants are reporting greater independence in their NDIS experience, exceeding the target for participant perception of choice and control over their life. The NDIA now offers improved guidance to help participants understand how they can use their plan. </w:t>
      </w:r>
      <w:r w:rsidR="00EF64F4" w:rsidRPr="00650B72">
        <w:rPr>
          <w:rFonts w:eastAsia="Yu Mincho"/>
        </w:rPr>
        <w:t>F</w:t>
      </w:r>
      <w:r w:rsidRPr="00650B72">
        <w:rPr>
          <w:rFonts w:eastAsia="Symbol" w:cs="Arial"/>
        </w:rPr>
        <w:t xml:space="preserve">or example, our </w:t>
      </w:r>
      <w:r w:rsidRPr="00650B72">
        <w:rPr>
          <w:rFonts w:eastAsia="Yu Mincho"/>
        </w:rPr>
        <w:t>‘</w:t>
      </w:r>
      <w:r w:rsidRPr="00650B72">
        <w:rPr>
          <w:rFonts w:eastAsia="Arial"/>
        </w:rPr>
        <w:t>Would We Fund It’</w:t>
      </w:r>
      <w:r w:rsidRPr="00650B72">
        <w:rPr>
          <w:rFonts w:eastAsia="Arial"/>
          <w:color w:val="000000"/>
        </w:rPr>
        <w:t xml:space="preserve"> guideline provides examples of the types of supports we typically fund. Also, NDIA staff are trained to assist participants to understand how to use their supports and exercise choice and control across their journey.</w:t>
      </w:r>
    </w:p>
    <w:p w14:paraId="10DACA90" w14:textId="1EFC5BB3" w:rsidR="000D3DCF" w:rsidRPr="009C34F0" w:rsidRDefault="000D3DCF" w:rsidP="00A01981">
      <w:pPr>
        <w:rPr>
          <w:rFonts w:eastAsia="Arial"/>
          <w:color w:val="000000"/>
        </w:rPr>
      </w:pPr>
      <w:r>
        <w:rPr>
          <w:rFonts w:eastAsia="Arial"/>
          <w:color w:val="000000"/>
        </w:rPr>
        <w:t>T</w:t>
      </w:r>
      <w:r w:rsidRPr="009C34F0">
        <w:rPr>
          <w:rFonts w:eastAsia="Arial"/>
          <w:color w:val="000000"/>
        </w:rPr>
        <w:t xml:space="preserve">he </w:t>
      </w:r>
      <w:r>
        <w:rPr>
          <w:rFonts w:eastAsia="Arial"/>
          <w:color w:val="000000"/>
        </w:rPr>
        <w:t>NDIA</w:t>
      </w:r>
      <w:r w:rsidRPr="009C34F0">
        <w:rPr>
          <w:rFonts w:eastAsia="Arial"/>
          <w:color w:val="000000"/>
        </w:rPr>
        <w:t xml:space="preserve"> uses a </w:t>
      </w:r>
      <w:r>
        <w:rPr>
          <w:rFonts w:eastAsia="Arial"/>
          <w:color w:val="000000"/>
        </w:rPr>
        <w:t>s</w:t>
      </w:r>
      <w:r w:rsidRPr="009C34F0">
        <w:rPr>
          <w:rFonts w:eastAsia="Arial"/>
          <w:color w:val="000000"/>
        </w:rPr>
        <w:t xml:space="preserve">upported </w:t>
      </w:r>
      <w:r>
        <w:rPr>
          <w:rFonts w:eastAsia="Arial"/>
          <w:color w:val="000000"/>
        </w:rPr>
        <w:t>d</w:t>
      </w:r>
      <w:r w:rsidRPr="009C34F0">
        <w:rPr>
          <w:rFonts w:eastAsia="Arial"/>
          <w:color w:val="000000"/>
        </w:rPr>
        <w:t>ecision-</w:t>
      </w:r>
      <w:r>
        <w:rPr>
          <w:rFonts w:eastAsia="Arial"/>
          <w:color w:val="000000"/>
        </w:rPr>
        <w:t>m</w:t>
      </w:r>
      <w:r w:rsidRPr="009C34F0">
        <w:rPr>
          <w:rFonts w:eastAsia="Arial"/>
          <w:color w:val="000000"/>
        </w:rPr>
        <w:t>aking model</w:t>
      </w:r>
      <w:r>
        <w:rPr>
          <w:rFonts w:eastAsia="Arial"/>
          <w:color w:val="000000"/>
        </w:rPr>
        <w:t xml:space="preserve"> to further support participants’ choice and control</w:t>
      </w:r>
      <w:r w:rsidRPr="009C34F0">
        <w:rPr>
          <w:rFonts w:eastAsia="Arial"/>
          <w:color w:val="000000"/>
        </w:rPr>
        <w:t xml:space="preserve">. </w:t>
      </w:r>
      <w:r>
        <w:rPr>
          <w:rFonts w:eastAsia="Arial"/>
          <w:color w:val="000000"/>
        </w:rPr>
        <w:t>The model</w:t>
      </w:r>
      <w:r w:rsidRPr="009C34F0">
        <w:rPr>
          <w:rFonts w:eastAsia="Arial"/>
          <w:color w:val="000000"/>
        </w:rPr>
        <w:t xml:space="preserve"> has 4 main principles that guide how we can improve the </w:t>
      </w:r>
      <w:r>
        <w:rPr>
          <w:rFonts w:eastAsia="Arial"/>
          <w:color w:val="000000"/>
        </w:rPr>
        <w:t>NDIS</w:t>
      </w:r>
      <w:r w:rsidRPr="009C34F0">
        <w:rPr>
          <w:rFonts w:eastAsia="Arial"/>
          <w:color w:val="000000"/>
        </w:rPr>
        <w:t xml:space="preserve"> to better support people with disability to make decisions:</w:t>
      </w:r>
    </w:p>
    <w:p w14:paraId="34999F73" w14:textId="52569C52" w:rsidR="000D3DCF" w:rsidRPr="009C34F0" w:rsidRDefault="000D3DCF" w:rsidP="00A01981">
      <w:pPr>
        <w:pStyle w:val="Bullet1"/>
        <w:rPr>
          <w:rFonts w:eastAsia="Arial"/>
        </w:rPr>
      </w:pPr>
      <w:r>
        <w:rPr>
          <w:rFonts w:eastAsia="Arial"/>
        </w:rPr>
        <w:t>A</w:t>
      </w:r>
      <w:r w:rsidRPr="009C34F0">
        <w:rPr>
          <w:rFonts w:eastAsia="Arial"/>
        </w:rPr>
        <w:t>ll adults have an equal right to make decisions that affect their lives and to have those decisions respected</w:t>
      </w:r>
      <w:r>
        <w:rPr>
          <w:rFonts w:eastAsia="Arial"/>
        </w:rPr>
        <w:t>.</w:t>
      </w:r>
    </w:p>
    <w:p w14:paraId="0486CDE8" w14:textId="5FB7DBC4" w:rsidR="000D3DCF" w:rsidRPr="009C34F0" w:rsidRDefault="000D3DCF" w:rsidP="00A01981">
      <w:pPr>
        <w:pStyle w:val="Bullet1"/>
        <w:rPr>
          <w:rFonts w:eastAsia="Arial"/>
        </w:rPr>
      </w:pPr>
      <w:r>
        <w:rPr>
          <w:rFonts w:eastAsia="Arial"/>
        </w:rPr>
        <w:t>T</w:t>
      </w:r>
      <w:r w:rsidRPr="009C34F0">
        <w:rPr>
          <w:rFonts w:eastAsia="Arial"/>
        </w:rPr>
        <w:t>here must be access to support for people who need help communicating and participating in decisions</w:t>
      </w:r>
      <w:r>
        <w:rPr>
          <w:rFonts w:eastAsia="Arial"/>
        </w:rPr>
        <w:t>.</w:t>
      </w:r>
    </w:p>
    <w:p w14:paraId="4295E990" w14:textId="2B76D036" w:rsidR="000D3DCF" w:rsidRPr="009C34F0" w:rsidRDefault="000D3DCF" w:rsidP="00A01981">
      <w:pPr>
        <w:pStyle w:val="Bullet1"/>
        <w:rPr>
          <w:rFonts w:eastAsia="Arial"/>
        </w:rPr>
      </w:pPr>
      <w:r>
        <w:rPr>
          <w:rFonts w:eastAsia="Arial"/>
        </w:rPr>
        <w:t>D</w:t>
      </w:r>
      <w:r w:rsidRPr="009C34F0">
        <w:rPr>
          <w:rFonts w:eastAsia="Arial"/>
        </w:rPr>
        <w:t>ecisions are directed by a person’s own will, preferences and rights</w:t>
      </w:r>
      <w:r>
        <w:rPr>
          <w:rFonts w:eastAsia="Arial"/>
        </w:rPr>
        <w:t>.</w:t>
      </w:r>
    </w:p>
    <w:p w14:paraId="74882C21" w14:textId="4A6379C4" w:rsidR="00247078" w:rsidRPr="00247078" w:rsidRDefault="000D3DCF" w:rsidP="004047AA">
      <w:pPr>
        <w:pStyle w:val="Bullet1"/>
        <w:spacing w:after="0" w:line="240" w:lineRule="auto"/>
        <w:rPr>
          <w:b/>
          <w:bCs/>
          <w:lang w:val="en-GB"/>
        </w:rPr>
      </w:pPr>
      <w:r w:rsidRPr="00247078">
        <w:rPr>
          <w:rFonts w:eastAsia="Arial"/>
        </w:rPr>
        <w:t>Inclusion of appropriate and effective safeguards against violence, abuse, neglect or exploitation.</w:t>
      </w:r>
      <w:r w:rsidR="00247078" w:rsidRPr="00247078">
        <w:rPr>
          <w:b/>
          <w:bCs/>
          <w:lang w:val="en-GB"/>
        </w:rPr>
        <w:br w:type="page"/>
      </w:r>
    </w:p>
    <w:p w14:paraId="60A419B0" w14:textId="4D709EC8" w:rsidR="000D3DCF" w:rsidRPr="00A33264" w:rsidRDefault="000D3DCF" w:rsidP="001C74C2">
      <w:pPr>
        <w:rPr>
          <w:b/>
          <w:bCs/>
          <w:lang w:val="en-GB"/>
        </w:rPr>
      </w:pPr>
      <w:r w:rsidRPr="00A33264">
        <w:rPr>
          <w:b/>
          <w:bCs/>
          <w:lang w:val="en-GB"/>
        </w:rPr>
        <w:lastRenderedPageBreak/>
        <w:t>Participant perception of choice and control for selecting providers</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4"/>
        <w:gridCol w:w="1348"/>
        <w:gridCol w:w="1348"/>
        <w:gridCol w:w="1355"/>
        <w:gridCol w:w="1331"/>
      </w:tblGrid>
      <w:tr w:rsidR="000D3DCF" w:rsidRPr="00A33264" w14:paraId="3CA3859F"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4" w:type="dxa"/>
            <w:shd w:val="clear" w:color="auto" w:fill="A1CE63"/>
          </w:tcPr>
          <w:p w14:paraId="127A6BED" w14:textId="12F7D299" w:rsidR="000D3DCF" w:rsidRPr="00A33264" w:rsidRDefault="000D3DCF">
            <w:pPr>
              <w:pStyle w:val="TableBody"/>
              <w:rPr>
                <w:color w:val="auto"/>
                <w:lang w:val="en-GB"/>
              </w:rPr>
            </w:pPr>
            <w:bookmarkStart w:id="82" w:name="ColumnTitle_PerformanceMeasure3"/>
            <w:bookmarkEnd w:id="82"/>
            <w:r w:rsidRPr="00A33264">
              <w:rPr>
                <w:color w:val="auto"/>
                <w:lang w:val="en-GB"/>
              </w:rPr>
              <w:t xml:space="preserve">Performance </w:t>
            </w:r>
            <w:r>
              <w:rPr>
                <w:color w:val="auto"/>
                <w:lang w:val="en-GB"/>
              </w:rPr>
              <w:t>m</w:t>
            </w:r>
            <w:r w:rsidRPr="00A33264">
              <w:rPr>
                <w:color w:val="auto"/>
                <w:lang w:val="en-GB"/>
              </w:rPr>
              <w:t>easure</w:t>
            </w:r>
          </w:p>
        </w:tc>
        <w:tc>
          <w:tcPr>
            <w:tcW w:w="1348" w:type="dxa"/>
            <w:shd w:val="clear" w:color="auto" w:fill="A1CE63"/>
          </w:tcPr>
          <w:p w14:paraId="7D8B27A7"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48" w:type="dxa"/>
            <w:shd w:val="clear" w:color="auto" w:fill="A1CE63"/>
          </w:tcPr>
          <w:p w14:paraId="5E7D3996"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55" w:type="dxa"/>
            <w:shd w:val="clear" w:color="auto" w:fill="A1CE63"/>
          </w:tcPr>
          <w:p w14:paraId="05171C84"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24 O</w:t>
            </w:r>
            <w:r w:rsidRPr="00A33264">
              <w:rPr>
                <w:color w:val="auto"/>
                <w:lang w:val="en-GB"/>
              </w:rPr>
              <w:t>utcome</w:t>
            </w:r>
          </w:p>
        </w:tc>
        <w:tc>
          <w:tcPr>
            <w:tcW w:w="1331" w:type="dxa"/>
            <w:shd w:val="clear" w:color="auto" w:fill="A1CE63"/>
          </w:tcPr>
          <w:p w14:paraId="62ADB271" w14:textId="77777777" w:rsidR="000D3DCF" w:rsidRPr="00A01981"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5466FAE8" w14:textId="77777777" w:rsidTr="00A01981">
        <w:trPr>
          <w:cnfStyle w:val="000000100000" w:firstRow="0" w:lastRow="0" w:firstColumn="0" w:lastColumn="0" w:oddVBand="0" w:evenVBand="0" w:oddHBand="1" w:evenHBand="0" w:firstRowFirstColumn="0" w:firstRowLastColumn="0" w:lastRowFirstColumn="0" w:lastRowLastColumn="0"/>
          <w:cantSplit/>
        </w:trPr>
        <w:tc>
          <w:tcPr>
            <w:tcW w:w="3634" w:type="dxa"/>
            <w:shd w:val="clear" w:color="auto" w:fill="E5F1D4"/>
          </w:tcPr>
          <w:p w14:paraId="684A062B" w14:textId="4856E1EB" w:rsidR="000D3DCF" w:rsidRPr="00A33264" w:rsidRDefault="000D3DCF" w:rsidP="001C74C2">
            <w:pPr>
              <w:pStyle w:val="TableBody"/>
              <w:rPr>
                <w:lang w:val="en-GB"/>
              </w:rPr>
            </w:pPr>
            <w:r w:rsidRPr="00A33264">
              <w:rPr>
                <w:lang w:val="en-GB"/>
              </w:rPr>
              <w:t>Participant perception of choice and control for selecting providers</w:t>
            </w:r>
          </w:p>
        </w:tc>
        <w:tc>
          <w:tcPr>
            <w:tcW w:w="1348" w:type="dxa"/>
            <w:shd w:val="clear" w:color="auto" w:fill="E5F1D4"/>
          </w:tcPr>
          <w:p w14:paraId="7ADB7E8D" w14:textId="77777777" w:rsidR="000D3DCF" w:rsidRPr="00A33264" w:rsidRDefault="000D3DCF" w:rsidP="00BB40DF">
            <w:pPr>
              <w:pStyle w:val="TableBody"/>
              <w:jc w:val="right"/>
              <w:rPr>
                <w:lang w:val="en-GB"/>
              </w:rPr>
            </w:pPr>
            <w:r w:rsidRPr="00A33264">
              <w:rPr>
                <w:lang w:val="en-GB"/>
              </w:rPr>
              <w:t>Above 70%</w:t>
            </w:r>
          </w:p>
        </w:tc>
        <w:tc>
          <w:tcPr>
            <w:tcW w:w="1348" w:type="dxa"/>
            <w:shd w:val="clear" w:color="auto" w:fill="E5F1D4"/>
          </w:tcPr>
          <w:p w14:paraId="5192ECBE" w14:textId="77777777" w:rsidR="000D3DCF" w:rsidRPr="00A33264" w:rsidRDefault="000D3DCF" w:rsidP="00BB40DF">
            <w:pPr>
              <w:pStyle w:val="TableBody"/>
              <w:jc w:val="right"/>
              <w:rPr>
                <w:lang w:val="en-GB"/>
              </w:rPr>
            </w:pPr>
            <w:r w:rsidRPr="00A33264">
              <w:rPr>
                <w:lang w:val="en-GB"/>
              </w:rPr>
              <w:t>53.2%</w:t>
            </w:r>
          </w:p>
        </w:tc>
        <w:tc>
          <w:tcPr>
            <w:tcW w:w="1355" w:type="dxa"/>
            <w:shd w:val="clear" w:color="auto" w:fill="E5F1D4"/>
          </w:tcPr>
          <w:p w14:paraId="0C91293E" w14:textId="77777777" w:rsidR="000D3DCF" w:rsidRPr="00A33264" w:rsidRDefault="000D3DCF" w:rsidP="00BB40DF">
            <w:pPr>
              <w:pStyle w:val="TableBody"/>
              <w:jc w:val="right"/>
              <w:rPr>
                <w:lang w:val="en-GB"/>
              </w:rPr>
            </w:pPr>
            <w:r w:rsidRPr="00A33264">
              <w:rPr>
                <w:lang w:val="en-GB"/>
              </w:rPr>
              <w:t>Not achieved</w:t>
            </w:r>
          </w:p>
        </w:tc>
        <w:tc>
          <w:tcPr>
            <w:tcW w:w="1331" w:type="dxa"/>
            <w:shd w:val="clear" w:color="auto" w:fill="E5F1D4"/>
          </w:tcPr>
          <w:p w14:paraId="37E7D86F" w14:textId="77777777" w:rsidR="000D3DCF" w:rsidRPr="00A33264" w:rsidRDefault="000D3DCF" w:rsidP="00BB40DF">
            <w:pPr>
              <w:pStyle w:val="TableBody"/>
              <w:jc w:val="right"/>
              <w:rPr>
                <w:lang w:val="en-GB"/>
              </w:rPr>
            </w:pPr>
            <w:r>
              <w:rPr>
                <w:lang w:val="en-GB"/>
              </w:rPr>
              <w:t>51.3%</w:t>
            </w:r>
          </w:p>
        </w:tc>
      </w:tr>
    </w:tbl>
    <w:p w14:paraId="0DB4754B" w14:textId="77777777" w:rsidR="000D3DCF" w:rsidRDefault="000D3DCF" w:rsidP="00B27FA1">
      <w:pPr>
        <w:pStyle w:val="Heading6"/>
        <w:rPr>
          <w:rFonts w:eastAsia="Arial"/>
        </w:rPr>
      </w:pPr>
      <w:r>
        <w:rPr>
          <w:rFonts w:eastAsia="Arial"/>
        </w:rPr>
        <w:t>Why we measure this</w:t>
      </w:r>
    </w:p>
    <w:p w14:paraId="5F047E02" w14:textId="6B3FB7FD" w:rsidR="000D3DCF" w:rsidRDefault="000D3DCF" w:rsidP="00A01981">
      <w:r w:rsidRPr="009C34F0">
        <w:rPr>
          <w:rFonts w:eastAsia="Arial"/>
          <w:color w:val="000000"/>
        </w:rPr>
        <w:t>Th</w:t>
      </w:r>
      <w:r>
        <w:rPr>
          <w:rFonts w:eastAsia="Arial"/>
          <w:color w:val="000000"/>
        </w:rPr>
        <w:t>is</w:t>
      </w:r>
      <w:r w:rsidRPr="009C34F0">
        <w:rPr>
          <w:rFonts w:eastAsia="Arial"/>
          <w:color w:val="000000"/>
        </w:rPr>
        <w:t xml:space="preserve"> measure assesses </w:t>
      </w:r>
      <w:r w:rsidRPr="009C34F0">
        <w:t xml:space="preserve">the effectiveness of the </w:t>
      </w:r>
      <w:r>
        <w:t>NDIS</w:t>
      </w:r>
      <w:r w:rsidRPr="009C34F0">
        <w:t xml:space="preserve"> </w:t>
      </w:r>
      <w:r>
        <w:t>in</w:t>
      </w:r>
      <w:r w:rsidRPr="009C34F0">
        <w:t xml:space="preserve"> support</w:t>
      </w:r>
      <w:r>
        <w:t>ing</w:t>
      </w:r>
      <w:r w:rsidRPr="009C34F0">
        <w:t xml:space="preserve"> participant independence during plan implementation. </w:t>
      </w:r>
    </w:p>
    <w:p w14:paraId="4A6302AB" w14:textId="77777777" w:rsidR="000D3DCF" w:rsidRDefault="000D3DCF" w:rsidP="00B27FA1">
      <w:pPr>
        <w:pStyle w:val="Heading6"/>
      </w:pPr>
      <w:r>
        <w:t>How we measure this</w:t>
      </w:r>
    </w:p>
    <w:p w14:paraId="536A4232" w14:textId="3081B96F" w:rsidR="000D3DCF" w:rsidRPr="009C34F0" w:rsidRDefault="000D3DCF" w:rsidP="00A01981">
      <w:pPr>
        <w:rPr>
          <w:rFonts w:eastAsia="Arial"/>
          <w:color w:val="000000"/>
        </w:rPr>
      </w:pPr>
      <w:r>
        <w:t>We obtain our results for this performance measure by</w:t>
      </w:r>
      <w:r w:rsidRPr="009C34F0" w:rsidDel="00C4692F">
        <w:t xml:space="preserve"> </w:t>
      </w:r>
      <w:r w:rsidRPr="009C34F0">
        <w:t>calculat</w:t>
      </w:r>
      <w:r>
        <w:t>ing</w:t>
      </w:r>
      <w:r w:rsidRPr="009C34F0">
        <w:t xml:space="preserve"> the percentage of participants</w:t>
      </w:r>
      <w:r>
        <w:t xml:space="preserve"> (</w:t>
      </w:r>
      <w:r w:rsidRPr="009C34F0">
        <w:t xml:space="preserve">aged 15+ who have been in the </w:t>
      </w:r>
      <w:r>
        <w:t>NDIS</w:t>
      </w:r>
      <w:r w:rsidRPr="009C34F0">
        <w:t xml:space="preserve"> for at least 2 years</w:t>
      </w:r>
      <w:r>
        <w:t>)</w:t>
      </w:r>
      <w:r w:rsidRPr="009C34F0">
        <w:t xml:space="preserve"> who </w:t>
      </w:r>
      <w:r w:rsidRPr="001B085B">
        <w:t>answer ‘yes’ to</w:t>
      </w:r>
      <w:r>
        <w:t xml:space="preserve"> the question</w:t>
      </w:r>
      <w:r w:rsidRPr="001B085B">
        <w:t xml:space="preserve"> ‘</w:t>
      </w:r>
      <w:r>
        <w:t>D</w:t>
      </w:r>
      <w:r w:rsidRPr="001B085B">
        <w:t>o you choose who supports you</w:t>
      </w:r>
      <w:r>
        <w:t>?</w:t>
      </w:r>
      <w:r w:rsidRPr="001B085B">
        <w:t xml:space="preserve">’, </w:t>
      </w:r>
      <w:r>
        <w:t>using the participant’s most recent response to</w:t>
      </w:r>
      <w:r w:rsidRPr="009C34F0">
        <w:t xml:space="preserve"> the </w:t>
      </w:r>
      <w:r>
        <w:t>NDIS Short Form Outcomes Framework survey.</w:t>
      </w:r>
    </w:p>
    <w:p w14:paraId="2E7A5D78" w14:textId="77777777" w:rsidR="000D3DCF" w:rsidRDefault="000D3DCF" w:rsidP="00B27FA1">
      <w:pPr>
        <w:pStyle w:val="Heading6"/>
        <w:rPr>
          <w:rFonts w:eastAsia="Arial"/>
        </w:rPr>
      </w:pPr>
      <w:r>
        <w:rPr>
          <w:rFonts w:eastAsia="Arial"/>
        </w:rPr>
        <w:t>Analysis</w:t>
      </w:r>
    </w:p>
    <w:p w14:paraId="27608E40" w14:textId="739D7051" w:rsidR="000D3DCF" w:rsidRPr="007F270C" w:rsidRDefault="000D3DCF" w:rsidP="00A01981">
      <w:pPr>
        <w:rPr>
          <w:rFonts w:eastAsia="Arial"/>
          <w:color w:val="333333"/>
        </w:rPr>
      </w:pPr>
      <w:r>
        <w:rPr>
          <w:rFonts w:eastAsia="Yu Mincho"/>
        </w:rPr>
        <w:t>In 2023–24</w:t>
      </w:r>
      <w:r w:rsidRPr="00E2624C">
        <w:rPr>
          <w:rFonts w:eastAsia="Yu Mincho"/>
        </w:rPr>
        <w:t xml:space="preserve">, participants’ perception of choice and control in selecting providers was below target. </w:t>
      </w:r>
      <w:r>
        <w:rPr>
          <w:rFonts w:eastAsia="Yu Mincho"/>
        </w:rPr>
        <w:t xml:space="preserve">Participant choice and control may be affected by the fact that in some areas there are </w:t>
      </w:r>
      <w:r>
        <w:rPr>
          <w:rFonts w:eastAsia="Arial"/>
          <w:color w:val="000000"/>
        </w:rPr>
        <w:t>l</w:t>
      </w:r>
      <w:r w:rsidRPr="00E2624C">
        <w:rPr>
          <w:rFonts w:eastAsia="Arial"/>
          <w:color w:val="000000"/>
        </w:rPr>
        <w:t xml:space="preserve">imited </w:t>
      </w:r>
      <w:r>
        <w:rPr>
          <w:rFonts w:eastAsia="Arial"/>
          <w:color w:val="000000"/>
        </w:rPr>
        <w:t xml:space="preserve">numbers of </w:t>
      </w:r>
      <w:r w:rsidRPr="00E2624C">
        <w:rPr>
          <w:rFonts w:eastAsia="Arial"/>
          <w:color w:val="000000"/>
        </w:rPr>
        <w:t>provider</w:t>
      </w:r>
      <w:r>
        <w:rPr>
          <w:rFonts w:eastAsia="Arial"/>
          <w:color w:val="000000"/>
        </w:rPr>
        <w:t>s</w:t>
      </w:r>
      <w:r w:rsidRPr="00E2624C">
        <w:rPr>
          <w:rFonts w:eastAsia="Arial"/>
          <w:color w:val="000000"/>
        </w:rPr>
        <w:t xml:space="preserve">. Participants may </w:t>
      </w:r>
      <w:r>
        <w:rPr>
          <w:rFonts w:eastAsia="Arial"/>
          <w:color w:val="000000"/>
        </w:rPr>
        <w:t>be staying with a</w:t>
      </w:r>
      <w:r w:rsidRPr="00E2624C">
        <w:rPr>
          <w:rFonts w:eastAsia="Arial"/>
          <w:color w:val="000000"/>
        </w:rPr>
        <w:t xml:space="preserve"> provider </w:t>
      </w:r>
      <w:r>
        <w:rPr>
          <w:rFonts w:eastAsia="Arial"/>
          <w:color w:val="000000"/>
        </w:rPr>
        <w:t xml:space="preserve">rather than choosing another one that better suits them because of the </w:t>
      </w:r>
      <w:r w:rsidR="00573E0F">
        <w:rPr>
          <w:rFonts w:eastAsia="Arial"/>
          <w:color w:val="000000"/>
        </w:rPr>
        <w:t xml:space="preserve">perceived </w:t>
      </w:r>
      <w:r w:rsidRPr="00E2624C">
        <w:rPr>
          <w:rFonts w:eastAsia="Arial"/>
          <w:color w:val="333333"/>
        </w:rPr>
        <w:t xml:space="preserve">uncertainty and risk </w:t>
      </w:r>
      <w:r>
        <w:rPr>
          <w:rFonts w:eastAsia="Arial"/>
          <w:color w:val="333333"/>
        </w:rPr>
        <w:t>involved in</w:t>
      </w:r>
      <w:r w:rsidRPr="00E2624C">
        <w:rPr>
          <w:rFonts w:eastAsia="Arial"/>
          <w:color w:val="333333"/>
        </w:rPr>
        <w:t xml:space="preserve"> changing providers.</w:t>
      </w:r>
    </w:p>
    <w:p w14:paraId="3E3DF5EE" w14:textId="42F23791" w:rsidR="000D3DCF" w:rsidRPr="00F86FC3" w:rsidRDefault="000D3DCF" w:rsidP="00A01981">
      <w:pPr>
        <w:rPr>
          <w:rFonts w:eastAsia="Arial"/>
          <w:color w:val="000000"/>
        </w:rPr>
      </w:pPr>
      <w:r w:rsidRPr="00E2624C">
        <w:rPr>
          <w:rFonts w:eastAsia="Yu Mincho"/>
        </w:rPr>
        <w:t xml:space="preserve">NDIA and partner staff continue to be trained to </w:t>
      </w:r>
      <w:r>
        <w:rPr>
          <w:rFonts w:eastAsia="Yu Mincho"/>
        </w:rPr>
        <w:t xml:space="preserve">help </w:t>
      </w:r>
      <w:r w:rsidRPr="00E2624C">
        <w:rPr>
          <w:rFonts w:eastAsia="Yu Mincho"/>
        </w:rPr>
        <w:t>participants understand their supports and exercis</w:t>
      </w:r>
      <w:r>
        <w:rPr>
          <w:rFonts w:eastAsia="Yu Mincho"/>
        </w:rPr>
        <w:t>e</w:t>
      </w:r>
      <w:r w:rsidRPr="00E2624C">
        <w:rPr>
          <w:rFonts w:eastAsia="Yu Mincho"/>
        </w:rPr>
        <w:t xml:space="preserve"> choice and control</w:t>
      </w:r>
      <w:r>
        <w:rPr>
          <w:rFonts w:eastAsia="Yu Mincho"/>
        </w:rPr>
        <w:t xml:space="preserve">. </w:t>
      </w:r>
      <w:r w:rsidRPr="00E2624C">
        <w:rPr>
          <w:rFonts w:eastAsia="Yu Mincho"/>
        </w:rPr>
        <w:t xml:space="preserve">Support </w:t>
      </w:r>
      <w:r>
        <w:rPr>
          <w:rFonts w:eastAsia="Yu Mincho"/>
        </w:rPr>
        <w:t>c</w:t>
      </w:r>
      <w:r w:rsidRPr="00E2624C">
        <w:rPr>
          <w:rFonts w:eastAsia="Yu Mincho"/>
        </w:rPr>
        <w:t xml:space="preserve">oordinators </w:t>
      </w:r>
      <w:r>
        <w:rPr>
          <w:rFonts w:eastAsia="Yu Mincho"/>
        </w:rPr>
        <w:t xml:space="preserve">play </w:t>
      </w:r>
      <w:r w:rsidR="0009788A">
        <w:rPr>
          <w:rFonts w:eastAsia="Yu Mincho"/>
        </w:rPr>
        <w:t xml:space="preserve">a </w:t>
      </w:r>
      <w:r>
        <w:rPr>
          <w:rFonts w:eastAsia="Yu Mincho"/>
        </w:rPr>
        <w:t xml:space="preserve">role </w:t>
      </w:r>
      <w:r w:rsidRPr="00E2624C">
        <w:rPr>
          <w:rFonts w:eastAsia="Yu Mincho"/>
        </w:rPr>
        <w:t xml:space="preserve">in </w:t>
      </w:r>
      <w:r>
        <w:rPr>
          <w:rFonts w:eastAsia="Yu Mincho"/>
        </w:rPr>
        <w:t>helping</w:t>
      </w:r>
      <w:r w:rsidRPr="00E2624C">
        <w:rPr>
          <w:rFonts w:eastAsia="Yu Mincho"/>
        </w:rPr>
        <w:t xml:space="preserve"> participants engage with their NDIS supports </w:t>
      </w:r>
      <w:r>
        <w:rPr>
          <w:rFonts w:eastAsia="Yu Mincho"/>
        </w:rPr>
        <w:t>while their</w:t>
      </w:r>
      <w:r w:rsidRPr="00E2624C">
        <w:rPr>
          <w:rFonts w:eastAsia="Yu Mincho"/>
        </w:rPr>
        <w:t xml:space="preserve"> plan</w:t>
      </w:r>
      <w:r>
        <w:rPr>
          <w:rFonts w:eastAsia="Yu Mincho"/>
        </w:rPr>
        <w:t xml:space="preserve"> is being</w:t>
      </w:r>
      <w:r w:rsidRPr="00E2624C">
        <w:rPr>
          <w:rFonts w:eastAsia="Yu Mincho"/>
        </w:rPr>
        <w:t xml:space="preserve"> implement</w:t>
      </w:r>
      <w:r>
        <w:rPr>
          <w:rFonts w:eastAsia="Yu Mincho"/>
        </w:rPr>
        <w:t>ed</w:t>
      </w:r>
      <w:r w:rsidRPr="00E2624C">
        <w:rPr>
          <w:rFonts w:eastAsia="Yu Mincho"/>
        </w:rPr>
        <w:t>.</w:t>
      </w:r>
    </w:p>
    <w:p w14:paraId="6A108CA4" w14:textId="362B92AC" w:rsidR="000D3DCF" w:rsidRPr="00A33264" w:rsidRDefault="000D3DCF" w:rsidP="009B5EFC">
      <w:pPr>
        <w:rPr>
          <w:b/>
          <w:bCs/>
          <w:lang w:val="en-GB"/>
        </w:rPr>
      </w:pPr>
      <w:r w:rsidRPr="00A33264">
        <w:rPr>
          <w:b/>
          <w:bCs/>
          <w:lang w:val="en-GB"/>
        </w:rPr>
        <w:t>Participant satisfaction with progress toward their goals</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4"/>
        <w:gridCol w:w="1348"/>
        <w:gridCol w:w="1348"/>
        <w:gridCol w:w="1355"/>
        <w:gridCol w:w="1331"/>
      </w:tblGrid>
      <w:tr w:rsidR="000D3DCF" w:rsidRPr="00A33264" w14:paraId="0B3DFFD6"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4" w:type="dxa"/>
            <w:shd w:val="clear" w:color="auto" w:fill="A1CE63"/>
          </w:tcPr>
          <w:p w14:paraId="17F05FF9" w14:textId="40A6A0CF" w:rsidR="000D3DCF" w:rsidRPr="00A33264" w:rsidRDefault="000D3DCF">
            <w:pPr>
              <w:pStyle w:val="TableBody"/>
              <w:rPr>
                <w:color w:val="auto"/>
                <w:lang w:val="en-GB"/>
              </w:rPr>
            </w:pPr>
            <w:bookmarkStart w:id="83" w:name="ColumnTitle_PerformanceMeasure4"/>
            <w:bookmarkEnd w:id="83"/>
            <w:r w:rsidRPr="00A33264">
              <w:rPr>
                <w:color w:val="auto"/>
                <w:lang w:val="en-GB"/>
              </w:rPr>
              <w:t xml:space="preserve">Performance </w:t>
            </w:r>
            <w:r>
              <w:rPr>
                <w:color w:val="auto"/>
                <w:lang w:val="en-GB"/>
              </w:rPr>
              <w:t>m</w:t>
            </w:r>
            <w:r w:rsidRPr="00A33264">
              <w:rPr>
                <w:color w:val="auto"/>
                <w:lang w:val="en-GB"/>
              </w:rPr>
              <w:t>easure</w:t>
            </w:r>
          </w:p>
        </w:tc>
        <w:tc>
          <w:tcPr>
            <w:tcW w:w="1348" w:type="dxa"/>
            <w:shd w:val="clear" w:color="auto" w:fill="A1CE63"/>
          </w:tcPr>
          <w:p w14:paraId="7B9E989D"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48" w:type="dxa"/>
            <w:shd w:val="clear" w:color="auto" w:fill="A1CE63"/>
          </w:tcPr>
          <w:p w14:paraId="0E51B1FB"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55" w:type="dxa"/>
            <w:shd w:val="clear" w:color="auto" w:fill="A1CE63"/>
          </w:tcPr>
          <w:p w14:paraId="6F258FDF"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24 O</w:t>
            </w:r>
            <w:r w:rsidRPr="00A33264">
              <w:rPr>
                <w:color w:val="auto"/>
                <w:lang w:val="en-GB"/>
              </w:rPr>
              <w:t>utcome</w:t>
            </w:r>
          </w:p>
        </w:tc>
        <w:tc>
          <w:tcPr>
            <w:tcW w:w="1331" w:type="dxa"/>
            <w:shd w:val="clear" w:color="auto" w:fill="A1CE63"/>
          </w:tcPr>
          <w:p w14:paraId="0F0D45DE" w14:textId="77777777" w:rsidR="000D3DCF" w:rsidRPr="00A01981"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4BE1B917" w14:textId="77777777" w:rsidTr="00A01981">
        <w:trPr>
          <w:cnfStyle w:val="000000100000" w:firstRow="0" w:lastRow="0" w:firstColumn="0" w:lastColumn="0" w:oddVBand="0" w:evenVBand="0" w:oddHBand="1" w:evenHBand="0" w:firstRowFirstColumn="0" w:firstRowLastColumn="0" w:lastRowFirstColumn="0" w:lastRowLastColumn="0"/>
          <w:cantSplit/>
        </w:trPr>
        <w:tc>
          <w:tcPr>
            <w:tcW w:w="3634" w:type="dxa"/>
            <w:shd w:val="clear" w:color="auto" w:fill="E5F1D4"/>
          </w:tcPr>
          <w:p w14:paraId="648C7255" w14:textId="53740B40" w:rsidR="000D3DCF" w:rsidRPr="00A33264" w:rsidRDefault="000D3DCF" w:rsidP="001C74C2">
            <w:pPr>
              <w:pStyle w:val="TableBody"/>
              <w:rPr>
                <w:lang w:val="en-GB"/>
              </w:rPr>
            </w:pPr>
            <w:r w:rsidRPr="00A33264">
              <w:rPr>
                <w:lang w:val="en-GB"/>
              </w:rPr>
              <w:t>Participant satisfaction with progress toward their goals</w:t>
            </w:r>
          </w:p>
        </w:tc>
        <w:tc>
          <w:tcPr>
            <w:tcW w:w="1348" w:type="dxa"/>
            <w:shd w:val="clear" w:color="auto" w:fill="E5F1D4"/>
          </w:tcPr>
          <w:p w14:paraId="7B0B0C8E" w14:textId="77777777" w:rsidR="000D3DCF" w:rsidRPr="00A33264" w:rsidRDefault="000D3DCF" w:rsidP="00BB40DF">
            <w:pPr>
              <w:pStyle w:val="TableBody"/>
              <w:jc w:val="right"/>
              <w:rPr>
                <w:lang w:val="en-GB"/>
              </w:rPr>
            </w:pPr>
            <w:r w:rsidRPr="00A33264">
              <w:rPr>
                <w:lang w:val="en-GB"/>
              </w:rPr>
              <w:t xml:space="preserve">70% </w:t>
            </w:r>
          </w:p>
        </w:tc>
        <w:tc>
          <w:tcPr>
            <w:tcW w:w="1348" w:type="dxa"/>
            <w:shd w:val="clear" w:color="auto" w:fill="E5F1D4"/>
          </w:tcPr>
          <w:p w14:paraId="71ED9014" w14:textId="77777777" w:rsidR="000D3DCF" w:rsidRPr="00A33264" w:rsidRDefault="000D3DCF" w:rsidP="00BB40DF">
            <w:pPr>
              <w:pStyle w:val="TableBody"/>
              <w:jc w:val="right"/>
              <w:rPr>
                <w:lang w:val="en-GB"/>
              </w:rPr>
            </w:pPr>
            <w:r w:rsidRPr="00A33264">
              <w:rPr>
                <w:lang w:val="en-GB"/>
              </w:rPr>
              <w:t>68.5%</w:t>
            </w:r>
          </w:p>
        </w:tc>
        <w:tc>
          <w:tcPr>
            <w:tcW w:w="1355" w:type="dxa"/>
            <w:shd w:val="clear" w:color="auto" w:fill="E5F1D4"/>
          </w:tcPr>
          <w:p w14:paraId="41BD5011" w14:textId="77777777" w:rsidR="000D3DCF" w:rsidRPr="00A33264" w:rsidRDefault="000D3DCF" w:rsidP="00BB40DF">
            <w:pPr>
              <w:pStyle w:val="TableBody"/>
              <w:jc w:val="right"/>
              <w:rPr>
                <w:lang w:val="en-GB"/>
              </w:rPr>
            </w:pPr>
            <w:r w:rsidRPr="00A33264">
              <w:rPr>
                <w:lang w:val="en-GB"/>
              </w:rPr>
              <w:t>Partially achieved</w:t>
            </w:r>
          </w:p>
        </w:tc>
        <w:tc>
          <w:tcPr>
            <w:tcW w:w="1331" w:type="dxa"/>
            <w:shd w:val="clear" w:color="auto" w:fill="E5F1D4"/>
          </w:tcPr>
          <w:p w14:paraId="16B57F4F" w14:textId="77777777" w:rsidR="000D3DCF" w:rsidRPr="00A33264" w:rsidRDefault="000D3DCF" w:rsidP="00BB40DF">
            <w:pPr>
              <w:pStyle w:val="TableBody"/>
              <w:jc w:val="right"/>
              <w:rPr>
                <w:lang w:val="en-GB"/>
              </w:rPr>
            </w:pPr>
            <w:r>
              <w:rPr>
                <w:lang w:val="en-GB"/>
              </w:rPr>
              <w:t>N/A</w:t>
            </w:r>
          </w:p>
        </w:tc>
      </w:tr>
    </w:tbl>
    <w:p w14:paraId="2D867475" w14:textId="77777777" w:rsidR="000D3DCF" w:rsidRDefault="000D3DCF" w:rsidP="00B27FA1">
      <w:pPr>
        <w:pStyle w:val="Heading6"/>
        <w:rPr>
          <w:rFonts w:eastAsia="Yu Mincho"/>
        </w:rPr>
      </w:pPr>
      <w:r>
        <w:rPr>
          <w:rFonts w:eastAsia="Yu Mincho"/>
        </w:rPr>
        <w:t>Why we measure this</w:t>
      </w:r>
    </w:p>
    <w:p w14:paraId="1A2E82D3" w14:textId="23A938EE" w:rsidR="000D3DCF" w:rsidRDefault="000D3DCF" w:rsidP="00A01981">
      <w:r w:rsidRPr="009C34F0">
        <w:rPr>
          <w:rFonts w:eastAsia="Yu Mincho"/>
        </w:rPr>
        <w:t xml:space="preserve">This measure assesses the </w:t>
      </w:r>
      <w:r w:rsidRPr="009C34F0">
        <w:t>effectiveness of reasonable and necessary supports for participants to achieve their goals.</w:t>
      </w:r>
    </w:p>
    <w:p w14:paraId="055D95B9" w14:textId="77777777" w:rsidR="000D3DCF" w:rsidRDefault="000D3DCF" w:rsidP="00B27FA1">
      <w:pPr>
        <w:pStyle w:val="Heading6"/>
      </w:pPr>
      <w:r>
        <w:lastRenderedPageBreak/>
        <w:t>How we measure this</w:t>
      </w:r>
    </w:p>
    <w:p w14:paraId="72458F1B" w14:textId="2DF10A80" w:rsidR="000D3DCF" w:rsidRPr="009C34F0" w:rsidRDefault="000D3DCF" w:rsidP="00A01981">
      <w:pPr>
        <w:rPr>
          <w:rFonts w:eastAsia="Yu Mincho"/>
        </w:rPr>
      </w:pPr>
      <w:r w:rsidRPr="00650B72">
        <w:t xml:space="preserve">We obtain our results for this performance measure by calculating the scaled average of the positive responses to the question </w:t>
      </w:r>
      <w:r w:rsidR="00E804F9">
        <w:t>‘</w:t>
      </w:r>
      <w:r w:rsidRPr="00650B72">
        <w:t>To what extent is your NDIS plan helping you to meet your goals?</w:t>
      </w:r>
      <w:r w:rsidR="00E804F9">
        <w:t>’</w:t>
      </w:r>
      <w:r w:rsidRPr="00650B72">
        <w:t xml:space="preserve"> from the participant satisfaction survey. </w:t>
      </w:r>
      <w:r w:rsidR="0038225E" w:rsidRPr="00650B72">
        <w:t>C</w:t>
      </w:r>
      <w:r w:rsidRPr="00650B72">
        <w:t>hanges</w:t>
      </w:r>
      <w:r w:rsidR="0038225E" w:rsidRPr="00650B72">
        <w:t xml:space="preserve"> were made</w:t>
      </w:r>
      <w:r w:rsidRPr="00650B72">
        <w:t xml:space="preserve"> to the participant satisfaction survey so that it aligns with the new computer system and better supports measurement against the Participant Service Guarantee (PSG) engagement principles. The calculation for this measure was updated to reflect these changes; therefore, this table shows only the result for December 2023 to June 2024. Using the previous methodology, the result of this measure for July to November 2023 was 83.2% and the 2022-23 result was 84.4%.</w:t>
      </w:r>
      <w:r w:rsidR="005E4642">
        <w:t xml:space="preserve"> The 2022–23 result is not shown because it is not comparable.</w:t>
      </w:r>
    </w:p>
    <w:p w14:paraId="718FE1C9" w14:textId="77777777" w:rsidR="000D3DCF" w:rsidRDefault="000D3DCF" w:rsidP="00B27FA1">
      <w:pPr>
        <w:pStyle w:val="Heading6"/>
        <w:rPr>
          <w:rFonts w:eastAsia="Yu Mincho"/>
        </w:rPr>
      </w:pPr>
      <w:r>
        <w:rPr>
          <w:rFonts w:eastAsia="Yu Mincho"/>
        </w:rPr>
        <w:t>Analysis</w:t>
      </w:r>
    </w:p>
    <w:p w14:paraId="37D5DA46" w14:textId="053B10F5" w:rsidR="000D3DCF" w:rsidRPr="009C34F0" w:rsidRDefault="000D3DCF" w:rsidP="00A01981">
      <w:pPr>
        <w:rPr>
          <w:rFonts w:eastAsia="Yu Mincho"/>
        </w:rPr>
      </w:pPr>
      <w:r w:rsidRPr="009C34F0">
        <w:rPr>
          <w:rFonts w:eastAsia="Yu Mincho"/>
        </w:rPr>
        <w:t xml:space="preserve">Over the reporting period, the </w:t>
      </w:r>
      <w:r>
        <w:rPr>
          <w:rFonts w:eastAsia="Yu Mincho"/>
        </w:rPr>
        <w:t>NDIA</w:t>
      </w:r>
      <w:r w:rsidRPr="009C34F0">
        <w:rPr>
          <w:rFonts w:eastAsia="Yu Mincho"/>
        </w:rPr>
        <w:t xml:space="preserve"> has continued to </w:t>
      </w:r>
      <w:r>
        <w:rPr>
          <w:rFonts w:eastAsia="Yu Mincho"/>
        </w:rPr>
        <w:t xml:space="preserve">strive </w:t>
      </w:r>
      <w:r w:rsidR="00303E5F">
        <w:rPr>
          <w:rFonts w:eastAsia="Yu Mincho"/>
        </w:rPr>
        <w:t>to improve</w:t>
      </w:r>
      <w:r w:rsidRPr="009C34F0">
        <w:rPr>
          <w:rFonts w:eastAsia="Yu Mincho"/>
        </w:rPr>
        <w:t xml:space="preserve"> participant satisfaction with</w:t>
      </w:r>
      <w:r>
        <w:rPr>
          <w:rFonts w:eastAsia="Yu Mincho"/>
        </w:rPr>
        <w:t xml:space="preserve"> </w:t>
      </w:r>
      <w:r w:rsidRPr="009C34F0">
        <w:rPr>
          <w:rFonts w:eastAsia="Yu Mincho"/>
        </w:rPr>
        <w:t xml:space="preserve">progress towards their goals. </w:t>
      </w:r>
    </w:p>
    <w:p w14:paraId="728407D3" w14:textId="38D5BBEC" w:rsidR="00617958" w:rsidRDefault="000D3DCF" w:rsidP="00A01981">
      <w:pPr>
        <w:rPr>
          <w:rFonts w:eastAsia="Yu Mincho"/>
        </w:rPr>
      </w:pPr>
      <w:r>
        <w:rPr>
          <w:rFonts w:eastAsia="Arial"/>
          <w:color w:val="000000"/>
        </w:rPr>
        <w:t>NDIA</w:t>
      </w:r>
      <w:r w:rsidRPr="009C34F0">
        <w:rPr>
          <w:rFonts w:eastAsia="Arial"/>
          <w:color w:val="000000"/>
        </w:rPr>
        <w:t xml:space="preserve"> and </w:t>
      </w:r>
      <w:r>
        <w:rPr>
          <w:rFonts w:eastAsia="Arial"/>
          <w:color w:val="000000"/>
        </w:rPr>
        <w:t>p</w:t>
      </w:r>
      <w:r w:rsidRPr="009C34F0">
        <w:rPr>
          <w:rFonts w:eastAsia="Arial"/>
          <w:color w:val="000000"/>
        </w:rPr>
        <w:t xml:space="preserve">artner staff are trained to </w:t>
      </w:r>
      <w:r>
        <w:rPr>
          <w:rFonts w:eastAsia="Arial"/>
          <w:color w:val="000000"/>
        </w:rPr>
        <w:t>have</w:t>
      </w:r>
      <w:r w:rsidRPr="009C34F0">
        <w:rPr>
          <w:rFonts w:eastAsia="Arial"/>
          <w:color w:val="000000"/>
        </w:rPr>
        <w:t xml:space="preserve"> planning conversations and goal discussions</w:t>
      </w:r>
      <w:r>
        <w:rPr>
          <w:rFonts w:eastAsia="Arial"/>
          <w:color w:val="000000"/>
        </w:rPr>
        <w:t xml:space="preserve"> with participants so they understand their supports and can</w:t>
      </w:r>
      <w:r w:rsidRPr="009C34F0">
        <w:rPr>
          <w:rFonts w:eastAsia="Arial"/>
          <w:color w:val="000000"/>
        </w:rPr>
        <w:t xml:space="preserve"> progress towards their goals. </w:t>
      </w:r>
      <w:r w:rsidR="00955DB3" w:rsidRPr="00AA0637">
        <w:rPr>
          <w:rFonts w:eastAsia="Yu Mincho"/>
        </w:rPr>
        <w:t>In early 2024, roles of partner organisations changed, enabling them to increase their capacity to support participants to implement their plans.</w:t>
      </w:r>
    </w:p>
    <w:p w14:paraId="22238BD2" w14:textId="7A92F313" w:rsidR="000D3DCF" w:rsidRPr="009C34F0" w:rsidRDefault="000D3DCF" w:rsidP="00A01981">
      <w:pPr>
        <w:rPr>
          <w:rFonts w:eastAsia="Arial"/>
          <w:color w:val="000000"/>
        </w:rPr>
      </w:pPr>
      <w:r w:rsidRPr="009C34F0">
        <w:rPr>
          <w:rFonts w:eastAsia="Yu Mincho"/>
        </w:rPr>
        <w:t xml:space="preserve">Support </w:t>
      </w:r>
      <w:r>
        <w:rPr>
          <w:rFonts w:eastAsia="Yu Mincho"/>
        </w:rPr>
        <w:t>c</w:t>
      </w:r>
      <w:r w:rsidRPr="009C34F0">
        <w:rPr>
          <w:rFonts w:eastAsia="Yu Mincho"/>
        </w:rPr>
        <w:t xml:space="preserve">oordinators and plan managers are </w:t>
      </w:r>
      <w:r>
        <w:rPr>
          <w:rFonts w:eastAsia="Yu Mincho"/>
        </w:rPr>
        <w:t xml:space="preserve">also </w:t>
      </w:r>
      <w:r w:rsidRPr="009C34F0">
        <w:rPr>
          <w:rFonts w:eastAsia="Yu Mincho"/>
        </w:rPr>
        <w:t xml:space="preserve">important </w:t>
      </w:r>
      <w:r>
        <w:rPr>
          <w:rFonts w:eastAsia="Yu Mincho"/>
        </w:rPr>
        <w:t>in</w:t>
      </w:r>
      <w:r w:rsidRPr="009C34F0">
        <w:rPr>
          <w:rFonts w:eastAsia="Yu Mincho"/>
        </w:rPr>
        <w:t xml:space="preserve"> supporting participants to progress towards their goals. The NDIA is engaging with </w:t>
      </w:r>
      <w:r>
        <w:rPr>
          <w:rFonts w:eastAsia="Yu Mincho"/>
        </w:rPr>
        <w:t>p</w:t>
      </w:r>
      <w:r w:rsidRPr="009C34F0">
        <w:rPr>
          <w:rFonts w:eastAsia="Yu Mincho"/>
        </w:rPr>
        <w:t xml:space="preserve">lan </w:t>
      </w:r>
      <w:r>
        <w:rPr>
          <w:rFonts w:eastAsia="Yu Mincho"/>
        </w:rPr>
        <w:t>m</w:t>
      </w:r>
      <w:r w:rsidRPr="009C34F0">
        <w:rPr>
          <w:rFonts w:eastAsia="Yu Mincho"/>
        </w:rPr>
        <w:t xml:space="preserve">anagers and </w:t>
      </w:r>
      <w:r>
        <w:rPr>
          <w:rFonts w:eastAsia="Yu Mincho"/>
        </w:rPr>
        <w:t>s</w:t>
      </w:r>
      <w:r w:rsidRPr="009C34F0">
        <w:rPr>
          <w:rFonts w:eastAsia="Yu Mincho"/>
        </w:rPr>
        <w:t xml:space="preserve">upport </w:t>
      </w:r>
      <w:r>
        <w:rPr>
          <w:rFonts w:eastAsia="Yu Mincho"/>
        </w:rPr>
        <w:t>c</w:t>
      </w:r>
      <w:r w:rsidRPr="009C34F0">
        <w:rPr>
          <w:rFonts w:eastAsia="Yu Mincho"/>
        </w:rPr>
        <w:t>oordinators to re</w:t>
      </w:r>
      <w:r>
        <w:rPr>
          <w:rFonts w:eastAsia="Yu Mincho"/>
        </w:rPr>
        <w:t>inforce</w:t>
      </w:r>
      <w:r w:rsidRPr="009C34F0">
        <w:rPr>
          <w:rFonts w:eastAsia="Yu Mincho"/>
        </w:rPr>
        <w:t xml:space="preserve"> their </w:t>
      </w:r>
      <w:r>
        <w:rPr>
          <w:rFonts w:eastAsia="Yu Mincho"/>
        </w:rPr>
        <w:t xml:space="preserve">understanding of this aspect of their </w:t>
      </w:r>
      <w:r w:rsidRPr="009C34F0">
        <w:rPr>
          <w:rFonts w:eastAsia="Yu Mincho"/>
        </w:rPr>
        <w:t>role.</w:t>
      </w:r>
    </w:p>
    <w:p w14:paraId="48B7A957" w14:textId="7CE04469" w:rsidR="000D3DCF" w:rsidRPr="00A33264" w:rsidRDefault="000D3DCF" w:rsidP="009B5EFC">
      <w:pPr>
        <w:rPr>
          <w:b/>
          <w:bCs/>
          <w:lang w:val="en-GB"/>
        </w:rPr>
      </w:pPr>
      <w:r w:rsidRPr="0002422C">
        <w:rPr>
          <w:b/>
          <w:bCs/>
          <w:lang w:val="en-GB"/>
        </w:rPr>
        <w:t xml:space="preserve">Participant satisfaction </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0D3DCF" w:rsidRPr="00A33264" w14:paraId="45CBB274"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A1CE63"/>
          </w:tcPr>
          <w:p w14:paraId="48E85555" w14:textId="42AD5838" w:rsidR="000D3DCF" w:rsidRPr="00A33264" w:rsidRDefault="000D3DCF">
            <w:pPr>
              <w:pStyle w:val="TableBody"/>
              <w:rPr>
                <w:color w:val="auto"/>
                <w:lang w:val="en-GB"/>
              </w:rPr>
            </w:pPr>
            <w:bookmarkStart w:id="84" w:name="ColumnTitle_PerformanceMeasure5"/>
            <w:bookmarkEnd w:id="84"/>
            <w:r w:rsidRPr="00A33264">
              <w:rPr>
                <w:color w:val="auto"/>
                <w:lang w:val="en-GB"/>
              </w:rPr>
              <w:t xml:space="preserve">Performance </w:t>
            </w:r>
            <w:r>
              <w:rPr>
                <w:color w:val="auto"/>
                <w:lang w:val="en-GB"/>
              </w:rPr>
              <w:t>m</w:t>
            </w:r>
            <w:r w:rsidRPr="00A33264">
              <w:rPr>
                <w:color w:val="auto"/>
                <w:lang w:val="en-GB"/>
              </w:rPr>
              <w:t>easure</w:t>
            </w:r>
          </w:p>
        </w:tc>
        <w:tc>
          <w:tcPr>
            <w:tcW w:w="1361" w:type="dxa"/>
            <w:shd w:val="clear" w:color="auto" w:fill="A1CE63"/>
          </w:tcPr>
          <w:p w14:paraId="141E78D8"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61" w:type="dxa"/>
            <w:shd w:val="clear" w:color="auto" w:fill="A1CE63"/>
          </w:tcPr>
          <w:p w14:paraId="700EBD93"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61" w:type="dxa"/>
            <w:shd w:val="clear" w:color="auto" w:fill="A1CE63"/>
          </w:tcPr>
          <w:p w14:paraId="008B98B5"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24 O</w:t>
            </w:r>
            <w:r w:rsidRPr="00A33264">
              <w:rPr>
                <w:color w:val="auto"/>
                <w:lang w:val="en-GB"/>
              </w:rPr>
              <w:t>utcome</w:t>
            </w:r>
          </w:p>
        </w:tc>
        <w:tc>
          <w:tcPr>
            <w:tcW w:w="1361" w:type="dxa"/>
            <w:shd w:val="clear" w:color="auto" w:fill="A1CE63"/>
          </w:tcPr>
          <w:p w14:paraId="066E053D" w14:textId="77777777" w:rsidR="000D3DCF" w:rsidRPr="00A01981"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672BAB8C" w14:textId="77777777" w:rsidTr="00A01981">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E5F1D4"/>
          </w:tcPr>
          <w:p w14:paraId="3289E171" w14:textId="0F1E41BA" w:rsidR="000D3DCF" w:rsidRPr="00A33264" w:rsidRDefault="000D3DCF" w:rsidP="001C74C2">
            <w:pPr>
              <w:pStyle w:val="TableBody"/>
              <w:rPr>
                <w:lang w:val="en-GB"/>
              </w:rPr>
            </w:pPr>
            <w:r w:rsidRPr="00A33264">
              <w:rPr>
                <w:lang w:val="en-GB"/>
              </w:rPr>
              <w:t>Participant satisfaction</w:t>
            </w:r>
          </w:p>
        </w:tc>
        <w:tc>
          <w:tcPr>
            <w:tcW w:w="1361" w:type="dxa"/>
            <w:shd w:val="clear" w:color="auto" w:fill="E5F1D4"/>
          </w:tcPr>
          <w:p w14:paraId="6E9A89B5" w14:textId="77777777" w:rsidR="000D3DCF" w:rsidRPr="00A33264" w:rsidRDefault="000D3DCF" w:rsidP="00BB40DF">
            <w:pPr>
              <w:pStyle w:val="TableBody"/>
              <w:jc w:val="right"/>
              <w:rPr>
                <w:lang w:val="en-GB"/>
              </w:rPr>
            </w:pPr>
            <w:r w:rsidRPr="00A33264">
              <w:rPr>
                <w:lang w:val="en-GB"/>
              </w:rPr>
              <w:t>76%</w:t>
            </w:r>
          </w:p>
        </w:tc>
        <w:tc>
          <w:tcPr>
            <w:tcW w:w="1361" w:type="dxa"/>
            <w:shd w:val="clear" w:color="auto" w:fill="E5F1D4"/>
          </w:tcPr>
          <w:p w14:paraId="39A1E6E8" w14:textId="77777777" w:rsidR="000D3DCF" w:rsidRPr="00A33264" w:rsidRDefault="000D3DCF" w:rsidP="00BB40DF">
            <w:pPr>
              <w:pStyle w:val="TableBody"/>
              <w:jc w:val="right"/>
              <w:rPr>
                <w:lang w:val="en-GB"/>
              </w:rPr>
            </w:pPr>
            <w:r w:rsidRPr="00A33264">
              <w:rPr>
                <w:lang w:val="en-GB"/>
              </w:rPr>
              <w:t>68.5%</w:t>
            </w:r>
          </w:p>
        </w:tc>
        <w:tc>
          <w:tcPr>
            <w:tcW w:w="1361" w:type="dxa"/>
            <w:shd w:val="clear" w:color="auto" w:fill="E5F1D4"/>
          </w:tcPr>
          <w:p w14:paraId="13241964" w14:textId="77777777" w:rsidR="000D3DCF" w:rsidRPr="00A33264" w:rsidRDefault="000D3DCF" w:rsidP="00BB40DF">
            <w:pPr>
              <w:pStyle w:val="TableBody"/>
              <w:jc w:val="right"/>
              <w:rPr>
                <w:lang w:val="en-GB"/>
              </w:rPr>
            </w:pPr>
            <w:r w:rsidRPr="00A33264">
              <w:rPr>
                <w:lang w:val="en-GB"/>
              </w:rPr>
              <w:t>Partially achieved</w:t>
            </w:r>
          </w:p>
        </w:tc>
        <w:tc>
          <w:tcPr>
            <w:tcW w:w="1361" w:type="dxa"/>
            <w:shd w:val="clear" w:color="auto" w:fill="E5F1D4"/>
          </w:tcPr>
          <w:p w14:paraId="6AEED343" w14:textId="77777777" w:rsidR="000D3DCF" w:rsidRPr="00A33264" w:rsidRDefault="000D3DCF" w:rsidP="00BB40DF">
            <w:pPr>
              <w:pStyle w:val="TableBody"/>
              <w:jc w:val="right"/>
              <w:rPr>
                <w:lang w:val="en-GB"/>
              </w:rPr>
            </w:pPr>
            <w:r>
              <w:rPr>
                <w:lang w:val="en-GB"/>
              </w:rPr>
              <w:t>74.9%</w:t>
            </w:r>
          </w:p>
        </w:tc>
      </w:tr>
    </w:tbl>
    <w:p w14:paraId="1160FD98" w14:textId="77777777" w:rsidR="000D3DCF" w:rsidRDefault="000D3DCF" w:rsidP="00B27FA1">
      <w:pPr>
        <w:pStyle w:val="Heading6"/>
        <w:rPr>
          <w:rFonts w:eastAsia="Yu Mincho"/>
        </w:rPr>
      </w:pPr>
      <w:r>
        <w:rPr>
          <w:rFonts w:eastAsia="Yu Mincho"/>
        </w:rPr>
        <w:t>Why we measure this</w:t>
      </w:r>
    </w:p>
    <w:p w14:paraId="602CEC6E" w14:textId="2DF9BAF5" w:rsidR="00247078" w:rsidRDefault="000D3DCF" w:rsidP="00247078">
      <w:pPr>
        <w:rPr>
          <w:bCs/>
          <w:color w:val="6B2876" w:themeColor="text1"/>
          <w:sz w:val="26"/>
          <w:szCs w:val="28"/>
        </w:rPr>
      </w:pPr>
      <w:r w:rsidRPr="009C34F0">
        <w:rPr>
          <w:rFonts w:eastAsia="Yu Mincho"/>
        </w:rPr>
        <w:t xml:space="preserve">This measure assesses the </w:t>
      </w:r>
      <w:r w:rsidRPr="009C34F0">
        <w:t xml:space="preserve">effectiveness of the </w:t>
      </w:r>
      <w:r>
        <w:t>NDIS</w:t>
      </w:r>
      <w:r w:rsidRPr="009C34F0">
        <w:t xml:space="preserve"> in supporting participant independence in a safe environment across the 4 </w:t>
      </w:r>
      <w:r>
        <w:t>moments</w:t>
      </w:r>
      <w:r w:rsidRPr="009C34F0">
        <w:t xml:space="preserve"> of the participant pathway</w:t>
      </w:r>
      <w:r w:rsidR="00C85292">
        <w:t xml:space="preserve">: </w:t>
      </w:r>
      <w:r>
        <w:t xml:space="preserve">apply for </w:t>
      </w:r>
      <w:r w:rsidR="00A86D72">
        <w:t xml:space="preserve">the </w:t>
      </w:r>
      <w:r>
        <w:t>NDIS, plan approval, plan implementation and plan reassessment</w:t>
      </w:r>
      <w:r w:rsidRPr="009C34F0">
        <w:t>.</w:t>
      </w:r>
    </w:p>
    <w:p w14:paraId="3CBAA4FC" w14:textId="6543414C" w:rsidR="000D3DCF" w:rsidRDefault="000D3DCF" w:rsidP="00B27FA1">
      <w:pPr>
        <w:pStyle w:val="Heading6"/>
      </w:pPr>
      <w:r>
        <w:t>How we measure this</w:t>
      </w:r>
    </w:p>
    <w:p w14:paraId="5F5830DC" w14:textId="2C47C887" w:rsidR="000D3DCF" w:rsidRDefault="000D3DCF" w:rsidP="00A01981">
      <w:r>
        <w:t>We obtain our results for this performance measure by</w:t>
      </w:r>
      <w:r w:rsidRPr="009C34F0">
        <w:t xml:space="preserve"> calculat</w:t>
      </w:r>
      <w:r>
        <w:t>ing</w:t>
      </w:r>
      <w:r w:rsidRPr="009C34F0">
        <w:t xml:space="preserve"> the weighted average of the results </w:t>
      </w:r>
      <w:r>
        <w:t>reported in the 4</w:t>
      </w:r>
      <w:r w:rsidRPr="009C34F0">
        <w:t xml:space="preserve"> </w:t>
      </w:r>
      <w:r>
        <w:t>q</w:t>
      </w:r>
      <w:r w:rsidRPr="009C34F0">
        <w:t xml:space="preserve">uarterly </w:t>
      </w:r>
      <w:r>
        <w:t>r</w:t>
      </w:r>
      <w:r w:rsidRPr="009C34F0">
        <w:t>eport</w:t>
      </w:r>
      <w:r>
        <w:t>s</w:t>
      </w:r>
      <w:r w:rsidRPr="009C34F0">
        <w:t xml:space="preserve"> </w:t>
      </w:r>
      <w:r>
        <w:t xml:space="preserve">to the Ministerial Council </w:t>
      </w:r>
      <w:r w:rsidRPr="009C34F0">
        <w:t>on the percentage of</w:t>
      </w:r>
      <w:r>
        <w:t xml:space="preserve"> responses of</w:t>
      </w:r>
      <w:r w:rsidRPr="009C34F0">
        <w:t xml:space="preserve"> ‘good’ and ‘very good’ to the participant satisfaction </w:t>
      </w:r>
      <w:r w:rsidRPr="009C34F0">
        <w:lastRenderedPageBreak/>
        <w:t xml:space="preserve">survey question about a participant’s experience across the stages of the </w:t>
      </w:r>
      <w:r>
        <w:t>NDIS</w:t>
      </w:r>
      <w:r w:rsidRPr="009C34F0">
        <w:t xml:space="preserve"> pathway. </w:t>
      </w:r>
    </w:p>
    <w:p w14:paraId="5557558A" w14:textId="330C32DE" w:rsidR="000D3DCF" w:rsidRPr="009C34F0" w:rsidRDefault="000D3DCF" w:rsidP="00A01981">
      <w:r>
        <w:t>In December 2023 the NDIS made c</w:t>
      </w:r>
      <w:r w:rsidRPr="009C34F0">
        <w:t xml:space="preserve">hanges to the participant satisfaction survey </w:t>
      </w:r>
      <w:r>
        <w:t>so that it</w:t>
      </w:r>
      <w:r w:rsidRPr="009244FE">
        <w:t xml:space="preserve"> align</w:t>
      </w:r>
      <w:r>
        <w:t>s</w:t>
      </w:r>
      <w:r w:rsidRPr="009244FE">
        <w:t xml:space="preserve"> with the new computer system and better support</w:t>
      </w:r>
      <w:r>
        <w:t>s</w:t>
      </w:r>
      <w:r w:rsidRPr="009244FE">
        <w:t xml:space="preserve"> measurement against the PSG </w:t>
      </w:r>
      <w:r>
        <w:t>e</w:t>
      </w:r>
      <w:r w:rsidRPr="009244FE">
        <w:t xml:space="preserve">ngagement </w:t>
      </w:r>
      <w:r>
        <w:t>p</w:t>
      </w:r>
      <w:r w:rsidRPr="009244FE">
        <w:t>rinciples.</w:t>
      </w:r>
      <w:r>
        <w:t xml:space="preserve"> </w:t>
      </w:r>
      <w:r w:rsidRPr="00AF7353">
        <w:t xml:space="preserve">The new survey questions </w:t>
      </w:r>
      <w:r>
        <w:t xml:space="preserve">were </w:t>
      </w:r>
      <w:r w:rsidRPr="00AF7353">
        <w:t>mapped against the old questions to ensure results remained comparable</w:t>
      </w:r>
      <w:r>
        <w:t>.</w:t>
      </w:r>
      <w:r w:rsidRPr="009C34F0">
        <w:t xml:space="preserve"> </w:t>
      </w:r>
    </w:p>
    <w:p w14:paraId="1279855F" w14:textId="77777777" w:rsidR="000D3DCF" w:rsidRDefault="000D3DCF" w:rsidP="00B27FA1">
      <w:pPr>
        <w:pStyle w:val="Heading6"/>
      </w:pPr>
      <w:r>
        <w:t>Analysis</w:t>
      </w:r>
    </w:p>
    <w:p w14:paraId="5AFE591D" w14:textId="7AB5F30E" w:rsidR="000D3DCF" w:rsidRPr="009C34F0" w:rsidRDefault="000D3DCF" w:rsidP="00A01981">
      <w:pPr>
        <w:rPr>
          <w:rFonts w:eastAsia="Yu Mincho"/>
        </w:rPr>
      </w:pPr>
      <w:r>
        <w:t>In 2023</w:t>
      </w:r>
      <w:r>
        <w:rPr>
          <w:rFonts w:ascii="Symbol" w:eastAsia="Symbol" w:hAnsi="Symbol" w:cs="Symbol"/>
        </w:rPr>
        <w:t>-</w:t>
      </w:r>
      <w:r>
        <w:t>24</w:t>
      </w:r>
      <w:r w:rsidRPr="009C34F0">
        <w:t xml:space="preserve"> the NDIA made significant change</w:t>
      </w:r>
      <w:r>
        <w:t>s</w:t>
      </w:r>
      <w:r w:rsidRPr="009C34F0">
        <w:t xml:space="preserve"> to improve participant access and the planning pathway. </w:t>
      </w:r>
      <w:r>
        <w:t xml:space="preserve">Some delays caused by these </w:t>
      </w:r>
      <w:r w:rsidRPr="009C34F0">
        <w:t>change</w:t>
      </w:r>
      <w:r>
        <w:t>s</w:t>
      </w:r>
      <w:r w:rsidRPr="009C34F0">
        <w:t xml:space="preserve"> may have contributed to a reduction in participant satisfaction with access and planning</w:t>
      </w:r>
      <w:r w:rsidRPr="009C34F0">
        <w:rPr>
          <w:rFonts w:eastAsia="Yu Mincho"/>
        </w:rPr>
        <w:t>.</w:t>
      </w:r>
    </w:p>
    <w:p w14:paraId="6AAD91F0" w14:textId="3F2DB1C0" w:rsidR="000D3DCF" w:rsidRDefault="006122E2" w:rsidP="00A01981">
      <w:pPr>
        <w:rPr>
          <w:rFonts w:eastAsia="Yu Mincho"/>
        </w:rPr>
      </w:pPr>
      <w:r>
        <w:rPr>
          <w:rFonts w:eastAsia="Yu Mincho"/>
        </w:rPr>
        <w:t>The NDIA began rolling out a new computer system and process</w:t>
      </w:r>
      <w:r w:rsidR="009748B5">
        <w:rPr>
          <w:rFonts w:eastAsia="Yu Mincho"/>
        </w:rPr>
        <w:t xml:space="preserve">es across Australia from 30 October 2023. </w:t>
      </w:r>
      <w:r w:rsidR="000D3DCF">
        <w:rPr>
          <w:rFonts w:eastAsia="Yu Mincho"/>
        </w:rPr>
        <w:t>The changes</w:t>
      </w:r>
      <w:r w:rsidR="000D3DCF" w:rsidRPr="3A410DD6">
        <w:rPr>
          <w:rFonts w:eastAsia="Yu Mincho"/>
        </w:rPr>
        <w:t xml:space="preserve"> increased </w:t>
      </w:r>
      <w:r w:rsidR="000D3DCF">
        <w:rPr>
          <w:rFonts w:eastAsia="Yu Mincho"/>
        </w:rPr>
        <w:t xml:space="preserve">internal </w:t>
      </w:r>
      <w:r w:rsidR="000D3DCF" w:rsidRPr="3A410DD6">
        <w:rPr>
          <w:rFonts w:eastAsia="Yu Mincho"/>
        </w:rPr>
        <w:t>workload</w:t>
      </w:r>
      <w:r w:rsidR="000D3DCF">
        <w:rPr>
          <w:rFonts w:eastAsia="Yu Mincho"/>
        </w:rPr>
        <w:t>s</w:t>
      </w:r>
      <w:r w:rsidR="000D3DCF" w:rsidRPr="3A410DD6">
        <w:rPr>
          <w:rFonts w:eastAsia="Yu Mincho"/>
        </w:rPr>
        <w:t xml:space="preserve"> </w:t>
      </w:r>
      <w:r w:rsidR="000D3DCF">
        <w:rPr>
          <w:rFonts w:eastAsia="Yu Mincho"/>
        </w:rPr>
        <w:t>and</w:t>
      </w:r>
      <w:r w:rsidR="000D3DCF" w:rsidRPr="3A410DD6">
        <w:rPr>
          <w:rFonts w:eastAsia="Yu Mincho"/>
        </w:rPr>
        <w:t xml:space="preserve"> delayed </w:t>
      </w:r>
      <w:r w:rsidR="000D3DCF">
        <w:rPr>
          <w:rFonts w:eastAsia="Yu Mincho"/>
        </w:rPr>
        <w:t xml:space="preserve">some </w:t>
      </w:r>
      <w:r w:rsidR="000D3DCF" w:rsidRPr="3A410DD6">
        <w:rPr>
          <w:rFonts w:eastAsia="Yu Mincho"/>
        </w:rPr>
        <w:t>services</w:t>
      </w:r>
      <w:r w:rsidR="000D3DCF">
        <w:rPr>
          <w:rFonts w:eastAsia="Yu Mincho"/>
        </w:rPr>
        <w:t xml:space="preserve">. These delays, combined with higher demand for access and </w:t>
      </w:r>
      <w:r w:rsidR="00D30B56">
        <w:rPr>
          <w:rFonts w:eastAsia="Yu Mincho"/>
        </w:rPr>
        <w:t xml:space="preserve">the significantly higher number of </w:t>
      </w:r>
      <w:r w:rsidR="001962E9">
        <w:rPr>
          <w:rFonts w:eastAsia="Yu Mincho"/>
        </w:rPr>
        <w:t>participants seeking a review of their NDIS</w:t>
      </w:r>
      <w:r w:rsidR="00DC6D57">
        <w:rPr>
          <w:rFonts w:eastAsia="Yu Mincho"/>
        </w:rPr>
        <w:t xml:space="preserve"> </w:t>
      </w:r>
      <w:r w:rsidR="00B61B25">
        <w:rPr>
          <w:rFonts w:eastAsia="Yu Mincho"/>
        </w:rPr>
        <w:t>plans,</w:t>
      </w:r>
      <w:r w:rsidR="000D3DCF" w:rsidRPr="3A410DD6">
        <w:rPr>
          <w:rFonts w:eastAsia="Yu Mincho"/>
        </w:rPr>
        <w:t xml:space="preserve"> affect</w:t>
      </w:r>
      <w:r w:rsidR="000D3DCF">
        <w:rPr>
          <w:rFonts w:eastAsia="Yu Mincho"/>
        </w:rPr>
        <w:t>ed</w:t>
      </w:r>
      <w:r w:rsidR="000D3DCF" w:rsidRPr="3A410DD6">
        <w:rPr>
          <w:rFonts w:eastAsia="Yu Mincho"/>
        </w:rPr>
        <w:t xml:space="preserve"> participant satisfaction. </w:t>
      </w:r>
      <w:r w:rsidR="000D3DCF">
        <w:rPr>
          <w:rFonts w:eastAsia="Yu Mincho"/>
        </w:rPr>
        <w:t>Also</w:t>
      </w:r>
      <w:r w:rsidR="000D3DCF" w:rsidRPr="3A410DD6">
        <w:rPr>
          <w:rFonts w:eastAsia="Yu Mincho"/>
        </w:rPr>
        <w:t xml:space="preserve">, ongoing media coverage of the NDIS Review, legislative reforms, and the </w:t>
      </w:r>
      <w:r w:rsidR="000D3DCF" w:rsidRPr="002703A5">
        <w:rPr>
          <w:rFonts w:eastAsia="Yu Mincho"/>
        </w:rPr>
        <w:t>Royal Commission into Violence, Abuse, Neglect and Exploitation of People with Disability</w:t>
      </w:r>
      <w:r w:rsidR="000D3DCF" w:rsidRPr="3A410DD6">
        <w:rPr>
          <w:rFonts w:eastAsia="Yu Mincho"/>
        </w:rPr>
        <w:t>, along with expectations of future responses, may be impacting satisfaction levels.</w:t>
      </w:r>
    </w:p>
    <w:p w14:paraId="1FC48D50" w14:textId="611B2EA0" w:rsidR="000D3DCF" w:rsidRPr="00F86FC3" w:rsidRDefault="000D3DCF" w:rsidP="00A01981">
      <w:pPr>
        <w:rPr>
          <w:rFonts w:eastAsia="Yu Mincho"/>
        </w:rPr>
      </w:pPr>
      <w:r w:rsidRPr="00076C1A">
        <w:rPr>
          <w:rFonts w:eastAsia="Yu Mincho"/>
        </w:rPr>
        <w:t>To tackle the current challenges</w:t>
      </w:r>
      <w:r>
        <w:rPr>
          <w:rFonts w:eastAsia="Yu Mincho"/>
        </w:rPr>
        <w:t xml:space="preserve"> and boost participant satisfaction</w:t>
      </w:r>
      <w:r w:rsidRPr="00076C1A">
        <w:rPr>
          <w:rFonts w:eastAsia="Yu Mincho"/>
        </w:rPr>
        <w:t xml:space="preserve">, the NDIA </w:t>
      </w:r>
      <w:r>
        <w:rPr>
          <w:rFonts w:eastAsia="Yu Mincho"/>
        </w:rPr>
        <w:t>is</w:t>
      </w:r>
      <w:r w:rsidRPr="00076C1A">
        <w:rPr>
          <w:rFonts w:eastAsia="Yu Mincho"/>
        </w:rPr>
        <w:t xml:space="preserve"> prioriti</w:t>
      </w:r>
      <w:r>
        <w:rPr>
          <w:rFonts w:eastAsia="Yu Mincho"/>
        </w:rPr>
        <w:t>s</w:t>
      </w:r>
      <w:r w:rsidRPr="00076C1A">
        <w:rPr>
          <w:rFonts w:eastAsia="Yu Mincho"/>
        </w:rPr>
        <w:t xml:space="preserve">ing </w:t>
      </w:r>
      <w:r>
        <w:rPr>
          <w:rFonts w:eastAsia="Yu Mincho"/>
        </w:rPr>
        <w:t>f</w:t>
      </w:r>
      <w:r w:rsidRPr="00076C1A">
        <w:rPr>
          <w:rFonts w:eastAsia="Yu Mincho"/>
        </w:rPr>
        <w:t xml:space="preserve">irst </w:t>
      </w:r>
      <w:r>
        <w:rPr>
          <w:rFonts w:eastAsia="Yu Mincho"/>
        </w:rPr>
        <w:t>p</w:t>
      </w:r>
      <w:r w:rsidRPr="00076C1A">
        <w:rPr>
          <w:rFonts w:eastAsia="Yu Mincho"/>
        </w:rPr>
        <w:t xml:space="preserve">lans and </w:t>
      </w:r>
      <w:r>
        <w:rPr>
          <w:rFonts w:eastAsia="Yu Mincho"/>
        </w:rPr>
        <w:t>u</w:t>
      </w:r>
      <w:r w:rsidRPr="00076C1A">
        <w:rPr>
          <w:rFonts w:eastAsia="Yu Mincho"/>
        </w:rPr>
        <w:t xml:space="preserve">nscheduled </w:t>
      </w:r>
      <w:r>
        <w:rPr>
          <w:rFonts w:eastAsia="Yu Mincho"/>
        </w:rPr>
        <w:t>r</w:t>
      </w:r>
      <w:r w:rsidRPr="00076C1A">
        <w:rPr>
          <w:rFonts w:eastAsia="Yu Mincho"/>
        </w:rPr>
        <w:t>eassessments</w:t>
      </w:r>
      <w:r w:rsidR="001E2737">
        <w:rPr>
          <w:rFonts w:eastAsia="Yu Mincho"/>
        </w:rPr>
        <w:t>,</w:t>
      </w:r>
      <w:r w:rsidRPr="00076C1A">
        <w:rPr>
          <w:rFonts w:eastAsia="Yu Mincho"/>
        </w:rPr>
        <w:t xml:space="preserve"> </w:t>
      </w:r>
      <w:r>
        <w:rPr>
          <w:rFonts w:eastAsia="Yu Mincho"/>
        </w:rPr>
        <w:t xml:space="preserve">and </w:t>
      </w:r>
      <w:r w:rsidRPr="00076C1A">
        <w:rPr>
          <w:rFonts w:eastAsia="Yu Mincho"/>
        </w:rPr>
        <w:t xml:space="preserve">holding co-design workshops </w:t>
      </w:r>
      <w:r>
        <w:rPr>
          <w:rFonts w:eastAsia="Yu Mincho"/>
        </w:rPr>
        <w:t>to engage participants</w:t>
      </w:r>
      <w:r w:rsidRPr="00076C1A">
        <w:rPr>
          <w:rFonts w:eastAsia="Yu Mincho"/>
        </w:rPr>
        <w:t>.</w:t>
      </w:r>
      <w:r w:rsidRPr="00F86FC3">
        <w:rPr>
          <w:rFonts w:eastAsia="Yu Mincho"/>
        </w:rPr>
        <w:t xml:space="preserve"> </w:t>
      </w:r>
      <w:r>
        <w:rPr>
          <w:rFonts w:eastAsia="Yu Mincho"/>
        </w:rPr>
        <w:t>We are also providing s</w:t>
      </w:r>
      <w:r w:rsidRPr="00076C1A">
        <w:rPr>
          <w:rFonts w:eastAsia="Yu Mincho"/>
        </w:rPr>
        <w:t>taff training to ease the transition to a new business system</w:t>
      </w:r>
      <w:r>
        <w:rPr>
          <w:rFonts w:eastAsia="Yu Mincho"/>
        </w:rPr>
        <w:t xml:space="preserve"> and</w:t>
      </w:r>
      <w:r w:rsidRPr="00076C1A">
        <w:rPr>
          <w:rFonts w:eastAsia="Yu Mincho"/>
        </w:rPr>
        <w:t xml:space="preserve"> enhance staff confidence.</w:t>
      </w:r>
    </w:p>
    <w:p w14:paraId="526E09D5" w14:textId="3412E18B" w:rsidR="000D3DCF" w:rsidRPr="00A33264" w:rsidRDefault="000D3DCF" w:rsidP="009B5EFC">
      <w:pPr>
        <w:rPr>
          <w:b/>
          <w:bCs/>
          <w:lang w:val="en-GB"/>
        </w:rPr>
      </w:pPr>
      <w:r w:rsidRPr="00A33264">
        <w:rPr>
          <w:b/>
          <w:bCs/>
          <w:lang w:val="en-GB"/>
        </w:rPr>
        <w:t xml:space="preserve">Participant social and community engagement </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0D3DCF" w:rsidRPr="00A33264" w14:paraId="0AF0794C"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A1CE63"/>
          </w:tcPr>
          <w:p w14:paraId="627C0D10" w14:textId="77777777" w:rsidR="000D3DCF" w:rsidRPr="00A33264" w:rsidRDefault="000D3DCF">
            <w:pPr>
              <w:pStyle w:val="TableBody"/>
              <w:rPr>
                <w:color w:val="auto"/>
                <w:lang w:val="en-GB"/>
              </w:rPr>
            </w:pPr>
            <w:bookmarkStart w:id="85" w:name="ColumnTitle_PerformanceMeasure6"/>
            <w:bookmarkEnd w:id="85"/>
            <w:r w:rsidRPr="00A33264">
              <w:rPr>
                <w:color w:val="auto"/>
                <w:lang w:val="en-GB"/>
              </w:rPr>
              <w:t>Performance Measure</w:t>
            </w:r>
          </w:p>
        </w:tc>
        <w:tc>
          <w:tcPr>
            <w:tcW w:w="1361" w:type="dxa"/>
            <w:shd w:val="clear" w:color="auto" w:fill="A1CE63"/>
          </w:tcPr>
          <w:p w14:paraId="4C0E131A"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61" w:type="dxa"/>
            <w:shd w:val="clear" w:color="auto" w:fill="A1CE63"/>
          </w:tcPr>
          <w:p w14:paraId="52FFA2B0"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61" w:type="dxa"/>
            <w:shd w:val="clear" w:color="auto" w:fill="A1CE63"/>
          </w:tcPr>
          <w:p w14:paraId="34111666"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 xml:space="preserve">24 </w:t>
            </w:r>
            <w:r w:rsidRPr="00A33264">
              <w:rPr>
                <w:color w:val="auto"/>
                <w:lang w:val="en-GB"/>
              </w:rPr>
              <w:t>Outcome</w:t>
            </w:r>
          </w:p>
        </w:tc>
        <w:tc>
          <w:tcPr>
            <w:tcW w:w="1361" w:type="dxa"/>
            <w:shd w:val="clear" w:color="auto" w:fill="A1CE63"/>
          </w:tcPr>
          <w:p w14:paraId="0E952671" w14:textId="77777777" w:rsidR="000D3DCF" w:rsidRPr="00A01981"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51A3D143" w14:textId="77777777" w:rsidTr="00A01981">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E5F1D4"/>
          </w:tcPr>
          <w:p w14:paraId="466A0D95" w14:textId="6EB6B8F1" w:rsidR="000D3DCF" w:rsidRPr="00A33264" w:rsidRDefault="000D3DCF" w:rsidP="001C74C2">
            <w:pPr>
              <w:pStyle w:val="TableBody"/>
              <w:rPr>
                <w:lang w:val="en-GB"/>
              </w:rPr>
            </w:pPr>
            <w:r w:rsidRPr="00A33264">
              <w:rPr>
                <w:lang w:val="en-GB"/>
              </w:rPr>
              <w:t xml:space="preserve">Participant </w:t>
            </w:r>
            <w:r>
              <w:rPr>
                <w:lang w:val="en-GB"/>
              </w:rPr>
              <w:t>s</w:t>
            </w:r>
            <w:r w:rsidRPr="00A33264">
              <w:rPr>
                <w:lang w:val="en-GB"/>
              </w:rPr>
              <w:t xml:space="preserve">ocial </w:t>
            </w:r>
            <w:r>
              <w:rPr>
                <w:lang w:val="en-GB"/>
              </w:rPr>
              <w:t>and</w:t>
            </w:r>
            <w:r w:rsidRPr="00A33264">
              <w:rPr>
                <w:lang w:val="en-GB"/>
              </w:rPr>
              <w:t xml:space="preserve"> </w:t>
            </w:r>
            <w:r>
              <w:rPr>
                <w:lang w:val="en-GB"/>
              </w:rPr>
              <w:t>c</w:t>
            </w:r>
            <w:r w:rsidRPr="00A33264">
              <w:rPr>
                <w:lang w:val="en-GB"/>
              </w:rPr>
              <w:t xml:space="preserve">ommunity </w:t>
            </w:r>
            <w:r>
              <w:rPr>
                <w:lang w:val="en-GB"/>
              </w:rPr>
              <w:t>e</w:t>
            </w:r>
            <w:r w:rsidRPr="00A33264">
              <w:rPr>
                <w:lang w:val="en-GB"/>
              </w:rPr>
              <w:t xml:space="preserve">ngagement </w:t>
            </w:r>
          </w:p>
        </w:tc>
        <w:tc>
          <w:tcPr>
            <w:tcW w:w="1361" w:type="dxa"/>
            <w:shd w:val="clear" w:color="auto" w:fill="E5F1D4"/>
          </w:tcPr>
          <w:p w14:paraId="6D97F713" w14:textId="77777777" w:rsidR="000D3DCF" w:rsidRPr="00A33264" w:rsidRDefault="000D3DCF" w:rsidP="00BB40DF">
            <w:pPr>
              <w:pStyle w:val="TableBody"/>
              <w:jc w:val="right"/>
              <w:rPr>
                <w:lang w:val="en-GB"/>
              </w:rPr>
            </w:pPr>
            <w:r w:rsidRPr="00A33264">
              <w:rPr>
                <w:lang w:val="en-GB"/>
              </w:rPr>
              <w:t>46%</w:t>
            </w:r>
          </w:p>
        </w:tc>
        <w:tc>
          <w:tcPr>
            <w:tcW w:w="1361" w:type="dxa"/>
            <w:shd w:val="clear" w:color="auto" w:fill="E5F1D4"/>
          </w:tcPr>
          <w:p w14:paraId="79EE8DF5" w14:textId="77777777" w:rsidR="000D3DCF" w:rsidRPr="00A33264" w:rsidRDefault="000D3DCF" w:rsidP="00BB40DF">
            <w:pPr>
              <w:pStyle w:val="TableBody"/>
              <w:jc w:val="right"/>
              <w:rPr>
                <w:lang w:val="en-GB"/>
              </w:rPr>
            </w:pPr>
            <w:r w:rsidRPr="00A33264">
              <w:rPr>
                <w:lang w:val="en-GB"/>
              </w:rPr>
              <w:t>41.2%</w:t>
            </w:r>
          </w:p>
        </w:tc>
        <w:tc>
          <w:tcPr>
            <w:tcW w:w="1361" w:type="dxa"/>
            <w:shd w:val="clear" w:color="auto" w:fill="E5F1D4"/>
          </w:tcPr>
          <w:p w14:paraId="4FC8EC29" w14:textId="77777777" w:rsidR="000D3DCF" w:rsidRPr="00A33264" w:rsidRDefault="000D3DCF" w:rsidP="00BB40DF">
            <w:pPr>
              <w:pStyle w:val="TableBody"/>
              <w:jc w:val="right"/>
              <w:rPr>
                <w:lang w:val="en-GB"/>
              </w:rPr>
            </w:pPr>
            <w:r w:rsidRPr="00A33264">
              <w:rPr>
                <w:lang w:val="en-GB"/>
              </w:rPr>
              <w:t>Not achieved</w:t>
            </w:r>
          </w:p>
        </w:tc>
        <w:tc>
          <w:tcPr>
            <w:tcW w:w="1361" w:type="dxa"/>
            <w:shd w:val="clear" w:color="auto" w:fill="E5F1D4"/>
          </w:tcPr>
          <w:p w14:paraId="6A18B9FB" w14:textId="77777777" w:rsidR="000D3DCF" w:rsidRPr="00A33264" w:rsidRDefault="000D3DCF" w:rsidP="00BB40DF">
            <w:pPr>
              <w:pStyle w:val="TableBody"/>
              <w:jc w:val="right"/>
              <w:rPr>
                <w:lang w:val="en-GB"/>
              </w:rPr>
            </w:pPr>
            <w:r>
              <w:rPr>
                <w:lang w:val="en-GB"/>
              </w:rPr>
              <w:t>41.8%</w:t>
            </w:r>
          </w:p>
        </w:tc>
      </w:tr>
    </w:tbl>
    <w:p w14:paraId="149FD394" w14:textId="77777777" w:rsidR="000D3DCF" w:rsidRDefault="000D3DCF" w:rsidP="00B27FA1">
      <w:pPr>
        <w:pStyle w:val="Heading6"/>
        <w:rPr>
          <w:rFonts w:eastAsia="Yu Mincho"/>
        </w:rPr>
      </w:pPr>
      <w:r>
        <w:rPr>
          <w:rFonts w:eastAsia="Yu Mincho"/>
        </w:rPr>
        <w:t>Why we measure this</w:t>
      </w:r>
    </w:p>
    <w:p w14:paraId="52849F3E" w14:textId="77777777" w:rsidR="000D3DCF" w:rsidRDefault="000D3DCF" w:rsidP="007145B8">
      <w:r w:rsidRPr="009C34F0">
        <w:rPr>
          <w:rFonts w:eastAsia="Arial"/>
          <w:color w:val="000000"/>
        </w:rPr>
        <w:t xml:space="preserve">This measure assesses </w:t>
      </w:r>
      <w:r w:rsidRPr="009C34F0">
        <w:t xml:space="preserve">the effectiveness of the </w:t>
      </w:r>
      <w:r>
        <w:t>NDIS</w:t>
      </w:r>
      <w:r w:rsidRPr="009C34F0">
        <w:t xml:space="preserve"> in increasing participant social and community participation. </w:t>
      </w:r>
    </w:p>
    <w:p w14:paraId="44DDFC7E" w14:textId="77777777" w:rsidR="000D3DCF" w:rsidRDefault="000D3DCF" w:rsidP="00B27FA1">
      <w:pPr>
        <w:pStyle w:val="Heading6"/>
      </w:pPr>
      <w:r>
        <w:t>How we measure this</w:t>
      </w:r>
    </w:p>
    <w:p w14:paraId="132C47FD" w14:textId="757A1704" w:rsidR="000D3DCF" w:rsidRPr="009C34F0" w:rsidRDefault="000D3DCF" w:rsidP="007145B8">
      <w:pPr>
        <w:rPr>
          <w:rFonts w:eastAsia="Arial"/>
          <w:color w:val="000000"/>
        </w:rPr>
      </w:pPr>
      <w:r>
        <w:t>We obtain our results for this performance measure by</w:t>
      </w:r>
      <w:r w:rsidRPr="009C34F0">
        <w:t xml:space="preserve"> calculat</w:t>
      </w:r>
      <w:r>
        <w:t>ing</w:t>
      </w:r>
      <w:r w:rsidRPr="009C34F0">
        <w:t xml:space="preserve"> the percentage of participants aged 15+ who have been in the </w:t>
      </w:r>
      <w:r>
        <w:t>NDIS</w:t>
      </w:r>
      <w:r w:rsidRPr="009C34F0">
        <w:t xml:space="preserve"> for at least </w:t>
      </w:r>
      <w:r>
        <w:t>2</w:t>
      </w:r>
      <w:r w:rsidRPr="009C34F0">
        <w:t xml:space="preserve"> years and respond ‘yes’ to </w:t>
      </w:r>
      <w:r>
        <w:t xml:space="preserve">the question ‘Have you </w:t>
      </w:r>
      <w:r w:rsidRPr="009C34F0">
        <w:t>be</w:t>
      </w:r>
      <w:r>
        <w:t>en</w:t>
      </w:r>
      <w:r w:rsidRPr="009C34F0">
        <w:t xml:space="preserve"> actively involved in a community, cultural or </w:t>
      </w:r>
      <w:r w:rsidRPr="009C34F0">
        <w:lastRenderedPageBreak/>
        <w:t>religious group in the last 12 months</w:t>
      </w:r>
      <w:r>
        <w:t>?’</w:t>
      </w:r>
      <w:r w:rsidRPr="009C34F0">
        <w:t xml:space="preserve"> </w:t>
      </w:r>
      <w:r>
        <w:t>in</w:t>
      </w:r>
      <w:r w:rsidRPr="009C34F0">
        <w:t xml:space="preserve"> the NDIS Short Form Outcomes Framework survey. </w:t>
      </w:r>
      <w:r>
        <w:t xml:space="preserve">The </w:t>
      </w:r>
      <w:r w:rsidRPr="009C34F0">
        <w:t>survey measure</w:t>
      </w:r>
      <w:r>
        <w:t>s</w:t>
      </w:r>
      <w:r w:rsidRPr="009C34F0">
        <w:t xml:space="preserve"> the outcomes of participants</w:t>
      </w:r>
      <w:r>
        <w:t>,</w:t>
      </w:r>
      <w:r w:rsidRPr="009C34F0">
        <w:t xml:space="preserve"> and their families and carers</w:t>
      </w:r>
      <w:r>
        <w:t>,</w:t>
      </w:r>
      <w:r w:rsidRPr="009C34F0">
        <w:t xml:space="preserve"> who are part of the NDIS.</w:t>
      </w:r>
    </w:p>
    <w:p w14:paraId="24D28310" w14:textId="77777777" w:rsidR="000D3DCF" w:rsidRDefault="000D3DCF" w:rsidP="00B27FA1">
      <w:pPr>
        <w:pStyle w:val="Heading6"/>
      </w:pPr>
      <w:r>
        <w:t>Analysis</w:t>
      </w:r>
    </w:p>
    <w:p w14:paraId="3AFAC199" w14:textId="1AF3D07D" w:rsidR="000D3DCF" w:rsidRPr="009C34F0" w:rsidRDefault="000D3DCF" w:rsidP="007145B8">
      <w:pPr>
        <w:rPr>
          <w:rFonts w:eastAsia="Arial"/>
          <w:color w:val="000000"/>
        </w:rPr>
      </w:pPr>
      <w:r w:rsidRPr="009C34F0">
        <w:rPr>
          <w:rFonts w:eastAsia="Arial"/>
          <w:color w:val="000000"/>
        </w:rPr>
        <w:t xml:space="preserve">The </w:t>
      </w:r>
      <w:r>
        <w:rPr>
          <w:rFonts w:eastAsia="Arial"/>
          <w:color w:val="000000"/>
        </w:rPr>
        <w:t>NDIS</w:t>
      </w:r>
      <w:r w:rsidRPr="009C34F0">
        <w:rPr>
          <w:rFonts w:eastAsia="Arial"/>
          <w:color w:val="000000"/>
        </w:rPr>
        <w:t xml:space="preserve"> support</w:t>
      </w:r>
      <w:r>
        <w:rPr>
          <w:rFonts w:eastAsia="Arial"/>
          <w:color w:val="000000"/>
        </w:rPr>
        <w:t>s</w:t>
      </w:r>
      <w:r w:rsidRPr="009C34F0">
        <w:rPr>
          <w:rFonts w:eastAsia="Arial"/>
          <w:color w:val="000000"/>
        </w:rPr>
        <w:t xml:space="preserve"> participants in their pursuit of goals for social and economic participation. </w:t>
      </w:r>
      <w:r w:rsidR="00960363" w:rsidRPr="00AA0637">
        <w:rPr>
          <w:rFonts w:eastAsia="Arial"/>
          <w:color w:val="000000"/>
        </w:rPr>
        <w:t xml:space="preserve">Staff are experienced in supporting participants to use their plan to </w:t>
      </w:r>
      <w:r w:rsidR="0016450F">
        <w:rPr>
          <w:rFonts w:eastAsia="Arial"/>
          <w:color w:val="000000"/>
        </w:rPr>
        <w:t>help</w:t>
      </w:r>
      <w:r w:rsidR="00960363" w:rsidRPr="00AA0637">
        <w:rPr>
          <w:rFonts w:eastAsia="Arial"/>
          <w:color w:val="000000"/>
        </w:rPr>
        <w:t xml:space="preserve"> them meet their social and community engagement goals.</w:t>
      </w:r>
      <w:r w:rsidRPr="009C34F0">
        <w:rPr>
          <w:rFonts w:eastAsia="Arial"/>
          <w:color w:val="000000"/>
        </w:rPr>
        <w:t xml:space="preserve"> </w:t>
      </w:r>
      <w:r>
        <w:rPr>
          <w:rFonts w:eastAsia="Arial"/>
          <w:color w:val="000000"/>
        </w:rPr>
        <w:t>Also</w:t>
      </w:r>
      <w:r w:rsidRPr="009C34F0">
        <w:rPr>
          <w:rFonts w:eastAsia="Arial"/>
          <w:color w:val="000000"/>
        </w:rPr>
        <w:t xml:space="preserve">, </w:t>
      </w:r>
      <w:r w:rsidRPr="003131F3">
        <w:rPr>
          <w:rFonts w:eastAsia="Arial"/>
        </w:rPr>
        <w:t>NDIS local area coordination partners</w:t>
      </w:r>
      <w:r w:rsidRPr="009C34F0">
        <w:rPr>
          <w:rFonts w:eastAsia="Arial"/>
          <w:color w:val="000000"/>
        </w:rPr>
        <w:t xml:space="preserve"> and early childhood partners support participants to link to funded and other social and community service providers in their local areas.</w:t>
      </w:r>
    </w:p>
    <w:p w14:paraId="40E1DAAE" w14:textId="44C40563" w:rsidR="000D3DCF" w:rsidRPr="009C34F0" w:rsidRDefault="000D3DCF" w:rsidP="007145B8">
      <w:pPr>
        <w:rPr>
          <w:lang w:val="en-GB"/>
        </w:rPr>
      </w:pPr>
      <w:r w:rsidRPr="009C34F0">
        <w:rPr>
          <w:rFonts w:eastAsia="Yu Mincho"/>
        </w:rPr>
        <w:t xml:space="preserve">The NDIA is continuing to engage with </w:t>
      </w:r>
      <w:r>
        <w:rPr>
          <w:rFonts w:eastAsia="Yu Mincho"/>
        </w:rPr>
        <w:t>p</w:t>
      </w:r>
      <w:r w:rsidRPr="009C34F0">
        <w:rPr>
          <w:rFonts w:eastAsia="Yu Mincho"/>
        </w:rPr>
        <w:t xml:space="preserve">lan </w:t>
      </w:r>
      <w:r>
        <w:rPr>
          <w:rFonts w:eastAsia="Yu Mincho"/>
        </w:rPr>
        <w:t>m</w:t>
      </w:r>
      <w:r w:rsidRPr="009C34F0">
        <w:rPr>
          <w:rFonts w:eastAsia="Yu Mincho"/>
        </w:rPr>
        <w:t xml:space="preserve">anagers and </w:t>
      </w:r>
      <w:r>
        <w:rPr>
          <w:rFonts w:eastAsia="Yu Mincho"/>
        </w:rPr>
        <w:t>s</w:t>
      </w:r>
      <w:r w:rsidRPr="009C34F0">
        <w:rPr>
          <w:rFonts w:eastAsia="Yu Mincho"/>
        </w:rPr>
        <w:t xml:space="preserve">upport </w:t>
      </w:r>
      <w:r>
        <w:rPr>
          <w:rFonts w:eastAsia="Yu Mincho"/>
        </w:rPr>
        <w:t>c</w:t>
      </w:r>
      <w:r w:rsidRPr="009C34F0">
        <w:rPr>
          <w:rFonts w:eastAsia="Yu Mincho"/>
        </w:rPr>
        <w:t xml:space="preserve">oordinators to </w:t>
      </w:r>
      <w:r>
        <w:rPr>
          <w:rFonts w:eastAsia="Yu Mincho"/>
        </w:rPr>
        <w:t>ensure they are</w:t>
      </w:r>
      <w:r w:rsidRPr="009C34F0">
        <w:rPr>
          <w:rFonts w:eastAsia="Yu Mincho"/>
        </w:rPr>
        <w:t xml:space="preserve"> supporting participants to engage with </w:t>
      </w:r>
      <w:r>
        <w:rPr>
          <w:rFonts w:eastAsia="Yu Mincho"/>
        </w:rPr>
        <w:t xml:space="preserve">both </w:t>
      </w:r>
      <w:r w:rsidRPr="009C34F0">
        <w:rPr>
          <w:rFonts w:eastAsia="Yu Mincho"/>
        </w:rPr>
        <w:t>their NDIS supports</w:t>
      </w:r>
      <w:r>
        <w:rPr>
          <w:rFonts w:eastAsia="Yu Mincho"/>
        </w:rPr>
        <w:t xml:space="preserve"> and</w:t>
      </w:r>
      <w:r w:rsidRPr="009C34F0">
        <w:rPr>
          <w:rFonts w:eastAsia="Yu Mincho"/>
        </w:rPr>
        <w:t xml:space="preserve"> mainstream supports and activities.</w:t>
      </w:r>
    </w:p>
    <w:p w14:paraId="338F25B8" w14:textId="12FB6BCC" w:rsidR="000D3DCF" w:rsidRPr="00A33264" w:rsidRDefault="000D3DCF" w:rsidP="009B5EFC">
      <w:pPr>
        <w:rPr>
          <w:b/>
          <w:bCs/>
          <w:lang w:val="en-GB"/>
        </w:rPr>
      </w:pPr>
      <w:r w:rsidRPr="00A33264">
        <w:rPr>
          <w:b/>
          <w:bCs/>
          <w:lang w:val="en-GB"/>
        </w:rPr>
        <w:t xml:space="preserve">Participant employment </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4"/>
        <w:gridCol w:w="1348"/>
        <w:gridCol w:w="1348"/>
        <w:gridCol w:w="1355"/>
        <w:gridCol w:w="1331"/>
      </w:tblGrid>
      <w:tr w:rsidR="000D3DCF" w:rsidRPr="00A33264" w14:paraId="45FF79BA"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4" w:type="dxa"/>
            <w:shd w:val="clear" w:color="auto" w:fill="A1CE63"/>
          </w:tcPr>
          <w:p w14:paraId="15A6DBE3" w14:textId="52632B41" w:rsidR="000D3DCF" w:rsidRPr="00A33264" w:rsidRDefault="000D3DCF">
            <w:pPr>
              <w:pStyle w:val="TableBody"/>
              <w:rPr>
                <w:color w:val="auto"/>
                <w:lang w:val="en-GB"/>
              </w:rPr>
            </w:pPr>
            <w:bookmarkStart w:id="86" w:name="ColumnTitle_PerformanceMeasure7"/>
            <w:bookmarkEnd w:id="86"/>
            <w:r w:rsidRPr="00A33264">
              <w:rPr>
                <w:color w:val="auto"/>
                <w:lang w:val="en-GB"/>
              </w:rPr>
              <w:t xml:space="preserve">Performance </w:t>
            </w:r>
            <w:r>
              <w:rPr>
                <w:color w:val="auto"/>
                <w:lang w:val="en-GB"/>
              </w:rPr>
              <w:t>m</w:t>
            </w:r>
            <w:r w:rsidRPr="00A33264">
              <w:rPr>
                <w:color w:val="auto"/>
                <w:lang w:val="en-GB"/>
              </w:rPr>
              <w:t>easure</w:t>
            </w:r>
          </w:p>
        </w:tc>
        <w:tc>
          <w:tcPr>
            <w:tcW w:w="1348" w:type="dxa"/>
            <w:shd w:val="clear" w:color="auto" w:fill="A1CE63"/>
          </w:tcPr>
          <w:p w14:paraId="3D4E575A"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48" w:type="dxa"/>
            <w:shd w:val="clear" w:color="auto" w:fill="A1CE63"/>
          </w:tcPr>
          <w:p w14:paraId="0179E0E8"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55" w:type="dxa"/>
            <w:shd w:val="clear" w:color="auto" w:fill="A1CE63"/>
          </w:tcPr>
          <w:p w14:paraId="3BB5C327"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 xml:space="preserve">24 </w:t>
            </w:r>
            <w:r w:rsidRPr="00A33264">
              <w:rPr>
                <w:color w:val="auto"/>
                <w:lang w:val="en-GB"/>
              </w:rPr>
              <w:t>Outcome</w:t>
            </w:r>
          </w:p>
        </w:tc>
        <w:tc>
          <w:tcPr>
            <w:tcW w:w="1331" w:type="dxa"/>
            <w:shd w:val="clear" w:color="auto" w:fill="A1CE63"/>
          </w:tcPr>
          <w:p w14:paraId="470C82B7" w14:textId="77777777" w:rsidR="000D3DCF" w:rsidRPr="007145B8"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50CD72DD" w14:textId="77777777" w:rsidTr="007145B8">
        <w:trPr>
          <w:cnfStyle w:val="000000100000" w:firstRow="0" w:lastRow="0" w:firstColumn="0" w:lastColumn="0" w:oddVBand="0" w:evenVBand="0" w:oddHBand="1" w:evenHBand="0" w:firstRowFirstColumn="0" w:firstRowLastColumn="0" w:lastRowFirstColumn="0" w:lastRowLastColumn="0"/>
          <w:cantSplit/>
        </w:trPr>
        <w:tc>
          <w:tcPr>
            <w:tcW w:w="3634" w:type="dxa"/>
            <w:shd w:val="clear" w:color="auto" w:fill="E5F1D4"/>
          </w:tcPr>
          <w:p w14:paraId="74EDA6D7" w14:textId="4813D4EB" w:rsidR="000D3DCF" w:rsidRPr="00A33264" w:rsidRDefault="000D3DCF" w:rsidP="001C74C2">
            <w:pPr>
              <w:pStyle w:val="TableBody"/>
              <w:tabs>
                <w:tab w:val="left" w:pos="3864"/>
              </w:tabs>
              <w:rPr>
                <w:lang w:val="en-GB"/>
              </w:rPr>
            </w:pPr>
            <w:r w:rsidRPr="00A33264">
              <w:rPr>
                <w:lang w:val="en-GB"/>
              </w:rPr>
              <w:t xml:space="preserve">Participant </w:t>
            </w:r>
            <w:r>
              <w:rPr>
                <w:lang w:val="en-GB"/>
              </w:rPr>
              <w:t>e</w:t>
            </w:r>
            <w:r w:rsidRPr="00A33264">
              <w:rPr>
                <w:lang w:val="en-GB"/>
              </w:rPr>
              <w:t>mployment</w:t>
            </w:r>
          </w:p>
        </w:tc>
        <w:tc>
          <w:tcPr>
            <w:tcW w:w="1348" w:type="dxa"/>
            <w:shd w:val="clear" w:color="auto" w:fill="E5F1D4"/>
          </w:tcPr>
          <w:p w14:paraId="5C2670E0" w14:textId="77777777" w:rsidR="000D3DCF" w:rsidRPr="00A33264" w:rsidRDefault="000D3DCF" w:rsidP="00BB40DF">
            <w:pPr>
              <w:pStyle w:val="TableBody"/>
              <w:jc w:val="right"/>
              <w:rPr>
                <w:lang w:val="en-GB"/>
              </w:rPr>
            </w:pPr>
            <w:r w:rsidRPr="00A33264">
              <w:rPr>
                <w:lang w:val="en-GB"/>
              </w:rPr>
              <w:t>26%</w:t>
            </w:r>
          </w:p>
        </w:tc>
        <w:tc>
          <w:tcPr>
            <w:tcW w:w="1348" w:type="dxa"/>
            <w:shd w:val="clear" w:color="auto" w:fill="E5F1D4"/>
          </w:tcPr>
          <w:p w14:paraId="49C53B6F" w14:textId="77777777" w:rsidR="000D3DCF" w:rsidRPr="00A33264" w:rsidRDefault="000D3DCF" w:rsidP="00BB40DF">
            <w:pPr>
              <w:pStyle w:val="TableBody"/>
              <w:jc w:val="right"/>
              <w:rPr>
                <w:lang w:val="en-GB"/>
              </w:rPr>
            </w:pPr>
            <w:r w:rsidRPr="00A33264">
              <w:rPr>
                <w:lang w:val="en-GB"/>
              </w:rPr>
              <w:t>22.9%</w:t>
            </w:r>
          </w:p>
        </w:tc>
        <w:tc>
          <w:tcPr>
            <w:tcW w:w="1355" w:type="dxa"/>
            <w:shd w:val="clear" w:color="auto" w:fill="E5F1D4"/>
          </w:tcPr>
          <w:p w14:paraId="2E85E70B" w14:textId="77777777" w:rsidR="000D3DCF" w:rsidRPr="00A33264" w:rsidRDefault="000D3DCF" w:rsidP="00BB40DF">
            <w:pPr>
              <w:pStyle w:val="TableBody"/>
              <w:jc w:val="right"/>
              <w:rPr>
                <w:lang w:val="en-GB"/>
              </w:rPr>
            </w:pPr>
            <w:r w:rsidRPr="00A33264">
              <w:rPr>
                <w:lang w:val="en-GB"/>
              </w:rPr>
              <w:t>Not achieved</w:t>
            </w:r>
          </w:p>
        </w:tc>
        <w:tc>
          <w:tcPr>
            <w:tcW w:w="1331" w:type="dxa"/>
            <w:shd w:val="clear" w:color="auto" w:fill="E5F1D4"/>
          </w:tcPr>
          <w:p w14:paraId="61FD630A" w14:textId="77777777" w:rsidR="000D3DCF" w:rsidRPr="00A33264" w:rsidRDefault="000D3DCF" w:rsidP="00BB40DF">
            <w:pPr>
              <w:pStyle w:val="TableBody"/>
              <w:jc w:val="right"/>
              <w:rPr>
                <w:lang w:val="en-GB"/>
              </w:rPr>
            </w:pPr>
            <w:r>
              <w:rPr>
                <w:lang w:val="en-GB"/>
              </w:rPr>
              <w:t>22.6%</w:t>
            </w:r>
          </w:p>
        </w:tc>
      </w:tr>
    </w:tbl>
    <w:p w14:paraId="74BC6844" w14:textId="77777777" w:rsidR="000D3DCF" w:rsidRDefault="000D3DCF" w:rsidP="00B27FA1">
      <w:pPr>
        <w:pStyle w:val="Heading6"/>
        <w:rPr>
          <w:rFonts w:eastAsia="Yu Mincho"/>
        </w:rPr>
      </w:pPr>
      <w:r>
        <w:rPr>
          <w:rFonts w:eastAsia="Yu Mincho"/>
        </w:rPr>
        <w:t>Why we measure this</w:t>
      </w:r>
    </w:p>
    <w:p w14:paraId="7AF8ECB0" w14:textId="77777777" w:rsidR="000D3DCF" w:rsidRDefault="000D3DCF" w:rsidP="007145B8">
      <w:r w:rsidRPr="009C34F0">
        <w:rPr>
          <w:rFonts w:eastAsia="Arial"/>
          <w:color w:val="000000"/>
        </w:rPr>
        <w:t xml:space="preserve">This measure </w:t>
      </w:r>
      <w:r w:rsidRPr="009C34F0">
        <w:t xml:space="preserve">assesses the effectiveness of the </w:t>
      </w:r>
      <w:r>
        <w:t>NDIS</w:t>
      </w:r>
      <w:r w:rsidRPr="009C34F0">
        <w:t xml:space="preserve"> in increasing participant employment through reasonable and necessary supports. </w:t>
      </w:r>
    </w:p>
    <w:p w14:paraId="3A9D2309" w14:textId="77777777" w:rsidR="000D3DCF" w:rsidRDefault="000D3DCF" w:rsidP="00B27FA1">
      <w:pPr>
        <w:pStyle w:val="Heading6"/>
      </w:pPr>
      <w:r>
        <w:t>How we measure this</w:t>
      </w:r>
    </w:p>
    <w:p w14:paraId="3780D425" w14:textId="60862131" w:rsidR="00247078" w:rsidRDefault="000D3DCF" w:rsidP="00247078">
      <w:pPr>
        <w:rPr>
          <w:bCs/>
          <w:color w:val="6B2876" w:themeColor="text1"/>
          <w:sz w:val="26"/>
          <w:szCs w:val="28"/>
        </w:rPr>
      </w:pPr>
      <w:r>
        <w:t xml:space="preserve">We obtain our results for this performance measure by </w:t>
      </w:r>
      <w:r w:rsidRPr="009C34F0">
        <w:t>tak</w:t>
      </w:r>
      <w:r>
        <w:t>ing</w:t>
      </w:r>
      <w:r w:rsidRPr="009C34F0">
        <w:t xml:space="preserve"> the percentage of participants who have been in the </w:t>
      </w:r>
      <w:r>
        <w:t>NDIS</w:t>
      </w:r>
      <w:r w:rsidRPr="009C34F0">
        <w:t xml:space="preserve"> for at least 2 years</w:t>
      </w:r>
      <w:r>
        <w:t xml:space="preserve"> and are</w:t>
      </w:r>
      <w:r w:rsidRPr="009C34F0">
        <w:t xml:space="preserve"> aged 15 to 64 (working age) </w:t>
      </w:r>
      <w:r>
        <w:t>who</w:t>
      </w:r>
      <w:r w:rsidRPr="009C34F0">
        <w:t xml:space="preserve"> respond ‘yes’ to </w:t>
      </w:r>
      <w:r>
        <w:t xml:space="preserve">the question ‘Do you </w:t>
      </w:r>
      <w:r w:rsidRPr="009C34F0">
        <w:t>hav</w:t>
      </w:r>
      <w:r>
        <w:t>e</w:t>
      </w:r>
      <w:r w:rsidRPr="009C34F0">
        <w:t xml:space="preserve"> a paid job</w:t>
      </w:r>
      <w:r>
        <w:t>?’ in</w:t>
      </w:r>
      <w:r w:rsidRPr="009C34F0">
        <w:t xml:space="preserve"> the most recent short form outcomes questionnaire quarterly survey.</w:t>
      </w:r>
    </w:p>
    <w:p w14:paraId="2D2326F4" w14:textId="4A0B8883" w:rsidR="000D3DCF" w:rsidRDefault="000D3DCF" w:rsidP="00B27FA1">
      <w:pPr>
        <w:pStyle w:val="Heading6"/>
      </w:pPr>
      <w:r>
        <w:t>Analysis</w:t>
      </w:r>
    </w:p>
    <w:p w14:paraId="389A24D9" w14:textId="62B31A48" w:rsidR="000D3DCF" w:rsidRPr="00361A40" w:rsidRDefault="00366862" w:rsidP="007145B8">
      <w:pPr>
        <w:rPr>
          <w:rFonts w:eastAsia="Yu Mincho"/>
        </w:rPr>
      </w:pPr>
      <w:r>
        <w:rPr>
          <w:rFonts w:eastAsia="Yu Mincho"/>
        </w:rPr>
        <w:t>T</w:t>
      </w:r>
      <w:r w:rsidRPr="00C860A3">
        <w:rPr>
          <w:rFonts w:eastAsia="Yu Mincho"/>
        </w:rPr>
        <w:t xml:space="preserve">he factors affecting employment outcomes are varied and subject to </w:t>
      </w:r>
      <w:r w:rsidR="00032BF4" w:rsidRPr="00C860A3">
        <w:rPr>
          <w:rFonts w:eastAsia="Yu Mincho"/>
        </w:rPr>
        <w:t>whole</w:t>
      </w:r>
      <w:r w:rsidR="00032BF4">
        <w:rPr>
          <w:rFonts w:eastAsia="Yu Mincho"/>
        </w:rPr>
        <w:t>-</w:t>
      </w:r>
      <w:r w:rsidR="00032BF4" w:rsidRPr="00C860A3">
        <w:rPr>
          <w:rFonts w:eastAsia="Yu Mincho"/>
        </w:rPr>
        <w:t>of</w:t>
      </w:r>
      <w:r w:rsidR="00032BF4">
        <w:rPr>
          <w:rFonts w:eastAsia="Yu Mincho"/>
        </w:rPr>
        <w:t>-</w:t>
      </w:r>
      <w:r w:rsidR="00032BF4" w:rsidRPr="00C860A3">
        <w:rPr>
          <w:rFonts w:eastAsia="Yu Mincho"/>
        </w:rPr>
        <w:t>economy</w:t>
      </w:r>
      <w:r w:rsidR="008A3FDF">
        <w:rPr>
          <w:rFonts w:eastAsia="Yu Mincho"/>
        </w:rPr>
        <w:t xml:space="preserve"> </w:t>
      </w:r>
      <w:r w:rsidRPr="00C860A3">
        <w:rPr>
          <w:rFonts w:eastAsia="Yu Mincho"/>
        </w:rPr>
        <w:t>considerations</w:t>
      </w:r>
      <w:r>
        <w:rPr>
          <w:rFonts w:eastAsia="Yu Mincho"/>
        </w:rPr>
        <w:t xml:space="preserve">, </w:t>
      </w:r>
      <w:r w:rsidR="000D3DCF" w:rsidRPr="00650B72">
        <w:rPr>
          <w:rFonts w:eastAsia="Yu Mincho"/>
        </w:rPr>
        <w:t>and other programs</w:t>
      </w:r>
      <w:r w:rsidR="0082689B">
        <w:rPr>
          <w:rFonts w:eastAsia="Yu Mincho"/>
        </w:rPr>
        <w:t>,</w:t>
      </w:r>
      <w:r w:rsidR="000D3DCF" w:rsidRPr="00650B72">
        <w:rPr>
          <w:rFonts w:eastAsia="Yu Mincho"/>
        </w:rPr>
        <w:t xml:space="preserve"> </w:t>
      </w:r>
      <w:r w:rsidR="000D3DCF" w:rsidRPr="00650B72">
        <w:t xml:space="preserve">such as </w:t>
      </w:r>
      <w:r w:rsidR="009764F0" w:rsidRPr="00451281">
        <w:t>Disability Employment Services</w:t>
      </w:r>
      <w:r w:rsidR="005163B5">
        <w:t xml:space="preserve">, </w:t>
      </w:r>
      <w:r w:rsidR="009764F0" w:rsidRPr="00451281">
        <w:t>a key activity of the</w:t>
      </w:r>
      <w:r w:rsidR="009764F0">
        <w:t xml:space="preserve"> DSS</w:t>
      </w:r>
      <w:r w:rsidR="009764F0" w:rsidRPr="00451281">
        <w:t xml:space="preserve"> Disability and Carers </w:t>
      </w:r>
      <w:r w:rsidR="003D6898">
        <w:t>Program.</w:t>
      </w:r>
      <w:r w:rsidR="00EE4A81" w:rsidRPr="00EE4A81">
        <w:rPr>
          <w:rStyle w:val="FootnoteReference"/>
        </w:rPr>
        <w:t xml:space="preserve"> </w:t>
      </w:r>
      <w:r w:rsidR="00EE4A81">
        <w:rPr>
          <w:rStyle w:val="FootnoteReference"/>
        </w:rPr>
        <w:footnoteReference w:id="2"/>
      </w:r>
      <w:r w:rsidR="003D6898">
        <w:t xml:space="preserve"> NDIS</w:t>
      </w:r>
      <w:r w:rsidR="003D6898" w:rsidRPr="002E4564">
        <w:rPr>
          <w:rFonts w:eastAsia="Arial"/>
          <w:color w:val="000000"/>
        </w:rPr>
        <w:t xml:space="preserve"> </w:t>
      </w:r>
      <w:r w:rsidR="00182114" w:rsidRPr="00AA0637">
        <w:rPr>
          <w:rFonts w:eastAsia="Arial"/>
          <w:color w:val="000000"/>
        </w:rPr>
        <w:t>particip</w:t>
      </w:r>
      <w:r w:rsidR="00182114" w:rsidRPr="00182114">
        <w:rPr>
          <w:rFonts w:eastAsia="Arial"/>
          <w:color w:val="000000"/>
        </w:rPr>
        <w:t xml:space="preserve">ants have varying levels of access to </w:t>
      </w:r>
      <w:r w:rsidR="00182114" w:rsidRPr="00182114">
        <w:rPr>
          <w:rFonts w:eastAsia="Arial"/>
        </w:rPr>
        <w:t>Disability Employment Services</w:t>
      </w:r>
      <w:r w:rsidR="00182114" w:rsidRPr="00182114">
        <w:rPr>
          <w:rFonts w:eastAsia="Arial"/>
          <w:color w:val="000000"/>
        </w:rPr>
        <w:t>.</w:t>
      </w:r>
    </w:p>
    <w:p w14:paraId="51525518" w14:textId="3384B300" w:rsidR="000D3DCF" w:rsidRDefault="000D3DCF" w:rsidP="007145B8">
      <w:pPr>
        <w:rPr>
          <w:rFonts w:eastAsia="Yu Mincho"/>
        </w:rPr>
      </w:pPr>
      <w:r w:rsidRPr="009C34F0">
        <w:rPr>
          <w:rFonts w:eastAsia="Arial"/>
          <w:color w:val="000000"/>
        </w:rPr>
        <w:lastRenderedPageBreak/>
        <w:t xml:space="preserve">NDIA staff are trained to </w:t>
      </w:r>
      <w:r>
        <w:rPr>
          <w:rFonts w:eastAsia="Arial"/>
          <w:color w:val="000000"/>
        </w:rPr>
        <w:t>have planning conversations and goal discussions to assist</w:t>
      </w:r>
      <w:r w:rsidRPr="009C34F0">
        <w:rPr>
          <w:rFonts w:eastAsia="Arial"/>
          <w:color w:val="000000"/>
        </w:rPr>
        <w:t xml:space="preserve"> participants </w:t>
      </w:r>
      <w:r>
        <w:rPr>
          <w:rFonts w:eastAsia="Arial"/>
          <w:color w:val="000000"/>
        </w:rPr>
        <w:t>to</w:t>
      </w:r>
      <w:r w:rsidRPr="009C34F0">
        <w:rPr>
          <w:rFonts w:eastAsia="Arial"/>
          <w:color w:val="000000"/>
        </w:rPr>
        <w:t xml:space="preserve"> understand their </w:t>
      </w:r>
      <w:r>
        <w:rPr>
          <w:rFonts w:eastAsia="Arial"/>
          <w:color w:val="000000"/>
        </w:rPr>
        <w:t xml:space="preserve">NDIS </w:t>
      </w:r>
      <w:r w:rsidRPr="009C34F0">
        <w:rPr>
          <w:rFonts w:eastAsia="Arial"/>
          <w:color w:val="000000"/>
        </w:rPr>
        <w:t>supports</w:t>
      </w:r>
      <w:r>
        <w:rPr>
          <w:rFonts w:eastAsia="Arial"/>
          <w:color w:val="000000"/>
        </w:rPr>
        <w:t>,</w:t>
      </w:r>
      <w:r w:rsidRPr="009C34F0">
        <w:rPr>
          <w:rFonts w:eastAsia="Arial"/>
          <w:color w:val="000000"/>
        </w:rPr>
        <w:t xml:space="preserve"> </w:t>
      </w:r>
      <w:r>
        <w:rPr>
          <w:rFonts w:eastAsia="Arial"/>
          <w:color w:val="000000"/>
        </w:rPr>
        <w:t>including</w:t>
      </w:r>
      <w:r w:rsidRPr="009C34F0">
        <w:rPr>
          <w:rFonts w:eastAsia="Arial"/>
          <w:color w:val="000000"/>
        </w:rPr>
        <w:t xml:space="preserve"> employment supports</w:t>
      </w:r>
      <w:r>
        <w:rPr>
          <w:rFonts w:eastAsia="Arial"/>
          <w:color w:val="000000"/>
        </w:rPr>
        <w:t xml:space="preserve"> that can help them achieve</w:t>
      </w:r>
      <w:r w:rsidRPr="009C34F0">
        <w:rPr>
          <w:rFonts w:eastAsia="Arial"/>
          <w:color w:val="000000"/>
        </w:rPr>
        <w:t xml:space="preserve"> their goals. </w:t>
      </w:r>
      <w:r w:rsidRPr="009C34F0">
        <w:rPr>
          <w:rFonts w:eastAsia="Yu Mincho"/>
        </w:rPr>
        <w:t xml:space="preserve">The NDIA is continuing to engage with </w:t>
      </w:r>
      <w:r>
        <w:rPr>
          <w:rFonts w:eastAsia="Yu Mincho"/>
        </w:rPr>
        <w:t>p</w:t>
      </w:r>
      <w:r w:rsidRPr="009C34F0">
        <w:rPr>
          <w:rFonts w:eastAsia="Yu Mincho"/>
        </w:rPr>
        <w:t xml:space="preserve">lan </w:t>
      </w:r>
      <w:r>
        <w:rPr>
          <w:rFonts w:eastAsia="Yu Mincho"/>
        </w:rPr>
        <w:t>m</w:t>
      </w:r>
      <w:r w:rsidRPr="009C34F0">
        <w:rPr>
          <w:rFonts w:eastAsia="Yu Mincho"/>
        </w:rPr>
        <w:t xml:space="preserve">anagers and </w:t>
      </w:r>
      <w:r>
        <w:rPr>
          <w:rFonts w:eastAsia="Yu Mincho"/>
        </w:rPr>
        <w:t>s</w:t>
      </w:r>
      <w:r w:rsidRPr="009C34F0">
        <w:rPr>
          <w:rFonts w:eastAsia="Yu Mincho"/>
        </w:rPr>
        <w:t xml:space="preserve">upport </w:t>
      </w:r>
      <w:r>
        <w:rPr>
          <w:rFonts w:eastAsia="Yu Mincho"/>
        </w:rPr>
        <w:t>c</w:t>
      </w:r>
      <w:r w:rsidRPr="009C34F0">
        <w:rPr>
          <w:rFonts w:eastAsia="Yu Mincho"/>
        </w:rPr>
        <w:t xml:space="preserve">oordinators to </w:t>
      </w:r>
      <w:r>
        <w:rPr>
          <w:rFonts w:eastAsia="Yu Mincho"/>
        </w:rPr>
        <w:t>emphasise</w:t>
      </w:r>
      <w:r w:rsidRPr="009C34F0">
        <w:rPr>
          <w:rFonts w:eastAsia="Yu Mincho"/>
        </w:rPr>
        <w:t xml:space="preserve"> their role in supporting participants to </w:t>
      </w:r>
      <w:r>
        <w:rPr>
          <w:rFonts w:eastAsia="Yu Mincho"/>
        </w:rPr>
        <w:t>meet their employment goals</w:t>
      </w:r>
      <w:r w:rsidRPr="009C34F0">
        <w:rPr>
          <w:rFonts w:eastAsia="Yu Mincho"/>
        </w:rPr>
        <w:t>.</w:t>
      </w:r>
    </w:p>
    <w:p w14:paraId="5E9758E0" w14:textId="12B72504" w:rsidR="000D3DCF" w:rsidRPr="00A33264" w:rsidRDefault="000D3DCF" w:rsidP="001C74C2">
      <w:pPr>
        <w:rPr>
          <w:b/>
          <w:bCs/>
          <w:lang w:val="en-GB"/>
        </w:rPr>
      </w:pPr>
      <w:r w:rsidRPr="00A33264">
        <w:rPr>
          <w:b/>
          <w:bCs/>
          <w:lang w:val="en-GB"/>
        </w:rPr>
        <w:t>Children who have benefited from the Scheme and no longer need support</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3"/>
        <w:gridCol w:w="1347"/>
        <w:gridCol w:w="1352"/>
        <w:gridCol w:w="1355"/>
        <w:gridCol w:w="1329"/>
      </w:tblGrid>
      <w:tr w:rsidR="000D3DCF" w:rsidRPr="00A33264" w14:paraId="5C8AAC2D"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3" w:type="dxa"/>
            <w:shd w:val="clear" w:color="auto" w:fill="A1CE63"/>
          </w:tcPr>
          <w:p w14:paraId="6F397D70" w14:textId="1F058FE9" w:rsidR="000D3DCF" w:rsidRPr="00A33264" w:rsidRDefault="000D3DCF">
            <w:pPr>
              <w:pStyle w:val="TableBody"/>
              <w:rPr>
                <w:color w:val="auto"/>
                <w:lang w:val="en-GB"/>
              </w:rPr>
            </w:pPr>
            <w:bookmarkStart w:id="87" w:name="ColumnTitle_PerformanceMeasure8"/>
            <w:bookmarkEnd w:id="87"/>
            <w:r w:rsidRPr="00A33264">
              <w:rPr>
                <w:color w:val="auto"/>
                <w:lang w:val="en-GB"/>
              </w:rPr>
              <w:t xml:space="preserve">Performance </w:t>
            </w:r>
            <w:r>
              <w:rPr>
                <w:color w:val="auto"/>
                <w:lang w:val="en-GB"/>
              </w:rPr>
              <w:t>m</w:t>
            </w:r>
            <w:r w:rsidRPr="00A33264">
              <w:rPr>
                <w:color w:val="auto"/>
                <w:lang w:val="en-GB"/>
              </w:rPr>
              <w:t>easure</w:t>
            </w:r>
          </w:p>
        </w:tc>
        <w:tc>
          <w:tcPr>
            <w:tcW w:w="1347" w:type="dxa"/>
            <w:shd w:val="clear" w:color="auto" w:fill="A1CE63"/>
          </w:tcPr>
          <w:p w14:paraId="0B8E1964"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52" w:type="dxa"/>
            <w:shd w:val="clear" w:color="auto" w:fill="A1CE63"/>
          </w:tcPr>
          <w:p w14:paraId="6570D3CA"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55" w:type="dxa"/>
            <w:shd w:val="clear" w:color="auto" w:fill="A1CE63"/>
          </w:tcPr>
          <w:p w14:paraId="3479CAA5"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 xml:space="preserve">24 </w:t>
            </w:r>
            <w:r w:rsidRPr="00A33264">
              <w:rPr>
                <w:color w:val="auto"/>
                <w:lang w:val="en-GB"/>
              </w:rPr>
              <w:t>Outcome</w:t>
            </w:r>
          </w:p>
        </w:tc>
        <w:tc>
          <w:tcPr>
            <w:tcW w:w="1329" w:type="dxa"/>
            <w:shd w:val="clear" w:color="auto" w:fill="A1CE63"/>
          </w:tcPr>
          <w:p w14:paraId="3F5FE2C0" w14:textId="77777777" w:rsidR="000D3DCF" w:rsidRPr="007145B8"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1C1A7C59" w14:textId="77777777" w:rsidTr="007145B8">
        <w:trPr>
          <w:cnfStyle w:val="000000100000" w:firstRow="0" w:lastRow="0" w:firstColumn="0" w:lastColumn="0" w:oddVBand="0" w:evenVBand="0" w:oddHBand="1" w:evenHBand="0" w:firstRowFirstColumn="0" w:firstRowLastColumn="0" w:lastRowFirstColumn="0" w:lastRowLastColumn="0"/>
          <w:cantSplit/>
        </w:trPr>
        <w:tc>
          <w:tcPr>
            <w:tcW w:w="3633" w:type="dxa"/>
            <w:shd w:val="clear" w:color="auto" w:fill="E5F1D4"/>
          </w:tcPr>
          <w:p w14:paraId="4EFC1EAD" w14:textId="236731F6" w:rsidR="000D3DCF" w:rsidRPr="00A33264" w:rsidRDefault="000D3DCF" w:rsidP="001C74C2">
            <w:pPr>
              <w:pStyle w:val="TableBody"/>
              <w:rPr>
                <w:lang w:val="en-GB"/>
              </w:rPr>
            </w:pPr>
            <w:r w:rsidRPr="00A33264">
              <w:rPr>
                <w:lang w:val="en-GB"/>
              </w:rPr>
              <w:t>Children who have benefited from the Scheme and no longer need support</w:t>
            </w:r>
            <w:r w:rsidR="00BC1502">
              <w:rPr>
                <w:lang w:val="en-GB"/>
              </w:rPr>
              <w:t>s</w:t>
            </w:r>
          </w:p>
        </w:tc>
        <w:tc>
          <w:tcPr>
            <w:tcW w:w="1347" w:type="dxa"/>
            <w:shd w:val="clear" w:color="auto" w:fill="E5F1D4"/>
          </w:tcPr>
          <w:p w14:paraId="3931B501" w14:textId="77777777" w:rsidR="000D3DCF" w:rsidRPr="00A33264" w:rsidRDefault="000D3DCF" w:rsidP="00BB40DF">
            <w:pPr>
              <w:pStyle w:val="TableBody"/>
              <w:jc w:val="right"/>
              <w:rPr>
                <w:lang w:val="en-GB"/>
              </w:rPr>
            </w:pPr>
            <w:r w:rsidRPr="00A33264">
              <w:rPr>
                <w:rFonts w:eastAsia="Times New Roman"/>
                <w:lang w:val="en-GB" w:eastAsia="en-AU"/>
              </w:rPr>
              <w:t>6%</w:t>
            </w:r>
          </w:p>
        </w:tc>
        <w:tc>
          <w:tcPr>
            <w:tcW w:w="1352" w:type="dxa"/>
            <w:shd w:val="clear" w:color="auto" w:fill="E5F1D4"/>
          </w:tcPr>
          <w:p w14:paraId="42F9BF41" w14:textId="77777777" w:rsidR="000D3DCF" w:rsidRPr="00A33264" w:rsidRDefault="000D3DCF" w:rsidP="00BB40DF">
            <w:pPr>
              <w:pStyle w:val="TableBody"/>
              <w:jc w:val="right"/>
              <w:rPr>
                <w:lang w:val="en-GB"/>
              </w:rPr>
            </w:pPr>
            <w:r w:rsidRPr="00A33264">
              <w:rPr>
                <w:lang w:val="en-GB"/>
              </w:rPr>
              <w:t>Data not available</w:t>
            </w:r>
          </w:p>
        </w:tc>
        <w:tc>
          <w:tcPr>
            <w:tcW w:w="1355" w:type="dxa"/>
            <w:shd w:val="clear" w:color="auto" w:fill="E5F1D4"/>
          </w:tcPr>
          <w:p w14:paraId="022AFCEE" w14:textId="77777777" w:rsidR="000D3DCF" w:rsidRPr="00A33264" w:rsidRDefault="000D3DCF" w:rsidP="00BB40DF">
            <w:pPr>
              <w:pStyle w:val="TableBody"/>
              <w:jc w:val="right"/>
              <w:rPr>
                <w:lang w:val="en-GB"/>
              </w:rPr>
            </w:pPr>
            <w:r w:rsidRPr="00A33264">
              <w:rPr>
                <w:lang w:val="en-GB"/>
              </w:rPr>
              <w:t>Data not available</w:t>
            </w:r>
          </w:p>
        </w:tc>
        <w:tc>
          <w:tcPr>
            <w:tcW w:w="1329" w:type="dxa"/>
            <w:shd w:val="clear" w:color="auto" w:fill="E5F1D4"/>
          </w:tcPr>
          <w:p w14:paraId="4635E18B" w14:textId="77777777" w:rsidR="000D3DCF" w:rsidRPr="00A33264" w:rsidRDefault="000D3DCF" w:rsidP="00BB40DF">
            <w:pPr>
              <w:pStyle w:val="TableBody"/>
              <w:jc w:val="right"/>
              <w:rPr>
                <w:lang w:val="en-GB"/>
              </w:rPr>
            </w:pPr>
            <w:r>
              <w:rPr>
                <w:lang w:val="en-GB"/>
              </w:rPr>
              <w:t>4.7%</w:t>
            </w:r>
          </w:p>
        </w:tc>
      </w:tr>
    </w:tbl>
    <w:p w14:paraId="3F212D8F" w14:textId="77777777" w:rsidR="000D3DCF" w:rsidRDefault="000D3DCF" w:rsidP="00B27FA1">
      <w:pPr>
        <w:pStyle w:val="Heading6"/>
        <w:rPr>
          <w:rFonts w:eastAsia="Yu Mincho"/>
        </w:rPr>
      </w:pPr>
      <w:r>
        <w:rPr>
          <w:rFonts w:eastAsia="Yu Mincho"/>
        </w:rPr>
        <w:t>Why we measure this</w:t>
      </w:r>
    </w:p>
    <w:p w14:paraId="76DDAEDF" w14:textId="630592EB" w:rsidR="000D3DCF" w:rsidRDefault="000D3DCF" w:rsidP="007145B8">
      <w:r w:rsidRPr="009C34F0">
        <w:t xml:space="preserve">This measure assesses the effectiveness of the </w:t>
      </w:r>
      <w:r>
        <w:t>e</w:t>
      </w:r>
      <w:r w:rsidRPr="009C34F0">
        <w:t xml:space="preserve">arly </w:t>
      </w:r>
      <w:r>
        <w:t>c</w:t>
      </w:r>
      <w:r w:rsidRPr="009C34F0">
        <w:t xml:space="preserve">hildhood </w:t>
      </w:r>
      <w:r>
        <w:t>a</w:t>
      </w:r>
      <w:r w:rsidRPr="009C34F0">
        <w:t xml:space="preserve">pproach and embedding the insurance-based model. </w:t>
      </w:r>
    </w:p>
    <w:p w14:paraId="318A9EBE" w14:textId="77777777" w:rsidR="000D3DCF" w:rsidRDefault="000D3DCF" w:rsidP="00B27FA1">
      <w:pPr>
        <w:pStyle w:val="Heading6"/>
      </w:pPr>
      <w:r>
        <w:t>How we measure this</w:t>
      </w:r>
    </w:p>
    <w:p w14:paraId="2DF8B112" w14:textId="1A4A4E5F" w:rsidR="000D3DCF" w:rsidRPr="009C34F0" w:rsidRDefault="000D3DCF" w:rsidP="007145B8">
      <w:r>
        <w:t>We obtain our results for this performance measure by</w:t>
      </w:r>
      <w:r w:rsidRPr="009C34F0">
        <w:t xml:space="preserve"> calculat</w:t>
      </w:r>
      <w:r>
        <w:t>ing</w:t>
      </w:r>
      <w:r w:rsidRPr="009C34F0">
        <w:t xml:space="preserve"> the number of participants aged </w:t>
      </w:r>
      <w:r>
        <w:t>0</w:t>
      </w:r>
      <w:r w:rsidRPr="009C34F0">
        <w:t xml:space="preserve"> to 14 who have benefited from the </w:t>
      </w:r>
      <w:r>
        <w:t>NDIS</w:t>
      </w:r>
      <w:r w:rsidRPr="009C34F0">
        <w:t xml:space="preserve">’ </w:t>
      </w:r>
      <w:r>
        <w:t>e</w:t>
      </w:r>
      <w:r w:rsidRPr="009C34F0">
        <w:t xml:space="preserve">arly </w:t>
      </w:r>
      <w:r>
        <w:t>c</w:t>
      </w:r>
      <w:r w:rsidRPr="009C34F0">
        <w:t xml:space="preserve">hildhood </w:t>
      </w:r>
      <w:r>
        <w:t>a</w:t>
      </w:r>
      <w:r w:rsidRPr="009C34F0">
        <w:t xml:space="preserve">pproach and who no longer receive </w:t>
      </w:r>
      <w:r>
        <w:t>s</w:t>
      </w:r>
      <w:r w:rsidRPr="009C34F0">
        <w:t>upports (under Program 1.1).</w:t>
      </w:r>
    </w:p>
    <w:p w14:paraId="38ADD568" w14:textId="77777777" w:rsidR="000D3DCF" w:rsidRDefault="000D3DCF" w:rsidP="00B27FA1">
      <w:pPr>
        <w:pStyle w:val="Heading6"/>
      </w:pPr>
      <w:r>
        <w:t>Analysis</w:t>
      </w:r>
    </w:p>
    <w:p w14:paraId="1839B363" w14:textId="14B44CFD" w:rsidR="00247078" w:rsidRDefault="000D3DCF" w:rsidP="00247078">
      <w:pPr>
        <w:rPr>
          <w:rFonts w:eastAsia="Arial"/>
        </w:rPr>
      </w:pPr>
      <w:r w:rsidRPr="009C34F0">
        <w:rPr>
          <w:rFonts w:eastAsia="Yu Mincho"/>
        </w:rPr>
        <w:t xml:space="preserve">Data </w:t>
      </w:r>
      <w:r w:rsidR="004D584E">
        <w:rPr>
          <w:rFonts w:eastAsia="Yu Mincho"/>
        </w:rPr>
        <w:t xml:space="preserve">on the transition of children from the early childhood approach to the </w:t>
      </w:r>
      <w:r w:rsidR="00CA3328">
        <w:rPr>
          <w:rFonts w:eastAsia="Yu Mincho"/>
        </w:rPr>
        <w:t>NDIS</w:t>
      </w:r>
      <w:r w:rsidR="004D584E">
        <w:rPr>
          <w:rFonts w:eastAsia="Yu Mincho"/>
        </w:rPr>
        <w:t xml:space="preserve"> or alternative pathways </w:t>
      </w:r>
      <w:r w:rsidRPr="009C34F0">
        <w:rPr>
          <w:rFonts w:eastAsia="Yu Mincho"/>
        </w:rPr>
        <w:t xml:space="preserve">is not available </w:t>
      </w:r>
      <w:r>
        <w:rPr>
          <w:rFonts w:eastAsia="Yu Mincho"/>
        </w:rPr>
        <w:t xml:space="preserve">for </w:t>
      </w:r>
      <w:r w:rsidRPr="009C34F0">
        <w:rPr>
          <w:rFonts w:eastAsia="DengXian"/>
        </w:rPr>
        <w:t xml:space="preserve">this reporting period due to the rollout of the </w:t>
      </w:r>
      <w:r w:rsidR="00BD71AB">
        <w:rPr>
          <w:rFonts w:eastAsia="DengXian"/>
        </w:rPr>
        <w:t xml:space="preserve">NDIA’s </w:t>
      </w:r>
      <w:r w:rsidRPr="009C34F0">
        <w:rPr>
          <w:rFonts w:eastAsia="DengXian"/>
        </w:rPr>
        <w:t>new computer system</w:t>
      </w:r>
      <w:r w:rsidRPr="009C34F0">
        <w:rPr>
          <w:rFonts w:eastAsia="Arial"/>
        </w:rPr>
        <w:t xml:space="preserve">. </w:t>
      </w:r>
    </w:p>
    <w:p w14:paraId="137DC55C" w14:textId="5B0926EC" w:rsidR="00AA02E5" w:rsidRDefault="000D3DCF" w:rsidP="00AA02E5">
      <w:pPr>
        <w:rPr>
          <w:b/>
          <w:bCs/>
          <w:lang w:val="en-GB"/>
        </w:rPr>
      </w:pPr>
      <w:r w:rsidRPr="009C34F0">
        <w:rPr>
          <w:rFonts w:eastAsia="Arial"/>
        </w:rPr>
        <w:t xml:space="preserve">The NDIA has a nationally consistent early childhood approach for children younger than 6 with developmental delay or younger than 9 with disability. </w:t>
      </w:r>
      <w:r>
        <w:rPr>
          <w:rFonts w:eastAsia="Arial"/>
        </w:rPr>
        <w:t>A</w:t>
      </w:r>
      <w:r w:rsidRPr="00980C6B">
        <w:rPr>
          <w:rFonts w:eastAsia="Arial"/>
        </w:rPr>
        <w:t xml:space="preserve"> child</w:t>
      </w:r>
      <w:r>
        <w:rPr>
          <w:rFonts w:eastAsia="Arial"/>
        </w:rPr>
        <w:t xml:space="preserve"> may leave the NDIS but maintain linkages with mainstream and community services or continue to receive supports through a local area coordinator or planner when the child turns 9. </w:t>
      </w:r>
      <w:r w:rsidRPr="009C34F0">
        <w:rPr>
          <w:rFonts w:eastAsia="Yu Mincho"/>
        </w:rPr>
        <w:t>Children receiving NDIS supports are engaged with</w:t>
      </w:r>
      <w:r w:rsidRPr="009C34F0">
        <w:rPr>
          <w:rFonts w:eastAsia="Arial"/>
        </w:rPr>
        <w:t xml:space="preserve"> </w:t>
      </w:r>
      <w:r>
        <w:rPr>
          <w:rFonts w:eastAsia="Arial"/>
        </w:rPr>
        <w:t>early childhood</w:t>
      </w:r>
      <w:r w:rsidRPr="009C34F0">
        <w:rPr>
          <w:rFonts w:eastAsia="Arial"/>
        </w:rPr>
        <w:t xml:space="preserve"> partners.</w:t>
      </w:r>
      <w:r w:rsidR="00AA02E5">
        <w:rPr>
          <w:b/>
          <w:bCs/>
          <w:lang w:val="en-GB"/>
        </w:rPr>
        <w:br w:type="page"/>
      </w:r>
    </w:p>
    <w:p w14:paraId="4B8CA7BF" w14:textId="63FA46DF" w:rsidR="000D3DCF" w:rsidRPr="00A33264" w:rsidRDefault="000D3DCF" w:rsidP="009B5EFC">
      <w:pPr>
        <w:rPr>
          <w:b/>
          <w:bCs/>
          <w:lang w:val="en-GB"/>
        </w:rPr>
      </w:pPr>
      <w:r w:rsidRPr="00A33264">
        <w:rPr>
          <w:b/>
          <w:bCs/>
          <w:lang w:val="en-GB"/>
        </w:rPr>
        <w:lastRenderedPageBreak/>
        <w:t xml:space="preserve">No </w:t>
      </w:r>
      <w:r>
        <w:rPr>
          <w:b/>
          <w:bCs/>
          <w:lang w:val="en-GB"/>
        </w:rPr>
        <w:t>person</w:t>
      </w:r>
      <w:r w:rsidRPr="00A33264">
        <w:rPr>
          <w:b/>
          <w:bCs/>
          <w:lang w:val="en-GB"/>
        </w:rPr>
        <w:t xml:space="preserve"> under the age of 65 </w:t>
      </w:r>
      <w:r>
        <w:rPr>
          <w:b/>
          <w:bCs/>
          <w:lang w:val="en-GB"/>
        </w:rPr>
        <w:t>is</w:t>
      </w:r>
      <w:r w:rsidRPr="00A33264">
        <w:rPr>
          <w:b/>
          <w:bCs/>
          <w:lang w:val="en-GB"/>
        </w:rPr>
        <w:t xml:space="preserve"> living in residential aged care</w:t>
      </w:r>
      <w:r>
        <w:rPr>
          <w:b/>
          <w:bCs/>
          <w:lang w:val="en-GB"/>
        </w:rPr>
        <w:t>,</w:t>
      </w:r>
      <w:r w:rsidRPr="00A33264">
        <w:rPr>
          <w:b/>
          <w:bCs/>
          <w:lang w:val="en-GB"/>
        </w:rPr>
        <w:t xml:space="preserve"> unless there are exceptional circumstances</w:t>
      </w:r>
      <w:r>
        <w:rPr>
          <w:b/>
          <w:bCs/>
          <w:lang w:val="en-GB"/>
        </w:rPr>
        <w:t>,</w:t>
      </w:r>
      <w:r w:rsidRPr="00A33264">
        <w:rPr>
          <w:b/>
          <w:bCs/>
          <w:lang w:val="en-GB"/>
        </w:rPr>
        <w:t xml:space="preserve"> by </w:t>
      </w:r>
      <w:r w:rsidR="0045672F">
        <w:rPr>
          <w:b/>
          <w:bCs/>
          <w:lang w:val="en-GB"/>
        </w:rPr>
        <w:t xml:space="preserve">the </w:t>
      </w:r>
      <w:r w:rsidRPr="00A33264">
        <w:rPr>
          <w:b/>
          <w:bCs/>
          <w:lang w:val="en-GB"/>
        </w:rPr>
        <w:t xml:space="preserve">end </w:t>
      </w:r>
      <w:r>
        <w:rPr>
          <w:b/>
          <w:bCs/>
          <w:lang w:val="en-GB"/>
        </w:rPr>
        <w:t xml:space="preserve">of </w:t>
      </w:r>
      <w:r w:rsidRPr="00A33264">
        <w:rPr>
          <w:b/>
          <w:bCs/>
          <w:lang w:val="en-GB"/>
        </w:rPr>
        <w:t>2025</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1"/>
        <w:gridCol w:w="1359"/>
        <w:gridCol w:w="1346"/>
        <w:gridCol w:w="1354"/>
        <w:gridCol w:w="1326"/>
      </w:tblGrid>
      <w:tr w:rsidR="000D3DCF" w:rsidRPr="00A33264" w14:paraId="6F7B9F27"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1" w:type="dxa"/>
            <w:shd w:val="clear" w:color="auto" w:fill="A1CE63"/>
          </w:tcPr>
          <w:p w14:paraId="6E0C3768" w14:textId="67940DDF" w:rsidR="000D3DCF" w:rsidRPr="00A33264" w:rsidRDefault="000D3DCF">
            <w:pPr>
              <w:pStyle w:val="TableBody"/>
              <w:rPr>
                <w:color w:val="auto"/>
                <w:lang w:val="en-GB"/>
              </w:rPr>
            </w:pPr>
            <w:bookmarkStart w:id="88" w:name="ColumnTitle_PerformanceMeasure9"/>
            <w:bookmarkEnd w:id="88"/>
            <w:r w:rsidRPr="00A33264">
              <w:rPr>
                <w:color w:val="auto"/>
                <w:lang w:val="en-GB"/>
              </w:rPr>
              <w:t xml:space="preserve">Performance </w:t>
            </w:r>
            <w:r>
              <w:rPr>
                <w:color w:val="auto"/>
                <w:lang w:val="en-GB"/>
              </w:rPr>
              <w:t>m</w:t>
            </w:r>
            <w:r w:rsidRPr="00A33264">
              <w:rPr>
                <w:color w:val="auto"/>
                <w:lang w:val="en-GB"/>
              </w:rPr>
              <w:t>easure</w:t>
            </w:r>
          </w:p>
        </w:tc>
        <w:tc>
          <w:tcPr>
            <w:tcW w:w="1359" w:type="dxa"/>
            <w:shd w:val="clear" w:color="auto" w:fill="A1CE63"/>
          </w:tcPr>
          <w:p w14:paraId="65B675A2"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Target</w:t>
            </w:r>
          </w:p>
        </w:tc>
        <w:tc>
          <w:tcPr>
            <w:tcW w:w="1346" w:type="dxa"/>
            <w:shd w:val="clear" w:color="auto" w:fill="A1CE63"/>
          </w:tcPr>
          <w:p w14:paraId="23CBB493" w14:textId="77777777" w:rsidR="000D3DCF" w:rsidRPr="00A33264" w:rsidRDefault="000D3DCF" w:rsidP="00BB40DF">
            <w:pPr>
              <w:pStyle w:val="TableBody"/>
              <w:jc w:val="right"/>
              <w:rPr>
                <w:color w:val="auto"/>
                <w:lang w:val="en-GB"/>
              </w:rPr>
            </w:pPr>
            <w:r w:rsidRPr="00A33264">
              <w:rPr>
                <w:color w:val="auto"/>
                <w:lang w:val="en-GB"/>
              </w:rPr>
              <w:t>2023</w:t>
            </w:r>
            <w:r w:rsidRPr="00A15A18">
              <w:rPr>
                <w:color w:val="auto"/>
              </w:rPr>
              <w:t>–</w:t>
            </w:r>
            <w:r w:rsidRPr="00A33264">
              <w:rPr>
                <w:color w:val="auto"/>
                <w:lang w:val="en-GB"/>
              </w:rPr>
              <w:t>24 Result</w:t>
            </w:r>
          </w:p>
        </w:tc>
        <w:tc>
          <w:tcPr>
            <w:tcW w:w="1354" w:type="dxa"/>
            <w:shd w:val="clear" w:color="auto" w:fill="A1CE63"/>
          </w:tcPr>
          <w:p w14:paraId="58DB3462" w14:textId="77777777" w:rsidR="000D3DCF" w:rsidRPr="00A33264" w:rsidRDefault="000D3DCF" w:rsidP="00BB40DF">
            <w:pPr>
              <w:pStyle w:val="TableBody"/>
              <w:jc w:val="right"/>
              <w:rPr>
                <w:color w:val="auto"/>
                <w:lang w:val="en-GB"/>
              </w:rPr>
            </w:pPr>
            <w:r>
              <w:rPr>
                <w:color w:val="auto"/>
                <w:lang w:val="en-GB"/>
              </w:rPr>
              <w:t>2023</w:t>
            </w:r>
            <w:r w:rsidRPr="00A15A18">
              <w:rPr>
                <w:color w:val="auto"/>
              </w:rPr>
              <w:t>–</w:t>
            </w:r>
            <w:r>
              <w:rPr>
                <w:color w:val="auto"/>
                <w:lang w:val="en-GB"/>
              </w:rPr>
              <w:t xml:space="preserve">24 </w:t>
            </w:r>
            <w:r w:rsidRPr="00A33264">
              <w:rPr>
                <w:color w:val="auto"/>
                <w:lang w:val="en-GB"/>
              </w:rPr>
              <w:t>Outcome</w:t>
            </w:r>
          </w:p>
        </w:tc>
        <w:tc>
          <w:tcPr>
            <w:tcW w:w="1326" w:type="dxa"/>
            <w:shd w:val="clear" w:color="auto" w:fill="A1CE63"/>
          </w:tcPr>
          <w:p w14:paraId="6C756A4B" w14:textId="77777777" w:rsidR="000D3DCF" w:rsidRPr="007145B8" w:rsidRDefault="000D3DCF" w:rsidP="00BB40DF">
            <w:pPr>
              <w:pStyle w:val="TableBody"/>
              <w:jc w:val="right"/>
              <w:rPr>
                <w:color w:val="auto"/>
                <w:lang w:val="en-GB"/>
              </w:rPr>
            </w:pPr>
            <w:r>
              <w:rPr>
                <w:color w:val="auto"/>
                <w:lang w:val="en-GB"/>
              </w:rPr>
              <w:t>2022</w:t>
            </w:r>
            <w:r w:rsidRPr="00A15A18">
              <w:rPr>
                <w:color w:val="auto"/>
              </w:rPr>
              <w:t>–</w:t>
            </w:r>
            <w:r>
              <w:rPr>
                <w:color w:val="auto"/>
                <w:lang w:val="en-GB"/>
              </w:rPr>
              <w:t>23 Result</w:t>
            </w:r>
          </w:p>
        </w:tc>
      </w:tr>
      <w:tr w:rsidR="000D3DCF" w:rsidRPr="00A33264" w14:paraId="0732CF7B" w14:textId="77777777" w:rsidTr="007145B8">
        <w:trPr>
          <w:cnfStyle w:val="000000100000" w:firstRow="0" w:lastRow="0" w:firstColumn="0" w:lastColumn="0" w:oddVBand="0" w:evenVBand="0" w:oddHBand="1" w:evenHBand="0" w:firstRowFirstColumn="0" w:firstRowLastColumn="0" w:lastRowFirstColumn="0" w:lastRowLastColumn="0"/>
          <w:cantSplit/>
        </w:trPr>
        <w:tc>
          <w:tcPr>
            <w:tcW w:w="3631" w:type="dxa"/>
            <w:shd w:val="clear" w:color="auto" w:fill="E5F1D4"/>
          </w:tcPr>
          <w:p w14:paraId="74958830" w14:textId="2168EAC8" w:rsidR="000D3DCF" w:rsidRPr="00A33264" w:rsidRDefault="000D3DCF" w:rsidP="001C74C2">
            <w:pPr>
              <w:pStyle w:val="TableBody"/>
              <w:tabs>
                <w:tab w:val="left" w:pos="960"/>
              </w:tabs>
              <w:rPr>
                <w:lang w:val="en-GB"/>
              </w:rPr>
            </w:pPr>
            <w:r w:rsidRPr="00A33264">
              <w:rPr>
                <w:lang w:val="en-GB"/>
              </w:rPr>
              <w:t xml:space="preserve">No person under the age of 65 is living in residential aged care, unless there are exceptional circumstances, by </w:t>
            </w:r>
            <w:r w:rsidR="00910F0D">
              <w:rPr>
                <w:lang w:val="en-GB"/>
              </w:rPr>
              <w:t xml:space="preserve">the </w:t>
            </w:r>
            <w:r w:rsidRPr="00A33264">
              <w:rPr>
                <w:lang w:val="en-GB"/>
              </w:rPr>
              <w:t xml:space="preserve">end </w:t>
            </w:r>
            <w:r>
              <w:rPr>
                <w:lang w:val="en-GB"/>
              </w:rPr>
              <w:t xml:space="preserve">of </w:t>
            </w:r>
            <w:r w:rsidRPr="00A33264">
              <w:rPr>
                <w:lang w:val="en-GB"/>
              </w:rPr>
              <w:t>2025</w:t>
            </w:r>
          </w:p>
        </w:tc>
        <w:tc>
          <w:tcPr>
            <w:tcW w:w="1359" w:type="dxa"/>
            <w:shd w:val="clear" w:color="auto" w:fill="E5F1D4"/>
          </w:tcPr>
          <w:p w14:paraId="27967E5E" w14:textId="77777777" w:rsidR="000D3DCF" w:rsidRPr="00A33264" w:rsidRDefault="000D3DCF" w:rsidP="00BB40DF">
            <w:pPr>
              <w:pStyle w:val="TableBody"/>
              <w:jc w:val="right"/>
              <w:rPr>
                <w:lang w:val="en-GB"/>
              </w:rPr>
            </w:pPr>
            <w:r w:rsidRPr="00A33264">
              <w:rPr>
                <w:lang w:val="en-GB"/>
              </w:rPr>
              <w:t>&lt;1% of NDIS participants</w:t>
            </w:r>
          </w:p>
        </w:tc>
        <w:tc>
          <w:tcPr>
            <w:tcW w:w="1346" w:type="dxa"/>
            <w:shd w:val="clear" w:color="auto" w:fill="E5F1D4"/>
          </w:tcPr>
          <w:p w14:paraId="537AA966" w14:textId="77777777" w:rsidR="000D3DCF" w:rsidRPr="00A33264" w:rsidRDefault="000D3DCF" w:rsidP="00BB40DF">
            <w:pPr>
              <w:pStyle w:val="TableBody"/>
              <w:jc w:val="right"/>
              <w:rPr>
                <w:lang w:val="en-GB"/>
              </w:rPr>
            </w:pPr>
            <w:r w:rsidRPr="00A33264">
              <w:rPr>
                <w:lang w:val="en-GB"/>
              </w:rPr>
              <w:t>0.4%</w:t>
            </w:r>
          </w:p>
        </w:tc>
        <w:tc>
          <w:tcPr>
            <w:tcW w:w="1354" w:type="dxa"/>
            <w:shd w:val="clear" w:color="auto" w:fill="E5F1D4"/>
          </w:tcPr>
          <w:p w14:paraId="23C19250" w14:textId="77777777" w:rsidR="000D3DCF" w:rsidRPr="00A33264" w:rsidRDefault="000D3DCF" w:rsidP="00BB40DF">
            <w:pPr>
              <w:pStyle w:val="TableBody"/>
              <w:jc w:val="right"/>
              <w:rPr>
                <w:lang w:val="en-GB"/>
              </w:rPr>
            </w:pPr>
            <w:r w:rsidRPr="00A33264">
              <w:rPr>
                <w:lang w:val="en-GB"/>
              </w:rPr>
              <w:t>Achieved</w:t>
            </w:r>
          </w:p>
        </w:tc>
        <w:tc>
          <w:tcPr>
            <w:tcW w:w="1326" w:type="dxa"/>
            <w:shd w:val="clear" w:color="auto" w:fill="E5F1D4"/>
          </w:tcPr>
          <w:p w14:paraId="5416BBE3" w14:textId="77777777" w:rsidR="000D3DCF" w:rsidRPr="00A33264" w:rsidRDefault="000D3DCF" w:rsidP="00BB40DF">
            <w:pPr>
              <w:pStyle w:val="TableBody"/>
              <w:jc w:val="right"/>
              <w:rPr>
                <w:lang w:val="en-GB"/>
              </w:rPr>
            </w:pPr>
            <w:r>
              <w:rPr>
                <w:lang w:val="en-GB"/>
              </w:rPr>
              <w:t>0.59%</w:t>
            </w:r>
          </w:p>
        </w:tc>
      </w:tr>
    </w:tbl>
    <w:p w14:paraId="434E5742" w14:textId="77777777" w:rsidR="000D3DCF" w:rsidRDefault="000D3DCF" w:rsidP="00B27FA1">
      <w:pPr>
        <w:pStyle w:val="Heading6"/>
        <w:rPr>
          <w:rFonts w:eastAsia="Yu Mincho"/>
        </w:rPr>
      </w:pPr>
      <w:r>
        <w:rPr>
          <w:rFonts w:eastAsia="Yu Mincho"/>
        </w:rPr>
        <w:t>Why we measure this</w:t>
      </w:r>
    </w:p>
    <w:p w14:paraId="2F7653F2" w14:textId="303083DA" w:rsidR="000D3DCF" w:rsidRDefault="000D3DCF" w:rsidP="007145B8">
      <w:pPr>
        <w:spacing w:after="200"/>
        <w:rPr>
          <w:rFonts w:eastAsia="Arial"/>
        </w:rPr>
      </w:pPr>
      <w:r w:rsidRPr="009C34F0">
        <w:rPr>
          <w:rFonts w:eastAsia="Arial"/>
        </w:rPr>
        <w:t xml:space="preserve">This measure assesses the effectiveness of the </w:t>
      </w:r>
      <w:r w:rsidR="00234EFF">
        <w:rPr>
          <w:rFonts w:eastAsia="Arial"/>
        </w:rPr>
        <w:t>whole-of-g</w:t>
      </w:r>
      <w:r w:rsidR="00234EFF" w:rsidRPr="009C34F0">
        <w:rPr>
          <w:rFonts w:eastAsia="Arial"/>
        </w:rPr>
        <w:t xml:space="preserve">overnment effort </w:t>
      </w:r>
      <w:r w:rsidRPr="009C34F0">
        <w:rPr>
          <w:rFonts w:eastAsia="Arial"/>
        </w:rPr>
        <w:t>to reduce the number of young people living in residential aged care, consistent with</w:t>
      </w:r>
      <w:r w:rsidRPr="003131F3">
        <w:rPr>
          <w:rFonts w:eastAsia="Arial"/>
        </w:rPr>
        <w:t xml:space="preserve"> the Royal Commission into Aged Care Quality and Safety</w:t>
      </w:r>
      <w:r w:rsidRPr="009C34F0">
        <w:rPr>
          <w:rFonts w:eastAsia="Arial"/>
        </w:rPr>
        <w:t xml:space="preserve">. </w:t>
      </w:r>
    </w:p>
    <w:p w14:paraId="697F4400" w14:textId="77777777" w:rsidR="000D3DCF" w:rsidRDefault="000D3DCF" w:rsidP="00B27FA1">
      <w:pPr>
        <w:pStyle w:val="Heading6"/>
      </w:pPr>
      <w:r>
        <w:t>How we measure this</w:t>
      </w:r>
    </w:p>
    <w:p w14:paraId="5260B314" w14:textId="2938A7EC" w:rsidR="000D3DCF" w:rsidRPr="009C34F0" w:rsidRDefault="000D3DCF" w:rsidP="007145B8">
      <w:pPr>
        <w:spacing w:after="200"/>
        <w:rPr>
          <w:rFonts w:eastAsia="Arial"/>
        </w:rPr>
      </w:pPr>
      <w:r>
        <w:rPr>
          <w:rFonts w:eastAsia="Arial"/>
        </w:rPr>
        <w:t>T</w:t>
      </w:r>
      <w:r w:rsidRPr="009C34F0">
        <w:rPr>
          <w:rFonts w:eastAsia="Arial"/>
        </w:rPr>
        <w:t xml:space="preserve">he work </w:t>
      </w:r>
      <w:r>
        <w:rPr>
          <w:rFonts w:eastAsia="Arial"/>
        </w:rPr>
        <w:t>of</w:t>
      </w:r>
      <w:r w:rsidRPr="009C34F0">
        <w:rPr>
          <w:rFonts w:eastAsia="Arial"/>
        </w:rPr>
        <w:t xml:space="preserve"> the Younger People in Residential Aged Care</w:t>
      </w:r>
      <w:r>
        <w:rPr>
          <w:rFonts w:eastAsia="Arial"/>
        </w:rPr>
        <w:t xml:space="preserve"> </w:t>
      </w:r>
      <w:r w:rsidRPr="009C34F0">
        <w:rPr>
          <w:rFonts w:eastAsia="Arial"/>
        </w:rPr>
        <w:t>(YPIRAC) Joint Agency Taskforce</w:t>
      </w:r>
      <w:r>
        <w:rPr>
          <w:rFonts w:eastAsia="Arial"/>
        </w:rPr>
        <w:t xml:space="preserve"> contributes to achievement of this measure</w:t>
      </w:r>
      <w:r w:rsidRPr="009C34F0">
        <w:rPr>
          <w:rFonts w:eastAsia="Arial"/>
        </w:rPr>
        <w:t xml:space="preserve">. The </w:t>
      </w:r>
      <w:r w:rsidR="00240D50">
        <w:rPr>
          <w:rFonts w:eastAsia="Arial"/>
        </w:rPr>
        <w:t>G</w:t>
      </w:r>
      <w:r w:rsidRPr="009C34F0">
        <w:rPr>
          <w:rFonts w:eastAsia="Arial"/>
        </w:rPr>
        <w:t xml:space="preserve">overnment has outlined 3 exceptional circumstances for approval and entry of a younger person to residential aged care, where it is their preference. </w:t>
      </w:r>
      <w:r w:rsidR="00A348E9">
        <w:rPr>
          <w:rFonts w:eastAsia="Arial"/>
        </w:rPr>
        <w:t>These are:</w:t>
      </w:r>
    </w:p>
    <w:p w14:paraId="62C2E280" w14:textId="234D89C8" w:rsidR="000D3DCF" w:rsidRPr="009C34F0" w:rsidRDefault="000D3DCF" w:rsidP="007145B8">
      <w:pPr>
        <w:pStyle w:val="Bullet1"/>
        <w:rPr>
          <w:rFonts w:eastAsia="MS PGothic"/>
          <w:lang w:val="en-US"/>
        </w:rPr>
      </w:pPr>
      <w:r>
        <w:t xml:space="preserve">a </w:t>
      </w:r>
      <w:r w:rsidRPr="009C34F0">
        <w:t xml:space="preserve">First Nations </w:t>
      </w:r>
      <w:r>
        <w:t>person and</w:t>
      </w:r>
      <w:r w:rsidRPr="009C34F0">
        <w:t xml:space="preserve"> aged 50–64</w:t>
      </w:r>
    </w:p>
    <w:p w14:paraId="69783957" w14:textId="70AB7FD1" w:rsidR="000D3DCF" w:rsidRPr="009C34F0" w:rsidRDefault="000D3DCF" w:rsidP="007145B8">
      <w:pPr>
        <w:pStyle w:val="Bullet1"/>
      </w:pPr>
      <w:r>
        <w:t>a</w:t>
      </w:r>
      <w:r w:rsidRPr="009C34F0">
        <w:t xml:space="preserve"> person who is homeless, or at risk of becoming homeless, and aged 50–64</w:t>
      </w:r>
    </w:p>
    <w:p w14:paraId="443CAD93" w14:textId="7E535DAC" w:rsidR="000D3DCF" w:rsidRPr="009C34F0" w:rsidRDefault="000D3DCF" w:rsidP="007145B8">
      <w:pPr>
        <w:pStyle w:val="Bullet1"/>
      </w:pPr>
      <w:r>
        <w:t>m</w:t>
      </w:r>
      <w:r w:rsidRPr="009C34F0">
        <w:t>aintaining family connections (Department of Health and Aged Care 2023).</w:t>
      </w:r>
    </w:p>
    <w:p w14:paraId="0BCF7EA2" w14:textId="09271709" w:rsidR="00247078" w:rsidRDefault="000D3DCF" w:rsidP="00247078">
      <w:pPr>
        <w:spacing w:before="240"/>
        <w:rPr>
          <w:bCs/>
          <w:color w:val="6B2876" w:themeColor="text1"/>
          <w:sz w:val="26"/>
          <w:szCs w:val="28"/>
        </w:rPr>
      </w:pPr>
      <w:r>
        <w:rPr>
          <w:rFonts w:eastAsia="Arial"/>
        </w:rPr>
        <w:t xml:space="preserve">NDIS participant data is used for this measure rather than </w:t>
      </w:r>
      <w:r w:rsidRPr="009C34F0">
        <w:rPr>
          <w:rFonts w:eastAsia="Arial"/>
        </w:rPr>
        <w:t xml:space="preserve">Australian Institute of Health and Welfare (AIHW) data. </w:t>
      </w:r>
      <w:r>
        <w:t xml:space="preserve">We obtain our results for this performance measure by </w:t>
      </w:r>
      <w:r w:rsidR="00CD531A">
        <w:rPr>
          <w:rFonts w:eastAsia="Arial"/>
        </w:rPr>
        <w:t>calculating</w:t>
      </w:r>
      <w:r w:rsidRPr="009C34F0">
        <w:rPr>
          <w:rFonts w:eastAsia="Arial"/>
        </w:rPr>
        <w:t xml:space="preserve"> the proportion of active </w:t>
      </w:r>
      <w:bookmarkStart w:id="89" w:name="_Hlk177053474"/>
      <w:r w:rsidRPr="009C34F0">
        <w:rPr>
          <w:rFonts w:eastAsia="Arial"/>
        </w:rPr>
        <w:t>participants aged under 65 in residential aged care</w:t>
      </w:r>
      <w:bookmarkEnd w:id="89"/>
      <w:r w:rsidRPr="009C34F0">
        <w:rPr>
          <w:rFonts w:eastAsia="Arial"/>
        </w:rPr>
        <w:t xml:space="preserve"> exclud</w:t>
      </w:r>
      <w:r>
        <w:rPr>
          <w:rFonts w:eastAsia="Arial"/>
        </w:rPr>
        <w:t>ing</w:t>
      </w:r>
      <w:r w:rsidRPr="009C34F0">
        <w:rPr>
          <w:rFonts w:eastAsia="Arial"/>
        </w:rPr>
        <w:t xml:space="preserve"> </w:t>
      </w:r>
      <w:r w:rsidR="00CD531A">
        <w:rPr>
          <w:rFonts w:eastAsia="Arial"/>
        </w:rPr>
        <w:t>any</w:t>
      </w:r>
      <w:r>
        <w:rPr>
          <w:rFonts w:eastAsia="Arial"/>
        </w:rPr>
        <w:t xml:space="preserve"> </w:t>
      </w:r>
      <w:r w:rsidRPr="009C34F0">
        <w:rPr>
          <w:rFonts w:eastAsia="Arial"/>
        </w:rPr>
        <w:t>First Nations people aged 50</w:t>
      </w:r>
      <w:r w:rsidRPr="00A15A18">
        <w:t>–</w:t>
      </w:r>
      <w:r w:rsidRPr="009C34F0">
        <w:rPr>
          <w:rFonts w:eastAsia="Arial"/>
        </w:rPr>
        <w:t>64</w:t>
      </w:r>
      <w:r w:rsidR="00154C22">
        <w:rPr>
          <w:rFonts w:eastAsia="Arial"/>
        </w:rPr>
        <w:t xml:space="preserve"> (</w:t>
      </w:r>
      <w:r w:rsidR="003E2B5D">
        <w:rPr>
          <w:rFonts w:eastAsia="Arial"/>
        </w:rPr>
        <w:t xml:space="preserve">133 for </w:t>
      </w:r>
      <w:r w:rsidR="00780F55">
        <w:rPr>
          <w:rFonts w:eastAsia="Arial"/>
        </w:rPr>
        <w:t>2023–24</w:t>
      </w:r>
      <w:r w:rsidRPr="009C34F0">
        <w:rPr>
          <w:rFonts w:eastAsia="Arial"/>
        </w:rPr>
        <w:t>.</w:t>
      </w:r>
      <w:r>
        <w:t xml:space="preserve"> </w:t>
      </w:r>
      <w:r w:rsidRPr="009C34F0">
        <w:t xml:space="preserve">This exclusion is in line with the published approach by AIHW </w:t>
      </w:r>
      <w:r>
        <w:rPr>
          <w:rFonts w:ascii="Symbol" w:eastAsia="Symbol" w:hAnsi="Symbol" w:cs="Symbol"/>
        </w:rPr>
        <w:t>-</w:t>
      </w:r>
      <w:r w:rsidRPr="009C34F0">
        <w:t xml:space="preserve"> </w:t>
      </w:r>
      <w:r>
        <w:t>‘</w:t>
      </w:r>
      <w:r w:rsidRPr="00BB40DF">
        <w:t>Changes to YPIRAC reporting from the June 2024 release onwards</w:t>
      </w:r>
      <w:r>
        <w:t>’</w:t>
      </w:r>
      <w:r w:rsidR="00E8696F">
        <w:t>)</w:t>
      </w:r>
      <w:r w:rsidRPr="00BB40DF">
        <w:t>.</w:t>
      </w:r>
    </w:p>
    <w:p w14:paraId="227B9F02" w14:textId="37F9F8ED" w:rsidR="000D3DCF" w:rsidRDefault="000D3DCF" w:rsidP="00B27FA1">
      <w:pPr>
        <w:pStyle w:val="Heading6"/>
      </w:pPr>
      <w:r>
        <w:t>Analysis</w:t>
      </w:r>
    </w:p>
    <w:p w14:paraId="7B8FDFD2" w14:textId="682FC941" w:rsidR="000D3DCF" w:rsidRPr="009C34F0" w:rsidRDefault="000D3DCF" w:rsidP="007145B8">
      <w:pPr>
        <w:spacing w:before="240"/>
        <w:rPr>
          <w:rFonts w:eastAsia="Arial"/>
        </w:rPr>
      </w:pPr>
      <w:r w:rsidRPr="009C34F0">
        <w:rPr>
          <w:rFonts w:eastAsia="Arial"/>
        </w:rPr>
        <w:t xml:space="preserve">The </w:t>
      </w:r>
      <w:r w:rsidR="00B87A70">
        <w:rPr>
          <w:rFonts w:eastAsia="Arial"/>
        </w:rPr>
        <w:t>G</w:t>
      </w:r>
      <w:r w:rsidRPr="009C34F0">
        <w:rPr>
          <w:rFonts w:eastAsia="Arial"/>
        </w:rPr>
        <w:t xml:space="preserve">overnment’s </w:t>
      </w:r>
      <w:r>
        <w:rPr>
          <w:rFonts w:eastAsia="Arial"/>
        </w:rPr>
        <w:t>YPIRAC</w:t>
      </w:r>
      <w:r w:rsidRPr="009C34F0">
        <w:rPr>
          <w:rFonts w:eastAsia="Arial"/>
        </w:rPr>
        <w:t xml:space="preserve"> target states that ‘no person under the age of 65 will be living in aged care by 2025 unless there are exceptional circumstances</w:t>
      </w:r>
      <w:r>
        <w:rPr>
          <w:rFonts w:eastAsia="Arial"/>
        </w:rPr>
        <w:t>’</w:t>
      </w:r>
      <w:r w:rsidRPr="009C34F0">
        <w:rPr>
          <w:rFonts w:eastAsia="Arial"/>
        </w:rPr>
        <w:t xml:space="preserve">. The target of ‘less than 1%’ recognises that </w:t>
      </w:r>
      <w:r>
        <w:rPr>
          <w:rFonts w:eastAsia="Arial"/>
        </w:rPr>
        <w:t>only</w:t>
      </w:r>
      <w:r w:rsidRPr="009C34F0">
        <w:rPr>
          <w:rFonts w:eastAsia="Arial"/>
        </w:rPr>
        <w:t xml:space="preserve"> a very small proportion of </w:t>
      </w:r>
      <w:r>
        <w:rPr>
          <w:rFonts w:eastAsia="Arial"/>
        </w:rPr>
        <w:t>NDIS</w:t>
      </w:r>
      <w:r w:rsidRPr="009C34F0">
        <w:rPr>
          <w:rFonts w:eastAsia="Arial"/>
        </w:rPr>
        <w:t xml:space="preserve"> participants </w:t>
      </w:r>
      <w:r>
        <w:rPr>
          <w:rFonts w:eastAsia="Arial"/>
        </w:rPr>
        <w:t xml:space="preserve">aged </w:t>
      </w:r>
      <w:r w:rsidRPr="009C34F0">
        <w:rPr>
          <w:rFonts w:eastAsia="Arial"/>
        </w:rPr>
        <w:t>under 65 years would reside in aged care.</w:t>
      </w:r>
    </w:p>
    <w:p w14:paraId="598A8229" w14:textId="43497E5F" w:rsidR="000D3DCF" w:rsidRPr="009C34F0" w:rsidRDefault="000D3DCF" w:rsidP="007145B8">
      <w:pPr>
        <w:rPr>
          <w:lang w:val="en-GB"/>
        </w:rPr>
      </w:pPr>
      <w:r>
        <w:rPr>
          <w:rFonts w:eastAsia="Arial"/>
        </w:rPr>
        <w:t>On 30</w:t>
      </w:r>
      <w:r w:rsidRPr="009C34F0">
        <w:rPr>
          <w:rFonts w:eastAsia="Arial"/>
        </w:rPr>
        <w:t xml:space="preserve"> June 2024 there were 1,049 participants aged under 65 in residential aged care</w:t>
      </w:r>
      <w:r>
        <w:rPr>
          <w:rFonts w:eastAsia="Arial"/>
        </w:rPr>
        <w:t>.</w:t>
      </w:r>
      <w:r w:rsidRPr="009C34F0">
        <w:rPr>
          <w:rFonts w:eastAsia="Arial"/>
        </w:rPr>
        <w:t xml:space="preserve"> </w:t>
      </w:r>
      <w:r>
        <w:rPr>
          <w:rFonts w:eastAsia="Arial"/>
        </w:rPr>
        <w:t>O</w:t>
      </w:r>
      <w:r w:rsidRPr="009C34F0">
        <w:rPr>
          <w:rFonts w:eastAsia="Arial"/>
        </w:rPr>
        <w:t xml:space="preserve">f </w:t>
      </w:r>
      <w:r>
        <w:rPr>
          <w:rFonts w:eastAsia="Arial"/>
        </w:rPr>
        <w:t>those</w:t>
      </w:r>
      <w:r w:rsidRPr="009C34F0">
        <w:rPr>
          <w:rFonts w:eastAsia="Arial"/>
        </w:rPr>
        <w:t>, approximately two</w:t>
      </w:r>
      <w:r w:rsidR="0053144C">
        <w:rPr>
          <w:rFonts w:eastAsia="Arial"/>
        </w:rPr>
        <w:t>-</w:t>
      </w:r>
      <w:r w:rsidRPr="009C34F0">
        <w:rPr>
          <w:rFonts w:eastAsia="Arial"/>
        </w:rPr>
        <w:t>thirds have indicated</w:t>
      </w:r>
      <w:r>
        <w:rPr>
          <w:rFonts w:eastAsia="Arial"/>
        </w:rPr>
        <w:t xml:space="preserve"> they had</w:t>
      </w:r>
      <w:r w:rsidRPr="009C34F0">
        <w:rPr>
          <w:rFonts w:eastAsia="Arial"/>
        </w:rPr>
        <w:t xml:space="preserve"> ‘no goal to move’ </w:t>
      </w:r>
      <w:r w:rsidRPr="009C34F0">
        <w:rPr>
          <w:rFonts w:eastAsia="Arial"/>
        </w:rPr>
        <w:lastRenderedPageBreak/>
        <w:t>due to personal or exceptional circumstances. This is within the target of ‘less than 1% of persons under the age of 65 living in a residential aged care facility</w:t>
      </w:r>
      <w:r>
        <w:rPr>
          <w:rFonts w:eastAsia="Arial"/>
        </w:rPr>
        <w:t>’</w:t>
      </w:r>
      <w:r w:rsidRPr="009C34F0">
        <w:rPr>
          <w:rFonts w:eastAsia="Arial"/>
        </w:rPr>
        <w:t xml:space="preserve">. </w:t>
      </w:r>
      <w:r w:rsidR="00776E16">
        <w:rPr>
          <w:rFonts w:eastAsia="Arial"/>
        </w:rPr>
        <w:t>The NDIA</w:t>
      </w:r>
      <w:r>
        <w:rPr>
          <w:rFonts w:eastAsia="Arial"/>
        </w:rPr>
        <w:t xml:space="preserve"> will continue e</w:t>
      </w:r>
      <w:r w:rsidRPr="009C34F0">
        <w:rPr>
          <w:rFonts w:eastAsia="Arial"/>
        </w:rPr>
        <w:t>fforts to reduce this cohort to the smallest number possible</w:t>
      </w:r>
      <w:r>
        <w:rPr>
          <w:rFonts w:eastAsia="Arial"/>
        </w:rPr>
        <w:t>,</w:t>
      </w:r>
      <w:r w:rsidRPr="009C34F0">
        <w:rPr>
          <w:rFonts w:eastAsia="Arial"/>
        </w:rPr>
        <w:t xml:space="preserve"> taking into consideration personal circumstances.</w:t>
      </w:r>
    </w:p>
    <w:p w14:paraId="31B036F0" w14:textId="77777777" w:rsidR="000D3DCF" w:rsidRPr="00A33264" w:rsidRDefault="000D3DCF" w:rsidP="001C74C2">
      <w:pPr>
        <w:rPr>
          <w:b/>
          <w:bCs/>
          <w:lang w:val="en-GB"/>
        </w:rPr>
      </w:pPr>
      <w:r w:rsidRPr="00A33264">
        <w:rPr>
          <w:b/>
          <w:bCs/>
          <w:lang w:val="en-GB"/>
        </w:rPr>
        <w:t>Socioeconomic equity</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7"/>
        <w:gridCol w:w="1347"/>
        <w:gridCol w:w="1347"/>
        <w:gridCol w:w="1355"/>
        <w:gridCol w:w="1330"/>
      </w:tblGrid>
      <w:tr w:rsidR="000D3DCF" w:rsidRPr="00A33264" w14:paraId="73DB4EE5"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7" w:type="dxa"/>
            <w:shd w:val="clear" w:color="auto" w:fill="A1CE63"/>
          </w:tcPr>
          <w:p w14:paraId="50385912" w14:textId="58355C9F" w:rsidR="000D3DCF" w:rsidRPr="00A33264" w:rsidRDefault="000D3DCF">
            <w:pPr>
              <w:pStyle w:val="TableBody"/>
              <w:rPr>
                <w:color w:val="auto"/>
                <w:lang w:val="en-GB"/>
              </w:rPr>
            </w:pPr>
            <w:bookmarkStart w:id="90" w:name="ColumnTitle_PerformanceMeasure10"/>
            <w:bookmarkEnd w:id="90"/>
            <w:r w:rsidRPr="00A33264">
              <w:rPr>
                <w:color w:val="auto"/>
                <w:lang w:val="en-GB"/>
              </w:rPr>
              <w:t xml:space="preserve">Performance </w:t>
            </w:r>
            <w:r>
              <w:rPr>
                <w:color w:val="auto"/>
                <w:lang w:val="en-GB"/>
              </w:rPr>
              <w:t>m</w:t>
            </w:r>
            <w:r w:rsidRPr="00A33264">
              <w:rPr>
                <w:color w:val="auto"/>
                <w:lang w:val="en-GB"/>
              </w:rPr>
              <w:t>easure</w:t>
            </w:r>
          </w:p>
        </w:tc>
        <w:tc>
          <w:tcPr>
            <w:tcW w:w="1347" w:type="dxa"/>
            <w:shd w:val="clear" w:color="auto" w:fill="A1CE63"/>
          </w:tcPr>
          <w:p w14:paraId="1CBDF71C" w14:textId="77777777" w:rsidR="000D3DCF" w:rsidRPr="00A15A18" w:rsidRDefault="000D3DCF" w:rsidP="00BB40DF">
            <w:pPr>
              <w:pStyle w:val="TableBody"/>
              <w:jc w:val="right"/>
              <w:rPr>
                <w:color w:val="auto"/>
                <w:lang w:val="en-GB"/>
              </w:rPr>
            </w:pPr>
            <w:r w:rsidRPr="00A15A18">
              <w:rPr>
                <w:color w:val="auto"/>
                <w:lang w:val="en-GB"/>
              </w:rPr>
              <w:t>2023</w:t>
            </w:r>
            <w:r w:rsidRPr="00A15A18">
              <w:rPr>
                <w:color w:val="auto"/>
              </w:rPr>
              <w:t>–</w:t>
            </w:r>
            <w:r w:rsidRPr="00A15A18">
              <w:rPr>
                <w:color w:val="auto"/>
                <w:lang w:val="en-GB"/>
              </w:rPr>
              <w:t>24 Target</w:t>
            </w:r>
          </w:p>
        </w:tc>
        <w:tc>
          <w:tcPr>
            <w:tcW w:w="1347" w:type="dxa"/>
            <w:shd w:val="clear" w:color="auto" w:fill="A1CE63"/>
          </w:tcPr>
          <w:p w14:paraId="3EBDB268" w14:textId="77777777" w:rsidR="000D3DCF" w:rsidRPr="00A15A18" w:rsidRDefault="000D3DCF" w:rsidP="00BB40DF">
            <w:pPr>
              <w:pStyle w:val="TableBody"/>
              <w:jc w:val="right"/>
              <w:rPr>
                <w:color w:val="auto"/>
                <w:lang w:val="en-GB"/>
              </w:rPr>
            </w:pPr>
            <w:r w:rsidRPr="00A15A18">
              <w:rPr>
                <w:color w:val="auto"/>
                <w:lang w:val="en-GB"/>
              </w:rPr>
              <w:t>2023</w:t>
            </w:r>
            <w:r w:rsidRPr="00A15A18">
              <w:rPr>
                <w:color w:val="auto"/>
              </w:rPr>
              <w:t>–</w:t>
            </w:r>
            <w:r w:rsidRPr="00A15A18">
              <w:rPr>
                <w:color w:val="auto"/>
                <w:lang w:val="en-GB"/>
              </w:rPr>
              <w:t>24 Result</w:t>
            </w:r>
          </w:p>
        </w:tc>
        <w:tc>
          <w:tcPr>
            <w:tcW w:w="1355" w:type="dxa"/>
            <w:shd w:val="clear" w:color="auto" w:fill="A1CE63"/>
          </w:tcPr>
          <w:p w14:paraId="0E721354" w14:textId="77777777" w:rsidR="000D3DCF" w:rsidRPr="00A15A18" w:rsidRDefault="000D3DCF" w:rsidP="00BB40DF">
            <w:pPr>
              <w:pStyle w:val="TableBody"/>
              <w:jc w:val="right"/>
              <w:rPr>
                <w:color w:val="auto"/>
                <w:lang w:val="en-GB"/>
              </w:rPr>
            </w:pPr>
            <w:r w:rsidRPr="00A15A18">
              <w:rPr>
                <w:color w:val="auto"/>
                <w:lang w:val="en-GB"/>
              </w:rPr>
              <w:t>2023</w:t>
            </w:r>
            <w:r w:rsidRPr="00A15A18">
              <w:rPr>
                <w:color w:val="auto"/>
              </w:rPr>
              <w:t>–</w:t>
            </w:r>
            <w:r w:rsidRPr="00A15A18">
              <w:rPr>
                <w:color w:val="auto"/>
                <w:lang w:val="en-GB"/>
              </w:rPr>
              <w:t>24 Outcome</w:t>
            </w:r>
          </w:p>
        </w:tc>
        <w:tc>
          <w:tcPr>
            <w:tcW w:w="1330" w:type="dxa"/>
            <w:shd w:val="clear" w:color="auto" w:fill="A1CE63"/>
          </w:tcPr>
          <w:p w14:paraId="495C454C" w14:textId="77777777" w:rsidR="000D3DCF" w:rsidRPr="00A15A18" w:rsidRDefault="000D3DCF" w:rsidP="00BB40DF">
            <w:pPr>
              <w:pStyle w:val="TableBody"/>
              <w:jc w:val="right"/>
              <w:rPr>
                <w:color w:val="auto"/>
                <w:lang w:val="en-GB"/>
              </w:rPr>
            </w:pPr>
            <w:r w:rsidRPr="00A15A18">
              <w:rPr>
                <w:color w:val="auto"/>
                <w:lang w:val="en-GB"/>
              </w:rPr>
              <w:t>2022</w:t>
            </w:r>
            <w:r w:rsidRPr="00A15A18">
              <w:rPr>
                <w:color w:val="auto"/>
              </w:rPr>
              <w:t>–</w:t>
            </w:r>
            <w:r w:rsidRPr="00A15A18">
              <w:rPr>
                <w:color w:val="auto"/>
                <w:lang w:val="en-GB"/>
              </w:rPr>
              <w:t>23 Result</w:t>
            </w:r>
          </w:p>
        </w:tc>
      </w:tr>
      <w:tr w:rsidR="000D3DCF" w:rsidRPr="00A33264" w14:paraId="7436A266" w14:textId="77777777" w:rsidTr="007145B8">
        <w:trPr>
          <w:cnfStyle w:val="000000100000" w:firstRow="0" w:lastRow="0" w:firstColumn="0" w:lastColumn="0" w:oddVBand="0" w:evenVBand="0" w:oddHBand="1" w:evenHBand="0" w:firstRowFirstColumn="0" w:firstRowLastColumn="0" w:lastRowFirstColumn="0" w:lastRowLastColumn="0"/>
          <w:cantSplit/>
        </w:trPr>
        <w:tc>
          <w:tcPr>
            <w:tcW w:w="3637" w:type="dxa"/>
            <w:shd w:val="clear" w:color="auto" w:fill="E5F1D4"/>
          </w:tcPr>
          <w:p w14:paraId="3F6EA2AC" w14:textId="122F24FE" w:rsidR="000D3DCF" w:rsidRPr="00A33264" w:rsidRDefault="000D3DCF" w:rsidP="00241CD7">
            <w:pPr>
              <w:pStyle w:val="TableBody"/>
              <w:rPr>
                <w:lang w:val="en-GB"/>
              </w:rPr>
            </w:pPr>
            <w:r w:rsidRPr="00A33264">
              <w:rPr>
                <w:lang w:val="en-GB"/>
              </w:rPr>
              <w:t>Socioeconomic equity</w:t>
            </w:r>
          </w:p>
        </w:tc>
        <w:tc>
          <w:tcPr>
            <w:tcW w:w="1347" w:type="dxa"/>
            <w:shd w:val="clear" w:color="auto" w:fill="E5F1D4"/>
          </w:tcPr>
          <w:p w14:paraId="12638784" w14:textId="77777777" w:rsidR="000D3DCF" w:rsidRPr="00A33264" w:rsidRDefault="000D3DCF" w:rsidP="00BB40DF">
            <w:pPr>
              <w:pStyle w:val="TableBody"/>
              <w:jc w:val="right"/>
              <w:rPr>
                <w:lang w:val="en-GB"/>
              </w:rPr>
            </w:pPr>
            <w:r w:rsidRPr="00A33264">
              <w:rPr>
                <w:lang w:val="en-GB"/>
              </w:rPr>
              <w:t>104%</w:t>
            </w:r>
          </w:p>
        </w:tc>
        <w:tc>
          <w:tcPr>
            <w:tcW w:w="1347" w:type="dxa"/>
            <w:shd w:val="clear" w:color="auto" w:fill="E5F1D4"/>
          </w:tcPr>
          <w:p w14:paraId="0F527D11" w14:textId="77777777" w:rsidR="000D3DCF" w:rsidRPr="00A33264" w:rsidRDefault="000D3DCF" w:rsidP="00BB40DF">
            <w:pPr>
              <w:pStyle w:val="TableBody"/>
              <w:jc w:val="right"/>
              <w:rPr>
                <w:lang w:val="en-GB"/>
              </w:rPr>
            </w:pPr>
            <w:r w:rsidRPr="00A33264">
              <w:rPr>
                <w:lang w:val="en-GB"/>
              </w:rPr>
              <w:t>99.9%</w:t>
            </w:r>
          </w:p>
        </w:tc>
        <w:tc>
          <w:tcPr>
            <w:tcW w:w="1355" w:type="dxa"/>
            <w:shd w:val="clear" w:color="auto" w:fill="E5F1D4"/>
          </w:tcPr>
          <w:p w14:paraId="6A94ABCC" w14:textId="77777777" w:rsidR="000D3DCF" w:rsidRPr="00A33264" w:rsidRDefault="000D3DCF" w:rsidP="00BB40DF">
            <w:pPr>
              <w:pStyle w:val="TableBody"/>
              <w:jc w:val="right"/>
              <w:rPr>
                <w:lang w:val="en-GB"/>
              </w:rPr>
            </w:pPr>
            <w:r w:rsidRPr="00A33264">
              <w:rPr>
                <w:lang w:val="en-GB"/>
              </w:rPr>
              <w:t>Achieved</w:t>
            </w:r>
          </w:p>
        </w:tc>
        <w:tc>
          <w:tcPr>
            <w:tcW w:w="1330" w:type="dxa"/>
            <w:shd w:val="clear" w:color="auto" w:fill="E5F1D4"/>
          </w:tcPr>
          <w:p w14:paraId="648F9AE8" w14:textId="77777777" w:rsidR="000D3DCF" w:rsidRPr="00A33264" w:rsidRDefault="000D3DCF" w:rsidP="00BB40DF">
            <w:pPr>
              <w:pStyle w:val="TableBody"/>
              <w:jc w:val="right"/>
              <w:rPr>
                <w:lang w:val="en-GB"/>
              </w:rPr>
            </w:pPr>
            <w:r>
              <w:rPr>
                <w:lang w:val="en-GB"/>
              </w:rPr>
              <w:t>101.7%</w:t>
            </w:r>
          </w:p>
        </w:tc>
      </w:tr>
    </w:tbl>
    <w:p w14:paraId="6F012760" w14:textId="77777777" w:rsidR="000D3DCF" w:rsidRDefault="000D3DCF" w:rsidP="00B27FA1">
      <w:pPr>
        <w:pStyle w:val="Heading6"/>
        <w:rPr>
          <w:rFonts w:eastAsia="Yu Mincho"/>
        </w:rPr>
      </w:pPr>
      <w:r>
        <w:rPr>
          <w:rFonts w:eastAsia="Yu Mincho"/>
        </w:rPr>
        <w:t>Why we measure this</w:t>
      </w:r>
    </w:p>
    <w:p w14:paraId="1A5085B0" w14:textId="35AAE6F6" w:rsidR="000D3DCF" w:rsidRDefault="000D3DCF" w:rsidP="007145B8">
      <w:r w:rsidRPr="009C34F0">
        <w:rPr>
          <w:rFonts w:eastAsia="Yu Mincho"/>
          <w:lang w:val="en-US"/>
        </w:rPr>
        <w:t xml:space="preserve">The purpose of this performance measure is to assess the effectiveness </w:t>
      </w:r>
      <w:r w:rsidRPr="009C34F0">
        <w:t>of Australian Government activities to stimulate the market</w:t>
      </w:r>
      <w:r>
        <w:t xml:space="preserve"> and</w:t>
      </w:r>
      <w:r w:rsidRPr="009C34F0">
        <w:t xml:space="preserve"> enable participants to have value for money and equitable access to supports. </w:t>
      </w:r>
    </w:p>
    <w:p w14:paraId="1E257580" w14:textId="77777777" w:rsidR="000D3DCF" w:rsidRDefault="000D3DCF" w:rsidP="00B27FA1">
      <w:pPr>
        <w:pStyle w:val="Heading6"/>
      </w:pPr>
      <w:r>
        <w:t>How we measure this</w:t>
      </w:r>
    </w:p>
    <w:p w14:paraId="18C260D0" w14:textId="3BAB6BF1" w:rsidR="00247078" w:rsidRDefault="000D3DCF" w:rsidP="00247078">
      <w:pPr>
        <w:rPr>
          <w:rStyle w:val="ui-provider"/>
        </w:rPr>
      </w:pPr>
      <w:r>
        <w:t>We obtain our results for this performance measure by</w:t>
      </w:r>
      <w:r w:rsidRPr="009C34F0" w:rsidDel="004A7328">
        <w:t xml:space="preserve"> </w:t>
      </w:r>
      <w:r w:rsidRPr="009C34F0">
        <w:t>us</w:t>
      </w:r>
      <w:r>
        <w:t>ing</w:t>
      </w:r>
      <w:r w:rsidRPr="009C34F0">
        <w:t xml:space="preserve"> a participant’s residential address to allocate them to a socioeconomic decile based on the 2021 A</w:t>
      </w:r>
      <w:r>
        <w:t xml:space="preserve">ustralian </w:t>
      </w:r>
      <w:r w:rsidRPr="009C34F0">
        <w:t>B</w:t>
      </w:r>
      <w:r>
        <w:t xml:space="preserve">ureau of </w:t>
      </w:r>
      <w:r w:rsidRPr="009C34F0">
        <w:t>S</w:t>
      </w:r>
      <w:r>
        <w:t>tatistics (ABS)</w:t>
      </w:r>
      <w:r w:rsidRPr="009C34F0">
        <w:t xml:space="preserve"> Index of Education and Occupation (IEO) index classification. The annual result is calculated using the 2021 Socio</w:t>
      </w:r>
      <w:r w:rsidR="00E92EBD">
        <w:t>e</w:t>
      </w:r>
      <w:r w:rsidRPr="009C34F0">
        <w:t>conomic Index</w:t>
      </w:r>
      <w:r>
        <w:t>es</w:t>
      </w:r>
      <w:r w:rsidRPr="009C34F0">
        <w:t xml:space="preserve"> </w:t>
      </w:r>
      <w:r>
        <w:t>f</w:t>
      </w:r>
      <w:r w:rsidRPr="009C34F0">
        <w:t>or Areas</w:t>
      </w:r>
      <w:r>
        <w:t xml:space="preserve"> (SE</w:t>
      </w:r>
      <w:r w:rsidR="00441014">
        <w:t>I</w:t>
      </w:r>
      <w:r>
        <w:t>FA)</w:t>
      </w:r>
      <w:r w:rsidRPr="009C34F0">
        <w:t xml:space="preserve"> IEO </w:t>
      </w:r>
      <w:r>
        <w:t>d</w:t>
      </w:r>
      <w:r w:rsidRPr="009C34F0">
        <w:t>ecile data for the whole period. The 2022</w:t>
      </w:r>
      <w:r w:rsidRPr="00A15A18">
        <w:t>–</w:t>
      </w:r>
      <w:r w:rsidRPr="009C34F0">
        <w:t>23 annual result was calculated using the 2016</w:t>
      </w:r>
      <w:r>
        <w:t xml:space="preserve"> ABS</w:t>
      </w:r>
      <w:r w:rsidRPr="009C34F0">
        <w:t xml:space="preserve"> </w:t>
      </w:r>
      <w:r>
        <w:t>SEIFA</w:t>
      </w:r>
      <w:r w:rsidRPr="009C34F0">
        <w:t xml:space="preserve"> IEO </w:t>
      </w:r>
      <w:r>
        <w:t>d</w:t>
      </w:r>
      <w:r w:rsidRPr="009C34F0">
        <w:t xml:space="preserve">ecile data. We calculate the average annual plan budget for participants in the top 2 deciles divided by the average annual plan budget for participants in the bottom 2 deciles. </w:t>
      </w:r>
      <w:r w:rsidRPr="009C34F0">
        <w:rPr>
          <w:rFonts w:eastAsia="Yu Mincho"/>
          <w:lang w:val="en-US"/>
        </w:rPr>
        <w:t xml:space="preserve">This measure aims to ensure that plan budgets are </w:t>
      </w:r>
      <w:proofErr w:type="gramStart"/>
      <w:r w:rsidRPr="009C34F0">
        <w:rPr>
          <w:rFonts w:eastAsia="Yu Mincho"/>
          <w:lang w:val="en-US"/>
        </w:rPr>
        <w:t>reasonably consistent</w:t>
      </w:r>
      <w:proofErr w:type="gramEnd"/>
      <w:r w:rsidRPr="009C34F0">
        <w:rPr>
          <w:rFonts w:eastAsia="Yu Mincho"/>
          <w:lang w:val="en-US"/>
        </w:rPr>
        <w:t xml:space="preserve"> across different socioeconomic areas within Australia. </w:t>
      </w:r>
    </w:p>
    <w:p w14:paraId="7CE92EB6" w14:textId="18B205B0" w:rsidR="00AA02E5" w:rsidRDefault="000D3DCF" w:rsidP="00AA02E5">
      <w:pPr>
        <w:rPr>
          <w:bCs/>
          <w:color w:val="6B2876" w:themeColor="text1"/>
          <w:sz w:val="26"/>
          <w:szCs w:val="28"/>
        </w:rPr>
      </w:pPr>
      <w:r>
        <w:rPr>
          <w:rStyle w:val="ui-provider"/>
        </w:rPr>
        <w:t>The measure compares the average annualised plan budget of active participants aged 0</w:t>
      </w:r>
      <w:r w:rsidRPr="00A15A18">
        <w:t>–</w:t>
      </w:r>
      <w:r>
        <w:rPr>
          <w:rStyle w:val="ui-provider"/>
        </w:rPr>
        <w:t>64 without supported independent living (mix-adjusted for age profile) in the top 2 IEO deciles with the average annualised plan budget of active participants not receiving supported independent living (mix-adjusted for age profile) in the bottom 2 IEO deciles.</w:t>
      </w:r>
      <w:r w:rsidRPr="00561A72">
        <w:rPr>
          <w:rStyle w:val="FootnoteReference"/>
        </w:rPr>
        <w:footnoteReference w:id="3"/>
      </w:r>
      <w:r w:rsidR="00A16CD1">
        <w:rPr>
          <w:rStyle w:val="ui-provider"/>
        </w:rPr>
        <w:t xml:space="preserve"> </w:t>
      </w:r>
      <w:r>
        <w:rPr>
          <w:rStyle w:val="ui-provider"/>
        </w:rPr>
        <w:t>A result above 100% indicates that participants in higher socioeconomic areas have higher average plan budgets than those in lower socioeconomic areas.</w:t>
      </w:r>
      <w:r w:rsidR="00AA02E5">
        <w:br w:type="page"/>
      </w:r>
    </w:p>
    <w:p w14:paraId="4EB06FE7" w14:textId="3A58D4D1" w:rsidR="000D3DCF" w:rsidRDefault="000D3DCF" w:rsidP="00B27FA1">
      <w:pPr>
        <w:pStyle w:val="Heading6"/>
      </w:pPr>
      <w:r>
        <w:lastRenderedPageBreak/>
        <w:t>Analysis</w:t>
      </w:r>
    </w:p>
    <w:p w14:paraId="61C1BF5E" w14:textId="0B616F50" w:rsidR="000D3DCF" w:rsidRPr="009C34F0" w:rsidRDefault="000D3DCF" w:rsidP="007145B8">
      <w:pPr>
        <w:rPr>
          <w:rFonts w:eastAsia="Yu Mincho"/>
          <w:lang w:val="en-US"/>
        </w:rPr>
      </w:pPr>
      <w:r w:rsidRPr="009C34F0">
        <w:rPr>
          <w:rFonts w:eastAsia="Yu Mincho"/>
          <w:lang w:val="en-US"/>
        </w:rPr>
        <w:t>For the 2023</w:t>
      </w:r>
      <w:r w:rsidRPr="00A15A18">
        <w:t>–</w:t>
      </w:r>
      <w:r w:rsidRPr="009C34F0">
        <w:rPr>
          <w:rFonts w:eastAsia="Yu Mincho"/>
          <w:lang w:val="en-US"/>
        </w:rPr>
        <w:t>24 period, socioeconomic equity was 99.9%</w:t>
      </w:r>
      <w:r>
        <w:rPr>
          <w:rFonts w:eastAsia="Yu Mincho"/>
          <w:lang w:val="en-US"/>
        </w:rPr>
        <w:t xml:space="preserve"> </w:t>
      </w:r>
      <w:r>
        <w:rPr>
          <w:rFonts w:ascii="Symbol" w:eastAsia="Symbol" w:hAnsi="Symbol" w:cs="Symbol"/>
          <w:lang w:val="en-US"/>
        </w:rPr>
        <w:sym w:font="Symbol" w:char="F02D"/>
      </w:r>
      <w:r>
        <w:rPr>
          <w:rFonts w:ascii="Symbol" w:eastAsia="Symbol" w:hAnsi="Symbol" w:cs="Symbol"/>
          <w:lang w:val="en-US"/>
        </w:rPr>
        <w:t xml:space="preserve"> </w:t>
      </w:r>
      <w:r>
        <w:rPr>
          <w:rFonts w:eastAsia="Yu Mincho"/>
          <w:lang w:val="en-US"/>
        </w:rPr>
        <w:t>4.1% lower than the target</w:t>
      </w:r>
      <w:r w:rsidRPr="009C34F0">
        <w:rPr>
          <w:rFonts w:eastAsia="Yu Mincho"/>
          <w:lang w:val="en-US"/>
        </w:rPr>
        <w:t>.</w:t>
      </w:r>
      <w:r>
        <w:rPr>
          <w:rFonts w:eastAsia="Yu Mincho"/>
          <w:lang w:val="en-US"/>
        </w:rPr>
        <w:t xml:space="preserve"> </w:t>
      </w:r>
      <w:r>
        <w:rPr>
          <w:rStyle w:val="ui-provider"/>
        </w:rPr>
        <w:t>The result is below 100%, indicating that participants in higher socioeconomic areas have lower average plan budgets than those in lower socioeconomic areas.</w:t>
      </w:r>
      <w:r w:rsidRPr="009C34F0">
        <w:rPr>
          <w:rFonts w:eastAsia="Yu Mincho"/>
          <w:lang w:val="en-US"/>
        </w:rPr>
        <w:t xml:space="preserve"> </w:t>
      </w:r>
    </w:p>
    <w:p w14:paraId="60D759CE" w14:textId="46C045DD" w:rsidR="000D3DCF" w:rsidRPr="009C34F0" w:rsidRDefault="004C6771" w:rsidP="007145B8">
      <w:pPr>
        <w:rPr>
          <w:rFonts w:eastAsia="Arial"/>
          <w:color w:val="000000"/>
          <w:lang w:val="en-US"/>
        </w:rPr>
      </w:pPr>
      <w:r w:rsidRPr="0098744B">
        <w:rPr>
          <w:rFonts w:eastAsia="Yu Mincho"/>
        </w:rPr>
        <w:t xml:space="preserve">The NDIS is a needs-based system that </w:t>
      </w:r>
      <w:r>
        <w:rPr>
          <w:rFonts w:eastAsia="Yu Mincho"/>
        </w:rPr>
        <w:t>does not consider</w:t>
      </w:r>
      <w:r w:rsidRPr="0098744B">
        <w:rPr>
          <w:rFonts w:eastAsia="Yu Mincho"/>
        </w:rPr>
        <w:t xml:space="preserve"> socioeconomic status when determining eligibility or funding. NDIA staff are trained to base planning decisions solely on the participant's support needs</w:t>
      </w:r>
      <w:r w:rsidR="0055206C">
        <w:rPr>
          <w:rFonts w:eastAsia="Yu Mincho"/>
        </w:rPr>
        <w:t>. Planning decision</w:t>
      </w:r>
      <w:r w:rsidR="00491D4B">
        <w:rPr>
          <w:rFonts w:eastAsia="Yu Mincho"/>
        </w:rPr>
        <w:t xml:space="preserve">s are validated </w:t>
      </w:r>
      <w:r w:rsidRPr="0098744B">
        <w:rPr>
          <w:rFonts w:eastAsia="Yu Mincho"/>
        </w:rPr>
        <w:t xml:space="preserve"> through internal quality checks and ongoing improvements</w:t>
      </w:r>
      <w:r w:rsidR="003B527D">
        <w:rPr>
          <w:rFonts w:eastAsia="Yu Mincho"/>
        </w:rPr>
        <w:t>.</w:t>
      </w:r>
    </w:p>
    <w:p w14:paraId="409D19D0" w14:textId="5B77BB6D" w:rsidR="000D3DCF" w:rsidRPr="009C34F0" w:rsidRDefault="000D3DCF" w:rsidP="007145B8">
      <w:pPr>
        <w:rPr>
          <w:rFonts w:eastAsia="Yu Mincho"/>
        </w:rPr>
      </w:pPr>
      <w:r w:rsidRPr="009C34F0">
        <w:rPr>
          <w:rFonts w:eastAsia="Yu Mincho"/>
        </w:rPr>
        <w:t xml:space="preserve">Specialist NDIA planning teams work with participants who live in remote and very remote locations to support equitable planning decisions. </w:t>
      </w:r>
    </w:p>
    <w:p w14:paraId="65F42291" w14:textId="1B5E3285" w:rsidR="000D3DCF" w:rsidRPr="009C34F0" w:rsidRDefault="000D3DCF" w:rsidP="007145B8">
      <w:pPr>
        <w:rPr>
          <w:rFonts w:eastAsia="Yu Mincho"/>
        </w:rPr>
      </w:pPr>
      <w:r w:rsidRPr="009C34F0">
        <w:rPr>
          <w:rFonts w:eastAsia="Yu Mincho"/>
        </w:rPr>
        <w:t>At present</w:t>
      </w:r>
      <w:r>
        <w:rPr>
          <w:rFonts w:eastAsia="Yu Mincho"/>
        </w:rPr>
        <w:t>,</w:t>
      </w:r>
      <w:r w:rsidRPr="009C34F0">
        <w:rPr>
          <w:rFonts w:eastAsia="Yu Mincho"/>
        </w:rPr>
        <w:t xml:space="preserve"> the NDIA uses </w:t>
      </w:r>
      <w:bookmarkStart w:id="91" w:name="_Int_V6JvRy4D"/>
      <w:r w:rsidRPr="009C34F0">
        <w:rPr>
          <w:rFonts w:eastAsia="Yu Mincho"/>
        </w:rPr>
        <w:t>a number of</w:t>
      </w:r>
      <w:bookmarkEnd w:id="91"/>
      <w:r w:rsidRPr="009C34F0">
        <w:rPr>
          <w:rFonts w:eastAsia="Yu Mincho"/>
        </w:rPr>
        <w:t xml:space="preserve"> controls to ensure the consistency of planning across all participants</w:t>
      </w:r>
      <w:r>
        <w:rPr>
          <w:rFonts w:eastAsia="Yu Mincho"/>
        </w:rPr>
        <w:t>,</w:t>
      </w:r>
      <w:r w:rsidRPr="009C34F0">
        <w:rPr>
          <w:rFonts w:eastAsia="Yu Mincho"/>
        </w:rPr>
        <w:t xml:space="preserve"> including:</w:t>
      </w:r>
    </w:p>
    <w:p w14:paraId="61DF04FE" w14:textId="0E5DD4DE" w:rsidR="000D3DCF" w:rsidRPr="009C34F0" w:rsidRDefault="000D3DCF" w:rsidP="007145B8">
      <w:pPr>
        <w:pStyle w:val="Bullet1"/>
        <w:rPr>
          <w:rFonts w:eastAsia="Yu Mincho"/>
        </w:rPr>
      </w:pPr>
      <w:r>
        <w:rPr>
          <w:rFonts w:eastAsia="Yu Mincho"/>
        </w:rPr>
        <w:t>d</w:t>
      </w:r>
      <w:r w:rsidRPr="009C34F0">
        <w:rPr>
          <w:rFonts w:eastAsia="Yu Mincho"/>
        </w:rPr>
        <w:t>elegation controls for participant plans outside of expected ranges</w:t>
      </w:r>
    </w:p>
    <w:p w14:paraId="43CF68D4" w14:textId="30FF4A21" w:rsidR="000D3DCF" w:rsidRPr="009C34F0" w:rsidRDefault="000D3DCF" w:rsidP="007145B8">
      <w:pPr>
        <w:pStyle w:val="Bullet1"/>
        <w:rPr>
          <w:rFonts w:eastAsia="Yu Mincho"/>
        </w:rPr>
      </w:pPr>
      <w:r>
        <w:rPr>
          <w:rFonts w:eastAsia="Yu Mincho"/>
        </w:rPr>
        <w:t>p</w:t>
      </w:r>
      <w:r w:rsidRPr="009C34F0">
        <w:rPr>
          <w:rFonts w:eastAsia="Yu Mincho"/>
        </w:rPr>
        <w:t>re</w:t>
      </w:r>
      <w:r>
        <w:rPr>
          <w:rFonts w:eastAsia="Yu Mincho"/>
        </w:rPr>
        <w:t>-</w:t>
      </w:r>
      <w:r w:rsidRPr="009C34F0">
        <w:rPr>
          <w:rFonts w:eastAsia="Yu Mincho"/>
        </w:rPr>
        <w:t xml:space="preserve"> and </w:t>
      </w:r>
      <w:r w:rsidR="00974D58" w:rsidRPr="009C34F0">
        <w:rPr>
          <w:rFonts w:eastAsia="Yu Mincho"/>
        </w:rPr>
        <w:t>post</w:t>
      </w:r>
      <w:r w:rsidR="00974D58">
        <w:rPr>
          <w:rFonts w:eastAsia="Yu Mincho"/>
        </w:rPr>
        <w:t>-</w:t>
      </w:r>
      <w:r w:rsidR="00974D58" w:rsidRPr="009C34F0">
        <w:rPr>
          <w:rFonts w:eastAsia="Yu Mincho"/>
        </w:rPr>
        <w:t>quality</w:t>
      </w:r>
      <w:r w:rsidRPr="009C34F0">
        <w:rPr>
          <w:rFonts w:eastAsia="Yu Mincho"/>
        </w:rPr>
        <w:t xml:space="preserve"> checking</w:t>
      </w:r>
    </w:p>
    <w:p w14:paraId="06F55DB8" w14:textId="04D5BF8B" w:rsidR="000D3DCF" w:rsidRPr="00AA0637" w:rsidRDefault="000D3DCF" w:rsidP="007145B8">
      <w:pPr>
        <w:pStyle w:val="Bullet1"/>
      </w:pPr>
      <w:r>
        <w:rPr>
          <w:rFonts w:eastAsia="Yu Mincho"/>
        </w:rPr>
        <w:t>t</w:t>
      </w:r>
      <w:r w:rsidRPr="009C34F0">
        <w:rPr>
          <w:rFonts w:eastAsia="Yu Mincho"/>
        </w:rPr>
        <w:t>argeted plan reviews for participants.</w:t>
      </w:r>
    </w:p>
    <w:p w14:paraId="1F6B5AE9" w14:textId="77777777" w:rsidR="00E124A7" w:rsidRPr="006E01C4" w:rsidRDefault="00E124A7" w:rsidP="00AA0637">
      <w:pPr>
        <w:pStyle w:val="Bullet1"/>
        <w:numPr>
          <w:ilvl w:val="0"/>
          <w:numId w:val="0"/>
        </w:numPr>
        <w:rPr>
          <w:rFonts w:eastAsia="Yu Mincho"/>
        </w:rPr>
      </w:pPr>
      <w:r w:rsidRPr="009C34F0">
        <w:rPr>
          <w:rFonts w:eastAsia="Yu Mincho"/>
        </w:rPr>
        <w:t xml:space="preserve">Participants </w:t>
      </w:r>
      <w:r>
        <w:rPr>
          <w:rFonts w:eastAsia="Yu Mincho"/>
        </w:rPr>
        <w:t xml:space="preserve">receive </w:t>
      </w:r>
      <w:r w:rsidRPr="009C34F0">
        <w:rPr>
          <w:rFonts w:eastAsia="Yu Mincho"/>
        </w:rPr>
        <w:t xml:space="preserve">a price-based loading to their plans to reflect higher operational costs. </w:t>
      </w:r>
      <w:r w:rsidRPr="006E01C4">
        <w:rPr>
          <w:rFonts w:eastAsia="Yu Mincho"/>
        </w:rPr>
        <w:t>Remoteness is classified using the Department of Health and Aged Care Modified Monash Model.</w:t>
      </w:r>
    </w:p>
    <w:p w14:paraId="0E190103" w14:textId="0DEC455A" w:rsidR="000D3DCF" w:rsidRPr="00BB40DF" w:rsidRDefault="000D3DCF" w:rsidP="00BB40DF">
      <w:pPr>
        <w:pStyle w:val="Heading4"/>
      </w:pPr>
      <w:r w:rsidRPr="00BB40DF">
        <w:t>Program 1.2 performance statement</w:t>
      </w:r>
    </w:p>
    <w:p w14:paraId="70488729" w14:textId="77777777" w:rsidR="000D3DCF" w:rsidRPr="00A33264" w:rsidRDefault="000D3DCF" w:rsidP="001F5A8E">
      <w:pPr>
        <w:pStyle w:val="Heading5"/>
        <w:rPr>
          <w:lang w:val="en-GB"/>
        </w:rPr>
      </w:pPr>
      <w:r w:rsidRPr="00A33264">
        <w:rPr>
          <w:lang w:val="en-GB"/>
        </w:rPr>
        <w:t>Program 1.2 – Agency costs</w:t>
      </w:r>
    </w:p>
    <w:p w14:paraId="29761D24" w14:textId="0FB9C7A2" w:rsidR="000D3DCF" w:rsidRPr="00A33264" w:rsidRDefault="000D3DCF" w:rsidP="001F5A8E">
      <w:pPr>
        <w:rPr>
          <w:lang w:val="en-GB"/>
        </w:rPr>
      </w:pPr>
      <w:r w:rsidRPr="00A33264">
        <w:rPr>
          <w:lang w:val="en-GB"/>
        </w:rPr>
        <w:t xml:space="preserve">The </w:t>
      </w:r>
      <w:r>
        <w:rPr>
          <w:lang w:val="en-GB"/>
        </w:rPr>
        <w:t>NDIA’s</w:t>
      </w:r>
      <w:r w:rsidRPr="00A33264">
        <w:rPr>
          <w:lang w:val="en-GB"/>
        </w:rPr>
        <w:t xml:space="preserve"> costs program ensures efficient and effective use of operating resources to implement </w:t>
      </w:r>
      <w:r>
        <w:rPr>
          <w:lang w:val="en-GB"/>
        </w:rPr>
        <w:t>our</w:t>
      </w:r>
      <w:r w:rsidRPr="00A33264">
        <w:rPr>
          <w:lang w:val="en-GB"/>
        </w:rPr>
        <w:t xml:space="preserve"> outcomes</w:t>
      </w:r>
      <w:r>
        <w:rPr>
          <w:lang w:val="en-GB"/>
        </w:rPr>
        <w:t>.</w:t>
      </w:r>
      <w:r w:rsidRPr="00A33264">
        <w:rPr>
          <w:lang w:val="en-GB"/>
        </w:rPr>
        <w:t xml:space="preserve"> </w:t>
      </w:r>
      <w:r>
        <w:rPr>
          <w:lang w:val="en-GB"/>
        </w:rPr>
        <w:t>I</w:t>
      </w:r>
      <w:r w:rsidRPr="00A33264">
        <w:rPr>
          <w:lang w:val="en-GB"/>
        </w:rPr>
        <w:t>t is the primary delivery mechanism for the implementation of the NDIS. The NDIA is responsible for assessing applicants to the NDIS and developing plans, for those who are eligible, based on insurance principles, and administering the payments made under Program 1.1 Reasonable and necessary supports for participants.</w:t>
      </w:r>
    </w:p>
    <w:p w14:paraId="3348C1A0" w14:textId="26436B4C" w:rsidR="000D3DCF" w:rsidRPr="00A33264" w:rsidRDefault="000D3DCF" w:rsidP="001F5A8E">
      <w:pPr>
        <w:pStyle w:val="Heading5"/>
        <w:rPr>
          <w:lang w:val="en-GB"/>
        </w:rPr>
      </w:pPr>
      <w:r w:rsidRPr="00A33264">
        <w:rPr>
          <w:lang w:val="en-GB"/>
        </w:rPr>
        <w:t xml:space="preserve">Key </w:t>
      </w:r>
      <w:r>
        <w:rPr>
          <w:lang w:val="en-GB"/>
        </w:rPr>
        <w:t>a</w:t>
      </w:r>
      <w:r w:rsidRPr="00A33264">
        <w:rPr>
          <w:lang w:val="en-GB"/>
        </w:rPr>
        <w:t>ctivity 2 – Develop a high-performing NDIA for participants</w:t>
      </w:r>
    </w:p>
    <w:p w14:paraId="0938DEE9" w14:textId="77777777" w:rsidR="000D3DCF" w:rsidRPr="00A33264" w:rsidRDefault="000D3DCF" w:rsidP="001F5A8E">
      <w:pPr>
        <w:rPr>
          <w:b/>
          <w:bCs/>
          <w:lang w:val="en-GB"/>
        </w:rPr>
      </w:pPr>
      <w:r w:rsidRPr="00A33264">
        <w:rPr>
          <w:b/>
          <w:bCs/>
          <w:lang w:val="en-GB"/>
        </w:rPr>
        <w:t xml:space="preserve">Why this </w:t>
      </w:r>
      <w:r>
        <w:rPr>
          <w:b/>
          <w:bCs/>
          <w:lang w:val="en-GB"/>
        </w:rPr>
        <w:t>matters</w:t>
      </w:r>
    </w:p>
    <w:p w14:paraId="65CC4491" w14:textId="037815A2" w:rsidR="000D3DCF" w:rsidRPr="009C34F0" w:rsidRDefault="000D3DCF" w:rsidP="007145B8">
      <w:r>
        <w:t>In 2023</w:t>
      </w:r>
      <w:r>
        <w:rPr>
          <w:rFonts w:ascii="Symbol" w:eastAsia="Symbol" w:hAnsi="Symbol" w:cs="Symbol"/>
        </w:rPr>
        <w:sym w:font="Symbol" w:char="F02D"/>
      </w:r>
      <w:r>
        <w:t xml:space="preserve">24 </w:t>
      </w:r>
      <w:r w:rsidRPr="009C34F0">
        <w:t xml:space="preserve">the </w:t>
      </w:r>
      <w:r>
        <w:t>NDIA</w:t>
      </w:r>
      <w:r w:rsidRPr="009C34F0">
        <w:t xml:space="preserve"> has focused on:</w:t>
      </w:r>
    </w:p>
    <w:p w14:paraId="686F6A28" w14:textId="77777777" w:rsidR="000D3DCF" w:rsidRPr="009C34F0" w:rsidRDefault="000D3DCF" w:rsidP="007145B8">
      <w:pPr>
        <w:pStyle w:val="Bullet1"/>
      </w:pPr>
      <w:r w:rsidRPr="009C34F0">
        <w:t>delivering a quality experience in line with the Participant Service Charter, Participant Service Guarantee and Participant Service Improvement Plan</w:t>
      </w:r>
    </w:p>
    <w:p w14:paraId="15486790" w14:textId="30E2A538" w:rsidR="000D3DCF" w:rsidRPr="009C34F0" w:rsidRDefault="000D3DCF" w:rsidP="007145B8">
      <w:pPr>
        <w:pStyle w:val="Bullet1"/>
      </w:pPr>
      <w:r w:rsidRPr="009C34F0">
        <w:t>developing a market with high</w:t>
      </w:r>
      <w:r>
        <w:t>-</w:t>
      </w:r>
      <w:r w:rsidRPr="009C34F0">
        <w:t>quality, competitive and innovative supports and services for participants</w:t>
      </w:r>
    </w:p>
    <w:p w14:paraId="15B9A96D" w14:textId="77777777" w:rsidR="000D3DCF" w:rsidRPr="009C34F0" w:rsidRDefault="000D3DCF" w:rsidP="007145B8">
      <w:pPr>
        <w:pStyle w:val="Bullet1"/>
      </w:pPr>
      <w:r w:rsidRPr="009C34F0">
        <w:lastRenderedPageBreak/>
        <w:t>enhancing sector and community sentiment and confidence through co-design, transparency and better communications</w:t>
      </w:r>
    </w:p>
    <w:p w14:paraId="0EA57139" w14:textId="77777777" w:rsidR="000D3DCF" w:rsidRPr="009C34F0" w:rsidRDefault="000D3DCF" w:rsidP="007145B8">
      <w:pPr>
        <w:pStyle w:val="Bullet1"/>
      </w:pPr>
      <w:r w:rsidRPr="009C34F0">
        <w:t>enhancing the efficiency and effectiveness of the NDIA</w:t>
      </w:r>
    </w:p>
    <w:p w14:paraId="7BF55B24" w14:textId="77777777" w:rsidR="000D3DCF" w:rsidRPr="009C34F0" w:rsidRDefault="000D3DCF" w:rsidP="007145B8">
      <w:pPr>
        <w:pStyle w:val="Bullet1"/>
      </w:pPr>
      <w:r w:rsidRPr="009C34F0">
        <w:t>maintaining strong staff engagement and wellbeing through a time of transformation</w:t>
      </w:r>
    </w:p>
    <w:p w14:paraId="0EB66034" w14:textId="01E9261F" w:rsidR="000D3DCF" w:rsidRPr="009C34F0" w:rsidRDefault="000D3DCF" w:rsidP="007145B8">
      <w:pPr>
        <w:pStyle w:val="Bullet1"/>
      </w:pPr>
      <w:r w:rsidRPr="009C34F0">
        <w:t>protect</w:t>
      </w:r>
      <w:r>
        <w:t>ing</w:t>
      </w:r>
      <w:r w:rsidRPr="009C34F0">
        <w:t xml:space="preserve"> the </w:t>
      </w:r>
      <w:r>
        <w:t>NDIS</w:t>
      </w:r>
      <w:r w:rsidRPr="009C34F0">
        <w:t xml:space="preserve"> from noncompliant and fraudulent practices through a control</w:t>
      </w:r>
      <w:r>
        <w:t>led</w:t>
      </w:r>
      <w:r w:rsidRPr="009C34F0">
        <w:t xml:space="preserve"> environment.</w:t>
      </w:r>
    </w:p>
    <w:p w14:paraId="05956291" w14:textId="77777777" w:rsidR="000D3DCF" w:rsidRPr="009C34F0" w:rsidRDefault="000D3DCF" w:rsidP="007145B8">
      <w:r w:rsidRPr="009C34F0">
        <w:t xml:space="preserve">To support this the </w:t>
      </w:r>
      <w:r>
        <w:t>NDIA</w:t>
      </w:r>
      <w:r w:rsidRPr="009C34F0">
        <w:t xml:space="preserve"> has also continued to prioritise:</w:t>
      </w:r>
    </w:p>
    <w:p w14:paraId="4EF30694" w14:textId="7D893F01" w:rsidR="000D3DCF" w:rsidRPr="00AA02E5" w:rsidRDefault="000D3DCF" w:rsidP="00AA02E5">
      <w:pPr>
        <w:pStyle w:val="Bullet1"/>
      </w:pPr>
      <w:r w:rsidRPr="00AA02E5">
        <w:t>ensuring people with disability are at the centre of improving the NDIS through its partnership in co-design</w:t>
      </w:r>
    </w:p>
    <w:p w14:paraId="5C50348E" w14:textId="487C69DE" w:rsidR="000D3DCF" w:rsidRPr="00AA02E5" w:rsidRDefault="000D3DCF" w:rsidP="00AA02E5">
      <w:pPr>
        <w:pStyle w:val="Bullet1"/>
      </w:pPr>
      <w:r w:rsidRPr="00AA02E5">
        <w:t>improving the efficiency of NDIA’s operating capability through investment in underlying digital systems and processes, including continued enhancement of integrity controls</w:t>
      </w:r>
    </w:p>
    <w:p w14:paraId="0BFD0ECB" w14:textId="1532B842" w:rsidR="000D3DCF" w:rsidRPr="00AA02E5" w:rsidRDefault="000D3DCF" w:rsidP="00AA02E5">
      <w:pPr>
        <w:pStyle w:val="Bullet1"/>
      </w:pPr>
      <w:r w:rsidRPr="00AA02E5">
        <w:t>increasing the consistency, transparency and rigour of our decision-making through clearer policies, operational guidelines and controls</w:t>
      </w:r>
    </w:p>
    <w:p w14:paraId="062D481C" w14:textId="2A0E9655" w:rsidR="000D3DCF" w:rsidRPr="00AA02E5" w:rsidRDefault="000D3DCF" w:rsidP="00AA02E5">
      <w:pPr>
        <w:pStyle w:val="Bullet1"/>
      </w:pPr>
      <w:r w:rsidRPr="00AA02E5">
        <w:t>improving alternative dispute resolution processes for participants appealing NDIS decisions</w:t>
      </w:r>
    </w:p>
    <w:p w14:paraId="1233FCCB" w14:textId="30E5041F" w:rsidR="000D3DCF" w:rsidRPr="00AA02E5" w:rsidRDefault="000D3DCF" w:rsidP="00AA02E5">
      <w:pPr>
        <w:pStyle w:val="Bullet1"/>
      </w:pPr>
      <w:r w:rsidRPr="00AA02E5">
        <w:t>reducing the number of NDIS participants who remain in hospital when they are medically ready to be discharged and reducing the number of younger people in residential aged care</w:t>
      </w:r>
    </w:p>
    <w:p w14:paraId="6F75A813" w14:textId="7D93F7E8" w:rsidR="000D3DCF" w:rsidRPr="00AA02E5" w:rsidRDefault="000D3DCF" w:rsidP="00AA02E5">
      <w:pPr>
        <w:pStyle w:val="Bullet1"/>
      </w:pPr>
      <w:r w:rsidRPr="00AA02E5">
        <w:t>identifying market gaps and barriers, including assisting communities in specific geographical locations, including remote and very remote, to strengthen local supply solutions</w:t>
      </w:r>
    </w:p>
    <w:p w14:paraId="0FBDC0D0" w14:textId="0D207E83" w:rsidR="000D3DCF" w:rsidRPr="00AA02E5" w:rsidRDefault="000D3DCF" w:rsidP="00AA02E5">
      <w:pPr>
        <w:pStyle w:val="Bullet1"/>
      </w:pPr>
      <w:r w:rsidRPr="00AA02E5">
        <w:t>protecting the NDIS from noncompliant and fraudulent practices</w:t>
      </w:r>
    </w:p>
    <w:p w14:paraId="2DFF9EC0" w14:textId="07F4787A" w:rsidR="00247078" w:rsidRDefault="000D3DCF" w:rsidP="00AA02E5">
      <w:pPr>
        <w:pStyle w:val="Bullet1"/>
      </w:pPr>
      <w:r w:rsidRPr="00AA02E5">
        <w:t>increasing efforts to support children and young people in the NDIS. We are building a strong practice model to drive better outcomes, including reviewing how it is working with mainstream partners and providing a voice for children and their families in design and delivery of plans</w:t>
      </w:r>
      <w:r>
        <w:t>.</w:t>
      </w:r>
    </w:p>
    <w:p w14:paraId="51DCCEEB" w14:textId="1EFAF78C" w:rsidR="00AA02E5" w:rsidRDefault="000D3DCF" w:rsidP="00AA02E5">
      <w:pPr>
        <w:rPr>
          <w:b/>
          <w:color w:val="6B2876" w:themeColor="text1"/>
          <w:sz w:val="28"/>
          <w:lang w:val="en-GB"/>
        </w:rPr>
      </w:pPr>
      <w:r w:rsidRPr="009C34F0">
        <w:t xml:space="preserve">The NDIA performance measures for key activity 2 act as a set when assessing achievement. </w:t>
      </w:r>
      <w:r w:rsidRPr="009C34F0">
        <w:rPr>
          <w:rStyle w:val="ui-provider"/>
        </w:rPr>
        <w:t>This section provides analysis of performance for each performance measure from the NDIA Corporate Plan 2023</w:t>
      </w:r>
      <w:r w:rsidRPr="00A15A18">
        <w:t>–</w:t>
      </w:r>
      <w:r>
        <w:rPr>
          <w:rStyle w:val="ui-provider"/>
        </w:rPr>
        <w:t>2027</w:t>
      </w:r>
      <w:r w:rsidRPr="009C34F0">
        <w:rPr>
          <w:rStyle w:val="ui-provider"/>
        </w:rPr>
        <w:t xml:space="preserve"> </w:t>
      </w:r>
      <w:r>
        <w:rPr>
          <w:rStyle w:val="ui-provider"/>
        </w:rPr>
        <w:t>along</w:t>
      </w:r>
      <w:r w:rsidRPr="009C34F0">
        <w:rPr>
          <w:rStyle w:val="ui-provider"/>
        </w:rPr>
        <w:t xml:space="preserve"> with a table for each measure </w:t>
      </w:r>
      <w:r>
        <w:rPr>
          <w:rStyle w:val="ui-provider"/>
        </w:rPr>
        <w:t>that shows</w:t>
      </w:r>
      <w:r w:rsidRPr="009C34F0">
        <w:rPr>
          <w:rStyle w:val="ui-provider"/>
        </w:rPr>
        <w:t xml:space="preserve"> the result and the outcome</w:t>
      </w:r>
      <w:r>
        <w:rPr>
          <w:rStyle w:val="ui-provider"/>
        </w:rPr>
        <w:t>.</w:t>
      </w:r>
      <w:r w:rsidRPr="009C34F0">
        <w:rPr>
          <w:rStyle w:val="ui-provider"/>
        </w:rPr>
        <w:t xml:space="preserve"> </w:t>
      </w:r>
      <w:r>
        <w:rPr>
          <w:rStyle w:val="ui-provider"/>
        </w:rPr>
        <w:t xml:space="preserve">Outcomes are </w:t>
      </w:r>
      <w:r w:rsidRPr="009C34F0">
        <w:rPr>
          <w:rStyle w:val="ui-provider"/>
        </w:rPr>
        <w:t xml:space="preserve">simplified to </w:t>
      </w:r>
      <w:r>
        <w:rPr>
          <w:rStyle w:val="ui-provider"/>
        </w:rPr>
        <w:t>‘</w:t>
      </w:r>
      <w:r w:rsidRPr="009C34F0">
        <w:rPr>
          <w:rStyle w:val="ui-provider"/>
        </w:rPr>
        <w:t>achieved</w:t>
      </w:r>
      <w:r>
        <w:rPr>
          <w:rStyle w:val="ui-provider"/>
        </w:rPr>
        <w:t>’</w:t>
      </w:r>
      <w:r w:rsidRPr="009C34F0">
        <w:rPr>
          <w:rStyle w:val="ui-provider"/>
        </w:rPr>
        <w:t xml:space="preserve">, </w:t>
      </w:r>
      <w:r>
        <w:rPr>
          <w:rStyle w:val="ui-provider"/>
        </w:rPr>
        <w:t>‘</w:t>
      </w:r>
      <w:r w:rsidRPr="009C34F0">
        <w:rPr>
          <w:rStyle w:val="ui-provider"/>
        </w:rPr>
        <w:t>partially achieved</w:t>
      </w:r>
      <w:r>
        <w:rPr>
          <w:rStyle w:val="ui-provider"/>
        </w:rPr>
        <w:t>’</w:t>
      </w:r>
      <w:r w:rsidRPr="009C34F0">
        <w:rPr>
          <w:rStyle w:val="ui-provider"/>
        </w:rPr>
        <w:t xml:space="preserve"> </w:t>
      </w:r>
      <w:r>
        <w:rPr>
          <w:rStyle w:val="ui-provider"/>
        </w:rPr>
        <w:t>and</w:t>
      </w:r>
      <w:r w:rsidRPr="009C34F0">
        <w:rPr>
          <w:rStyle w:val="ui-provider"/>
        </w:rPr>
        <w:t xml:space="preserve"> </w:t>
      </w:r>
      <w:r>
        <w:rPr>
          <w:rStyle w:val="ui-provider"/>
        </w:rPr>
        <w:t>‘</w:t>
      </w:r>
      <w:r w:rsidRPr="009C34F0">
        <w:rPr>
          <w:rStyle w:val="ui-provider"/>
        </w:rPr>
        <w:t>not achieved</w:t>
      </w:r>
      <w:r>
        <w:rPr>
          <w:rStyle w:val="ui-provider"/>
        </w:rPr>
        <w:t>’</w:t>
      </w:r>
      <w:r w:rsidRPr="009C34F0">
        <w:rPr>
          <w:rStyle w:val="ui-provider"/>
        </w:rPr>
        <w:t xml:space="preserve">. The analysis of performance </w:t>
      </w:r>
      <w:r>
        <w:rPr>
          <w:rStyle w:val="ui-provider"/>
        </w:rPr>
        <w:t>gives</w:t>
      </w:r>
      <w:r w:rsidRPr="009C34F0">
        <w:rPr>
          <w:rStyle w:val="ui-provider"/>
        </w:rPr>
        <w:t xml:space="preserve"> detail </w:t>
      </w:r>
      <w:r>
        <w:rPr>
          <w:rStyle w:val="ui-provider"/>
        </w:rPr>
        <w:t>about</w:t>
      </w:r>
      <w:r w:rsidRPr="009C34F0">
        <w:rPr>
          <w:rStyle w:val="ui-provider"/>
        </w:rPr>
        <w:t xml:space="preserve"> impacts on the achievement of key activity targets.</w:t>
      </w:r>
      <w:r w:rsidR="00AA02E5">
        <w:rPr>
          <w:lang w:val="en-GB"/>
        </w:rPr>
        <w:br w:type="page"/>
      </w:r>
    </w:p>
    <w:p w14:paraId="3C85B1E3" w14:textId="48BE9166" w:rsidR="000D3DCF" w:rsidRPr="00A33264" w:rsidRDefault="000D3DCF" w:rsidP="001F5A8E">
      <w:pPr>
        <w:pStyle w:val="Heading5"/>
        <w:rPr>
          <w:lang w:val="en-GB"/>
        </w:rPr>
      </w:pPr>
      <w:r w:rsidRPr="00A33264">
        <w:rPr>
          <w:lang w:val="en-GB"/>
        </w:rPr>
        <w:lastRenderedPageBreak/>
        <w:t>Analysis of performance</w:t>
      </w:r>
    </w:p>
    <w:p w14:paraId="70061A71" w14:textId="77777777" w:rsidR="000D3DCF" w:rsidRPr="00A33264" w:rsidRDefault="000D3DCF" w:rsidP="001F5A8E">
      <w:pPr>
        <w:rPr>
          <w:b/>
          <w:bCs/>
          <w:lang w:val="en-GB"/>
        </w:rPr>
      </w:pPr>
      <w:r w:rsidRPr="00A33264">
        <w:rPr>
          <w:b/>
          <w:bCs/>
          <w:lang w:val="en-GB"/>
        </w:rPr>
        <w:t>Participant Service Guarantee timeframes</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ED0351" w:rsidRPr="00ED0351" w14:paraId="2086977B"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009EAD"/>
          </w:tcPr>
          <w:p w14:paraId="35315E1B" w14:textId="5B580780" w:rsidR="000D3DCF" w:rsidRPr="00ED0351" w:rsidRDefault="000D3DCF">
            <w:pPr>
              <w:pStyle w:val="TableBody"/>
              <w:rPr>
                <w:color w:val="auto"/>
                <w:lang w:val="en-GB"/>
              </w:rPr>
            </w:pPr>
            <w:bookmarkStart w:id="92" w:name="ColumnTitle_PerformanceMeasure11"/>
            <w:bookmarkEnd w:id="92"/>
            <w:r w:rsidRPr="00ED0351">
              <w:rPr>
                <w:color w:val="auto"/>
                <w:lang w:val="en-GB"/>
              </w:rPr>
              <w:t>Performance measure</w:t>
            </w:r>
          </w:p>
        </w:tc>
        <w:tc>
          <w:tcPr>
            <w:tcW w:w="1361" w:type="dxa"/>
            <w:shd w:val="clear" w:color="auto" w:fill="009EAD"/>
          </w:tcPr>
          <w:p w14:paraId="41F411CB" w14:textId="77777777" w:rsidR="000D3DCF" w:rsidRPr="00ED0351" w:rsidRDefault="000D3DCF" w:rsidP="00BB40DF">
            <w:pPr>
              <w:pStyle w:val="TableBody"/>
              <w:jc w:val="right"/>
              <w:rPr>
                <w:color w:val="auto"/>
                <w:lang w:val="en-GB"/>
              </w:rPr>
            </w:pPr>
            <w:r w:rsidRPr="00ED0351">
              <w:rPr>
                <w:color w:val="auto"/>
                <w:lang w:val="en-GB"/>
              </w:rPr>
              <w:t>2023</w:t>
            </w:r>
            <w:r w:rsidRPr="00ED0351">
              <w:rPr>
                <w:color w:val="auto"/>
              </w:rPr>
              <w:t>–</w:t>
            </w:r>
            <w:r w:rsidRPr="00ED0351">
              <w:rPr>
                <w:color w:val="auto"/>
                <w:lang w:val="en-GB"/>
              </w:rPr>
              <w:t>24 Target</w:t>
            </w:r>
          </w:p>
        </w:tc>
        <w:tc>
          <w:tcPr>
            <w:tcW w:w="1361" w:type="dxa"/>
            <w:shd w:val="clear" w:color="auto" w:fill="009EAD"/>
          </w:tcPr>
          <w:p w14:paraId="4B5B665F" w14:textId="77777777" w:rsidR="000D3DCF" w:rsidRPr="00ED0351" w:rsidRDefault="000D3DCF" w:rsidP="00BB40DF">
            <w:pPr>
              <w:pStyle w:val="TableBody"/>
              <w:jc w:val="right"/>
              <w:rPr>
                <w:color w:val="auto"/>
                <w:lang w:val="en-GB"/>
              </w:rPr>
            </w:pPr>
            <w:r w:rsidRPr="00ED0351">
              <w:rPr>
                <w:color w:val="auto"/>
                <w:lang w:val="en-GB"/>
              </w:rPr>
              <w:t>2023</w:t>
            </w:r>
            <w:r w:rsidRPr="00ED0351">
              <w:rPr>
                <w:color w:val="auto"/>
              </w:rPr>
              <w:t>–</w:t>
            </w:r>
            <w:r w:rsidRPr="00ED0351">
              <w:rPr>
                <w:color w:val="auto"/>
                <w:lang w:val="en-GB"/>
              </w:rPr>
              <w:t>24 Result</w:t>
            </w:r>
          </w:p>
        </w:tc>
        <w:tc>
          <w:tcPr>
            <w:tcW w:w="1361" w:type="dxa"/>
            <w:shd w:val="clear" w:color="auto" w:fill="009EAD"/>
          </w:tcPr>
          <w:p w14:paraId="0C732B3F" w14:textId="77777777" w:rsidR="000D3DCF" w:rsidRPr="00ED0351" w:rsidRDefault="000D3DCF" w:rsidP="00BB40DF">
            <w:pPr>
              <w:pStyle w:val="TableBody"/>
              <w:jc w:val="right"/>
              <w:rPr>
                <w:color w:val="auto"/>
                <w:lang w:val="en-GB"/>
              </w:rPr>
            </w:pPr>
            <w:r w:rsidRPr="00ED0351">
              <w:rPr>
                <w:color w:val="auto"/>
                <w:lang w:val="en-GB"/>
              </w:rPr>
              <w:t>2023</w:t>
            </w:r>
            <w:r w:rsidRPr="00ED0351">
              <w:rPr>
                <w:color w:val="auto"/>
              </w:rPr>
              <w:t>–</w:t>
            </w:r>
            <w:r w:rsidRPr="00ED0351">
              <w:rPr>
                <w:color w:val="auto"/>
                <w:lang w:val="en-GB"/>
              </w:rPr>
              <w:t>24 Outcome</w:t>
            </w:r>
          </w:p>
        </w:tc>
        <w:tc>
          <w:tcPr>
            <w:tcW w:w="1361" w:type="dxa"/>
            <w:shd w:val="clear" w:color="auto" w:fill="009EAD"/>
          </w:tcPr>
          <w:p w14:paraId="394ED678" w14:textId="77777777" w:rsidR="000D3DCF" w:rsidRPr="00ED0351" w:rsidRDefault="000D3DCF" w:rsidP="00BB40DF">
            <w:pPr>
              <w:pStyle w:val="TableBody"/>
              <w:jc w:val="right"/>
              <w:rPr>
                <w:color w:val="auto"/>
                <w:lang w:val="en-GB"/>
              </w:rPr>
            </w:pPr>
            <w:r w:rsidRPr="00ED0351">
              <w:rPr>
                <w:color w:val="auto"/>
                <w:lang w:val="en-GB"/>
              </w:rPr>
              <w:t>2022</w:t>
            </w:r>
            <w:r w:rsidRPr="00ED0351">
              <w:rPr>
                <w:color w:val="auto"/>
              </w:rPr>
              <w:t>–</w:t>
            </w:r>
            <w:r w:rsidRPr="00ED0351">
              <w:rPr>
                <w:color w:val="auto"/>
                <w:lang w:val="en-GB"/>
              </w:rPr>
              <w:t>23 Result</w:t>
            </w:r>
          </w:p>
        </w:tc>
      </w:tr>
      <w:tr w:rsidR="000D3DCF" w:rsidRPr="00A33264" w14:paraId="33CD266D" w14:textId="77777777" w:rsidTr="007145B8">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C5E4E8"/>
          </w:tcPr>
          <w:p w14:paraId="666E1403" w14:textId="27AAC5F5" w:rsidR="000D3DCF" w:rsidRPr="00A33264" w:rsidRDefault="000D3DCF" w:rsidP="001F5A8E">
            <w:pPr>
              <w:pStyle w:val="TableBody"/>
              <w:rPr>
                <w:lang w:val="en-GB"/>
              </w:rPr>
            </w:pPr>
            <w:r w:rsidRPr="00A33264">
              <w:rPr>
                <w:lang w:val="en-GB"/>
              </w:rPr>
              <w:t xml:space="preserve">Participant Service Guarantee </w:t>
            </w:r>
            <w:r>
              <w:rPr>
                <w:lang w:val="en-GB"/>
              </w:rPr>
              <w:t>t</w:t>
            </w:r>
            <w:r w:rsidRPr="00A33264">
              <w:rPr>
                <w:lang w:val="en-GB"/>
              </w:rPr>
              <w:t xml:space="preserve">imeframes met 95% of the time </w:t>
            </w:r>
          </w:p>
        </w:tc>
        <w:tc>
          <w:tcPr>
            <w:tcW w:w="1361" w:type="dxa"/>
            <w:shd w:val="clear" w:color="auto" w:fill="C5E4E8"/>
          </w:tcPr>
          <w:p w14:paraId="28029820" w14:textId="77777777" w:rsidR="000D3DCF" w:rsidRPr="00A33264" w:rsidRDefault="000D3DCF" w:rsidP="00BB40DF">
            <w:pPr>
              <w:pStyle w:val="TableBody"/>
              <w:jc w:val="right"/>
              <w:rPr>
                <w:lang w:val="en-GB"/>
              </w:rPr>
            </w:pPr>
            <w:r w:rsidRPr="00A33264">
              <w:rPr>
                <w:lang w:val="en-GB"/>
              </w:rPr>
              <w:t>80%</w:t>
            </w:r>
          </w:p>
        </w:tc>
        <w:tc>
          <w:tcPr>
            <w:tcW w:w="1361" w:type="dxa"/>
            <w:shd w:val="clear" w:color="auto" w:fill="C5E4E8"/>
          </w:tcPr>
          <w:p w14:paraId="0692BFB9" w14:textId="77777777" w:rsidR="000D3DCF" w:rsidRPr="00A33264" w:rsidRDefault="000D3DCF" w:rsidP="00BB40DF">
            <w:pPr>
              <w:pStyle w:val="TableBody"/>
              <w:jc w:val="right"/>
              <w:rPr>
                <w:lang w:val="en-GB"/>
              </w:rPr>
            </w:pPr>
            <w:r w:rsidRPr="00A33264">
              <w:rPr>
                <w:lang w:val="en-GB" w:eastAsia="en-AU"/>
              </w:rPr>
              <w:t>32.9%</w:t>
            </w:r>
          </w:p>
        </w:tc>
        <w:tc>
          <w:tcPr>
            <w:tcW w:w="1361" w:type="dxa"/>
            <w:shd w:val="clear" w:color="auto" w:fill="C5E4E8"/>
          </w:tcPr>
          <w:p w14:paraId="46D1C33F" w14:textId="77777777" w:rsidR="000D3DCF" w:rsidRPr="00A33264" w:rsidRDefault="000D3DCF" w:rsidP="00BB40DF">
            <w:pPr>
              <w:pStyle w:val="TableBody"/>
              <w:jc w:val="right"/>
              <w:rPr>
                <w:lang w:val="en-GB"/>
              </w:rPr>
            </w:pPr>
            <w:r w:rsidRPr="00A33264">
              <w:rPr>
                <w:lang w:val="en-GB" w:eastAsia="en-AU"/>
              </w:rPr>
              <w:t>Not achieved</w:t>
            </w:r>
          </w:p>
        </w:tc>
        <w:tc>
          <w:tcPr>
            <w:tcW w:w="1361" w:type="dxa"/>
            <w:shd w:val="clear" w:color="auto" w:fill="C5E4E8"/>
          </w:tcPr>
          <w:p w14:paraId="783C13B6" w14:textId="77777777" w:rsidR="000D3DCF" w:rsidRPr="00A33264" w:rsidRDefault="000D3DCF" w:rsidP="00BB40DF">
            <w:pPr>
              <w:pStyle w:val="TableBody"/>
              <w:jc w:val="right"/>
              <w:rPr>
                <w:lang w:val="en-GB" w:eastAsia="en-AU"/>
              </w:rPr>
            </w:pPr>
            <w:r>
              <w:rPr>
                <w:lang w:eastAsia="en-AU"/>
              </w:rPr>
              <w:t>64.7%</w:t>
            </w:r>
            <w:r>
              <w:rPr>
                <w:rStyle w:val="FootnoteReference"/>
                <w:rFonts w:eastAsia="MS Mincho"/>
                <w:lang w:eastAsia="en-AU"/>
              </w:rPr>
              <w:footnoteReference w:id="4"/>
            </w:r>
          </w:p>
        </w:tc>
      </w:tr>
    </w:tbl>
    <w:p w14:paraId="6048006F" w14:textId="77777777" w:rsidR="000D3DCF" w:rsidRDefault="000D3DCF" w:rsidP="00B27FA1">
      <w:pPr>
        <w:pStyle w:val="Heading6"/>
        <w:rPr>
          <w:rFonts w:eastAsia="Yu Mincho"/>
        </w:rPr>
      </w:pPr>
      <w:r>
        <w:rPr>
          <w:rFonts w:eastAsia="Yu Mincho"/>
        </w:rPr>
        <w:t>Why we measure this</w:t>
      </w:r>
    </w:p>
    <w:p w14:paraId="45457E30" w14:textId="4CCBAF07" w:rsidR="000D3DCF" w:rsidRDefault="000D3DCF" w:rsidP="007145B8">
      <w:pPr>
        <w:rPr>
          <w:rFonts w:eastAsia="DengXian"/>
        </w:rPr>
      </w:pPr>
      <w:r w:rsidRPr="009C34F0">
        <w:rPr>
          <w:rFonts w:eastAsia="DengXian"/>
        </w:rPr>
        <w:t>This measure assesses the efficiency (proxy) of our services and effectiveness in implementing the Participant Service Improvement Plan 2022</w:t>
      </w:r>
      <w:r w:rsidRPr="003131F3">
        <w:t>–</w:t>
      </w:r>
      <w:r w:rsidRPr="009C34F0">
        <w:rPr>
          <w:rFonts w:eastAsia="DengXian"/>
        </w:rPr>
        <w:t>23</w:t>
      </w:r>
      <w:r>
        <w:rPr>
          <w:rFonts w:eastAsia="DengXian"/>
        </w:rPr>
        <w:t xml:space="preserve"> (PSIP)</w:t>
      </w:r>
      <w:r w:rsidRPr="009C34F0">
        <w:rPr>
          <w:rFonts w:eastAsia="DengXian"/>
        </w:rPr>
        <w:t xml:space="preserve"> (</w:t>
      </w:r>
      <w:r>
        <w:rPr>
          <w:rFonts w:eastAsia="DengXian"/>
        </w:rPr>
        <w:t xml:space="preserve">see </w:t>
      </w:r>
      <w:r w:rsidRPr="009C34F0">
        <w:t>PSIP 2022</w:t>
      </w:r>
      <w:r w:rsidRPr="003131F3">
        <w:t>–</w:t>
      </w:r>
      <w:r w:rsidRPr="009C34F0">
        <w:t>23, p 4)</w:t>
      </w:r>
      <w:r w:rsidRPr="009C34F0">
        <w:rPr>
          <w:rFonts w:eastAsia="DengXian"/>
        </w:rPr>
        <w:t xml:space="preserve">. </w:t>
      </w:r>
    </w:p>
    <w:p w14:paraId="1606C571" w14:textId="77777777" w:rsidR="000D3DCF" w:rsidRDefault="000D3DCF" w:rsidP="00B27FA1">
      <w:pPr>
        <w:pStyle w:val="Heading6"/>
      </w:pPr>
      <w:r>
        <w:t>How we measure this</w:t>
      </w:r>
    </w:p>
    <w:p w14:paraId="1CD136E7" w14:textId="3D066D9E" w:rsidR="000D3DCF" w:rsidRDefault="000D3DCF" w:rsidP="007145B8">
      <w:pPr>
        <w:rPr>
          <w:rFonts w:eastAsia="DengXian"/>
        </w:rPr>
      </w:pPr>
      <w:r>
        <w:rPr>
          <w:rFonts w:eastAsia="DengXian"/>
        </w:rPr>
        <w:t>We obtain our results for this performance measure by</w:t>
      </w:r>
      <w:r w:rsidRPr="009C34F0">
        <w:rPr>
          <w:rFonts w:eastAsia="DengXian"/>
        </w:rPr>
        <w:t xml:space="preserve"> calculat</w:t>
      </w:r>
      <w:r>
        <w:rPr>
          <w:rFonts w:eastAsia="DengXian"/>
        </w:rPr>
        <w:t>ing</w:t>
      </w:r>
      <w:r w:rsidRPr="009C34F0">
        <w:rPr>
          <w:rFonts w:eastAsia="DengXian"/>
        </w:rPr>
        <w:t xml:space="preserve"> the average </w:t>
      </w:r>
      <w:r>
        <w:rPr>
          <w:rFonts w:eastAsia="DengXian"/>
        </w:rPr>
        <w:t>of the</w:t>
      </w:r>
      <w:r w:rsidRPr="009C34F0">
        <w:rPr>
          <w:rFonts w:eastAsia="DengXian"/>
        </w:rPr>
        <w:t xml:space="preserve"> results </w:t>
      </w:r>
      <w:r>
        <w:rPr>
          <w:rFonts w:eastAsia="DengXian"/>
        </w:rPr>
        <w:t>reported in</w:t>
      </w:r>
      <w:r w:rsidRPr="009C34F0">
        <w:rPr>
          <w:rFonts w:eastAsia="DengXian"/>
        </w:rPr>
        <w:t xml:space="preserve"> the</w:t>
      </w:r>
      <w:r>
        <w:rPr>
          <w:rFonts w:eastAsia="DengXian"/>
        </w:rPr>
        <w:t xml:space="preserve"> 4</w:t>
      </w:r>
      <w:r w:rsidRPr="009C34F0">
        <w:rPr>
          <w:rFonts w:eastAsia="DengXian"/>
        </w:rPr>
        <w:t xml:space="preserve"> </w:t>
      </w:r>
      <w:r>
        <w:rPr>
          <w:rFonts w:eastAsia="DengXian"/>
        </w:rPr>
        <w:t>q</w:t>
      </w:r>
      <w:r w:rsidRPr="009C34F0">
        <w:rPr>
          <w:rFonts w:eastAsia="DengXian"/>
        </w:rPr>
        <w:t xml:space="preserve">uarterly </w:t>
      </w:r>
      <w:r>
        <w:rPr>
          <w:rFonts w:eastAsia="DengXian"/>
        </w:rPr>
        <w:t>r</w:t>
      </w:r>
      <w:r w:rsidRPr="009C34F0">
        <w:rPr>
          <w:rFonts w:eastAsia="DengXian"/>
        </w:rPr>
        <w:t>eport</w:t>
      </w:r>
      <w:r>
        <w:rPr>
          <w:rFonts w:eastAsia="DengXian"/>
        </w:rPr>
        <w:t>s</w:t>
      </w:r>
      <w:r w:rsidRPr="009C34F0">
        <w:rPr>
          <w:rFonts w:eastAsia="DengXian"/>
        </w:rPr>
        <w:t xml:space="preserve"> to </w:t>
      </w:r>
      <w:r>
        <w:rPr>
          <w:rFonts w:eastAsia="DengXian"/>
        </w:rPr>
        <w:t>the Ministerial Council of when</w:t>
      </w:r>
      <w:r w:rsidRPr="009C34F0">
        <w:rPr>
          <w:rFonts w:eastAsia="DengXian"/>
        </w:rPr>
        <w:t xml:space="preserve"> the PSG timeframes have been met. An individual PSG metric is considered to have been met overall if 95% or more of tasks being measured meet the target.</w:t>
      </w:r>
    </w:p>
    <w:p w14:paraId="52624B52" w14:textId="1CF77819" w:rsidR="00247078" w:rsidRDefault="000D3DCF" w:rsidP="00247078">
      <w:pPr>
        <w:rPr>
          <w:bCs/>
          <w:color w:val="6B2876" w:themeColor="text1"/>
          <w:sz w:val="26"/>
          <w:szCs w:val="28"/>
        </w:rPr>
      </w:pPr>
      <w:r w:rsidRPr="00470BB1">
        <w:rPr>
          <w:rFonts w:eastAsia="DengXian"/>
        </w:rPr>
        <w:t xml:space="preserve">The national implementation of the new computer system affected </w:t>
      </w:r>
      <w:r>
        <w:rPr>
          <w:rFonts w:eastAsia="DengXian"/>
        </w:rPr>
        <w:t>quarter 2</w:t>
      </w:r>
      <w:r w:rsidRPr="00470BB1">
        <w:rPr>
          <w:rFonts w:eastAsia="DengXian"/>
        </w:rPr>
        <w:t xml:space="preserve"> </w:t>
      </w:r>
      <w:r w:rsidR="00C03571" w:rsidRPr="00470BB1">
        <w:rPr>
          <w:rFonts w:eastAsia="DengXian"/>
        </w:rPr>
        <w:t>2023</w:t>
      </w:r>
      <w:r w:rsidR="00C03571">
        <w:rPr>
          <w:rFonts w:eastAsia="DengXian"/>
        </w:rPr>
        <w:t>–</w:t>
      </w:r>
      <w:r w:rsidR="00C03571" w:rsidRPr="00470BB1">
        <w:rPr>
          <w:rFonts w:eastAsia="DengXian"/>
        </w:rPr>
        <w:t>24</w:t>
      </w:r>
      <w:r w:rsidRPr="00470BB1">
        <w:rPr>
          <w:rFonts w:eastAsia="DengXian"/>
        </w:rPr>
        <w:t xml:space="preserve"> data, which was only available and calculated for October 2023. Results were rounded up to the nearest per</w:t>
      </w:r>
      <w:r>
        <w:rPr>
          <w:rFonts w:eastAsia="DengXian"/>
        </w:rPr>
        <w:t xml:space="preserve"> </w:t>
      </w:r>
      <w:r w:rsidRPr="00470BB1">
        <w:rPr>
          <w:rFonts w:eastAsia="DengXian"/>
        </w:rPr>
        <w:t>cent if the gap to target was less than 50 cases (PSG 5 was the sole PSG that met this criterion).</w:t>
      </w:r>
    </w:p>
    <w:p w14:paraId="603A49F3" w14:textId="55D7C9B7" w:rsidR="000D3DCF" w:rsidRDefault="000D3DCF" w:rsidP="00B27FA1">
      <w:pPr>
        <w:pStyle w:val="Heading6"/>
      </w:pPr>
      <w:r>
        <w:t>Analysis</w:t>
      </w:r>
    </w:p>
    <w:p w14:paraId="3733CE5D" w14:textId="0F44692F" w:rsidR="000D3DCF" w:rsidRPr="009C34F0" w:rsidRDefault="000D3DCF" w:rsidP="00565716">
      <w:r w:rsidRPr="009C34F0">
        <w:rPr>
          <w:rFonts w:eastAsia="DengXian"/>
        </w:rPr>
        <w:t xml:space="preserve">The NDIA </w:t>
      </w:r>
      <w:r>
        <w:rPr>
          <w:rFonts w:eastAsia="DengXian"/>
        </w:rPr>
        <w:t>started</w:t>
      </w:r>
      <w:r w:rsidRPr="009C34F0">
        <w:rPr>
          <w:rFonts w:eastAsia="DengXian"/>
        </w:rPr>
        <w:t xml:space="preserve"> measuring performance against the PSG timeframes in 2020</w:t>
      </w:r>
      <w:r w:rsidRPr="003131F3">
        <w:t>–</w:t>
      </w:r>
      <w:r w:rsidRPr="009C34F0">
        <w:rPr>
          <w:rFonts w:eastAsia="DengXian"/>
        </w:rPr>
        <w:t xml:space="preserve">21 </w:t>
      </w:r>
      <w:r>
        <w:rPr>
          <w:rFonts w:eastAsia="DengXian"/>
        </w:rPr>
        <w:t>before</w:t>
      </w:r>
      <w:r w:rsidRPr="009C34F0">
        <w:rPr>
          <w:rFonts w:eastAsia="DengXian"/>
        </w:rPr>
        <w:t xml:space="preserve"> the Participant Service Charter and Guarantee legislation</w:t>
      </w:r>
      <w:r>
        <w:rPr>
          <w:rFonts w:eastAsia="DengXian"/>
        </w:rPr>
        <w:t xml:space="preserve"> was passed in Parliament</w:t>
      </w:r>
      <w:r w:rsidRPr="009C34F0">
        <w:rPr>
          <w:rFonts w:eastAsia="DengXian"/>
        </w:rPr>
        <w:t xml:space="preserve"> in April 2022 (</w:t>
      </w:r>
      <w:hyperlink r:id="rId29" w:history="1">
        <w:r w:rsidRPr="009C34F0">
          <w:rPr>
            <w:rStyle w:val="Hyperlink"/>
          </w:rPr>
          <w:t>NDIA Annual Report 2020-21</w:t>
        </w:r>
      </w:hyperlink>
      <w:r w:rsidRPr="009C34F0">
        <w:t xml:space="preserve"> </w:t>
      </w:r>
      <w:r w:rsidR="008B3B11">
        <w:t xml:space="preserve">, </w:t>
      </w:r>
      <w:r w:rsidRPr="009C34F0">
        <w:t>p</w:t>
      </w:r>
      <w:r w:rsidR="00832F77">
        <w:t xml:space="preserve"> </w:t>
      </w:r>
      <w:r w:rsidRPr="009C34F0">
        <w:t>125</w:t>
      </w:r>
      <w:r w:rsidRPr="009C34F0">
        <w:rPr>
          <w:rFonts w:eastAsia="DengXian"/>
        </w:rPr>
        <w:t>).</w:t>
      </w:r>
      <w:r w:rsidRPr="009C34F0">
        <w:t xml:space="preserve"> </w:t>
      </w:r>
      <w:r>
        <w:t>Eight</w:t>
      </w:r>
      <w:r w:rsidRPr="009C34F0">
        <w:t xml:space="preserve"> of 20 PSG timeframes are </w:t>
      </w:r>
      <w:r>
        <w:t xml:space="preserve">set out in the </w:t>
      </w:r>
      <w:r w:rsidRPr="009C34F0">
        <w:t>legislat</w:t>
      </w:r>
      <w:r>
        <w:t>ion</w:t>
      </w:r>
      <w:r w:rsidRPr="009C34F0">
        <w:t xml:space="preserve">. The 8 specified PSG timeframes </w:t>
      </w:r>
      <w:r>
        <w:t>below use</w:t>
      </w:r>
      <w:r w:rsidRPr="009C34F0">
        <w:t xml:space="preserve"> the reported description of the service being guaranteed in the </w:t>
      </w:r>
      <w:r w:rsidRPr="00AA0637">
        <w:rPr>
          <w:rStyle w:val="Hyperlink"/>
          <w:color w:val="auto"/>
          <w:u w:val="none"/>
        </w:rPr>
        <w:t>q</w:t>
      </w:r>
      <w:r w:rsidRPr="00BB40DF">
        <w:t xml:space="preserve">uarterly </w:t>
      </w:r>
      <w:r>
        <w:t>r</w:t>
      </w:r>
      <w:r w:rsidRPr="00BB40DF">
        <w:t>eport</w:t>
      </w:r>
      <w:r>
        <w:t>s</w:t>
      </w:r>
      <w:r w:rsidRPr="00BB40DF">
        <w:t xml:space="preserve"> to </w:t>
      </w:r>
      <w:r>
        <w:t>the Ministerial Council</w:t>
      </w:r>
      <w:r w:rsidRPr="009C34F0">
        <w:t xml:space="preserve">: </w:t>
      </w:r>
    </w:p>
    <w:p w14:paraId="59808C84" w14:textId="3EB66B8B" w:rsidR="000D3DCF" w:rsidRPr="009C34F0" w:rsidRDefault="000D3DCF" w:rsidP="000D3DCF">
      <w:pPr>
        <w:pStyle w:val="Bullet1"/>
        <w:numPr>
          <w:ilvl w:val="0"/>
          <w:numId w:val="20"/>
        </w:numPr>
        <w:ind w:left="714" w:hanging="357"/>
        <w:rPr>
          <w:rFonts w:cs="Arial"/>
        </w:rPr>
      </w:pPr>
      <w:r w:rsidRPr="009C34F0">
        <w:rPr>
          <w:rFonts w:cs="Arial"/>
        </w:rPr>
        <w:t>Make an access decision, or request for more information, after an access request has been received within 21 days</w:t>
      </w:r>
      <w:r>
        <w:rPr>
          <w:rFonts w:cs="Arial"/>
        </w:rPr>
        <w:t>.</w:t>
      </w:r>
    </w:p>
    <w:p w14:paraId="339B8FC7" w14:textId="77488C82" w:rsidR="000D3DCF" w:rsidRPr="009C34F0" w:rsidRDefault="000D3DCF" w:rsidP="000D3DCF">
      <w:pPr>
        <w:pStyle w:val="Bullet1"/>
        <w:numPr>
          <w:ilvl w:val="0"/>
          <w:numId w:val="20"/>
        </w:numPr>
        <w:ind w:left="714" w:hanging="357"/>
        <w:rPr>
          <w:rFonts w:cs="Arial"/>
        </w:rPr>
      </w:pPr>
      <w:r w:rsidRPr="009C34F0">
        <w:rPr>
          <w:rFonts w:cs="Arial"/>
        </w:rPr>
        <w:t>Allow sufficient time to provide information within 90 days</w:t>
      </w:r>
      <w:r>
        <w:rPr>
          <w:rFonts w:cs="Arial"/>
        </w:rPr>
        <w:t>.</w:t>
      </w:r>
    </w:p>
    <w:p w14:paraId="71E78761" w14:textId="724776AC" w:rsidR="000D3DCF" w:rsidRPr="009C34F0" w:rsidRDefault="000D3DCF" w:rsidP="000D3DCF">
      <w:pPr>
        <w:pStyle w:val="Bullet1"/>
        <w:numPr>
          <w:ilvl w:val="0"/>
          <w:numId w:val="20"/>
        </w:numPr>
        <w:ind w:left="714" w:hanging="357"/>
        <w:rPr>
          <w:rFonts w:cs="Arial"/>
        </w:rPr>
      </w:pPr>
      <w:r w:rsidRPr="009C34F0">
        <w:rPr>
          <w:rFonts w:cs="Arial"/>
        </w:rPr>
        <w:t xml:space="preserve">Make an </w:t>
      </w:r>
      <w:r>
        <w:rPr>
          <w:rFonts w:cs="Arial"/>
        </w:rPr>
        <w:t>a</w:t>
      </w:r>
      <w:r w:rsidRPr="009C34F0">
        <w:rPr>
          <w:rFonts w:cs="Arial"/>
        </w:rPr>
        <w:t>ccess decision after more information has been provided within 14 days</w:t>
      </w:r>
      <w:r>
        <w:rPr>
          <w:rFonts w:cs="Arial"/>
        </w:rPr>
        <w:t>.</w:t>
      </w:r>
    </w:p>
    <w:p w14:paraId="5A417605" w14:textId="3AA09BEC" w:rsidR="000D3DCF" w:rsidRPr="009C34F0" w:rsidRDefault="000D3DCF" w:rsidP="000D3DCF">
      <w:pPr>
        <w:pStyle w:val="Bullet1"/>
        <w:numPr>
          <w:ilvl w:val="0"/>
          <w:numId w:val="20"/>
        </w:numPr>
        <w:ind w:left="714" w:hanging="357"/>
        <w:rPr>
          <w:rFonts w:cs="Arial"/>
        </w:rPr>
      </w:pPr>
      <w:r w:rsidRPr="009C34F0">
        <w:rPr>
          <w:rFonts w:cs="Arial"/>
        </w:rPr>
        <w:t>Commence facilitating the preparation of a plan</w:t>
      </w:r>
      <w:r>
        <w:rPr>
          <w:rFonts w:cs="Arial"/>
        </w:rPr>
        <w:t>,</w:t>
      </w:r>
      <w:r w:rsidRPr="009C34F0">
        <w:rPr>
          <w:rFonts w:cs="Arial"/>
        </w:rPr>
        <w:t xml:space="preserve"> after an access decision has been made within 21 days</w:t>
      </w:r>
      <w:r>
        <w:rPr>
          <w:rFonts w:cs="Arial"/>
        </w:rPr>
        <w:t>.</w:t>
      </w:r>
    </w:p>
    <w:p w14:paraId="1C59794E" w14:textId="3E8A74E4" w:rsidR="000D3DCF" w:rsidRPr="009C34F0" w:rsidRDefault="000D3DCF" w:rsidP="000D3DCF">
      <w:pPr>
        <w:pStyle w:val="Bullet1"/>
        <w:numPr>
          <w:ilvl w:val="0"/>
          <w:numId w:val="20"/>
        </w:numPr>
        <w:ind w:left="714" w:hanging="357"/>
        <w:rPr>
          <w:rFonts w:cs="Arial"/>
        </w:rPr>
      </w:pPr>
      <w:r w:rsidRPr="009C34F0">
        <w:rPr>
          <w:rFonts w:cs="Arial"/>
        </w:rPr>
        <w:lastRenderedPageBreak/>
        <w:t>Provide a copy of the plan to a participant, after a plan is approved within 7 days</w:t>
      </w:r>
      <w:r>
        <w:rPr>
          <w:rFonts w:cs="Arial"/>
        </w:rPr>
        <w:t>.</w:t>
      </w:r>
    </w:p>
    <w:p w14:paraId="2F8F76DC" w14:textId="0CD3C49F" w:rsidR="000D3DCF" w:rsidRPr="009C34F0" w:rsidRDefault="000D3DCF" w:rsidP="000D3DCF">
      <w:pPr>
        <w:pStyle w:val="Bullet1"/>
        <w:numPr>
          <w:ilvl w:val="0"/>
          <w:numId w:val="20"/>
        </w:numPr>
        <w:ind w:left="714" w:hanging="357"/>
        <w:rPr>
          <w:rFonts w:cs="Arial"/>
        </w:rPr>
      </w:pPr>
      <w:r w:rsidRPr="009C34F0">
        <w:rPr>
          <w:rFonts w:cs="Arial"/>
        </w:rPr>
        <w:t xml:space="preserve">Decide whether to undertake a </w:t>
      </w:r>
      <w:r>
        <w:rPr>
          <w:rFonts w:cs="Arial"/>
        </w:rPr>
        <w:t>p</w:t>
      </w:r>
      <w:r w:rsidRPr="009C34F0">
        <w:rPr>
          <w:rFonts w:cs="Arial"/>
        </w:rPr>
        <w:t>articipant</w:t>
      </w:r>
      <w:r>
        <w:rPr>
          <w:rFonts w:cs="Arial"/>
        </w:rPr>
        <w:t>-</w:t>
      </w:r>
      <w:r w:rsidRPr="009C34F0">
        <w:rPr>
          <w:rFonts w:cs="Arial"/>
        </w:rPr>
        <w:t>requested plan reassessment, after the request is received within 21 days</w:t>
      </w:r>
      <w:r>
        <w:rPr>
          <w:rFonts w:cs="Arial"/>
        </w:rPr>
        <w:t>.</w:t>
      </w:r>
    </w:p>
    <w:p w14:paraId="2DCFA160" w14:textId="332AC6A1" w:rsidR="000D3DCF" w:rsidRPr="009C34F0" w:rsidRDefault="000D3DCF" w:rsidP="000D3DCF">
      <w:pPr>
        <w:pStyle w:val="Bullet1"/>
        <w:numPr>
          <w:ilvl w:val="0"/>
          <w:numId w:val="20"/>
        </w:numPr>
        <w:ind w:left="714" w:hanging="357"/>
        <w:rPr>
          <w:rFonts w:cs="Arial"/>
        </w:rPr>
      </w:pPr>
      <w:r w:rsidRPr="009C34F0">
        <w:rPr>
          <w:rFonts w:cs="Arial"/>
        </w:rPr>
        <w:t xml:space="preserve">Amend a plan after the receipt of information that triggers the plan amendment process </w:t>
      </w:r>
      <w:r>
        <w:rPr>
          <w:rFonts w:cs="Arial"/>
        </w:rPr>
        <w:t xml:space="preserve">within </w:t>
      </w:r>
      <w:r w:rsidRPr="009C34F0">
        <w:rPr>
          <w:rFonts w:cs="Arial"/>
        </w:rPr>
        <w:t>28 days</w:t>
      </w:r>
      <w:r>
        <w:rPr>
          <w:rFonts w:cs="Arial"/>
        </w:rPr>
        <w:t>.</w:t>
      </w:r>
    </w:p>
    <w:p w14:paraId="116EB658" w14:textId="77777777" w:rsidR="000D3DCF" w:rsidRPr="009C34F0" w:rsidRDefault="000D3DCF" w:rsidP="000D3DCF">
      <w:pPr>
        <w:pStyle w:val="Bullet1"/>
        <w:numPr>
          <w:ilvl w:val="0"/>
          <w:numId w:val="20"/>
        </w:numPr>
        <w:ind w:left="714" w:hanging="357"/>
        <w:rPr>
          <w:rFonts w:cs="Arial"/>
        </w:rPr>
      </w:pPr>
      <w:r w:rsidRPr="009C34F0">
        <w:rPr>
          <w:rFonts w:cs="Arial"/>
        </w:rPr>
        <w:t>Provide a copy of the plan to a participant, after the plan is amended within 7 days.</w:t>
      </w:r>
    </w:p>
    <w:p w14:paraId="5F5618F8" w14:textId="0A0FC0C7" w:rsidR="000D3DCF" w:rsidRPr="009C34F0" w:rsidRDefault="000D3DCF" w:rsidP="007145B8">
      <w:pPr>
        <w:rPr>
          <w:color w:val="222222"/>
          <w:lang w:eastAsia="en-AU"/>
        </w:rPr>
      </w:pPr>
      <w:r w:rsidRPr="003131F3">
        <w:t xml:space="preserve">NDIA </w:t>
      </w:r>
      <w:r>
        <w:t>a</w:t>
      </w:r>
      <w:r w:rsidRPr="003131F3">
        <w:t xml:space="preserve">nnual </w:t>
      </w:r>
      <w:r>
        <w:t>r</w:t>
      </w:r>
      <w:r w:rsidRPr="003131F3">
        <w:t>eports</w:t>
      </w:r>
      <w:r w:rsidRPr="009C34F0">
        <w:rPr>
          <w:rFonts w:eastAsia="DengXian"/>
        </w:rPr>
        <w:t xml:space="preserve"> over 2020</w:t>
      </w:r>
      <w:r w:rsidRPr="003131F3">
        <w:t>–</w:t>
      </w:r>
      <w:r>
        <w:t>20</w:t>
      </w:r>
      <w:r w:rsidRPr="009C34F0">
        <w:rPr>
          <w:rFonts w:eastAsia="DengXian"/>
        </w:rPr>
        <w:t>23</w:t>
      </w:r>
      <w:r>
        <w:rPr>
          <w:rFonts w:eastAsia="DengXian"/>
        </w:rPr>
        <w:t xml:space="preserve"> </w:t>
      </w:r>
      <w:r w:rsidRPr="009C34F0">
        <w:rPr>
          <w:rFonts w:eastAsia="DengXian"/>
        </w:rPr>
        <w:t xml:space="preserve">show </w:t>
      </w:r>
      <w:r>
        <w:rPr>
          <w:rFonts w:eastAsia="DengXian"/>
        </w:rPr>
        <w:t xml:space="preserve">we have made </w:t>
      </w:r>
      <w:r w:rsidRPr="009C34F0">
        <w:rPr>
          <w:rFonts w:eastAsia="DengXian"/>
        </w:rPr>
        <w:t xml:space="preserve">progress </w:t>
      </w:r>
      <w:r>
        <w:rPr>
          <w:rFonts w:eastAsia="DengXian"/>
        </w:rPr>
        <w:t>toward</w:t>
      </w:r>
      <w:r w:rsidRPr="009C34F0">
        <w:rPr>
          <w:rFonts w:eastAsia="DengXian"/>
        </w:rPr>
        <w:t xml:space="preserve"> achieving the target. </w:t>
      </w:r>
      <w:r>
        <w:rPr>
          <w:rFonts w:eastAsia="DengXian"/>
        </w:rPr>
        <w:t>Our p</w:t>
      </w:r>
      <w:r w:rsidRPr="009C34F0">
        <w:rPr>
          <w:rFonts w:eastAsia="DengXian"/>
        </w:rPr>
        <w:t>erformance in 2023</w:t>
      </w:r>
      <w:r w:rsidRPr="003131F3">
        <w:t>–</w:t>
      </w:r>
      <w:r w:rsidRPr="009C34F0">
        <w:rPr>
          <w:rFonts w:eastAsia="DengXian"/>
        </w:rPr>
        <w:t>24 has been impacted by the adaptation to the new computer system and processes, as well as the significantly higher than average number of participants seeking a review of their NDIS plans</w:t>
      </w:r>
      <w:r w:rsidRPr="00F86FC3">
        <w:rPr>
          <w:rFonts w:eastAsia="DengXian"/>
        </w:rPr>
        <w:t>.</w:t>
      </w:r>
      <w:r>
        <w:rPr>
          <w:color w:val="222222"/>
          <w:lang w:eastAsia="en-AU"/>
        </w:rPr>
        <w:t xml:space="preserve"> Also, t</w:t>
      </w:r>
      <w:r w:rsidRPr="009C34F0">
        <w:rPr>
          <w:color w:val="222222"/>
          <w:lang w:eastAsia="en-AU"/>
        </w:rPr>
        <w:t>he NDIA receiv</w:t>
      </w:r>
      <w:r>
        <w:rPr>
          <w:color w:val="222222"/>
          <w:lang w:eastAsia="en-AU"/>
        </w:rPr>
        <w:t>ed</w:t>
      </w:r>
      <w:r w:rsidRPr="009C34F0">
        <w:rPr>
          <w:color w:val="222222"/>
          <w:lang w:eastAsia="en-AU"/>
        </w:rPr>
        <w:t xml:space="preserve"> </w:t>
      </w:r>
      <w:r w:rsidRPr="009C34F0">
        <w:rPr>
          <w:color w:val="222222"/>
        </w:rPr>
        <w:t>almost double the volume of request</w:t>
      </w:r>
      <w:r>
        <w:rPr>
          <w:color w:val="222222"/>
        </w:rPr>
        <w:t>s</w:t>
      </w:r>
      <w:r w:rsidRPr="009C34F0">
        <w:rPr>
          <w:color w:val="222222"/>
        </w:rPr>
        <w:t xml:space="preserve"> from participants asking for a change to their NDIS plan. This increased volume has impacted the time it is taking to make </w:t>
      </w:r>
      <w:r w:rsidRPr="009C34F0">
        <w:rPr>
          <w:lang w:eastAsia="en-AU"/>
        </w:rPr>
        <w:t xml:space="preserve">access and planning decisions </w:t>
      </w:r>
      <w:r>
        <w:rPr>
          <w:lang w:eastAsia="en-AU"/>
        </w:rPr>
        <w:t>and</w:t>
      </w:r>
      <w:r w:rsidRPr="009C34F0">
        <w:rPr>
          <w:lang w:eastAsia="en-AU"/>
        </w:rPr>
        <w:t xml:space="preserve"> has</w:t>
      </w:r>
      <w:r>
        <w:rPr>
          <w:lang w:eastAsia="en-AU"/>
        </w:rPr>
        <w:t xml:space="preserve"> therefore</w:t>
      </w:r>
      <w:r w:rsidRPr="009C34F0">
        <w:rPr>
          <w:lang w:eastAsia="en-AU"/>
        </w:rPr>
        <w:t xml:space="preserve"> affected the </w:t>
      </w:r>
      <w:r>
        <w:rPr>
          <w:lang w:eastAsia="en-AU"/>
        </w:rPr>
        <w:t>NDIA</w:t>
      </w:r>
      <w:r w:rsidRPr="009C34F0">
        <w:rPr>
          <w:lang w:eastAsia="en-AU"/>
        </w:rPr>
        <w:t>’s ability</w:t>
      </w:r>
      <w:r w:rsidRPr="009C34F0">
        <w:rPr>
          <w:color w:val="222222"/>
        </w:rPr>
        <w:t xml:space="preserve"> to meet PSG </w:t>
      </w:r>
      <w:r w:rsidRPr="009C34F0">
        <w:rPr>
          <w:color w:val="222222"/>
          <w:lang w:eastAsia="en-AU"/>
        </w:rPr>
        <w:t>timeframes in recent quarters.</w:t>
      </w:r>
      <w:r w:rsidRPr="009C34F0" w:rsidDel="002B2226">
        <w:rPr>
          <w:color w:val="222222"/>
          <w:vertAlign w:val="superscript"/>
          <w:lang w:eastAsia="en-AU"/>
        </w:rPr>
        <w:t xml:space="preserve"> </w:t>
      </w:r>
    </w:p>
    <w:p w14:paraId="0508DB7B" w14:textId="52A7B3B4" w:rsidR="000D3DCF" w:rsidRPr="009C34F0" w:rsidRDefault="000D3DCF" w:rsidP="007145B8">
      <w:pPr>
        <w:rPr>
          <w:rFonts w:eastAsia="DengXian"/>
        </w:rPr>
      </w:pPr>
      <w:r w:rsidRPr="009C34F0">
        <w:rPr>
          <w:rFonts w:eastAsia="DengXian"/>
        </w:rPr>
        <w:t xml:space="preserve">With the national rollout of the new computer system in </w:t>
      </w:r>
      <w:r>
        <w:rPr>
          <w:rFonts w:eastAsia="DengXian"/>
        </w:rPr>
        <w:t>quarter 2 of</w:t>
      </w:r>
      <w:r w:rsidRPr="009C34F0">
        <w:rPr>
          <w:rFonts w:eastAsia="DengXian"/>
        </w:rPr>
        <w:t xml:space="preserve"> 2023</w:t>
      </w:r>
      <w:r w:rsidRPr="003131F3">
        <w:t>–</w:t>
      </w:r>
      <w:r w:rsidRPr="009C34F0">
        <w:rPr>
          <w:rFonts w:eastAsia="DengXian"/>
        </w:rPr>
        <w:t xml:space="preserve">24, data was not available on a single system to allow calculation of PSG metrics. The NDIA forecast impacts to data availability and </w:t>
      </w:r>
      <w:r>
        <w:rPr>
          <w:rFonts w:eastAsia="DengXian"/>
        </w:rPr>
        <w:t>advised</w:t>
      </w:r>
      <w:r w:rsidRPr="009C34F0">
        <w:rPr>
          <w:rFonts w:eastAsia="DengXian"/>
        </w:rPr>
        <w:t xml:space="preserve"> the Commonwealth Ombudsman </w:t>
      </w:r>
      <w:r>
        <w:rPr>
          <w:rFonts w:eastAsia="DengXian"/>
        </w:rPr>
        <w:t>that</w:t>
      </w:r>
      <w:r w:rsidRPr="009C34F0">
        <w:rPr>
          <w:rFonts w:eastAsia="DengXian"/>
        </w:rPr>
        <w:t xml:space="preserve"> results</w:t>
      </w:r>
      <w:r>
        <w:rPr>
          <w:rFonts w:eastAsia="DengXian"/>
        </w:rPr>
        <w:t xml:space="preserve"> would not be reported</w:t>
      </w:r>
      <w:r w:rsidRPr="009C34F0">
        <w:rPr>
          <w:rFonts w:eastAsia="DengXian"/>
        </w:rPr>
        <w:t xml:space="preserve"> for </w:t>
      </w:r>
      <w:r>
        <w:rPr>
          <w:rFonts w:eastAsia="DengXian"/>
        </w:rPr>
        <w:t>q</w:t>
      </w:r>
      <w:r w:rsidRPr="009C34F0">
        <w:rPr>
          <w:rFonts w:eastAsia="DengXian"/>
        </w:rPr>
        <w:t>uarter 2</w:t>
      </w:r>
      <w:r>
        <w:rPr>
          <w:rFonts w:eastAsia="DengXian"/>
        </w:rPr>
        <w:t xml:space="preserve"> of 2023–24</w:t>
      </w:r>
      <w:r w:rsidRPr="009C34F0">
        <w:rPr>
          <w:rFonts w:eastAsia="DengXian"/>
        </w:rPr>
        <w:t>.</w:t>
      </w:r>
    </w:p>
    <w:p w14:paraId="3FD8BB0D" w14:textId="77D22AA9" w:rsidR="000D3DCF" w:rsidRPr="009C34F0" w:rsidRDefault="000D3DCF" w:rsidP="007145B8">
      <w:pPr>
        <w:rPr>
          <w:rFonts w:eastAsia="DengXian"/>
        </w:rPr>
      </w:pPr>
      <w:r w:rsidRPr="009C34F0">
        <w:rPr>
          <w:rFonts w:eastAsia="DengXian"/>
        </w:rPr>
        <w:t xml:space="preserve">For </w:t>
      </w:r>
      <w:r>
        <w:rPr>
          <w:rFonts w:eastAsia="DengXian"/>
        </w:rPr>
        <w:t>q</w:t>
      </w:r>
      <w:r w:rsidRPr="009C34F0">
        <w:rPr>
          <w:rFonts w:eastAsia="DengXian"/>
        </w:rPr>
        <w:t>uarters 3 and 4 of 2023</w:t>
      </w:r>
      <w:r w:rsidRPr="003131F3">
        <w:t>–</w:t>
      </w:r>
      <w:r w:rsidRPr="009C34F0">
        <w:rPr>
          <w:rFonts w:eastAsia="DengXian"/>
        </w:rPr>
        <w:t xml:space="preserve">24, 10 out of 20 PSG measures were reported compared </w:t>
      </w:r>
      <w:r>
        <w:rPr>
          <w:rFonts w:eastAsia="DengXian"/>
        </w:rPr>
        <w:t>with the</w:t>
      </w:r>
      <w:r w:rsidRPr="009C34F0">
        <w:rPr>
          <w:rFonts w:eastAsia="DengXian"/>
        </w:rPr>
        <w:t xml:space="preserve"> 17 out of 20 available in 2022</w:t>
      </w:r>
      <w:r w:rsidRPr="003131F3">
        <w:t>–</w:t>
      </w:r>
      <w:r w:rsidRPr="009C34F0">
        <w:rPr>
          <w:rFonts w:eastAsia="DengXian"/>
        </w:rPr>
        <w:t xml:space="preserve">23 and </w:t>
      </w:r>
      <w:r>
        <w:rPr>
          <w:rFonts w:eastAsia="DengXian"/>
        </w:rPr>
        <w:t xml:space="preserve">quarter </w:t>
      </w:r>
      <w:r w:rsidRPr="009C34F0">
        <w:rPr>
          <w:rFonts w:eastAsia="DengXian"/>
        </w:rPr>
        <w:t>1 of 2023</w:t>
      </w:r>
      <w:r w:rsidRPr="003131F3">
        <w:t>–</w:t>
      </w:r>
      <w:r w:rsidRPr="009C34F0">
        <w:rPr>
          <w:rFonts w:eastAsia="DengXian"/>
        </w:rPr>
        <w:t xml:space="preserve">24. The NDIA has acknowledged in the </w:t>
      </w:r>
      <w:r>
        <w:rPr>
          <w:rFonts w:eastAsia="DengXian"/>
        </w:rPr>
        <w:t>q</w:t>
      </w:r>
      <w:r w:rsidRPr="003131F3">
        <w:rPr>
          <w:rFonts w:eastAsia="DengXian"/>
        </w:rPr>
        <w:t xml:space="preserve">uarterly </w:t>
      </w:r>
      <w:r>
        <w:rPr>
          <w:rFonts w:eastAsia="DengXian"/>
        </w:rPr>
        <w:t>r</w:t>
      </w:r>
      <w:r w:rsidRPr="003131F3">
        <w:rPr>
          <w:rFonts w:eastAsia="DengXian"/>
        </w:rPr>
        <w:t xml:space="preserve">eports </w:t>
      </w:r>
      <w:r>
        <w:rPr>
          <w:rFonts w:eastAsia="DengXian"/>
        </w:rPr>
        <w:t>for quarters 3 and 4 of</w:t>
      </w:r>
      <w:r w:rsidRPr="003131F3">
        <w:rPr>
          <w:rFonts w:eastAsia="DengXian"/>
        </w:rPr>
        <w:t xml:space="preserve"> 2023</w:t>
      </w:r>
      <w:r w:rsidRPr="003131F3">
        <w:t>–</w:t>
      </w:r>
      <w:r w:rsidRPr="003131F3">
        <w:rPr>
          <w:rFonts w:eastAsia="DengXian"/>
        </w:rPr>
        <w:t>24</w:t>
      </w:r>
      <w:r w:rsidRPr="009C34F0">
        <w:rPr>
          <w:rFonts w:eastAsia="DengXian"/>
        </w:rPr>
        <w:t xml:space="preserve"> that PSG performance is not achieving the guarantee </w:t>
      </w:r>
      <w:r>
        <w:rPr>
          <w:rFonts w:eastAsia="DengXian"/>
        </w:rPr>
        <w:t>in</w:t>
      </w:r>
      <w:r w:rsidRPr="009C34F0">
        <w:rPr>
          <w:rFonts w:eastAsia="DengXian"/>
        </w:rPr>
        <w:t xml:space="preserve"> the areas of </w:t>
      </w:r>
      <w:r>
        <w:rPr>
          <w:rFonts w:eastAsia="DengXian"/>
        </w:rPr>
        <w:t>a</w:t>
      </w:r>
      <w:r w:rsidRPr="009C34F0">
        <w:rPr>
          <w:rFonts w:eastAsia="DengXian"/>
        </w:rPr>
        <w:t xml:space="preserve">ccess, </w:t>
      </w:r>
      <w:r>
        <w:rPr>
          <w:rFonts w:eastAsia="DengXian"/>
        </w:rPr>
        <w:t>f</w:t>
      </w:r>
      <w:r w:rsidRPr="009C34F0">
        <w:rPr>
          <w:rFonts w:eastAsia="DengXian"/>
        </w:rPr>
        <w:t xml:space="preserve">irst </w:t>
      </w:r>
      <w:r>
        <w:rPr>
          <w:rFonts w:eastAsia="DengXian"/>
        </w:rPr>
        <w:t>p</w:t>
      </w:r>
      <w:r w:rsidRPr="009C34F0">
        <w:rPr>
          <w:rFonts w:eastAsia="DengXian"/>
        </w:rPr>
        <w:t xml:space="preserve">lans, </w:t>
      </w:r>
      <w:r>
        <w:rPr>
          <w:rFonts w:eastAsia="DengXian"/>
        </w:rPr>
        <w:t>p</w:t>
      </w:r>
      <w:r w:rsidRPr="009C34F0">
        <w:rPr>
          <w:rFonts w:eastAsia="DengXian"/>
        </w:rPr>
        <w:t xml:space="preserve">lan </w:t>
      </w:r>
      <w:r>
        <w:rPr>
          <w:rFonts w:eastAsia="DengXian"/>
        </w:rPr>
        <w:t>r</w:t>
      </w:r>
      <w:r w:rsidRPr="009C34F0">
        <w:rPr>
          <w:rFonts w:eastAsia="DengXian"/>
        </w:rPr>
        <w:t xml:space="preserve">eassessments and </w:t>
      </w:r>
      <w:r>
        <w:rPr>
          <w:rFonts w:eastAsia="DengXian"/>
        </w:rPr>
        <w:t>r</w:t>
      </w:r>
      <w:r w:rsidRPr="009C34F0">
        <w:rPr>
          <w:rFonts w:eastAsia="DengXian"/>
        </w:rPr>
        <w:t xml:space="preserve">eviewable </w:t>
      </w:r>
      <w:r>
        <w:rPr>
          <w:rFonts w:eastAsia="DengXian"/>
        </w:rPr>
        <w:t>d</w:t>
      </w:r>
      <w:r w:rsidRPr="009C34F0">
        <w:rPr>
          <w:rFonts w:eastAsia="DengXian"/>
        </w:rPr>
        <w:t>ecisions.</w:t>
      </w:r>
    </w:p>
    <w:p w14:paraId="5E343BDB" w14:textId="14E9323A" w:rsidR="00AA02E5" w:rsidRDefault="000D3DCF" w:rsidP="00AA02E5">
      <w:pPr>
        <w:rPr>
          <w:b/>
          <w:bCs/>
          <w:lang w:val="en-GB"/>
        </w:rPr>
      </w:pPr>
      <w:r>
        <w:rPr>
          <w:rFonts w:eastAsia="DengXian"/>
        </w:rPr>
        <w:t>I</w:t>
      </w:r>
      <w:r w:rsidRPr="009C34F0">
        <w:rPr>
          <w:rFonts w:eastAsia="DengXian"/>
        </w:rPr>
        <w:t xml:space="preserve">n the </w:t>
      </w:r>
      <w:r>
        <w:t>q</w:t>
      </w:r>
      <w:r w:rsidRPr="003131F3">
        <w:t xml:space="preserve">uarterly </w:t>
      </w:r>
      <w:r>
        <w:t>r</w:t>
      </w:r>
      <w:r w:rsidRPr="003131F3">
        <w:t xml:space="preserve">eport for </w:t>
      </w:r>
      <w:r>
        <w:t xml:space="preserve">quarter </w:t>
      </w:r>
      <w:r w:rsidRPr="003131F3">
        <w:t xml:space="preserve">3 </w:t>
      </w:r>
      <w:r>
        <w:t xml:space="preserve">of </w:t>
      </w:r>
      <w:r w:rsidRPr="003131F3">
        <w:t>2023–24</w:t>
      </w:r>
      <w:r>
        <w:t>, the NDIA reported</w:t>
      </w:r>
      <w:r w:rsidRPr="009C34F0">
        <w:rPr>
          <w:rFonts w:eastAsia="DengXian"/>
        </w:rPr>
        <w:t xml:space="preserve"> that </w:t>
      </w:r>
      <w:r>
        <w:rPr>
          <w:rFonts w:eastAsia="DengXian"/>
        </w:rPr>
        <w:t xml:space="preserve">in March 2024 </w:t>
      </w:r>
      <w:r w:rsidRPr="009C34F0">
        <w:rPr>
          <w:rFonts w:eastAsia="DengXian"/>
        </w:rPr>
        <w:t>i</w:t>
      </w:r>
      <w:r>
        <w:rPr>
          <w:rFonts w:eastAsia="DengXian"/>
        </w:rPr>
        <w:t>t</w:t>
      </w:r>
      <w:r w:rsidRPr="009C34F0">
        <w:rPr>
          <w:rFonts w:eastAsia="DengXian"/>
        </w:rPr>
        <w:t xml:space="preserve"> had implemented a remediation plan to address the timeframes and improve the participant experience and PSG performance measures. </w:t>
      </w:r>
      <w:r>
        <w:rPr>
          <w:rFonts w:eastAsia="DengXian"/>
        </w:rPr>
        <w:t>Also</w:t>
      </w:r>
      <w:r w:rsidRPr="009C34F0">
        <w:rPr>
          <w:rFonts w:eastAsia="DengXian"/>
        </w:rPr>
        <w:t xml:space="preserve">, system enhancements continue to be rolled out and will continue into the next financial year. </w:t>
      </w:r>
      <w:r>
        <w:rPr>
          <w:rFonts w:eastAsia="DengXian"/>
        </w:rPr>
        <w:t>We expect these enhancements will</w:t>
      </w:r>
      <w:r w:rsidRPr="009C34F0">
        <w:rPr>
          <w:rFonts w:eastAsia="DengXian"/>
        </w:rPr>
        <w:t xml:space="preserve"> improve efficiencies and ensure th</w:t>
      </w:r>
      <w:r>
        <w:rPr>
          <w:rFonts w:eastAsia="DengXian"/>
        </w:rPr>
        <w:t>at</w:t>
      </w:r>
      <w:r w:rsidRPr="009C34F0">
        <w:rPr>
          <w:rFonts w:eastAsia="DengXian"/>
        </w:rPr>
        <w:t xml:space="preserve"> participant experience (satisfaction) improves. The NDIA expects that performance against </w:t>
      </w:r>
      <w:r>
        <w:rPr>
          <w:rFonts w:eastAsia="DengXian"/>
        </w:rPr>
        <w:t xml:space="preserve">some of </w:t>
      </w:r>
      <w:r w:rsidRPr="009C34F0">
        <w:rPr>
          <w:rFonts w:eastAsia="DengXian"/>
        </w:rPr>
        <w:t>the PSG measures will continue to be lower than anticipated into</w:t>
      </w:r>
      <w:r>
        <w:rPr>
          <w:rFonts w:eastAsia="DengXian"/>
        </w:rPr>
        <w:t xml:space="preserve"> the</w:t>
      </w:r>
      <w:r w:rsidRPr="009C34F0">
        <w:rPr>
          <w:rFonts w:eastAsia="DengXian"/>
        </w:rPr>
        <w:t xml:space="preserve"> 2024</w:t>
      </w:r>
      <w:r w:rsidRPr="003131F3">
        <w:t>–</w:t>
      </w:r>
      <w:r w:rsidRPr="009C34F0">
        <w:rPr>
          <w:rFonts w:eastAsia="DengXian"/>
        </w:rPr>
        <w:t xml:space="preserve">25 financial year as </w:t>
      </w:r>
      <w:r>
        <w:rPr>
          <w:rFonts w:eastAsia="DengXian"/>
        </w:rPr>
        <w:t>we</w:t>
      </w:r>
      <w:r w:rsidRPr="009C34F0">
        <w:rPr>
          <w:rFonts w:eastAsia="DengXian"/>
        </w:rPr>
        <w:t xml:space="preserve"> focus on remediating the backlog of participant</w:t>
      </w:r>
      <w:r>
        <w:rPr>
          <w:rFonts w:eastAsia="DengXian"/>
        </w:rPr>
        <w:t>-</w:t>
      </w:r>
      <w:r w:rsidRPr="009C34F0">
        <w:rPr>
          <w:rFonts w:eastAsia="DengXian"/>
        </w:rPr>
        <w:t>requested reviews.</w:t>
      </w:r>
      <w:r w:rsidR="00AA02E5">
        <w:rPr>
          <w:b/>
          <w:bCs/>
          <w:lang w:val="en-GB"/>
        </w:rPr>
        <w:br w:type="page"/>
      </w:r>
    </w:p>
    <w:p w14:paraId="48A884A2" w14:textId="5CC7206F" w:rsidR="000D3DCF" w:rsidRPr="00A33264" w:rsidRDefault="000D3DCF" w:rsidP="009B5EFC">
      <w:pPr>
        <w:rPr>
          <w:b/>
          <w:bCs/>
          <w:lang w:val="en-GB"/>
        </w:rPr>
      </w:pPr>
      <w:r w:rsidRPr="00A33264">
        <w:rPr>
          <w:b/>
          <w:bCs/>
          <w:lang w:val="en-GB"/>
        </w:rPr>
        <w:lastRenderedPageBreak/>
        <w:t>Participant satisfaction</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4"/>
        <w:gridCol w:w="1348"/>
        <w:gridCol w:w="1348"/>
        <w:gridCol w:w="1355"/>
        <w:gridCol w:w="1331"/>
      </w:tblGrid>
      <w:tr w:rsidR="00EE27A2" w:rsidRPr="00EE27A2" w14:paraId="3FA0F152"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4" w:type="dxa"/>
            <w:shd w:val="clear" w:color="auto" w:fill="009EAD"/>
          </w:tcPr>
          <w:p w14:paraId="03F5143F" w14:textId="2C91B9F8" w:rsidR="000D3DCF" w:rsidRPr="00EE27A2" w:rsidRDefault="000D3DCF">
            <w:pPr>
              <w:pStyle w:val="TableBody"/>
              <w:rPr>
                <w:color w:val="auto"/>
                <w:lang w:val="en-GB"/>
              </w:rPr>
            </w:pPr>
            <w:bookmarkStart w:id="93" w:name="ColumnTitle_PerformanceMeasure12"/>
            <w:bookmarkEnd w:id="93"/>
            <w:r w:rsidRPr="00EE27A2">
              <w:rPr>
                <w:color w:val="auto"/>
                <w:lang w:val="en-GB"/>
              </w:rPr>
              <w:t>Performance measure</w:t>
            </w:r>
          </w:p>
        </w:tc>
        <w:tc>
          <w:tcPr>
            <w:tcW w:w="1348" w:type="dxa"/>
            <w:shd w:val="clear" w:color="auto" w:fill="009EAD"/>
          </w:tcPr>
          <w:p w14:paraId="6C165CBF"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Target</w:t>
            </w:r>
          </w:p>
        </w:tc>
        <w:tc>
          <w:tcPr>
            <w:tcW w:w="1348" w:type="dxa"/>
            <w:shd w:val="clear" w:color="auto" w:fill="009EAD"/>
          </w:tcPr>
          <w:p w14:paraId="30F0FD81"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Result</w:t>
            </w:r>
          </w:p>
        </w:tc>
        <w:tc>
          <w:tcPr>
            <w:tcW w:w="1355" w:type="dxa"/>
            <w:shd w:val="clear" w:color="auto" w:fill="009EAD"/>
          </w:tcPr>
          <w:p w14:paraId="283A09EB"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Outcome</w:t>
            </w:r>
          </w:p>
        </w:tc>
        <w:tc>
          <w:tcPr>
            <w:tcW w:w="1331" w:type="dxa"/>
            <w:shd w:val="clear" w:color="auto" w:fill="009EAD"/>
          </w:tcPr>
          <w:p w14:paraId="559B3DDC" w14:textId="77777777" w:rsidR="000D3DCF" w:rsidRPr="00EE27A2" w:rsidRDefault="000D3DCF" w:rsidP="00BB40DF">
            <w:pPr>
              <w:pStyle w:val="TableBody"/>
              <w:jc w:val="right"/>
              <w:rPr>
                <w:color w:val="auto"/>
                <w:lang w:val="en-GB"/>
              </w:rPr>
            </w:pPr>
            <w:r w:rsidRPr="00EE27A2">
              <w:rPr>
                <w:color w:val="auto"/>
                <w:lang w:val="en-GB"/>
              </w:rPr>
              <w:t>2022</w:t>
            </w:r>
            <w:r w:rsidRPr="00EE27A2">
              <w:rPr>
                <w:color w:val="auto"/>
              </w:rPr>
              <w:t>–</w:t>
            </w:r>
            <w:r w:rsidRPr="00EE27A2">
              <w:rPr>
                <w:color w:val="auto"/>
                <w:lang w:val="en-GB"/>
              </w:rPr>
              <w:t>23 Result</w:t>
            </w:r>
          </w:p>
        </w:tc>
      </w:tr>
      <w:tr w:rsidR="000D3DCF" w:rsidRPr="00A33264" w14:paraId="456261D4" w14:textId="77777777" w:rsidTr="00565716">
        <w:trPr>
          <w:cnfStyle w:val="000000100000" w:firstRow="0" w:lastRow="0" w:firstColumn="0" w:lastColumn="0" w:oddVBand="0" w:evenVBand="0" w:oddHBand="1" w:evenHBand="0" w:firstRowFirstColumn="0" w:firstRowLastColumn="0" w:lastRowFirstColumn="0" w:lastRowLastColumn="0"/>
          <w:cantSplit/>
        </w:trPr>
        <w:tc>
          <w:tcPr>
            <w:tcW w:w="3634" w:type="dxa"/>
            <w:shd w:val="clear" w:color="auto" w:fill="C5E4E8"/>
          </w:tcPr>
          <w:p w14:paraId="1C56ACCF" w14:textId="6D98248D" w:rsidR="000D3DCF" w:rsidRPr="00A33264" w:rsidRDefault="000D3DCF" w:rsidP="001F5A8E">
            <w:pPr>
              <w:pStyle w:val="TableBody"/>
              <w:rPr>
                <w:lang w:val="en-GB"/>
              </w:rPr>
            </w:pPr>
            <w:r w:rsidRPr="00A33264">
              <w:rPr>
                <w:lang w:val="en-GB"/>
              </w:rPr>
              <w:t>Participant satisfaction</w:t>
            </w:r>
          </w:p>
        </w:tc>
        <w:tc>
          <w:tcPr>
            <w:tcW w:w="1348" w:type="dxa"/>
            <w:shd w:val="clear" w:color="auto" w:fill="C5E4E8"/>
          </w:tcPr>
          <w:p w14:paraId="443048C1" w14:textId="77777777" w:rsidR="000D3DCF" w:rsidRPr="00A33264" w:rsidRDefault="000D3DCF" w:rsidP="00BB40DF">
            <w:pPr>
              <w:pStyle w:val="TableBody"/>
              <w:jc w:val="right"/>
              <w:rPr>
                <w:lang w:val="en-GB"/>
              </w:rPr>
            </w:pPr>
            <w:r w:rsidRPr="00A33264">
              <w:rPr>
                <w:lang w:val="en-GB"/>
              </w:rPr>
              <w:t>76%</w:t>
            </w:r>
          </w:p>
        </w:tc>
        <w:tc>
          <w:tcPr>
            <w:tcW w:w="1348" w:type="dxa"/>
            <w:shd w:val="clear" w:color="auto" w:fill="C5E4E8"/>
          </w:tcPr>
          <w:p w14:paraId="0B63FFDD" w14:textId="77777777" w:rsidR="000D3DCF" w:rsidRPr="00A33264" w:rsidRDefault="000D3DCF" w:rsidP="00BB40DF">
            <w:pPr>
              <w:pStyle w:val="TableBody"/>
              <w:jc w:val="right"/>
              <w:rPr>
                <w:lang w:val="en-GB"/>
              </w:rPr>
            </w:pPr>
            <w:r w:rsidRPr="00A33264">
              <w:rPr>
                <w:lang w:val="en-GB" w:eastAsia="en-AU"/>
              </w:rPr>
              <w:t>68.5%</w:t>
            </w:r>
          </w:p>
        </w:tc>
        <w:tc>
          <w:tcPr>
            <w:tcW w:w="1355" w:type="dxa"/>
            <w:shd w:val="clear" w:color="auto" w:fill="C5E4E8"/>
          </w:tcPr>
          <w:p w14:paraId="165B7C68" w14:textId="77777777" w:rsidR="000D3DCF" w:rsidRPr="00A33264" w:rsidRDefault="000D3DCF" w:rsidP="00BB40DF">
            <w:pPr>
              <w:pStyle w:val="TableBody"/>
              <w:jc w:val="right"/>
              <w:rPr>
                <w:lang w:val="en-GB"/>
              </w:rPr>
            </w:pPr>
            <w:r w:rsidRPr="00A33264">
              <w:rPr>
                <w:lang w:val="en-GB" w:eastAsia="en-AU"/>
              </w:rPr>
              <w:t>Partially achieved</w:t>
            </w:r>
          </w:p>
        </w:tc>
        <w:tc>
          <w:tcPr>
            <w:tcW w:w="1331" w:type="dxa"/>
            <w:shd w:val="clear" w:color="auto" w:fill="C5E4E8"/>
          </w:tcPr>
          <w:p w14:paraId="4EC06152" w14:textId="77777777" w:rsidR="000D3DCF" w:rsidRPr="00A33264" w:rsidRDefault="000D3DCF" w:rsidP="00BB40DF">
            <w:pPr>
              <w:pStyle w:val="TableBody"/>
              <w:jc w:val="right"/>
              <w:rPr>
                <w:lang w:val="en-GB" w:eastAsia="en-AU"/>
              </w:rPr>
            </w:pPr>
            <w:r>
              <w:rPr>
                <w:lang w:val="en-GB" w:eastAsia="en-AU"/>
              </w:rPr>
              <w:t>74.9%</w:t>
            </w:r>
          </w:p>
        </w:tc>
      </w:tr>
    </w:tbl>
    <w:p w14:paraId="6A4FD017" w14:textId="77777777" w:rsidR="000D3DCF" w:rsidRDefault="000D3DCF" w:rsidP="00B27FA1">
      <w:pPr>
        <w:pStyle w:val="Heading6"/>
        <w:rPr>
          <w:rFonts w:eastAsia="Yu Mincho"/>
        </w:rPr>
      </w:pPr>
      <w:r>
        <w:rPr>
          <w:rFonts w:eastAsia="Yu Mincho"/>
        </w:rPr>
        <w:t>Why we measure this</w:t>
      </w:r>
    </w:p>
    <w:p w14:paraId="12EEE68A" w14:textId="0D83C8F5" w:rsidR="000D3DCF" w:rsidRDefault="000D3DCF" w:rsidP="00565716">
      <w:r w:rsidRPr="009C34F0">
        <w:t xml:space="preserve">This measure was included under </w:t>
      </w:r>
      <w:r>
        <w:t>k</w:t>
      </w:r>
      <w:r w:rsidRPr="009C34F0">
        <w:t xml:space="preserve">ey activity 2 to assess the effectiveness of the PSIP. The PSIP is </w:t>
      </w:r>
      <w:r>
        <w:t>a</w:t>
      </w:r>
      <w:r w:rsidRPr="009C34F0">
        <w:t xml:space="preserve"> commitment to improve the participant experience and is a contributing factor to participant satisfaction performance</w:t>
      </w:r>
      <w:r w:rsidR="003431CF">
        <w:t>,</w:t>
      </w:r>
      <w:r w:rsidRPr="009C34F0">
        <w:t xml:space="preserve"> which has a target of 76%.</w:t>
      </w:r>
    </w:p>
    <w:p w14:paraId="720EE9FC" w14:textId="77777777" w:rsidR="000D3DCF" w:rsidRDefault="000D3DCF" w:rsidP="00B27FA1">
      <w:pPr>
        <w:pStyle w:val="Heading6"/>
      </w:pPr>
      <w:r>
        <w:t>How we measure this</w:t>
      </w:r>
    </w:p>
    <w:p w14:paraId="41336F0B" w14:textId="6BEE2174" w:rsidR="000D3DCF" w:rsidRPr="009C34F0" w:rsidRDefault="000D3DCF" w:rsidP="00565716">
      <w:r>
        <w:t xml:space="preserve">We obtain our results for this performance measure by </w:t>
      </w:r>
      <w:r w:rsidRPr="009C34F0">
        <w:t>calculat</w:t>
      </w:r>
      <w:r>
        <w:t>ing</w:t>
      </w:r>
      <w:r w:rsidRPr="009C34F0">
        <w:t xml:space="preserve"> the weighted average result of the percentage of ‘good’ and ‘very good’ responses to the participant satisfaction survey question about a participant’s experience across the stages of the </w:t>
      </w:r>
      <w:r>
        <w:t>NDIS</w:t>
      </w:r>
      <w:r w:rsidRPr="009C34F0">
        <w:t xml:space="preserve"> pathway. </w:t>
      </w:r>
      <w:r>
        <w:t>In December 2023 we made c</w:t>
      </w:r>
      <w:r w:rsidRPr="009C34F0">
        <w:t xml:space="preserve">hanges to the participant satisfaction survey </w:t>
      </w:r>
      <w:r>
        <w:t>to align it with the new computer system and to better support measurement against the PSG engagement principles.</w:t>
      </w:r>
      <w:r w:rsidRPr="009C34F0">
        <w:t xml:space="preserve"> </w:t>
      </w:r>
      <w:r w:rsidRPr="00AF7353">
        <w:t xml:space="preserve">The new survey questions </w:t>
      </w:r>
      <w:r>
        <w:t xml:space="preserve">were </w:t>
      </w:r>
      <w:r w:rsidRPr="00AF7353">
        <w:t>mapped against the old questions to ensure results remained comparable</w:t>
      </w:r>
      <w:r>
        <w:t>.</w:t>
      </w:r>
      <w:r w:rsidRPr="009C34F0">
        <w:t xml:space="preserve"> </w:t>
      </w:r>
    </w:p>
    <w:p w14:paraId="6D37D4A2" w14:textId="77777777" w:rsidR="000D3DCF" w:rsidRDefault="000D3DCF" w:rsidP="00B27FA1">
      <w:pPr>
        <w:pStyle w:val="Heading6"/>
      </w:pPr>
      <w:r>
        <w:t>Analysis</w:t>
      </w:r>
    </w:p>
    <w:p w14:paraId="11E52A50" w14:textId="3154CC2E" w:rsidR="000D3DCF" w:rsidRPr="009C34F0" w:rsidRDefault="000D3DCF" w:rsidP="00565716">
      <w:r w:rsidRPr="009C34F0">
        <w:t xml:space="preserve">The result for participant satisfaction has decreased 6.4% from 74.9% reported in </w:t>
      </w:r>
      <w:r w:rsidR="00E65441">
        <w:t xml:space="preserve">the </w:t>
      </w:r>
      <w:r w:rsidRPr="009C34F0">
        <w:t>NDIA Annual Report 2022</w:t>
      </w:r>
      <w:r w:rsidRPr="003131F3">
        <w:t>–</w:t>
      </w:r>
      <w:r w:rsidRPr="009C34F0">
        <w:t>23.</w:t>
      </w:r>
    </w:p>
    <w:p w14:paraId="1F95026D" w14:textId="1EA6571A" w:rsidR="000D3DCF" w:rsidRPr="009C34F0" w:rsidRDefault="000D3DCF" w:rsidP="00565716">
      <w:r w:rsidRPr="009C34F0">
        <w:t xml:space="preserve">The PSIP has 51 commitments, 35 </w:t>
      </w:r>
      <w:r>
        <w:t xml:space="preserve">of which </w:t>
      </w:r>
      <w:r w:rsidRPr="009C34F0">
        <w:t>have been delivered. Of the 35 delivered, 6 occurred in 2023</w:t>
      </w:r>
      <w:r w:rsidRPr="003131F3">
        <w:t>–</w:t>
      </w:r>
      <w:r w:rsidRPr="009C34F0">
        <w:t>24.</w:t>
      </w:r>
    </w:p>
    <w:p w14:paraId="2986C434" w14:textId="5138A39A" w:rsidR="00247078" w:rsidRDefault="000D3DCF" w:rsidP="00247078">
      <w:r w:rsidRPr="009C34F0">
        <w:t>There are 16 open commitments</w:t>
      </w:r>
      <w:r>
        <w:t>. These could have contributed to the decrease in participation and the fact that our</w:t>
      </w:r>
      <w:r w:rsidRPr="009C34F0">
        <w:t xml:space="preserve"> target of 76% </w:t>
      </w:r>
      <w:r>
        <w:t>was not</w:t>
      </w:r>
      <w:r w:rsidRPr="009C34F0">
        <w:t xml:space="preserve"> met.</w:t>
      </w:r>
    </w:p>
    <w:p w14:paraId="121C8E0D" w14:textId="62CB3A41" w:rsidR="000D3DCF" w:rsidRPr="009C34F0" w:rsidRDefault="000D3DCF" w:rsidP="00565716">
      <w:r>
        <w:t>Seven of our</w:t>
      </w:r>
      <w:r w:rsidRPr="009C34F0">
        <w:t xml:space="preserve"> commitments are affected by the NDIS Review </w:t>
      </w:r>
      <w:r>
        <w:t>r</w:t>
      </w:r>
      <w:r w:rsidRPr="009C34F0">
        <w:t xml:space="preserve">eform </w:t>
      </w:r>
      <w:r>
        <w:t>a</w:t>
      </w:r>
      <w:r w:rsidRPr="009C34F0">
        <w:t xml:space="preserve">genda </w:t>
      </w:r>
      <w:r w:rsidRPr="00954A4B">
        <w:rPr>
          <w:rFonts w:ascii="Symbol" w:eastAsia="Symbol" w:hAnsi="Symbol" w:cs="Symbol"/>
        </w:rPr>
        <w:t>-</w:t>
      </w:r>
      <w:r w:rsidRPr="009C34F0">
        <w:t xml:space="preserve"> </w:t>
      </w:r>
      <w:r>
        <w:t>they are being</w:t>
      </w:r>
      <w:r w:rsidRPr="009C34F0">
        <w:t xml:space="preserve"> reviewed to determine if they should be closed. These commitments </w:t>
      </w:r>
      <w:r>
        <w:t xml:space="preserve">were </w:t>
      </w:r>
      <w:r w:rsidRPr="009C34F0">
        <w:t xml:space="preserve">primarily </w:t>
      </w:r>
      <w:r>
        <w:t>to do with</w:t>
      </w:r>
      <w:r w:rsidRPr="009C34F0">
        <w:t xml:space="preserve"> the participant experience in access and planning activities and support for implementing </w:t>
      </w:r>
      <w:r>
        <w:t>participants’</w:t>
      </w:r>
      <w:r w:rsidRPr="009C34F0">
        <w:t xml:space="preserve"> plan</w:t>
      </w:r>
      <w:r>
        <w:t>s</w:t>
      </w:r>
      <w:r w:rsidRPr="009C34F0">
        <w:t>.</w:t>
      </w:r>
    </w:p>
    <w:p w14:paraId="6C823348" w14:textId="4B7ED0FD" w:rsidR="000D3DCF" w:rsidRPr="009C34F0" w:rsidRDefault="000D3DCF" w:rsidP="00565716">
      <w:r>
        <w:t>Eight</w:t>
      </w:r>
      <w:r w:rsidRPr="009C34F0">
        <w:t xml:space="preserve"> commitments are on track for delivery based on the current target date</w:t>
      </w:r>
      <w:r>
        <w:t>.</w:t>
      </w:r>
      <w:r w:rsidRPr="009C34F0">
        <w:t xml:space="preserve"> </w:t>
      </w:r>
      <w:r>
        <w:t>O</w:t>
      </w:r>
      <w:r w:rsidRPr="009C34F0">
        <w:t xml:space="preserve">ne </w:t>
      </w:r>
      <w:r>
        <w:t>commitment</w:t>
      </w:r>
      <w:r w:rsidRPr="009C34F0">
        <w:t xml:space="preserve"> is delayed due </w:t>
      </w:r>
      <w:r w:rsidRPr="00F8384B">
        <w:t xml:space="preserve">to </w:t>
      </w:r>
      <w:r>
        <w:t xml:space="preserve">the </w:t>
      </w:r>
      <w:r w:rsidRPr="00F8384B">
        <w:t>implementation of our new computer system.</w:t>
      </w:r>
    </w:p>
    <w:p w14:paraId="59F63196" w14:textId="687B4349" w:rsidR="000D3DCF" w:rsidRPr="009C34F0" w:rsidRDefault="000D3DCF" w:rsidP="00565716">
      <w:pPr>
        <w:rPr>
          <w:lang w:val="en-GB"/>
        </w:rPr>
      </w:pPr>
      <w:r w:rsidRPr="009C34F0">
        <w:t xml:space="preserve">The timeline for </w:t>
      </w:r>
      <w:r>
        <w:t xml:space="preserve">the </w:t>
      </w:r>
      <w:r w:rsidRPr="009C34F0">
        <w:t xml:space="preserve">delivery of the 19 </w:t>
      </w:r>
      <w:r>
        <w:t>r</w:t>
      </w:r>
      <w:r w:rsidRPr="009C34F0">
        <w:t>eform initiatives</w:t>
      </w:r>
      <w:r>
        <w:t xml:space="preserve"> that came out of the NDIS Review</w:t>
      </w:r>
      <w:r w:rsidRPr="009C34F0">
        <w:t xml:space="preserve"> </w:t>
      </w:r>
      <w:r>
        <w:t xml:space="preserve">could affect </w:t>
      </w:r>
      <w:r w:rsidRPr="009C34F0">
        <w:t>participant</w:t>
      </w:r>
      <w:r>
        <w:t>s’</w:t>
      </w:r>
      <w:r w:rsidRPr="009C34F0">
        <w:t xml:space="preserve"> experience</w:t>
      </w:r>
      <w:r>
        <w:t xml:space="preserve">s of the NDIS </w:t>
      </w:r>
      <w:r w:rsidRPr="009C34F0">
        <w:t>in the future</w:t>
      </w:r>
      <w:r>
        <w:t>.</w:t>
      </w:r>
      <w:r w:rsidRPr="009C34F0">
        <w:t xml:space="preserve"> </w:t>
      </w:r>
      <w:r>
        <w:t>S</w:t>
      </w:r>
      <w:r w:rsidRPr="009C34F0">
        <w:t xml:space="preserve">ome of </w:t>
      </w:r>
      <w:r>
        <w:t>our</w:t>
      </w:r>
      <w:r w:rsidRPr="009C34F0">
        <w:t xml:space="preserve"> </w:t>
      </w:r>
      <w:r w:rsidRPr="009C34F0">
        <w:lastRenderedPageBreak/>
        <w:t xml:space="preserve">commitments </w:t>
      </w:r>
      <w:r>
        <w:t xml:space="preserve">will </w:t>
      </w:r>
      <w:r w:rsidR="00833F75">
        <w:t>no</w:t>
      </w:r>
      <w:r w:rsidRPr="009C34F0">
        <w:t xml:space="preserve"> longer </w:t>
      </w:r>
      <w:r w:rsidR="00833F75">
        <w:t xml:space="preserve">be </w:t>
      </w:r>
      <w:r w:rsidRPr="009C34F0">
        <w:t xml:space="preserve">relevant in the context of the future direction of the </w:t>
      </w:r>
      <w:r>
        <w:t>NDIS</w:t>
      </w:r>
      <w:r w:rsidRPr="009C34F0">
        <w:t>.</w:t>
      </w:r>
    </w:p>
    <w:p w14:paraId="54D93F00" w14:textId="43C5D397" w:rsidR="000D3DCF" w:rsidRPr="00A33264" w:rsidRDefault="000D3DCF" w:rsidP="00CB7991">
      <w:pPr>
        <w:rPr>
          <w:b/>
          <w:bCs/>
          <w:lang w:val="en-GB"/>
        </w:rPr>
      </w:pPr>
      <w:r w:rsidRPr="00A33264">
        <w:rPr>
          <w:b/>
          <w:bCs/>
          <w:lang w:val="en-GB"/>
        </w:rPr>
        <w:t xml:space="preserve">General community sentiment and confidence </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EE27A2" w:rsidRPr="00EE27A2" w14:paraId="515E96B6"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009EAD"/>
          </w:tcPr>
          <w:p w14:paraId="2D52D857" w14:textId="1753218C" w:rsidR="000D3DCF" w:rsidRPr="00EE27A2" w:rsidRDefault="000D3DCF">
            <w:pPr>
              <w:pStyle w:val="TableBody"/>
              <w:rPr>
                <w:color w:val="auto"/>
                <w:lang w:val="en-GB"/>
              </w:rPr>
            </w:pPr>
            <w:bookmarkStart w:id="94" w:name="ColumnTitle_PerformanceMeasure13"/>
            <w:bookmarkEnd w:id="94"/>
            <w:r w:rsidRPr="00EE27A2">
              <w:rPr>
                <w:color w:val="auto"/>
                <w:lang w:val="en-GB"/>
              </w:rPr>
              <w:t>Performance measure</w:t>
            </w:r>
          </w:p>
        </w:tc>
        <w:tc>
          <w:tcPr>
            <w:tcW w:w="1361" w:type="dxa"/>
            <w:shd w:val="clear" w:color="auto" w:fill="009EAD"/>
          </w:tcPr>
          <w:p w14:paraId="5E424650"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Target</w:t>
            </w:r>
          </w:p>
        </w:tc>
        <w:tc>
          <w:tcPr>
            <w:tcW w:w="1361" w:type="dxa"/>
            <w:shd w:val="clear" w:color="auto" w:fill="009EAD"/>
          </w:tcPr>
          <w:p w14:paraId="2F905A8F"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Result</w:t>
            </w:r>
          </w:p>
        </w:tc>
        <w:tc>
          <w:tcPr>
            <w:tcW w:w="1361" w:type="dxa"/>
            <w:shd w:val="clear" w:color="auto" w:fill="009EAD"/>
          </w:tcPr>
          <w:p w14:paraId="4FEEDE37"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Outcome</w:t>
            </w:r>
          </w:p>
        </w:tc>
        <w:tc>
          <w:tcPr>
            <w:tcW w:w="1361" w:type="dxa"/>
            <w:shd w:val="clear" w:color="auto" w:fill="009EAD"/>
          </w:tcPr>
          <w:p w14:paraId="19CFBBA6" w14:textId="77777777" w:rsidR="000D3DCF" w:rsidRPr="00EE27A2" w:rsidRDefault="000D3DCF" w:rsidP="00BB40DF">
            <w:pPr>
              <w:pStyle w:val="TableBody"/>
              <w:jc w:val="right"/>
              <w:rPr>
                <w:color w:val="auto"/>
                <w:lang w:val="en-GB"/>
              </w:rPr>
            </w:pPr>
            <w:r w:rsidRPr="00EE27A2">
              <w:rPr>
                <w:color w:val="auto"/>
                <w:lang w:val="en-GB"/>
              </w:rPr>
              <w:t>2022</w:t>
            </w:r>
            <w:r w:rsidRPr="00EE27A2">
              <w:rPr>
                <w:color w:val="auto"/>
              </w:rPr>
              <w:t>–</w:t>
            </w:r>
            <w:r w:rsidRPr="00EE27A2">
              <w:rPr>
                <w:color w:val="auto"/>
                <w:lang w:val="en-GB"/>
              </w:rPr>
              <w:t>23 Result</w:t>
            </w:r>
          </w:p>
        </w:tc>
      </w:tr>
      <w:tr w:rsidR="000D3DCF" w:rsidRPr="00A33264" w14:paraId="1DC7F6DD" w14:textId="77777777" w:rsidTr="00565716">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C5E4E8"/>
          </w:tcPr>
          <w:p w14:paraId="34C8A1EE" w14:textId="6B3ABB98" w:rsidR="000D3DCF" w:rsidRPr="00A33264" w:rsidRDefault="000D3DCF" w:rsidP="00CB7991">
            <w:pPr>
              <w:pStyle w:val="TableBody"/>
              <w:rPr>
                <w:lang w:val="en-GB"/>
              </w:rPr>
            </w:pPr>
            <w:r w:rsidRPr="00A33264">
              <w:rPr>
                <w:lang w:val="en-GB"/>
              </w:rPr>
              <w:t xml:space="preserve">General community sentiment and confidence </w:t>
            </w:r>
          </w:p>
        </w:tc>
        <w:tc>
          <w:tcPr>
            <w:tcW w:w="1361" w:type="dxa"/>
            <w:shd w:val="clear" w:color="auto" w:fill="C5E4E8"/>
          </w:tcPr>
          <w:p w14:paraId="0FF8EAD3" w14:textId="77777777" w:rsidR="000D3DCF" w:rsidRPr="00A33264" w:rsidRDefault="000D3DCF" w:rsidP="00BB40DF">
            <w:pPr>
              <w:pStyle w:val="TableBody"/>
              <w:jc w:val="right"/>
              <w:rPr>
                <w:lang w:val="en-GB"/>
              </w:rPr>
            </w:pPr>
            <w:r w:rsidRPr="00A33264">
              <w:rPr>
                <w:lang w:val="en-GB"/>
              </w:rPr>
              <w:t>70%</w:t>
            </w:r>
          </w:p>
        </w:tc>
        <w:tc>
          <w:tcPr>
            <w:tcW w:w="1361" w:type="dxa"/>
            <w:shd w:val="clear" w:color="auto" w:fill="C5E4E8"/>
          </w:tcPr>
          <w:p w14:paraId="5B555F71" w14:textId="77777777" w:rsidR="000D3DCF" w:rsidRPr="00A33264" w:rsidRDefault="000D3DCF" w:rsidP="00BB40DF">
            <w:pPr>
              <w:pStyle w:val="TableBody"/>
              <w:jc w:val="right"/>
              <w:rPr>
                <w:lang w:val="en-GB"/>
              </w:rPr>
            </w:pPr>
            <w:r w:rsidRPr="00A33264">
              <w:rPr>
                <w:lang w:val="en-GB" w:eastAsia="en-AU"/>
              </w:rPr>
              <w:t>65.3%</w:t>
            </w:r>
          </w:p>
        </w:tc>
        <w:tc>
          <w:tcPr>
            <w:tcW w:w="1361" w:type="dxa"/>
            <w:shd w:val="clear" w:color="auto" w:fill="C5E4E8"/>
          </w:tcPr>
          <w:p w14:paraId="753B5421" w14:textId="77777777" w:rsidR="000D3DCF" w:rsidRPr="00A33264" w:rsidRDefault="000D3DCF" w:rsidP="00BB40DF">
            <w:pPr>
              <w:pStyle w:val="TableBody"/>
              <w:jc w:val="right"/>
              <w:rPr>
                <w:lang w:val="en-GB"/>
              </w:rPr>
            </w:pPr>
            <w:r w:rsidRPr="00A33264">
              <w:rPr>
                <w:lang w:val="en-GB" w:eastAsia="en-AU"/>
              </w:rPr>
              <w:t>Partially achieved</w:t>
            </w:r>
          </w:p>
        </w:tc>
        <w:tc>
          <w:tcPr>
            <w:tcW w:w="1361" w:type="dxa"/>
            <w:shd w:val="clear" w:color="auto" w:fill="C5E4E8"/>
          </w:tcPr>
          <w:p w14:paraId="00176D47" w14:textId="77777777" w:rsidR="000D3DCF" w:rsidRPr="00A33264" w:rsidRDefault="000D3DCF" w:rsidP="00BB40DF">
            <w:pPr>
              <w:pStyle w:val="TableBody"/>
              <w:jc w:val="right"/>
              <w:rPr>
                <w:lang w:val="en-GB" w:eastAsia="en-AU"/>
              </w:rPr>
            </w:pPr>
            <w:r>
              <w:rPr>
                <w:lang w:val="en-GB" w:eastAsia="en-AU"/>
              </w:rPr>
              <w:t>66.3%</w:t>
            </w:r>
          </w:p>
        </w:tc>
      </w:tr>
    </w:tbl>
    <w:p w14:paraId="1B564D5D" w14:textId="77777777" w:rsidR="000D3DCF" w:rsidRDefault="000D3DCF" w:rsidP="00B27FA1">
      <w:pPr>
        <w:pStyle w:val="Heading6"/>
        <w:rPr>
          <w:rFonts w:eastAsia="Yu Mincho"/>
        </w:rPr>
      </w:pPr>
      <w:r>
        <w:rPr>
          <w:rFonts w:eastAsia="Yu Mincho"/>
        </w:rPr>
        <w:t>Why we measure this</w:t>
      </w:r>
    </w:p>
    <w:p w14:paraId="58E29810" w14:textId="77777777" w:rsidR="000D3DCF" w:rsidRDefault="000D3DCF" w:rsidP="00565716">
      <w:r w:rsidRPr="009C34F0">
        <w:rPr>
          <w:rStyle w:val="ui-provider"/>
        </w:rPr>
        <w:t xml:space="preserve">This measure </w:t>
      </w:r>
      <w:r w:rsidRPr="009C34F0">
        <w:t xml:space="preserve">assesses the effectiveness of our public engagement. </w:t>
      </w:r>
    </w:p>
    <w:p w14:paraId="07F08F42" w14:textId="77777777" w:rsidR="000D3DCF" w:rsidRDefault="000D3DCF" w:rsidP="00B27FA1">
      <w:pPr>
        <w:pStyle w:val="Heading6"/>
      </w:pPr>
      <w:r>
        <w:t>How we measure this</w:t>
      </w:r>
    </w:p>
    <w:p w14:paraId="32B48A9A" w14:textId="35505385" w:rsidR="000D3DCF" w:rsidRPr="009C34F0" w:rsidRDefault="000D3DCF" w:rsidP="00565716">
      <w:pPr>
        <w:rPr>
          <w:rStyle w:val="ui-provider"/>
        </w:rPr>
      </w:pPr>
      <w:r>
        <w:t xml:space="preserve">We obtain our results for this performance measure by </w:t>
      </w:r>
      <w:r w:rsidRPr="009C34F0">
        <w:t>calculat</w:t>
      </w:r>
      <w:r>
        <w:t>ing</w:t>
      </w:r>
      <w:r w:rsidRPr="009C34F0">
        <w:t xml:space="preserve"> the average of the 12 monthly results from a survey </w:t>
      </w:r>
      <w:r>
        <w:t>of</w:t>
      </w:r>
      <w:r w:rsidRPr="009C34F0">
        <w:t xml:space="preserve"> brand sentiment measures – </w:t>
      </w:r>
      <w:r>
        <w:t>r</w:t>
      </w:r>
      <w:r w:rsidRPr="009C34F0">
        <w:t xml:space="preserve">eputation, </w:t>
      </w:r>
      <w:r>
        <w:t>t</w:t>
      </w:r>
      <w:r w:rsidRPr="009C34F0">
        <w:t xml:space="preserve">rust, </w:t>
      </w:r>
      <w:r>
        <w:t>s</w:t>
      </w:r>
      <w:r w:rsidRPr="009C34F0">
        <w:t xml:space="preserve">upport and </w:t>
      </w:r>
      <w:r>
        <w:t>p</w:t>
      </w:r>
      <w:r w:rsidRPr="009C34F0">
        <w:t xml:space="preserve">ositivity towards the </w:t>
      </w:r>
      <w:r>
        <w:t>NDIS</w:t>
      </w:r>
      <w:r w:rsidRPr="009C34F0">
        <w:t>.</w:t>
      </w:r>
      <w:r>
        <w:t xml:space="preserve"> The survey </w:t>
      </w:r>
      <w:r w:rsidR="00F42AEF">
        <w:t>was</w:t>
      </w:r>
      <w:r>
        <w:t xml:space="preserve"> conducted independently by Hall &amp; Partners</w:t>
      </w:r>
      <w:r w:rsidR="00EB6678" w:rsidRPr="00EB6678">
        <w:t xml:space="preserve"> </w:t>
      </w:r>
      <w:r w:rsidR="00EB6678">
        <w:t>and received</w:t>
      </w:r>
      <w:r w:rsidR="00EB6678" w:rsidRPr="004B3C27">
        <w:t xml:space="preserve"> </w:t>
      </w:r>
      <w:r w:rsidR="00EB6678">
        <w:t>10,000</w:t>
      </w:r>
      <w:r w:rsidR="00EB6678" w:rsidRPr="004B3C27">
        <w:t xml:space="preserve"> responses </w:t>
      </w:r>
      <w:r w:rsidR="00EB6678">
        <w:t xml:space="preserve">in </w:t>
      </w:r>
      <w:r w:rsidR="00E3615E">
        <w:t>2023–24</w:t>
      </w:r>
      <w:r w:rsidR="00EB6678">
        <w:t>.</w:t>
      </w:r>
    </w:p>
    <w:p w14:paraId="5336158E" w14:textId="77777777" w:rsidR="000D3DCF" w:rsidRDefault="000D3DCF" w:rsidP="00B27FA1">
      <w:pPr>
        <w:pStyle w:val="Heading6"/>
      </w:pPr>
      <w:r>
        <w:t>Analysis</w:t>
      </w:r>
    </w:p>
    <w:p w14:paraId="5CE5B9BB" w14:textId="706F931A" w:rsidR="000D3DCF" w:rsidRPr="009C34F0" w:rsidRDefault="000D3DCF" w:rsidP="00565716">
      <w:pPr>
        <w:rPr>
          <w:rStyle w:val="ui-provider"/>
        </w:rPr>
      </w:pPr>
      <w:r w:rsidRPr="009C34F0">
        <w:rPr>
          <w:rStyle w:val="ui-provider"/>
        </w:rPr>
        <w:t xml:space="preserve">Confidence, awareness and sentiment </w:t>
      </w:r>
      <w:r>
        <w:rPr>
          <w:rStyle w:val="ui-provider"/>
        </w:rPr>
        <w:t>measures</w:t>
      </w:r>
      <w:r w:rsidRPr="009C34F0">
        <w:rPr>
          <w:rStyle w:val="ui-provider"/>
        </w:rPr>
        <w:t xml:space="preserve"> are tracked and reported on under </w:t>
      </w:r>
      <w:r>
        <w:rPr>
          <w:rStyle w:val="ui-provider"/>
        </w:rPr>
        <w:t>this measure</w:t>
      </w:r>
      <w:r w:rsidRPr="009C34F0">
        <w:rPr>
          <w:rStyle w:val="ui-provider"/>
        </w:rPr>
        <w:t>.</w:t>
      </w:r>
    </w:p>
    <w:p w14:paraId="74133045" w14:textId="3B8217AF" w:rsidR="000D3DCF" w:rsidRPr="009C34F0" w:rsidRDefault="000D3DCF" w:rsidP="00565716">
      <w:pPr>
        <w:rPr>
          <w:rStyle w:val="ui-provider"/>
        </w:rPr>
      </w:pPr>
      <w:r>
        <w:rPr>
          <w:rStyle w:val="ui-provider"/>
        </w:rPr>
        <w:t>In</w:t>
      </w:r>
      <w:r w:rsidRPr="009C34F0">
        <w:rPr>
          <w:rStyle w:val="ui-provider"/>
        </w:rPr>
        <w:t xml:space="preserve"> 2023</w:t>
      </w:r>
      <w:r w:rsidRPr="003131F3">
        <w:t>–</w:t>
      </w:r>
      <w:r w:rsidRPr="009C34F0">
        <w:rPr>
          <w:rStyle w:val="ui-provider"/>
        </w:rPr>
        <w:t xml:space="preserve">24 awareness of the </w:t>
      </w:r>
      <w:r>
        <w:rPr>
          <w:rStyle w:val="ui-provider"/>
        </w:rPr>
        <w:t>NDIS</w:t>
      </w:r>
      <w:r w:rsidRPr="009C34F0">
        <w:rPr>
          <w:rStyle w:val="ui-provider"/>
        </w:rPr>
        <w:t xml:space="preserve"> increased,</w:t>
      </w:r>
      <w:r>
        <w:rPr>
          <w:rStyle w:val="ui-provider"/>
        </w:rPr>
        <w:t xml:space="preserve"> and</w:t>
      </w:r>
      <w:r w:rsidRPr="009C34F0">
        <w:rPr>
          <w:rStyle w:val="ui-provider"/>
        </w:rPr>
        <w:t xml:space="preserve"> more </w:t>
      </w:r>
      <w:r>
        <w:rPr>
          <w:rStyle w:val="ui-provider"/>
        </w:rPr>
        <w:t>people in</w:t>
      </w:r>
      <w:r w:rsidRPr="009C34F0">
        <w:rPr>
          <w:rStyle w:val="ui-provider"/>
        </w:rPr>
        <w:t xml:space="preserve"> the general community </w:t>
      </w:r>
      <w:r>
        <w:rPr>
          <w:rStyle w:val="ui-provider"/>
        </w:rPr>
        <w:t xml:space="preserve">gained an </w:t>
      </w:r>
      <w:r w:rsidRPr="009C34F0">
        <w:rPr>
          <w:rStyle w:val="ui-provider"/>
        </w:rPr>
        <w:t xml:space="preserve">understanding </w:t>
      </w:r>
      <w:r>
        <w:rPr>
          <w:rStyle w:val="ui-provider"/>
        </w:rPr>
        <w:t xml:space="preserve">of </w:t>
      </w:r>
      <w:r w:rsidRPr="009C34F0">
        <w:rPr>
          <w:rStyle w:val="ui-provider"/>
        </w:rPr>
        <w:t xml:space="preserve">the role of the </w:t>
      </w:r>
      <w:r>
        <w:rPr>
          <w:rStyle w:val="ui-provider"/>
        </w:rPr>
        <w:t>NDIS</w:t>
      </w:r>
      <w:r w:rsidRPr="009C34F0">
        <w:rPr>
          <w:rStyle w:val="ui-provider"/>
        </w:rPr>
        <w:t>.</w:t>
      </w:r>
    </w:p>
    <w:p w14:paraId="1F2FB224" w14:textId="08D36221" w:rsidR="000D3DCF" w:rsidRPr="009C34F0" w:rsidRDefault="000D3DCF" w:rsidP="00565716">
      <w:pPr>
        <w:rPr>
          <w:rStyle w:val="ui-provider"/>
        </w:rPr>
      </w:pPr>
      <w:r w:rsidRPr="009C34F0">
        <w:rPr>
          <w:rStyle w:val="ui-provider"/>
        </w:rPr>
        <w:t>Sentiment during this period remained broadly stable</w:t>
      </w:r>
      <w:r>
        <w:rPr>
          <w:rStyle w:val="ui-provider"/>
        </w:rPr>
        <w:t>,</w:t>
      </w:r>
      <w:r w:rsidRPr="009C34F0">
        <w:rPr>
          <w:rStyle w:val="ui-provider"/>
        </w:rPr>
        <w:t xml:space="preserve"> with some fluctuations toward the end of the financial year. </w:t>
      </w:r>
    </w:p>
    <w:p w14:paraId="03D1D849" w14:textId="060B54F9" w:rsidR="000D3DCF" w:rsidRPr="009C34F0" w:rsidRDefault="000D3DCF" w:rsidP="00565716">
      <w:pPr>
        <w:rPr>
          <w:rStyle w:val="ui-provider"/>
        </w:rPr>
      </w:pPr>
      <w:r>
        <w:rPr>
          <w:rStyle w:val="ui-provider"/>
        </w:rPr>
        <w:t>Positive</w:t>
      </w:r>
      <w:r w:rsidRPr="009C34F0">
        <w:rPr>
          <w:rStyle w:val="ui-provider"/>
        </w:rPr>
        <w:t xml:space="preserve"> perceptions of the </w:t>
      </w:r>
      <w:r>
        <w:rPr>
          <w:rStyle w:val="ui-provider"/>
        </w:rPr>
        <w:t>NDIS</w:t>
      </w:r>
      <w:r w:rsidRPr="009C34F0">
        <w:rPr>
          <w:rStyle w:val="ui-provider"/>
        </w:rPr>
        <w:t xml:space="preserve"> </w:t>
      </w:r>
      <w:r>
        <w:rPr>
          <w:rStyle w:val="ui-provider"/>
        </w:rPr>
        <w:t xml:space="preserve">that consistently </w:t>
      </w:r>
      <w:r w:rsidRPr="009C34F0">
        <w:rPr>
          <w:rStyle w:val="ui-provider"/>
        </w:rPr>
        <w:t xml:space="preserve">scored highest were </w:t>
      </w:r>
      <w:r>
        <w:rPr>
          <w:rStyle w:val="ui-provider"/>
        </w:rPr>
        <w:t>‘</w:t>
      </w:r>
      <w:r w:rsidRPr="009C34F0">
        <w:rPr>
          <w:rStyle w:val="ui-provider"/>
        </w:rPr>
        <w:t>essential</w:t>
      </w:r>
      <w:r>
        <w:rPr>
          <w:rStyle w:val="ui-provider"/>
        </w:rPr>
        <w:t>’ and ‘</w:t>
      </w:r>
      <w:r w:rsidRPr="009C34F0">
        <w:rPr>
          <w:rStyle w:val="ui-provider"/>
        </w:rPr>
        <w:t>improving lives</w:t>
      </w:r>
      <w:r>
        <w:rPr>
          <w:rStyle w:val="ui-provider"/>
        </w:rPr>
        <w:t>’. Negative perceptions were</w:t>
      </w:r>
      <w:r w:rsidRPr="009C34F0">
        <w:rPr>
          <w:rStyle w:val="ui-provider"/>
        </w:rPr>
        <w:t xml:space="preserve"> </w:t>
      </w:r>
      <w:r>
        <w:rPr>
          <w:rStyle w:val="ui-provider"/>
        </w:rPr>
        <w:t>‘</w:t>
      </w:r>
      <w:r w:rsidRPr="009C34F0">
        <w:rPr>
          <w:rStyle w:val="ui-provider"/>
        </w:rPr>
        <w:t>complex</w:t>
      </w:r>
      <w:r>
        <w:rPr>
          <w:rStyle w:val="ui-provider"/>
        </w:rPr>
        <w:t>’</w:t>
      </w:r>
      <w:r w:rsidRPr="009C34F0">
        <w:rPr>
          <w:rStyle w:val="ui-provider"/>
        </w:rPr>
        <w:t xml:space="preserve">, </w:t>
      </w:r>
      <w:r>
        <w:rPr>
          <w:rStyle w:val="ui-provider"/>
        </w:rPr>
        <w:t>‘</w:t>
      </w:r>
      <w:r w:rsidRPr="009C34F0">
        <w:rPr>
          <w:rStyle w:val="ui-provider"/>
        </w:rPr>
        <w:t>confusing</w:t>
      </w:r>
      <w:r>
        <w:rPr>
          <w:rStyle w:val="ui-provider"/>
        </w:rPr>
        <w:t>’</w:t>
      </w:r>
      <w:r w:rsidRPr="009C34F0">
        <w:rPr>
          <w:rStyle w:val="ui-provider"/>
        </w:rPr>
        <w:t xml:space="preserve"> and </w:t>
      </w:r>
      <w:r>
        <w:rPr>
          <w:rStyle w:val="ui-provider"/>
        </w:rPr>
        <w:t>‘</w:t>
      </w:r>
      <w:r w:rsidRPr="009C34F0">
        <w:rPr>
          <w:rStyle w:val="ui-provider"/>
        </w:rPr>
        <w:t>bureaucratic</w:t>
      </w:r>
      <w:r>
        <w:rPr>
          <w:rStyle w:val="ui-provider"/>
        </w:rPr>
        <w:t>’</w:t>
      </w:r>
      <w:r w:rsidRPr="009C34F0">
        <w:rPr>
          <w:rStyle w:val="ui-provider"/>
        </w:rPr>
        <w:t>.</w:t>
      </w:r>
    </w:p>
    <w:p w14:paraId="7E381012" w14:textId="47CD6D50" w:rsidR="00AA02E5" w:rsidRDefault="000D3DCF" w:rsidP="00AA02E5">
      <w:pPr>
        <w:rPr>
          <w:b/>
          <w:bCs/>
          <w:lang w:val="en-GB"/>
        </w:rPr>
      </w:pPr>
      <w:r>
        <w:rPr>
          <w:rStyle w:val="ui-provider"/>
        </w:rPr>
        <w:t>In 2023</w:t>
      </w:r>
      <w:r>
        <w:rPr>
          <w:rStyle w:val="ui-provider"/>
          <w:rFonts w:ascii="Symbol" w:eastAsia="Symbol" w:hAnsi="Symbol" w:cs="Symbol"/>
        </w:rPr>
        <w:sym w:font="Symbol" w:char="F02D"/>
      </w:r>
      <w:r>
        <w:rPr>
          <w:rStyle w:val="ui-provider"/>
        </w:rPr>
        <w:t>24</w:t>
      </w:r>
      <w:r w:rsidRPr="009C34F0">
        <w:rPr>
          <w:rStyle w:val="ui-provider"/>
        </w:rPr>
        <w:t xml:space="preserve"> the Royal Commission into </w:t>
      </w:r>
      <w:r>
        <w:rPr>
          <w:rStyle w:val="ui-provider"/>
        </w:rPr>
        <w:t>V</w:t>
      </w:r>
      <w:r w:rsidRPr="009C34F0">
        <w:rPr>
          <w:rStyle w:val="ui-provider"/>
        </w:rPr>
        <w:t xml:space="preserve">iolence, </w:t>
      </w:r>
      <w:r>
        <w:rPr>
          <w:rStyle w:val="ui-provider"/>
        </w:rPr>
        <w:t>A</w:t>
      </w:r>
      <w:r w:rsidRPr="009C34F0">
        <w:rPr>
          <w:rStyle w:val="ui-provider"/>
        </w:rPr>
        <w:t xml:space="preserve">buse, </w:t>
      </w:r>
      <w:r>
        <w:rPr>
          <w:rStyle w:val="ui-provider"/>
        </w:rPr>
        <w:t>N</w:t>
      </w:r>
      <w:r w:rsidRPr="009C34F0">
        <w:rPr>
          <w:rStyle w:val="ui-provider"/>
        </w:rPr>
        <w:t xml:space="preserve">eglect and </w:t>
      </w:r>
      <w:r>
        <w:rPr>
          <w:rStyle w:val="ui-provider"/>
        </w:rPr>
        <w:t>E</w:t>
      </w:r>
      <w:r w:rsidRPr="009C34F0">
        <w:rPr>
          <w:rStyle w:val="ui-provider"/>
        </w:rPr>
        <w:t xml:space="preserve">xploitation of </w:t>
      </w:r>
      <w:r>
        <w:rPr>
          <w:rStyle w:val="ui-provider"/>
        </w:rPr>
        <w:t>P</w:t>
      </w:r>
      <w:r w:rsidRPr="009C34F0">
        <w:rPr>
          <w:rStyle w:val="ui-provider"/>
        </w:rPr>
        <w:t xml:space="preserve">eople with </w:t>
      </w:r>
      <w:r>
        <w:rPr>
          <w:rStyle w:val="ui-provider"/>
        </w:rPr>
        <w:t>D</w:t>
      </w:r>
      <w:r w:rsidRPr="009C34F0">
        <w:rPr>
          <w:rStyle w:val="ui-provider"/>
        </w:rPr>
        <w:t>isability final report and the NDIS Review’s ‘Working together to deliver the NDIS’</w:t>
      </w:r>
      <w:r>
        <w:rPr>
          <w:rStyle w:val="ui-provider"/>
        </w:rPr>
        <w:t xml:space="preserve"> guide made recommendations to improve the NDIS</w:t>
      </w:r>
      <w:r w:rsidRPr="009C34F0">
        <w:rPr>
          <w:rStyle w:val="ui-provider"/>
        </w:rPr>
        <w:t xml:space="preserve">. The NDIA also committed to continue to work with people with disability and the disability community to ensure the right changes are made. </w:t>
      </w:r>
      <w:r>
        <w:rPr>
          <w:rStyle w:val="ui-provider"/>
        </w:rPr>
        <w:t>These factors, together with</w:t>
      </w:r>
      <w:r w:rsidRPr="009C34F0">
        <w:rPr>
          <w:rStyle w:val="ui-provider"/>
        </w:rPr>
        <w:t xml:space="preserve"> associated media</w:t>
      </w:r>
      <w:r>
        <w:rPr>
          <w:rStyle w:val="ui-provider"/>
        </w:rPr>
        <w:t xml:space="preserve"> coverage</w:t>
      </w:r>
      <w:r w:rsidR="00627094">
        <w:rPr>
          <w:rStyle w:val="ui-provider"/>
        </w:rPr>
        <w:t>,</w:t>
      </w:r>
      <w:r w:rsidRPr="009C34F0">
        <w:rPr>
          <w:rStyle w:val="ui-provider"/>
        </w:rPr>
        <w:t xml:space="preserve"> may have impacted the results.</w:t>
      </w:r>
      <w:r w:rsidR="00AA02E5">
        <w:rPr>
          <w:b/>
          <w:bCs/>
          <w:lang w:val="en-GB"/>
        </w:rPr>
        <w:br w:type="page"/>
      </w:r>
    </w:p>
    <w:p w14:paraId="0BDF18A9" w14:textId="04E91E32" w:rsidR="000D3DCF" w:rsidRPr="00A33264" w:rsidRDefault="000D3DCF" w:rsidP="00CB7991">
      <w:pPr>
        <w:rPr>
          <w:b/>
          <w:bCs/>
          <w:lang w:val="en-GB"/>
        </w:rPr>
      </w:pPr>
      <w:r w:rsidRPr="00A33264">
        <w:rPr>
          <w:b/>
          <w:bCs/>
          <w:lang w:val="en-GB"/>
        </w:rPr>
        <w:lastRenderedPageBreak/>
        <w:t>Staff wellbeing and staff engagement</w:t>
      </w:r>
    </w:p>
    <w:tbl>
      <w:tblPr>
        <w:tblStyle w:val="GridTable4"/>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85"/>
        <w:gridCol w:w="1361"/>
        <w:gridCol w:w="1361"/>
        <w:gridCol w:w="1361"/>
        <w:gridCol w:w="1361"/>
      </w:tblGrid>
      <w:tr w:rsidR="00EE27A2" w:rsidRPr="00EE27A2" w14:paraId="3FB8411A"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85" w:type="dxa"/>
            <w:shd w:val="clear" w:color="auto" w:fill="009EAD"/>
          </w:tcPr>
          <w:p w14:paraId="08C1D32E" w14:textId="75D9DCC6" w:rsidR="000D3DCF" w:rsidRPr="00EE27A2" w:rsidRDefault="000D3DCF">
            <w:pPr>
              <w:pStyle w:val="TableBody"/>
              <w:rPr>
                <w:color w:val="auto"/>
                <w:lang w:val="en-GB"/>
              </w:rPr>
            </w:pPr>
            <w:bookmarkStart w:id="95" w:name="ColumnTitle_PerformanceMeasure14"/>
            <w:bookmarkEnd w:id="95"/>
            <w:r w:rsidRPr="00EE27A2">
              <w:rPr>
                <w:color w:val="auto"/>
                <w:lang w:val="en-GB"/>
              </w:rPr>
              <w:t>Performance measure</w:t>
            </w:r>
          </w:p>
        </w:tc>
        <w:tc>
          <w:tcPr>
            <w:tcW w:w="1361" w:type="dxa"/>
            <w:shd w:val="clear" w:color="auto" w:fill="009EAD"/>
          </w:tcPr>
          <w:p w14:paraId="0ECF3FA4"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Target</w:t>
            </w:r>
          </w:p>
        </w:tc>
        <w:tc>
          <w:tcPr>
            <w:tcW w:w="1361" w:type="dxa"/>
            <w:shd w:val="clear" w:color="auto" w:fill="009EAD"/>
          </w:tcPr>
          <w:p w14:paraId="3FC92555"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Result</w:t>
            </w:r>
          </w:p>
        </w:tc>
        <w:tc>
          <w:tcPr>
            <w:tcW w:w="1361" w:type="dxa"/>
            <w:shd w:val="clear" w:color="auto" w:fill="009EAD"/>
          </w:tcPr>
          <w:p w14:paraId="22AA14E8" w14:textId="77777777" w:rsidR="000D3DCF" w:rsidRPr="00EE27A2" w:rsidRDefault="000D3DCF" w:rsidP="00BB40DF">
            <w:pPr>
              <w:pStyle w:val="TableBody"/>
              <w:jc w:val="right"/>
              <w:rPr>
                <w:color w:val="auto"/>
                <w:lang w:val="en-GB"/>
              </w:rPr>
            </w:pPr>
            <w:r w:rsidRPr="00EE27A2">
              <w:rPr>
                <w:color w:val="auto"/>
                <w:lang w:val="en-GB"/>
              </w:rPr>
              <w:t>2023</w:t>
            </w:r>
            <w:r w:rsidRPr="00EE27A2">
              <w:rPr>
                <w:color w:val="auto"/>
              </w:rPr>
              <w:t>–</w:t>
            </w:r>
            <w:r w:rsidRPr="00EE27A2">
              <w:rPr>
                <w:color w:val="auto"/>
                <w:lang w:val="en-GB"/>
              </w:rPr>
              <w:t>24 Outcome</w:t>
            </w:r>
          </w:p>
        </w:tc>
        <w:tc>
          <w:tcPr>
            <w:tcW w:w="1361" w:type="dxa"/>
            <w:shd w:val="clear" w:color="auto" w:fill="009EAD"/>
          </w:tcPr>
          <w:p w14:paraId="71F0D8C0" w14:textId="77777777" w:rsidR="000D3DCF" w:rsidRPr="00EE27A2" w:rsidRDefault="000D3DCF" w:rsidP="00BB40DF">
            <w:pPr>
              <w:pStyle w:val="TableBody"/>
              <w:jc w:val="right"/>
              <w:rPr>
                <w:color w:val="auto"/>
                <w:lang w:val="en-GB"/>
              </w:rPr>
            </w:pPr>
            <w:r w:rsidRPr="00EE27A2">
              <w:rPr>
                <w:color w:val="auto"/>
                <w:lang w:val="en-GB"/>
              </w:rPr>
              <w:t>2022</w:t>
            </w:r>
            <w:r w:rsidRPr="00EE27A2">
              <w:rPr>
                <w:color w:val="auto"/>
              </w:rPr>
              <w:t>–</w:t>
            </w:r>
            <w:r w:rsidRPr="00EE27A2">
              <w:rPr>
                <w:color w:val="auto"/>
                <w:lang w:val="en-GB"/>
              </w:rPr>
              <w:t>23 Result</w:t>
            </w:r>
          </w:p>
        </w:tc>
      </w:tr>
      <w:tr w:rsidR="000D3DCF" w:rsidRPr="00A33264" w14:paraId="1F02684E" w14:textId="77777777" w:rsidTr="00565716">
        <w:trPr>
          <w:cnfStyle w:val="000000100000" w:firstRow="0" w:lastRow="0" w:firstColumn="0" w:lastColumn="0" w:oddVBand="0" w:evenVBand="0" w:oddHBand="1" w:evenHBand="0" w:firstRowFirstColumn="0" w:firstRowLastColumn="0" w:lastRowFirstColumn="0" w:lastRowLastColumn="0"/>
          <w:cantSplit/>
        </w:trPr>
        <w:tc>
          <w:tcPr>
            <w:tcW w:w="3685" w:type="dxa"/>
            <w:shd w:val="clear" w:color="auto" w:fill="C5E4E8"/>
          </w:tcPr>
          <w:p w14:paraId="1AA645F5" w14:textId="41F79BF4" w:rsidR="000D3DCF" w:rsidRPr="00A33264" w:rsidRDefault="000D3DCF" w:rsidP="00CB7991">
            <w:pPr>
              <w:pStyle w:val="TableBody"/>
              <w:rPr>
                <w:lang w:val="en-GB"/>
              </w:rPr>
            </w:pPr>
            <w:r w:rsidRPr="00A33264">
              <w:rPr>
                <w:lang w:val="en-GB"/>
              </w:rPr>
              <w:t>Staff wellbeing</w:t>
            </w:r>
          </w:p>
        </w:tc>
        <w:tc>
          <w:tcPr>
            <w:tcW w:w="1361" w:type="dxa"/>
            <w:shd w:val="clear" w:color="auto" w:fill="C5E4E8"/>
          </w:tcPr>
          <w:p w14:paraId="77D694BA" w14:textId="77777777" w:rsidR="000D3DCF" w:rsidRPr="00A33264" w:rsidRDefault="000D3DCF" w:rsidP="00BB40DF">
            <w:pPr>
              <w:pStyle w:val="TableBody"/>
              <w:jc w:val="right"/>
              <w:rPr>
                <w:lang w:val="en-GB"/>
              </w:rPr>
            </w:pPr>
            <w:r w:rsidRPr="00A33264">
              <w:rPr>
                <w:lang w:val="en-GB"/>
              </w:rPr>
              <w:t>70%</w:t>
            </w:r>
          </w:p>
        </w:tc>
        <w:tc>
          <w:tcPr>
            <w:tcW w:w="1361" w:type="dxa"/>
            <w:shd w:val="clear" w:color="auto" w:fill="C5E4E8"/>
          </w:tcPr>
          <w:p w14:paraId="7E14A3C5" w14:textId="77777777" w:rsidR="000D3DCF" w:rsidRPr="00A33264" w:rsidRDefault="000D3DCF" w:rsidP="00BB40DF">
            <w:pPr>
              <w:pStyle w:val="TableBody"/>
              <w:jc w:val="right"/>
              <w:rPr>
                <w:lang w:val="en-GB"/>
              </w:rPr>
            </w:pPr>
            <w:r w:rsidRPr="00A33264">
              <w:rPr>
                <w:lang w:val="en-GB" w:eastAsia="en-AU"/>
              </w:rPr>
              <w:t>75%</w:t>
            </w:r>
          </w:p>
        </w:tc>
        <w:tc>
          <w:tcPr>
            <w:tcW w:w="1361" w:type="dxa"/>
            <w:shd w:val="clear" w:color="auto" w:fill="C5E4E8"/>
          </w:tcPr>
          <w:p w14:paraId="78DBB4AC" w14:textId="77777777" w:rsidR="000D3DCF" w:rsidRPr="00A33264" w:rsidRDefault="000D3DCF" w:rsidP="00BB40DF">
            <w:pPr>
              <w:pStyle w:val="TableBody"/>
              <w:jc w:val="right"/>
              <w:rPr>
                <w:lang w:val="en-GB"/>
              </w:rPr>
            </w:pPr>
            <w:r w:rsidRPr="00A33264">
              <w:rPr>
                <w:lang w:val="en-GB" w:eastAsia="en-AU"/>
              </w:rPr>
              <w:t>Achieved</w:t>
            </w:r>
          </w:p>
        </w:tc>
        <w:tc>
          <w:tcPr>
            <w:tcW w:w="1361" w:type="dxa"/>
            <w:shd w:val="clear" w:color="auto" w:fill="C5E4E8"/>
          </w:tcPr>
          <w:p w14:paraId="1FAF3148" w14:textId="77777777" w:rsidR="000D3DCF" w:rsidRPr="00A33264" w:rsidRDefault="000D3DCF" w:rsidP="00BB40DF">
            <w:pPr>
              <w:pStyle w:val="TableBody"/>
              <w:jc w:val="right"/>
              <w:rPr>
                <w:lang w:val="en-GB" w:eastAsia="en-AU"/>
              </w:rPr>
            </w:pPr>
            <w:r>
              <w:rPr>
                <w:lang w:val="en-GB" w:eastAsia="en-AU"/>
              </w:rPr>
              <w:t>73%</w:t>
            </w:r>
          </w:p>
        </w:tc>
      </w:tr>
      <w:tr w:rsidR="000D3DCF" w:rsidRPr="00A33264" w14:paraId="51F60F2D" w14:textId="77777777" w:rsidTr="00565716">
        <w:trPr>
          <w:cantSplit/>
        </w:trPr>
        <w:tc>
          <w:tcPr>
            <w:tcW w:w="3685" w:type="dxa"/>
            <w:shd w:val="clear" w:color="auto" w:fill="90CED7"/>
          </w:tcPr>
          <w:p w14:paraId="3A684750" w14:textId="5326BB94" w:rsidR="000D3DCF" w:rsidRPr="00A33264" w:rsidRDefault="000D3DCF" w:rsidP="00CB7991">
            <w:pPr>
              <w:pStyle w:val="TableBody"/>
              <w:rPr>
                <w:lang w:val="en-GB"/>
              </w:rPr>
            </w:pPr>
            <w:r w:rsidRPr="00A33264">
              <w:rPr>
                <w:lang w:val="en-GB"/>
              </w:rPr>
              <w:t xml:space="preserve">Staff engagement </w:t>
            </w:r>
          </w:p>
        </w:tc>
        <w:tc>
          <w:tcPr>
            <w:tcW w:w="1361" w:type="dxa"/>
            <w:shd w:val="clear" w:color="auto" w:fill="90CED7"/>
          </w:tcPr>
          <w:p w14:paraId="4D848CC5" w14:textId="77777777" w:rsidR="000D3DCF" w:rsidRPr="00A33264" w:rsidRDefault="000D3DCF" w:rsidP="00BB40DF">
            <w:pPr>
              <w:pStyle w:val="TableBody"/>
              <w:jc w:val="right"/>
              <w:rPr>
                <w:lang w:val="en-GB"/>
              </w:rPr>
            </w:pPr>
            <w:r w:rsidRPr="00A33264">
              <w:rPr>
                <w:lang w:val="en-GB"/>
              </w:rPr>
              <w:t>76%</w:t>
            </w:r>
          </w:p>
        </w:tc>
        <w:tc>
          <w:tcPr>
            <w:tcW w:w="1361" w:type="dxa"/>
            <w:shd w:val="clear" w:color="auto" w:fill="90CED7"/>
          </w:tcPr>
          <w:p w14:paraId="7119510F" w14:textId="77777777" w:rsidR="000D3DCF" w:rsidRPr="00A33264" w:rsidRDefault="000D3DCF" w:rsidP="00BB40DF">
            <w:pPr>
              <w:pStyle w:val="TableBody"/>
              <w:jc w:val="right"/>
              <w:rPr>
                <w:lang w:val="en-GB"/>
              </w:rPr>
            </w:pPr>
            <w:r w:rsidRPr="00A33264">
              <w:rPr>
                <w:lang w:val="en-GB" w:eastAsia="en-AU"/>
              </w:rPr>
              <w:t>77%</w:t>
            </w:r>
          </w:p>
        </w:tc>
        <w:tc>
          <w:tcPr>
            <w:tcW w:w="1361" w:type="dxa"/>
            <w:shd w:val="clear" w:color="auto" w:fill="90CED7"/>
          </w:tcPr>
          <w:p w14:paraId="73479113" w14:textId="77777777" w:rsidR="000D3DCF" w:rsidRPr="00A33264" w:rsidRDefault="000D3DCF" w:rsidP="00BB40DF">
            <w:pPr>
              <w:pStyle w:val="TableBody"/>
              <w:jc w:val="right"/>
              <w:rPr>
                <w:lang w:val="en-GB"/>
              </w:rPr>
            </w:pPr>
            <w:r w:rsidRPr="00A33264">
              <w:rPr>
                <w:lang w:val="en-GB" w:eastAsia="en-AU"/>
              </w:rPr>
              <w:t>Achieved</w:t>
            </w:r>
          </w:p>
        </w:tc>
        <w:tc>
          <w:tcPr>
            <w:tcW w:w="1361" w:type="dxa"/>
            <w:shd w:val="clear" w:color="auto" w:fill="90CED7"/>
          </w:tcPr>
          <w:p w14:paraId="1B958402" w14:textId="77777777" w:rsidR="000D3DCF" w:rsidRPr="00A33264" w:rsidRDefault="000D3DCF" w:rsidP="00BB40DF">
            <w:pPr>
              <w:pStyle w:val="TableBody"/>
              <w:jc w:val="right"/>
              <w:rPr>
                <w:lang w:val="en-GB" w:eastAsia="en-AU"/>
              </w:rPr>
            </w:pPr>
            <w:r>
              <w:rPr>
                <w:lang w:val="en-GB" w:eastAsia="en-AU"/>
              </w:rPr>
              <w:t>77%</w:t>
            </w:r>
          </w:p>
        </w:tc>
      </w:tr>
    </w:tbl>
    <w:p w14:paraId="67B11201" w14:textId="77777777" w:rsidR="000D3DCF" w:rsidRDefault="000D3DCF" w:rsidP="00B27FA1">
      <w:pPr>
        <w:pStyle w:val="Heading6"/>
        <w:rPr>
          <w:rFonts w:eastAsia="Yu Mincho"/>
        </w:rPr>
      </w:pPr>
      <w:r>
        <w:rPr>
          <w:rFonts w:eastAsia="Yu Mincho"/>
        </w:rPr>
        <w:t>Why we measure this</w:t>
      </w:r>
    </w:p>
    <w:p w14:paraId="0F0C9658" w14:textId="77777777" w:rsidR="000D3DCF" w:rsidRDefault="000D3DCF" w:rsidP="00565716">
      <w:r w:rsidRPr="009C34F0">
        <w:t xml:space="preserve">The measures of staff wellbeing and engagement assess the effectiveness of internal activities. </w:t>
      </w:r>
    </w:p>
    <w:p w14:paraId="70F0699C" w14:textId="77777777" w:rsidR="000D3DCF" w:rsidRDefault="000D3DCF" w:rsidP="00B27FA1">
      <w:pPr>
        <w:pStyle w:val="Heading6"/>
      </w:pPr>
      <w:r>
        <w:t>How we measure this</w:t>
      </w:r>
    </w:p>
    <w:p w14:paraId="521075FD" w14:textId="187B1996" w:rsidR="000D3DCF" w:rsidRPr="009C34F0" w:rsidRDefault="000D3DCF" w:rsidP="00565716">
      <w:r>
        <w:t xml:space="preserve">We obtain our results for these performance measures from </w:t>
      </w:r>
      <w:r w:rsidRPr="009C34F0">
        <w:t xml:space="preserve">the results </w:t>
      </w:r>
      <w:r>
        <w:t xml:space="preserve">of </w:t>
      </w:r>
      <w:r w:rsidRPr="009C34F0">
        <w:t xml:space="preserve">the </w:t>
      </w:r>
      <w:r>
        <w:t>a</w:t>
      </w:r>
      <w:r w:rsidRPr="009C34F0">
        <w:t>nnual Australian Public Service (APS) Census</w:t>
      </w:r>
      <w:r>
        <w:t>,</w:t>
      </w:r>
      <w:r w:rsidRPr="009C34F0">
        <w:t xml:space="preserve"> conducted by the Australian Public Service Commission.</w:t>
      </w:r>
    </w:p>
    <w:p w14:paraId="5C8B4F8A" w14:textId="77777777" w:rsidR="000D3DCF" w:rsidRDefault="000D3DCF" w:rsidP="00B27FA1">
      <w:pPr>
        <w:pStyle w:val="Heading6"/>
      </w:pPr>
      <w:r>
        <w:t>Analysis</w:t>
      </w:r>
    </w:p>
    <w:p w14:paraId="677738CC" w14:textId="2BE27A45" w:rsidR="000D3DCF" w:rsidRPr="009C34F0" w:rsidRDefault="000D3DCF" w:rsidP="00565716">
      <w:pPr>
        <w:spacing w:before="100" w:beforeAutospacing="1" w:after="100" w:afterAutospacing="1"/>
      </w:pPr>
      <w:r>
        <w:rPr>
          <w:rStyle w:val="ui-provider"/>
        </w:rPr>
        <w:t>In 2023</w:t>
      </w:r>
      <w:r>
        <w:rPr>
          <w:rStyle w:val="ui-provider"/>
          <w:rFonts w:ascii="Symbol" w:eastAsia="Symbol" w:hAnsi="Symbol" w:cs="Symbol"/>
        </w:rPr>
        <w:sym w:font="Symbol" w:char="F02D"/>
      </w:r>
      <w:r>
        <w:rPr>
          <w:rStyle w:val="ui-provider"/>
        </w:rPr>
        <w:t xml:space="preserve">24 </w:t>
      </w:r>
      <w:r>
        <w:t>t</w:t>
      </w:r>
      <w:r w:rsidRPr="009C34F0">
        <w:t xml:space="preserve">he </w:t>
      </w:r>
      <w:r>
        <w:t>NDIA</w:t>
      </w:r>
      <w:r w:rsidRPr="009C34F0">
        <w:t xml:space="preserve"> </w:t>
      </w:r>
      <w:r>
        <w:t>initiated several new</w:t>
      </w:r>
      <w:r w:rsidRPr="009C34F0">
        <w:t xml:space="preserve"> wellbeing support initiatives</w:t>
      </w:r>
      <w:r>
        <w:t>. For example, we</w:t>
      </w:r>
      <w:r w:rsidRPr="009C34F0">
        <w:t>:</w:t>
      </w:r>
    </w:p>
    <w:p w14:paraId="63CAD7E1" w14:textId="0F38F698" w:rsidR="000D3DCF" w:rsidRPr="00AA02E5" w:rsidRDefault="000D3DCF" w:rsidP="00AA02E5">
      <w:pPr>
        <w:pStyle w:val="Bullet1"/>
      </w:pPr>
      <w:r w:rsidRPr="00AA02E5">
        <w:t>extended employee assistance program services to labour hire workers</w:t>
      </w:r>
    </w:p>
    <w:p w14:paraId="77C8B08C" w14:textId="1758EA15" w:rsidR="000D3DCF" w:rsidRPr="00AA02E5" w:rsidRDefault="000D3DCF" w:rsidP="00AA02E5">
      <w:pPr>
        <w:pStyle w:val="Bullet1"/>
      </w:pPr>
      <w:r w:rsidRPr="00AA02E5">
        <w:t>established an escalation process for workers in severe distress</w:t>
      </w:r>
    </w:p>
    <w:p w14:paraId="6929D495" w14:textId="4918D855" w:rsidR="000D3DCF" w:rsidRPr="00AA02E5" w:rsidRDefault="000D3DCF" w:rsidP="00AA02E5">
      <w:pPr>
        <w:pStyle w:val="Bullet1"/>
      </w:pPr>
      <w:r w:rsidRPr="00AA02E5">
        <w:t>undertook clinical psychology and proactive wellbeing checks in high-risk teams/branches</w:t>
      </w:r>
    </w:p>
    <w:p w14:paraId="04CD3D5C" w14:textId="101003A1" w:rsidR="000D3DCF" w:rsidRPr="00AA02E5" w:rsidRDefault="000D3DCF" w:rsidP="00AA02E5">
      <w:pPr>
        <w:pStyle w:val="Bullet1"/>
      </w:pPr>
      <w:r w:rsidRPr="00AA02E5">
        <w:t>undertook capability uplift programs, including Mental Health First Aid training, Conversations about Suicide and the SES Integrity Masterclass</w:t>
      </w:r>
    </w:p>
    <w:p w14:paraId="50B7B51B" w14:textId="104D982C" w:rsidR="000D3DCF" w:rsidRPr="00AA02E5" w:rsidRDefault="000D3DCF" w:rsidP="00AA02E5">
      <w:pPr>
        <w:pStyle w:val="Bullet1"/>
      </w:pPr>
      <w:r w:rsidRPr="00AA02E5">
        <w:t>started a pilot program for Senior Executive Service (SES) leaders to champion leadership at NDIA sites to drive greater connection between staff and SES leaders across the NDIA</w:t>
      </w:r>
    </w:p>
    <w:p w14:paraId="32ABBFF9" w14:textId="0BD37D78" w:rsidR="000D3DCF" w:rsidRPr="00AA02E5" w:rsidRDefault="000D3DCF" w:rsidP="00AA02E5">
      <w:pPr>
        <w:pStyle w:val="Bullet1"/>
      </w:pPr>
      <w:r w:rsidRPr="00AA02E5">
        <w:t>delivered live webinars on mental health to support staff knowledge</w:t>
      </w:r>
    </w:p>
    <w:p w14:paraId="7ED10D31" w14:textId="222254CE" w:rsidR="00AA02E5" w:rsidRPr="00AA02E5" w:rsidRDefault="000D3DCF" w:rsidP="00AA02E5">
      <w:pPr>
        <w:pStyle w:val="Bullet1"/>
        <w:rPr>
          <w:b/>
          <w:bCs/>
          <w:lang w:val="en-GB"/>
        </w:rPr>
      </w:pPr>
      <w:r w:rsidRPr="00AA02E5">
        <w:t>expanded the employee assistance program services to include a warm handover, critical escalation process and additional instant counselling.</w:t>
      </w:r>
      <w:r w:rsidR="00AA02E5" w:rsidRPr="00AA02E5">
        <w:rPr>
          <w:b/>
          <w:bCs/>
          <w:lang w:val="en-GB"/>
        </w:rPr>
        <w:br w:type="page"/>
      </w:r>
    </w:p>
    <w:p w14:paraId="0574C242" w14:textId="2EE769C2" w:rsidR="000D3DCF" w:rsidRPr="00A33264" w:rsidRDefault="000D3DCF" w:rsidP="009B5EFC">
      <w:pPr>
        <w:rPr>
          <w:b/>
          <w:bCs/>
          <w:lang w:val="en-GB"/>
        </w:rPr>
      </w:pPr>
      <w:r w:rsidRPr="00A33264">
        <w:rPr>
          <w:b/>
          <w:bCs/>
          <w:lang w:val="en-GB"/>
        </w:rPr>
        <w:lastRenderedPageBreak/>
        <w:t xml:space="preserve">Staff with disability and </w:t>
      </w:r>
      <w:r w:rsidR="00892A46">
        <w:rPr>
          <w:b/>
          <w:bCs/>
          <w:lang w:val="en-GB"/>
        </w:rPr>
        <w:t>S</w:t>
      </w:r>
      <w:r w:rsidRPr="00A33264">
        <w:rPr>
          <w:b/>
          <w:bCs/>
          <w:lang w:val="en-GB"/>
        </w:rPr>
        <w:t xml:space="preserve">enior </w:t>
      </w:r>
      <w:r w:rsidR="00892A46">
        <w:rPr>
          <w:b/>
          <w:bCs/>
          <w:lang w:val="en-GB"/>
        </w:rPr>
        <w:t>E</w:t>
      </w:r>
      <w:r w:rsidRPr="00A33264">
        <w:rPr>
          <w:b/>
          <w:bCs/>
          <w:lang w:val="en-GB"/>
        </w:rPr>
        <w:t xml:space="preserve">xecutive </w:t>
      </w:r>
      <w:r w:rsidR="00892A46">
        <w:rPr>
          <w:b/>
          <w:bCs/>
          <w:lang w:val="en-GB"/>
        </w:rPr>
        <w:t>S</w:t>
      </w:r>
      <w:r w:rsidRPr="00A33264">
        <w:rPr>
          <w:b/>
          <w:bCs/>
          <w:lang w:val="en-GB"/>
        </w:rPr>
        <w:t>ervice staff with disability</w:t>
      </w:r>
    </w:p>
    <w:tbl>
      <w:tblPr>
        <w:tblStyle w:val="GridTable4"/>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4411"/>
        <w:gridCol w:w="1189"/>
        <w:gridCol w:w="1189"/>
        <w:gridCol w:w="1189"/>
        <w:gridCol w:w="1189"/>
      </w:tblGrid>
      <w:tr w:rsidR="007D6F0C" w:rsidRPr="007D6F0C" w14:paraId="7C62382D" w14:textId="77777777" w:rsidTr="00BB40DF">
        <w:trPr>
          <w:cnfStyle w:val="100000000000" w:firstRow="1" w:lastRow="0" w:firstColumn="0" w:lastColumn="0" w:oddVBand="0" w:evenVBand="0" w:oddHBand="0" w:evenHBand="0" w:firstRowFirstColumn="0" w:firstRowLastColumn="0" w:lastRowFirstColumn="0" w:lastRowLastColumn="0"/>
          <w:cantSplit/>
          <w:trHeight w:val="797"/>
        </w:trPr>
        <w:tc>
          <w:tcPr>
            <w:tcW w:w="4411" w:type="dxa"/>
            <w:shd w:val="clear" w:color="auto" w:fill="009EAD"/>
          </w:tcPr>
          <w:p w14:paraId="6B4D1161" w14:textId="5A55AF42" w:rsidR="000D3DCF" w:rsidRPr="007D6F0C" w:rsidRDefault="000D3DCF">
            <w:pPr>
              <w:pStyle w:val="TableBody"/>
              <w:rPr>
                <w:color w:val="auto"/>
                <w:lang w:val="en-GB"/>
              </w:rPr>
            </w:pPr>
            <w:bookmarkStart w:id="96" w:name="ColumnTitle_PerformanceMeasure15"/>
            <w:bookmarkEnd w:id="96"/>
            <w:r w:rsidRPr="007D6F0C">
              <w:rPr>
                <w:color w:val="auto"/>
                <w:lang w:val="en-GB"/>
              </w:rPr>
              <w:t>Performance measure</w:t>
            </w:r>
          </w:p>
        </w:tc>
        <w:tc>
          <w:tcPr>
            <w:tcW w:w="1189" w:type="dxa"/>
            <w:shd w:val="clear" w:color="auto" w:fill="009EAD"/>
          </w:tcPr>
          <w:p w14:paraId="06A097F0" w14:textId="77777777" w:rsidR="000D3DCF" w:rsidRPr="007D6F0C" w:rsidRDefault="000D3DCF" w:rsidP="00BB40DF">
            <w:pPr>
              <w:pStyle w:val="TableBody"/>
              <w:jc w:val="right"/>
              <w:rPr>
                <w:color w:val="auto"/>
                <w:lang w:val="en-GB"/>
              </w:rPr>
            </w:pPr>
            <w:r w:rsidRPr="007D6F0C">
              <w:rPr>
                <w:color w:val="auto"/>
                <w:lang w:val="en-GB"/>
              </w:rPr>
              <w:t>2023</w:t>
            </w:r>
            <w:r w:rsidRPr="007D6F0C">
              <w:rPr>
                <w:color w:val="auto"/>
              </w:rPr>
              <w:t>–</w:t>
            </w:r>
            <w:r w:rsidRPr="007D6F0C">
              <w:rPr>
                <w:color w:val="auto"/>
                <w:lang w:val="en-GB"/>
              </w:rPr>
              <w:t>24 Target</w:t>
            </w:r>
          </w:p>
        </w:tc>
        <w:tc>
          <w:tcPr>
            <w:tcW w:w="1189" w:type="dxa"/>
            <w:shd w:val="clear" w:color="auto" w:fill="009EAD"/>
          </w:tcPr>
          <w:p w14:paraId="59F1977F" w14:textId="77777777" w:rsidR="000D3DCF" w:rsidRPr="007D6F0C" w:rsidRDefault="000D3DCF" w:rsidP="00BB40DF">
            <w:pPr>
              <w:pStyle w:val="TableBody"/>
              <w:jc w:val="right"/>
              <w:rPr>
                <w:color w:val="auto"/>
                <w:lang w:val="en-GB"/>
              </w:rPr>
            </w:pPr>
            <w:r w:rsidRPr="007D6F0C">
              <w:rPr>
                <w:color w:val="auto"/>
                <w:lang w:val="en-GB"/>
              </w:rPr>
              <w:t>2023</w:t>
            </w:r>
            <w:r w:rsidRPr="007D6F0C">
              <w:rPr>
                <w:color w:val="auto"/>
              </w:rPr>
              <w:t>–</w:t>
            </w:r>
            <w:r w:rsidRPr="007D6F0C">
              <w:rPr>
                <w:color w:val="auto"/>
                <w:lang w:val="en-GB"/>
              </w:rPr>
              <w:t>24 Result</w:t>
            </w:r>
          </w:p>
        </w:tc>
        <w:tc>
          <w:tcPr>
            <w:tcW w:w="1189" w:type="dxa"/>
            <w:shd w:val="clear" w:color="auto" w:fill="009EAD"/>
          </w:tcPr>
          <w:p w14:paraId="244DBDA7" w14:textId="77777777" w:rsidR="000D3DCF" w:rsidRPr="007D6F0C" w:rsidRDefault="000D3DCF" w:rsidP="00BB40DF">
            <w:pPr>
              <w:pStyle w:val="TableBody"/>
              <w:jc w:val="right"/>
              <w:rPr>
                <w:color w:val="auto"/>
                <w:lang w:val="en-GB"/>
              </w:rPr>
            </w:pPr>
            <w:r w:rsidRPr="007D6F0C">
              <w:rPr>
                <w:color w:val="auto"/>
                <w:lang w:val="en-GB"/>
              </w:rPr>
              <w:t>Outcome</w:t>
            </w:r>
          </w:p>
        </w:tc>
        <w:tc>
          <w:tcPr>
            <w:tcW w:w="1189" w:type="dxa"/>
            <w:shd w:val="clear" w:color="auto" w:fill="009EAD"/>
          </w:tcPr>
          <w:p w14:paraId="55717354" w14:textId="77777777" w:rsidR="000D3DCF" w:rsidRPr="007D6F0C" w:rsidRDefault="000D3DCF">
            <w:pPr>
              <w:pStyle w:val="TableBody"/>
              <w:jc w:val="right"/>
              <w:rPr>
                <w:color w:val="auto"/>
                <w:lang w:val="en-GB"/>
              </w:rPr>
            </w:pPr>
            <w:r w:rsidRPr="007D6F0C">
              <w:rPr>
                <w:color w:val="auto"/>
                <w:lang w:val="en-GB"/>
              </w:rPr>
              <w:t>2022-23</w:t>
            </w:r>
            <w:r w:rsidRPr="007D6F0C">
              <w:rPr>
                <w:color w:val="auto"/>
                <w:lang w:val="en-GB"/>
              </w:rPr>
              <w:br/>
              <w:t>Result</w:t>
            </w:r>
          </w:p>
        </w:tc>
      </w:tr>
      <w:tr w:rsidR="000D3DCF" w:rsidRPr="00A33264" w14:paraId="35307934" w14:textId="77777777" w:rsidTr="00BB40DF">
        <w:trPr>
          <w:cnfStyle w:val="000000100000" w:firstRow="0" w:lastRow="0" w:firstColumn="0" w:lastColumn="0" w:oddVBand="0" w:evenVBand="0" w:oddHBand="1" w:evenHBand="0" w:firstRowFirstColumn="0" w:firstRowLastColumn="0" w:lastRowFirstColumn="0" w:lastRowLastColumn="0"/>
          <w:cantSplit/>
          <w:trHeight w:val="489"/>
        </w:trPr>
        <w:tc>
          <w:tcPr>
            <w:tcW w:w="4411" w:type="dxa"/>
            <w:shd w:val="clear" w:color="auto" w:fill="C5E4E8"/>
          </w:tcPr>
          <w:p w14:paraId="5F120E4E" w14:textId="77777777" w:rsidR="000D3DCF" w:rsidRPr="00A33264" w:rsidRDefault="000D3DCF" w:rsidP="00CC33F6">
            <w:pPr>
              <w:pStyle w:val="TableBody"/>
              <w:rPr>
                <w:lang w:val="en-GB"/>
              </w:rPr>
            </w:pPr>
            <w:r w:rsidRPr="00A33264">
              <w:rPr>
                <w:lang w:val="en-GB"/>
              </w:rPr>
              <w:t>Staff with disability</w:t>
            </w:r>
          </w:p>
        </w:tc>
        <w:tc>
          <w:tcPr>
            <w:tcW w:w="1189" w:type="dxa"/>
            <w:shd w:val="clear" w:color="auto" w:fill="C5E4E8"/>
          </w:tcPr>
          <w:p w14:paraId="52BBBF32" w14:textId="77777777" w:rsidR="000D3DCF" w:rsidRPr="00A33264" w:rsidRDefault="000D3DCF" w:rsidP="00BB40DF">
            <w:pPr>
              <w:pStyle w:val="TableBody"/>
              <w:jc w:val="right"/>
              <w:rPr>
                <w:lang w:val="en-GB"/>
              </w:rPr>
            </w:pPr>
            <w:r w:rsidRPr="00A33264">
              <w:rPr>
                <w:lang w:val="en-GB"/>
              </w:rPr>
              <w:t>19%</w:t>
            </w:r>
          </w:p>
        </w:tc>
        <w:tc>
          <w:tcPr>
            <w:tcW w:w="1189" w:type="dxa"/>
            <w:shd w:val="clear" w:color="auto" w:fill="C5E4E8"/>
          </w:tcPr>
          <w:p w14:paraId="07A2BA7B" w14:textId="77777777" w:rsidR="000D3DCF" w:rsidRPr="00A33264" w:rsidRDefault="000D3DCF" w:rsidP="00BB40DF">
            <w:pPr>
              <w:pStyle w:val="TableBody"/>
              <w:jc w:val="right"/>
              <w:rPr>
                <w:lang w:val="en-GB"/>
              </w:rPr>
            </w:pPr>
            <w:r w:rsidRPr="00A33264">
              <w:rPr>
                <w:lang w:val="en-GB" w:eastAsia="en-AU"/>
              </w:rPr>
              <w:t>23.2%</w:t>
            </w:r>
          </w:p>
        </w:tc>
        <w:tc>
          <w:tcPr>
            <w:tcW w:w="1189" w:type="dxa"/>
            <w:shd w:val="clear" w:color="auto" w:fill="C5E4E8"/>
          </w:tcPr>
          <w:p w14:paraId="08D8C7F2" w14:textId="77777777" w:rsidR="000D3DCF" w:rsidRPr="00A33264" w:rsidRDefault="000D3DCF" w:rsidP="00BB40DF">
            <w:pPr>
              <w:pStyle w:val="TableBody"/>
              <w:jc w:val="right"/>
              <w:rPr>
                <w:lang w:val="en-GB"/>
              </w:rPr>
            </w:pPr>
            <w:r w:rsidRPr="00A33264">
              <w:rPr>
                <w:lang w:val="en-GB" w:eastAsia="en-AU"/>
              </w:rPr>
              <w:t>Achieved</w:t>
            </w:r>
          </w:p>
        </w:tc>
        <w:tc>
          <w:tcPr>
            <w:tcW w:w="1189" w:type="dxa"/>
            <w:shd w:val="clear" w:color="auto" w:fill="C5E4E8"/>
          </w:tcPr>
          <w:p w14:paraId="7F7B386C" w14:textId="77777777" w:rsidR="000D3DCF" w:rsidRPr="00A33264" w:rsidRDefault="000D3DCF">
            <w:pPr>
              <w:pStyle w:val="TableBody"/>
              <w:jc w:val="right"/>
              <w:rPr>
                <w:lang w:val="en-GB" w:eastAsia="en-AU"/>
              </w:rPr>
            </w:pPr>
            <w:r>
              <w:rPr>
                <w:lang w:val="en-GB" w:eastAsia="en-AU"/>
              </w:rPr>
              <w:t>20.8%</w:t>
            </w:r>
          </w:p>
        </w:tc>
      </w:tr>
      <w:tr w:rsidR="000D3DCF" w:rsidRPr="00A33264" w14:paraId="57CAE7BE" w14:textId="77777777" w:rsidTr="00BB40DF">
        <w:trPr>
          <w:cantSplit/>
          <w:trHeight w:val="797"/>
        </w:trPr>
        <w:tc>
          <w:tcPr>
            <w:tcW w:w="4411" w:type="dxa"/>
            <w:shd w:val="clear" w:color="auto" w:fill="90CED7"/>
          </w:tcPr>
          <w:p w14:paraId="1FA67E02" w14:textId="6BC1F5BA" w:rsidR="000D3DCF" w:rsidRPr="00A33264" w:rsidRDefault="000D3DCF" w:rsidP="00CC33F6">
            <w:pPr>
              <w:pStyle w:val="TableBody"/>
              <w:rPr>
                <w:lang w:val="en-GB"/>
              </w:rPr>
            </w:pPr>
            <w:r w:rsidRPr="00A33264">
              <w:rPr>
                <w:lang w:val="en-GB"/>
              </w:rPr>
              <w:t xml:space="preserve">Senior </w:t>
            </w:r>
            <w:r>
              <w:rPr>
                <w:lang w:val="en-GB"/>
              </w:rPr>
              <w:t>e</w:t>
            </w:r>
            <w:r w:rsidRPr="00A33264">
              <w:rPr>
                <w:lang w:val="en-GB"/>
              </w:rPr>
              <w:t>xecutive staff with disability</w:t>
            </w:r>
          </w:p>
        </w:tc>
        <w:tc>
          <w:tcPr>
            <w:tcW w:w="1189" w:type="dxa"/>
            <w:shd w:val="clear" w:color="auto" w:fill="90CED7"/>
          </w:tcPr>
          <w:p w14:paraId="513CDC75" w14:textId="77777777" w:rsidR="000D3DCF" w:rsidRPr="00A33264" w:rsidRDefault="000D3DCF" w:rsidP="00BB40DF">
            <w:pPr>
              <w:pStyle w:val="TableBody"/>
              <w:jc w:val="right"/>
              <w:rPr>
                <w:lang w:val="en-GB"/>
              </w:rPr>
            </w:pPr>
            <w:r w:rsidRPr="00A33264">
              <w:rPr>
                <w:lang w:val="en-GB"/>
              </w:rPr>
              <w:t>12%</w:t>
            </w:r>
          </w:p>
        </w:tc>
        <w:tc>
          <w:tcPr>
            <w:tcW w:w="1189" w:type="dxa"/>
            <w:shd w:val="clear" w:color="auto" w:fill="90CED7"/>
          </w:tcPr>
          <w:p w14:paraId="26E24428" w14:textId="77777777" w:rsidR="000D3DCF" w:rsidRPr="00A33264" w:rsidRDefault="000D3DCF" w:rsidP="00BB40DF">
            <w:pPr>
              <w:pStyle w:val="TableBody"/>
              <w:jc w:val="right"/>
              <w:rPr>
                <w:lang w:val="en-GB"/>
              </w:rPr>
            </w:pPr>
            <w:r w:rsidRPr="00A33264">
              <w:rPr>
                <w:lang w:val="en-GB" w:eastAsia="en-AU"/>
              </w:rPr>
              <w:t>22.6%</w:t>
            </w:r>
          </w:p>
        </w:tc>
        <w:tc>
          <w:tcPr>
            <w:tcW w:w="1189" w:type="dxa"/>
            <w:shd w:val="clear" w:color="auto" w:fill="90CED7"/>
          </w:tcPr>
          <w:p w14:paraId="515D693A" w14:textId="77777777" w:rsidR="000D3DCF" w:rsidRPr="00A33264" w:rsidRDefault="000D3DCF" w:rsidP="00BB40DF">
            <w:pPr>
              <w:pStyle w:val="TableBody"/>
              <w:jc w:val="right"/>
              <w:rPr>
                <w:lang w:val="en-GB"/>
              </w:rPr>
            </w:pPr>
            <w:r w:rsidRPr="00A33264">
              <w:rPr>
                <w:lang w:val="en-GB" w:eastAsia="en-AU"/>
              </w:rPr>
              <w:t>Achieved</w:t>
            </w:r>
          </w:p>
        </w:tc>
        <w:tc>
          <w:tcPr>
            <w:tcW w:w="1189" w:type="dxa"/>
            <w:shd w:val="clear" w:color="auto" w:fill="90CED7"/>
          </w:tcPr>
          <w:p w14:paraId="079AC6D7" w14:textId="77777777" w:rsidR="000D3DCF" w:rsidRPr="00A33264" w:rsidRDefault="000D3DCF">
            <w:pPr>
              <w:pStyle w:val="TableBody"/>
              <w:jc w:val="right"/>
              <w:rPr>
                <w:lang w:val="en-GB" w:eastAsia="en-AU"/>
              </w:rPr>
            </w:pPr>
            <w:r>
              <w:rPr>
                <w:lang w:val="en-GB" w:eastAsia="en-AU"/>
              </w:rPr>
              <w:t>20.8%</w:t>
            </w:r>
          </w:p>
        </w:tc>
      </w:tr>
    </w:tbl>
    <w:p w14:paraId="1E29425C" w14:textId="77777777" w:rsidR="000D3DCF" w:rsidRDefault="000D3DCF" w:rsidP="00B27FA1">
      <w:pPr>
        <w:pStyle w:val="Heading6"/>
        <w:rPr>
          <w:rFonts w:eastAsia="Yu Mincho"/>
        </w:rPr>
      </w:pPr>
      <w:r>
        <w:rPr>
          <w:rFonts w:eastAsia="Yu Mincho"/>
        </w:rPr>
        <w:t>Why we measure this</w:t>
      </w:r>
    </w:p>
    <w:p w14:paraId="2FE39133" w14:textId="3381C863" w:rsidR="000D3DCF" w:rsidRDefault="000D3DCF" w:rsidP="00565716">
      <w:r w:rsidRPr="009C34F0">
        <w:t xml:space="preserve">These measures assess the effectiveness of the </w:t>
      </w:r>
      <w:r>
        <w:t>NDIA</w:t>
      </w:r>
      <w:r w:rsidRPr="009C34F0">
        <w:t>’s internal diversity and inclusion activities to ensure the NDIA represent</w:t>
      </w:r>
      <w:r>
        <w:t>s</w:t>
      </w:r>
      <w:r w:rsidRPr="009C34F0">
        <w:t xml:space="preserve"> participants and people with disability. </w:t>
      </w:r>
      <w:r>
        <w:t>The measure supports</w:t>
      </w:r>
      <w:r w:rsidRPr="009C34F0">
        <w:t xml:space="preserve"> a high</w:t>
      </w:r>
      <w:r>
        <w:t>-</w:t>
      </w:r>
      <w:r w:rsidRPr="009C34F0">
        <w:t xml:space="preserve">performing NDIA by enabling staff to use their lived experience and understanding of participant needs to inform how the </w:t>
      </w:r>
      <w:r>
        <w:t>NDIA</w:t>
      </w:r>
      <w:r w:rsidRPr="009C34F0">
        <w:t xml:space="preserve"> delivers the </w:t>
      </w:r>
      <w:r>
        <w:t>NDIS</w:t>
      </w:r>
      <w:r w:rsidRPr="009C34F0">
        <w:t xml:space="preserve">. </w:t>
      </w:r>
    </w:p>
    <w:p w14:paraId="484619D5" w14:textId="77777777" w:rsidR="000D3DCF" w:rsidRDefault="000D3DCF" w:rsidP="00B27FA1">
      <w:pPr>
        <w:pStyle w:val="Heading6"/>
      </w:pPr>
      <w:r>
        <w:t>How we measure this</w:t>
      </w:r>
    </w:p>
    <w:p w14:paraId="4459E515" w14:textId="24480372" w:rsidR="000D3DCF" w:rsidRPr="009C34F0" w:rsidRDefault="000D3DCF" w:rsidP="00565716">
      <w:r>
        <w:t xml:space="preserve">We obtain our results for this performance measure </w:t>
      </w:r>
      <w:r w:rsidRPr="009C34F0">
        <w:t xml:space="preserve">from the </w:t>
      </w:r>
      <w:r>
        <w:t>a</w:t>
      </w:r>
      <w:r w:rsidRPr="009C34F0">
        <w:t>nnual APS Census</w:t>
      </w:r>
      <w:r>
        <w:t>,</w:t>
      </w:r>
      <w:r w:rsidRPr="009C34F0">
        <w:t xml:space="preserve"> conducted by the Australian Public Service Commission.</w:t>
      </w:r>
    </w:p>
    <w:p w14:paraId="47B63543" w14:textId="77777777" w:rsidR="000D3DCF" w:rsidRDefault="000D3DCF" w:rsidP="00B27FA1">
      <w:pPr>
        <w:pStyle w:val="Heading6"/>
      </w:pPr>
      <w:r>
        <w:t>Analysis</w:t>
      </w:r>
    </w:p>
    <w:p w14:paraId="342634FD" w14:textId="79B8E43C" w:rsidR="000D3DCF" w:rsidRPr="009C34F0" w:rsidRDefault="000D3DCF" w:rsidP="00565716">
      <w:pPr>
        <w:spacing w:before="100" w:beforeAutospacing="1" w:after="100" w:afterAutospacing="1" w:line="259" w:lineRule="auto"/>
      </w:pPr>
      <w:r w:rsidRPr="009C34F0">
        <w:t xml:space="preserve">The </w:t>
      </w:r>
      <w:r>
        <w:t>NDIA has</w:t>
      </w:r>
      <w:r w:rsidRPr="009C34F0">
        <w:t xml:space="preserve"> increase</w:t>
      </w:r>
      <w:r>
        <w:t>d</w:t>
      </w:r>
      <w:r w:rsidRPr="009C34F0">
        <w:t xml:space="preserve"> representation of staff with disability</w:t>
      </w:r>
      <w:r>
        <w:t xml:space="preserve"> by</w:t>
      </w:r>
      <w:r w:rsidRPr="009C34F0">
        <w:t>:</w:t>
      </w:r>
    </w:p>
    <w:p w14:paraId="38CBAC19" w14:textId="65A0DCCC" w:rsidR="000D3DCF" w:rsidRPr="009C34F0" w:rsidRDefault="000D3DCF" w:rsidP="00565716">
      <w:pPr>
        <w:pStyle w:val="Bullet1"/>
      </w:pPr>
      <w:r>
        <w:t>continuing to partner</w:t>
      </w:r>
      <w:r w:rsidRPr="009C34F0">
        <w:t xml:space="preserve"> with the Australian Network on Disability on the </w:t>
      </w:r>
      <w:hyperlink r:id="rId30" w:history="1">
        <w:r w:rsidRPr="00AA0637">
          <w:rPr>
            <w:rStyle w:val="Hyperlink"/>
            <w:color w:val="auto"/>
          </w:rPr>
          <w:t>Stepping Into Internship Program</w:t>
        </w:r>
      </w:hyperlink>
      <w:r>
        <w:rPr>
          <w:rStyle w:val="Hyperlink"/>
          <w:color w:val="auto"/>
          <w:u w:val="none"/>
        </w:rPr>
        <w:t xml:space="preserve">. Under the program, the </w:t>
      </w:r>
      <w:r w:rsidRPr="009C34F0">
        <w:t>NDIA host</w:t>
      </w:r>
      <w:r>
        <w:t>s</w:t>
      </w:r>
      <w:r w:rsidRPr="009C34F0">
        <w:t xml:space="preserve"> students with disability for paid internships (often leading to ongoing roles with the NDIA </w:t>
      </w:r>
      <w:r>
        <w:t xml:space="preserve">after </w:t>
      </w:r>
      <w:r w:rsidRPr="009C34F0">
        <w:t>graduation)</w:t>
      </w:r>
    </w:p>
    <w:p w14:paraId="7895FAEB" w14:textId="28F1AE79" w:rsidR="000D3DCF" w:rsidRPr="009C34F0" w:rsidRDefault="000D3DCF" w:rsidP="00565716">
      <w:pPr>
        <w:pStyle w:val="Bullet1"/>
      </w:pPr>
      <w:r>
        <w:t>continuing to partner</w:t>
      </w:r>
      <w:r w:rsidRPr="009C34F0">
        <w:t xml:space="preserve"> with</w:t>
      </w:r>
      <w:r>
        <w:t xml:space="preserve"> the</w:t>
      </w:r>
      <w:r w:rsidRPr="009C34F0">
        <w:t xml:space="preserve"> Australian Network on Disability to maintain </w:t>
      </w:r>
      <w:r>
        <w:t xml:space="preserve">our </w:t>
      </w:r>
      <w:r w:rsidRPr="009C34F0">
        <w:t>Disability Confident Recruiter accreditation</w:t>
      </w:r>
      <w:r>
        <w:t>. The accreditation</w:t>
      </w:r>
      <w:r w:rsidRPr="009C34F0">
        <w:t xml:space="preserve"> demonstrat</w:t>
      </w:r>
      <w:r>
        <w:t>es</w:t>
      </w:r>
      <w:r w:rsidRPr="009C34F0">
        <w:t xml:space="preserve"> the </w:t>
      </w:r>
      <w:r>
        <w:t>NDIA</w:t>
      </w:r>
      <w:r w:rsidRPr="009C34F0">
        <w:t>’s commitment to inclusive recruitment practices that maximise access and remove barriers for all candidates with disability, including our internal candidates</w:t>
      </w:r>
    </w:p>
    <w:p w14:paraId="2CC80049" w14:textId="6F880316" w:rsidR="000D3DCF" w:rsidRPr="009C34F0" w:rsidRDefault="000D3DCF" w:rsidP="00565716">
      <w:pPr>
        <w:pStyle w:val="Bullet1"/>
      </w:pPr>
      <w:r>
        <w:t>ensuring external recruitment a</w:t>
      </w:r>
      <w:r w:rsidRPr="009C34F0">
        <w:t>dvertisements</w:t>
      </w:r>
      <w:r>
        <w:t xml:space="preserve"> for SES roles</w:t>
      </w:r>
      <w:r w:rsidRPr="009C34F0">
        <w:t xml:space="preserve"> and candidate packs</w:t>
      </w:r>
      <w:r>
        <w:t xml:space="preserve"> provide information</w:t>
      </w:r>
      <w:r w:rsidRPr="009C34F0">
        <w:t xml:space="preserve"> on access to reasonable adjustments</w:t>
      </w:r>
      <w:r>
        <w:t xml:space="preserve"> that are available</w:t>
      </w:r>
      <w:r w:rsidRPr="009C34F0">
        <w:t xml:space="preserve"> for equitable participation in the recruitment process and to </w:t>
      </w:r>
      <w:r>
        <w:t xml:space="preserve">enable applicants to </w:t>
      </w:r>
      <w:r w:rsidRPr="009C34F0">
        <w:t>fulfil the requirements of the role. People with disability continue to be encouraged to apply for SES roles through the RecruitAbility scheme and, in some cases, designated roles recruited through affirmative measures.</w:t>
      </w:r>
    </w:p>
    <w:p w14:paraId="0FBFAE30" w14:textId="508DC7B4" w:rsidR="000D3DCF" w:rsidRPr="009C34F0" w:rsidRDefault="000D3DCF" w:rsidP="00F86FC3">
      <w:r w:rsidRPr="009C34F0">
        <w:lastRenderedPageBreak/>
        <w:t xml:space="preserve">The Australian Network on Disability </w:t>
      </w:r>
      <w:r>
        <w:t xml:space="preserve">has recognised the NDIA </w:t>
      </w:r>
      <w:r w:rsidRPr="009C34F0">
        <w:t xml:space="preserve">as an industry top performer in the </w:t>
      </w:r>
      <w:r>
        <w:t>n</w:t>
      </w:r>
      <w:r w:rsidRPr="009C34F0">
        <w:t xml:space="preserve">etwork’s Access and Inclusion Index, which recognises the consistent improvements being made across the </w:t>
      </w:r>
      <w:r>
        <w:t>NDIA</w:t>
      </w:r>
      <w:r w:rsidRPr="009C34F0">
        <w:t xml:space="preserve"> based on previous learnings.</w:t>
      </w:r>
    </w:p>
    <w:p w14:paraId="478A2DB8" w14:textId="4F2B740D" w:rsidR="000D3DCF" w:rsidRPr="00A33264" w:rsidRDefault="000D3DCF" w:rsidP="00CC33F6">
      <w:pPr>
        <w:rPr>
          <w:b/>
          <w:bCs/>
          <w:lang w:val="en-GB"/>
        </w:rPr>
      </w:pPr>
      <w:r w:rsidRPr="00A33264">
        <w:rPr>
          <w:b/>
          <w:bCs/>
          <w:lang w:val="en-GB"/>
        </w:rPr>
        <w:t>NDIA spend (</w:t>
      </w:r>
      <w:r>
        <w:rPr>
          <w:b/>
          <w:bCs/>
          <w:lang w:val="en-GB"/>
        </w:rPr>
        <w:t>P</w:t>
      </w:r>
      <w:r w:rsidRPr="00A33264">
        <w:rPr>
          <w:b/>
          <w:bCs/>
          <w:lang w:val="en-GB"/>
        </w:rPr>
        <w:t>rogram 1.2) compared to estimate</w:t>
      </w:r>
      <w:r>
        <w:rPr>
          <w:b/>
          <w:bCs/>
          <w:lang w:val="en-GB"/>
        </w:rPr>
        <w:t>s</w:t>
      </w:r>
      <w:r w:rsidRPr="00A33264">
        <w:rPr>
          <w:b/>
          <w:bCs/>
          <w:lang w:val="en-GB"/>
        </w:rPr>
        <w:t xml:space="preserve"> and NDIA spend (</w:t>
      </w:r>
      <w:r>
        <w:rPr>
          <w:b/>
          <w:bCs/>
          <w:lang w:val="en-GB"/>
        </w:rPr>
        <w:t>P</w:t>
      </w:r>
      <w:r w:rsidRPr="00A33264">
        <w:rPr>
          <w:b/>
          <w:bCs/>
          <w:lang w:val="en-GB"/>
        </w:rPr>
        <w:t>rogram 1.2) as proportion of NDIS spend (</w:t>
      </w:r>
      <w:r>
        <w:rPr>
          <w:b/>
          <w:bCs/>
          <w:lang w:val="en-GB"/>
        </w:rPr>
        <w:t>P</w:t>
      </w:r>
      <w:r w:rsidRPr="00A33264">
        <w:rPr>
          <w:b/>
          <w:bCs/>
          <w:lang w:val="en-GB"/>
        </w:rPr>
        <w:t>rogram 1.1)</w:t>
      </w:r>
    </w:p>
    <w:tbl>
      <w:tblPr>
        <w:tblStyle w:val="GridTable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634"/>
        <w:gridCol w:w="1348"/>
        <w:gridCol w:w="1348"/>
        <w:gridCol w:w="1355"/>
        <w:gridCol w:w="1331"/>
      </w:tblGrid>
      <w:tr w:rsidR="007D6F0C" w:rsidRPr="007D6F0C" w14:paraId="7F182FDD"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634" w:type="dxa"/>
            <w:shd w:val="clear" w:color="auto" w:fill="009EAD"/>
          </w:tcPr>
          <w:p w14:paraId="1B08D439" w14:textId="5110065D" w:rsidR="000D3DCF" w:rsidRPr="007D6F0C" w:rsidRDefault="000D3DCF">
            <w:pPr>
              <w:pStyle w:val="TableBody"/>
              <w:rPr>
                <w:color w:val="auto"/>
                <w:szCs w:val="24"/>
                <w:lang w:val="en-GB"/>
              </w:rPr>
            </w:pPr>
            <w:bookmarkStart w:id="97" w:name="ColumnTitle_PerformanceMeasure16"/>
            <w:bookmarkEnd w:id="97"/>
            <w:r w:rsidRPr="007D6F0C">
              <w:rPr>
                <w:color w:val="auto"/>
                <w:szCs w:val="24"/>
                <w:lang w:val="en-GB"/>
              </w:rPr>
              <w:t>Performance measure</w:t>
            </w:r>
          </w:p>
        </w:tc>
        <w:tc>
          <w:tcPr>
            <w:tcW w:w="1348" w:type="dxa"/>
            <w:shd w:val="clear" w:color="auto" w:fill="009EAD"/>
          </w:tcPr>
          <w:p w14:paraId="3CC24328" w14:textId="77777777" w:rsidR="000D3DCF" w:rsidRPr="007D6F0C" w:rsidRDefault="000D3DCF" w:rsidP="00BB40DF">
            <w:pPr>
              <w:pStyle w:val="TableBody"/>
              <w:jc w:val="right"/>
              <w:rPr>
                <w:color w:val="auto"/>
                <w:szCs w:val="24"/>
                <w:lang w:val="en-GB"/>
              </w:rPr>
            </w:pPr>
            <w:r w:rsidRPr="007D6F0C">
              <w:rPr>
                <w:color w:val="auto"/>
                <w:szCs w:val="24"/>
                <w:lang w:val="en-GB"/>
              </w:rPr>
              <w:t>2023</w:t>
            </w:r>
            <w:r w:rsidRPr="007D6F0C">
              <w:rPr>
                <w:color w:val="auto"/>
              </w:rPr>
              <w:t>–</w:t>
            </w:r>
            <w:r w:rsidRPr="007D6F0C">
              <w:rPr>
                <w:color w:val="auto"/>
                <w:szCs w:val="24"/>
                <w:lang w:val="en-GB"/>
              </w:rPr>
              <w:t>24 Target</w:t>
            </w:r>
          </w:p>
        </w:tc>
        <w:tc>
          <w:tcPr>
            <w:tcW w:w="1348" w:type="dxa"/>
            <w:shd w:val="clear" w:color="auto" w:fill="009EAD"/>
          </w:tcPr>
          <w:p w14:paraId="03973512" w14:textId="77777777" w:rsidR="000D3DCF" w:rsidRPr="007D6F0C" w:rsidRDefault="000D3DCF" w:rsidP="00BB40DF">
            <w:pPr>
              <w:pStyle w:val="TableBody"/>
              <w:jc w:val="right"/>
              <w:rPr>
                <w:color w:val="auto"/>
                <w:szCs w:val="24"/>
                <w:lang w:val="en-GB"/>
              </w:rPr>
            </w:pPr>
            <w:r w:rsidRPr="007D6F0C">
              <w:rPr>
                <w:color w:val="auto"/>
                <w:szCs w:val="24"/>
                <w:lang w:val="en-GB"/>
              </w:rPr>
              <w:t>2023</w:t>
            </w:r>
            <w:r w:rsidRPr="007D6F0C">
              <w:rPr>
                <w:color w:val="auto"/>
              </w:rPr>
              <w:t>–</w:t>
            </w:r>
            <w:r w:rsidRPr="007D6F0C">
              <w:rPr>
                <w:color w:val="auto"/>
                <w:szCs w:val="24"/>
                <w:lang w:val="en-GB"/>
              </w:rPr>
              <w:t>24 Result</w:t>
            </w:r>
          </w:p>
        </w:tc>
        <w:tc>
          <w:tcPr>
            <w:tcW w:w="1355" w:type="dxa"/>
            <w:shd w:val="clear" w:color="auto" w:fill="009EAD"/>
          </w:tcPr>
          <w:p w14:paraId="5ADB975A" w14:textId="77777777" w:rsidR="000D3DCF" w:rsidRPr="007D6F0C" w:rsidRDefault="000D3DCF" w:rsidP="00BB40DF">
            <w:pPr>
              <w:pStyle w:val="TableBody"/>
              <w:jc w:val="right"/>
              <w:rPr>
                <w:color w:val="auto"/>
                <w:szCs w:val="24"/>
                <w:lang w:val="en-GB"/>
              </w:rPr>
            </w:pPr>
            <w:r w:rsidRPr="007D6F0C">
              <w:rPr>
                <w:color w:val="auto"/>
                <w:szCs w:val="24"/>
                <w:lang w:val="en-GB"/>
              </w:rPr>
              <w:t>2023</w:t>
            </w:r>
            <w:r w:rsidRPr="007D6F0C">
              <w:rPr>
                <w:color w:val="auto"/>
              </w:rPr>
              <w:t>–</w:t>
            </w:r>
            <w:r w:rsidRPr="007D6F0C">
              <w:rPr>
                <w:color w:val="auto"/>
                <w:szCs w:val="24"/>
                <w:lang w:val="en-GB"/>
              </w:rPr>
              <w:t>24 Outcome</w:t>
            </w:r>
          </w:p>
        </w:tc>
        <w:tc>
          <w:tcPr>
            <w:tcW w:w="1331" w:type="dxa"/>
            <w:shd w:val="clear" w:color="auto" w:fill="009EAD"/>
          </w:tcPr>
          <w:p w14:paraId="354A5128" w14:textId="77777777" w:rsidR="000D3DCF" w:rsidRPr="007D6F0C" w:rsidRDefault="000D3DCF" w:rsidP="00BB40DF">
            <w:pPr>
              <w:pStyle w:val="TableBody"/>
              <w:jc w:val="right"/>
              <w:rPr>
                <w:color w:val="auto"/>
                <w:szCs w:val="24"/>
                <w:lang w:val="en-GB"/>
              </w:rPr>
            </w:pPr>
            <w:r w:rsidRPr="007D6F0C">
              <w:rPr>
                <w:color w:val="auto"/>
                <w:szCs w:val="24"/>
                <w:lang w:val="en-GB"/>
              </w:rPr>
              <w:t>2022</w:t>
            </w:r>
            <w:r w:rsidRPr="007D6F0C">
              <w:rPr>
                <w:color w:val="auto"/>
              </w:rPr>
              <w:t>–</w:t>
            </w:r>
            <w:r w:rsidRPr="007D6F0C">
              <w:rPr>
                <w:color w:val="auto"/>
                <w:szCs w:val="24"/>
                <w:lang w:val="en-GB"/>
              </w:rPr>
              <w:t>23 Result</w:t>
            </w:r>
          </w:p>
        </w:tc>
      </w:tr>
      <w:tr w:rsidR="000D3DCF" w:rsidRPr="00565716" w14:paraId="16476991" w14:textId="77777777" w:rsidTr="00565716">
        <w:trPr>
          <w:cnfStyle w:val="000000100000" w:firstRow="0" w:lastRow="0" w:firstColumn="0" w:lastColumn="0" w:oddVBand="0" w:evenVBand="0" w:oddHBand="1" w:evenHBand="0" w:firstRowFirstColumn="0" w:firstRowLastColumn="0" w:lastRowFirstColumn="0" w:lastRowLastColumn="0"/>
          <w:cantSplit/>
        </w:trPr>
        <w:tc>
          <w:tcPr>
            <w:tcW w:w="3634" w:type="dxa"/>
            <w:shd w:val="clear" w:color="auto" w:fill="C5E4E8"/>
          </w:tcPr>
          <w:p w14:paraId="5DF1244C" w14:textId="656D1C1E" w:rsidR="000D3DCF" w:rsidRPr="00565716" w:rsidRDefault="000D3DCF" w:rsidP="00CC33F6">
            <w:pPr>
              <w:pStyle w:val="TableBody"/>
              <w:rPr>
                <w:szCs w:val="24"/>
                <w:lang w:val="en-GB"/>
              </w:rPr>
            </w:pPr>
            <w:r w:rsidRPr="00565716">
              <w:rPr>
                <w:szCs w:val="24"/>
                <w:lang w:val="en-GB"/>
              </w:rPr>
              <w:t>NDIA spend (</w:t>
            </w:r>
            <w:r>
              <w:rPr>
                <w:szCs w:val="24"/>
                <w:lang w:val="en-GB"/>
              </w:rPr>
              <w:t>P</w:t>
            </w:r>
            <w:r w:rsidRPr="00565716">
              <w:rPr>
                <w:szCs w:val="24"/>
                <w:lang w:val="en-GB"/>
              </w:rPr>
              <w:t>rogram 1.2) compared to estimates</w:t>
            </w:r>
          </w:p>
        </w:tc>
        <w:tc>
          <w:tcPr>
            <w:tcW w:w="1348" w:type="dxa"/>
            <w:shd w:val="clear" w:color="auto" w:fill="C5E4E8"/>
          </w:tcPr>
          <w:p w14:paraId="070A70EC" w14:textId="77777777" w:rsidR="000D3DCF" w:rsidRPr="00565716" w:rsidRDefault="000D3DCF" w:rsidP="00BB40DF">
            <w:pPr>
              <w:pStyle w:val="TableBody"/>
              <w:jc w:val="right"/>
              <w:rPr>
                <w:szCs w:val="24"/>
                <w:lang w:val="en-GB"/>
              </w:rPr>
            </w:pPr>
            <w:r w:rsidRPr="00565716">
              <w:rPr>
                <w:szCs w:val="24"/>
                <w:lang w:val="en-GB"/>
              </w:rPr>
              <w:t>100%</w:t>
            </w:r>
          </w:p>
        </w:tc>
        <w:tc>
          <w:tcPr>
            <w:tcW w:w="1348" w:type="dxa"/>
            <w:shd w:val="clear" w:color="auto" w:fill="C5E4E8"/>
          </w:tcPr>
          <w:p w14:paraId="369AC422" w14:textId="77777777" w:rsidR="000D3DCF" w:rsidRPr="00565716" w:rsidRDefault="000D3DCF" w:rsidP="00BB40DF">
            <w:pPr>
              <w:pStyle w:val="TableBody"/>
              <w:jc w:val="right"/>
              <w:rPr>
                <w:szCs w:val="24"/>
                <w:lang w:val="en-GB"/>
              </w:rPr>
            </w:pPr>
            <w:r w:rsidRPr="00565716">
              <w:rPr>
                <w:bCs/>
                <w:szCs w:val="24"/>
                <w:lang w:val="en-GB"/>
              </w:rPr>
              <w:t>96.7</w:t>
            </w:r>
            <w:r w:rsidRPr="00565716">
              <w:rPr>
                <w:szCs w:val="24"/>
                <w:lang w:val="en-GB" w:eastAsia="en-AU"/>
              </w:rPr>
              <w:t>%</w:t>
            </w:r>
          </w:p>
        </w:tc>
        <w:tc>
          <w:tcPr>
            <w:tcW w:w="1355" w:type="dxa"/>
            <w:shd w:val="clear" w:color="auto" w:fill="C5E4E8"/>
          </w:tcPr>
          <w:p w14:paraId="6A63213E" w14:textId="77777777" w:rsidR="000D3DCF" w:rsidRPr="00565716" w:rsidRDefault="000D3DCF" w:rsidP="00BB40DF">
            <w:pPr>
              <w:pStyle w:val="TableBody"/>
              <w:jc w:val="right"/>
              <w:rPr>
                <w:szCs w:val="24"/>
                <w:lang w:val="en-GB"/>
              </w:rPr>
            </w:pPr>
            <w:r w:rsidRPr="00565716">
              <w:rPr>
                <w:szCs w:val="24"/>
                <w:lang w:val="en-GB" w:eastAsia="en-AU"/>
              </w:rPr>
              <w:t>Achieved</w:t>
            </w:r>
          </w:p>
        </w:tc>
        <w:tc>
          <w:tcPr>
            <w:tcW w:w="1331" w:type="dxa"/>
            <w:shd w:val="clear" w:color="auto" w:fill="C5E4E8"/>
          </w:tcPr>
          <w:p w14:paraId="77FF4001" w14:textId="77777777" w:rsidR="000D3DCF" w:rsidRPr="00565716" w:rsidRDefault="000D3DCF" w:rsidP="00BB40DF">
            <w:pPr>
              <w:pStyle w:val="TableBody"/>
              <w:jc w:val="right"/>
              <w:rPr>
                <w:szCs w:val="24"/>
                <w:lang w:val="en-GB" w:eastAsia="en-AU"/>
              </w:rPr>
            </w:pPr>
            <w:r w:rsidRPr="00565716">
              <w:rPr>
                <w:szCs w:val="24"/>
                <w:lang w:val="en-GB" w:eastAsia="en-AU"/>
              </w:rPr>
              <w:t>103%</w:t>
            </w:r>
          </w:p>
        </w:tc>
      </w:tr>
      <w:tr w:rsidR="000D3DCF" w:rsidRPr="00565716" w14:paraId="351B257E" w14:textId="77777777" w:rsidTr="00565716">
        <w:trPr>
          <w:cantSplit/>
        </w:trPr>
        <w:tc>
          <w:tcPr>
            <w:tcW w:w="3634" w:type="dxa"/>
            <w:shd w:val="clear" w:color="auto" w:fill="90CED7"/>
          </w:tcPr>
          <w:p w14:paraId="4CA99540" w14:textId="1AF674A4" w:rsidR="000D3DCF" w:rsidRPr="00565716" w:rsidRDefault="000D3DCF" w:rsidP="00CC33F6">
            <w:pPr>
              <w:pStyle w:val="TableBody"/>
              <w:rPr>
                <w:szCs w:val="24"/>
                <w:lang w:val="en-GB"/>
              </w:rPr>
            </w:pPr>
            <w:r w:rsidRPr="00565716">
              <w:rPr>
                <w:szCs w:val="24"/>
                <w:lang w:val="en-GB"/>
              </w:rPr>
              <w:t>NDIA spend (</w:t>
            </w:r>
            <w:r>
              <w:rPr>
                <w:szCs w:val="24"/>
                <w:lang w:val="en-GB"/>
              </w:rPr>
              <w:t>P</w:t>
            </w:r>
            <w:r w:rsidRPr="00565716">
              <w:rPr>
                <w:szCs w:val="24"/>
                <w:lang w:val="en-GB"/>
              </w:rPr>
              <w:t>rogram 1.2) as proportion of NDIS spend (Program 1.1)</w:t>
            </w:r>
          </w:p>
        </w:tc>
        <w:tc>
          <w:tcPr>
            <w:tcW w:w="1348" w:type="dxa"/>
            <w:shd w:val="clear" w:color="auto" w:fill="90CED7"/>
          </w:tcPr>
          <w:p w14:paraId="20CF8D39" w14:textId="77777777" w:rsidR="000D3DCF" w:rsidRPr="00565716" w:rsidRDefault="000D3DCF" w:rsidP="00BB40DF">
            <w:pPr>
              <w:pStyle w:val="TableBody"/>
              <w:jc w:val="right"/>
              <w:rPr>
                <w:szCs w:val="24"/>
                <w:lang w:val="en-GB"/>
              </w:rPr>
            </w:pPr>
            <w:r w:rsidRPr="00565716">
              <w:rPr>
                <w:szCs w:val="24"/>
                <w:lang w:val="en-GB"/>
              </w:rPr>
              <w:t>6.0%</w:t>
            </w:r>
          </w:p>
        </w:tc>
        <w:tc>
          <w:tcPr>
            <w:tcW w:w="1348" w:type="dxa"/>
            <w:shd w:val="clear" w:color="auto" w:fill="90CED7"/>
          </w:tcPr>
          <w:p w14:paraId="5569766F" w14:textId="77777777" w:rsidR="000D3DCF" w:rsidRPr="00565716" w:rsidRDefault="000D3DCF" w:rsidP="00BB40DF">
            <w:pPr>
              <w:pStyle w:val="TableBody"/>
              <w:jc w:val="right"/>
              <w:rPr>
                <w:szCs w:val="24"/>
                <w:lang w:val="en-GB"/>
              </w:rPr>
            </w:pPr>
            <w:r w:rsidRPr="00565716">
              <w:rPr>
                <w:szCs w:val="24"/>
                <w:lang w:val="en-GB" w:eastAsia="en-AU"/>
              </w:rPr>
              <w:t>5%</w:t>
            </w:r>
          </w:p>
        </w:tc>
        <w:tc>
          <w:tcPr>
            <w:tcW w:w="1355" w:type="dxa"/>
            <w:shd w:val="clear" w:color="auto" w:fill="90CED7"/>
          </w:tcPr>
          <w:p w14:paraId="49F1590A" w14:textId="77777777" w:rsidR="000D3DCF" w:rsidRPr="00565716" w:rsidRDefault="000D3DCF" w:rsidP="00BB40DF">
            <w:pPr>
              <w:pStyle w:val="TableBody"/>
              <w:jc w:val="right"/>
              <w:rPr>
                <w:szCs w:val="24"/>
                <w:lang w:val="en-GB"/>
              </w:rPr>
            </w:pPr>
            <w:r w:rsidRPr="00565716">
              <w:rPr>
                <w:szCs w:val="24"/>
                <w:lang w:val="en-GB" w:eastAsia="en-AU"/>
              </w:rPr>
              <w:t>Achieved</w:t>
            </w:r>
          </w:p>
        </w:tc>
        <w:tc>
          <w:tcPr>
            <w:tcW w:w="1331" w:type="dxa"/>
            <w:shd w:val="clear" w:color="auto" w:fill="90CED7"/>
          </w:tcPr>
          <w:p w14:paraId="4AF1B0DF" w14:textId="77777777" w:rsidR="000D3DCF" w:rsidRPr="00565716" w:rsidRDefault="000D3DCF" w:rsidP="00BB40DF">
            <w:pPr>
              <w:pStyle w:val="TableBody"/>
              <w:jc w:val="right"/>
              <w:rPr>
                <w:szCs w:val="24"/>
                <w:lang w:val="en-GB" w:eastAsia="en-AU"/>
              </w:rPr>
            </w:pPr>
            <w:r w:rsidRPr="00565716">
              <w:rPr>
                <w:szCs w:val="24"/>
                <w:lang w:val="en-GB" w:eastAsia="en-AU"/>
              </w:rPr>
              <w:t>5.2%</w:t>
            </w:r>
          </w:p>
        </w:tc>
      </w:tr>
    </w:tbl>
    <w:p w14:paraId="6D7A1B60" w14:textId="77777777" w:rsidR="000D3DCF" w:rsidRDefault="000D3DCF" w:rsidP="00B27FA1">
      <w:pPr>
        <w:pStyle w:val="Heading6"/>
        <w:rPr>
          <w:rFonts w:eastAsia="Yu Mincho"/>
        </w:rPr>
      </w:pPr>
      <w:r>
        <w:rPr>
          <w:rFonts w:eastAsia="Yu Mincho"/>
        </w:rPr>
        <w:t>Why we measure this</w:t>
      </w:r>
    </w:p>
    <w:p w14:paraId="00793275" w14:textId="77777777" w:rsidR="000D3DCF" w:rsidRDefault="000D3DCF" w:rsidP="00565716">
      <w:r w:rsidRPr="009C34F0">
        <w:rPr>
          <w:rFonts w:eastAsia="Calibri"/>
        </w:rPr>
        <w:t xml:space="preserve">These measures assess the effectiveness of </w:t>
      </w:r>
      <w:r>
        <w:rPr>
          <w:rFonts w:eastAsia="Calibri"/>
        </w:rPr>
        <w:t>NDIS</w:t>
      </w:r>
      <w:r w:rsidRPr="009C34F0">
        <w:rPr>
          <w:rFonts w:eastAsia="Calibri"/>
        </w:rPr>
        <w:t xml:space="preserve"> projections </w:t>
      </w:r>
      <w:r w:rsidRPr="009C34F0">
        <w:t xml:space="preserve">and the efficiency of the </w:t>
      </w:r>
      <w:r>
        <w:t>NDIA</w:t>
      </w:r>
      <w:r w:rsidRPr="009C34F0">
        <w:t xml:space="preserve"> </w:t>
      </w:r>
      <w:r>
        <w:t xml:space="preserve">in </w:t>
      </w:r>
      <w:r w:rsidRPr="009C34F0">
        <w:t xml:space="preserve">delivering the </w:t>
      </w:r>
      <w:r>
        <w:t>NDIS</w:t>
      </w:r>
      <w:r w:rsidRPr="009C34F0">
        <w:t xml:space="preserve"> (Program 1.1 Reasonable and necessary supports</w:t>
      </w:r>
      <w:r>
        <w:t xml:space="preserve"> for participants</w:t>
      </w:r>
      <w:r w:rsidRPr="009C34F0">
        <w:t xml:space="preserve">). </w:t>
      </w:r>
    </w:p>
    <w:p w14:paraId="44915A4A" w14:textId="77777777" w:rsidR="000D3DCF" w:rsidRDefault="000D3DCF" w:rsidP="00B27FA1">
      <w:pPr>
        <w:pStyle w:val="Heading6"/>
      </w:pPr>
      <w:r>
        <w:t>How we measure this</w:t>
      </w:r>
    </w:p>
    <w:p w14:paraId="1741B409" w14:textId="1A96777E" w:rsidR="000D3DCF" w:rsidRPr="009C34F0" w:rsidRDefault="000D3DCF" w:rsidP="00565716">
      <w:r>
        <w:t>We measure</w:t>
      </w:r>
      <w:r w:rsidRPr="009C34F0">
        <w:t xml:space="preserve"> NDIA </w:t>
      </w:r>
      <w:r>
        <w:t>s</w:t>
      </w:r>
      <w:r w:rsidRPr="009C34F0">
        <w:t xml:space="preserve">pend compared </w:t>
      </w:r>
      <w:r>
        <w:t>with</w:t>
      </w:r>
      <w:r w:rsidRPr="009C34F0">
        <w:t xml:space="preserve"> estimates </w:t>
      </w:r>
      <w:r>
        <w:t>by</w:t>
      </w:r>
      <w:r w:rsidRPr="009C34F0">
        <w:t xml:space="preserve"> calculat</w:t>
      </w:r>
      <w:r>
        <w:t>ing</w:t>
      </w:r>
      <w:r w:rsidRPr="009C34F0">
        <w:t xml:space="preserve"> actual </w:t>
      </w:r>
      <w:r>
        <w:t>NDIA</w:t>
      </w:r>
      <w:r w:rsidRPr="009C34F0">
        <w:t xml:space="preserve"> costs (accrual basis) for the financial year divided by projected </w:t>
      </w:r>
      <w:r>
        <w:t>NDIA</w:t>
      </w:r>
      <w:r w:rsidRPr="009C34F0">
        <w:t xml:space="preserve"> costs in the 2022</w:t>
      </w:r>
      <w:r w:rsidRPr="003131F3">
        <w:t>–</w:t>
      </w:r>
      <w:r w:rsidRPr="009C34F0">
        <w:t>23 Annual Financial Sustainability Report (AFSR)</w:t>
      </w:r>
      <w:r>
        <w:t>,</w:t>
      </w:r>
      <w:r w:rsidRPr="009C34F0">
        <w:t xml:space="preserve"> published in the </w:t>
      </w:r>
      <w:r w:rsidRPr="003131F3">
        <w:t>Mid-Year Economic and Fiscal Outlook 2023–24</w:t>
      </w:r>
      <w:r w:rsidRPr="009C34F0">
        <w:t>.</w:t>
      </w:r>
    </w:p>
    <w:p w14:paraId="4EA47278" w14:textId="2990FCA6" w:rsidR="000D3DCF" w:rsidRPr="009C34F0" w:rsidRDefault="000D3DCF" w:rsidP="00565716">
      <w:pPr>
        <w:rPr>
          <w:rFonts w:eastAsia="Calibri"/>
        </w:rPr>
      </w:pPr>
      <w:r>
        <w:t>We measure the</w:t>
      </w:r>
      <w:r w:rsidRPr="009C34F0">
        <w:t xml:space="preserve"> efficiency of the </w:t>
      </w:r>
      <w:r>
        <w:t>NDIA</w:t>
      </w:r>
      <w:r w:rsidRPr="009C34F0">
        <w:t xml:space="preserve"> </w:t>
      </w:r>
      <w:r>
        <w:t xml:space="preserve">by </w:t>
      </w:r>
      <w:r w:rsidRPr="009C34F0">
        <w:t>calculat</w:t>
      </w:r>
      <w:r>
        <w:t>ing</w:t>
      </w:r>
      <w:r w:rsidRPr="009C34F0">
        <w:t xml:space="preserve"> </w:t>
      </w:r>
      <w:r>
        <w:t>NDIA</w:t>
      </w:r>
      <w:r w:rsidRPr="009C34F0">
        <w:t xml:space="preserve"> costs (Program 1.2) as a percentage of </w:t>
      </w:r>
      <w:r>
        <w:t>NDIS</w:t>
      </w:r>
      <w:r w:rsidRPr="009C34F0">
        <w:t xml:space="preserve"> costs (Program 1.1) for the financial year (accrual basis).</w:t>
      </w:r>
    </w:p>
    <w:p w14:paraId="15C83E16" w14:textId="77777777" w:rsidR="000D3DCF" w:rsidRDefault="000D3DCF" w:rsidP="00B27FA1">
      <w:pPr>
        <w:pStyle w:val="Heading6"/>
      </w:pPr>
      <w:r>
        <w:t>Analysis</w:t>
      </w:r>
    </w:p>
    <w:p w14:paraId="3E029953" w14:textId="3C81A270" w:rsidR="000D3DCF" w:rsidRPr="009C34F0" w:rsidRDefault="000D3DCF" w:rsidP="00565716">
      <w:pPr>
        <w:rPr>
          <w:rFonts w:eastAsia="Calibri"/>
        </w:rPr>
      </w:pPr>
      <w:r w:rsidRPr="009C34F0">
        <w:rPr>
          <w:rFonts w:eastAsia="Calibri"/>
        </w:rPr>
        <w:t>The</w:t>
      </w:r>
      <w:r>
        <w:rPr>
          <w:rFonts w:eastAsia="Calibri"/>
        </w:rPr>
        <w:t>re was one</w:t>
      </w:r>
      <w:r w:rsidRPr="009C34F0">
        <w:rPr>
          <w:rFonts w:eastAsia="Calibri"/>
        </w:rPr>
        <w:t xml:space="preserve"> key driver of NDIA spend </w:t>
      </w:r>
      <w:r>
        <w:rPr>
          <w:rFonts w:eastAsia="Calibri"/>
        </w:rPr>
        <w:t>being</w:t>
      </w:r>
      <w:r w:rsidRPr="009C34F0">
        <w:rPr>
          <w:rFonts w:eastAsia="Calibri"/>
        </w:rPr>
        <w:t xml:space="preserve"> lower than provided for in the Social Services </w:t>
      </w:r>
      <w:r w:rsidRPr="003131F3">
        <w:t>Mid-Year Economic and Fiscal Outlook 2023–24</w:t>
      </w:r>
      <w:r>
        <w:t>.</w:t>
      </w:r>
      <w:r w:rsidRPr="009C34F0">
        <w:t xml:space="preserve"> </w:t>
      </w:r>
      <w:r>
        <w:t>This was because of</w:t>
      </w:r>
      <w:r w:rsidRPr="009C34F0">
        <w:rPr>
          <w:rFonts w:eastAsia="Calibri"/>
        </w:rPr>
        <w:t xml:space="preserve"> timing differences associated with the delivery of 2023-24 Budget measures – a total of $280</w:t>
      </w:r>
      <w:r>
        <w:rPr>
          <w:rFonts w:eastAsia="Calibri"/>
        </w:rPr>
        <w:t xml:space="preserve"> </w:t>
      </w:r>
      <w:r w:rsidRPr="009C34F0">
        <w:rPr>
          <w:rFonts w:eastAsia="Calibri"/>
        </w:rPr>
        <w:t>m</w:t>
      </w:r>
      <w:r>
        <w:rPr>
          <w:rFonts w:eastAsia="Calibri"/>
        </w:rPr>
        <w:t>illion</w:t>
      </w:r>
      <w:r w:rsidRPr="009C34F0">
        <w:rPr>
          <w:rFonts w:eastAsia="Calibri"/>
        </w:rPr>
        <w:t xml:space="preserve"> was allocated in the 2023</w:t>
      </w:r>
      <w:r w:rsidRPr="003131F3">
        <w:t>–</w:t>
      </w:r>
      <w:r w:rsidRPr="009C34F0">
        <w:rPr>
          <w:rFonts w:eastAsia="Calibri"/>
        </w:rPr>
        <w:t xml:space="preserve">24 budget for </w:t>
      </w:r>
      <w:r>
        <w:rPr>
          <w:rFonts w:eastAsia="Calibri"/>
        </w:rPr>
        <w:t>reform initiatives</w:t>
      </w:r>
      <w:r w:rsidR="00113B50">
        <w:rPr>
          <w:rFonts w:eastAsia="Calibri"/>
        </w:rPr>
        <w:t>;</w:t>
      </w:r>
      <w:r w:rsidRPr="009C34F0">
        <w:rPr>
          <w:rFonts w:eastAsia="Calibri"/>
        </w:rPr>
        <w:t xml:space="preserve"> however</w:t>
      </w:r>
      <w:r w:rsidR="00C117FF">
        <w:rPr>
          <w:rFonts w:eastAsia="Calibri"/>
        </w:rPr>
        <w:t>,</w:t>
      </w:r>
      <w:r w:rsidRPr="009C34F0">
        <w:rPr>
          <w:rFonts w:eastAsia="Calibri"/>
        </w:rPr>
        <w:t xml:space="preserve"> $146</w:t>
      </w:r>
      <w:r>
        <w:rPr>
          <w:rFonts w:eastAsia="Calibri"/>
        </w:rPr>
        <w:t xml:space="preserve"> </w:t>
      </w:r>
      <w:r w:rsidRPr="009C34F0">
        <w:rPr>
          <w:rFonts w:eastAsia="Calibri"/>
        </w:rPr>
        <w:t>m</w:t>
      </w:r>
      <w:r>
        <w:rPr>
          <w:rFonts w:eastAsia="Calibri"/>
        </w:rPr>
        <w:t>illion</w:t>
      </w:r>
      <w:r w:rsidRPr="009C34F0">
        <w:rPr>
          <w:rFonts w:eastAsia="Calibri"/>
        </w:rPr>
        <w:t xml:space="preserve"> was </w:t>
      </w:r>
      <w:r>
        <w:rPr>
          <w:rFonts w:eastAsia="Calibri"/>
        </w:rPr>
        <w:t>allocated for spending in</w:t>
      </w:r>
      <w:r w:rsidRPr="009C34F0">
        <w:rPr>
          <w:rFonts w:eastAsia="Calibri"/>
        </w:rPr>
        <w:t xml:space="preserve"> later years, with a further underspend of around $30</w:t>
      </w:r>
      <w:r>
        <w:rPr>
          <w:rFonts w:eastAsia="Calibri"/>
        </w:rPr>
        <w:t xml:space="preserve"> </w:t>
      </w:r>
      <w:r w:rsidRPr="009C34F0">
        <w:rPr>
          <w:rFonts w:eastAsia="Calibri"/>
        </w:rPr>
        <w:t>m</w:t>
      </w:r>
      <w:r>
        <w:rPr>
          <w:rFonts w:eastAsia="Calibri"/>
        </w:rPr>
        <w:t>illion</w:t>
      </w:r>
      <w:r w:rsidRPr="009C34F0">
        <w:rPr>
          <w:rFonts w:eastAsia="Calibri"/>
        </w:rPr>
        <w:t xml:space="preserve"> being recorded (a total of $176</w:t>
      </w:r>
      <w:r>
        <w:rPr>
          <w:rFonts w:eastAsia="Calibri"/>
        </w:rPr>
        <w:t xml:space="preserve"> </w:t>
      </w:r>
      <w:r w:rsidRPr="009C34F0">
        <w:rPr>
          <w:rFonts w:eastAsia="Calibri"/>
        </w:rPr>
        <w:t>m</w:t>
      </w:r>
      <w:r>
        <w:rPr>
          <w:rFonts w:eastAsia="Calibri"/>
        </w:rPr>
        <w:t>illion</w:t>
      </w:r>
      <w:r w:rsidRPr="009C34F0">
        <w:rPr>
          <w:rFonts w:eastAsia="Calibri"/>
        </w:rPr>
        <w:t xml:space="preserve">). </w:t>
      </w:r>
      <w:r>
        <w:rPr>
          <w:rFonts w:eastAsia="Calibri"/>
        </w:rPr>
        <w:t>T</w:t>
      </w:r>
      <w:r w:rsidRPr="009C34F0">
        <w:rPr>
          <w:rFonts w:eastAsia="Calibri"/>
        </w:rPr>
        <w:t xml:space="preserve">his was </w:t>
      </w:r>
      <w:r>
        <w:rPr>
          <w:rFonts w:eastAsia="Calibri"/>
        </w:rPr>
        <w:t xml:space="preserve">partially offset by </w:t>
      </w:r>
      <w:r w:rsidRPr="009C34F0">
        <w:rPr>
          <w:rFonts w:eastAsia="Calibri"/>
        </w:rPr>
        <w:t>additional spend overall in the NDIA business</w:t>
      </w:r>
      <w:r>
        <w:rPr>
          <w:rFonts w:eastAsia="Calibri"/>
        </w:rPr>
        <w:t>-</w:t>
      </w:r>
      <w:r w:rsidRPr="009C34F0">
        <w:rPr>
          <w:rFonts w:eastAsia="Calibri"/>
        </w:rPr>
        <w:t>as</w:t>
      </w:r>
      <w:r>
        <w:rPr>
          <w:rFonts w:eastAsia="Calibri"/>
        </w:rPr>
        <w:t>-</w:t>
      </w:r>
      <w:r w:rsidRPr="009C34F0">
        <w:rPr>
          <w:rFonts w:eastAsia="Calibri"/>
        </w:rPr>
        <w:t xml:space="preserve">usual budget. Additional funding provided in the </w:t>
      </w:r>
      <w:r w:rsidRPr="003131F3">
        <w:t>Mid-Year Economic and Fiscal Outlook 2023–24</w:t>
      </w:r>
      <w:r w:rsidRPr="009C34F0">
        <w:t xml:space="preserve"> </w:t>
      </w:r>
      <w:r w:rsidRPr="009C34F0">
        <w:rPr>
          <w:rFonts w:eastAsia="Calibri"/>
        </w:rPr>
        <w:t>and 2024</w:t>
      </w:r>
      <w:r w:rsidR="00230E04" w:rsidRPr="003131F3">
        <w:t>–</w:t>
      </w:r>
      <w:r w:rsidRPr="009C34F0">
        <w:rPr>
          <w:rFonts w:eastAsia="Calibri"/>
        </w:rPr>
        <w:t>25 Budget (for 2023</w:t>
      </w:r>
      <w:r w:rsidRPr="003131F3">
        <w:t>–</w:t>
      </w:r>
      <w:r w:rsidRPr="009C34F0">
        <w:rPr>
          <w:rFonts w:eastAsia="Calibri"/>
        </w:rPr>
        <w:t>24) does not impact this metric.</w:t>
      </w:r>
    </w:p>
    <w:p w14:paraId="04C0DC00" w14:textId="3695B2DC" w:rsidR="000D3DCF" w:rsidRPr="009C34F0" w:rsidRDefault="000D3DCF" w:rsidP="00565716">
      <w:pPr>
        <w:rPr>
          <w:rFonts w:eastAsia="Calibri"/>
        </w:rPr>
      </w:pPr>
      <w:r w:rsidRPr="009C34F0">
        <w:rPr>
          <w:rFonts w:eastAsia="Arial"/>
        </w:rPr>
        <w:lastRenderedPageBreak/>
        <w:t xml:space="preserve">The </w:t>
      </w:r>
      <w:r w:rsidRPr="003131F3">
        <w:rPr>
          <w:rFonts w:eastAsia="Arial"/>
        </w:rPr>
        <w:t>Social Services Portfolio Budget Statements</w:t>
      </w:r>
      <w:r w:rsidRPr="00F86FC3">
        <w:rPr>
          <w:rFonts w:eastAsia="Arial"/>
        </w:rPr>
        <w:t xml:space="preserve"> 2024</w:t>
      </w:r>
      <w:r w:rsidRPr="003131F3">
        <w:t>–</w:t>
      </w:r>
      <w:r w:rsidRPr="00F86FC3">
        <w:rPr>
          <w:rFonts w:eastAsia="Arial"/>
        </w:rPr>
        <w:t>25</w:t>
      </w:r>
      <w:r w:rsidRPr="009C34F0">
        <w:rPr>
          <w:rFonts w:eastAsia="Arial"/>
        </w:rPr>
        <w:t xml:space="preserve"> set out the anticipated expenditure for Program 1.2. </w:t>
      </w:r>
      <w:r>
        <w:rPr>
          <w:rFonts w:eastAsia="Arial"/>
        </w:rPr>
        <w:t xml:space="preserve">The </w:t>
      </w:r>
      <w:r w:rsidRPr="009C34F0">
        <w:rPr>
          <w:rFonts w:eastAsia="Arial Unicode MS"/>
        </w:rPr>
        <w:t>Program 1.2 expenditure estimate for the 2024</w:t>
      </w:r>
      <w:r w:rsidRPr="003131F3">
        <w:t>–</w:t>
      </w:r>
      <w:r w:rsidRPr="009C34F0">
        <w:rPr>
          <w:rFonts w:eastAsia="Arial Unicode MS"/>
        </w:rPr>
        <w:t xml:space="preserve">25 </w:t>
      </w:r>
      <w:r>
        <w:rPr>
          <w:rFonts w:eastAsia="Arial Unicode MS"/>
        </w:rPr>
        <w:t>B</w:t>
      </w:r>
      <w:r w:rsidRPr="009C34F0">
        <w:rPr>
          <w:rFonts w:eastAsia="Arial Unicode MS"/>
        </w:rPr>
        <w:t xml:space="preserve">udget is $2.7 billion, followed by $1.7 billion each financial year </w:t>
      </w:r>
      <w:r w:rsidR="00DB11F6">
        <w:rPr>
          <w:rFonts w:eastAsia="Arial Unicode MS"/>
        </w:rPr>
        <w:t>until</w:t>
      </w:r>
      <w:r w:rsidRPr="009C34F0">
        <w:rPr>
          <w:rFonts w:eastAsia="Arial Unicode MS"/>
        </w:rPr>
        <w:t xml:space="preserve"> 2027</w:t>
      </w:r>
      <w:r w:rsidRPr="003131F3">
        <w:t>–</w:t>
      </w:r>
      <w:r w:rsidRPr="009C34F0">
        <w:rPr>
          <w:rFonts w:eastAsia="Arial Unicode MS"/>
        </w:rPr>
        <w:t>28.</w:t>
      </w:r>
    </w:p>
    <w:p w14:paraId="0272E92E" w14:textId="696EDC45" w:rsidR="001F5A8E" w:rsidRPr="00A33264" w:rsidRDefault="000D3DCF" w:rsidP="009B5EFC">
      <w:pPr>
        <w:rPr>
          <w:lang w:val="en-GB"/>
        </w:rPr>
      </w:pPr>
      <w:r w:rsidRPr="009C34F0">
        <w:rPr>
          <w:rFonts w:eastAsia="Calibri"/>
        </w:rPr>
        <w:t>NDIA spend as a portion of NDIS spend remains below the 7</w:t>
      </w:r>
      <w:r w:rsidRPr="003131F3">
        <w:t>–</w:t>
      </w:r>
      <w:r w:rsidRPr="009C34F0">
        <w:rPr>
          <w:rFonts w:eastAsia="Calibri"/>
        </w:rPr>
        <w:t>10% benchmark set by the Productivity Commission. The 5.0% figure recorded for this year is slightly lower than last year (5.2%).</w:t>
      </w:r>
    </w:p>
    <w:p w14:paraId="3335A314" w14:textId="77777777" w:rsidR="009B5EFC" w:rsidRPr="00A33264" w:rsidRDefault="009B5EFC" w:rsidP="009B5EFC">
      <w:pPr>
        <w:rPr>
          <w:lang w:val="en-GB"/>
        </w:rPr>
        <w:sectPr w:rsidR="009B5EFC" w:rsidRPr="00A33264" w:rsidSect="00933EF1">
          <w:headerReference w:type="default" r:id="rId31"/>
          <w:footerReference w:type="default" r:id="rId32"/>
          <w:headerReference w:type="first" r:id="rId33"/>
          <w:footerReference w:type="first" r:id="rId34"/>
          <w:pgSz w:w="11906" w:h="16838" w:code="9"/>
          <w:pgMar w:top="1361" w:right="1361" w:bottom="1361" w:left="1361" w:header="561" w:footer="374" w:gutter="0"/>
          <w:cols w:space="708"/>
          <w:titlePg/>
          <w:docGrid w:linePitch="360"/>
        </w:sectPr>
      </w:pPr>
    </w:p>
    <w:p w14:paraId="4500B5FD" w14:textId="33C0A2A2" w:rsidR="005921BC" w:rsidRPr="00A33264" w:rsidRDefault="005921BC" w:rsidP="005921BC">
      <w:pPr>
        <w:pStyle w:val="Heading2"/>
        <w:rPr>
          <w:lang w:val="en-GB"/>
        </w:rPr>
      </w:pPr>
      <w:bookmarkStart w:id="98" w:name="_Toc175316892"/>
      <w:bookmarkStart w:id="99" w:name="_Toc176786383"/>
      <w:bookmarkStart w:id="100" w:name="_Toc180505665"/>
      <w:r w:rsidRPr="00A33264">
        <w:rPr>
          <w:lang w:val="en-GB"/>
        </w:rPr>
        <w:lastRenderedPageBreak/>
        <w:t>Financial statements</w:t>
      </w:r>
      <w:bookmarkEnd w:id="64"/>
      <w:bookmarkEnd w:id="65"/>
      <w:bookmarkEnd w:id="66"/>
      <w:bookmarkEnd w:id="98"/>
      <w:bookmarkEnd w:id="99"/>
      <w:bookmarkEnd w:id="100"/>
    </w:p>
    <w:p w14:paraId="583736E0" w14:textId="4B1FD28C" w:rsidR="005921BC" w:rsidRPr="00A33264" w:rsidRDefault="005921BC" w:rsidP="005921BC">
      <w:pPr>
        <w:pStyle w:val="Heading3"/>
        <w:rPr>
          <w:lang w:val="en-GB"/>
        </w:rPr>
      </w:pPr>
      <w:bookmarkStart w:id="101" w:name="_Toc169592964"/>
      <w:bookmarkStart w:id="102" w:name="_Toc174354189"/>
      <w:bookmarkStart w:id="103" w:name="_Toc175316893"/>
      <w:bookmarkStart w:id="104" w:name="_Toc176786384"/>
      <w:bookmarkStart w:id="105" w:name="_Toc180505666"/>
      <w:r w:rsidRPr="00A33264">
        <w:rPr>
          <w:lang w:val="en-GB"/>
        </w:rPr>
        <w:t>Independent audit report</w:t>
      </w:r>
      <w:bookmarkEnd w:id="101"/>
      <w:bookmarkEnd w:id="102"/>
      <w:bookmarkEnd w:id="103"/>
      <w:bookmarkEnd w:id="104"/>
      <w:bookmarkEnd w:id="105"/>
    </w:p>
    <w:p w14:paraId="31F4223A" w14:textId="23B5B770" w:rsidR="005921BC" w:rsidRPr="00A33264" w:rsidRDefault="00EF11F3" w:rsidP="005921BC">
      <w:pPr>
        <w:rPr>
          <w:lang w:val="en-GB"/>
        </w:rPr>
      </w:pPr>
      <w:r>
        <w:rPr>
          <w:noProof/>
        </w:rPr>
        <w:drawing>
          <wp:inline distT="0" distB="0" distL="0" distR="0" wp14:anchorId="7A672171" wp14:editId="11C4E891">
            <wp:extent cx="5347339" cy="7658100"/>
            <wp:effectExtent l="0" t="0" r="5715" b="0"/>
            <wp:docPr id="1181314265" name="Picture 1" descr="Page from Independent Auditor’s report.&#10;Australian Government crest.&#10;Australian National Audit Office logo.&#10;INDEPENDENT AUDITOR’S REPORT.&#10;To the Minister for the National Disability Insurance Scheme.&#10;Opinion.&#10;In my opinion, the financial statements of the National Disability Insurance Agency (the Entity) for the year ended 30 June 2024:&#10;(a) comply with Australian Accounting Standards – Simplified Disclosures and the Public Governance, Performance and Accountability (Financial Reporting) Rule 2015; and&#10;(b) present fairly the financial position of the Entity as at 30 June 2024 and its financial performance and cash flows for the year then ended.&#10;The financial statements of the Entity, which I have audited, comprise the following as at 30 June 2024 and for the year then ended:&#10;Statement by the Chair of the Board, Chief Executive Officer, Chief Financial Officer and Chair of the Audit Committee;&#10;Statement of Comprehensive Income;&#10;Statement of Financial Position;&#10;Statement of Changes in Equity;&#10;Cash Flow Statement; and&#10;Notes to and forming part of the financial statements, comprising a summary of significant accounting policies and other explanatory information.&#10;Basis for opinion.&#10;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of my report. I am independent of the Ent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including Independence Standards) (the Code) to the extent that they are not in conflict with the Auditor- General Act 1997. I have also fulfilled my other responsibilities in accordance with the Code. I believe that the audit evidence I have obtained is sufficient and appropriate to provide a basis for my opinion.&#10;Key audit matters.&#10;Key audit matters are those matters that, in my professional judgement, were of most significance in my audit of the financial statements of the current period. These matters were addressed in the context of my audit of the financial statements as a whole, and in forming my opinion thereon, and I do not provide a separate opinion on these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14265" name="Picture 1" descr="Page from Independent Auditor’s report.&#10;Australian Government crest.&#10;Australian National Audit Office logo.&#10;INDEPENDENT AUDITOR’S REPORT.&#10;To the Minister for the National Disability Insurance Scheme.&#10;Opinion.&#10;In my opinion, the financial statements of the National Disability Insurance Agency (the Entity) for the year ended 30 June 2024:&#10;(a) comply with Australian Accounting Standards – Simplified Disclosures and the Public Governance, Performance and Accountability (Financial Reporting) Rule 2015; and&#10;(b) present fairly the financial position of the Entity as at 30 June 2024 and its financial performance and cash flows for the year then ended.&#10;The financial statements of the Entity, which I have audited, comprise the following as at 30 June 2024 and for the year then ended:&#10;Statement by the Chair of the Board, Chief Executive Officer, Chief Financial Officer and Chair of the Audit Committee;&#10;Statement of Comprehensive Income;&#10;Statement of Financial Position;&#10;Statement of Changes in Equity;&#10;Cash Flow Statement; and&#10;Notes to and forming part of the financial statements, comprising a summary of significant accounting policies and other explanatory information.&#10;Basis for opinion.&#10;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of my report. I am independent of the Ent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including Independence Standards) (the Code) to the extent that they are not in conflict with the Auditor- General Act 1997. I have also fulfilled my other responsibilities in accordance with the Code. I believe that the audit evidence I have obtained is sufficient and appropriate to provide a basis for my opinion.&#10;Key audit matters.&#10;Key audit matters are those matters that, in my professional judgement, were of most significance in my audit of the financial statements of the current period. These matters were addressed in the context of my audit of the financial statements as a whole, and in forming my opinion thereon, and I do not provide a separate opinion on these matters."/>
                    <pic:cNvPicPr/>
                  </pic:nvPicPr>
                  <pic:blipFill rotWithShape="1">
                    <a:blip r:embed="rId35"/>
                    <a:srcRect t="666" b="931"/>
                    <a:stretch/>
                  </pic:blipFill>
                  <pic:spPr bwMode="auto">
                    <a:xfrm>
                      <a:off x="0" y="0"/>
                      <a:ext cx="5354599" cy="7668497"/>
                    </a:xfrm>
                    <a:prstGeom prst="rect">
                      <a:avLst/>
                    </a:prstGeom>
                    <a:ln>
                      <a:noFill/>
                    </a:ln>
                    <a:extLst>
                      <a:ext uri="{53640926-AAD7-44D8-BBD7-CCE9431645EC}">
                        <a14:shadowObscured xmlns:a14="http://schemas.microsoft.com/office/drawing/2010/main"/>
                      </a:ext>
                    </a:extLst>
                  </pic:spPr>
                </pic:pic>
              </a:graphicData>
            </a:graphic>
          </wp:inline>
        </w:drawing>
      </w:r>
    </w:p>
    <w:p w14:paraId="0130223A" w14:textId="77777777" w:rsidR="00F702F0" w:rsidRDefault="001D6641">
      <w:pPr>
        <w:spacing w:after="0" w:line="240" w:lineRule="auto"/>
        <w:rPr>
          <w:noProof/>
        </w:rPr>
      </w:pPr>
      <w:bookmarkStart w:id="106" w:name="_Toc169592965"/>
      <w:bookmarkStart w:id="107" w:name="_Toc174354190"/>
      <w:r>
        <w:rPr>
          <w:noProof/>
        </w:rPr>
        <w:lastRenderedPageBreak/>
        <w:drawing>
          <wp:inline distT="0" distB="0" distL="0" distR="0" wp14:anchorId="1A9E4D1B" wp14:editId="4AE31EF4">
            <wp:extent cx="5346000" cy="8097763"/>
            <wp:effectExtent l="0" t="0" r="7620" b="0"/>
            <wp:docPr id="1168166223" name="Picture 1" descr="Independent auditor’s report continued.&#10;Key audit matter.&#10;Accuracy and occurrence of participant plan expenses.&#10;Refer to Note 1.1G Participants’ plan expenses&#10;I focused on participant plan expenses due to the continued growth in participant numbers entering the National Disability Insurance Scheme (the Scheme), the high volume of transactions and the significance of the balance to the financial statements. Decisions as to the appropriate level of support and therefore the associated expenses are complex as the Scheme participants have varying needs.&#10;For the year ended 30 June 2024, participant plan expenses were $41.85 billion.&#10;How the audit addressed the matter.&#10;The audit procedures I undertook to address this included:&#10;Testing the design, implementation and operating effectiveness of key controls related to the assessment of whether a participant meets the Scheme eligibility requirements, participant plan approvals, and claim validation and processing; and&#10;Examining the quality assurance framework implemented by the Entity including a compliance and assurance program over payment accuracy and integrity, scheme access and participant plan approvals.&#10;Key audit matter.&#10;Valuation of participant plan provision.&#10;Refer to Note 2.6 Participant plan provisions.&#10;The Entity recognises a provision to pay disability service providers or participants when a service under a participant plan is delivered but not yet notified to the Entity. As there can be a time lag between the provision of services and lodgement of a claim, the financial statements include an estimate of the expenditure required to settle the obligations at the end of the reporting period.&#10;I focused on this area because, in estimating this provision, the Entity needs to make significant judgements and assumptions about the timing and amount of cashflows due to the complexity of estimating the pattern of support claimed by participants or providers.&#10;For the year ended 30 June 2024, the participant plan provision was $2.07 billion.&#10;How the audit addressed the matter.&#10;The audit procedures I undertook to address this included:&#10;Assessing the competence and capability of the Scheme Actuary in making the estimation;&#10;Evaluating the reasonableness of the judgements and assumptions made on the advice of the Scheme Actuary in the estimation of the provision; and&#10;Assessing the data used in the estimation process for accuracy and completeness.&#10;Key audit matter.&#10;Completeness, occurrence and accuracy of in-kind revenues and expenses.&#10;Refer to Note 1.2D Other gains.&#10;Refer to Note 1.1G Participant plan expenses.&#10;Terms and conditions for determining the cash and in-kind contributions for the funding of the Scheme are set out in the bilateral agreements between each State and Territory and the Commonwealth. In-kind contributions relate to services provided by the States and Territories directly to organisations providing disability services. The contribution is accounted for as revenue received free of charge at the date the services are provided. The use of these services is also recognised as an equivalent expense.&#10;I focused on this area due to the significance to the financial statements and the reliance on data from the States and Territories around the completeness, occurrence and accuracy of agreed services provided to people with a disability.&#10;For the year ended 30 June 2024, in-kind revenue and expenses were $952 million.&#10;How the audit addressed the matter.&#10;The audit procedures I undertook to address this included:&#10;Evaluated the reasonableness of the in-kind revenue and expenses recorded in the financial year in accordance with the data provided by the States and Territories and the bilateral agreements;&#10;Tested the accuracy and completeness of in-kind adjustments made in the quarterly reconciliations for State and Territory contributions; and&#10;Tested the accuracy and completeness of the in-kind reconciliation at yea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66223" name="Picture 1" descr="Independent auditor’s report continued.&#10;Key audit matter.&#10;Accuracy and occurrence of participant plan expenses.&#10;Refer to Note 1.1G Participants’ plan expenses&#10;I focused on participant plan expenses due to the continued growth in participant numbers entering the National Disability Insurance Scheme (the Scheme), the high volume of transactions and the significance of the balance to the financial statements. Decisions as to the appropriate level of support and therefore the associated expenses are complex as the Scheme participants have varying needs.&#10;For the year ended 30 June 2024, participant plan expenses were $41.85 billion.&#10;How the audit addressed the matter.&#10;The audit procedures I undertook to address this included:&#10;Testing the design, implementation and operating effectiveness of key controls related to the assessment of whether a participant meets the Scheme eligibility requirements, participant plan approvals, and claim validation and processing; and&#10;Examining the quality assurance framework implemented by the Entity including a compliance and assurance program over payment accuracy and integrity, scheme access and participant plan approvals.&#10;Key audit matter.&#10;Valuation of participant plan provision.&#10;Refer to Note 2.6 Participant plan provisions.&#10;The Entity recognises a provision to pay disability service providers or participants when a service under a participant plan is delivered but not yet notified to the Entity. As there can be a time lag between the provision of services and lodgement of a claim, the financial statements include an estimate of the expenditure required to settle the obligations at the end of the reporting period.&#10;I focused on this area because, in estimating this provision, the Entity needs to make significant judgements and assumptions about the timing and amount of cashflows due to the complexity of estimating the pattern of support claimed by participants or providers.&#10;For the year ended 30 June 2024, the participant plan provision was $2.07 billion.&#10;How the audit addressed the matter.&#10;The audit procedures I undertook to address this included:&#10;Assessing the competence and capability of the Scheme Actuary in making the estimation;&#10;Evaluating the reasonableness of the judgements and assumptions made on the advice of the Scheme Actuary in the estimation of the provision; and&#10;Assessing the data used in the estimation process for accuracy and completeness.&#10;Key audit matter.&#10;Completeness, occurrence and accuracy of in-kind revenues and expenses.&#10;Refer to Note 1.2D Other gains.&#10;Refer to Note 1.1G Participant plan expenses.&#10;Terms and conditions for determining the cash and in-kind contributions for the funding of the Scheme are set out in the bilateral agreements between each State and Territory and the Commonwealth. In-kind contributions relate to services provided by the States and Territories directly to organisations providing disability services. The contribution is accounted for as revenue received free of charge at the date the services are provided. The use of these services is also recognised as an equivalent expense.&#10;I focused on this area due to the significance to the financial statements and the reliance on data from the States and Territories around the completeness, occurrence and accuracy of agreed services provided to people with a disability.&#10;For the year ended 30 June 2024, in-kind revenue and expenses were $952 million.&#10;How the audit addressed the matter.&#10;The audit procedures I undertook to address this included:&#10;Evaluated the reasonableness of the in-kind revenue and expenses recorded in the financial year in accordance with the data provided by the States and Territories and the bilateral agreements;&#10;Tested the accuracy and completeness of in-kind adjustments made in the quarterly reconciliations for State and Territory contributions; and&#10;Tested the accuracy and completeness of the in-kind reconciliation at year-end."/>
                    <pic:cNvPicPr/>
                  </pic:nvPicPr>
                  <pic:blipFill>
                    <a:blip r:embed="rId36"/>
                    <a:stretch>
                      <a:fillRect/>
                    </a:stretch>
                  </pic:blipFill>
                  <pic:spPr>
                    <a:xfrm>
                      <a:off x="0" y="0"/>
                      <a:ext cx="5346000" cy="8097763"/>
                    </a:xfrm>
                    <a:prstGeom prst="rect">
                      <a:avLst/>
                    </a:prstGeom>
                  </pic:spPr>
                </pic:pic>
              </a:graphicData>
            </a:graphic>
          </wp:inline>
        </w:drawing>
      </w:r>
      <w:r w:rsidR="001D7BD4" w:rsidRPr="001D7BD4">
        <w:rPr>
          <w:noProof/>
        </w:rPr>
        <w:t xml:space="preserve"> </w:t>
      </w:r>
      <w:r w:rsidR="001D7BD4">
        <w:rPr>
          <w:noProof/>
        </w:rPr>
        <w:lastRenderedPageBreak/>
        <w:drawing>
          <wp:inline distT="0" distB="0" distL="0" distR="0" wp14:anchorId="7AB0482F" wp14:editId="58F031AB">
            <wp:extent cx="5346000" cy="7867018"/>
            <wp:effectExtent l="0" t="0" r="7620" b="635"/>
            <wp:docPr id="1021138053" name="Picture 1" descr="Independent auditor’s report continued.&#10;Accountable Authority’s responsibility for the financial statements.&#10;As the Accountable Authority of the Entity, the Board is responsible under the Public Governance, Performance and Accountability Act 2013 (the Act) for the preparation and fair presentation of annual financial statements that comply with Australian Accounting Standards – Simplified Disclosures and the rules made under the Act. The Board is also responsible for such internal control as the Board determines is necessary to enable the preparation of financial statements that are free from material misstatement, whether due to fraud or error.&#10;In preparing the financial statements, the Board is responsible for assessing the ability of the Entity to continue as a going concern, taking into account whether the Entity’s operations will cease as a result of an administrative restructure or for any other reason. The Board is also responsible for disclosing, as applicable, matters related to going concern and using the going concern basis of accounting unless the assessment indicates that it is not appropriate.&#10;Auditor’s responsibilities for the audit of the financial statements.&#10;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10;As part of an audit in accordance with the Australian National Audit Office Auditing Standards, I exercise professional judgement and maintain professional scepticism throughout the audit. I also:&#10;• 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10;Obtain an understanding of internal control relevant to the audit in order to design audit procedures that are appropriate in the circumstances, but not for the purpose of expressing an opinion on the effectiveness of the Entity’s internal control;&#10;Evaluate the appropriateness of accounting policies used and the reasonableness of accounting estimates and related disclosures made by the Accountable Authority;&#10;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10;Evaluate the overall presentation, structure and content of the financial statements, including the disclosures, and whether the financial statements represent the underlying transactions and events in a manner that achieves fair present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38053" name="Picture 1" descr="Independent auditor’s report continued.&#10;Accountable Authority’s responsibility for the financial statements.&#10;As the Accountable Authority of the Entity, the Board is responsible under the Public Governance, Performance and Accountability Act 2013 (the Act) for the preparation and fair presentation of annual financial statements that comply with Australian Accounting Standards – Simplified Disclosures and the rules made under the Act. The Board is also responsible for such internal control as the Board determines is necessary to enable the preparation of financial statements that are free from material misstatement, whether due to fraud or error.&#10;In preparing the financial statements, the Board is responsible for assessing the ability of the Entity to continue as a going concern, taking into account whether the Entity’s operations will cease as a result of an administrative restructure or for any other reason. The Board is also responsible for disclosing, as applicable, matters related to going concern and using the going concern basis of accounting unless the assessment indicates that it is not appropriate.&#10;Auditor’s responsibilities for the audit of the financial statements.&#10;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10;As part of an audit in accordance with the Australian National Audit Office Auditing Standards, I exercise professional judgement and maintain professional scepticism throughout the audit. I also:&#10;• 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10;Obtain an understanding of internal control relevant to the audit in order to design audit procedures that are appropriate in the circumstances, but not for the purpose of expressing an opinion on the effectiveness of the Entity’s internal control;&#10;Evaluate the appropriateness of accounting policies used and the reasonableness of accounting estimates and related disclosures made by the Accountable Authority;&#10;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10;Evaluate the overall presentation, structure and content of the financial statements, including the disclosures, and whether the financial statements represent the underlying transactions and events in a manner that achieves fair presentation.&#10;"/>
                    <pic:cNvPicPr/>
                  </pic:nvPicPr>
                  <pic:blipFill>
                    <a:blip r:embed="rId37"/>
                    <a:stretch>
                      <a:fillRect/>
                    </a:stretch>
                  </pic:blipFill>
                  <pic:spPr>
                    <a:xfrm>
                      <a:off x="0" y="0"/>
                      <a:ext cx="5346000" cy="7867018"/>
                    </a:xfrm>
                    <a:prstGeom prst="rect">
                      <a:avLst/>
                    </a:prstGeom>
                  </pic:spPr>
                </pic:pic>
              </a:graphicData>
            </a:graphic>
          </wp:inline>
        </w:drawing>
      </w:r>
      <w:r w:rsidR="009A686B" w:rsidRPr="009A686B">
        <w:rPr>
          <w:noProof/>
        </w:rPr>
        <w:t xml:space="preserve"> </w:t>
      </w:r>
      <w:r w:rsidR="009A686B">
        <w:rPr>
          <w:noProof/>
        </w:rPr>
        <w:lastRenderedPageBreak/>
        <w:drawing>
          <wp:inline distT="0" distB="0" distL="0" distR="0" wp14:anchorId="4E843AAB" wp14:editId="2B8D8542">
            <wp:extent cx="5346000" cy="3654783"/>
            <wp:effectExtent l="0" t="0" r="7620" b="3175"/>
            <wp:docPr id="1732282099" name="Picture 1" descr="Independent audi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82099" name="Picture 1" descr="Independent audit report"/>
                    <pic:cNvPicPr/>
                  </pic:nvPicPr>
                  <pic:blipFill>
                    <a:blip r:embed="rId38"/>
                    <a:stretch>
                      <a:fillRect/>
                    </a:stretch>
                  </pic:blipFill>
                  <pic:spPr>
                    <a:xfrm>
                      <a:off x="0" y="0"/>
                      <a:ext cx="5346000" cy="3654783"/>
                    </a:xfrm>
                    <a:prstGeom prst="rect">
                      <a:avLst/>
                    </a:prstGeom>
                  </pic:spPr>
                </pic:pic>
              </a:graphicData>
            </a:graphic>
          </wp:inline>
        </w:drawing>
      </w:r>
    </w:p>
    <w:p w14:paraId="59917EF2" w14:textId="77777777" w:rsidR="00513AA1" w:rsidRDefault="00513AA1">
      <w:pPr>
        <w:spacing w:after="0" w:line="240" w:lineRule="auto"/>
        <w:rPr>
          <w:lang w:val="en-GB"/>
        </w:rPr>
        <w:sectPr w:rsidR="00513AA1" w:rsidSect="00AF700A">
          <w:headerReference w:type="even" r:id="rId39"/>
          <w:headerReference w:type="first" r:id="rId40"/>
          <w:pgSz w:w="11906" w:h="16838" w:code="9"/>
          <w:pgMar w:top="1361" w:right="1361" w:bottom="1361" w:left="1361" w:header="561" w:footer="374" w:gutter="0"/>
          <w:cols w:space="708"/>
          <w:docGrid w:linePitch="360"/>
        </w:sectPr>
      </w:pPr>
    </w:p>
    <w:p w14:paraId="22B918AB" w14:textId="182AB040" w:rsidR="005921BC" w:rsidRPr="00A33264" w:rsidRDefault="005921BC" w:rsidP="005921BC">
      <w:pPr>
        <w:pStyle w:val="Heading3"/>
        <w:rPr>
          <w:lang w:val="en-GB"/>
        </w:rPr>
      </w:pPr>
      <w:bookmarkStart w:id="108" w:name="_Toc175316894"/>
      <w:bookmarkStart w:id="109" w:name="_Toc176786385"/>
      <w:bookmarkStart w:id="110" w:name="_Toc180505667"/>
      <w:r w:rsidRPr="00A33264">
        <w:rPr>
          <w:lang w:val="en-GB"/>
        </w:rPr>
        <w:lastRenderedPageBreak/>
        <w:t>Financial statements</w:t>
      </w:r>
      <w:bookmarkEnd w:id="106"/>
      <w:bookmarkEnd w:id="107"/>
      <w:bookmarkEnd w:id="108"/>
      <w:bookmarkEnd w:id="109"/>
      <w:bookmarkEnd w:id="110"/>
    </w:p>
    <w:p w14:paraId="11471808" w14:textId="77777777" w:rsidR="00B040FE" w:rsidRPr="00AF700A" w:rsidRDefault="00B040FE" w:rsidP="00B040FE">
      <w:pPr>
        <w:autoSpaceDE w:val="0"/>
        <w:autoSpaceDN w:val="0"/>
        <w:adjustRightInd w:val="0"/>
        <w:spacing w:line="240" w:lineRule="auto"/>
        <w:rPr>
          <w:rFonts w:cs="Arial"/>
          <w:lang w:eastAsia="en-AU"/>
        </w:rPr>
      </w:pPr>
      <w:r w:rsidRPr="00AF700A">
        <w:rPr>
          <w:rFonts w:cs="Arial"/>
          <w:lang w:eastAsia="en-AU"/>
        </w:rPr>
        <w:t xml:space="preserve">In our opinion, the attached financial statements for the year ended 30 June </w:t>
      </w:r>
      <w:r w:rsidRPr="00AF700A">
        <w:rPr>
          <w:rFonts w:cs="Arial"/>
          <w:lang w:eastAsia="en-AU"/>
        </w:rPr>
        <w:fldChar w:fldCharType="begin"/>
      </w:r>
      <w:r w:rsidRPr="00AF700A">
        <w:rPr>
          <w:rFonts w:cs="Arial"/>
          <w:lang w:eastAsia="en-AU"/>
        </w:rPr>
        <w:instrText xml:space="preserve"> DOCPROPERTY  crYear  \* MERGEFORMAT </w:instrText>
      </w:r>
      <w:r w:rsidRPr="00AF700A">
        <w:rPr>
          <w:rFonts w:cs="Arial"/>
          <w:lang w:eastAsia="en-AU"/>
        </w:rPr>
        <w:fldChar w:fldCharType="separate"/>
      </w:r>
      <w:r w:rsidRPr="00AF700A">
        <w:rPr>
          <w:rFonts w:cs="Arial"/>
          <w:lang w:eastAsia="en-AU"/>
        </w:rPr>
        <w:t>2024</w:t>
      </w:r>
      <w:r w:rsidRPr="00AF700A">
        <w:rPr>
          <w:rFonts w:cs="Arial"/>
          <w:lang w:eastAsia="en-AU"/>
        </w:rPr>
        <w:fldChar w:fldCharType="end"/>
      </w:r>
      <w:r w:rsidRPr="00AF700A">
        <w:rPr>
          <w:rFonts w:cs="Arial"/>
          <w:lang w:eastAsia="en-AU"/>
        </w:rPr>
        <w:t xml:space="preserve"> comply with subsection 42(2) of the </w:t>
      </w:r>
      <w:r w:rsidRPr="00AF700A">
        <w:rPr>
          <w:rFonts w:cs="Arial"/>
          <w:i/>
          <w:iCs/>
          <w:lang w:eastAsia="en-AU"/>
        </w:rPr>
        <w:t xml:space="preserve">Public Governance, Performance and Accountability Act 2013 </w:t>
      </w:r>
      <w:r w:rsidRPr="00AF700A">
        <w:rPr>
          <w:rFonts w:cs="Arial"/>
          <w:lang w:eastAsia="en-AU"/>
        </w:rPr>
        <w:t>(PGPA Act), and are based on properly maintained financial records as per subsection 41(2) of the PGPA Act.</w:t>
      </w:r>
    </w:p>
    <w:p w14:paraId="665BD9AA" w14:textId="62BDEE48" w:rsidR="00B040FE" w:rsidRPr="00AF700A" w:rsidRDefault="00B040FE" w:rsidP="0047225D">
      <w:pPr>
        <w:autoSpaceDE w:val="0"/>
        <w:autoSpaceDN w:val="0"/>
        <w:adjustRightInd w:val="0"/>
        <w:spacing w:line="240" w:lineRule="auto"/>
        <w:rPr>
          <w:rFonts w:cs="Arial"/>
          <w:lang w:eastAsia="en-AU"/>
        </w:rPr>
      </w:pPr>
      <w:r w:rsidRPr="00AF700A">
        <w:rPr>
          <w:rFonts w:cs="Arial"/>
          <w:lang w:eastAsia="en-AU"/>
        </w:rPr>
        <w:t>In our opinion, at the date of this statement, there are reasonable grounds to believe that the National Disability Insurance Agency will be able to pay its debts as and when they fall due.</w:t>
      </w:r>
    </w:p>
    <w:p w14:paraId="7015C8BA" w14:textId="037CDD1F" w:rsidR="00B040FE" w:rsidRPr="00AF700A" w:rsidRDefault="00B040FE" w:rsidP="00B040FE">
      <w:pPr>
        <w:spacing w:line="240" w:lineRule="auto"/>
        <w:rPr>
          <w:lang w:eastAsia="en-AU"/>
        </w:rPr>
      </w:pPr>
      <w:r w:rsidRPr="00AF700A">
        <w:rPr>
          <w:rFonts w:cs="Arial"/>
          <w:lang w:eastAsia="en-AU"/>
        </w:rPr>
        <w:t>This statement is made in accordance with a resolution of the directors.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660"/>
      </w:tblGrid>
      <w:tr w:rsidR="00B040FE" w:rsidRPr="00AF700A" w14:paraId="40E39DAC" w14:textId="77777777" w:rsidTr="00247078">
        <w:tc>
          <w:tcPr>
            <w:tcW w:w="4814" w:type="dxa"/>
            <w:tcMar>
              <w:top w:w="28" w:type="dxa"/>
              <w:left w:w="28" w:type="dxa"/>
              <w:bottom w:w="28" w:type="dxa"/>
              <w:right w:w="28" w:type="dxa"/>
            </w:tcMar>
          </w:tcPr>
          <w:p w14:paraId="039B7E8B" w14:textId="77777777" w:rsidR="009E654B" w:rsidRPr="00AF700A" w:rsidRDefault="00B040FE" w:rsidP="0047225D">
            <w:pPr>
              <w:spacing w:after="0" w:line="240" w:lineRule="auto"/>
              <w:rPr>
                <w:rFonts w:cs="Arial"/>
                <w:noProof/>
                <w:lang w:eastAsia="en-AU"/>
              </w:rPr>
            </w:pPr>
            <w:r w:rsidRPr="00AF700A">
              <w:rPr>
                <w:rFonts w:cs="Arial"/>
                <w:noProof/>
                <w:lang w:eastAsia="en-AU"/>
              </w:rPr>
              <w:drawing>
                <wp:inline distT="0" distB="0" distL="0" distR="0" wp14:anchorId="03033C34" wp14:editId="4773A6EC">
                  <wp:extent cx="863193" cy="864592"/>
                  <wp:effectExtent l="0" t="0" r="0" b="0"/>
                  <wp:docPr id="1823896982" name="Picture 5" descr="Kurt Fearnle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96982" name="Picture 5" descr="Kurt Fearnley signatur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3345" r="19070"/>
                          <a:stretch/>
                        </pic:blipFill>
                        <pic:spPr bwMode="auto">
                          <a:xfrm>
                            <a:off x="0" y="0"/>
                            <a:ext cx="886062" cy="887498"/>
                          </a:xfrm>
                          <a:prstGeom prst="rect">
                            <a:avLst/>
                          </a:prstGeom>
                          <a:noFill/>
                          <a:ln>
                            <a:noFill/>
                          </a:ln>
                          <a:extLst>
                            <a:ext uri="{53640926-AAD7-44D8-BBD7-CCE9431645EC}">
                              <a14:shadowObscured xmlns:a14="http://schemas.microsoft.com/office/drawing/2010/main"/>
                            </a:ext>
                          </a:extLst>
                        </pic:spPr>
                      </pic:pic>
                    </a:graphicData>
                  </a:graphic>
                </wp:inline>
              </w:drawing>
            </w:r>
          </w:p>
          <w:p w14:paraId="0A1C418B" w14:textId="7C0915EF" w:rsidR="00B040FE" w:rsidRPr="00AF700A" w:rsidRDefault="00B040FE" w:rsidP="0047225D">
            <w:pPr>
              <w:spacing w:after="0" w:line="240" w:lineRule="auto"/>
              <w:rPr>
                <w:rFonts w:cs="Arial"/>
                <w:noProof/>
                <w:lang w:eastAsia="en-AU"/>
              </w:rPr>
            </w:pPr>
            <w:r w:rsidRPr="00AF700A">
              <w:rPr>
                <w:rFonts w:cs="Arial"/>
                <w:noProof/>
                <w:lang w:eastAsia="en-AU"/>
              </w:rPr>
              <w:t>Signed ……………………….</w:t>
            </w:r>
          </w:p>
          <w:p w14:paraId="790B2D36" w14:textId="77777777" w:rsidR="00B040FE" w:rsidRPr="00AF700A" w:rsidRDefault="00B040FE" w:rsidP="0047225D">
            <w:pPr>
              <w:spacing w:after="0" w:line="240" w:lineRule="auto"/>
              <w:rPr>
                <w:rFonts w:cs="Arial"/>
                <w:noProof/>
                <w:lang w:eastAsia="en-AU"/>
              </w:rPr>
            </w:pPr>
            <w:r w:rsidRPr="00AF700A">
              <w:rPr>
                <w:rFonts w:cs="Arial"/>
                <w:noProof/>
                <w:lang w:eastAsia="en-AU"/>
              </w:rPr>
              <w:t>Kurt Fearnley AO</w:t>
            </w:r>
          </w:p>
          <w:p w14:paraId="3CD267E7" w14:textId="77777777" w:rsidR="00B040FE" w:rsidRPr="00AF700A" w:rsidRDefault="00B040FE" w:rsidP="0047225D">
            <w:pPr>
              <w:spacing w:after="0" w:line="240" w:lineRule="auto"/>
              <w:rPr>
                <w:rFonts w:cs="Arial"/>
                <w:noProof/>
                <w:lang w:eastAsia="en-AU"/>
              </w:rPr>
            </w:pPr>
            <w:r w:rsidRPr="00AF700A">
              <w:rPr>
                <w:rFonts w:cs="Arial"/>
                <w:noProof/>
                <w:lang w:eastAsia="en-AU"/>
              </w:rPr>
              <w:t>Chair of the Board</w:t>
            </w:r>
          </w:p>
          <w:p w14:paraId="6EE8E959" w14:textId="77777777" w:rsidR="00B040FE" w:rsidRPr="00AF700A" w:rsidRDefault="00B040FE" w:rsidP="0047225D">
            <w:pPr>
              <w:spacing w:after="0" w:line="240" w:lineRule="auto"/>
              <w:rPr>
                <w:rFonts w:cs="Arial"/>
                <w:noProof/>
                <w:highlight w:val="yellow"/>
                <w:lang w:eastAsia="en-AU"/>
              </w:rPr>
            </w:pPr>
            <w:r w:rsidRPr="00AF700A">
              <w:rPr>
                <w:rFonts w:cs="Arial"/>
                <w:noProof/>
                <w:lang w:eastAsia="en-AU"/>
              </w:rPr>
              <w:t xml:space="preserve">04 October </w:t>
            </w:r>
            <w:r w:rsidRPr="00AF700A">
              <w:rPr>
                <w:rFonts w:cs="Arial"/>
                <w:noProof/>
                <w:lang w:eastAsia="en-AU"/>
              </w:rPr>
              <w:fldChar w:fldCharType="begin"/>
            </w:r>
            <w:r w:rsidRPr="00AF700A">
              <w:rPr>
                <w:rFonts w:cs="Arial"/>
                <w:noProof/>
                <w:lang w:eastAsia="en-AU"/>
              </w:rPr>
              <w:instrText xml:space="preserve"> DOCPROPERTY  crYear  \* MERGEFORMAT </w:instrText>
            </w:r>
            <w:r w:rsidRPr="00AF700A">
              <w:rPr>
                <w:rFonts w:cs="Arial"/>
                <w:noProof/>
                <w:lang w:eastAsia="en-AU"/>
              </w:rPr>
              <w:fldChar w:fldCharType="separate"/>
            </w:r>
            <w:r w:rsidRPr="00AF700A">
              <w:rPr>
                <w:rFonts w:cs="Arial"/>
                <w:noProof/>
                <w:lang w:eastAsia="en-AU"/>
              </w:rPr>
              <w:t>2024</w:t>
            </w:r>
            <w:r w:rsidRPr="00AF700A">
              <w:rPr>
                <w:rFonts w:cs="Arial"/>
                <w:noProof/>
                <w:lang w:eastAsia="en-AU"/>
              </w:rPr>
              <w:fldChar w:fldCharType="end"/>
            </w:r>
          </w:p>
        </w:tc>
        <w:tc>
          <w:tcPr>
            <w:tcW w:w="4814" w:type="dxa"/>
            <w:tcMar>
              <w:top w:w="28" w:type="dxa"/>
              <w:left w:w="28" w:type="dxa"/>
              <w:bottom w:w="28" w:type="dxa"/>
              <w:right w:w="28" w:type="dxa"/>
            </w:tcMar>
          </w:tcPr>
          <w:p w14:paraId="0E0C3BC0" w14:textId="0E390342" w:rsidR="00B040FE" w:rsidRPr="00AF700A" w:rsidRDefault="00755767" w:rsidP="0047225D">
            <w:pPr>
              <w:spacing w:after="0" w:line="240" w:lineRule="auto"/>
              <w:rPr>
                <w:rFonts w:cs="Arial"/>
                <w:noProof/>
                <w:lang w:eastAsia="en-AU"/>
              </w:rPr>
            </w:pPr>
            <w:r w:rsidRPr="00AF700A">
              <w:rPr>
                <w:noProof/>
                <w:lang w:eastAsia="en-AU"/>
              </w:rPr>
              <w:drawing>
                <wp:inline distT="0" distB="0" distL="0" distR="0" wp14:anchorId="01646656" wp14:editId="0B20C505">
                  <wp:extent cx="2592000" cy="864000"/>
                  <wp:effectExtent l="0" t="0" r="0" b="0"/>
                  <wp:docPr id="612151822" name="Picture 1" descr="Rebecca Falkingham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51822" name="Picture 1" descr="Rebecca Falkingham signature"/>
                          <pic:cNvPicPr/>
                        </pic:nvPicPr>
                        <pic:blipFill>
                          <a:blip r:embed="rId42">
                            <a:extLst>
                              <a:ext uri="{28A0092B-C50C-407E-A947-70E740481C1C}">
                                <a14:useLocalDpi xmlns:a14="http://schemas.microsoft.com/office/drawing/2010/main" val="0"/>
                              </a:ext>
                            </a:extLst>
                          </a:blip>
                          <a:stretch>
                            <a:fillRect/>
                          </a:stretch>
                        </pic:blipFill>
                        <pic:spPr>
                          <a:xfrm>
                            <a:off x="0" y="0"/>
                            <a:ext cx="2592000" cy="864000"/>
                          </a:xfrm>
                          <a:prstGeom prst="rect">
                            <a:avLst/>
                          </a:prstGeom>
                        </pic:spPr>
                      </pic:pic>
                    </a:graphicData>
                  </a:graphic>
                </wp:inline>
              </w:drawing>
            </w:r>
            <w:r w:rsidR="00B040FE" w:rsidRPr="00AF700A">
              <w:rPr>
                <w:rFonts w:cs="Arial"/>
                <w:noProof/>
                <w:lang w:eastAsia="en-AU"/>
              </w:rPr>
              <w:t>Signed ……………………….</w:t>
            </w:r>
          </w:p>
          <w:p w14:paraId="065CF172" w14:textId="77777777" w:rsidR="00B040FE" w:rsidRPr="00AF700A" w:rsidRDefault="00B040FE" w:rsidP="0047225D">
            <w:pPr>
              <w:spacing w:after="0" w:line="240" w:lineRule="auto"/>
              <w:rPr>
                <w:rFonts w:cs="Arial"/>
                <w:noProof/>
                <w:lang w:eastAsia="en-AU"/>
              </w:rPr>
            </w:pPr>
            <w:r w:rsidRPr="00AF700A">
              <w:rPr>
                <w:rFonts w:cs="Arial"/>
                <w:noProof/>
                <w:lang w:eastAsia="en-AU"/>
              </w:rPr>
              <w:t>Rebecca Falkingham PSM</w:t>
            </w:r>
          </w:p>
          <w:p w14:paraId="36A75AD6" w14:textId="77777777" w:rsidR="00B040FE" w:rsidRPr="00AF700A" w:rsidRDefault="00B040FE" w:rsidP="0047225D">
            <w:pPr>
              <w:spacing w:after="0" w:line="240" w:lineRule="auto"/>
              <w:rPr>
                <w:rFonts w:cs="Arial"/>
                <w:noProof/>
                <w:lang w:eastAsia="en-AU"/>
              </w:rPr>
            </w:pPr>
            <w:r w:rsidRPr="00AF700A">
              <w:rPr>
                <w:rFonts w:cs="Arial"/>
                <w:noProof/>
                <w:lang w:eastAsia="en-AU"/>
              </w:rPr>
              <w:t>Chief Executive Officer</w:t>
            </w:r>
          </w:p>
          <w:p w14:paraId="4D5494F7" w14:textId="77777777" w:rsidR="00B040FE" w:rsidRPr="00AF700A" w:rsidRDefault="00B040FE" w:rsidP="0047225D">
            <w:pPr>
              <w:spacing w:after="0" w:line="240" w:lineRule="auto"/>
              <w:rPr>
                <w:rFonts w:cs="Arial"/>
                <w:noProof/>
                <w:highlight w:val="yellow"/>
                <w:lang w:eastAsia="en-AU"/>
              </w:rPr>
            </w:pPr>
            <w:r w:rsidRPr="00AF700A">
              <w:rPr>
                <w:rFonts w:cs="Arial"/>
                <w:noProof/>
                <w:lang w:eastAsia="en-AU"/>
              </w:rPr>
              <w:t xml:space="preserve">04 October </w:t>
            </w:r>
            <w:r w:rsidRPr="00AF700A">
              <w:rPr>
                <w:rFonts w:cs="Arial"/>
                <w:noProof/>
                <w:lang w:eastAsia="en-AU"/>
              </w:rPr>
              <w:fldChar w:fldCharType="begin"/>
            </w:r>
            <w:r w:rsidRPr="00AF700A">
              <w:rPr>
                <w:rFonts w:cs="Arial"/>
                <w:noProof/>
                <w:lang w:eastAsia="en-AU"/>
              </w:rPr>
              <w:instrText xml:space="preserve"> DOCPROPERTY  crYear  \* MERGEFORMAT </w:instrText>
            </w:r>
            <w:r w:rsidRPr="00AF700A">
              <w:rPr>
                <w:rFonts w:cs="Arial"/>
                <w:noProof/>
                <w:lang w:eastAsia="en-AU"/>
              </w:rPr>
              <w:fldChar w:fldCharType="separate"/>
            </w:r>
            <w:r w:rsidRPr="00AF700A">
              <w:rPr>
                <w:rFonts w:cs="Arial"/>
                <w:noProof/>
                <w:lang w:eastAsia="en-AU"/>
              </w:rPr>
              <w:t>2024</w:t>
            </w:r>
            <w:r w:rsidRPr="00AF700A">
              <w:rPr>
                <w:rFonts w:cs="Arial"/>
                <w:noProof/>
                <w:lang w:eastAsia="en-AU"/>
              </w:rPr>
              <w:fldChar w:fldCharType="end"/>
            </w:r>
          </w:p>
        </w:tc>
      </w:tr>
      <w:tr w:rsidR="00B040FE" w:rsidRPr="00AF700A" w14:paraId="16D91CD6" w14:textId="77777777" w:rsidTr="00247078">
        <w:tc>
          <w:tcPr>
            <w:tcW w:w="4814" w:type="dxa"/>
            <w:tcMar>
              <w:top w:w="28" w:type="dxa"/>
              <w:left w:w="28" w:type="dxa"/>
              <w:bottom w:w="28" w:type="dxa"/>
              <w:right w:w="28" w:type="dxa"/>
            </w:tcMar>
          </w:tcPr>
          <w:p w14:paraId="5DEA4AC0" w14:textId="77777777" w:rsidR="00B040FE" w:rsidRPr="00AF700A" w:rsidRDefault="00B040FE" w:rsidP="005E5E0C">
            <w:pPr>
              <w:spacing w:line="240" w:lineRule="auto"/>
              <w:rPr>
                <w:rFonts w:cs="Arial"/>
                <w:noProof/>
                <w:highlight w:val="yellow"/>
                <w:lang w:eastAsia="en-AU"/>
              </w:rPr>
            </w:pPr>
          </w:p>
        </w:tc>
        <w:tc>
          <w:tcPr>
            <w:tcW w:w="4814" w:type="dxa"/>
            <w:tcMar>
              <w:top w:w="28" w:type="dxa"/>
              <w:left w:w="28" w:type="dxa"/>
              <w:bottom w:w="28" w:type="dxa"/>
              <w:right w:w="28" w:type="dxa"/>
            </w:tcMar>
          </w:tcPr>
          <w:p w14:paraId="00429EF7" w14:textId="77777777" w:rsidR="00B040FE" w:rsidRPr="00AF700A" w:rsidRDefault="00B040FE" w:rsidP="005E5E0C">
            <w:pPr>
              <w:spacing w:line="240" w:lineRule="auto"/>
              <w:rPr>
                <w:rFonts w:cs="Arial"/>
                <w:noProof/>
                <w:highlight w:val="yellow"/>
                <w:lang w:eastAsia="en-AU"/>
              </w:rPr>
            </w:pPr>
          </w:p>
        </w:tc>
      </w:tr>
      <w:tr w:rsidR="00B040FE" w:rsidRPr="00AF700A" w14:paraId="538FCDA0" w14:textId="77777777" w:rsidTr="00247078">
        <w:tc>
          <w:tcPr>
            <w:tcW w:w="4814" w:type="dxa"/>
            <w:tcMar>
              <w:top w:w="28" w:type="dxa"/>
              <w:left w:w="28" w:type="dxa"/>
              <w:bottom w:w="28" w:type="dxa"/>
              <w:right w:w="28" w:type="dxa"/>
            </w:tcMar>
          </w:tcPr>
          <w:p w14:paraId="3D079967" w14:textId="26C930E0" w:rsidR="00B040FE" w:rsidRPr="00AF700A" w:rsidRDefault="00B040FE" w:rsidP="00A92E39">
            <w:pPr>
              <w:spacing w:line="240" w:lineRule="auto"/>
              <w:rPr>
                <w:rFonts w:cs="Arial"/>
                <w:noProof/>
                <w:highlight w:val="yellow"/>
                <w:lang w:eastAsia="en-AU"/>
              </w:rPr>
            </w:pPr>
            <w:r w:rsidRPr="00AF700A">
              <w:rPr>
                <w:rFonts w:cs="Arial"/>
                <w:noProof/>
                <w:lang w:eastAsia="en-AU"/>
              </w:rPr>
              <w:drawing>
                <wp:inline distT="0" distB="0" distL="0" distR="0" wp14:anchorId="0F0E0D36" wp14:editId="41466D9E">
                  <wp:extent cx="2209800" cy="695325"/>
                  <wp:effectExtent l="0" t="0" r="0" b="9525"/>
                  <wp:docPr id="2142608846" name="Picture 1" descr="Chris Breitkreuz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08846" name="Picture 1" descr="Chris Breitkreuz signature"/>
                          <pic:cNvPicPr/>
                        </pic:nvPicPr>
                        <pic:blipFill>
                          <a:blip r:embed="rId43">
                            <a:extLst>
                              <a:ext uri="{28A0092B-C50C-407E-A947-70E740481C1C}">
                                <a14:useLocalDpi xmlns:a14="http://schemas.microsoft.com/office/drawing/2010/main" val="0"/>
                              </a:ext>
                            </a:extLst>
                          </a:blip>
                          <a:stretch>
                            <a:fillRect/>
                          </a:stretch>
                        </pic:blipFill>
                        <pic:spPr>
                          <a:xfrm>
                            <a:off x="0" y="0"/>
                            <a:ext cx="2209800" cy="695325"/>
                          </a:xfrm>
                          <a:prstGeom prst="rect">
                            <a:avLst/>
                          </a:prstGeom>
                        </pic:spPr>
                      </pic:pic>
                    </a:graphicData>
                  </a:graphic>
                </wp:inline>
              </w:drawing>
            </w:r>
          </w:p>
        </w:tc>
        <w:tc>
          <w:tcPr>
            <w:tcW w:w="4814" w:type="dxa"/>
            <w:tcMar>
              <w:top w:w="28" w:type="dxa"/>
              <w:left w:w="28" w:type="dxa"/>
              <w:bottom w:w="28" w:type="dxa"/>
              <w:right w:w="28" w:type="dxa"/>
            </w:tcMar>
          </w:tcPr>
          <w:p w14:paraId="6794D3D7" w14:textId="77777777" w:rsidR="00B040FE" w:rsidRPr="00AF700A" w:rsidRDefault="00B040FE" w:rsidP="005E5E0C">
            <w:pPr>
              <w:spacing w:line="240" w:lineRule="auto"/>
              <w:rPr>
                <w:rFonts w:cs="Arial"/>
                <w:noProof/>
                <w:highlight w:val="yellow"/>
                <w:lang w:eastAsia="en-AU"/>
              </w:rPr>
            </w:pPr>
            <w:r w:rsidRPr="00AF700A">
              <w:rPr>
                <w:noProof/>
              </w:rPr>
              <w:drawing>
                <wp:inline distT="0" distB="0" distL="0" distR="0" wp14:anchorId="6F1D20E9" wp14:editId="0B091B5B">
                  <wp:extent cx="1881909" cy="381000"/>
                  <wp:effectExtent l="0" t="0" r="4445" b="0"/>
                  <wp:docPr id="230582500" name="Picture 3" descr="Graeme Innes sing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82500" name="Picture 3" descr="Graeme Innes singature"/>
                          <pic:cNvPicPr>
                            <a:picLocks noChangeAspect="1" noChangeArrowheads="1"/>
                          </pic:cNvPicPr>
                        </pic:nvPicPr>
                        <pic:blipFill rotWithShape="1">
                          <a:blip r:embed="rId44">
                            <a:extLst>
                              <a:ext uri="{28A0092B-C50C-407E-A947-70E740481C1C}">
                                <a14:useLocalDpi xmlns:a14="http://schemas.microsoft.com/office/drawing/2010/main" val="0"/>
                              </a:ext>
                            </a:extLst>
                          </a:blip>
                          <a:srcRect t="39570" b="40185"/>
                          <a:stretch/>
                        </pic:blipFill>
                        <pic:spPr bwMode="auto">
                          <a:xfrm>
                            <a:off x="0" y="0"/>
                            <a:ext cx="1899239" cy="3845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0FE" w:rsidRPr="00AF700A" w14:paraId="72402FF1" w14:textId="77777777" w:rsidTr="00247078">
        <w:tc>
          <w:tcPr>
            <w:tcW w:w="4814" w:type="dxa"/>
            <w:tcMar>
              <w:top w:w="28" w:type="dxa"/>
              <w:left w:w="28" w:type="dxa"/>
              <w:bottom w:w="28" w:type="dxa"/>
              <w:right w:w="28" w:type="dxa"/>
            </w:tcMar>
          </w:tcPr>
          <w:p w14:paraId="4ED049E4" w14:textId="77777777" w:rsidR="00B040FE" w:rsidRPr="00AF700A" w:rsidRDefault="00B040FE" w:rsidP="0047225D">
            <w:pPr>
              <w:spacing w:after="0" w:line="240" w:lineRule="auto"/>
              <w:rPr>
                <w:rFonts w:cs="Arial"/>
                <w:noProof/>
                <w:lang w:eastAsia="en-AU"/>
              </w:rPr>
            </w:pPr>
            <w:r w:rsidRPr="00AF700A">
              <w:rPr>
                <w:rFonts w:cs="Arial"/>
                <w:noProof/>
                <w:lang w:eastAsia="en-AU"/>
              </w:rPr>
              <w:t>Signed ……………………….</w:t>
            </w:r>
          </w:p>
          <w:p w14:paraId="27AF96B5" w14:textId="77777777" w:rsidR="00B040FE" w:rsidRPr="00AF700A" w:rsidRDefault="00B040FE" w:rsidP="0047225D">
            <w:pPr>
              <w:spacing w:after="0" w:line="240" w:lineRule="auto"/>
              <w:rPr>
                <w:rFonts w:cs="Arial"/>
                <w:noProof/>
                <w:lang w:eastAsia="en-AU"/>
              </w:rPr>
            </w:pPr>
            <w:r w:rsidRPr="00AF700A">
              <w:rPr>
                <w:rFonts w:cs="Arial"/>
                <w:noProof/>
                <w:lang w:eastAsia="en-AU"/>
              </w:rPr>
              <w:t>Chris Breitkreuz</w:t>
            </w:r>
          </w:p>
          <w:p w14:paraId="1635604B" w14:textId="77777777" w:rsidR="00B040FE" w:rsidRPr="00AF700A" w:rsidRDefault="00B040FE" w:rsidP="0047225D">
            <w:pPr>
              <w:spacing w:after="0" w:line="240" w:lineRule="auto"/>
              <w:rPr>
                <w:rFonts w:cs="Arial"/>
                <w:noProof/>
                <w:lang w:eastAsia="en-AU"/>
              </w:rPr>
            </w:pPr>
            <w:r w:rsidRPr="00AF700A">
              <w:rPr>
                <w:rFonts w:cs="Arial"/>
                <w:noProof/>
                <w:lang w:eastAsia="en-AU"/>
              </w:rPr>
              <w:t>Chief Financial Officer</w:t>
            </w:r>
          </w:p>
          <w:p w14:paraId="18BBDC1D" w14:textId="77777777" w:rsidR="00B040FE" w:rsidRPr="00AF700A" w:rsidRDefault="00B040FE" w:rsidP="0047225D">
            <w:pPr>
              <w:spacing w:after="0" w:line="240" w:lineRule="auto"/>
              <w:rPr>
                <w:rFonts w:cs="Arial"/>
                <w:noProof/>
                <w:lang w:eastAsia="en-AU"/>
              </w:rPr>
            </w:pPr>
            <w:r w:rsidRPr="00AF700A">
              <w:rPr>
                <w:rFonts w:cs="Arial"/>
                <w:noProof/>
                <w:lang w:eastAsia="en-AU"/>
              </w:rPr>
              <w:t xml:space="preserve">04 October </w:t>
            </w:r>
            <w:r w:rsidRPr="00AF700A">
              <w:rPr>
                <w:rFonts w:cs="Arial"/>
                <w:noProof/>
                <w:lang w:eastAsia="en-AU"/>
              </w:rPr>
              <w:fldChar w:fldCharType="begin"/>
            </w:r>
            <w:r w:rsidRPr="00AF700A">
              <w:rPr>
                <w:rFonts w:cs="Arial"/>
                <w:noProof/>
                <w:lang w:eastAsia="en-AU"/>
              </w:rPr>
              <w:instrText xml:space="preserve"> DOCPROPERTY  crYear  \* MERGEFORMAT </w:instrText>
            </w:r>
            <w:r w:rsidRPr="00AF700A">
              <w:rPr>
                <w:rFonts w:cs="Arial"/>
                <w:noProof/>
                <w:lang w:eastAsia="en-AU"/>
              </w:rPr>
              <w:fldChar w:fldCharType="separate"/>
            </w:r>
            <w:r w:rsidRPr="00AF700A">
              <w:rPr>
                <w:rFonts w:cs="Arial"/>
                <w:noProof/>
                <w:lang w:eastAsia="en-AU"/>
              </w:rPr>
              <w:t>2024</w:t>
            </w:r>
            <w:r w:rsidRPr="00AF700A">
              <w:rPr>
                <w:rFonts w:cs="Arial"/>
                <w:noProof/>
                <w:lang w:eastAsia="en-AU"/>
              </w:rPr>
              <w:fldChar w:fldCharType="end"/>
            </w:r>
          </w:p>
        </w:tc>
        <w:tc>
          <w:tcPr>
            <w:tcW w:w="4814" w:type="dxa"/>
            <w:tcMar>
              <w:top w:w="28" w:type="dxa"/>
              <w:left w:w="28" w:type="dxa"/>
              <w:bottom w:w="28" w:type="dxa"/>
              <w:right w:w="28" w:type="dxa"/>
            </w:tcMar>
          </w:tcPr>
          <w:p w14:paraId="79F80738" w14:textId="77777777" w:rsidR="00B040FE" w:rsidRPr="00AF700A" w:rsidRDefault="00B040FE" w:rsidP="0047225D">
            <w:pPr>
              <w:spacing w:after="0" w:line="240" w:lineRule="auto"/>
              <w:rPr>
                <w:rFonts w:cs="Arial"/>
                <w:noProof/>
                <w:lang w:eastAsia="en-AU"/>
              </w:rPr>
            </w:pPr>
            <w:r w:rsidRPr="00AF700A">
              <w:rPr>
                <w:rFonts w:cs="Arial"/>
                <w:noProof/>
                <w:lang w:eastAsia="en-AU"/>
              </w:rPr>
              <w:t>Signed .……………………….</w:t>
            </w:r>
          </w:p>
          <w:p w14:paraId="3B39E282" w14:textId="77777777" w:rsidR="00B040FE" w:rsidRPr="00AF700A" w:rsidRDefault="00B040FE" w:rsidP="0047225D">
            <w:pPr>
              <w:spacing w:after="0" w:line="240" w:lineRule="auto"/>
              <w:rPr>
                <w:rFonts w:cs="Arial"/>
                <w:noProof/>
                <w:lang w:eastAsia="en-AU"/>
              </w:rPr>
            </w:pPr>
            <w:r w:rsidRPr="00AF700A">
              <w:rPr>
                <w:rFonts w:cs="Arial"/>
                <w:noProof/>
                <w:lang w:eastAsia="en-AU"/>
              </w:rPr>
              <w:t>Graeme Innes AO</w:t>
            </w:r>
          </w:p>
          <w:p w14:paraId="36B3761C" w14:textId="77777777" w:rsidR="00B040FE" w:rsidRPr="00AF700A" w:rsidRDefault="00B040FE" w:rsidP="0047225D">
            <w:pPr>
              <w:spacing w:after="0" w:line="240" w:lineRule="auto"/>
              <w:rPr>
                <w:rFonts w:cs="Arial"/>
                <w:noProof/>
                <w:lang w:eastAsia="en-AU"/>
              </w:rPr>
            </w:pPr>
            <w:r w:rsidRPr="00AF700A">
              <w:rPr>
                <w:rFonts w:cs="Arial"/>
                <w:noProof/>
                <w:lang w:eastAsia="en-AU"/>
              </w:rPr>
              <w:t>Chair, Audit Committee</w:t>
            </w:r>
          </w:p>
          <w:p w14:paraId="1DC6E4B2" w14:textId="77777777" w:rsidR="00B040FE" w:rsidRPr="00AF700A" w:rsidRDefault="00B040FE" w:rsidP="0047225D">
            <w:pPr>
              <w:spacing w:after="0" w:line="240" w:lineRule="auto"/>
              <w:rPr>
                <w:rFonts w:cs="Arial"/>
                <w:noProof/>
                <w:lang w:eastAsia="en-AU"/>
              </w:rPr>
            </w:pPr>
            <w:r w:rsidRPr="00AF700A">
              <w:rPr>
                <w:rFonts w:cs="Arial"/>
                <w:noProof/>
                <w:lang w:eastAsia="en-AU"/>
              </w:rPr>
              <w:t xml:space="preserve">04 October </w:t>
            </w:r>
            <w:r w:rsidRPr="00AF700A">
              <w:rPr>
                <w:rFonts w:cs="Arial"/>
                <w:noProof/>
                <w:lang w:eastAsia="en-AU"/>
              </w:rPr>
              <w:fldChar w:fldCharType="begin"/>
            </w:r>
            <w:r w:rsidRPr="00AF700A">
              <w:rPr>
                <w:rFonts w:cs="Arial"/>
                <w:noProof/>
                <w:lang w:eastAsia="en-AU"/>
              </w:rPr>
              <w:instrText xml:space="preserve"> DOCPROPERTY  crYear  \* MERGEFORMAT </w:instrText>
            </w:r>
            <w:r w:rsidRPr="00AF700A">
              <w:rPr>
                <w:rFonts w:cs="Arial"/>
                <w:noProof/>
                <w:lang w:eastAsia="en-AU"/>
              </w:rPr>
              <w:fldChar w:fldCharType="separate"/>
            </w:r>
            <w:r w:rsidRPr="00AF700A">
              <w:rPr>
                <w:rFonts w:cs="Arial"/>
                <w:noProof/>
                <w:lang w:eastAsia="en-AU"/>
              </w:rPr>
              <w:t>2024</w:t>
            </w:r>
            <w:r w:rsidRPr="00AF700A">
              <w:rPr>
                <w:rFonts w:cs="Arial"/>
                <w:noProof/>
                <w:lang w:eastAsia="en-AU"/>
              </w:rPr>
              <w:fldChar w:fldCharType="end"/>
            </w:r>
          </w:p>
        </w:tc>
      </w:tr>
    </w:tbl>
    <w:p w14:paraId="2B2A94B1" w14:textId="6E79FA9E" w:rsidR="003D53B3" w:rsidRDefault="003D53B3" w:rsidP="00B040FE">
      <w:pPr>
        <w:spacing w:line="240" w:lineRule="auto"/>
      </w:pPr>
      <w:r>
        <w:br w:type="page"/>
      </w:r>
    </w:p>
    <w:p w14:paraId="598F6090" w14:textId="77777777" w:rsidR="00AA02E5" w:rsidRPr="00AA02E5" w:rsidRDefault="00AA02E5" w:rsidP="00AA02E5">
      <w:pPr>
        <w:spacing w:after="0" w:line="240" w:lineRule="auto"/>
        <w:rPr>
          <w:b/>
          <w:bCs/>
        </w:rPr>
      </w:pPr>
      <w:r w:rsidRPr="00AA02E5">
        <w:rPr>
          <w:b/>
          <w:bCs/>
        </w:rPr>
        <w:lastRenderedPageBreak/>
        <w:t>National Disability Insurance Agency</w:t>
      </w:r>
    </w:p>
    <w:p w14:paraId="6C784F0C" w14:textId="77777777" w:rsidR="00AA02E5" w:rsidRPr="00AA02E5" w:rsidRDefault="00AA02E5" w:rsidP="00AA02E5">
      <w:pPr>
        <w:spacing w:after="0" w:line="240" w:lineRule="auto"/>
        <w:rPr>
          <w:b/>
          <w:bCs/>
        </w:rPr>
      </w:pPr>
      <w:r w:rsidRPr="00AA02E5">
        <w:rPr>
          <w:b/>
          <w:bCs/>
        </w:rPr>
        <w:t>STATEMENT OF COMPREHENSIVE INCOME</w:t>
      </w:r>
    </w:p>
    <w:p w14:paraId="5890848B" w14:textId="5E7D7E49" w:rsidR="00B040FE" w:rsidRPr="00AA02E5" w:rsidRDefault="00AA02E5" w:rsidP="00C821EB">
      <w:pPr>
        <w:pBdr>
          <w:bottom w:val="single" w:sz="8" w:space="1" w:color="auto"/>
        </w:pBdr>
        <w:spacing w:line="240" w:lineRule="auto"/>
        <w:rPr>
          <w:i/>
          <w:iCs/>
        </w:rPr>
      </w:pPr>
      <w:r w:rsidRPr="00AA02E5">
        <w:rPr>
          <w:i/>
          <w:iCs/>
        </w:rPr>
        <w:t>for the year ended 30 June 2024</w:t>
      </w:r>
    </w:p>
    <w:tbl>
      <w:tblPr>
        <w:tblW w:w="9087" w:type="dxa"/>
        <w:tblLayout w:type="fixed"/>
        <w:tblCellMar>
          <w:left w:w="57" w:type="dxa"/>
          <w:right w:w="57" w:type="dxa"/>
        </w:tblCellMar>
        <w:tblLook w:val="04A0" w:firstRow="1" w:lastRow="0" w:firstColumn="1" w:lastColumn="0" w:noHBand="0" w:noVBand="1"/>
      </w:tblPr>
      <w:tblGrid>
        <w:gridCol w:w="4226"/>
        <w:gridCol w:w="944"/>
        <w:gridCol w:w="1124"/>
        <w:gridCol w:w="236"/>
        <w:gridCol w:w="1122"/>
        <w:gridCol w:w="236"/>
        <w:gridCol w:w="1199"/>
      </w:tblGrid>
      <w:tr w:rsidR="00520333" w:rsidRPr="006D688A" w14:paraId="7F66E9FE" w14:textId="77777777" w:rsidTr="005E5E0C">
        <w:trPr>
          <w:trHeight w:val="500"/>
        </w:trPr>
        <w:tc>
          <w:tcPr>
            <w:tcW w:w="4226" w:type="dxa"/>
            <w:tcBorders>
              <w:top w:val="single" w:sz="8" w:space="0" w:color="800080"/>
              <w:left w:val="nil"/>
              <w:bottom w:val="nil"/>
              <w:right w:val="nil"/>
            </w:tcBorders>
            <w:shd w:val="clear" w:color="FFFFFF" w:fill="FFFFFF"/>
            <w:noWrap/>
            <w:vAlign w:val="bottom"/>
            <w:hideMark/>
          </w:tcPr>
          <w:p w14:paraId="000E8B01" w14:textId="77777777" w:rsidR="00520333" w:rsidRPr="006D688A" w:rsidRDefault="00520333" w:rsidP="005E5E0C">
            <w:pPr>
              <w:spacing w:after="0"/>
              <w:rPr>
                <w:rFonts w:cs="Arial"/>
                <w:sz w:val="18"/>
                <w:szCs w:val="18"/>
              </w:rPr>
            </w:pPr>
            <w:bookmarkStart w:id="111" w:name="Note_DPLTABLE1" w:colFirst="0" w:colLast="0"/>
            <w:r w:rsidRPr="006D688A">
              <w:rPr>
                <w:rFonts w:cs="Arial"/>
                <w:sz w:val="18"/>
                <w:szCs w:val="18"/>
              </w:rPr>
              <w:t> </w:t>
            </w:r>
          </w:p>
        </w:tc>
        <w:tc>
          <w:tcPr>
            <w:tcW w:w="944" w:type="dxa"/>
            <w:tcBorders>
              <w:top w:val="single" w:sz="8" w:space="0" w:color="800080"/>
              <w:left w:val="nil"/>
              <w:bottom w:val="nil"/>
              <w:right w:val="nil"/>
            </w:tcBorders>
            <w:shd w:val="clear" w:color="FFFFFF" w:fill="FFFFFF"/>
            <w:noWrap/>
            <w:vAlign w:val="bottom"/>
            <w:hideMark/>
          </w:tcPr>
          <w:p w14:paraId="48F74D00" w14:textId="77777777" w:rsidR="00520333" w:rsidRPr="006D688A" w:rsidRDefault="00520333" w:rsidP="005E5E0C">
            <w:pPr>
              <w:spacing w:after="0"/>
              <w:rPr>
                <w:rFonts w:cs="Arial"/>
                <w:sz w:val="18"/>
                <w:szCs w:val="18"/>
              </w:rPr>
            </w:pPr>
            <w:r w:rsidRPr="006D688A">
              <w:rPr>
                <w:rFonts w:cs="Arial"/>
                <w:sz w:val="18"/>
                <w:szCs w:val="18"/>
              </w:rPr>
              <w:t> </w:t>
            </w:r>
          </w:p>
        </w:tc>
        <w:tc>
          <w:tcPr>
            <w:tcW w:w="1124" w:type="dxa"/>
            <w:tcBorders>
              <w:top w:val="single" w:sz="8" w:space="0" w:color="800080"/>
              <w:left w:val="nil"/>
              <w:bottom w:val="nil"/>
              <w:right w:val="nil"/>
            </w:tcBorders>
            <w:shd w:val="clear" w:color="FFFFFF" w:fill="FFFFFF"/>
            <w:noWrap/>
            <w:vAlign w:val="bottom"/>
            <w:hideMark/>
          </w:tcPr>
          <w:p w14:paraId="5251D636"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single" w:sz="8" w:space="0" w:color="800080"/>
              <w:left w:val="nil"/>
              <w:bottom w:val="nil"/>
              <w:right w:val="nil"/>
            </w:tcBorders>
            <w:shd w:val="clear" w:color="FFFFFF" w:fill="FFFFFF"/>
            <w:noWrap/>
            <w:vAlign w:val="bottom"/>
            <w:hideMark/>
          </w:tcPr>
          <w:p w14:paraId="2893BB9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8" w:space="0" w:color="800080"/>
              <w:left w:val="nil"/>
              <w:bottom w:val="nil"/>
              <w:right w:val="nil"/>
            </w:tcBorders>
            <w:shd w:val="clear" w:color="FFFFFF" w:fill="FFFFFF"/>
            <w:noWrap/>
            <w:vAlign w:val="bottom"/>
            <w:hideMark/>
          </w:tcPr>
          <w:p w14:paraId="4690983A"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single" w:sz="8" w:space="0" w:color="800080"/>
              <w:left w:val="nil"/>
              <w:bottom w:val="nil"/>
              <w:right w:val="nil"/>
            </w:tcBorders>
            <w:shd w:val="clear" w:color="FFFFFF" w:fill="FFFFFF"/>
            <w:noWrap/>
            <w:vAlign w:val="bottom"/>
            <w:hideMark/>
          </w:tcPr>
          <w:p w14:paraId="342CB307"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8" w:space="0" w:color="800080"/>
              <w:left w:val="nil"/>
              <w:bottom w:val="nil"/>
              <w:right w:val="nil"/>
            </w:tcBorders>
            <w:shd w:val="clear" w:color="FFFFFF" w:fill="FFFFFF"/>
            <w:vAlign w:val="bottom"/>
            <w:hideMark/>
          </w:tcPr>
          <w:p w14:paraId="31DCD1BC" w14:textId="77777777" w:rsidR="00520333" w:rsidRPr="006D688A" w:rsidRDefault="00520333" w:rsidP="005E5E0C">
            <w:pPr>
              <w:spacing w:after="0"/>
              <w:jc w:val="right"/>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r>
      <w:bookmarkEnd w:id="111"/>
      <w:tr w:rsidR="00520333" w:rsidRPr="006D688A" w14:paraId="12D4B21B" w14:textId="77777777" w:rsidTr="005E5E0C">
        <w:trPr>
          <w:trHeight w:val="260"/>
        </w:trPr>
        <w:tc>
          <w:tcPr>
            <w:tcW w:w="4226" w:type="dxa"/>
            <w:tcBorders>
              <w:top w:val="nil"/>
              <w:left w:val="nil"/>
              <w:bottom w:val="nil"/>
              <w:right w:val="nil"/>
            </w:tcBorders>
            <w:shd w:val="clear" w:color="FFFFFF" w:fill="FFFFFF"/>
            <w:noWrap/>
            <w:vAlign w:val="bottom"/>
            <w:hideMark/>
          </w:tcPr>
          <w:p w14:paraId="2A2BA72B"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67B8D3B1" w14:textId="77777777" w:rsidR="00520333" w:rsidRPr="006D688A" w:rsidRDefault="00520333" w:rsidP="005E5E0C">
            <w:pPr>
              <w:spacing w:after="0"/>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389E1A8C" w14:textId="77777777" w:rsidR="00520333" w:rsidRPr="006D688A" w:rsidRDefault="00520333" w:rsidP="005E5E0C">
            <w:pPr>
              <w:spacing w:after="0"/>
              <w:jc w:val="right"/>
              <w:rPr>
                <w:rFonts w:cs="Arial"/>
                <w:b/>
                <w:bCs/>
                <w:sz w:val="18"/>
                <w:szCs w:val="18"/>
              </w:rPr>
            </w:pPr>
            <w:r w:rsidRPr="006D688A">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246D4042"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0E46DDD3" w14:textId="77777777" w:rsidR="00520333" w:rsidRPr="006D688A" w:rsidRDefault="00520333" w:rsidP="005E5E0C">
            <w:pPr>
              <w:spacing w:after="0"/>
              <w:jc w:val="right"/>
              <w:rPr>
                <w:rFonts w:cs="Arial"/>
                <w:sz w:val="18"/>
                <w:szCs w:val="18"/>
              </w:rPr>
            </w:pPr>
            <w:r w:rsidRPr="006D688A">
              <w:rPr>
                <w:rFonts w:cs="Arial"/>
                <w:sz w:val="18"/>
                <w:szCs w:val="18"/>
              </w:rPr>
              <w:t>2023</w:t>
            </w:r>
          </w:p>
        </w:tc>
        <w:tc>
          <w:tcPr>
            <w:tcW w:w="236" w:type="dxa"/>
            <w:tcBorders>
              <w:top w:val="nil"/>
              <w:left w:val="nil"/>
              <w:bottom w:val="nil"/>
              <w:right w:val="nil"/>
            </w:tcBorders>
            <w:shd w:val="clear" w:color="FFFFFF" w:fill="FFFFFF"/>
            <w:noWrap/>
            <w:vAlign w:val="bottom"/>
            <w:hideMark/>
          </w:tcPr>
          <w:p w14:paraId="4FB8A3D2"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797183A8" w14:textId="77777777" w:rsidR="00520333" w:rsidRPr="006D688A" w:rsidRDefault="00520333" w:rsidP="005E5E0C">
            <w:pPr>
              <w:spacing w:after="0"/>
              <w:jc w:val="right"/>
              <w:rPr>
                <w:rFonts w:cs="Arial"/>
                <w:color w:val="6B2976"/>
                <w:sz w:val="18"/>
                <w:szCs w:val="18"/>
              </w:rPr>
            </w:pPr>
            <w:r w:rsidRPr="006D688A">
              <w:rPr>
                <w:rFonts w:cs="Arial"/>
                <w:color w:val="6B2976"/>
                <w:sz w:val="18"/>
                <w:szCs w:val="18"/>
              </w:rPr>
              <w:t>2024</w:t>
            </w:r>
          </w:p>
        </w:tc>
      </w:tr>
      <w:tr w:rsidR="00520333" w:rsidRPr="006D688A" w14:paraId="0B874003" w14:textId="77777777" w:rsidTr="005E5E0C">
        <w:trPr>
          <w:trHeight w:val="270"/>
        </w:trPr>
        <w:tc>
          <w:tcPr>
            <w:tcW w:w="4226" w:type="dxa"/>
            <w:tcBorders>
              <w:top w:val="nil"/>
              <w:left w:val="nil"/>
              <w:bottom w:val="single" w:sz="8" w:space="0" w:color="800080"/>
              <w:right w:val="nil"/>
            </w:tcBorders>
            <w:shd w:val="clear" w:color="FFFFFF" w:fill="FFFFFF"/>
            <w:noWrap/>
            <w:vAlign w:val="bottom"/>
            <w:hideMark/>
          </w:tcPr>
          <w:p w14:paraId="04C162D8"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single" w:sz="8" w:space="0" w:color="800080"/>
              <w:right w:val="nil"/>
            </w:tcBorders>
            <w:shd w:val="clear" w:color="FFFFFF" w:fill="FFFFFF"/>
            <w:noWrap/>
            <w:vAlign w:val="bottom"/>
            <w:hideMark/>
          </w:tcPr>
          <w:p w14:paraId="09F9B251" w14:textId="77777777" w:rsidR="00520333" w:rsidRPr="006D688A" w:rsidRDefault="00520333" w:rsidP="005E5E0C">
            <w:pPr>
              <w:spacing w:after="0"/>
              <w:jc w:val="center"/>
              <w:rPr>
                <w:rFonts w:cs="Arial"/>
                <w:b/>
                <w:bCs/>
                <w:sz w:val="18"/>
                <w:szCs w:val="18"/>
              </w:rPr>
            </w:pPr>
            <w:r w:rsidRPr="006D688A">
              <w:rPr>
                <w:rFonts w:cs="Arial"/>
                <w:b/>
                <w:bCs/>
                <w:sz w:val="18"/>
                <w:szCs w:val="18"/>
              </w:rPr>
              <w:t>Notes</w:t>
            </w:r>
          </w:p>
        </w:tc>
        <w:tc>
          <w:tcPr>
            <w:tcW w:w="1124" w:type="dxa"/>
            <w:tcBorders>
              <w:top w:val="nil"/>
              <w:left w:val="nil"/>
              <w:bottom w:val="single" w:sz="8" w:space="0" w:color="800080"/>
              <w:right w:val="nil"/>
            </w:tcBorders>
            <w:shd w:val="clear" w:color="FFFFFF" w:fill="FFFFFF"/>
            <w:noWrap/>
            <w:vAlign w:val="bottom"/>
            <w:hideMark/>
          </w:tcPr>
          <w:p w14:paraId="4B3A8998" w14:textId="77777777" w:rsidR="00520333" w:rsidRPr="006D688A" w:rsidRDefault="00520333" w:rsidP="005E5E0C">
            <w:pPr>
              <w:spacing w:after="0"/>
              <w:jc w:val="right"/>
              <w:rPr>
                <w:rFonts w:cs="Arial"/>
                <w:b/>
                <w:bCs/>
                <w:sz w:val="18"/>
                <w:szCs w:val="18"/>
              </w:rPr>
            </w:pPr>
            <w:r w:rsidRPr="006D688A">
              <w:rPr>
                <w:rFonts w:cs="Arial"/>
                <w:b/>
                <w:bCs/>
                <w:sz w:val="18"/>
                <w:szCs w:val="18"/>
              </w:rPr>
              <w:t>$'000</w:t>
            </w:r>
          </w:p>
        </w:tc>
        <w:tc>
          <w:tcPr>
            <w:tcW w:w="236" w:type="dxa"/>
            <w:tcBorders>
              <w:top w:val="nil"/>
              <w:left w:val="nil"/>
              <w:bottom w:val="single" w:sz="8" w:space="0" w:color="800080"/>
              <w:right w:val="nil"/>
            </w:tcBorders>
            <w:shd w:val="clear" w:color="FFFFFF" w:fill="FFFFFF"/>
            <w:noWrap/>
            <w:vAlign w:val="bottom"/>
            <w:hideMark/>
          </w:tcPr>
          <w:p w14:paraId="1FBD6097"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single" w:sz="8" w:space="0" w:color="800080"/>
              <w:right w:val="nil"/>
            </w:tcBorders>
            <w:shd w:val="clear" w:color="FFFFFF" w:fill="FFFFFF"/>
            <w:noWrap/>
            <w:vAlign w:val="bottom"/>
            <w:hideMark/>
          </w:tcPr>
          <w:p w14:paraId="3F2F4890" w14:textId="77777777" w:rsidR="00520333" w:rsidRPr="006D688A" w:rsidRDefault="00520333" w:rsidP="005E5E0C">
            <w:pPr>
              <w:spacing w:after="0"/>
              <w:jc w:val="right"/>
              <w:rPr>
                <w:rFonts w:cs="Arial"/>
                <w:sz w:val="18"/>
                <w:szCs w:val="18"/>
              </w:rPr>
            </w:pPr>
            <w:r w:rsidRPr="006D688A">
              <w:rPr>
                <w:rFonts w:cs="Arial"/>
                <w:sz w:val="18"/>
                <w:szCs w:val="18"/>
              </w:rPr>
              <w:t>$'000</w:t>
            </w:r>
          </w:p>
        </w:tc>
        <w:tc>
          <w:tcPr>
            <w:tcW w:w="236" w:type="dxa"/>
            <w:tcBorders>
              <w:top w:val="nil"/>
              <w:left w:val="nil"/>
              <w:bottom w:val="single" w:sz="8" w:space="0" w:color="800080"/>
              <w:right w:val="nil"/>
            </w:tcBorders>
            <w:shd w:val="clear" w:color="FFFFFF" w:fill="FFFFFF"/>
            <w:noWrap/>
            <w:vAlign w:val="bottom"/>
            <w:hideMark/>
          </w:tcPr>
          <w:p w14:paraId="13FF8FA3"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single" w:sz="8" w:space="0" w:color="800080"/>
              <w:right w:val="nil"/>
            </w:tcBorders>
            <w:shd w:val="clear" w:color="FFFFFF" w:fill="FFFFFF"/>
            <w:noWrap/>
            <w:vAlign w:val="bottom"/>
            <w:hideMark/>
          </w:tcPr>
          <w:p w14:paraId="4E361317" w14:textId="77777777" w:rsidR="00520333" w:rsidRPr="006D688A" w:rsidRDefault="00520333" w:rsidP="005E5E0C">
            <w:pPr>
              <w:spacing w:after="0"/>
              <w:jc w:val="right"/>
              <w:rPr>
                <w:rFonts w:cs="Arial"/>
                <w:color w:val="6B2976"/>
                <w:sz w:val="18"/>
                <w:szCs w:val="18"/>
              </w:rPr>
            </w:pPr>
            <w:r w:rsidRPr="006D688A">
              <w:rPr>
                <w:rFonts w:cs="Arial"/>
                <w:color w:val="6B2976"/>
                <w:sz w:val="18"/>
                <w:szCs w:val="18"/>
              </w:rPr>
              <w:t>$'000</w:t>
            </w:r>
          </w:p>
        </w:tc>
      </w:tr>
      <w:tr w:rsidR="00520333" w:rsidRPr="006D688A" w14:paraId="684C46B4" w14:textId="77777777" w:rsidTr="005E5E0C">
        <w:trPr>
          <w:trHeight w:val="250"/>
        </w:trPr>
        <w:tc>
          <w:tcPr>
            <w:tcW w:w="4226" w:type="dxa"/>
            <w:tcBorders>
              <w:top w:val="nil"/>
              <w:left w:val="nil"/>
              <w:bottom w:val="nil"/>
              <w:right w:val="nil"/>
            </w:tcBorders>
            <w:shd w:val="clear" w:color="FFFFFF" w:fill="FFFFFF"/>
            <w:noWrap/>
            <w:vAlign w:val="bottom"/>
            <w:hideMark/>
          </w:tcPr>
          <w:p w14:paraId="5EAF60B8" w14:textId="77777777" w:rsidR="00520333" w:rsidRPr="006D688A" w:rsidRDefault="00520333" w:rsidP="005E5E0C">
            <w:pPr>
              <w:spacing w:after="0"/>
              <w:rPr>
                <w:rFonts w:cs="Arial"/>
                <w:b/>
                <w:bCs/>
                <w:sz w:val="18"/>
                <w:szCs w:val="18"/>
              </w:rPr>
            </w:pPr>
            <w:r w:rsidRPr="006D688A">
              <w:rPr>
                <w:rFonts w:cs="Arial"/>
                <w:b/>
                <w:bCs/>
                <w:sz w:val="18"/>
                <w:szCs w:val="18"/>
              </w:rPr>
              <w:t>NET COST OF SERVICES</w:t>
            </w:r>
          </w:p>
        </w:tc>
        <w:tc>
          <w:tcPr>
            <w:tcW w:w="944" w:type="dxa"/>
            <w:tcBorders>
              <w:top w:val="nil"/>
              <w:left w:val="nil"/>
              <w:bottom w:val="nil"/>
              <w:right w:val="nil"/>
            </w:tcBorders>
            <w:shd w:val="clear" w:color="FFFFFF" w:fill="FFFFFF"/>
            <w:noWrap/>
            <w:vAlign w:val="bottom"/>
            <w:hideMark/>
          </w:tcPr>
          <w:p w14:paraId="091E6470" w14:textId="77777777" w:rsidR="00520333" w:rsidRPr="006D688A" w:rsidRDefault="00520333" w:rsidP="005E5E0C">
            <w:pPr>
              <w:spacing w:after="0"/>
              <w:jc w:val="center"/>
              <w:rPr>
                <w:rFonts w:cs="Arial"/>
                <w:b/>
                <w:bCs/>
                <w:sz w:val="18"/>
                <w:szCs w:val="18"/>
              </w:rPr>
            </w:pPr>
            <w:r w:rsidRPr="006D688A">
              <w:rPr>
                <w:rFonts w:cs="Arial"/>
                <w:b/>
                <w:bCs/>
                <w:sz w:val="18"/>
                <w:szCs w:val="18"/>
              </w:rPr>
              <w:t> </w:t>
            </w:r>
          </w:p>
        </w:tc>
        <w:tc>
          <w:tcPr>
            <w:tcW w:w="1124" w:type="dxa"/>
            <w:tcBorders>
              <w:top w:val="nil"/>
              <w:left w:val="nil"/>
              <w:bottom w:val="nil"/>
              <w:right w:val="nil"/>
            </w:tcBorders>
            <w:shd w:val="clear" w:color="FFFFFF" w:fill="FFFFFF"/>
            <w:noWrap/>
            <w:vAlign w:val="bottom"/>
            <w:hideMark/>
          </w:tcPr>
          <w:p w14:paraId="6DFFDE3F"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BFE149F"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2D69C372"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D7BC248"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1FD92424"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318DE12C" w14:textId="77777777" w:rsidTr="005E5E0C">
        <w:trPr>
          <w:trHeight w:val="250"/>
        </w:trPr>
        <w:tc>
          <w:tcPr>
            <w:tcW w:w="4226" w:type="dxa"/>
            <w:tcBorders>
              <w:top w:val="nil"/>
              <w:left w:val="nil"/>
              <w:bottom w:val="nil"/>
              <w:right w:val="nil"/>
            </w:tcBorders>
            <w:shd w:val="clear" w:color="FFFFFF" w:fill="FFFFFF"/>
            <w:vAlign w:val="bottom"/>
            <w:hideMark/>
          </w:tcPr>
          <w:p w14:paraId="5141481F" w14:textId="77777777" w:rsidR="00520333" w:rsidRPr="006D688A" w:rsidRDefault="00520333" w:rsidP="005E5E0C">
            <w:pPr>
              <w:spacing w:after="0"/>
              <w:rPr>
                <w:rFonts w:cs="Arial"/>
                <w:b/>
                <w:bCs/>
                <w:sz w:val="18"/>
                <w:szCs w:val="18"/>
              </w:rPr>
            </w:pPr>
            <w:r w:rsidRPr="006D688A">
              <w:rPr>
                <w:rFonts w:cs="Arial"/>
                <w:b/>
                <w:bCs/>
                <w:sz w:val="18"/>
                <w:szCs w:val="18"/>
              </w:rPr>
              <w:t>Expenses</w:t>
            </w:r>
          </w:p>
        </w:tc>
        <w:tc>
          <w:tcPr>
            <w:tcW w:w="944" w:type="dxa"/>
            <w:tcBorders>
              <w:top w:val="nil"/>
              <w:left w:val="nil"/>
              <w:bottom w:val="nil"/>
              <w:right w:val="nil"/>
            </w:tcBorders>
            <w:shd w:val="clear" w:color="FFFFFF" w:fill="FFFFFF"/>
            <w:noWrap/>
            <w:vAlign w:val="bottom"/>
            <w:hideMark/>
          </w:tcPr>
          <w:p w14:paraId="5078BA3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428C6124"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E776C6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686B2D0"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886B804"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434E6538"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6698FCC9" w14:textId="77777777" w:rsidTr="005E5E0C">
        <w:trPr>
          <w:trHeight w:val="250"/>
        </w:trPr>
        <w:tc>
          <w:tcPr>
            <w:tcW w:w="4226" w:type="dxa"/>
            <w:tcBorders>
              <w:top w:val="nil"/>
              <w:left w:val="nil"/>
              <w:bottom w:val="nil"/>
              <w:right w:val="nil"/>
            </w:tcBorders>
            <w:shd w:val="clear" w:color="FFFFFF" w:fill="FFFFFF"/>
            <w:vAlign w:val="bottom"/>
            <w:hideMark/>
          </w:tcPr>
          <w:p w14:paraId="2B0427EE" w14:textId="77777777" w:rsidR="00520333" w:rsidRPr="006D688A" w:rsidRDefault="00520333" w:rsidP="005E5E0C">
            <w:pPr>
              <w:spacing w:after="0"/>
              <w:ind w:leftChars="100" w:left="240"/>
              <w:rPr>
                <w:rFonts w:cs="Arial"/>
                <w:sz w:val="18"/>
                <w:szCs w:val="18"/>
              </w:rPr>
            </w:pPr>
            <w:r w:rsidRPr="006D688A">
              <w:rPr>
                <w:rFonts w:cs="Arial"/>
                <w:sz w:val="18"/>
                <w:szCs w:val="18"/>
              </w:rPr>
              <w:t>Employee benefits</w:t>
            </w:r>
          </w:p>
        </w:tc>
        <w:tc>
          <w:tcPr>
            <w:tcW w:w="944" w:type="dxa"/>
            <w:tcBorders>
              <w:top w:val="nil"/>
              <w:left w:val="nil"/>
              <w:bottom w:val="nil"/>
              <w:right w:val="nil"/>
            </w:tcBorders>
            <w:shd w:val="clear" w:color="FFFFFF" w:fill="FFFFFF"/>
            <w:noWrap/>
            <w:vAlign w:val="bottom"/>
            <w:hideMark/>
          </w:tcPr>
          <w:p w14:paraId="597CB239" w14:textId="77777777" w:rsidR="00520333" w:rsidRPr="006D688A" w:rsidRDefault="00520333" w:rsidP="005E5E0C">
            <w:pPr>
              <w:spacing w:after="0"/>
              <w:jc w:val="center"/>
              <w:rPr>
                <w:rFonts w:cs="Arial"/>
                <w:sz w:val="18"/>
                <w:szCs w:val="18"/>
              </w:rPr>
            </w:pPr>
            <w:r w:rsidRPr="006D688A">
              <w:rPr>
                <w:rFonts w:cs="Arial"/>
                <w:sz w:val="18"/>
                <w:szCs w:val="18"/>
              </w:rPr>
              <w:t>1.1A</w:t>
            </w:r>
          </w:p>
        </w:tc>
        <w:tc>
          <w:tcPr>
            <w:tcW w:w="1124" w:type="dxa"/>
            <w:tcBorders>
              <w:top w:val="nil"/>
              <w:left w:val="nil"/>
              <w:bottom w:val="nil"/>
              <w:right w:val="nil"/>
            </w:tcBorders>
            <w:shd w:val="clear" w:color="FFFFFF" w:fill="FFFFFF"/>
            <w:noWrap/>
            <w:vAlign w:val="bottom"/>
            <w:hideMark/>
          </w:tcPr>
          <w:p w14:paraId="1FCE099A" w14:textId="77777777" w:rsidR="00520333" w:rsidRPr="006D688A" w:rsidRDefault="00520333" w:rsidP="005E5E0C">
            <w:pPr>
              <w:spacing w:after="0"/>
              <w:jc w:val="right"/>
              <w:rPr>
                <w:rFonts w:cs="Arial"/>
                <w:b/>
                <w:bCs/>
                <w:sz w:val="18"/>
                <w:szCs w:val="18"/>
              </w:rPr>
            </w:pPr>
            <w:r w:rsidRPr="006D688A">
              <w:rPr>
                <w:rFonts w:cs="Arial"/>
                <w:b/>
                <w:bCs/>
                <w:sz w:val="18"/>
                <w:szCs w:val="18"/>
              </w:rPr>
              <w:t>758,603</w:t>
            </w:r>
          </w:p>
        </w:tc>
        <w:tc>
          <w:tcPr>
            <w:tcW w:w="236" w:type="dxa"/>
            <w:tcBorders>
              <w:top w:val="nil"/>
              <w:left w:val="nil"/>
              <w:bottom w:val="nil"/>
              <w:right w:val="nil"/>
            </w:tcBorders>
            <w:shd w:val="clear" w:color="FFFFFF" w:fill="FFFFFF"/>
            <w:noWrap/>
            <w:vAlign w:val="bottom"/>
            <w:hideMark/>
          </w:tcPr>
          <w:p w14:paraId="3E532B11"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7A80804" w14:textId="77777777" w:rsidR="00520333" w:rsidRPr="006D688A" w:rsidRDefault="00520333" w:rsidP="005E5E0C">
            <w:pPr>
              <w:spacing w:after="0"/>
              <w:jc w:val="right"/>
              <w:rPr>
                <w:rFonts w:cs="Arial"/>
                <w:sz w:val="18"/>
                <w:szCs w:val="18"/>
              </w:rPr>
            </w:pPr>
            <w:r w:rsidRPr="006D688A">
              <w:rPr>
                <w:rFonts w:cs="Arial"/>
                <w:sz w:val="18"/>
                <w:szCs w:val="18"/>
              </w:rPr>
              <w:t>551,640</w:t>
            </w:r>
          </w:p>
        </w:tc>
        <w:tc>
          <w:tcPr>
            <w:tcW w:w="236" w:type="dxa"/>
            <w:tcBorders>
              <w:top w:val="nil"/>
              <w:left w:val="nil"/>
              <w:bottom w:val="nil"/>
              <w:right w:val="nil"/>
            </w:tcBorders>
            <w:shd w:val="clear" w:color="FFFFFF" w:fill="FFFFFF"/>
            <w:noWrap/>
            <w:vAlign w:val="bottom"/>
            <w:hideMark/>
          </w:tcPr>
          <w:p w14:paraId="244836F4"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0170FCA5" w14:textId="77777777" w:rsidR="00520333" w:rsidRPr="006D688A" w:rsidRDefault="00520333" w:rsidP="005E5E0C">
            <w:pPr>
              <w:spacing w:after="0"/>
              <w:jc w:val="right"/>
              <w:rPr>
                <w:rFonts w:cs="Arial"/>
                <w:sz w:val="18"/>
                <w:szCs w:val="18"/>
              </w:rPr>
            </w:pPr>
            <w:r w:rsidRPr="006D688A">
              <w:rPr>
                <w:rFonts w:cs="Arial"/>
                <w:sz w:val="18"/>
                <w:szCs w:val="18"/>
              </w:rPr>
              <w:t>650,697</w:t>
            </w:r>
          </w:p>
        </w:tc>
      </w:tr>
      <w:tr w:rsidR="00520333" w:rsidRPr="006D688A" w14:paraId="09A02568" w14:textId="77777777" w:rsidTr="005E5E0C">
        <w:trPr>
          <w:trHeight w:val="250"/>
        </w:trPr>
        <w:tc>
          <w:tcPr>
            <w:tcW w:w="4226" w:type="dxa"/>
            <w:tcBorders>
              <w:top w:val="nil"/>
              <w:left w:val="nil"/>
              <w:bottom w:val="nil"/>
              <w:right w:val="nil"/>
            </w:tcBorders>
            <w:shd w:val="clear" w:color="FFFFFF" w:fill="FFFFFF"/>
            <w:vAlign w:val="bottom"/>
            <w:hideMark/>
          </w:tcPr>
          <w:p w14:paraId="1626A9BA" w14:textId="77777777" w:rsidR="00520333" w:rsidRPr="006D688A" w:rsidRDefault="00520333" w:rsidP="005E5E0C">
            <w:pPr>
              <w:spacing w:after="0"/>
              <w:ind w:leftChars="100" w:left="240"/>
              <w:rPr>
                <w:rFonts w:cs="Arial"/>
                <w:sz w:val="18"/>
                <w:szCs w:val="18"/>
              </w:rPr>
            </w:pPr>
            <w:r w:rsidRPr="006D688A">
              <w:rPr>
                <w:rFonts w:cs="Arial"/>
                <w:sz w:val="18"/>
                <w:szCs w:val="18"/>
              </w:rPr>
              <w:t>Suppliers</w:t>
            </w:r>
          </w:p>
        </w:tc>
        <w:tc>
          <w:tcPr>
            <w:tcW w:w="944" w:type="dxa"/>
            <w:tcBorders>
              <w:top w:val="nil"/>
              <w:left w:val="nil"/>
              <w:bottom w:val="nil"/>
              <w:right w:val="nil"/>
            </w:tcBorders>
            <w:shd w:val="clear" w:color="FFFFFF" w:fill="FFFFFF"/>
            <w:noWrap/>
            <w:vAlign w:val="bottom"/>
            <w:hideMark/>
          </w:tcPr>
          <w:p w14:paraId="644A096D" w14:textId="77777777" w:rsidR="00520333" w:rsidRPr="006D688A" w:rsidRDefault="00520333" w:rsidP="005E5E0C">
            <w:pPr>
              <w:spacing w:after="0"/>
              <w:jc w:val="center"/>
              <w:rPr>
                <w:rFonts w:cs="Arial"/>
                <w:sz w:val="18"/>
                <w:szCs w:val="18"/>
              </w:rPr>
            </w:pPr>
            <w:r w:rsidRPr="006D688A">
              <w:rPr>
                <w:rFonts w:cs="Arial"/>
                <w:sz w:val="18"/>
                <w:szCs w:val="18"/>
              </w:rPr>
              <w:t>1.1B</w:t>
            </w:r>
          </w:p>
        </w:tc>
        <w:tc>
          <w:tcPr>
            <w:tcW w:w="1124" w:type="dxa"/>
            <w:tcBorders>
              <w:top w:val="nil"/>
              <w:left w:val="nil"/>
              <w:bottom w:val="nil"/>
              <w:right w:val="nil"/>
            </w:tcBorders>
            <w:shd w:val="clear" w:color="FFFFFF" w:fill="FFFFFF"/>
            <w:noWrap/>
            <w:vAlign w:val="bottom"/>
            <w:hideMark/>
          </w:tcPr>
          <w:p w14:paraId="07589808" w14:textId="77777777" w:rsidR="00520333" w:rsidRPr="006D688A" w:rsidRDefault="00520333" w:rsidP="005E5E0C">
            <w:pPr>
              <w:spacing w:after="0"/>
              <w:jc w:val="right"/>
              <w:rPr>
                <w:rFonts w:cs="Arial"/>
                <w:b/>
                <w:bCs/>
                <w:sz w:val="18"/>
                <w:szCs w:val="18"/>
              </w:rPr>
            </w:pPr>
            <w:r w:rsidRPr="006D688A">
              <w:rPr>
                <w:rFonts w:cs="Arial"/>
                <w:b/>
                <w:bCs/>
                <w:sz w:val="18"/>
                <w:szCs w:val="18"/>
              </w:rPr>
              <w:t>653,950</w:t>
            </w:r>
          </w:p>
        </w:tc>
        <w:tc>
          <w:tcPr>
            <w:tcW w:w="236" w:type="dxa"/>
            <w:tcBorders>
              <w:top w:val="nil"/>
              <w:left w:val="nil"/>
              <w:bottom w:val="nil"/>
              <w:right w:val="nil"/>
            </w:tcBorders>
            <w:shd w:val="clear" w:color="FFFFFF" w:fill="FFFFFF"/>
            <w:noWrap/>
            <w:vAlign w:val="bottom"/>
            <w:hideMark/>
          </w:tcPr>
          <w:p w14:paraId="6CCD20ED"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47522E1" w14:textId="77777777" w:rsidR="00520333" w:rsidRPr="006D688A" w:rsidRDefault="00520333" w:rsidP="005E5E0C">
            <w:pPr>
              <w:spacing w:after="0"/>
              <w:jc w:val="right"/>
              <w:rPr>
                <w:rFonts w:cs="Arial"/>
                <w:sz w:val="18"/>
                <w:szCs w:val="18"/>
              </w:rPr>
            </w:pPr>
            <w:r w:rsidRPr="006D688A">
              <w:rPr>
                <w:rFonts w:cs="Arial"/>
                <w:sz w:val="18"/>
                <w:szCs w:val="18"/>
              </w:rPr>
              <w:t>604,046</w:t>
            </w:r>
          </w:p>
        </w:tc>
        <w:tc>
          <w:tcPr>
            <w:tcW w:w="236" w:type="dxa"/>
            <w:tcBorders>
              <w:top w:val="nil"/>
              <w:left w:val="nil"/>
              <w:bottom w:val="nil"/>
              <w:right w:val="nil"/>
            </w:tcBorders>
            <w:shd w:val="clear" w:color="FFFFFF" w:fill="FFFFFF"/>
            <w:noWrap/>
            <w:vAlign w:val="bottom"/>
            <w:hideMark/>
          </w:tcPr>
          <w:p w14:paraId="6CC7D219"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48D40A68" w14:textId="77777777" w:rsidR="00520333" w:rsidRPr="006D688A" w:rsidRDefault="00520333" w:rsidP="005E5E0C">
            <w:pPr>
              <w:spacing w:after="0"/>
              <w:jc w:val="right"/>
              <w:rPr>
                <w:rFonts w:cs="Arial"/>
                <w:sz w:val="18"/>
                <w:szCs w:val="18"/>
              </w:rPr>
            </w:pPr>
            <w:r w:rsidRPr="006D688A">
              <w:rPr>
                <w:rFonts w:cs="Arial"/>
                <w:sz w:val="18"/>
                <w:szCs w:val="18"/>
              </w:rPr>
              <w:t>1,433,626</w:t>
            </w:r>
          </w:p>
        </w:tc>
      </w:tr>
      <w:tr w:rsidR="00520333" w:rsidRPr="006D688A" w14:paraId="0EF44C54" w14:textId="77777777" w:rsidTr="005E5E0C">
        <w:trPr>
          <w:trHeight w:val="250"/>
        </w:trPr>
        <w:tc>
          <w:tcPr>
            <w:tcW w:w="4226" w:type="dxa"/>
            <w:tcBorders>
              <w:top w:val="nil"/>
              <w:left w:val="nil"/>
              <w:bottom w:val="nil"/>
              <w:right w:val="nil"/>
            </w:tcBorders>
            <w:shd w:val="clear" w:color="FFFFFF" w:fill="FFFFFF"/>
            <w:vAlign w:val="bottom"/>
            <w:hideMark/>
          </w:tcPr>
          <w:p w14:paraId="5FC7B04A" w14:textId="77777777" w:rsidR="00520333" w:rsidRPr="006D688A" w:rsidRDefault="00520333" w:rsidP="005E5E0C">
            <w:pPr>
              <w:spacing w:after="0"/>
              <w:ind w:leftChars="100" w:left="240"/>
              <w:rPr>
                <w:rFonts w:cs="Arial"/>
                <w:sz w:val="18"/>
                <w:szCs w:val="18"/>
              </w:rPr>
            </w:pPr>
            <w:r w:rsidRPr="006D688A">
              <w:rPr>
                <w:rFonts w:cs="Arial"/>
                <w:sz w:val="18"/>
                <w:szCs w:val="18"/>
              </w:rPr>
              <w:t>Community partnership costs</w:t>
            </w:r>
          </w:p>
        </w:tc>
        <w:tc>
          <w:tcPr>
            <w:tcW w:w="944" w:type="dxa"/>
            <w:tcBorders>
              <w:top w:val="nil"/>
              <w:left w:val="nil"/>
              <w:bottom w:val="nil"/>
              <w:right w:val="nil"/>
            </w:tcBorders>
            <w:shd w:val="clear" w:color="FFFFFF" w:fill="FFFFFF"/>
            <w:noWrap/>
            <w:vAlign w:val="bottom"/>
            <w:hideMark/>
          </w:tcPr>
          <w:p w14:paraId="0AC2F8DA" w14:textId="77777777" w:rsidR="00520333" w:rsidRPr="006D688A" w:rsidRDefault="00520333" w:rsidP="005E5E0C">
            <w:pPr>
              <w:spacing w:after="0"/>
              <w:jc w:val="center"/>
              <w:rPr>
                <w:rFonts w:cs="Arial"/>
                <w:sz w:val="18"/>
                <w:szCs w:val="18"/>
              </w:rPr>
            </w:pPr>
            <w:r w:rsidRPr="006D688A">
              <w:rPr>
                <w:rFonts w:cs="Arial"/>
                <w:sz w:val="18"/>
                <w:szCs w:val="18"/>
              </w:rPr>
              <w:t>1.1F</w:t>
            </w:r>
          </w:p>
        </w:tc>
        <w:tc>
          <w:tcPr>
            <w:tcW w:w="1124" w:type="dxa"/>
            <w:tcBorders>
              <w:top w:val="nil"/>
              <w:left w:val="nil"/>
              <w:bottom w:val="nil"/>
              <w:right w:val="nil"/>
            </w:tcBorders>
            <w:shd w:val="clear" w:color="FFFFFF" w:fill="FFFFFF"/>
            <w:noWrap/>
            <w:vAlign w:val="bottom"/>
            <w:hideMark/>
          </w:tcPr>
          <w:p w14:paraId="74D1813C" w14:textId="77777777" w:rsidR="00520333" w:rsidRPr="006D688A" w:rsidRDefault="00520333" w:rsidP="005E5E0C">
            <w:pPr>
              <w:spacing w:after="0"/>
              <w:jc w:val="right"/>
              <w:rPr>
                <w:rFonts w:cs="Arial"/>
                <w:b/>
                <w:bCs/>
                <w:sz w:val="18"/>
                <w:szCs w:val="18"/>
              </w:rPr>
            </w:pPr>
            <w:r w:rsidRPr="006D688A">
              <w:rPr>
                <w:rFonts w:cs="Arial"/>
                <w:b/>
                <w:bCs/>
                <w:sz w:val="18"/>
                <w:szCs w:val="18"/>
              </w:rPr>
              <w:t>605,739</w:t>
            </w:r>
          </w:p>
        </w:tc>
        <w:tc>
          <w:tcPr>
            <w:tcW w:w="236" w:type="dxa"/>
            <w:tcBorders>
              <w:top w:val="nil"/>
              <w:left w:val="nil"/>
              <w:bottom w:val="nil"/>
              <w:right w:val="nil"/>
            </w:tcBorders>
            <w:shd w:val="clear" w:color="FFFFFF" w:fill="FFFFFF"/>
            <w:noWrap/>
            <w:vAlign w:val="bottom"/>
            <w:hideMark/>
          </w:tcPr>
          <w:p w14:paraId="2457C3EC"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56040894" w14:textId="77777777" w:rsidR="00520333" w:rsidRPr="006D688A" w:rsidRDefault="00520333" w:rsidP="005E5E0C">
            <w:pPr>
              <w:spacing w:after="0"/>
              <w:jc w:val="right"/>
              <w:rPr>
                <w:rFonts w:cs="Arial"/>
                <w:sz w:val="18"/>
                <w:szCs w:val="18"/>
              </w:rPr>
            </w:pPr>
            <w:r w:rsidRPr="006D688A">
              <w:rPr>
                <w:rFonts w:cs="Arial"/>
                <w:sz w:val="18"/>
                <w:szCs w:val="18"/>
              </w:rPr>
              <w:t>604,346</w:t>
            </w:r>
          </w:p>
        </w:tc>
        <w:tc>
          <w:tcPr>
            <w:tcW w:w="236" w:type="dxa"/>
            <w:tcBorders>
              <w:top w:val="nil"/>
              <w:left w:val="nil"/>
              <w:bottom w:val="nil"/>
              <w:right w:val="nil"/>
            </w:tcBorders>
            <w:shd w:val="clear" w:color="FFFFFF" w:fill="FFFFFF"/>
            <w:noWrap/>
            <w:vAlign w:val="bottom"/>
            <w:hideMark/>
          </w:tcPr>
          <w:p w14:paraId="73C9F96B"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26726E0A"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r>
      <w:tr w:rsidR="00520333" w:rsidRPr="006D688A" w14:paraId="361C1201" w14:textId="77777777" w:rsidTr="005E5E0C">
        <w:trPr>
          <w:trHeight w:val="250"/>
        </w:trPr>
        <w:tc>
          <w:tcPr>
            <w:tcW w:w="4226" w:type="dxa"/>
            <w:tcBorders>
              <w:top w:val="nil"/>
              <w:left w:val="nil"/>
              <w:bottom w:val="nil"/>
              <w:right w:val="nil"/>
            </w:tcBorders>
            <w:shd w:val="clear" w:color="FFFFFF" w:fill="FFFFFF"/>
            <w:vAlign w:val="bottom"/>
            <w:hideMark/>
          </w:tcPr>
          <w:p w14:paraId="4D20EC0F" w14:textId="77777777" w:rsidR="00520333" w:rsidRPr="006D688A" w:rsidRDefault="00520333" w:rsidP="005E5E0C">
            <w:pPr>
              <w:spacing w:after="0"/>
              <w:ind w:leftChars="100" w:left="240"/>
              <w:rPr>
                <w:rFonts w:cs="Arial"/>
                <w:sz w:val="18"/>
                <w:szCs w:val="18"/>
              </w:rPr>
            </w:pPr>
            <w:r w:rsidRPr="006D688A">
              <w:rPr>
                <w:rFonts w:cs="Arial"/>
                <w:sz w:val="18"/>
                <w:szCs w:val="18"/>
              </w:rPr>
              <w:t>Grants</w:t>
            </w:r>
          </w:p>
        </w:tc>
        <w:tc>
          <w:tcPr>
            <w:tcW w:w="944" w:type="dxa"/>
            <w:tcBorders>
              <w:top w:val="nil"/>
              <w:left w:val="nil"/>
              <w:bottom w:val="nil"/>
              <w:right w:val="nil"/>
            </w:tcBorders>
            <w:shd w:val="clear" w:color="FFFFFF" w:fill="FFFFFF"/>
            <w:noWrap/>
            <w:vAlign w:val="bottom"/>
            <w:hideMark/>
          </w:tcPr>
          <w:p w14:paraId="030CE879" w14:textId="77777777" w:rsidR="00520333" w:rsidRPr="006D688A" w:rsidRDefault="00520333" w:rsidP="005E5E0C">
            <w:pPr>
              <w:spacing w:after="0"/>
              <w:jc w:val="center"/>
              <w:rPr>
                <w:rFonts w:cs="Arial"/>
                <w:sz w:val="18"/>
                <w:szCs w:val="18"/>
              </w:rPr>
            </w:pPr>
            <w:r w:rsidRPr="006D688A">
              <w:rPr>
                <w:rFonts w:cs="Arial"/>
                <w:sz w:val="18"/>
                <w:szCs w:val="18"/>
              </w:rPr>
              <w:t>1.1C</w:t>
            </w:r>
          </w:p>
        </w:tc>
        <w:tc>
          <w:tcPr>
            <w:tcW w:w="1124" w:type="dxa"/>
            <w:tcBorders>
              <w:top w:val="nil"/>
              <w:left w:val="nil"/>
              <w:bottom w:val="nil"/>
              <w:right w:val="nil"/>
            </w:tcBorders>
            <w:shd w:val="clear" w:color="FFFFFF" w:fill="FFFFFF"/>
            <w:noWrap/>
            <w:vAlign w:val="bottom"/>
            <w:hideMark/>
          </w:tcPr>
          <w:p w14:paraId="213F2873" w14:textId="77777777" w:rsidR="00520333" w:rsidRPr="006D688A" w:rsidRDefault="00520333" w:rsidP="005E5E0C">
            <w:pPr>
              <w:spacing w:after="0"/>
              <w:jc w:val="right"/>
              <w:rPr>
                <w:rFonts w:cs="Arial"/>
                <w:b/>
                <w:bCs/>
                <w:sz w:val="18"/>
                <w:szCs w:val="18"/>
              </w:rPr>
            </w:pPr>
            <w:r w:rsidRPr="006D688A">
              <w:rPr>
                <w:rFonts w:cs="Arial"/>
                <w:b/>
                <w:bCs/>
                <w:sz w:val="18"/>
                <w:szCs w:val="18"/>
              </w:rPr>
              <w:t>5,306</w:t>
            </w:r>
          </w:p>
        </w:tc>
        <w:tc>
          <w:tcPr>
            <w:tcW w:w="236" w:type="dxa"/>
            <w:tcBorders>
              <w:top w:val="nil"/>
              <w:left w:val="nil"/>
              <w:bottom w:val="nil"/>
              <w:right w:val="nil"/>
            </w:tcBorders>
            <w:shd w:val="clear" w:color="FFFFFF" w:fill="FFFFFF"/>
            <w:noWrap/>
            <w:vAlign w:val="bottom"/>
            <w:hideMark/>
          </w:tcPr>
          <w:p w14:paraId="0EFF89FE"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7C5D80F4" w14:textId="77777777" w:rsidR="00520333" w:rsidRPr="006D688A" w:rsidRDefault="00520333" w:rsidP="005E5E0C">
            <w:pPr>
              <w:spacing w:after="0"/>
              <w:jc w:val="right"/>
              <w:rPr>
                <w:rFonts w:cs="Arial"/>
                <w:sz w:val="18"/>
                <w:szCs w:val="18"/>
              </w:rPr>
            </w:pPr>
            <w:r w:rsidRPr="006D688A">
              <w:rPr>
                <w:rFonts w:cs="Arial"/>
                <w:sz w:val="18"/>
                <w:szCs w:val="18"/>
              </w:rPr>
              <w:t>347</w:t>
            </w:r>
          </w:p>
        </w:tc>
        <w:tc>
          <w:tcPr>
            <w:tcW w:w="236" w:type="dxa"/>
            <w:tcBorders>
              <w:top w:val="nil"/>
              <w:left w:val="nil"/>
              <w:bottom w:val="nil"/>
              <w:right w:val="nil"/>
            </w:tcBorders>
            <w:shd w:val="clear" w:color="FFFFFF" w:fill="FFFFFF"/>
            <w:noWrap/>
            <w:vAlign w:val="bottom"/>
            <w:hideMark/>
          </w:tcPr>
          <w:p w14:paraId="2A290CE0"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03DFA726"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r>
      <w:tr w:rsidR="00520333" w:rsidRPr="006D688A" w14:paraId="3B721E4C" w14:textId="77777777" w:rsidTr="005E5E0C">
        <w:trPr>
          <w:trHeight w:val="250"/>
        </w:trPr>
        <w:tc>
          <w:tcPr>
            <w:tcW w:w="4226" w:type="dxa"/>
            <w:tcBorders>
              <w:top w:val="nil"/>
              <w:left w:val="nil"/>
              <w:bottom w:val="nil"/>
              <w:right w:val="nil"/>
            </w:tcBorders>
            <w:shd w:val="clear" w:color="FFFFFF" w:fill="FFFFFF"/>
            <w:vAlign w:val="bottom"/>
            <w:hideMark/>
          </w:tcPr>
          <w:p w14:paraId="6DEB88DA" w14:textId="77777777" w:rsidR="00520333" w:rsidRPr="006D688A" w:rsidRDefault="00520333" w:rsidP="005E5E0C">
            <w:pPr>
              <w:spacing w:after="0"/>
              <w:ind w:leftChars="100" w:left="240"/>
              <w:rPr>
                <w:rFonts w:cs="Arial"/>
                <w:sz w:val="18"/>
                <w:szCs w:val="18"/>
              </w:rPr>
            </w:pPr>
            <w:r w:rsidRPr="006D688A">
              <w:rPr>
                <w:rFonts w:cs="Arial"/>
                <w:sz w:val="18"/>
                <w:szCs w:val="18"/>
              </w:rPr>
              <w:t>Participant plan expenses</w:t>
            </w:r>
          </w:p>
        </w:tc>
        <w:tc>
          <w:tcPr>
            <w:tcW w:w="944" w:type="dxa"/>
            <w:tcBorders>
              <w:top w:val="nil"/>
              <w:left w:val="nil"/>
              <w:bottom w:val="nil"/>
              <w:right w:val="nil"/>
            </w:tcBorders>
            <w:shd w:val="clear" w:color="FFFFFF" w:fill="FFFFFF"/>
            <w:noWrap/>
            <w:vAlign w:val="bottom"/>
            <w:hideMark/>
          </w:tcPr>
          <w:p w14:paraId="7FEE00E3" w14:textId="77777777" w:rsidR="00520333" w:rsidRPr="006D688A" w:rsidRDefault="00520333" w:rsidP="005E5E0C">
            <w:pPr>
              <w:spacing w:after="0"/>
              <w:jc w:val="center"/>
              <w:rPr>
                <w:rFonts w:cs="Arial"/>
                <w:sz w:val="18"/>
                <w:szCs w:val="18"/>
              </w:rPr>
            </w:pPr>
            <w:r w:rsidRPr="006D688A">
              <w:rPr>
                <w:rFonts w:cs="Arial"/>
                <w:sz w:val="18"/>
                <w:szCs w:val="18"/>
              </w:rPr>
              <w:t>1.1G</w:t>
            </w:r>
          </w:p>
        </w:tc>
        <w:tc>
          <w:tcPr>
            <w:tcW w:w="1124" w:type="dxa"/>
            <w:tcBorders>
              <w:top w:val="nil"/>
              <w:left w:val="nil"/>
              <w:bottom w:val="nil"/>
              <w:right w:val="nil"/>
            </w:tcBorders>
            <w:shd w:val="clear" w:color="FFFFFF" w:fill="FFFFFF"/>
            <w:noWrap/>
            <w:vAlign w:val="bottom"/>
            <w:hideMark/>
          </w:tcPr>
          <w:p w14:paraId="68A501AB" w14:textId="77777777" w:rsidR="00520333" w:rsidRPr="006D688A" w:rsidRDefault="00520333" w:rsidP="005E5E0C">
            <w:pPr>
              <w:spacing w:after="0"/>
              <w:jc w:val="right"/>
              <w:rPr>
                <w:rFonts w:cs="Arial"/>
                <w:b/>
                <w:bCs/>
                <w:sz w:val="18"/>
                <w:szCs w:val="18"/>
              </w:rPr>
            </w:pPr>
            <w:r w:rsidRPr="006D688A">
              <w:rPr>
                <w:rFonts w:cs="Arial"/>
                <w:b/>
                <w:bCs/>
                <w:sz w:val="18"/>
                <w:szCs w:val="18"/>
              </w:rPr>
              <w:t>41,845,657</w:t>
            </w:r>
          </w:p>
        </w:tc>
        <w:tc>
          <w:tcPr>
            <w:tcW w:w="236" w:type="dxa"/>
            <w:tcBorders>
              <w:top w:val="nil"/>
              <w:left w:val="nil"/>
              <w:bottom w:val="nil"/>
              <w:right w:val="nil"/>
            </w:tcBorders>
            <w:shd w:val="clear" w:color="FFFFFF" w:fill="FFFFFF"/>
            <w:noWrap/>
            <w:vAlign w:val="bottom"/>
            <w:hideMark/>
          </w:tcPr>
          <w:p w14:paraId="1D3DEB0B"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B6ECA61" w14:textId="77777777" w:rsidR="00520333" w:rsidRPr="006D688A" w:rsidRDefault="00520333" w:rsidP="005E5E0C">
            <w:pPr>
              <w:spacing w:after="0"/>
              <w:jc w:val="right"/>
              <w:rPr>
                <w:rFonts w:cs="Arial"/>
                <w:sz w:val="18"/>
                <w:szCs w:val="18"/>
              </w:rPr>
            </w:pPr>
            <w:r w:rsidRPr="006D688A">
              <w:rPr>
                <w:rFonts w:cs="Arial"/>
                <w:sz w:val="18"/>
                <w:szCs w:val="18"/>
              </w:rPr>
              <w:t>35,193,427</w:t>
            </w:r>
          </w:p>
        </w:tc>
        <w:tc>
          <w:tcPr>
            <w:tcW w:w="236" w:type="dxa"/>
            <w:tcBorders>
              <w:top w:val="nil"/>
              <w:left w:val="nil"/>
              <w:bottom w:val="nil"/>
              <w:right w:val="nil"/>
            </w:tcBorders>
            <w:shd w:val="clear" w:color="FFFFFF" w:fill="FFFFFF"/>
            <w:noWrap/>
            <w:vAlign w:val="bottom"/>
            <w:hideMark/>
          </w:tcPr>
          <w:p w14:paraId="1456CCB9"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60F894D2" w14:textId="77777777" w:rsidR="00520333" w:rsidRPr="006D688A" w:rsidRDefault="00520333" w:rsidP="005E5E0C">
            <w:pPr>
              <w:spacing w:after="0"/>
              <w:jc w:val="right"/>
              <w:rPr>
                <w:rFonts w:cs="Arial"/>
                <w:sz w:val="18"/>
                <w:szCs w:val="18"/>
              </w:rPr>
            </w:pPr>
            <w:r w:rsidRPr="006D688A">
              <w:rPr>
                <w:rFonts w:cs="Arial"/>
                <w:sz w:val="18"/>
                <w:szCs w:val="18"/>
              </w:rPr>
              <w:t>39,976,977</w:t>
            </w:r>
          </w:p>
        </w:tc>
      </w:tr>
      <w:tr w:rsidR="00520333" w:rsidRPr="006D688A" w14:paraId="23831EE3" w14:textId="77777777" w:rsidTr="005E5E0C">
        <w:trPr>
          <w:trHeight w:val="250"/>
        </w:trPr>
        <w:tc>
          <w:tcPr>
            <w:tcW w:w="4226" w:type="dxa"/>
            <w:tcBorders>
              <w:top w:val="nil"/>
              <w:left w:val="nil"/>
              <w:bottom w:val="nil"/>
              <w:right w:val="nil"/>
            </w:tcBorders>
            <w:shd w:val="clear" w:color="FFFFFF" w:fill="FFFFFF"/>
            <w:vAlign w:val="bottom"/>
            <w:hideMark/>
          </w:tcPr>
          <w:p w14:paraId="24011391" w14:textId="77777777" w:rsidR="00520333" w:rsidRPr="006D688A" w:rsidRDefault="00520333" w:rsidP="005E5E0C">
            <w:pPr>
              <w:spacing w:after="0"/>
              <w:ind w:leftChars="100" w:left="240"/>
              <w:rPr>
                <w:rFonts w:cs="Arial"/>
                <w:sz w:val="18"/>
                <w:szCs w:val="18"/>
              </w:rPr>
            </w:pPr>
            <w:r w:rsidRPr="006D688A">
              <w:rPr>
                <w:rFonts w:cs="Arial"/>
                <w:sz w:val="18"/>
                <w:szCs w:val="18"/>
              </w:rPr>
              <w:t>Depreciation and amortisation</w:t>
            </w:r>
          </w:p>
        </w:tc>
        <w:tc>
          <w:tcPr>
            <w:tcW w:w="944" w:type="dxa"/>
            <w:tcBorders>
              <w:top w:val="nil"/>
              <w:left w:val="nil"/>
              <w:bottom w:val="nil"/>
              <w:right w:val="nil"/>
            </w:tcBorders>
            <w:shd w:val="clear" w:color="FFFFFF" w:fill="FFFFFF"/>
            <w:noWrap/>
            <w:vAlign w:val="bottom"/>
            <w:hideMark/>
          </w:tcPr>
          <w:p w14:paraId="58585FDD" w14:textId="77777777" w:rsidR="00520333" w:rsidRPr="006D688A" w:rsidRDefault="00520333" w:rsidP="005E5E0C">
            <w:pPr>
              <w:spacing w:after="0"/>
              <w:jc w:val="center"/>
              <w:rPr>
                <w:rFonts w:cs="Arial"/>
                <w:sz w:val="18"/>
                <w:szCs w:val="18"/>
              </w:rPr>
            </w:pPr>
            <w:r w:rsidRPr="006D688A">
              <w:rPr>
                <w:rFonts w:cs="Arial"/>
                <w:sz w:val="18"/>
                <w:szCs w:val="18"/>
              </w:rPr>
              <w:t>2.2A</w:t>
            </w:r>
          </w:p>
        </w:tc>
        <w:tc>
          <w:tcPr>
            <w:tcW w:w="1124" w:type="dxa"/>
            <w:tcBorders>
              <w:top w:val="nil"/>
              <w:left w:val="nil"/>
              <w:bottom w:val="nil"/>
              <w:right w:val="nil"/>
            </w:tcBorders>
            <w:shd w:val="clear" w:color="FFFFFF" w:fill="FFFFFF"/>
            <w:noWrap/>
            <w:vAlign w:val="bottom"/>
            <w:hideMark/>
          </w:tcPr>
          <w:p w14:paraId="51629858" w14:textId="77777777" w:rsidR="00520333" w:rsidRPr="006D688A" w:rsidRDefault="00520333" w:rsidP="005E5E0C">
            <w:pPr>
              <w:spacing w:after="0"/>
              <w:jc w:val="right"/>
              <w:rPr>
                <w:rFonts w:cs="Arial"/>
                <w:b/>
                <w:bCs/>
                <w:sz w:val="18"/>
                <w:szCs w:val="18"/>
              </w:rPr>
            </w:pPr>
            <w:r w:rsidRPr="006D688A">
              <w:rPr>
                <w:rFonts w:cs="Arial"/>
                <w:b/>
                <w:bCs/>
                <w:sz w:val="18"/>
                <w:szCs w:val="18"/>
              </w:rPr>
              <w:t>62,267</w:t>
            </w:r>
          </w:p>
        </w:tc>
        <w:tc>
          <w:tcPr>
            <w:tcW w:w="236" w:type="dxa"/>
            <w:tcBorders>
              <w:top w:val="nil"/>
              <w:left w:val="nil"/>
              <w:bottom w:val="nil"/>
              <w:right w:val="nil"/>
            </w:tcBorders>
            <w:shd w:val="clear" w:color="FFFFFF" w:fill="FFFFFF"/>
            <w:noWrap/>
            <w:vAlign w:val="bottom"/>
            <w:hideMark/>
          </w:tcPr>
          <w:p w14:paraId="4E7B59DC"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D332A5B" w14:textId="77777777" w:rsidR="00520333" w:rsidRPr="006D688A" w:rsidRDefault="00520333" w:rsidP="005E5E0C">
            <w:pPr>
              <w:spacing w:after="0"/>
              <w:jc w:val="right"/>
              <w:rPr>
                <w:rFonts w:cs="Arial"/>
                <w:sz w:val="18"/>
                <w:szCs w:val="18"/>
              </w:rPr>
            </w:pPr>
            <w:r w:rsidRPr="006D688A">
              <w:rPr>
                <w:rFonts w:cs="Arial"/>
                <w:sz w:val="18"/>
                <w:szCs w:val="18"/>
              </w:rPr>
              <w:t>65,508</w:t>
            </w:r>
          </w:p>
        </w:tc>
        <w:tc>
          <w:tcPr>
            <w:tcW w:w="236" w:type="dxa"/>
            <w:tcBorders>
              <w:top w:val="nil"/>
              <w:left w:val="nil"/>
              <w:bottom w:val="nil"/>
              <w:right w:val="nil"/>
            </w:tcBorders>
            <w:shd w:val="clear" w:color="FFFFFF" w:fill="FFFFFF"/>
            <w:noWrap/>
            <w:vAlign w:val="bottom"/>
            <w:hideMark/>
          </w:tcPr>
          <w:p w14:paraId="5EECD24D"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3E4CCDE2" w14:textId="77777777" w:rsidR="00520333" w:rsidRPr="006D688A" w:rsidRDefault="00520333" w:rsidP="005E5E0C">
            <w:pPr>
              <w:spacing w:after="0"/>
              <w:jc w:val="right"/>
              <w:rPr>
                <w:rFonts w:cs="Arial"/>
                <w:sz w:val="18"/>
                <w:szCs w:val="18"/>
              </w:rPr>
            </w:pPr>
            <w:r w:rsidRPr="006D688A">
              <w:rPr>
                <w:rFonts w:cs="Arial"/>
                <w:sz w:val="18"/>
                <w:szCs w:val="18"/>
              </w:rPr>
              <w:t>68,835</w:t>
            </w:r>
          </w:p>
        </w:tc>
      </w:tr>
      <w:tr w:rsidR="00520333" w:rsidRPr="006D688A" w14:paraId="3ECD6615" w14:textId="77777777" w:rsidTr="005E5E0C">
        <w:trPr>
          <w:trHeight w:val="250"/>
        </w:trPr>
        <w:tc>
          <w:tcPr>
            <w:tcW w:w="4226" w:type="dxa"/>
            <w:tcBorders>
              <w:top w:val="nil"/>
              <w:left w:val="nil"/>
              <w:bottom w:val="nil"/>
              <w:right w:val="nil"/>
            </w:tcBorders>
            <w:shd w:val="clear" w:color="FFFFFF" w:fill="FFFFFF"/>
            <w:vAlign w:val="bottom"/>
            <w:hideMark/>
          </w:tcPr>
          <w:p w14:paraId="78449E63" w14:textId="77777777" w:rsidR="00520333" w:rsidRPr="006D688A" w:rsidRDefault="00520333" w:rsidP="005E5E0C">
            <w:pPr>
              <w:spacing w:after="0"/>
              <w:ind w:leftChars="100" w:left="240"/>
              <w:rPr>
                <w:rFonts w:cs="Arial"/>
                <w:sz w:val="18"/>
                <w:szCs w:val="18"/>
              </w:rPr>
            </w:pPr>
            <w:r w:rsidRPr="006D688A">
              <w:rPr>
                <w:rFonts w:cs="Arial"/>
                <w:sz w:val="18"/>
                <w:szCs w:val="18"/>
              </w:rPr>
              <w:t>Finance costs</w:t>
            </w:r>
          </w:p>
        </w:tc>
        <w:tc>
          <w:tcPr>
            <w:tcW w:w="944" w:type="dxa"/>
            <w:tcBorders>
              <w:top w:val="nil"/>
              <w:left w:val="nil"/>
              <w:bottom w:val="nil"/>
              <w:right w:val="nil"/>
            </w:tcBorders>
            <w:shd w:val="clear" w:color="FFFFFF" w:fill="FFFFFF"/>
            <w:noWrap/>
            <w:vAlign w:val="bottom"/>
            <w:hideMark/>
          </w:tcPr>
          <w:p w14:paraId="7B7D3772" w14:textId="77777777" w:rsidR="00520333" w:rsidRPr="006D688A" w:rsidRDefault="00520333" w:rsidP="005E5E0C">
            <w:pPr>
              <w:spacing w:after="0"/>
              <w:jc w:val="center"/>
              <w:rPr>
                <w:rFonts w:cs="Arial"/>
                <w:sz w:val="18"/>
                <w:szCs w:val="18"/>
              </w:rPr>
            </w:pPr>
            <w:r w:rsidRPr="006D688A">
              <w:rPr>
                <w:rFonts w:cs="Arial"/>
                <w:sz w:val="18"/>
                <w:szCs w:val="18"/>
              </w:rPr>
              <w:t>1.1D</w:t>
            </w:r>
          </w:p>
        </w:tc>
        <w:tc>
          <w:tcPr>
            <w:tcW w:w="1124" w:type="dxa"/>
            <w:tcBorders>
              <w:top w:val="nil"/>
              <w:left w:val="nil"/>
              <w:bottom w:val="nil"/>
              <w:right w:val="nil"/>
            </w:tcBorders>
            <w:shd w:val="clear" w:color="FFFFFF" w:fill="FFFFFF"/>
            <w:noWrap/>
            <w:vAlign w:val="bottom"/>
            <w:hideMark/>
          </w:tcPr>
          <w:p w14:paraId="0DC4F772" w14:textId="77777777" w:rsidR="00520333" w:rsidRPr="006D688A" w:rsidRDefault="00520333" w:rsidP="005E5E0C">
            <w:pPr>
              <w:spacing w:after="0"/>
              <w:jc w:val="right"/>
              <w:rPr>
                <w:rFonts w:cs="Arial"/>
                <w:b/>
                <w:bCs/>
                <w:sz w:val="18"/>
                <w:szCs w:val="18"/>
              </w:rPr>
            </w:pPr>
            <w:r w:rsidRPr="006D688A">
              <w:rPr>
                <w:rFonts w:cs="Arial"/>
                <w:b/>
                <w:bCs/>
                <w:sz w:val="18"/>
                <w:szCs w:val="18"/>
              </w:rPr>
              <w:t>4,342</w:t>
            </w:r>
          </w:p>
        </w:tc>
        <w:tc>
          <w:tcPr>
            <w:tcW w:w="236" w:type="dxa"/>
            <w:tcBorders>
              <w:top w:val="nil"/>
              <w:left w:val="nil"/>
              <w:bottom w:val="nil"/>
              <w:right w:val="nil"/>
            </w:tcBorders>
            <w:shd w:val="clear" w:color="FFFFFF" w:fill="FFFFFF"/>
            <w:noWrap/>
            <w:vAlign w:val="bottom"/>
            <w:hideMark/>
          </w:tcPr>
          <w:p w14:paraId="58557A9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24D2389" w14:textId="77777777" w:rsidR="00520333" w:rsidRPr="006D688A" w:rsidRDefault="00520333" w:rsidP="005E5E0C">
            <w:pPr>
              <w:spacing w:after="0"/>
              <w:jc w:val="right"/>
              <w:rPr>
                <w:rFonts w:cs="Arial"/>
                <w:sz w:val="18"/>
                <w:szCs w:val="18"/>
              </w:rPr>
            </w:pPr>
            <w:r w:rsidRPr="006D688A">
              <w:rPr>
                <w:rFonts w:cs="Arial"/>
                <w:sz w:val="18"/>
                <w:szCs w:val="18"/>
              </w:rPr>
              <w:t>1,948</w:t>
            </w:r>
          </w:p>
        </w:tc>
        <w:tc>
          <w:tcPr>
            <w:tcW w:w="236" w:type="dxa"/>
            <w:tcBorders>
              <w:top w:val="nil"/>
              <w:left w:val="nil"/>
              <w:bottom w:val="nil"/>
              <w:right w:val="nil"/>
            </w:tcBorders>
            <w:shd w:val="clear" w:color="FFFFFF" w:fill="FFFFFF"/>
            <w:noWrap/>
            <w:vAlign w:val="bottom"/>
            <w:hideMark/>
          </w:tcPr>
          <w:p w14:paraId="44592473"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2AD815E9" w14:textId="77777777" w:rsidR="00520333" w:rsidRPr="006D688A" w:rsidRDefault="00520333" w:rsidP="005E5E0C">
            <w:pPr>
              <w:spacing w:after="0"/>
              <w:jc w:val="right"/>
              <w:rPr>
                <w:rFonts w:cs="Arial"/>
                <w:sz w:val="18"/>
                <w:szCs w:val="18"/>
              </w:rPr>
            </w:pPr>
            <w:r w:rsidRPr="006D688A">
              <w:rPr>
                <w:rFonts w:cs="Arial"/>
                <w:sz w:val="18"/>
                <w:szCs w:val="18"/>
              </w:rPr>
              <w:t>2,462</w:t>
            </w:r>
          </w:p>
        </w:tc>
      </w:tr>
      <w:tr w:rsidR="00520333" w:rsidRPr="006D688A" w14:paraId="49DB65CB" w14:textId="77777777" w:rsidTr="005E5E0C">
        <w:trPr>
          <w:trHeight w:val="250"/>
        </w:trPr>
        <w:tc>
          <w:tcPr>
            <w:tcW w:w="4226" w:type="dxa"/>
            <w:tcBorders>
              <w:top w:val="nil"/>
              <w:left w:val="nil"/>
              <w:bottom w:val="nil"/>
              <w:right w:val="nil"/>
            </w:tcBorders>
            <w:shd w:val="clear" w:color="FFFFFF" w:fill="FFFFFF"/>
            <w:vAlign w:val="bottom"/>
            <w:hideMark/>
          </w:tcPr>
          <w:p w14:paraId="68D216AF" w14:textId="77777777" w:rsidR="00520333" w:rsidRPr="006D688A" w:rsidRDefault="00520333" w:rsidP="005E5E0C">
            <w:pPr>
              <w:spacing w:after="0"/>
              <w:ind w:leftChars="100" w:left="240"/>
              <w:rPr>
                <w:rFonts w:cs="Arial"/>
                <w:sz w:val="18"/>
                <w:szCs w:val="18"/>
              </w:rPr>
            </w:pPr>
            <w:r w:rsidRPr="006D688A">
              <w:rPr>
                <w:rFonts w:cs="Arial"/>
                <w:sz w:val="18"/>
                <w:szCs w:val="18"/>
              </w:rPr>
              <w:t>Write-down and impairment of other assets</w:t>
            </w:r>
          </w:p>
        </w:tc>
        <w:tc>
          <w:tcPr>
            <w:tcW w:w="944" w:type="dxa"/>
            <w:tcBorders>
              <w:top w:val="nil"/>
              <w:left w:val="nil"/>
              <w:bottom w:val="nil"/>
              <w:right w:val="nil"/>
            </w:tcBorders>
            <w:shd w:val="clear" w:color="FFFFFF" w:fill="FFFFFF"/>
            <w:noWrap/>
            <w:vAlign w:val="bottom"/>
            <w:hideMark/>
          </w:tcPr>
          <w:p w14:paraId="5EBD165B" w14:textId="77777777" w:rsidR="00520333" w:rsidRPr="006D688A" w:rsidRDefault="00520333" w:rsidP="005E5E0C">
            <w:pPr>
              <w:spacing w:after="0"/>
              <w:jc w:val="center"/>
              <w:rPr>
                <w:rFonts w:cs="Arial"/>
                <w:sz w:val="18"/>
                <w:szCs w:val="18"/>
              </w:rPr>
            </w:pPr>
            <w:r w:rsidRPr="006D688A">
              <w:rPr>
                <w:rFonts w:cs="Arial"/>
                <w:sz w:val="18"/>
                <w:szCs w:val="18"/>
              </w:rPr>
              <w:t>1.1E</w:t>
            </w:r>
          </w:p>
        </w:tc>
        <w:tc>
          <w:tcPr>
            <w:tcW w:w="1124" w:type="dxa"/>
            <w:tcBorders>
              <w:top w:val="nil"/>
              <w:left w:val="nil"/>
              <w:bottom w:val="nil"/>
              <w:right w:val="nil"/>
            </w:tcBorders>
            <w:shd w:val="clear" w:color="FFFFFF" w:fill="FFFFFF"/>
            <w:noWrap/>
            <w:vAlign w:val="bottom"/>
            <w:hideMark/>
          </w:tcPr>
          <w:p w14:paraId="170F98A6" w14:textId="77777777" w:rsidR="00520333" w:rsidRPr="006D688A" w:rsidRDefault="00520333" w:rsidP="005E5E0C">
            <w:pPr>
              <w:spacing w:after="0"/>
              <w:jc w:val="right"/>
              <w:rPr>
                <w:rFonts w:cs="Arial"/>
                <w:b/>
                <w:bCs/>
                <w:sz w:val="18"/>
                <w:szCs w:val="18"/>
              </w:rPr>
            </w:pPr>
            <w:r w:rsidRPr="006D688A">
              <w:rPr>
                <w:rFonts w:cs="Arial"/>
                <w:b/>
                <w:bCs/>
                <w:sz w:val="18"/>
                <w:szCs w:val="18"/>
              </w:rPr>
              <w:t>42,717</w:t>
            </w:r>
          </w:p>
        </w:tc>
        <w:tc>
          <w:tcPr>
            <w:tcW w:w="236" w:type="dxa"/>
            <w:tcBorders>
              <w:top w:val="nil"/>
              <w:left w:val="nil"/>
              <w:bottom w:val="nil"/>
              <w:right w:val="nil"/>
            </w:tcBorders>
            <w:shd w:val="clear" w:color="FFFFFF" w:fill="FFFFFF"/>
            <w:noWrap/>
            <w:vAlign w:val="bottom"/>
            <w:hideMark/>
          </w:tcPr>
          <w:p w14:paraId="4C5FC7E2"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184100E" w14:textId="77777777" w:rsidR="00520333" w:rsidRPr="006D688A" w:rsidRDefault="00520333" w:rsidP="005E5E0C">
            <w:pPr>
              <w:spacing w:after="0"/>
              <w:jc w:val="right"/>
              <w:rPr>
                <w:rFonts w:cs="Arial"/>
                <w:sz w:val="18"/>
                <w:szCs w:val="18"/>
              </w:rPr>
            </w:pPr>
            <w:r w:rsidRPr="006D688A">
              <w:rPr>
                <w:rFonts w:cs="Arial"/>
                <w:sz w:val="18"/>
                <w:szCs w:val="18"/>
              </w:rPr>
              <w:t>9,294</w:t>
            </w:r>
          </w:p>
        </w:tc>
        <w:tc>
          <w:tcPr>
            <w:tcW w:w="236" w:type="dxa"/>
            <w:tcBorders>
              <w:top w:val="nil"/>
              <w:left w:val="nil"/>
              <w:bottom w:val="nil"/>
              <w:right w:val="nil"/>
            </w:tcBorders>
            <w:shd w:val="clear" w:color="FFFFFF" w:fill="FFFFFF"/>
            <w:noWrap/>
            <w:vAlign w:val="bottom"/>
            <w:hideMark/>
          </w:tcPr>
          <w:p w14:paraId="1268B298"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55982BF6"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r>
      <w:tr w:rsidR="00520333" w:rsidRPr="006D688A" w14:paraId="16C1212A" w14:textId="77777777" w:rsidTr="005E5E0C">
        <w:trPr>
          <w:trHeight w:val="250"/>
        </w:trPr>
        <w:tc>
          <w:tcPr>
            <w:tcW w:w="4226" w:type="dxa"/>
            <w:tcBorders>
              <w:top w:val="nil"/>
              <w:left w:val="nil"/>
              <w:bottom w:val="nil"/>
              <w:right w:val="nil"/>
            </w:tcBorders>
            <w:shd w:val="clear" w:color="FFFFFF" w:fill="FFFFFF"/>
            <w:vAlign w:val="bottom"/>
            <w:hideMark/>
          </w:tcPr>
          <w:p w14:paraId="00DCE608" w14:textId="77777777" w:rsidR="00520333" w:rsidRPr="006D688A" w:rsidRDefault="00520333" w:rsidP="005E5E0C">
            <w:pPr>
              <w:spacing w:after="0"/>
              <w:rPr>
                <w:rFonts w:cs="Arial"/>
                <w:b/>
                <w:bCs/>
                <w:sz w:val="18"/>
                <w:szCs w:val="18"/>
              </w:rPr>
            </w:pPr>
            <w:r w:rsidRPr="006D688A">
              <w:rPr>
                <w:rFonts w:cs="Arial"/>
                <w:b/>
                <w:bCs/>
                <w:sz w:val="18"/>
                <w:szCs w:val="18"/>
              </w:rPr>
              <w:t>Total expenses</w:t>
            </w:r>
          </w:p>
        </w:tc>
        <w:tc>
          <w:tcPr>
            <w:tcW w:w="944" w:type="dxa"/>
            <w:tcBorders>
              <w:top w:val="nil"/>
              <w:left w:val="nil"/>
              <w:bottom w:val="nil"/>
              <w:right w:val="nil"/>
            </w:tcBorders>
            <w:shd w:val="clear" w:color="FFFFFF" w:fill="FFFFFF"/>
            <w:noWrap/>
            <w:vAlign w:val="bottom"/>
            <w:hideMark/>
          </w:tcPr>
          <w:p w14:paraId="357166BF"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5A7F7CD0" w14:textId="77777777" w:rsidR="00520333" w:rsidRPr="006D688A" w:rsidRDefault="00520333" w:rsidP="005E5E0C">
            <w:pPr>
              <w:spacing w:after="0"/>
              <w:jc w:val="right"/>
              <w:rPr>
                <w:rFonts w:cs="Arial"/>
                <w:b/>
                <w:bCs/>
                <w:sz w:val="18"/>
                <w:szCs w:val="18"/>
              </w:rPr>
            </w:pPr>
            <w:r w:rsidRPr="006D688A">
              <w:rPr>
                <w:rFonts w:cs="Arial"/>
                <w:b/>
                <w:bCs/>
                <w:sz w:val="18"/>
                <w:szCs w:val="18"/>
              </w:rPr>
              <w:t>43,978,581</w:t>
            </w:r>
          </w:p>
        </w:tc>
        <w:tc>
          <w:tcPr>
            <w:tcW w:w="236" w:type="dxa"/>
            <w:tcBorders>
              <w:top w:val="nil"/>
              <w:left w:val="nil"/>
              <w:bottom w:val="nil"/>
              <w:right w:val="nil"/>
            </w:tcBorders>
            <w:shd w:val="clear" w:color="FFFFFF" w:fill="FFFFFF"/>
            <w:noWrap/>
            <w:vAlign w:val="bottom"/>
            <w:hideMark/>
          </w:tcPr>
          <w:p w14:paraId="67E40B2E"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328DD8D3" w14:textId="77777777" w:rsidR="00520333" w:rsidRPr="006D688A" w:rsidRDefault="00520333" w:rsidP="005E5E0C">
            <w:pPr>
              <w:spacing w:after="0"/>
              <w:jc w:val="right"/>
              <w:rPr>
                <w:rFonts w:cs="Arial"/>
                <w:sz w:val="18"/>
                <w:szCs w:val="18"/>
              </w:rPr>
            </w:pPr>
            <w:r w:rsidRPr="006D688A">
              <w:rPr>
                <w:rFonts w:cs="Arial"/>
                <w:sz w:val="18"/>
                <w:szCs w:val="18"/>
              </w:rPr>
              <w:t>37,030,556</w:t>
            </w:r>
          </w:p>
        </w:tc>
        <w:tc>
          <w:tcPr>
            <w:tcW w:w="236" w:type="dxa"/>
            <w:tcBorders>
              <w:top w:val="nil"/>
              <w:left w:val="nil"/>
              <w:bottom w:val="nil"/>
              <w:right w:val="nil"/>
            </w:tcBorders>
            <w:shd w:val="clear" w:color="FFFFFF" w:fill="FFFFFF"/>
            <w:noWrap/>
            <w:vAlign w:val="bottom"/>
            <w:hideMark/>
          </w:tcPr>
          <w:p w14:paraId="06C3ECD3"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256109C9" w14:textId="77777777" w:rsidR="00520333" w:rsidRPr="006D688A" w:rsidRDefault="00520333" w:rsidP="005E5E0C">
            <w:pPr>
              <w:spacing w:after="0"/>
              <w:jc w:val="right"/>
              <w:rPr>
                <w:rFonts w:cs="Arial"/>
                <w:sz w:val="18"/>
                <w:szCs w:val="18"/>
              </w:rPr>
            </w:pPr>
            <w:r w:rsidRPr="006D688A">
              <w:rPr>
                <w:rFonts w:cs="Arial"/>
                <w:sz w:val="18"/>
                <w:szCs w:val="18"/>
              </w:rPr>
              <w:t>42,132,597</w:t>
            </w:r>
          </w:p>
        </w:tc>
      </w:tr>
      <w:tr w:rsidR="00520333" w:rsidRPr="006D688A" w14:paraId="7C4A3EF4" w14:textId="77777777" w:rsidTr="005E5E0C">
        <w:trPr>
          <w:trHeight w:val="250"/>
        </w:trPr>
        <w:tc>
          <w:tcPr>
            <w:tcW w:w="4226" w:type="dxa"/>
            <w:tcBorders>
              <w:top w:val="nil"/>
              <w:left w:val="nil"/>
              <w:bottom w:val="nil"/>
              <w:right w:val="nil"/>
            </w:tcBorders>
            <w:shd w:val="clear" w:color="FFFFFF" w:fill="FFFFFF"/>
            <w:vAlign w:val="bottom"/>
            <w:hideMark/>
          </w:tcPr>
          <w:p w14:paraId="0A220421"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56051E7C"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1D6F533D"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2D91CFB"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E39B082"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6355793"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376D6F0E"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4407CF36" w14:textId="77777777" w:rsidTr="005E5E0C">
        <w:trPr>
          <w:trHeight w:val="250"/>
        </w:trPr>
        <w:tc>
          <w:tcPr>
            <w:tcW w:w="4226" w:type="dxa"/>
            <w:tcBorders>
              <w:top w:val="nil"/>
              <w:left w:val="nil"/>
              <w:bottom w:val="nil"/>
              <w:right w:val="nil"/>
            </w:tcBorders>
            <w:shd w:val="clear" w:color="FFFFFF" w:fill="FFFFFF"/>
            <w:noWrap/>
            <w:vAlign w:val="bottom"/>
            <w:hideMark/>
          </w:tcPr>
          <w:p w14:paraId="475E12CC" w14:textId="77777777" w:rsidR="00520333" w:rsidRPr="006D688A" w:rsidRDefault="00520333" w:rsidP="005E5E0C">
            <w:pPr>
              <w:spacing w:after="0"/>
              <w:rPr>
                <w:rFonts w:cs="Arial"/>
                <w:b/>
                <w:bCs/>
                <w:sz w:val="18"/>
                <w:szCs w:val="18"/>
              </w:rPr>
            </w:pPr>
            <w:r w:rsidRPr="006D688A">
              <w:rPr>
                <w:rFonts w:cs="Arial"/>
                <w:b/>
                <w:bCs/>
                <w:sz w:val="18"/>
                <w:szCs w:val="18"/>
              </w:rPr>
              <w:t>OWN-SOURCE INCOME</w:t>
            </w:r>
          </w:p>
        </w:tc>
        <w:tc>
          <w:tcPr>
            <w:tcW w:w="944" w:type="dxa"/>
            <w:tcBorders>
              <w:top w:val="nil"/>
              <w:left w:val="nil"/>
              <w:bottom w:val="nil"/>
              <w:right w:val="nil"/>
            </w:tcBorders>
            <w:shd w:val="clear" w:color="FFFFFF" w:fill="FFFFFF"/>
            <w:noWrap/>
            <w:vAlign w:val="bottom"/>
            <w:hideMark/>
          </w:tcPr>
          <w:p w14:paraId="7F03F53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55E27E3E"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D11ECC2"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3B4BF51"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81C758C"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66D63DA5"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49645361" w14:textId="77777777" w:rsidTr="005E5E0C">
        <w:trPr>
          <w:trHeight w:val="250"/>
        </w:trPr>
        <w:tc>
          <w:tcPr>
            <w:tcW w:w="4226" w:type="dxa"/>
            <w:tcBorders>
              <w:top w:val="nil"/>
              <w:left w:val="nil"/>
              <w:bottom w:val="nil"/>
              <w:right w:val="nil"/>
            </w:tcBorders>
            <w:shd w:val="clear" w:color="FFFFFF" w:fill="FFFFFF"/>
            <w:vAlign w:val="bottom"/>
            <w:hideMark/>
          </w:tcPr>
          <w:p w14:paraId="7AA53683" w14:textId="77777777" w:rsidR="00520333" w:rsidRPr="006D688A" w:rsidRDefault="00520333" w:rsidP="005E5E0C">
            <w:pPr>
              <w:spacing w:after="0"/>
              <w:rPr>
                <w:rFonts w:cs="Arial"/>
                <w:b/>
                <w:bCs/>
                <w:sz w:val="18"/>
                <w:szCs w:val="18"/>
              </w:rPr>
            </w:pPr>
            <w:r w:rsidRPr="006D688A">
              <w:rPr>
                <w:rFonts w:cs="Arial"/>
                <w:b/>
                <w:bCs/>
                <w:sz w:val="18"/>
                <w:szCs w:val="18"/>
              </w:rPr>
              <w:t>Own-source revenue</w:t>
            </w:r>
          </w:p>
        </w:tc>
        <w:tc>
          <w:tcPr>
            <w:tcW w:w="944" w:type="dxa"/>
            <w:tcBorders>
              <w:top w:val="nil"/>
              <w:left w:val="nil"/>
              <w:bottom w:val="nil"/>
              <w:right w:val="nil"/>
            </w:tcBorders>
            <w:shd w:val="clear" w:color="FFFFFF" w:fill="FFFFFF"/>
            <w:noWrap/>
            <w:vAlign w:val="bottom"/>
            <w:hideMark/>
          </w:tcPr>
          <w:p w14:paraId="2F292F0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59FD3D76"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32BBA9F"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FA34F0A"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71BEDFA"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65856443"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4B30C1F7" w14:textId="77777777" w:rsidTr="005E5E0C">
        <w:trPr>
          <w:trHeight w:val="250"/>
        </w:trPr>
        <w:tc>
          <w:tcPr>
            <w:tcW w:w="4226" w:type="dxa"/>
            <w:tcBorders>
              <w:top w:val="nil"/>
              <w:left w:val="nil"/>
              <w:bottom w:val="nil"/>
              <w:right w:val="nil"/>
            </w:tcBorders>
            <w:shd w:val="clear" w:color="FFFFFF" w:fill="FFFFFF"/>
            <w:vAlign w:val="bottom"/>
            <w:hideMark/>
          </w:tcPr>
          <w:p w14:paraId="28DF7F70" w14:textId="77777777" w:rsidR="00520333" w:rsidRPr="006D688A" w:rsidRDefault="00520333" w:rsidP="005E5E0C">
            <w:pPr>
              <w:spacing w:after="0"/>
              <w:ind w:leftChars="100" w:left="240"/>
              <w:rPr>
                <w:rFonts w:cs="Arial"/>
                <w:sz w:val="18"/>
                <w:szCs w:val="18"/>
              </w:rPr>
            </w:pPr>
            <w:r w:rsidRPr="006D688A">
              <w:rPr>
                <w:rFonts w:cs="Arial"/>
                <w:sz w:val="18"/>
                <w:szCs w:val="18"/>
              </w:rPr>
              <w:t>Rendering of services</w:t>
            </w:r>
          </w:p>
        </w:tc>
        <w:tc>
          <w:tcPr>
            <w:tcW w:w="944" w:type="dxa"/>
            <w:tcBorders>
              <w:top w:val="nil"/>
              <w:left w:val="nil"/>
              <w:bottom w:val="nil"/>
              <w:right w:val="nil"/>
            </w:tcBorders>
            <w:shd w:val="clear" w:color="FFFFFF" w:fill="FFFFFF"/>
            <w:noWrap/>
            <w:vAlign w:val="bottom"/>
            <w:hideMark/>
          </w:tcPr>
          <w:p w14:paraId="2128C54E" w14:textId="77777777" w:rsidR="00520333" w:rsidRPr="006D688A" w:rsidRDefault="00520333" w:rsidP="005E5E0C">
            <w:pPr>
              <w:spacing w:after="0"/>
              <w:jc w:val="center"/>
              <w:rPr>
                <w:rFonts w:cs="Arial"/>
                <w:sz w:val="18"/>
                <w:szCs w:val="18"/>
              </w:rPr>
            </w:pPr>
            <w:r w:rsidRPr="006D688A">
              <w:rPr>
                <w:rFonts w:cs="Arial"/>
                <w:sz w:val="18"/>
                <w:szCs w:val="18"/>
              </w:rPr>
              <w:t>1.2A</w:t>
            </w:r>
          </w:p>
        </w:tc>
        <w:tc>
          <w:tcPr>
            <w:tcW w:w="1124" w:type="dxa"/>
            <w:tcBorders>
              <w:top w:val="nil"/>
              <w:left w:val="nil"/>
              <w:bottom w:val="nil"/>
              <w:right w:val="nil"/>
            </w:tcBorders>
            <w:shd w:val="clear" w:color="FFFFFF" w:fill="FFFFFF"/>
            <w:noWrap/>
            <w:vAlign w:val="bottom"/>
            <w:hideMark/>
          </w:tcPr>
          <w:p w14:paraId="3425FE1B" w14:textId="77777777" w:rsidR="00520333" w:rsidRPr="006D688A" w:rsidRDefault="00520333" w:rsidP="005E5E0C">
            <w:pPr>
              <w:spacing w:after="0"/>
              <w:jc w:val="right"/>
              <w:rPr>
                <w:rFonts w:cs="Arial"/>
                <w:b/>
                <w:bCs/>
                <w:sz w:val="18"/>
                <w:szCs w:val="18"/>
              </w:rPr>
            </w:pPr>
            <w:r w:rsidRPr="006D688A">
              <w:rPr>
                <w:rFonts w:cs="Arial"/>
                <w:b/>
                <w:bCs/>
                <w:sz w:val="18"/>
                <w:szCs w:val="18"/>
              </w:rPr>
              <w:t>41,429,061</w:t>
            </w:r>
          </w:p>
        </w:tc>
        <w:tc>
          <w:tcPr>
            <w:tcW w:w="236" w:type="dxa"/>
            <w:tcBorders>
              <w:top w:val="nil"/>
              <w:left w:val="nil"/>
              <w:bottom w:val="nil"/>
              <w:right w:val="nil"/>
            </w:tcBorders>
            <w:shd w:val="clear" w:color="FFFFFF" w:fill="FFFFFF"/>
            <w:noWrap/>
            <w:vAlign w:val="bottom"/>
            <w:hideMark/>
          </w:tcPr>
          <w:p w14:paraId="30921133"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EAA9EA0" w14:textId="77777777" w:rsidR="00520333" w:rsidRPr="006D688A" w:rsidRDefault="00520333" w:rsidP="005E5E0C">
            <w:pPr>
              <w:spacing w:after="0"/>
              <w:jc w:val="right"/>
              <w:rPr>
                <w:rFonts w:cs="Arial"/>
                <w:sz w:val="18"/>
                <w:szCs w:val="18"/>
              </w:rPr>
            </w:pPr>
            <w:r w:rsidRPr="006D688A">
              <w:rPr>
                <w:rFonts w:cs="Arial"/>
                <w:sz w:val="18"/>
                <w:szCs w:val="18"/>
              </w:rPr>
              <w:t>34,111,841</w:t>
            </w:r>
          </w:p>
        </w:tc>
        <w:tc>
          <w:tcPr>
            <w:tcW w:w="236" w:type="dxa"/>
            <w:tcBorders>
              <w:top w:val="nil"/>
              <w:left w:val="nil"/>
              <w:bottom w:val="nil"/>
              <w:right w:val="nil"/>
            </w:tcBorders>
            <w:shd w:val="clear" w:color="FFFFFF" w:fill="FFFFFF"/>
            <w:noWrap/>
            <w:vAlign w:val="bottom"/>
            <w:hideMark/>
          </w:tcPr>
          <w:p w14:paraId="22945CCF"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30B92E44" w14:textId="77777777" w:rsidR="00520333" w:rsidRPr="006D688A" w:rsidRDefault="00520333" w:rsidP="005E5E0C">
            <w:pPr>
              <w:spacing w:after="0"/>
              <w:jc w:val="right"/>
              <w:rPr>
                <w:rFonts w:cs="Arial"/>
                <w:sz w:val="18"/>
                <w:szCs w:val="18"/>
              </w:rPr>
            </w:pPr>
            <w:r w:rsidRPr="006D688A">
              <w:rPr>
                <w:rFonts w:cs="Arial"/>
                <w:sz w:val="18"/>
                <w:szCs w:val="18"/>
              </w:rPr>
              <w:t>39,664,677</w:t>
            </w:r>
          </w:p>
        </w:tc>
      </w:tr>
      <w:tr w:rsidR="00520333" w:rsidRPr="006D688A" w14:paraId="518EDD4D" w14:textId="77777777" w:rsidTr="005E5E0C">
        <w:trPr>
          <w:trHeight w:val="250"/>
        </w:trPr>
        <w:tc>
          <w:tcPr>
            <w:tcW w:w="4226" w:type="dxa"/>
            <w:tcBorders>
              <w:top w:val="nil"/>
              <w:left w:val="nil"/>
              <w:bottom w:val="nil"/>
              <w:right w:val="nil"/>
            </w:tcBorders>
            <w:shd w:val="clear" w:color="FFFFFF" w:fill="FFFFFF"/>
            <w:vAlign w:val="bottom"/>
            <w:hideMark/>
          </w:tcPr>
          <w:p w14:paraId="288E03B6" w14:textId="77777777" w:rsidR="00520333" w:rsidRPr="006D688A" w:rsidRDefault="00520333" w:rsidP="005E5E0C">
            <w:pPr>
              <w:spacing w:after="0"/>
              <w:ind w:leftChars="100" w:left="240"/>
              <w:rPr>
                <w:rFonts w:cs="Arial"/>
                <w:sz w:val="18"/>
                <w:szCs w:val="18"/>
              </w:rPr>
            </w:pPr>
            <w:r w:rsidRPr="006D688A">
              <w:rPr>
                <w:rFonts w:cs="Arial"/>
                <w:sz w:val="18"/>
                <w:szCs w:val="18"/>
              </w:rPr>
              <w:t>Interest</w:t>
            </w:r>
          </w:p>
        </w:tc>
        <w:tc>
          <w:tcPr>
            <w:tcW w:w="944" w:type="dxa"/>
            <w:tcBorders>
              <w:top w:val="nil"/>
              <w:left w:val="nil"/>
              <w:bottom w:val="nil"/>
              <w:right w:val="nil"/>
            </w:tcBorders>
            <w:shd w:val="clear" w:color="FFFFFF" w:fill="FFFFFF"/>
            <w:noWrap/>
            <w:vAlign w:val="bottom"/>
            <w:hideMark/>
          </w:tcPr>
          <w:p w14:paraId="6B3134E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59C88A2B" w14:textId="77777777" w:rsidR="00520333" w:rsidRPr="006D688A" w:rsidRDefault="00520333" w:rsidP="005E5E0C">
            <w:pPr>
              <w:spacing w:after="0"/>
              <w:jc w:val="right"/>
              <w:rPr>
                <w:rFonts w:cs="Arial"/>
                <w:b/>
                <w:bCs/>
                <w:sz w:val="18"/>
                <w:szCs w:val="18"/>
              </w:rPr>
            </w:pPr>
            <w:r w:rsidRPr="006D688A">
              <w:rPr>
                <w:rFonts w:cs="Arial"/>
                <w:b/>
                <w:bCs/>
                <w:sz w:val="18"/>
                <w:szCs w:val="18"/>
              </w:rPr>
              <w:t>390,496</w:t>
            </w:r>
          </w:p>
        </w:tc>
        <w:tc>
          <w:tcPr>
            <w:tcW w:w="236" w:type="dxa"/>
            <w:tcBorders>
              <w:top w:val="nil"/>
              <w:left w:val="nil"/>
              <w:bottom w:val="nil"/>
              <w:right w:val="nil"/>
            </w:tcBorders>
            <w:shd w:val="clear" w:color="FFFFFF" w:fill="FFFFFF"/>
            <w:noWrap/>
            <w:vAlign w:val="bottom"/>
            <w:hideMark/>
          </w:tcPr>
          <w:p w14:paraId="7D696943"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4FF820C8" w14:textId="77777777" w:rsidR="00520333" w:rsidRPr="006D688A" w:rsidRDefault="00520333" w:rsidP="005E5E0C">
            <w:pPr>
              <w:spacing w:after="0"/>
              <w:jc w:val="right"/>
              <w:rPr>
                <w:rFonts w:cs="Arial"/>
                <w:sz w:val="18"/>
                <w:szCs w:val="18"/>
              </w:rPr>
            </w:pPr>
            <w:r w:rsidRPr="006D688A">
              <w:rPr>
                <w:rFonts w:cs="Arial"/>
                <w:sz w:val="18"/>
                <w:szCs w:val="18"/>
              </w:rPr>
              <w:t>259,802</w:t>
            </w:r>
          </w:p>
        </w:tc>
        <w:tc>
          <w:tcPr>
            <w:tcW w:w="236" w:type="dxa"/>
            <w:tcBorders>
              <w:top w:val="nil"/>
              <w:left w:val="nil"/>
              <w:bottom w:val="nil"/>
              <w:right w:val="nil"/>
            </w:tcBorders>
            <w:shd w:val="clear" w:color="FFFFFF" w:fill="FFFFFF"/>
            <w:noWrap/>
            <w:vAlign w:val="bottom"/>
            <w:hideMark/>
          </w:tcPr>
          <w:p w14:paraId="7D0E72CB"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2E56C34B" w14:textId="77777777" w:rsidR="00520333" w:rsidRPr="006D688A" w:rsidRDefault="00520333" w:rsidP="005E5E0C">
            <w:pPr>
              <w:spacing w:after="0"/>
              <w:jc w:val="right"/>
              <w:rPr>
                <w:rFonts w:cs="Arial"/>
                <w:sz w:val="18"/>
                <w:szCs w:val="18"/>
              </w:rPr>
            </w:pPr>
            <w:r w:rsidRPr="006D688A">
              <w:rPr>
                <w:rFonts w:cs="Arial"/>
                <w:sz w:val="18"/>
                <w:szCs w:val="18"/>
              </w:rPr>
              <w:t>259,054</w:t>
            </w:r>
          </w:p>
        </w:tc>
      </w:tr>
      <w:tr w:rsidR="00520333" w:rsidRPr="006D688A" w14:paraId="42816806" w14:textId="77777777" w:rsidTr="005E5E0C">
        <w:trPr>
          <w:trHeight w:val="250"/>
        </w:trPr>
        <w:tc>
          <w:tcPr>
            <w:tcW w:w="4226" w:type="dxa"/>
            <w:tcBorders>
              <w:top w:val="nil"/>
              <w:left w:val="nil"/>
              <w:bottom w:val="nil"/>
              <w:right w:val="nil"/>
            </w:tcBorders>
            <w:shd w:val="clear" w:color="FFFFFF" w:fill="FFFFFF"/>
            <w:vAlign w:val="bottom"/>
            <w:hideMark/>
          </w:tcPr>
          <w:p w14:paraId="70CCB0A1" w14:textId="77777777" w:rsidR="00520333" w:rsidRPr="006D688A" w:rsidRDefault="00520333" w:rsidP="005E5E0C">
            <w:pPr>
              <w:spacing w:after="0"/>
              <w:ind w:leftChars="100" w:left="240"/>
              <w:rPr>
                <w:rFonts w:cs="Arial"/>
                <w:sz w:val="18"/>
                <w:szCs w:val="18"/>
              </w:rPr>
            </w:pPr>
            <w:r w:rsidRPr="006D688A">
              <w:rPr>
                <w:rFonts w:cs="Arial"/>
                <w:sz w:val="18"/>
                <w:szCs w:val="18"/>
              </w:rPr>
              <w:t>Rental income</w:t>
            </w:r>
          </w:p>
        </w:tc>
        <w:tc>
          <w:tcPr>
            <w:tcW w:w="944" w:type="dxa"/>
            <w:tcBorders>
              <w:top w:val="nil"/>
              <w:left w:val="nil"/>
              <w:bottom w:val="nil"/>
              <w:right w:val="nil"/>
            </w:tcBorders>
            <w:shd w:val="clear" w:color="FFFFFF" w:fill="FFFFFF"/>
            <w:noWrap/>
            <w:vAlign w:val="bottom"/>
            <w:hideMark/>
          </w:tcPr>
          <w:p w14:paraId="77A112A3" w14:textId="77777777" w:rsidR="00520333" w:rsidRPr="006D688A" w:rsidRDefault="00520333" w:rsidP="005E5E0C">
            <w:pPr>
              <w:spacing w:after="0"/>
              <w:jc w:val="center"/>
              <w:rPr>
                <w:rFonts w:cs="Arial"/>
                <w:sz w:val="18"/>
                <w:szCs w:val="18"/>
              </w:rPr>
            </w:pPr>
            <w:r w:rsidRPr="006D688A">
              <w:rPr>
                <w:rFonts w:cs="Arial"/>
                <w:sz w:val="18"/>
                <w:szCs w:val="18"/>
              </w:rPr>
              <w:t>1.2B</w:t>
            </w:r>
          </w:p>
        </w:tc>
        <w:tc>
          <w:tcPr>
            <w:tcW w:w="1124" w:type="dxa"/>
            <w:tcBorders>
              <w:top w:val="nil"/>
              <w:left w:val="nil"/>
              <w:bottom w:val="nil"/>
              <w:right w:val="nil"/>
            </w:tcBorders>
            <w:shd w:val="clear" w:color="FFFFFF" w:fill="FFFFFF"/>
            <w:noWrap/>
            <w:vAlign w:val="bottom"/>
            <w:hideMark/>
          </w:tcPr>
          <w:p w14:paraId="7954E4AF" w14:textId="77777777" w:rsidR="00520333" w:rsidRPr="006D688A" w:rsidRDefault="00520333" w:rsidP="005E5E0C">
            <w:pPr>
              <w:spacing w:after="0"/>
              <w:jc w:val="right"/>
              <w:rPr>
                <w:rFonts w:cs="Arial"/>
                <w:b/>
                <w:bCs/>
                <w:sz w:val="18"/>
                <w:szCs w:val="18"/>
              </w:rPr>
            </w:pPr>
            <w:r w:rsidRPr="006D688A">
              <w:rPr>
                <w:rFonts w:cs="Arial"/>
                <w:b/>
                <w:bCs/>
                <w:sz w:val="18"/>
                <w:szCs w:val="18"/>
              </w:rPr>
              <w:t>478</w:t>
            </w:r>
          </w:p>
        </w:tc>
        <w:tc>
          <w:tcPr>
            <w:tcW w:w="236" w:type="dxa"/>
            <w:tcBorders>
              <w:top w:val="nil"/>
              <w:left w:val="nil"/>
              <w:bottom w:val="nil"/>
              <w:right w:val="nil"/>
            </w:tcBorders>
            <w:shd w:val="clear" w:color="FFFFFF" w:fill="FFFFFF"/>
            <w:noWrap/>
            <w:vAlign w:val="bottom"/>
            <w:hideMark/>
          </w:tcPr>
          <w:p w14:paraId="48D5F5F3"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5349462A" w14:textId="77777777" w:rsidR="00520333" w:rsidRPr="006D688A" w:rsidRDefault="00520333" w:rsidP="005E5E0C">
            <w:pPr>
              <w:spacing w:after="0"/>
              <w:jc w:val="right"/>
              <w:rPr>
                <w:rFonts w:cs="Arial"/>
                <w:sz w:val="18"/>
                <w:szCs w:val="18"/>
              </w:rPr>
            </w:pPr>
            <w:r w:rsidRPr="006D688A">
              <w:rPr>
                <w:rFonts w:cs="Arial"/>
                <w:sz w:val="18"/>
                <w:szCs w:val="18"/>
              </w:rPr>
              <w:t>704</w:t>
            </w:r>
          </w:p>
        </w:tc>
        <w:tc>
          <w:tcPr>
            <w:tcW w:w="236" w:type="dxa"/>
            <w:tcBorders>
              <w:top w:val="nil"/>
              <w:left w:val="nil"/>
              <w:bottom w:val="nil"/>
              <w:right w:val="nil"/>
            </w:tcBorders>
            <w:shd w:val="clear" w:color="FFFFFF" w:fill="FFFFFF"/>
            <w:noWrap/>
            <w:vAlign w:val="bottom"/>
            <w:hideMark/>
          </w:tcPr>
          <w:p w14:paraId="3D159FC3"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019EC1E7"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r>
      <w:tr w:rsidR="00520333" w:rsidRPr="006D688A" w14:paraId="53A837AA" w14:textId="77777777" w:rsidTr="005E5E0C">
        <w:trPr>
          <w:trHeight w:val="250"/>
        </w:trPr>
        <w:tc>
          <w:tcPr>
            <w:tcW w:w="4226" w:type="dxa"/>
            <w:tcBorders>
              <w:top w:val="nil"/>
              <w:left w:val="nil"/>
              <w:bottom w:val="nil"/>
              <w:right w:val="nil"/>
            </w:tcBorders>
            <w:shd w:val="clear" w:color="FFFFFF" w:fill="FFFFFF"/>
            <w:vAlign w:val="bottom"/>
            <w:hideMark/>
          </w:tcPr>
          <w:p w14:paraId="7980955B" w14:textId="77777777" w:rsidR="00520333" w:rsidRPr="006D688A" w:rsidRDefault="00520333" w:rsidP="005E5E0C">
            <w:pPr>
              <w:spacing w:after="0"/>
              <w:ind w:leftChars="100" w:left="240"/>
              <w:rPr>
                <w:rFonts w:cs="Arial"/>
                <w:sz w:val="18"/>
                <w:szCs w:val="18"/>
              </w:rPr>
            </w:pPr>
            <w:r w:rsidRPr="006D688A">
              <w:rPr>
                <w:rFonts w:cs="Arial"/>
                <w:sz w:val="18"/>
                <w:szCs w:val="18"/>
              </w:rPr>
              <w:t>Other revenue</w:t>
            </w:r>
          </w:p>
        </w:tc>
        <w:tc>
          <w:tcPr>
            <w:tcW w:w="944" w:type="dxa"/>
            <w:tcBorders>
              <w:top w:val="nil"/>
              <w:left w:val="nil"/>
              <w:bottom w:val="nil"/>
              <w:right w:val="nil"/>
            </w:tcBorders>
            <w:shd w:val="clear" w:color="FFFFFF" w:fill="FFFFFF"/>
            <w:noWrap/>
            <w:vAlign w:val="bottom"/>
            <w:hideMark/>
          </w:tcPr>
          <w:p w14:paraId="54EEADEE" w14:textId="77777777" w:rsidR="00520333" w:rsidRPr="006D688A" w:rsidRDefault="00520333" w:rsidP="005E5E0C">
            <w:pPr>
              <w:spacing w:after="0"/>
              <w:jc w:val="center"/>
              <w:rPr>
                <w:rFonts w:cs="Arial"/>
                <w:sz w:val="18"/>
                <w:szCs w:val="18"/>
              </w:rPr>
            </w:pPr>
            <w:r w:rsidRPr="006D688A">
              <w:rPr>
                <w:rFonts w:cs="Arial"/>
                <w:sz w:val="18"/>
                <w:szCs w:val="18"/>
              </w:rPr>
              <w:t>1.2C</w:t>
            </w:r>
          </w:p>
        </w:tc>
        <w:tc>
          <w:tcPr>
            <w:tcW w:w="1124" w:type="dxa"/>
            <w:tcBorders>
              <w:top w:val="nil"/>
              <w:left w:val="nil"/>
              <w:bottom w:val="nil"/>
              <w:right w:val="nil"/>
            </w:tcBorders>
            <w:shd w:val="clear" w:color="FFFFFF" w:fill="FFFFFF"/>
            <w:noWrap/>
            <w:vAlign w:val="bottom"/>
            <w:hideMark/>
          </w:tcPr>
          <w:p w14:paraId="639376A0" w14:textId="77777777" w:rsidR="00520333" w:rsidRPr="006D688A" w:rsidRDefault="00520333" w:rsidP="005E5E0C">
            <w:pPr>
              <w:spacing w:after="0"/>
              <w:jc w:val="right"/>
              <w:rPr>
                <w:rFonts w:cs="Arial"/>
                <w:b/>
                <w:bCs/>
                <w:sz w:val="18"/>
                <w:szCs w:val="18"/>
              </w:rPr>
            </w:pPr>
            <w:r w:rsidRPr="006D688A">
              <w:rPr>
                <w:rFonts w:cs="Arial"/>
                <w:b/>
                <w:bCs/>
                <w:sz w:val="18"/>
                <w:szCs w:val="18"/>
              </w:rPr>
              <w:t>48,792</w:t>
            </w:r>
          </w:p>
        </w:tc>
        <w:tc>
          <w:tcPr>
            <w:tcW w:w="236" w:type="dxa"/>
            <w:tcBorders>
              <w:top w:val="nil"/>
              <w:left w:val="nil"/>
              <w:bottom w:val="nil"/>
              <w:right w:val="nil"/>
            </w:tcBorders>
            <w:shd w:val="clear" w:color="FFFFFF" w:fill="FFFFFF"/>
            <w:noWrap/>
            <w:vAlign w:val="bottom"/>
            <w:hideMark/>
          </w:tcPr>
          <w:p w14:paraId="2B3AB8EF"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06D57661" w14:textId="77777777" w:rsidR="00520333" w:rsidRPr="006D688A" w:rsidRDefault="00520333" w:rsidP="005E5E0C">
            <w:pPr>
              <w:spacing w:after="0"/>
              <w:jc w:val="right"/>
              <w:rPr>
                <w:rFonts w:cs="Arial"/>
                <w:sz w:val="18"/>
                <w:szCs w:val="18"/>
              </w:rPr>
            </w:pPr>
            <w:r w:rsidRPr="006D688A">
              <w:rPr>
                <w:rFonts w:cs="Arial"/>
                <w:sz w:val="18"/>
                <w:szCs w:val="18"/>
              </w:rPr>
              <w:t>29,420</w:t>
            </w:r>
          </w:p>
        </w:tc>
        <w:tc>
          <w:tcPr>
            <w:tcW w:w="236" w:type="dxa"/>
            <w:tcBorders>
              <w:top w:val="nil"/>
              <w:left w:val="nil"/>
              <w:bottom w:val="nil"/>
              <w:right w:val="nil"/>
            </w:tcBorders>
            <w:shd w:val="clear" w:color="FFFFFF" w:fill="FFFFFF"/>
            <w:noWrap/>
            <w:vAlign w:val="bottom"/>
            <w:hideMark/>
          </w:tcPr>
          <w:p w14:paraId="462B1AA4"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7EA9D047" w14:textId="77777777" w:rsidR="00520333" w:rsidRPr="006D688A" w:rsidRDefault="00520333" w:rsidP="005E5E0C">
            <w:pPr>
              <w:spacing w:after="0"/>
              <w:jc w:val="right"/>
              <w:rPr>
                <w:rFonts w:cs="Arial"/>
                <w:sz w:val="18"/>
                <w:szCs w:val="18"/>
              </w:rPr>
            </w:pPr>
            <w:r w:rsidRPr="006D688A">
              <w:rPr>
                <w:rFonts w:cs="Arial"/>
                <w:sz w:val="18"/>
                <w:szCs w:val="18"/>
              </w:rPr>
              <w:t>79,500</w:t>
            </w:r>
          </w:p>
        </w:tc>
      </w:tr>
      <w:tr w:rsidR="00520333" w:rsidRPr="006D688A" w14:paraId="25EE21B4" w14:textId="77777777" w:rsidTr="005E5E0C">
        <w:trPr>
          <w:trHeight w:val="250"/>
        </w:trPr>
        <w:tc>
          <w:tcPr>
            <w:tcW w:w="4226" w:type="dxa"/>
            <w:tcBorders>
              <w:top w:val="nil"/>
              <w:left w:val="nil"/>
              <w:bottom w:val="nil"/>
              <w:right w:val="nil"/>
            </w:tcBorders>
            <w:shd w:val="clear" w:color="FFFFFF" w:fill="FFFFFF"/>
            <w:vAlign w:val="bottom"/>
            <w:hideMark/>
          </w:tcPr>
          <w:p w14:paraId="776C68F8" w14:textId="77777777" w:rsidR="00520333" w:rsidRPr="006D688A" w:rsidRDefault="00520333" w:rsidP="005E5E0C">
            <w:pPr>
              <w:spacing w:after="0"/>
              <w:rPr>
                <w:rFonts w:cs="Arial"/>
                <w:b/>
                <w:bCs/>
                <w:sz w:val="18"/>
                <w:szCs w:val="18"/>
              </w:rPr>
            </w:pPr>
            <w:r w:rsidRPr="006D688A">
              <w:rPr>
                <w:rFonts w:cs="Arial"/>
                <w:b/>
                <w:bCs/>
                <w:sz w:val="18"/>
                <w:szCs w:val="18"/>
              </w:rPr>
              <w:t>Total own-source revenue</w:t>
            </w:r>
          </w:p>
        </w:tc>
        <w:tc>
          <w:tcPr>
            <w:tcW w:w="944" w:type="dxa"/>
            <w:tcBorders>
              <w:top w:val="nil"/>
              <w:left w:val="nil"/>
              <w:bottom w:val="nil"/>
              <w:right w:val="nil"/>
            </w:tcBorders>
            <w:shd w:val="clear" w:color="FFFFFF" w:fill="FFFFFF"/>
            <w:noWrap/>
            <w:vAlign w:val="bottom"/>
            <w:hideMark/>
          </w:tcPr>
          <w:p w14:paraId="1503E7BC"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51DDD1AA" w14:textId="77777777" w:rsidR="00520333" w:rsidRPr="006D688A" w:rsidRDefault="00520333" w:rsidP="005E5E0C">
            <w:pPr>
              <w:spacing w:after="0"/>
              <w:jc w:val="right"/>
              <w:rPr>
                <w:rFonts w:cs="Arial"/>
                <w:b/>
                <w:bCs/>
                <w:sz w:val="18"/>
                <w:szCs w:val="18"/>
              </w:rPr>
            </w:pPr>
            <w:r w:rsidRPr="006D688A">
              <w:rPr>
                <w:rFonts w:cs="Arial"/>
                <w:b/>
                <w:bCs/>
                <w:sz w:val="18"/>
                <w:szCs w:val="18"/>
              </w:rPr>
              <w:t>41,868,827</w:t>
            </w:r>
          </w:p>
        </w:tc>
        <w:tc>
          <w:tcPr>
            <w:tcW w:w="236" w:type="dxa"/>
            <w:tcBorders>
              <w:top w:val="nil"/>
              <w:left w:val="nil"/>
              <w:bottom w:val="nil"/>
              <w:right w:val="nil"/>
            </w:tcBorders>
            <w:shd w:val="clear" w:color="FFFFFF" w:fill="FFFFFF"/>
            <w:noWrap/>
            <w:vAlign w:val="bottom"/>
            <w:hideMark/>
          </w:tcPr>
          <w:p w14:paraId="45C153B4"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24B4FE47" w14:textId="77777777" w:rsidR="00520333" w:rsidRPr="006D688A" w:rsidRDefault="00520333" w:rsidP="005E5E0C">
            <w:pPr>
              <w:spacing w:after="0"/>
              <w:jc w:val="right"/>
              <w:rPr>
                <w:rFonts w:cs="Arial"/>
                <w:sz w:val="18"/>
                <w:szCs w:val="18"/>
              </w:rPr>
            </w:pPr>
            <w:r w:rsidRPr="006D688A">
              <w:rPr>
                <w:rFonts w:cs="Arial"/>
                <w:sz w:val="18"/>
                <w:szCs w:val="18"/>
              </w:rPr>
              <w:t>34,401,767</w:t>
            </w:r>
          </w:p>
        </w:tc>
        <w:tc>
          <w:tcPr>
            <w:tcW w:w="236" w:type="dxa"/>
            <w:tcBorders>
              <w:top w:val="nil"/>
              <w:left w:val="nil"/>
              <w:bottom w:val="nil"/>
              <w:right w:val="nil"/>
            </w:tcBorders>
            <w:shd w:val="clear" w:color="FFFFFF" w:fill="FFFFFF"/>
            <w:noWrap/>
            <w:vAlign w:val="bottom"/>
            <w:hideMark/>
          </w:tcPr>
          <w:p w14:paraId="4E8BB41F"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6089EA4B" w14:textId="77777777" w:rsidR="00520333" w:rsidRPr="006D688A" w:rsidRDefault="00520333" w:rsidP="005E5E0C">
            <w:pPr>
              <w:spacing w:after="0"/>
              <w:jc w:val="right"/>
              <w:rPr>
                <w:rFonts w:cs="Arial"/>
                <w:sz w:val="18"/>
                <w:szCs w:val="18"/>
              </w:rPr>
            </w:pPr>
            <w:r w:rsidRPr="006D688A">
              <w:rPr>
                <w:rFonts w:cs="Arial"/>
                <w:sz w:val="18"/>
                <w:szCs w:val="18"/>
              </w:rPr>
              <w:t>40,003,231</w:t>
            </w:r>
          </w:p>
        </w:tc>
      </w:tr>
      <w:tr w:rsidR="00520333" w:rsidRPr="006D688A" w14:paraId="02545604" w14:textId="77777777" w:rsidTr="005E5E0C">
        <w:trPr>
          <w:trHeight w:val="250"/>
        </w:trPr>
        <w:tc>
          <w:tcPr>
            <w:tcW w:w="4226" w:type="dxa"/>
            <w:tcBorders>
              <w:top w:val="nil"/>
              <w:left w:val="nil"/>
              <w:bottom w:val="nil"/>
              <w:right w:val="nil"/>
            </w:tcBorders>
            <w:shd w:val="clear" w:color="FFFFFF" w:fill="FFFFFF"/>
            <w:vAlign w:val="bottom"/>
            <w:hideMark/>
          </w:tcPr>
          <w:p w14:paraId="3B8FC3CB"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15570E94"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47D6F059"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BCF631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7E19649C"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F35AD28"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3940B45E"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0EBACA44" w14:textId="77777777" w:rsidTr="005E5E0C">
        <w:trPr>
          <w:trHeight w:val="250"/>
        </w:trPr>
        <w:tc>
          <w:tcPr>
            <w:tcW w:w="4226" w:type="dxa"/>
            <w:tcBorders>
              <w:top w:val="nil"/>
              <w:left w:val="nil"/>
              <w:bottom w:val="nil"/>
              <w:right w:val="nil"/>
            </w:tcBorders>
            <w:shd w:val="clear" w:color="FFFFFF" w:fill="FFFFFF"/>
            <w:vAlign w:val="bottom"/>
            <w:hideMark/>
          </w:tcPr>
          <w:p w14:paraId="78747F16" w14:textId="77777777" w:rsidR="00520333" w:rsidRPr="006D688A" w:rsidRDefault="00520333" w:rsidP="005E5E0C">
            <w:pPr>
              <w:spacing w:after="0"/>
              <w:rPr>
                <w:rFonts w:cs="Arial"/>
                <w:b/>
                <w:bCs/>
                <w:sz w:val="18"/>
                <w:szCs w:val="18"/>
              </w:rPr>
            </w:pPr>
            <w:r w:rsidRPr="006D688A">
              <w:rPr>
                <w:rFonts w:cs="Arial"/>
                <w:b/>
                <w:bCs/>
                <w:sz w:val="18"/>
                <w:szCs w:val="18"/>
              </w:rPr>
              <w:t>Gains</w:t>
            </w:r>
          </w:p>
        </w:tc>
        <w:tc>
          <w:tcPr>
            <w:tcW w:w="944" w:type="dxa"/>
            <w:tcBorders>
              <w:top w:val="nil"/>
              <w:left w:val="nil"/>
              <w:bottom w:val="nil"/>
              <w:right w:val="nil"/>
            </w:tcBorders>
            <w:shd w:val="clear" w:color="FFFFFF" w:fill="FFFFFF"/>
            <w:noWrap/>
            <w:vAlign w:val="bottom"/>
            <w:hideMark/>
          </w:tcPr>
          <w:p w14:paraId="283C729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32041418"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183BA61"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591F707"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1BBE8E94"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78707EBB"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37FA9756" w14:textId="77777777" w:rsidTr="005E5E0C">
        <w:trPr>
          <w:trHeight w:val="250"/>
        </w:trPr>
        <w:tc>
          <w:tcPr>
            <w:tcW w:w="4226" w:type="dxa"/>
            <w:tcBorders>
              <w:top w:val="nil"/>
              <w:left w:val="nil"/>
              <w:bottom w:val="nil"/>
              <w:right w:val="nil"/>
            </w:tcBorders>
            <w:shd w:val="clear" w:color="FFFFFF" w:fill="FFFFFF"/>
            <w:vAlign w:val="bottom"/>
            <w:hideMark/>
          </w:tcPr>
          <w:p w14:paraId="2EEE4FC5" w14:textId="77777777" w:rsidR="00520333" w:rsidRPr="006D688A" w:rsidRDefault="00520333" w:rsidP="005E5E0C">
            <w:pPr>
              <w:spacing w:after="0"/>
              <w:ind w:leftChars="100" w:left="240"/>
              <w:rPr>
                <w:rFonts w:cs="Arial"/>
                <w:sz w:val="18"/>
                <w:szCs w:val="18"/>
              </w:rPr>
            </w:pPr>
            <w:r w:rsidRPr="006D688A">
              <w:rPr>
                <w:rFonts w:cs="Arial"/>
                <w:sz w:val="18"/>
                <w:szCs w:val="18"/>
              </w:rPr>
              <w:t>Other gains</w:t>
            </w:r>
          </w:p>
        </w:tc>
        <w:tc>
          <w:tcPr>
            <w:tcW w:w="944" w:type="dxa"/>
            <w:tcBorders>
              <w:top w:val="nil"/>
              <w:left w:val="nil"/>
              <w:bottom w:val="nil"/>
              <w:right w:val="nil"/>
            </w:tcBorders>
            <w:shd w:val="clear" w:color="FFFFFF" w:fill="FFFFFF"/>
            <w:noWrap/>
            <w:vAlign w:val="bottom"/>
            <w:hideMark/>
          </w:tcPr>
          <w:p w14:paraId="077713D5" w14:textId="77777777" w:rsidR="00520333" w:rsidRPr="006D688A" w:rsidRDefault="00520333" w:rsidP="005E5E0C">
            <w:pPr>
              <w:spacing w:after="0"/>
              <w:jc w:val="center"/>
              <w:rPr>
                <w:rFonts w:cs="Arial"/>
                <w:sz w:val="18"/>
                <w:szCs w:val="18"/>
              </w:rPr>
            </w:pPr>
            <w:r w:rsidRPr="006D688A">
              <w:rPr>
                <w:rFonts w:cs="Arial"/>
                <w:sz w:val="18"/>
                <w:szCs w:val="18"/>
              </w:rPr>
              <w:t>1.2D</w:t>
            </w:r>
          </w:p>
        </w:tc>
        <w:tc>
          <w:tcPr>
            <w:tcW w:w="1124" w:type="dxa"/>
            <w:tcBorders>
              <w:top w:val="nil"/>
              <w:left w:val="nil"/>
              <w:bottom w:val="nil"/>
              <w:right w:val="nil"/>
            </w:tcBorders>
            <w:shd w:val="clear" w:color="FFFFFF" w:fill="FFFFFF"/>
            <w:noWrap/>
            <w:vAlign w:val="bottom"/>
            <w:hideMark/>
          </w:tcPr>
          <w:p w14:paraId="7E408EFE" w14:textId="77777777" w:rsidR="00520333" w:rsidRPr="006D688A" w:rsidRDefault="00520333" w:rsidP="005E5E0C">
            <w:pPr>
              <w:spacing w:after="0"/>
              <w:jc w:val="right"/>
              <w:rPr>
                <w:rFonts w:cs="Arial"/>
                <w:b/>
                <w:bCs/>
                <w:sz w:val="18"/>
                <w:szCs w:val="18"/>
              </w:rPr>
            </w:pPr>
            <w:r w:rsidRPr="006D688A">
              <w:rPr>
                <w:rFonts w:cs="Arial"/>
                <w:b/>
                <w:bCs/>
                <w:sz w:val="18"/>
                <w:szCs w:val="18"/>
              </w:rPr>
              <w:t>1,079,918</w:t>
            </w:r>
          </w:p>
        </w:tc>
        <w:tc>
          <w:tcPr>
            <w:tcW w:w="236" w:type="dxa"/>
            <w:tcBorders>
              <w:top w:val="nil"/>
              <w:left w:val="nil"/>
              <w:bottom w:val="nil"/>
              <w:right w:val="nil"/>
            </w:tcBorders>
            <w:shd w:val="clear" w:color="FFFFFF" w:fill="FFFFFF"/>
            <w:noWrap/>
            <w:vAlign w:val="bottom"/>
            <w:hideMark/>
          </w:tcPr>
          <w:p w14:paraId="0DBAA475"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4C43CB7C" w14:textId="77777777" w:rsidR="00520333" w:rsidRPr="006D688A" w:rsidRDefault="00520333" w:rsidP="005E5E0C">
            <w:pPr>
              <w:spacing w:after="0"/>
              <w:jc w:val="right"/>
              <w:rPr>
                <w:rFonts w:cs="Arial"/>
                <w:sz w:val="18"/>
                <w:szCs w:val="18"/>
              </w:rPr>
            </w:pPr>
            <w:r w:rsidRPr="006D688A">
              <w:rPr>
                <w:rFonts w:cs="Arial"/>
                <w:sz w:val="18"/>
                <w:szCs w:val="18"/>
              </w:rPr>
              <w:t>1,198,317</w:t>
            </w:r>
          </w:p>
        </w:tc>
        <w:tc>
          <w:tcPr>
            <w:tcW w:w="236" w:type="dxa"/>
            <w:tcBorders>
              <w:top w:val="nil"/>
              <w:left w:val="nil"/>
              <w:bottom w:val="nil"/>
              <w:right w:val="nil"/>
            </w:tcBorders>
            <w:shd w:val="clear" w:color="FFFFFF" w:fill="FFFFFF"/>
            <w:noWrap/>
            <w:vAlign w:val="bottom"/>
            <w:hideMark/>
          </w:tcPr>
          <w:p w14:paraId="5FE2299D"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02635683" w14:textId="77777777" w:rsidR="00520333" w:rsidRPr="006D688A" w:rsidRDefault="00520333" w:rsidP="005E5E0C">
            <w:pPr>
              <w:spacing w:after="0"/>
              <w:jc w:val="right"/>
              <w:rPr>
                <w:rFonts w:cs="Arial"/>
                <w:sz w:val="18"/>
                <w:szCs w:val="18"/>
              </w:rPr>
            </w:pPr>
            <w:r w:rsidRPr="006D688A">
              <w:rPr>
                <w:rFonts w:cs="Arial"/>
                <w:sz w:val="18"/>
                <w:szCs w:val="18"/>
              </w:rPr>
              <w:t>312,300</w:t>
            </w:r>
          </w:p>
        </w:tc>
      </w:tr>
      <w:tr w:rsidR="00520333" w:rsidRPr="006D688A" w14:paraId="487E8436" w14:textId="77777777" w:rsidTr="005E5E0C">
        <w:trPr>
          <w:trHeight w:val="250"/>
        </w:trPr>
        <w:tc>
          <w:tcPr>
            <w:tcW w:w="4226" w:type="dxa"/>
            <w:tcBorders>
              <w:top w:val="nil"/>
              <w:left w:val="nil"/>
              <w:bottom w:val="nil"/>
              <w:right w:val="nil"/>
            </w:tcBorders>
            <w:shd w:val="clear" w:color="FFFFFF" w:fill="FFFFFF"/>
            <w:vAlign w:val="bottom"/>
            <w:hideMark/>
          </w:tcPr>
          <w:p w14:paraId="238C9D7B" w14:textId="77777777" w:rsidR="00520333" w:rsidRPr="006D688A" w:rsidRDefault="00520333" w:rsidP="005E5E0C">
            <w:pPr>
              <w:spacing w:after="0"/>
              <w:rPr>
                <w:rFonts w:cs="Arial"/>
                <w:b/>
                <w:bCs/>
                <w:sz w:val="18"/>
                <w:szCs w:val="18"/>
              </w:rPr>
            </w:pPr>
            <w:r w:rsidRPr="006D688A">
              <w:rPr>
                <w:rFonts w:cs="Arial"/>
                <w:b/>
                <w:bCs/>
                <w:sz w:val="18"/>
                <w:szCs w:val="18"/>
              </w:rPr>
              <w:t>Total gains</w:t>
            </w:r>
          </w:p>
        </w:tc>
        <w:tc>
          <w:tcPr>
            <w:tcW w:w="944" w:type="dxa"/>
            <w:tcBorders>
              <w:top w:val="nil"/>
              <w:left w:val="nil"/>
              <w:bottom w:val="nil"/>
              <w:right w:val="nil"/>
            </w:tcBorders>
            <w:shd w:val="clear" w:color="FFFFFF" w:fill="FFFFFF"/>
            <w:noWrap/>
            <w:vAlign w:val="bottom"/>
            <w:hideMark/>
          </w:tcPr>
          <w:p w14:paraId="64823CF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736AB6C9" w14:textId="77777777" w:rsidR="00520333" w:rsidRPr="006D688A" w:rsidRDefault="00520333" w:rsidP="005E5E0C">
            <w:pPr>
              <w:spacing w:after="0"/>
              <w:jc w:val="right"/>
              <w:rPr>
                <w:rFonts w:cs="Arial"/>
                <w:b/>
                <w:bCs/>
                <w:sz w:val="18"/>
                <w:szCs w:val="18"/>
              </w:rPr>
            </w:pPr>
            <w:r w:rsidRPr="006D688A">
              <w:rPr>
                <w:rFonts w:cs="Arial"/>
                <w:b/>
                <w:bCs/>
                <w:sz w:val="18"/>
                <w:szCs w:val="18"/>
              </w:rPr>
              <w:t>1,079,918</w:t>
            </w:r>
          </w:p>
        </w:tc>
        <w:tc>
          <w:tcPr>
            <w:tcW w:w="236" w:type="dxa"/>
            <w:tcBorders>
              <w:top w:val="nil"/>
              <w:left w:val="nil"/>
              <w:bottom w:val="nil"/>
              <w:right w:val="nil"/>
            </w:tcBorders>
            <w:shd w:val="clear" w:color="FFFFFF" w:fill="FFFFFF"/>
            <w:noWrap/>
            <w:vAlign w:val="bottom"/>
            <w:hideMark/>
          </w:tcPr>
          <w:p w14:paraId="5FF3270B"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0E2DABBD" w14:textId="77777777" w:rsidR="00520333" w:rsidRPr="006D688A" w:rsidRDefault="00520333" w:rsidP="005E5E0C">
            <w:pPr>
              <w:spacing w:after="0"/>
              <w:jc w:val="right"/>
              <w:rPr>
                <w:rFonts w:cs="Arial"/>
                <w:sz w:val="18"/>
                <w:szCs w:val="18"/>
              </w:rPr>
            </w:pPr>
            <w:r w:rsidRPr="006D688A">
              <w:rPr>
                <w:rFonts w:cs="Arial"/>
                <w:sz w:val="18"/>
                <w:szCs w:val="18"/>
              </w:rPr>
              <w:t>1,198,317</w:t>
            </w:r>
          </w:p>
        </w:tc>
        <w:tc>
          <w:tcPr>
            <w:tcW w:w="236" w:type="dxa"/>
            <w:tcBorders>
              <w:top w:val="nil"/>
              <w:left w:val="nil"/>
              <w:bottom w:val="nil"/>
              <w:right w:val="nil"/>
            </w:tcBorders>
            <w:shd w:val="clear" w:color="FFFFFF" w:fill="FFFFFF"/>
            <w:noWrap/>
            <w:vAlign w:val="bottom"/>
            <w:hideMark/>
          </w:tcPr>
          <w:p w14:paraId="092223DE"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7DC6A395" w14:textId="77777777" w:rsidR="00520333" w:rsidRPr="006D688A" w:rsidRDefault="00520333" w:rsidP="005E5E0C">
            <w:pPr>
              <w:spacing w:after="0"/>
              <w:jc w:val="right"/>
              <w:rPr>
                <w:rFonts w:cs="Arial"/>
                <w:sz w:val="18"/>
                <w:szCs w:val="18"/>
              </w:rPr>
            </w:pPr>
            <w:r w:rsidRPr="006D688A">
              <w:rPr>
                <w:rFonts w:cs="Arial"/>
                <w:sz w:val="18"/>
                <w:szCs w:val="18"/>
              </w:rPr>
              <w:t>312,300</w:t>
            </w:r>
          </w:p>
        </w:tc>
      </w:tr>
      <w:tr w:rsidR="00520333" w:rsidRPr="006D688A" w14:paraId="7C43D616" w14:textId="77777777" w:rsidTr="005E5E0C">
        <w:trPr>
          <w:trHeight w:val="250"/>
        </w:trPr>
        <w:tc>
          <w:tcPr>
            <w:tcW w:w="4226" w:type="dxa"/>
            <w:tcBorders>
              <w:top w:val="nil"/>
              <w:left w:val="nil"/>
              <w:bottom w:val="nil"/>
              <w:right w:val="nil"/>
            </w:tcBorders>
            <w:shd w:val="clear" w:color="FFFFFF" w:fill="FFFFFF"/>
            <w:vAlign w:val="bottom"/>
            <w:hideMark/>
          </w:tcPr>
          <w:p w14:paraId="38A2F9D6" w14:textId="77777777" w:rsidR="00520333" w:rsidRPr="006D688A" w:rsidRDefault="00520333" w:rsidP="005E5E0C">
            <w:pPr>
              <w:spacing w:after="0"/>
              <w:ind w:leftChars="100" w:left="24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5F5767FF"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373D9900"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123560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53A88A95"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3D964E0"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45FFAAAF"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2EF8406D" w14:textId="77777777" w:rsidTr="005E5E0C">
        <w:trPr>
          <w:trHeight w:val="250"/>
        </w:trPr>
        <w:tc>
          <w:tcPr>
            <w:tcW w:w="4226" w:type="dxa"/>
            <w:tcBorders>
              <w:top w:val="nil"/>
              <w:left w:val="nil"/>
              <w:bottom w:val="nil"/>
              <w:right w:val="nil"/>
            </w:tcBorders>
            <w:shd w:val="clear" w:color="FFFFFF" w:fill="FFFFFF"/>
            <w:vAlign w:val="bottom"/>
            <w:hideMark/>
          </w:tcPr>
          <w:p w14:paraId="5178F404" w14:textId="77777777" w:rsidR="00520333" w:rsidRPr="006D688A" w:rsidRDefault="00520333" w:rsidP="005E5E0C">
            <w:pPr>
              <w:spacing w:after="0"/>
              <w:rPr>
                <w:rFonts w:cs="Arial"/>
                <w:b/>
                <w:bCs/>
                <w:sz w:val="18"/>
                <w:szCs w:val="18"/>
              </w:rPr>
            </w:pPr>
            <w:r w:rsidRPr="006D688A">
              <w:rPr>
                <w:rFonts w:cs="Arial"/>
                <w:b/>
                <w:bCs/>
                <w:sz w:val="18"/>
                <w:szCs w:val="18"/>
              </w:rPr>
              <w:t>Total own-source income</w:t>
            </w:r>
          </w:p>
        </w:tc>
        <w:tc>
          <w:tcPr>
            <w:tcW w:w="944" w:type="dxa"/>
            <w:tcBorders>
              <w:top w:val="nil"/>
              <w:left w:val="nil"/>
              <w:bottom w:val="nil"/>
              <w:right w:val="nil"/>
            </w:tcBorders>
            <w:shd w:val="clear" w:color="FFFFFF" w:fill="FFFFFF"/>
            <w:noWrap/>
            <w:vAlign w:val="bottom"/>
            <w:hideMark/>
          </w:tcPr>
          <w:p w14:paraId="28361831"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3E4AE85E" w14:textId="77777777" w:rsidR="00520333" w:rsidRPr="006D688A" w:rsidRDefault="00520333" w:rsidP="005E5E0C">
            <w:pPr>
              <w:spacing w:after="0"/>
              <w:jc w:val="right"/>
              <w:rPr>
                <w:rFonts w:cs="Arial"/>
                <w:b/>
                <w:bCs/>
                <w:sz w:val="18"/>
                <w:szCs w:val="18"/>
              </w:rPr>
            </w:pPr>
            <w:r w:rsidRPr="006D688A">
              <w:rPr>
                <w:rFonts w:cs="Arial"/>
                <w:b/>
                <w:bCs/>
                <w:sz w:val="18"/>
                <w:szCs w:val="18"/>
              </w:rPr>
              <w:t>42,948,745</w:t>
            </w:r>
          </w:p>
        </w:tc>
        <w:tc>
          <w:tcPr>
            <w:tcW w:w="236" w:type="dxa"/>
            <w:tcBorders>
              <w:top w:val="nil"/>
              <w:left w:val="nil"/>
              <w:bottom w:val="nil"/>
              <w:right w:val="nil"/>
            </w:tcBorders>
            <w:shd w:val="clear" w:color="FFFFFF" w:fill="FFFFFF"/>
            <w:noWrap/>
            <w:vAlign w:val="bottom"/>
            <w:hideMark/>
          </w:tcPr>
          <w:p w14:paraId="5AC12C72"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3FD30A80" w14:textId="77777777" w:rsidR="00520333" w:rsidRPr="006D688A" w:rsidRDefault="00520333" w:rsidP="005E5E0C">
            <w:pPr>
              <w:spacing w:after="0"/>
              <w:jc w:val="right"/>
              <w:rPr>
                <w:rFonts w:cs="Arial"/>
                <w:sz w:val="18"/>
                <w:szCs w:val="18"/>
              </w:rPr>
            </w:pPr>
            <w:r w:rsidRPr="006D688A">
              <w:rPr>
                <w:rFonts w:cs="Arial"/>
                <w:sz w:val="18"/>
                <w:szCs w:val="18"/>
              </w:rPr>
              <w:t>35,600,084</w:t>
            </w:r>
          </w:p>
        </w:tc>
        <w:tc>
          <w:tcPr>
            <w:tcW w:w="236" w:type="dxa"/>
            <w:tcBorders>
              <w:top w:val="nil"/>
              <w:left w:val="nil"/>
              <w:bottom w:val="nil"/>
              <w:right w:val="nil"/>
            </w:tcBorders>
            <w:shd w:val="clear" w:color="FFFFFF" w:fill="FFFFFF"/>
            <w:noWrap/>
            <w:vAlign w:val="bottom"/>
            <w:hideMark/>
          </w:tcPr>
          <w:p w14:paraId="1E46985C"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154FBC52" w14:textId="77777777" w:rsidR="00520333" w:rsidRPr="006D688A" w:rsidRDefault="00520333" w:rsidP="005E5E0C">
            <w:pPr>
              <w:spacing w:after="0"/>
              <w:jc w:val="right"/>
              <w:rPr>
                <w:rFonts w:cs="Arial"/>
                <w:sz w:val="18"/>
                <w:szCs w:val="18"/>
              </w:rPr>
            </w:pPr>
            <w:r w:rsidRPr="006D688A">
              <w:rPr>
                <w:rFonts w:cs="Arial"/>
                <w:sz w:val="18"/>
                <w:szCs w:val="18"/>
              </w:rPr>
              <w:t>40,315,531</w:t>
            </w:r>
          </w:p>
        </w:tc>
      </w:tr>
      <w:tr w:rsidR="00520333" w:rsidRPr="006D688A" w14:paraId="6FD44C0C" w14:textId="77777777" w:rsidTr="005E5E0C">
        <w:trPr>
          <w:trHeight w:val="250"/>
        </w:trPr>
        <w:tc>
          <w:tcPr>
            <w:tcW w:w="4226" w:type="dxa"/>
            <w:tcBorders>
              <w:top w:val="nil"/>
              <w:left w:val="nil"/>
              <w:bottom w:val="nil"/>
              <w:right w:val="nil"/>
            </w:tcBorders>
            <w:shd w:val="clear" w:color="FFFFFF" w:fill="FFFFFF"/>
            <w:vAlign w:val="bottom"/>
            <w:hideMark/>
          </w:tcPr>
          <w:p w14:paraId="04CC56A4"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2E24782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4822D200"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ADF35AB"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601AE1FF"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25CDDAA"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3FB0770F"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37D5110C" w14:textId="77777777" w:rsidTr="005E5E0C">
        <w:trPr>
          <w:trHeight w:val="250"/>
        </w:trPr>
        <w:tc>
          <w:tcPr>
            <w:tcW w:w="4226" w:type="dxa"/>
            <w:tcBorders>
              <w:top w:val="nil"/>
              <w:left w:val="nil"/>
              <w:bottom w:val="nil"/>
              <w:right w:val="nil"/>
            </w:tcBorders>
            <w:shd w:val="clear" w:color="FFFFFF" w:fill="FFFFFF"/>
            <w:vAlign w:val="bottom"/>
            <w:hideMark/>
          </w:tcPr>
          <w:p w14:paraId="3E7651C9" w14:textId="77777777" w:rsidR="00520333" w:rsidRPr="006D688A" w:rsidRDefault="00520333" w:rsidP="005E5E0C">
            <w:pPr>
              <w:spacing w:after="0"/>
              <w:rPr>
                <w:rFonts w:cs="Arial"/>
                <w:b/>
                <w:bCs/>
                <w:sz w:val="18"/>
                <w:szCs w:val="18"/>
              </w:rPr>
            </w:pPr>
            <w:r w:rsidRPr="006D688A">
              <w:rPr>
                <w:rFonts w:cs="Arial"/>
                <w:b/>
                <w:bCs/>
                <w:sz w:val="18"/>
                <w:szCs w:val="18"/>
              </w:rPr>
              <w:t>Net (cost of)/contribution by services</w:t>
            </w:r>
          </w:p>
        </w:tc>
        <w:tc>
          <w:tcPr>
            <w:tcW w:w="944" w:type="dxa"/>
            <w:tcBorders>
              <w:top w:val="nil"/>
              <w:left w:val="nil"/>
              <w:bottom w:val="nil"/>
              <w:right w:val="nil"/>
            </w:tcBorders>
            <w:shd w:val="clear" w:color="FFFFFF" w:fill="FFFFFF"/>
            <w:noWrap/>
            <w:vAlign w:val="bottom"/>
            <w:hideMark/>
          </w:tcPr>
          <w:p w14:paraId="5C2C555F"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2BD4170C" w14:textId="77777777" w:rsidR="00520333" w:rsidRPr="006D688A" w:rsidRDefault="00520333" w:rsidP="005E5E0C">
            <w:pPr>
              <w:spacing w:after="0"/>
              <w:jc w:val="right"/>
              <w:rPr>
                <w:rFonts w:cs="Arial"/>
                <w:b/>
                <w:bCs/>
                <w:sz w:val="18"/>
                <w:szCs w:val="18"/>
              </w:rPr>
            </w:pPr>
            <w:r w:rsidRPr="006D688A">
              <w:rPr>
                <w:rFonts w:cs="Arial"/>
                <w:b/>
                <w:bCs/>
                <w:sz w:val="18"/>
                <w:szCs w:val="18"/>
              </w:rPr>
              <w:t>(1,029,836)</w:t>
            </w:r>
          </w:p>
        </w:tc>
        <w:tc>
          <w:tcPr>
            <w:tcW w:w="236" w:type="dxa"/>
            <w:tcBorders>
              <w:top w:val="nil"/>
              <w:left w:val="nil"/>
              <w:bottom w:val="nil"/>
              <w:right w:val="nil"/>
            </w:tcBorders>
            <w:shd w:val="clear" w:color="FFFFFF" w:fill="FFFFFF"/>
            <w:noWrap/>
            <w:vAlign w:val="bottom"/>
            <w:hideMark/>
          </w:tcPr>
          <w:p w14:paraId="0284F2AB"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415E2C4A" w14:textId="77777777" w:rsidR="00520333" w:rsidRPr="006D688A" w:rsidRDefault="00520333" w:rsidP="005E5E0C">
            <w:pPr>
              <w:spacing w:after="0"/>
              <w:jc w:val="right"/>
              <w:rPr>
                <w:rFonts w:cs="Arial"/>
                <w:sz w:val="18"/>
                <w:szCs w:val="18"/>
              </w:rPr>
            </w:pPr>
            <w:r w:rsidRPr="006D688A">
              <w:rPr>
                <w:rFonts w:cs="Arial"/>
                <w:sz w:val="18"/>
                <w:szCs w:val="18"/>
              </w:rPr>
              <w:t>(1,430,472)</w:t>
            </w:r>
          </w:p>
        </w:tc>
        <w:tc>
          <w:tcPr>
            <w:tcW w:w="236" w:type="dxa"/>
            <w:tcBorders>
              <w:top w:val="nil"/>
              <w:left w:val="nil"/>
              <w:bottom w:val="nil"/>
              <w:right w:val="nil"/>
            </w:tcBorders>
            <w:shd w:val="clear" w:color="FFFFFF" w:fill="FFFFFF"/>
            <w:noWrap/>
            <w:vAlign w:val="bottom"/>
            <w:hideMark/>
          </w:tcPr>
          <w:p w14:paraId="54D5E621"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2CEA6944" w14:textId="77777777" w:rsidR="00520333" w:rsidRPr="006D688A" w:rsidRDefault="00520333" w:rsidP="005E5E0C">
            <w:pPr>
              <w:spacing w:after="0"/>
              <w:jc w:val="right"/>
              <w:rPr>
                <w:rFonts w:cs="Arial"/>
                <w:sz w:val="18"/>
                <w:szCs w:val="18"/>
              </w:rPr>
            </w:pPr>
            <w:r w:rsidRPr="006D688A">
              <w:rPr>
                <w:rFonts w:cs="Arial"/>
                <w:sz w:val="18"/>
                <w:szCs w:val="18"/>
              </w:rPr>
              <w:t>(1,817,066)</w:t>
            </w:r>
          </w:p>
        </w:tc>
      </w:tr>
      <w:tr w:rsidR="00520333" w:rsidRPr="006D688A" w14:paraId="15C9C2B3" w14:textId="77777777" w:rsidTr="005E5E0C">
        <w:trPr>
          <w:trHeight w:val="250"/>
        </w:trPr>
        <w:tc>
          <w:tcPr>
            <w:tcW w:w="4226" w:type="dxa"/>
            <w:tcBorders>
              <w:top w:val="nil"/>
              <w:left w:val="nil"/>
              <w:bottom w:val="nil"/>
              <w:right w:val="nil"/>
            </w:tcBorders>
            <w:shd w:val="clear" w:color="FFFFFF" w:fill="FFFFFF"/>
            <w:vAlign w:val="bottom"/>
            <w:hideMark/>
          </w:tcPr>
          <w:p w14:paraId="03FBCDCF"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6E13268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6FB93EC9"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0AAA513"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D8B8DB7"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DC867B8"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5C3FC732"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3D823E6D" w14:textId="77777777" w:rsidTr="005E5E0C">
        <w:trPr>
          <w:trHeight w:val="250"/>
        </w:trPr>
        <w:tc>
          <w:tcPr>
            <w:tcW w:w="4226" w:type="dxa"/>
            <w:tcBorders>
              <w:top w:val="nil"/>
              <w:left w:val="nil"/>
              <w:bottom w:val="nil"/>
              <w:right w:val="nil"/>
            </w:tcBorders>
            <w:shd w:val="clear" w:color="FFFFFF" w:fill="FFFFFF"/>
            <w:vAlign w:val="bottom"/>
            <w:hideMark/>
          </w:tcPr>
          <w:p w14:paraId="783F1854" w14:textId="77777777" w:rsidR="00520333" w:rsidRPr="006D688A" w:rsidRDefault="00520333" w:rsidP="005E5E0C">
            <w:pPr>
              <w:spacing w:after="0"/>
              <w:rPr>
                <w:rFonts w:cs="Arial"/>
                <w:sz w:val="18"/>
                <w:szCs w:val="18"/>
              </w:rPr>
            </w:pPr>
            <w:r w:rsidRPr="006D688A">
              <w:rPr>
                <w:rFonts w:cs="Arial"/>
                <w:sz w:val="18"/>
                <w:szCs w:val="18"/>
              </w:rPr>
              <w:t>Revenue from Government</w:t>
            </w:r>
          </w:p>
        </w:tc>
        <w:tc>
          <w:tcPr>
            <w:tcW w:w="944" w:type="dxa"/>
            <w:tcBorders>
              <w:top w:val="nil"/>
              <w:left w:val="nil"/>
              <w:bottom w:val="nil"/>
              <w:right w:val="nil"/>
            </w:tcBorders>
            <w:shd w:val="clear" w:color="FFFFFF" w:fill="FFFFFF"/>
            <w:noWrap/>
            <w:vAlign w:val="bottom"/>
            <w:hideMark/>
          </w:tcPr>
          <w:p w14:paraId="27953D69"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2361B864" w14:textId="77777777" w:rsidR="00520333" w:rsidRPr="006D688A" w:rsidRDefault="00520333" w:rsidP="005E5E0C">
            <w:pPr>
              <w:spacing w:after="0"/>
              <w:jc w:val="right"/>
              <w:rPr>
                <w:rFonts w:cs="Arial"/>
                <w:b/>
                <w:bCs/>
                <w:sz w:val="18"/>
                <w:szCs w:val="18"/>
              </w:rPr>
            </w:pPr>
            <w:r w:rsidRPr="006D688A">
              <w:rPr>
                <w:rFonts w:cs="Arial"/>
                <w:b/>
                <w:bCs/>
                <w:sz w:val="18"/>
                <w:szCs w:val="18"/>
              </w:rPr>
              <w:t>2,032,420</w:t>
            </w:r>
          </w:p>
        </w:tc>
        <w:tc>
          <w:tcPr>
            <w:tcW w:w="236" w:type="dxa"/>
            <w:tcBorders>
              <w:top w:val="nil"/>
              <w:left w:val="nil"/>
              <w:bottom w:val="nil"/>
              <w:right w:val="nil"/>
            </w:tcBorders>
            <w:shd w:val="clear" w:color="FFFFFF" w:fill="FFFFFF"/>
            <w:noWrap/>
            <w:vAlign w:val="bottom"/>
            <w:hideMark/>
          </w:tcPr>
          <w:p w14:paraId="76EBA69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4963265B" w14:textId="77777777" w:rsidR="00520333" w:rsidRPr="006D688A" w:rsidRDefault="00520333" w:rsidP="005E5E0C">
            <w:pPr>
              <w:spacing w:after="0"/>
              <w:jc w:val="right"/>
              <w:rPr>
                <w:rFonts w:cs="Arial"/>
                <w:sz w:val="18"/>
                <w:szCs w:val="18"/>
              </w:rPr>
            </w:pPr>
            <w:r w:rsidRPr="006D688A">
              <w:rPr>
                <w:rFonts w:cs="Arial"/>
                <w:sz w:val="18"/>
                <w:szCs w:val="18"/>
              </w:rPr>
              <w:t>1,445,361</w:t>
            </w:r>
          </w:p>
        </w:tc>
        <w:tc>
          <w:tcPr>
            <w:tcW w:w="236" w:type="dxa"/>
            <w:tcBorders>
              <w:top w:val="nil"/>
              <w:left w:val="nil"/>
              <w:bottom w:val="nil"/>
              <w:right w:val="nil"/>
            </w:tcBorders>
            <w:shd w:val="clear" w:color="FFFFFF" w:fill="FFFFFF"/>
            <w:noWrap/>
            <w:vAlign w:val="bottom"/>
            <w:hideMark/>
          </w:tcPr>
          <w:p w14:paraId="7BC344C0"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0D3175D6" w14:textId="77777777" w:rsidR="00520333" w:rsidRPr="006D688A" w:rsidRDefault="00520333" w:rsidP="005E5E0C">
            <w:pPr>
              <w:spacing w:after="0"/>
              <w:jc w:val="right"/>
              <w:rPr>
                <w:rFonts w:cs="Arial"/>
                <w:sz w:val="18"/>
                <w:szCs w:val="18"/>
              </w:rPr>
            </w:pPr>
            <w:r w:rsidRPr="006D688A">
              <w:rPr>
                <w:rFonts w:cs="Arial"/>
                <w:sz w:val="18"/>
                <w:szCs w:val="18"/>
              </w:rPr>
              <w:t>1,984,176</w:t>
            </w:r>
          </w:p>
        </w:tc>
      </w:tr>
      <w:tr w:rsidR="00520333" w:rsidRPr="006D688A" w14:paraId="573F39E0" w14:textId="77777777" w:rsidTr="005E5E0C">
        <w:trPr>
          <w:trHeight w:val="250"/>
        </w:trPr>
        <w:tc>
          <w:tcPr>
            <w:tcW w:w="4226" w:type="dxa"/>
            <w:tcBorders>
              <w:top w:val="nil"/>
              <w:left w:val="nil"/>
              <w:bottom w:val="nil"/>
              <w:right w:val="nil"/>
            </w:tcBorders>
            <w:shd w:val="clear" w:color="FFFFFF" w:fill="FFFFFF"/>
            <w:vAlign w:val="bottom"/>
            <w:hideMark/>
          </w:tcPr>
          <w:p w14:paraId="48A1B177" w14:textId="77777777" w:rsidR="00520333" w:rsidRPr="006D688A" w:rsidRDefault="00520333" w:rsidP="005E5E0C">
            <w:pPr>
              <w:spacing w:after="0"/>
              <w:rPr>
                <w:rFonts w:cs="Arial"/>
                <w:b/>
                <w:bCs/>
                <w:sz w:val="18"/>
                <w:szCs w:val="18"/>
              </w:rPr>
            </w:pPr>
            <w:r w:rsidRPr="006D688A">
              <w:rPr>
                <w:rFonts w:cs="Arial"/>
                <w:b/>
                <w:bCs/>
                <w:sz w:val="18"/>
                <w:szCs w:val="18"/>
              </w:rPr>
              <w:t xml:space="preserve">Surplus/(Deficit) </w:t>
            </w:r>
          </w:p>
        </w:tc>
        <w:tc>
          <w:tcPr>
            <w:tcW w:w="944" w:type="dxa"/>
            <w:tcBorders>
              <w:top w:val="nil"/>
              <w:left w:val="nil"/>
              <w:bottom w:val="nil"/>
              <w:right w:val="nil"/>
            </w:tcBorders>
            <w:shd w:val="clear" w:color="FFFFFF" w:fill="FFFFFF"/>
            <w:noWrap/>
            <w:vAlign w:val="bottom"/>
            <w:hideMark/>
          </w:tcPr>
          <w:p w14:paraId="7E22023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79BBC59A" w14:textId="77777777" w:rsidR="00520333" w:rsidRPr="006D688A" w:rsidRDefault="00520333" w:rsidP="005E5E0C">
            <w:pPr>
              <w:spacing w:after="0"/>
              <w:jc w:val="right"/>
              <w:rPr>
                <w:rFonts w:cs="Arial"/>
                <w:b/>
                <w:bCs/>
                <w:sz w:val="18"/>
                <w:szCs w:val="18"/>
              </w:rPr>
            </w:pPr>
            <w:r w:rsidRPr="006D688A">
              <w:rPr>
                <w:rFonts w:cs="Arial"/>
                <w:b/>
                <w:bCs/>
                <w:sz w:val="18"/>
                <w:szCs w:val="18"/>
              </w:rPr>
              <w:t>1,002,584</w:t>
            </w:r>
          </w:p>
        </w:tc>
        <w:tc>
          <w:tcPr>
            <w:tcW w:w="236" w:type="dxa"/>
            <w:tcBorders>
              <w:top w:val="nil"/>
              <w:left w:val="nil"/>
              <w:bottom w:val="nil"/>
              <w:right w:val="nil"/>
            </w:tcBorders>
            <w:shd w:val="clear" w:color="FFFFFF" w:fill="FFFFFF"/>
            <w:noWrap/>
            <w:vAlign w:val="bottom"/>
            <w:hideMark/>
          </w:tcPr>
          <w:p w14:paraId="3398AC0B"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030CE8A8" w14:textId="77777777" w:rsidR="00520333" w:rsidRPr="006D688A" w:rsidRDefault="00520333" w:rsidP="005E5E0C">
            <w:pPr>
              <w:spacing w:after="0"/>
              <w:jc w:val="right"/>
              <w:rPr>
                <w:rFonts w:cs="Arial"/>
                <w:sz w:val="18"/>
                <w:szCs w:val="18"/>
              </w:rPr>
            </w:pPr>
            <w:r w:rsidRPr="006D688A">
              <w:rPr>
                <w:rFonts w:cs="Arial"/>
                <w:sz w:val="18"/>
                <w:szCs w:val="18"/>
              </w:rPr>
              <w:t>14,889</w:t>
            </w:r>
          </w:p>
        </w:tc>
        <w:tc>
          <w:tcPr>
            <w:tcW w:w="236" w:type="dxa"/>
            <w:tcBorders>
              <w:top w:val="nil"/>
              <w:left w:val="nil"/>
              <w:bottom w:val="nil"/>
              <w:right w:val="nil"/>
            </w:tcBorders>
            <w:shd w:val="clear" w:color="FFFFFF" w:fill="FFFFFF"/>
            <w:noWrap/>
            <w:vAlign w:val="bottom"/>
            <w:hideMark/>
          </w:tcPr>
          <w:p w14:paraId="21463386"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1D3361E4" w14:textId="77777777" w:rsidR="00520333" w:rsidRPr="006D688A" w:rsidRDefault="00520333" w:rsidP="005E5E0C">
            <w:pPr>
              <w:spacing w:after="0"/>
              <w:jc w:val="right"/>
              <w:rPr>
                <w:rFonts w:cs="Arial"/>
                <w:sz w:val="18"/>
                <w:szCs w:val="18"/>
              </w:rPr>
            </w:pPr>
            <w:r w:rsidRPr="006D688A">
              <w:rPr>
                <w:rFonts w:cs="Arial"/>
                <w:sz w:val="18"/>
                <w:szCs w:val="18"/>
              </w:rPr>
              <w:t>167,110</w:t>
            </w:r>
          </w:p>
        </w:tc>
      </w:tr>
      <w:tr w:rsidR="00520333" w:rsidRPr="006D688A" w14:paraId="4FF0FDFE" w14:textId="77777777" w:rsidTr="005E5E0C">
        <w:trPr>
          <w:trHeight w:val="250"/>
        </w:trPr>
        <w:tc>
          <w:tcPr>
            <w:tcW w:w="4226" w:type="dxa"/>
            <w:tcBorders>
              <w:top w:val="nil"/>
              <w:left w:val="nil"/>
              <w:bottom w:val="nil"/>
              <w:right w:val="nil"/>
            </w:tcBorders>
            <w:shd w:val="clear" w:color="FFFFFF" w:fill="FFFFFF"/>
            <w:vAlign w:val="bottom"/>
            <w:hideMark/>
          </w:tcPr>
          <w:p w14:paraId="2F9C1C3F"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12F4568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42A786DA"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FED39EE"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3AD4260B"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7C451E1"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4186156E"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16F53A5F" w14:textId="77777777" w:rsidTr="005E5E0C">
        <w:trPr>
          <w:trHeight w:val="250"/>
        </w:trPr>
        <w:tc>
          <w:tcPr>
            <w:tcW w:w="4226" w:type="dxa"/>
            <w:tcBorders>
              <w:top w:val="nil"/>
              <w:left w:val="nil"/>
              <w:bottom w:val="nil"/>
              <w:right w:val="nil"/>
            </w:tcBorders>
            <w:shd w:val="clear" w:color="FFFFFF" w:fill="FFFFFF"/>
            <w:vAlign w:val="bottom"/>
            <w:hideMark/>
          </w:tcPr>
          <w:p w14:paraId="6B4CDBBA" w14:textId="77777777" w:rsidR="00520333" w:rsidRPr="006D688A" w:rsidRDefault="00520333" w:rsidP="005E5E0C">
            <w:pPr>
              <w:spacing w:after="0"/>
              <w:rPr>
                <w:rFonts w:cs="Arial"/>
                <w:b/>
                <w:bCs/>
                <w:sz w:val="18"/>
                <w:szCs w:val="18"/>
              </w:rPr>
            </w:pPr>
            <w:r w:rsidRPr="006D688A">
              <w:rPr>
                <w:rFonts w:cs="Arial"/>
                <w:b/>
                <w:bCs/>
                <w:sz w:val="18"/>
                <w:szCs w:val="18"/>
              </w:rPr>
              <w:t>OTHER COMPREHENSIVE INCOME</w:t>
            </w:r>
          </w:p>
        </w:tc>
        <w:tc>
          <w:tcPr>
            <w:tcW w:w="944" w:type="dxa"/>
            <w:tcBorders>
              <w:top w:val="nil"/>
              <w:left w:val="nil"/>
              <w:bottom w:val="nil"/>
              <w:right w:val="nil"/>
            </w:tcBorders>
            <w:shd w:val="clear" w:color="FFFFFF" w:fill="FFFFFF"/>
            <w:noWrap/>
            <w:vAlign w:val="bottom"/>
            <w:hideMark/>
          </w:tcPr>
          <w:p w14:paraId="7E96625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6A474924"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BCDEA6E"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35A75D92"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0BD7B2F"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302BAF6A"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109A6C02" w14:textId="77777777" w:rsidTr="005E5E0C">
        <w:trPr>
          <w:trHeight w:val="460"/>
        </w:trPr>
        <w:tc>
          <w:tcPr>
            <w:tcW w:w="4226" w:type="dxa"/>
            <w:tcBorders>
              <w:top w:val="nil"/>
              <w:left w:val="nil"/>
              <w:bottom w:val="nil"/>
              <w:right w:val="nil"/>
            </w:tcBorders>
            <w:shd w:val="clear" w:color="FFFFFF" w:fill="FFFFFF"/>
            <w:vAlign w:val="bottom"/>
            <w:hideMark/>
          </w:tcPr>
          <w:p w14:paraId="58CCFF37" w14:textId="77777777" w:rsidR="00520333" w:rsidRPr="006D688A" w:rsidRDefault="00520333" w:rsidP="005E5E0C">
            <w:pPr>
              <w:spacing w:after="0"/>
              <w:rPr>
                <w:rFonts w:cs="Arial"/>
                <w:b/>
                <w:bCs/>
                <w:sz w:val="18"/>
                <w:szCs w:val="18"/>
              </w:rPr>
            </w:pPr>
            <w:r w:rsidRPr="006D688A">
              <w:rPr>
                <w:rFonts w:cs="Arial"/>
                <w:b/>
                <w:bCs/>
                <w:sz w:val="18"/>
                <w:szCs w:val="18"/>
              </w:rPr>
              <w:t>Items not subject to subsequent reclassification to net cost of services</w:t>
            </w:r>
          </w:p>
        </w:tc>
        <w:tc>
          <w:tcPr>
            <w:tcW w:w="944" w:type="dxa"/>
            <w:tcBorders>
              <w:top w:val="nil"/>
              <w:left w:val="nil"/>
              <w:bottom w:val="nil"/>
              <w:right w:val="nil"/>
            </w:tcBorders>
            <w:shd w:val="clear" w:color="FFFFFF" w:fill="FFFFFF"/>
            <w:noWrap/>
            <w:vAlign w:val="bottom"/>
            <w:hideMark/>
          </w:tcPr>
          <w:p w14:paraId="4B67BD5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65D89790"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13B560A"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C609899"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0CAECB0"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43E7043D"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36608707" w14:textId="77777777" w:rsidTr="005E5E0C">
        <w:trPr>
          <w:trHeight w:val="250"/>
        </w:trPr>
        <w:tc>
          <w:tcPr>
            <w:tcW w:w="4226" w:type="dxa"/>
            <w:tcBorders>
              <w:top w:val="nil"/>
              <w:left w:val="nil"/>
              <w:bottom w:val="nil"/>
              <w:right w:val="nil"/>
            </w:tcBorders>
            <w:shd w:val="clear" w:color="FFFFFF" w:fill="FFFFFF"/>
            <w:vAlign w:val="bottom"/>
            <w:hideMark/>
          </w:tcPr>
          <w:p w14:paraId="0F2E4605" w14:textId="77777777" w:rsidR="00520333" w:rsidRPr="006D688A" w:rsidRDefault="00520333" w:rsidP="005E5E0C">
            <w:pPr>
              <w:spacing w:after="0"/>
              <w:ind w:leftChars="100" w:left="240"/>
              <w:rPr>
                <w:rFonts w:cs="Arial"/>
                <w:sz w:val="18"/>
                <w:szCs w:val="18"/>
              </w:rPr>
            </w:pPr>
            <w:r w:rsidRPr="006D688A">
              <w:rPr>
                <w:rFonts w:cs="Arial"/>
                <w:sz w:val="18"/>
                <w:szCs w:val="18"/>
              </w:rPr>
              <w:t>Changes in asset revaluation reserve</w:t>
            </w:r>
          </w:p>
        </w:tc>
        <w:tc>
          <w:tcPr>
            <w:tcW w:w="944" w:type="dxa"/>
            <w:tcBorders>
              <w:top w:val="nil"/>
              <w:left w:val="nil"/>
              <w:bottom w:val="nil"/>
              <w:right w:val="nil"/>
            </w:tcBorders>
            <w:shd w:val="clear" w:color="FFFFFF" w:fill="FFFFFF"/>
            <w:noWrap/>
            <w:vAlign w:val="bottom"/>
            <w:hideMark/>
          </w:tcPr>
          <w:p w14:paraId="7D40F79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40686561" w14:textId="77777777" w:rsidR="00520333" w:rsidRPr="006D688A" w:rsidRDefault="00520333" w:rsidP="005E5E0C">
            <w:pPr>
              <w:spacing w:after="0"/>
              <w:jc w:val="right"/>
              <w:rPr>
                <w:rFonts w:cs="Arial"/>
                <w:b/>
                <w:bCs/>
                <w:sz w:val="18"/>
                <w:szCs w:val="18"/>
              </w:rPr>
            </w:pPr>
            <w:r w:rsidRPr="006D688A">
              <w:rPr>
                <w:rFonts w:cs="Arial"/>
                <w:b/>
                <w:bCs/>
                <w:sz w:val="18"/>
                <w:szCs w:val="18"/>
              </w:rPr>
              <w:t>8,552</w:t>
            </w:r>
          </w:p>
        </w:tc>
        <w:tc>
          <w:tcPr>
            <w:tcW w:w="236" w:type="dxa"/>
            <w:tcBorders>
              <w:top w:val="nil"/>
              <w:left w:val="nil"/>
              <w:bottom w:val="nil"/>
              <w:right w:val="nil"/>
            </w:tcBorders>
            <w:shd w:val="clear" w:color="FFFFFF" w:fill="FFFFFF"/>
            <w:noWrap/>
            <w:vAlign w:val="bottom"/>
            <w:hideMark/>
          </w:tcPr>
          <w:p w14:paraId="0006132F"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041A967E" w14:textId="77777777" w:rsidR="00520333" w:rsidRPr="006D688A" w:rsidRDefault="00520333" w:rsidP="005E5E0C">
            <w:pPr>
              <w:spacing w:after="0"/>
              <w:jc w:val="right"/>
              <w:rPr>
                <w:rFonts w:cs="Arial"/>
                <w:sz w:val="18"/>
                <w:szCs w:val="18"/>
              </w:rPr>
            </w:pPr>
            <w:r w:rsidRPr="006D688A">
              <w:rPr>
                <w:rFonts w:cs="Arial"/>
                <w:sz w:val="18"/>
                <w:szCs w:val="18"/>
              </w:rPr>
              <w:t>17,285</w:t>
            </w:r>
          </w:p>
        </w:tc>
        <w:tc>
          <w:tcPr>
            <w:tcW w:w="236" w:type="dxa"/>
            <w:tcBorders>
              <w:top w:val="nil"/>
              <w:left w:val="nil"/>
              <w:bottom w:val="nil"/>
              <w:right w:val="nil"/>
            </w:tcBorders>
            <w:shd w:val="clear" w:color="FFFFFF" w:fill="FFFFFF"/>
            <w:noWrap/>
            <w:vAlign w:val="bottom"/>
            <w:hideMark/>
          </w:tcPr>
          <w:p w14:paraId="0B0C1DE5"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6AE38B36"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r>
      <w:tr w:rsidR="00520333" w:rsidRPr="006D688A" w14:paraId="0A50DA98" w14:textId="77777777" w:rsidTr="005E5E0C">
        <w:trPr>
          <w:trHeight w:val="250"/>
        </w:trPr>
        <w:tc>
          <w:tcPr>
            <w:tcW w:w="4226" w:type="dxa"/>
            <w:tcBorders>
              <w:top w:val="nil"/>
              <w:left w:val="nil"/>
              <w:bottom w:val="nil"/>
              <w:right w:val="nil"/>
            </w:tcBorders>
            <w:shd w:val="clear" w:color="FFFFFF" w:fill="FFFFFF"/>
            <w:vAlign w:val="bottom"/>
            <w:hideMark/>
          </w:tcPr>
          <w:p w14:paraId="3028FB46" w14:textId="77777777" w:rsidR="00520333" w:rsidRPr="006D688A" w:rsidRDefault="00520333" w:rsidP="005E5E0C">
            <w:pPr>
              <w:spacing w:after="0"/>
              <w:rPr>
                <w:rFonts w:cs="Arial"/>
                <w:b/>
                <w:bCs/>
                <w:sz w:val="18"/>
                <w:szCs w:val="18"/>
              </w:rPr>
            </w:pPr>
            <w:r w:rsidRPr="006D688A">
              <w:rPr>
                <w:rFonts w:cs="Arial"/>
                <w:b/>
                <w:bCs/>
                <w:sz w:val="18"/>
                <w:szCs w:val="18"/>
              </w:rPr>
              <w:t>Total other comprehensive income</w:t>
            </w:r>
          </w:p>
        </w:tc>
        <w:tc>
          <w:tcPr>
            <w:tcW w:w="944" w:type="dxa"/>
            <w:tcBorders>
              <w:top w:val="nil"/>
              <w:left w:val="nil"/>
              <w:bottom w:val="nil"/>
              <w:right w:val="nil"/>
            </w:tcBorders>
            <w:shd w:val="clear" w:color="FFFFFF" w:fill="FFFFFF"/>
            <w:noWrap/>
            <w:vAlign w:val="bottom"/>
            <w:hideMark/>
          </w:tcPr>
          <w:p w14:paraId="2F3C7D34"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3E9C0663" w14:textId="77777777" w:rsidR="00520333" w:rsidRPr="006D688A" w:rsidRDefault="00520333" w:rsidP="005E5E0C">
            <w:pPr>
              <w:spacing w:after="0"/>
              <w:jc w:val="right"/>
              <w:rPr>
                <w:rFonts w:cs="Arial"/>
                <w:b/>
                <w:bCs/>
                <w:sz w:val="18"/>
                <w:szCs w:val="18"/>
              </w:rPr>
            </w:pPr>
            <w:r w:rsidRPr="006D688A">
              <w:rPr>
                <w:rFonts w:cs="Arial"/>
                <w:b/>
                <w:bCs/>
                <w:sz w:val="18"/>
                <w:szCs w:val="18"/>
              </w:rPr>
              <w:t>8,552</w:t>
            </w:r>
          </w:p>
        </w:tc>
        <w:tc>
          <w:tcPr>
            <w:tcW w:w="236" w:type="dxa"/>
            <w:tcBorders>
              <w:top w:val="nil"/>
              <w:left w:val="nil"/>
              <w:bottom w:val="nil"/>
              <w:right w:val="nil"/>
            </w:tcBorders>
            <w:shd w:val="clear" w:color="FFFFFF" w:fill="FFFFFF"/>
            <w:noWrap/>
            <w:vAlign w:val="bottom"/>
            <w:hideMark/>
          </w:tcPr>
          <w:p w14:paraId="02ADDD49"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630EDA69" w14:textId="77777777" w:rsidR="00520333" w:rsidRPr="006D688A" w:rsidRDefault="00520333" w:rsidP="005E5E0C">
            <w:pPr>
              <w:spacing w:after="0"/>
              <w:jc w:val="right"/>
              <w:rPr>
                <w:rFonts w:cs="Arial"/>
                <w:sz w:val="18"/>
                <w:szCs w:val="18"/>
              </w:rPr>
            </w:pPr>
            <w:r w:rsidRPr="006D688A">
              <w:rPr>
                <w:rFonts w:cs="Arial"/>
                <w:sz w:val="18"/>
                <w:szCs w:val="18"/>
              </w:rPr>
              <w:t>17,285</w:t>
            </w:r>
          </w:p>
        </w:tc>
        <w:tc>
          <w:tcPr>
            <w:tcW w:w="236" w:type="dxa"/>
            <w:tcBorders>
              <w:top w:val="nil"/>
              <w:left w:val="nil"/>
              <w:bottom w:val="nil"/>
              <w:right w:val="nil"/>
            </w:tcBorders>
            <w:shd w:val="clear" w:color="FFFFFF" w:fill="FFFFFF"/>
            <w:noWrap/>
            <w:vAlign w:val="bottom"/>
            <w:hideMark/>
          </w:tcPr>
          <w:p w14:paraId="4BDDE462"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1A8F6636" w14:textId="77777777" w:rsidR="00520333" w:rsidRPr="006D688A" w:rsidRDefault="00520333" w:rsidP="005E5E0C">
            <w:pPr>
              <w:spacing w:after="0"/>
              <w:jc w:val="right"/>
              <w:rPr>
                <w:rFonts w:cs="Arial"/>
                <w:sz w:val="18"/>
                <w:szCs w:val="18"/>
              </w:rPr>
            </w:pPr>
            <w:r w:rsidRPr="006D688A">
              <w:rPr>
                <w:rFonts w:cs="Arial"/>
                <w:sz w:val="18"/>
                <w:szCs w:val="18"/>
              </w:rPr>
              <w:t>-</w:t>
            </w:r>
          </w:p>
        </w:tc>
      </w:tr>
      <w:tr w:rsidR="00520333" w:rsidRPr="006D688A" w14:paraId="6AA98079" w14:textId="77777777" w:rsidTr="005E5E0C">
        <w:trPr>
          <w:trHeight w:val="250"/>
        </w:trPr>
        <w:tc>
          <w:tcPr>
            <w:tcW w:w="4226" w:type="dxa"/>
            <w:tcBorders>
              <w:top w:val="nil"/>
              <w:left w:val="nil"/>
              <w:bottom w:val="nil"/>
              <w:right w:val="nil"/>
            </w:tcBorders>
            <w:shd w:val="clear" w:color="FFFFFF" w:fill="FFFFFF"/>
            <w:vAlign w:val="bottom"/>
            <w:hideMark/>
          </w:tcPr>
          <w:p w14:paraId="5ADEBCCE" w14:textId="77777777" w:rsidR="00520333" w:rsidRPr="006D688A" w:rsidRDefault="00520333" w:rsidP="005E5E0C">
            <w:pPr>
              <w:spacing w:after="0"/>
              <w:rPr>
                <w:rFonts w:cs="Arial"/>
                <w:sz w:val="18"/>
                <w:szCs w:val="18"/>
              </w:rPr>
            </w:pPr>
            <w:r w:rsidRPr="006D688A">
              <w:rPr>
                <w:rFonts w:cs="Arial"/>
                <w:sz w:val="18"/>
                <w:szCs w:val="18"/>
              </w:rPr>
              <w:t> </w:t>
            </w:r>
          </w:p>
        </w:tc>
        <w:tc>
          <w:tcPr>
            <w:tcW w:w="944" w:type="dxa"/>
            <w:tcBorders>
              <w:top w:val="nil"/>
              <w:left w:val="nil"/>
              <w:bottom w:val="nil"/>
              <w:right w:val="nil"/>
            </w:tcBorders>
            <w:shd w:val="clear" w:color="FFFFFF" w:fill="FFFFFF"/>
            <w:noWrap/>
            <w:vAlign w:val="bottom"/>
            <w:hideMark/>
          </w:tcPr>
          <w:p w14:paraId="2DFDFE88"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nil"/>
              <w:left w:val="nil"/>
              <w:bottom w:val="nil"/>
              <w:right w:val="nil"/>
            </w:tcBorders>
            <w:shd w:val="clear" w:color="FFFFFF" w:fill="FFFFFF"/>
            <w:noWrap/>
            <w:vAlign w:val="bottom"/>
            <w:hideMark/>
          </w:tcPr>
          <w:p w14:paraId="041A7D21"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73F06AD"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nil"/>
              <w:left w:val="nil"/>
              <w:bottom w:val="nil"/>
              <w:right w:val="nil"/>
            </w:tcBorders>
            <w:shd w:val="clear" w:color="FFFFFF" w:fill="FFFFFF"/>
            <w:noWrap/>
            <w:vAlign w:val="bottom"/>
            <w:hideMark/>
          </w:tcPr>
          <w:p w14:paraId="17EFCA5B"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532BEAD"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nil"/>
              <w:left w:val="nil"/>
              <w:bottom w:val="nil"/>
              <w:right w:val="nil"/>
            </w:tcBorders>
            <w:shd w:val="clear" w:color="FFFFFF" w:fill="FFFFFF"/>
            <w:noWrap/>
            <w:vAlign w:val="bottom"/>
            <w:hideMark/>
          </w:tcPr>
          <w:p w14:paraId="66C9E6D6"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12658889" w14:textId="77777777" w:rsidTr="005E5E0C">
        <w:trPr>
          <w:trHeight w:val="250"/>
        </w:trPr>
        <w:tc>
          <w:tcPr>
            <w:tcW w:w="4226" w:type="dxa"/>
            <w:tcBorders>
              <w:top w:val="nil"/>
              <w:left w:val="nil"/>
              <w:bottom w:val="nil"/>
              <w:right w:val="nil"/>
            </w:tcBorders>
            <w:shd w:val="clear" w:color="FFFFFF" w:fill="FFFFFF"/>
            <w:vAlign w:val="bottom"/>
            <w:hideMark/>
          </w:tcPr>
          <w:p w14:paraId="03B28EE8" w14:textId="77777777" w:rsidR="00520333" w:rsidRPr="006D688A" w:rsidRDefault="00520333" w:rsidP="005E5E0C">
            <w:pPr>
              <w:spacing w:after="0"/>
              <w:rPr>
                <w:rFonts w:cs="Arial"/>
                <w:b/>
                <w:bCs/>
                <w:sz w:val="18"/>
                <w:szCs w:val="18"/>
              </w:rPr>
            </w:pPr>
            <w:r w:rsidRPr="006D688A">
              <w:rPr>
                <w:rFonts w:cs="Arial"/>
                <w:b/>
                <w:bCs/>
                <w:sz w:val="18"/>
                <w:szCs w:val="18"/>
              </w:rPr>
              <w:t>Total comprehensive income/(loss)</w:t>
            </w:r>
          </w:p>
        </w:tc>
        <w:tc>
          <w:tcPr>
            <w:tcW w:w="944" w:type="dxa"/>
            <w:tcBorders>
              <w:top w:val="nil"/>
              <w:left w:val="nil"/>
              <w:bottom w:val="nil"/>
              <w:right w:val="nil"/>
            </w:tcBorders>
            <w:shd w:val="clear" w:color="FFFFFF" w:fill="FFFFFF"/>
            <w:noWrap/>
            <w:vAlign w:val="bottom"/>
            <w:hideMark/>
          </w:tcPr>
          <w:p w14:paraId="742111CD"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33B4D62A" w14:textId="77777777" w:rsidR="00520333" w:rsidRPr="006D688A" w:rsidRDefault="00520333" w:rsidP="005E5E0C">
            <w:pPr>
              <w:spacing w:after="0"/>
              <w:jc w:val="right"/>
              <w:rPr>
                <w:rFonts w:cs="Arial"/>
                <w:b/>
                <w:bCs/>
                <w:sz w:val="18"/>
                <w:szCs w:val="18"/>
              </w:rPr>
            </w:pPr>
            <w:r w:rsidRPr="006D688A">
              <w:rPr>
                <w:rFonts w:cs="Arial"/>
                <w:b/>
                <w:bCs/>
                <w:sz w:val="18"/>
                <w:szCs w:val="18"/>
              </w:rPr>
              <w:t>1,011,136</w:t>
            </w:r>
          </w:p>
        </w:tc>
        <w:tc>
          <w:tcPr>
            <w:tcW w:w="236" w:type="dxa"/>
            <w:tcBorders>
              <w:top w:val="nil"/>
              <w:left w:val="nil"/>
              <w:bottom w:val="nil"/>
              <w:right w:val="nil"/>
            </w:tcBorders>
            <w:shd w:val="clear" w:color="FFFFFF" w:fill="FFFFFF"/>
            <w:noWrap/>
            <w:vAlign w:val="bottom"/>
            <w:hideMark/>
          </w:tcPr>
          <w:p w14:paraId="3B88EA4A" w14:textId="77777777" w:rsidR="00520333" w:rsidRPr="006D688A" w:rsidRDefault="00520333" w:rsidP="005E5E0C">
            <w:pPr>
              <w:spacing w:after="0"/>
              <w:rPr>
                <w:rFonts w:cs="Arial"/>
                <w:sz w:val="18"/>
                <w:szCs w:val="18"/>
              </w:rPr>
            </w:pPr>
            <w:r w:rsidRPr="006D688A">
              <w:rPr>
                <w:rFonts w:cs="Arial"/>
                <w:sz w:val="18"/>
                <w:szCs w:val="18"/>
              </w:rPr>
              <w:t> </w:t>
            </w:r>
          </w:p>
        </w:tc>
        <w:tc>
          <w:tcPr>
            <w:tcW w:w="1122" w:type="dxa"/>
            <w:tcBorders>
              <w:top w:val="single" w:sz="4" w:space="0" w:color="auto"/>
              <w:left w:val="nil"/>
              <w:bottom w:val="single" w:sz="4" w:space="0" w:color="auto"/>
              <w:right w:val="nil"/>
            </w:tcBorders>
            <w:shd w:val="clear" w:color="FFFFFF" w:fill="FFFFFF"/>
            <w:noWrap/>
            <w:vAlign w:val="bottom"/>
            <w:hideMark/>
          </w:tcPr>
          <w:p w14:paraId="0E90FB58" w14:textId="77777777" w:rsidR="00520333" w:rsidRPr="006D688A" w:rsidRDefault="00520333" w:rsidP="005E5E0C">
            <w:pPr>
              <w:spacing w:after="0"/>
              <w:jc w:val="right"/>
              <w:rPr>
                <w:rFonts w:cs="Arial"/>
                <w:sz w:val="18"/>
                <w:szCs w:val="18"/>
              </w:rPr>
            </w:pPr>
            <w:r w:rsidRPr="006D688A">
              <w:rPr>
                <w:rFonts w:cs="Arial"/>
                <w:sz w:val="18"/>
                <w:szCs w:val="18"/>
              </w:rPr>
              <w:t>32,174</w:t>
            </w:r>
          </w:p>
        </w:tc>
        <w:tc>
          <w:tcPr>
            <w:tcW w:w="236" w:type="dxa"/>
            <w:tcBorders>
              <w:top w:val="nil"/>
              <w:left w:val="nil"/>
              <w:bottom w:val="nil"/>
              <w:right w:val="nil"/>
            </w:tcBorders>
            <w:shd w:val="clear" w:color="FFFFFF" w:fill="FFFFFF"/>
            <w:noWrap/>
            <w:vAlign w:val="bottom"/>
            <w:hideMark/>
          </w:tcPr>
          <w:p w14:paraId="6B070601" w14:textId="77777777" w:rsidR="00520333" w:rsidRPr="006D688A" w:rsidRDefault="00520333" w:rsidP="005E5E0C">
            <w:pPr>
              <w:spacing w:after="0"/>
              <w:rPr>
                <w:rFonts w:cs="Arial"/>
                <w:sz w:val="18"/>
                <w:szCs w:val="18"/>
              </w:rPr>
            </w:pPr>
            <w:r w:rsidRPr="006D688A">
              <w:rPr>
                <w:rFonts w:cs="Arial"/>
                <w:sz w:val="18"/>
                <w:szCs w:val="18"/>
              </w:rPr>
              <w:t> </w:t>
            </w:r>
          </w:p>
        </w:tc>
        <w:tc>
          <w:tcPr>
            <w:tcW w:w="1199" w:type="dxa"/>
            <w:tcBorders>
              <w:top w:val="single" w:sz="4" w:space="0" w:color="auto"/>
              <w:left w:val="nil"/>
              <w:bottom w:val="single" w:sz="4" w:space="0" w:color="auto"/>
              <w:right w:val="nil"/>
            </w:tcBorders>
            <w:shd w:val="clear" w:color="FFFFFF" w:fill="FFFFFF"/>
            <w:noWrap/>
            <w:vAlign w:val="bottom"/>
            <w:hideMark/>
          </w:tcPr>
          <w:p w14:paraId="077E468F" w14:textId="77777777" w:rsidR="00520333" w:rsidRPr="006D688A" w:rsidRDefault="00520333" w:rsidP="005E5E0C">
            <w:pPr>
              <w:spacing w:after="0"/>
              <w:jc w:val="right"/>
              <w:rPr>
                <w:rFonts w:cs="Arial"/>
                <w:sz w:val="18"/>
                <w:szCs w:val="18"/>
              </w:rPr>
            </w:pPr>
            <w:r w:rsidRPr="006D688A">
              <w:rPr>
                <w:rFonts w:cs="Arial"/>
                <w:sz w:val="18"/>
                <w:szCs w:val="18"/>
              </w:rPr>
              <w:t>167,110</w:t>
            </w:r>
          </w:p>
        </w:tc>
      </w:tr>
    </w:tbl>
    <w:p w14:paraId="5C33A62B" w14:textId="77777777" w:rsidR="00520333" w:rsidRPr="006D688A" w:rsidRDefault="00520333" w:rsidP="003203A1">
      <w:pPr>
        <w:pStyle w:val="ReferenceText"/>
      </w:pPr>
    </w:p>
    <w:p w14:paraId="447A9484" w14:textId="77777777" w:rsidR="00520333" w:rsidRPr="006D688A" w:rsidRDefault="00520333" w:rsidP="003203A1">
      <w:pPr>
        <w:pStyle w:val="ReferenceText"/>
      </w:pPr>
      <w:r w:rsidRPr="006D688A">
        <w:t>The above statement should be read in conjunction with the accompanying notes.</w:t>
      </w:r>
    </w:p>
    <w:p w14:paraId="2DA05E13" w14:textId="77777777" w:rsidR="00520333" w:rsidRPr="006D688A" w:rsidRDefault="00520333" w:rsidP="003203A1">
      <w:pPr>
        <w:pStyle w:val="ReferenceText"/>
      </w:pPr>
      <w:r w:rsidRPr="006D688A">
        <w:rPr>
          <w:vertAlign w:val="superscript"/>
        </w:rPr>
        <w:t xml:space="preserve">1 </w:t>
      </w:r>
      <w:r w:rsidRPr="006D688A">
        <w:t>Original Budget refers to the figures published in the 2023-24 Portfolio Budget Statements</w:t>
      </w:r>
    </w:p>
    <w:p w14:paraId="7C45DBBC" w14:textId="77777777" w:rsidR="00520333" w:rsidRPr="005E5E0C" w:rsidRDefault="00520333" w:rsidP="00520333">
      <w:pPr>
        <w:spacing w:line="240" w:lineRule="auto"/>
        <w:rPr>
          <w:lang w:eastAsia="en-AU"/>
        </w:rPr>
      </w:pPr>
      <w:r>
        <w:br w:type="page"/>
      </w:r>
    </w:p>
    <w:p w14:paraId="09100A0D" w14:textId="77777777" w:rsidR="00AA02E5" w:rsidRPr="00AA02E5" w:rsidRDefault="00AA02E5" w:rsidP="00AA02E5">
      <w:pPr>
        <w:spacing w:after="0" w:line="240" w:lineRule="auto"/>
        <w:rPr>
          <w:b/>
          <w:bCs/>
        </w:rPr>
      </w:pPr>
      <w:r w:rsidRPr="00AA02E5">
        <w:rPr>
          <w:b/>
          <w:bCs/>
        </w:rPr>
        <w:lastRenderedPageBreak/>
        <w:t>National Disability Insurance Agency</w:t>
      </w:r>
    </w:p>
    <w:p w14:paraId="475E4919" w14:textId="77777777" w:rsidR="00AA02E5" w:rsidRPr="00AA02E5" w:rsidRDefault="00AA02E5" w:rsidP="00AA02E5">
      <w:pPr>
        <w:spacing w:after="0" w:line="240" w:lineRule="auto"/>
        <w:rPr>
          <w:b/>
          <w:bCs/>
        </w:rPr>
      </w:pPr>
      <w:r w:rsidRPr="00AA02E5">
        <w:rPr>
          <w:b/>
          <w:bCs/>
        </w:rPr>
        <w:t>STATEMENT OF COMPREHENSIVE INCOME</w:t>
      </w:r>
    </w:p>
    <w:p w14:paraId="07271CA7" w14:textId="77777777" w:rsidR="00AA02E5" w:rsidRPr="00AA02E5" w:rsidRDefault="00AA02E5" w:rsidP="00C821EB">
      <w:pPr>
        <w:pBdr>
          <w:bottom w:val="single" w:sz="8" w:space="1" w:color="auto"/>
        </w:pBdr>
        <w:spacing w:line="240" w:lineRule="auto"/>
        <w:rPr>
          <w:i/>
          <w:iCs/>
        </w:rPr>
      </w:pPr>
      <w:r w:rsidRPr="00AA02E5">
        <w:rPr>
          <w:i/>
          <w:iCs/>
        </w:rPr>
        <w:t>for the year ended 30 June 2024</w:t>
      </w:r>
    </w:p>
    <w:p w14:paraId="1F0BBD86" w14:textId="77777777" w:rsidR="00520333" w:rsidRPr="007B1751" w:rsidRDefault="00520333" w:rsidP="006D688A">
      <w:pPr>
        <w:pStyle w:val="PolicyheadingDept"/>
        <w:pBdr>
          <w:top w:val="none" w:sz="0" w:space="0" w:color="auto"/>
          <w:left w:val="none" w:sz="0" w:space="0" w:color="auto"/>
          <w:bottom w:val="none" w:sz="0" w:space="0" w:color="auto"/>
          <w:right w:val="none" w:sz="0" w:space="0" w:color="auto"/>
        </w:pBdr>
        <w:spacing w:before="120"/>
      </w:pPr>
      <w:r w:rsidRPr="007B1751">
        <w:t xml:space="preserve">Budget Variances Commentary </w:t>
      </w:r>
    </w:p>
    <w:p w14:paraId="20728BD5" w14:textId="77777777" w:rsidR="00520333" w:rsidRDefault="00520333" w:rsidP="006D688A">
      <w:pPr>
        <w:pStyle w:val="PolicyheadingDept"/>
        <w:pBdr>
          <w:top w:val="none" w:sz="0" w:space="0" w:color="auto"/>
          <w:left w:val="none" w:sz="0" w:space="0" w:color="auto"/>
          <w:bottom w:val="none" w:sz="0" w:space="0" w:color="auto"/>
          <w:right w:val="none" w:sz="0" w:space="0" w:color="auto"/>
        </w:pBdr>
        <w:spacing w:before="120"/>
      </w:pPr>
      <w:r w:rsidRPr="00E12B5F">
        <w:t>Statement of Comprehensive Income</w:t>
      </w:r>
    </w:p>
    <w:p w14:paraId="656B2F29" w14:textId="77777777" w:rsidR="00520333" w:rsidRPr="006D688A" w:rsidRDefault="00520333" w:rsidP="00520333">
      <w:pPr>
        <w:spacing w:before="100" w:beforeAutospacing="1" w:after="0" w:line="240" w:lineRule="auto"/>
        <w:rPr>
          <w:rFonts w:cs="Arial"/>
          <w:sz w:val="18"/>
          <w:szCs w:val="18"/>
          <w:lang w:eastAsia="en-AU"/>
        </w:rPr>
      </w:pPr>
      <w:r w:rsidRPr="006D688A">
        <w:rPr>
          <w:rFonts w:cs="Arial"/>
          <w:sz w:val="18"/>
          <w:szCs w:val="18"/>
          <w:lang w:eastAsia="en-AU"/>
        </w:rPr>
        <w:t>The following major variance explanations between the Original Budget as presented in the 2023-24 Portfolio Budget Statements and the 2023–24 financial statements are presented in accordance with Australian Accounting Standards. The 2023–24 Portfolio Budget Statements contain the original financial statements’ budget estimates presented to Parliament in respect of the 2023–24 financial year. The information presented below should be read in the context of the following:</w:t>
      </w:r>
    </w:p>
    <w:p w14:paraId="5BFD2E5B" w14:textId="77777777" w:rsidR="00520333" w:rsidRPr="006D688A" w:rsidRDefault="00520333" w:rsidP="007D1B8F">
      <w:pPr>
        <w:spacing w:before="180" w:after="0" w:line="240" w:lineRule="auto"/>
        <w:rPr>
          <w:rFonts w:cs="Arial"/>
          <w:sz w:val="18"/>
          <w:szCs w:val="18"/>
          <w:lang w:eastAsia="en-AU"/>
        </w:rPr>
      </w:pPr>
      <w:r w:rsidRPr="006D688A">
        <w:rPr>
          <w:rFonts w:cs="Arial"/>
          <w:sz w:val="18"/>
          <w:szCs w:val="18"/>
          <w:lang w:eastAsia="en-AU"/>
        </w:rPr>
        <w:t>· major variances are determined in accordance with Department of Finance guidelines; and</w:t>
      </w:r>
    </w:p>
    <w:p w14:paraId="1AE83992" w14:textId="77777777" w:rsidR="00520333" w:rsidRPr="006D688A" w:rsidRDefault="00520333" w:rsidP="007D1B8F">
      <w:pPr>
        <w:spacing w:before="180" w:after="180" w:line="240" w:lineRule="auto"/>
        <w:rPr>
          <w:rFonts w:cs="Arial"/>
          <w:sz w:val="18"/>
          <w:szCs w:val="18"/>
          <w:lang w:eastAsia="en-AU"/>
        </w:rPr>
      </w:pPr>
      <w:r w:rsidRPr="006D688A">
        <w:rPr>
          <w:rFonts w:cs="Arial"/>
          <w:sz w:val="18"/>
          <w:szCs w:val="18"/>
          <w:lang w:eastAsia="en-AU"/>
        </w:rPr>
        <w:t>· the Budget is not audited.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98"/>
        <w:gridCol w:w="5756"/>
      </w:tblGrid>
      <w:tr w:rsidR="00520333" w:rsidRPr="006D688A" w14:paraId="320B4650" w14:textId="77777777" w:rsidTr="00AA02E5">
        <w:trPr>
          <w:trHeight w:val="273"/>
          <w:tblHeader/>
        </w:trPr>
        <w:tc>
          <w:tcPr>
            <w:tcW w:w="0" w:type="auto"/>
            <w:shd w:val="clear" w:color="000000" w:fill="FFFFFF"/>
            <w:noWrap/>
            <w:vAlign w:val="center"/>
            <w:hideMark/>
          </w:tcPr>
          <w:p w14:paraId="31CD21BB" w14:textId="77777777" w:rsidR="00520333" w:rsidRPr="006D688A" w:rsidRDefault="00520333" w:rsidP="005E5E0C">
            <w:pPr>
              <w:spacing w:after="0" w:line="240" w:lineRule="auto"/>
              <w:rPr>
                <w:rFonts w:cs="Arial"/>
                <w:b/>
                <w:bCs/>
                <w:color w:val="000000"/>
                <w:sz w:val="18"/>
                <w:szCs w:val="18"/>
                <w:lang w:eastAsia="en-AU"/>
              </w:rPr>
            </w:pPr>
            <w:r w:rsidRPr="006D688A">
              <w:rPr>
                <w:rFonts w:cs="Arial"/>
                <w:b/>
                <w:bCs/>
                <w:color w:val="000000"/>
                <w:sz w:val="18"/>
                <w:szCs w:val="18"/>
                <w:lang w:eastAsia="en-AU"/>
              </w:rPr>
              <w:t>Affected line items</w:t>
            </w:r>
          </w:p>
        </w:tc>
        <w:tc>
          <w:tcPr>
            <w:tcW w:w="0" w:type="auto"/>
            <w:shd w:val="clear" w:color="000000" w:fill="FFFFFF"/>
            <w:vAlign w:val="center"/>
            <w:hideMark/>
          </w:tcPr>
          <w:p w14:paraId="2593CC24" w14:textId="77777777" w:rsidR="00520333" w:rsidRPr="006D688A" w:rsidRDefault="00520333" w:rsidP="005E5E0C">
            <w:pPr>
              <w:spacing w:after="0" w:line="240" w:lineRule="auto"/>
              <w:rPr>
                <w:rFonts w:cs="Arial"/>
                <w:b/>
                <w:bCs/>
                <w:color w:val="000000"/>
                <w:sz w:val="18"/>
                <w:szCs w:val="18"/>
                <w:lang w:eastAsia="en-AU"/>
              </w:rPr>
            </w:pPr>
            <w:r w:rsidRPr="006D688A">
              <w:rPr>
                <w:rFonts w:cs="Arial"/>
                <w:b/>
                <w:bCs/>
                <w:color w:val="000000"/>
                <w:sz w:val="18"/>
                <w:szCs w:val="18"/>
                <w:lang w:eastAsia="en-AU"/>
              </w:rPr>
              <w:t>Explanations of major variances</w:t>
            </w:r>
          </w:p>
        </w:tc>
      </w:tr>
      <w:tr w:rsidR="00AA02E5" w:rsidRPr="006D688A" w14:paraId="494C7AE5" w14:textId="77777777" w:rsidTr="00753A44">
        <w:trPr>
          <w:trHeight w:val="1509"/>
        </w:trPr>
        <w:tc>
          <w:tcPr>
            <w:tcW w:w="0" w:type="auto"/>
            <w:shd w:val="clear" w:color="auto" w:fill="auto"/>
            <w:noWrap/>
          </w:tcPr>
          <w:p w14:paraId="75953E9B" w14:textId="77777777" w:rsidR="00AA02E5" w:rsidRPr="006D688A" w:rsidRDefault="00AA02E5" w:rsidP="005E5E0C">
            <w:pPr>
              <w:spacing w:after="0" w:line="240" w:lineRule="auto"/>
              <w:rPr>
                <w:rFonts w:cs="Arial"/>
                <w:color w:val="000000"/>
                <w:sz w:val="18"/>
                <w:szCs w:val="18"/>
                <w:lang w:eastAsia="en-AU"/>
              </w:rPr>
            </w:pPr>
            <w:r w:rsidRPr="006D688A">
              <w:rPr>
                <w:rFonts w:cs="Arial"/>
                <w:color w:val="000000"/>
                <w:sz w:val="18"/>
                <w:szCs w:val="18"/>
                <w:lang w:eastAsia="en-AU"/>
              </w:rPr>
              <w:t>Expenses</w:t>
            </w:r>
          </w:p>
          <w:p w14:paraId="798FAE73" w14:textId="77777777" w:rsidR="00AA02E5" w:rsidRPr="006D688A" w:rsidRDefault="00AA02E5" w:rsidP="005E5E0C">
            <w:pPr>
              <w:spacing w:after="0" w:line="240" w:lineRule="auto"/>
              <w:rPr>
                <w:rFonts w:cs="Arial"/>
                <w:i/>
                <w:iCs/>
                <w:color w:val="000000"/>
                <w:sz w:val="18"/>
                <w:szCs w:val="18"/>
                <w:lang w:eastAsia="en-AU"/>
              </w:rPr>
            </w:pPr>
            <w:r w:rsidRPr="006D688A">
              <w:rPr>
                <w:rFonts w:cs="Arial"/>
                <w:i/>
                <w:iCs/>
                <w:color w:val="000000"/>
                <w:sz w:val="18"/>
                <w:szCs w:val="18"/>
                <w:lang w:eastAsia="en-AU"/>
              </w:rPr>
              <w:t>Employee benefits</w:t>
            </w:r>
          </w:p>
        </w:tc>
        <w:tc>
          <w:tcPr>
            <w:tcW w:w="0" w:type="auto"/>
            <w:vAlign w:val="center"/>
          </w:tcPr>
          <w:p w14:paraId="18247295" w14:textId="77777777" w:rsidR="00AA02E5" w:rsidRPr="006D688A" w:rsidRDefault="00AA02E5" w:rsidP="0047225D">
            <w:pPr>
              <w:spacing w:after="60" w:line="240" w:lineRule="auto"/>
              <w:jc w:val="both"/>
              <w:rPr>
                <w:rFonts w:cs="Arial"/>
                <w:color w:val="0D0D0D"/>
                <w:sz w:val="18"/>
                <w:szCs w:val="18"/>
                <w:lang w:eastAsia="en-AU"/>
              </w:rPr>
            </w:pPr>
            <w:r w:rsidRPr="006D688A">
              <w:rPr>
                <w:rFonts w:cs="Arial"/>
                <w:color w:val="0D0D0D"/>
                <w:sz w:val="18"/>
                <w:szCs w:val="18"/>
                <w:lang w:eastAsia="en-AU"/>
              </w:rPr>
              <w:t xml:space="preserve">The increase is attributable to the average staffing levels for employees increasing during the year more than estimated in the Original Budget. The NDIS Act requires all decisions of the Agency that impact on participants may only be made by APS staff. The variance to Original Budget has arisen as the Agency has sought to prioritise its recruitment activity towards APS employees under the Government’s Strategic Commissioning Framework. </w:t>
            </w:r>
          </w:p>
        </w:tc>
      </w:tr>
      <w:tr w:rsidR="00520333" w:rsidRPr="006D688A" w14:paraId="5EA56059" w14:textId="77777777" w:rsidTr="00AA02E5">
        <w:trPr>
          <w:trHeight w:val="1527"/>
        </w:trPr>
        <w:tc>
          <w:tcPr>
            <w:tcW w:w="0" w:type="auto"/>
            <w:shd w:val="clear" w:color="auto" w:fill="auto"/>
            <w:noWrap/>
          </w:tcPr>
          <w:p w14:paraId="783ABCFE"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Expenses</w:t>
            </w:r>
          </w:p>
          <w:p w14:paraId="00715DFB" w14:textId="77777777" w:rsidR="00520333" w:rsidRPr="006D688A" w:rsidRDefault="00520333" w:rsidP="005E5E0C">
            <w:pPr>
              <w:spacing w:after="0" w:line="240" w:lineRule="auto"/>
              <w:rPr>
                <w:rFonts w:cs="Arial"/>
                <w:color w:val="000000"/>
                <w:sz w:val="18"/>
                <w:szCs w:val="18"/>
                <w:lang w:eastAsia="en-AU"/>
              </w:rPr>
            </w:pPr>
            <w:r w:rsidRPr="006D688A">
              <w:rPr>
                <w:rFonts w:cs="Arial"/>
                <w:i/>
                <w:iCs/>
                <w:color w:val="000000"/>
                <w:sz w:val="18"/>
                <w:szCs w:val="18"/>
                <w:lang w:eastAsia="en-AU"/>
              </w:rPr>
              <w:t>Suppliers, Community partnership costs</w:t>
            </w:r>
          </w:p>
        </w:tc>
        <w:tc>
          <w:tcPr>
            <w:tcW w:w="0" w:type="auto"/>
            <w:vAlign w:val="center"/>
          </w:tcPr>
          <w:p w14:paraId="182F037C" w14:textId="77777777" w:rsidR="00520333" w:rsidRPr="006D688A" w:rsidRDefault="00520333" w:rsidP="0047225D">
            <w:pPr>
              <w:spacing w:after="60" w:line="240" w:lineRule="auto"/>
              <w:jc w:val="both"/>
              <w:rPr>
                <w:rFonts w:cs="Arial"/>
                <w:color w:val="0D0D0D"/>
                <w:sz w:val="18"/>
                <w:szCs w:val="18"/>
                <w:lang w:eastAsia="en-AU"/>
              </w:rPr>
            </w:pPr>
            <w:r w:rsidRPr="006D688A">
              <w:rPr>
                <w:rFonts w:cs="Arial"/>
                <w:color w:val="0D0D0D"/>
                <w:sz w:val="18"/>
                <w:szCs w:val="18"/>
                <w:lang w:eastAsia="en-AU"/>
              </w:rPr>
              <w:t xml:space="preserve">The Commonwealth Budget process does not allow for the separate reporting of community partnership costs and supplier expenses. As a result, these are budgeted together against supplier expenses. For actuals purposes, the agency has split these out to provide greater clarity for users. The variance to Original Budget is primarily driven by the Agency’s decision to prioritise its incoming recruitment activity towards APS employees and away from labour hire / contract arrangements. </w:t>
            </w:r>
          </w:p>
        </w:tc>
      </w:tr>
      <w:tr w:rsidR="00520333" w:rsidRPr="006D688A" w14:paraId="6CD4C239" w14:textId="77777777" w:rsidTr="00AA02E5">
        <w:trPr>
          <w:trHeight w:val="698"/>
        </w:trPr>
        <w:tc>
          <w:tcPr>
            <w:tcW w:w="0" w:type="auto"/>
            <w:shd w:val="clear" w:color="auto" w:fill="auto"/>
            <w:noWrap/>
          </w:tcPr>
          <w:p w14:paraId="096E136F"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Expenses</w:t>
            </w:r>
          </w:p>
          <w:p w14:paraId="5EEC4411"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Participant plan expenses</w:t>
            </w:r>
          </w:p>
        </w:tc>
        <w:tc>
          <w:tcPr>
            <w:tcW w:w="0" w:type="auto"/>
            <w:vAlign w:val="center"/>
          </w:tcPr>
          <w:p w14:paraId="28FC299A" w14:textId="77777777" w:rsidR="00520333" w:rsidRPr="006D688A" w:rsidRDefault="00520333" w:rsidP="0047225D">
            <w:pPr>
              <w:spacing w:after="60" w:line="240" w:lineRule="auto"/>
              <w:jc w:val="both"/>
              <w:rPr>
                <w:rFonts w:cs="Arial"/>
                <w:color w:val="000000"/>
                <w:sz w:val="18"/>
                <w:szCs w:val="18"/>
                <w:lang w:eastAsia="en-AU"/>
              </w:rPr>
            </w:pPr>
            <w:r w:rsidRPr="006D688A">
              <w:rPr>
                <w:rFonts w:cs="Arial"/>
                <w:color w:val="000000"/>
                <w:sz w:val="18"/>
                <w:szCs w:val="18"/>
                <w:lang w:eastAsia="en-AU"/>
              </w:rPr>
              <w:t>Compared to what was projected at the time of the 2023-24 Budget, the Scheme has experienced higher participant plan expenses. This was due to higher than anticipated average package costs. These expenses were funded through two additional appropriations provided in Appropriation Acts 3 and 5 2023-24, as described below under “Rendering of services”.</w:t>
            </w:r>
          </w:p>
        </w:tc>
      </w:tr>
      <w:tr w:rsidR="00520333" w:rsidRPr="006D688A" w14:paraId="65EFC123" w14:textId="77777777" w:rsidTr="00AA02E5">
        <w:trPr>
          <w:trHeight w:val="794"/>
        </w:trPr>
        <w:tc>
          <w:tcPr>
            <w:tcW w:w="0" w:type="auto"/>
            <w:shd w:val="clear" w:color="auto" w:fill="auto"/>
            <w:noWrap/>
          </w:tcPr>
          <w:p w14:paraId="392BF746"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Own-source revenue</w:t>
            </w:r>
          </w:p>
          <w:p w14:paraId="66BA07ED" w14:textId="77777777" w:rsidR="00520333" w:rsidRPr="006D688A" w:rsidRDefault="00520333" w:rsidP="005E5E0C">
            <w:pPr>
              <w:spacing w:after="0" w:line="240" w:lineRule="auto"/>
              <w:rPr>
                <w:rFonts w:cs="Arial"/>
                <w:color w:val="000000"/>
                <w:sz w:val="18"/>
                <w:szCs w:val="18"/>
                <w:lang w:eastAsia="en-AU"/>
              </w:rPr>
            </w:pPr>
            <w:r w:rsidRPr="006D688A">
              <w:rPr>
                <w:rFonts w:cs="Arial"/>
                <w:i/>
                <w:iCs/>
                <w:color w:val="000000"/>
                <w:sz w:val="18"/>
                <w:szCs w:val="18"/>
                <w:lang w:eastAsia="en-AU"/>
              </w:rPr>
              <w:t>Rendering of Services</w:t>
            </w:r>
          </w:p>
        </w:tc>
        <w:tc>
          <w:tcPr>
            <w:tcW w:w="0" w:type="auto"/>
          </w:tcPr>
          <w:p w14:paraId="09CF0497" w14:textId="77777777" w:rsidR="00520333" w:rsidRPr="006D688A" w:rsidRDefault="00520333" w:rsidP="0047225D">
            <w:pPr>
              <w:spacing w:after="60" w:line="240" w:lineRule="auto"/>
              <w:rPr>
                <w:rFonts w:cs="Arial"/>
                <w:color w:val="0D0D0D"/>
                <w:sz w:val="18"/>
                <w:szCs w:val="18"/>
                <w:lang w:eastAsia="en-AU"/>
              </w:rPr>
            </w:pPr>
            <w:r w:rsidRPr="006D688A">
              <w:rPr>
                <w:rFonts w:cs="Arial"/>
                <w:color w:val="0D0D0D"/>
                <w:sz w:val="18"/>
                <w:szCs w:val="18"/>
                <w:lang w:eastAsia="en-AU"/>
              </w:rPr>
              <w:t>Additional funding of $2,405.4M was provided by the Government additional estimate processes. This was offset by greater than expected growth in in-kind revenue.</w:t>
            </w:r>
          </w:p>
        </w:tc>
      </w:tr>
      <w:tr w:rsidR="00520333" w:rsidRPr="006D688A" w14:paraId="03804BAC" w14:textId="77777777" w:rsidTr="00AA02E5">
        <w:trPr>
          <w:trHeight w:val="819"/>
        </w:trPr>
        <w:tc>
          <w:tcPr>
            <w:tcW w:w="0" w:type="auto"/>
            <w:shd w:val="clear" w:color="auto" w:fill="auto"/>
            <w:noWrap/>
          </w:tcPr>
          <w:p w14:paraId="39D142F7"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Own-source revenue</w:t>
            </w:r>
          </w:p>
          <w:p w14:paraId="2C02E31C" w14:textId="77777777" w:rsidR="00520333" w:rsidRPr="006D688A" w:rsidRDefault="00520333" w:rsidP="005E5E0C">
            <w:pPr>
              <w:spacing w:after="0" w:line="240" w:lineRule="auto"/>
              <w:rPr>
                <w:rFonts w:cs="Arial"/>
                <w:color w:val="000000"/>
                <w:sz w:val="18"/>
                <w:szCs w:val="18"/>
                <w:lang w:eastAsia="en-AU"/>
              </w:rPr>
            </w:pPr>
            <w:r w:rsidRPr="006D688A">
              <w:rPr>
                <w:rFonts w:cs="Arial"/>
                <w:i/>
                <w:iCs/>
                <w:color w:val="000000"/>
                <w:sz w:val="18"/>
                <w:szCs w:val="18"/>
                <w:lang w:eastAsia="en-AU"/>
              </w:rPr>
              <w:t>Other revenue</w:t>
            </w:r>
          </w:p>
        </w:tc>
        <w:tc>
          <w:tcPr>
            <w:tcW w:w="0" w:type="auto"/>
            <w:vAlign w:val="center"/>
          </w:tcPr>
          <w:p w14:paraId="05CF79CC" w14:textId="77777777" w:rsidR="00520333" w:rsidRPr="006D688A" w:rsidRDefault="00520333" w:rsidP="0047225D">
            <w:pPr>
              <w:spacing w:after="60" w:line="240" w:lineRule="auto"/>
              <w:jc w:val="both"/>
              <w:rPr>
                <w:rFonts w:cs="Arial"/>
                <w:color w:val="0D0D0D"/>
                <w:sz w:val="18"/>
                <w:szCs w:val="18"/>
                <w:lang w:eastAsia="en-AU"/>
              </w:rPr>
            </w:pPr>
            <w:r w:rsidRPr="006D688A">
              <w:rPr>
                <w:rFonts w:cs="Arial"/>
                <w:color w:val="0D0D0D"/>
                <w:sz w:val="18"/>
                <w:szCs w:val="18"/>
                <w:lang w:eastAsia="en-AU"/>
              </w:rPr>
              <w:t>Compensation receipts are calculated on a case by case basis making it difficult to budget. The Original Budget figure was based on estimates of recoveries associated with the Fraud Fusion Taskforce measure contained in the October 2022-23 budget, however these recoveries were instead to be realised through law enforcement agencies rather than flowing through the Agency.</w:t>
            </w:r>
          </w:p>
        </w:tc>
      </w:tr>
      <w:tr w:rsidR="00520333" w:rsidRPr="006D688A" w14:paraId="28992D2A" w14:textId="77777777" w:rsidTr="00AA02E5">
        <w:trPr>
          <w:cantSplit/>
          <w:trHeight w:val="547"/>
        </w:trPr>
        <w:tc>
          <w:tcPr>
            <w:tcW w:w="0" w:type="auto"/>
            <w:shd w:val="clear" w:color="auto" w:fill="auto"/>
            <w:noWrap/>
          </w:tcPr>
          <w:p w14:paraId="6BE3C0AD"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Own-source revenue</w:t>
            </w:r>
          </w:p>
          <w:p w14:paraId="1B6399B9" w14:textId="77777777" w:rsidR="00520333" w:rsidRPr="006D688A" w:rsidRDefault="00520333" w:rsidP="005E5E0C">
            <w:pPr>
              <w:spacing w:after="0" w:line="240" w:lineRule="auto"/>
              <w:rPr>
                <w:rFonts w:cs="Arial"/>
                <w:color w:val="000000"/>
                <w:sz w:val="18"/>
                <w:szCs w:val="18"/>
                <w:lang w:eastAsia="en-AU"/>
              </w:rPr>
            </w:pPr>
            <w:r w:rsidRPr="006D688A">
              <w:rPr>
                <w:rFonts w:cs="Arial"/>
                <w:i/>
                <w:iCs/>
                <w:color w:val="000000"/>
                <w:sz w:val="18"/>
                <w:szCs w:val="18"/>
                <w:lang w:eastAsia="en-AU"/>
              </w:rPr>
              <w:t>Interest</w:t>
            </w:r>
          </w:p>
        </w:tc>
        <w:tc>
          <w:tcPr>
            <w:tcW w:w="0" w:type="auto"/>
            <w:vAlign w:val="center"/>
          </w:tcPr>
          <w:p w14:paraId="570CFED6" w14:textId="77777777" w:rsidR="00520333" w:rsidRPr="006D688A" w:rsidRDefault="00520333" w:rsidP="0047225D">
            <w:pPr>
              <w:spacing w:after="60" w:line="240" w:lineRule="auto"/>
              <w:jc w:val="both"/>
              <w:rPr>
                <w:rFonts w:cs="Arial"/>
                <w:color w:val="0D0D0D"/>
                <w:sz w:val="18"/>
                <w:szCs w:val="18"/>
                <w:lang w:eastAsia="en-AU"/>
              </w:rPr>
            </w:pPr>
            <w:r w:rsidRPr="006D688A">
              <w:rPr>
                <w:rFonts w:cs="Arial"/>
                <w:color w:val="0D0D0D"/>
                <w:sz w:val="18"/>
                <w:szCs w:val="18"/>
                <w:lang w:eastAsia="en-AU"/>
              </w:rPr>
              <w:t>The increase in interest revenue reflects higher than anticipated interest rates.</w:t>
            </w:r>
          </w:p>
        </w:tc>
      </w:tr>
      <w:tr w:rsidR="00520333" w:rsidRPr="006D688A" w14:paraId="56671992" w14:textId="77777777" w:rsidTr="007D1B8F">
        <w:trPr>
          <w:trHeight w:val="629"/>
        </w:trPr>
        <w:tc>
          <w:tcPr>
            <w:tcW w:w="0" w:type="auto"/>
            <w:shd w:val="clear" w:color="auto" w:fill="auto"/>
            <w:noWrap/>
            <w:hideMark/>
          </w:tcPr>
          <w:p w14:paraId="17665A6F" w14:textId="77777777" w:rsidR="00520333" w:rsidRPr="006D688A" w:rsidRDefault="00520333" w:rsidP="005E5E0C">
            <w:pPr>
              <w:spacing w:after="0" w:line="240" w:lineRule="auto"/>
              <w:jc w:val="both"/>
              <w:rPr>
                <w:rFonts w:cs="Arial"/>
                <w:i/>
                <w:iCs/>
                <w:color w:val="000000"/>
                <w:sz w:val="18"/>
                <w:szCs w:val="18"/>
                <w:lang w:eastAsia="en-AU"/>
              </w:rPr>
            </w:pPr>
            <w:r w:rsidRPr="006D688A">
              <w:rPr>
                <w:rFonts w:cs="Arial"/>
                <w:color w:val="000000"/>
                <w:sz w:val="18"/>
                <w:szCs w:val="18"/>
                <w:lang w:eastAsia="en-AU"/>
              </w:rPr>
              <w:t>Gains</w:t>
            </w:r>
            <w:r w:rsidRPr="006D688A" w:rsidDel="00CA46D0">
              <w:rPr>
                <w:rFonts w:cs="Arial"/>
                <w:i/>
                <w:iCs/>
                <w:color w:val="000000"/>
                <w:sz w:val="18"/>
                <w:szCs w:val="18"/>
                <w:lang w:eastAsia="en-AU"/>
              </w:rPr>
              <w:t xml:space="preserve"> </w:t>
            </w:r>
          </w:p>
          <w:p w14:paraId="4CA81450" w14:textId="77777777" w:rsidR="00520333" w:rsidRPr="006D688A" w:rsidRDefault="00520333" w:rsidP="005E5E0C">
            <w:pPr>
              <w:spacing w:after="0" w:line="240" w:lineRule="auto"/>
              <w:rPr>
                <w:rFonts w:cs="Arial"/>
                <w:i/>
                <w:iCs/>
                <w:color w:val="000000"/>
                <w:sz w:val="18"/>
                <w:szCs w:val="18"/>
                <w:lang w:eastAsia="en-AU"/>
              </w:rPr>
            </w:pPr>
            <w:r w:rsidRPr="006D688A">
              <w:rPr>
                <w:rFonts w:cs="Arial"/>
                <w:i/>
                <w:iCs/>
                <w:color w:val="000000"/>
                <w:sz w:val="18"/>
                <w:szCs w:val="18"/>
                <w:lang w:eastAsia="en-AU"/>
              </w:rPr>
              <w:t>Other gains</w:t>
            </w:r>
          </w:p>
        </w:tc>
        <w:tc>
          <w:tcPr>
            <w:tcW w:w="0" w:type="auto"/>
          </w:tcPr>
          <w:p w14:paraId="67201F8C" w14:textId="77777777" w:rsidR="00520333" w:rsidRPr="006D688A" w:rsidRDefault="00520333" w:rsidP="0047225D">
            <w:pPr>
              <w:spacing w:after="60" w:line="240" w:lineRule="auto"/>
              <w:rPr>
                <w:rFonts w:cs="Arial"/>
                <w:color w:val="0D0D0D"/>
                <w:sz w:val="18"/>
                <w:szCs w:val="18"/>
                <w:lang w:eastAsia="en-AU"/>
              </w:rPr>
            </w:pPr>
            <w:r w:rsidRPr="006D688A">
              <w:rPr>
                <w:rFonts w:cs="Arial"/>
                <w:color w:val="0D0D0D"/>
                <w:sz w:val="18"/>
                <w:szCs w:val="18"/>
                <w:lang w:eastAsia="en-AU"/>
              </w:rPr>
              <w:t>Other gains include in-kind contributions made to the Scheme by state and territory governments. The Original Budget did not anticipate extensions to in-kind arrangements.</w:t>
            </w:r>
          </w:p>
        </w:tc>
      </w:tr>
      <w:tr w:rsidR="00520333" w:rsidRPr="006D688A" w14:paraId="629CB50F" w14:textId="77777777" w:rsidTr="00AA02E5">
        <w:trPr>
          <w:trHeight w:val="104"/>
        </w:trPr>
        <w:tc>
          <w:tcPr>
            <w:tcW w:w="0" w:type="auto"/>
            <w:shd w:val="clear" w:color="auto" w:fill="auto"/>
            <w:noWrap/>
          </w:tcPr>
          <w:p w14:paraId="4C4CDC77"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Revenue from Government</w:t>
            </w:r>
          </w:p>
          <w:p w14:paraId="3BB2A6AF" w14:textId="77777777" w:rsidR="00520333" w:rsidRPr="006D688A" w:rsidRDefault="00520333" w:rsidP="005E5E0C">
            <w:pPr>
              <w:spacing w:after="0" w:line="240" w:lineRule="auto"/>
              <w:rPr>
                <w:rFonts w:cs="Arial"/>
                <w:i/>
                <w:iCs/>
                <w:color w:val="000000"/>
                <w:sz w:val="18"/>
                <w:szCs w:val="18"/>
                <w:lang w:eastAsia="en-AU"/>
              </w:rPr>
            </w:pPr>
            <w:r w:rsidRPr="006D688A">
              <w:rPr>
                <w:rFonts w:cs="Arial"/>
                <w:i/>
                <w:iCs/>
                <w:color w:val="000000"/>
                <w:sz w:val="18"/>
                <w:szCs w:val="18"/>
                <w:lang w:eastAsia="en-AU"/>
              </w:rPr>
              <w:t>Revenue from Government</w:t>
            </w:r>
          </w:p>
        </w:tc>
        <w:tc>
          <w:tcPr>
            <w:tcW w:w="0" w:type="auto"/>
            <w:vAlign w:val="center"/>
          </w:tcPr>
          <w:p w14:paraId="4FB15F2A" w14:textId="77777777" w:rsidR="00520333" w:rsidRPr="006D688A" w:rsidDel="00DF3A9E" w:rsidRDefault="00520333" w:rsidP="0047225D">
            <w:pPr>
              <w:spacing w:after="60" w:line="240" w:lineRule="auto"/>
              <w:jc w:val="both"/>
              <w:rPr>
                <w:rFonts w:cs="Arial"/>
                <w:color w:val="0D0D0D"/>
                <w:sz w:val="18"/>
                <w:szCs w:val="18"/>
                <w:lang w:eastAsia="en-AU"/>
              </w:rPr>
            </w:pPr>
            <w:r w:rsidRPr="006D688A">
              <w:rPr>
                <w:rFonts w:cs="Arial"/>
                <w:color w:val="0D0D0D"/>
                <w:sz w:val="18"/>
                <w:szCs w:val="18"/>
                <w:lang w:eastAsia="en-AU"/>
              </w:rPr>
              <w:t>The Original Budget did not anticipate the additional funding received by the Agency through Appropriation Acts 3 and 5 of 2023-24 for Additional Estimates and Supplementary Additional Estimates measures.</w:t>
            </w:r>
          </w:p>
        </w:tc>
      </w:tr>
      <w:tr w:rsidR="00520333" w:rsidRPr="006D688A" w14:paraId="0C2D24F3" w14:textId="77777777" w:rsidTr="00AA02E5">
        <w:trPr>
          <w:trHeight w:val="104"/>
        </w:trPr>
        <w:tc>
          <w:tcPr>
            <w:tcW w:w="0" w:type="auto"/>
            <w:shd w:val="clear" w:color="auto" w:fill="auto"/>
            <w:noWrap/>
          </w:tcPr>
          <w:p w14:paraId="30DAE262" w14:textId="77777777" w:rsidR="00520333" w:rsidRPr="006D688A" w:rsidRDefault="00520333" w:rsidP="005E5E0C">
            <w:pPr>
              <w:spacing w:after="0" w:line="240" w:lineRule="auto"/>
              <w:rPr>
                <w:rFonts w:cs="Arial"/>
                <w:color w:val="000000"/>
                <w:sz w:val="18"/>
                <w:szCs w:val="18"/>
                <w:lang w:eastAsia="en-AU"/>
              </w:rPr>
            </w:pPr>
            <w:r w:rsidRPr="006D688A">
              <w:rPr>
                <w:rFonts w:cs="Arial"/>
                <w:color w:val="000000"/>
                <w:sz w:val="18"/>
                <w:szCs w:val="18"/>
                <w:lang w:eastAsia="en-AU"/>
              </w:rPr>
              <w:t>Other Comprehensive Income</w:t>
            </w:r>
          </w:p>
          <w:p w14:paraId="582B8C96" w14:textId="77777777" w:rsidR="00520333" w:rsidRPr="006D688A" w:rsidRDefault="00520333" w:rsidP="005E5E0C">
            <w:pPr>
              <w:spacing w:after="0" w:line="240" w:lineRule="auto"/>
              <w:rPr>
                <w:rFonts w:cs="Arial"/>
                <w:color w:val="000000"/>
                <w:sz w:val="18"/>
                <w:szCs w:val="18"/>
                <w:lang w:eastAsia="en-AU"/>
              </w:rPr>
            </w:pPr>
            <w:r w:rsidRPr="006D688A">
              <w:rPr>
                <w:rFonts w:cs="Arial"/>
                <w:i/>
                <w:iCs/>
                <w:color w:val="000000"/>
                <w:sz w:val="18"/>
                <w:szCs w:val="18"/>
                <w:lang w:eastAsia="en-AU"/>
              </w:rPr>
              <w:t>Changes in asset revaluation reserve</w:t>
            </w:r>
          </w:p>
        </w:tc>
        <w:tc>
          <w:tcPr>
            <w:tcW w:w="0" w:type="auto"/>
            <w:vAlign w:val="center"/>
          </w:tcPr>
          <w:p w14:paraId="19BD3F2B" w14:textId="77777777" w:rsidR="00520333" w:rsidRPr="006D688A" w:rsidRDefault="00520333" w:rsidP="0047225D">
            <w:pPr>
              <w:spacing w:after="60" w:line="240" w:lineRule="auto"/>
              <w:jc w:val="both"/>
              <w:rPr>
                <w:rFonts w:cs="Arial"/>
                <w:color w:val="0D0D0D"/>
                <w:sz w:val="18"/>
                <w:szCs w:val="18"/>
                <w:lang w:eastAsia="en-AU"/>
              </w:rPr>
            </w:pPr>
            <w:r w:rsidRPr="006D688A">
              <w:rPr>
                <w:rFonts w:cs="Arial"/>
                <w:color w:val="0D0D0D"/>
                <w:sz w:val="18"/>
                <w:szCs w:val="18"/>
                <w:lang w:eastAsia="en-AU"/>
              </w:rPr>
              <w:t>The external revaluation of the Agency's leasehold improvements resulted in a revaluation increment of $8.6m during the year. This could not be contemplated at the time the Original Budget was constructed.</w:t>
            </w:r>
          </w:p>
        </w:tc>
      </w:tr>
    </w:tbl>
    <w:p w14:paraId="3AEF26F7" w14:textId="77777777" w:rsidR="00520333" w:rsidRDefault="00520333" w:rsidP="003203A1">
      <w:pPr>
        <w:pStyle w:val="ReferenceText"/>
        <w:sectPr w:rsidR="00520333" w:rsidSect="007D1B8F">
          <w:headerReference w:type="default" r:id="rId45"/>
          <w:footerReference w:type="default" r:id="rId46"/>
          <w:pgSz w:w="11906" w:h="16838" w:code="9"/>
          <w:pgMar w:top="1361" w:right="1361" w:bottom="1361" w:left="1361" w:header="561" w:footer="374" w:gutter="0"/>
          <w:cols w:space="708"/>
          <w:docGrid w:linePitch="360"/>
        </w:sectPr>
      </w:pPr>
    </w:p>
    <w:p w14:paraId="155A11CF" w14:textId="77777777" w:rsidR="00AA02E5" w:rsidRPr="00AA02E5" w:rsidRDefault="00AA02E5" w:rsidP="00AA02E5">
      <w:pPr>
        <w:spacing w:after="0" w:line="240" w:lineRule="auto"/>
        <w:rPr>
          <w:b/>
          <w:bCs/>
        </w:rPr>
      </w:pPr>
      <w:r w:rsidRPr="00AA02E5">
        <w:rPr>
          <w:b/>
          <w:bCs/>
        </w:rPr>
        <w:lastRenderedPageBreak/>
        <w:t>National Disability Insurance Agency</w:t>
      </w:r>
    </w:p>
    <w:p w14:paraId="3B69DD49" w14:textId="29824D74" w:rsidR="00AA02E5" w:rsidRPr="00AA02E5" w:rsidRDefault="00AA02E5" w:rsidP="00AA02E5">
      <w:pPr>
        <w:spacing w:after="0" w:line="240" w:lineRule="auto"/>
        <w:rPr>
          <w:b/>
          <w:bCs/>
        </w:rPr>
      </w:pPr>
      <w:r w:rsidRPr="00AA02E5">
        <w:rPr>
          <w:b/>
          <w:bCs/>
        </w:rPr>
        <w:t xml:space="preserve">STATEMENT OF </w:t>
      </w:r>
      <w:r>
        <w:rPr>
          <w:b/>
          <w:bCs/>
        </w:rPr>
        <w:t>FINANCIAL POSITION</w:t>
      </w:r>
    </w:p>
    <w:p w14:paraId="675AFE00" w14:textId="2304FB10" w:rsidR="00AA02E5" w:rsidRPr="00AA02E5" w:rsidRDefault="006D688A" w:rsidP="00C821EB">
      <w:pPr>
        <w:pBdr>
          <w:bottom w:val="single" w:sz="8" w:space="1" w:color="auto"/>
        </w:pBdr>
        <w:spacing w:line="240" w:lineRule="auto"/>
        <w:rPr>
          <w:i/>
          <w:iCs/>
        </w:rPr>
      </w:pPr>
      <w:r>
        <w:rPr>
          <w:i/>
          <w:iCs/>
        </w:rPr>
        <w:t>as at</w:t>
      </w:r>
      <w:r w:rsidR="00AA02E5" w:rsidRPr="00AA02E5">
        <w:rPr>
          <w:i/>
          <w:iCs/>
        </w:rPr>
        <w:t xml:space="preserve"> 30 June 2024</w:t>
      </w:r>
    </w:p>
    <w:tbl>
      <w:tblPr>
        <w:tblW w:w="9087" w:type="dxa"/>
        <w:tblLayout w:type="fixed"/>
        <w:tblCellMar>
          <w:left w:w="57" w:type="dxa"/>
          <w:right w:w="57" w:type="dxa"/>
        </w:tblCellMar>
        <w:tblLook w:val="04A0" w:firstRow="1" w:lastRow="0" w:firstColumn="1" w:lastColumn="0" w:noHBand="0" w:noVBand="1"/>
      </w:tblPr>
      <w:tblGrid>
        <w:gridCol w:w="4224"/>
        <w:gridCol w:w="1273"/>
        <w:gridCol w:w="1046"/>
        <w:gridCol w:w="236"/>
        <w:gridCol w:w="1036"/>
        <w:gridCol w:w="236"/>
        <w:gridCol w:w="1036"/>
      </w:tblGrid>
      <w:tr w:rsidR="00520333" w:rsidRPr="006D688A" w14:paraId="23D877B3" w14:textId="77777777" w:rsidTr="005E5E0C">
        <w:trPr>
          <w:trHeight w:val="500"/>
        </w:trPr>
        <w:tc>
          <w:tcPr>
            <w:tcW w:w="4224" w:type="dxa"/>
            <w:tcBorders>
              <w:top w:val="single" w:sz="8" w:space="0" w:color="800080"/>
              <w:left w:val="nil"/>
              <w:bottom w:val="nil"/>
              <w:right w:val="nil"/>
            </w:tcBorders>
            <w:shd w:val="clear" w:color="FFFFFF" w:fill="FFFFFF"/>
            <w:noWrap/>
            <w:vAlign w:val="bottom"/>
            <w:hideMark/>
          </w:tcPr>
          <w:p w14:paraId="03B69D69" w14:textId="77777777" w:rsidR="00520333" w:rsidRPr="006D688A" w:rsidRDefault="00520333" w:rsidP="005E5E0C">
            <w:pPr>
              <w:spacing w:after="0"/>
              <w:rPr>
                <w:rFonts w:cs="Arial"/>
                <w:sz w:val="18"/>
                <w:szCs w:val="18"/>
              </w:rPr>
            </w:pPr>
            <w:bookmarkStart w:id="112" w:name="Note_DBSTABLE1" w:colFirst="0" w:colLast="0"/>
            <w:r w:rsidRPr="006D688A">
              <w:rPr>
                <w:rFonts w:cs="Arial"/>
                <w:sz w:val="18"/>
                <w:szCs w:val="18"/>
              </w:rPr>
              <w:t> </w:t>
            </w:r>
          </w:p>
        </w:tc>
        <w:tc>
          <w:tcPr>
            <w:tcW w:w="1273" w:type="dxa"/>
            <w:tcBorders>
              <w:top w:val="single" w:sz="8" w:space="0" w:color="800080"/>
              <w:left w:val="nil"/>
              <w:bottom w:val="nil"/>
              <w:right w:val="nil"/>
            </w:tcBorders>
            <w:shd w:val="clear" w:color="FFFFFF" w:fill="FFFFFF"/>
            <w:noWrap/>
            <w:vAlign w:val="bottom"/>
            <w:hideMark/>
          </w:tcPr>
          <w:p w14:paraId="0FC18A28" w14:textId="77777777" w:rsidR="00520333" w:rsidRPr="006D688A" w:rsidRDefault="00520333" w:rsidP="005E5E0C">
            <w:pPr>
              <w:spacing w:after="0"/>
              <w:rPr>
                <w:rFonts w:cs="Arial"/>
                <w:sz w:val="18"/>
                <w:szCs w:val="18"/>
              </w:rPr>
            </w:pPr>
            <w:r w:rsidRPr="006D688A">
              <w:rPr>
                <w:rFonts w:cs="Arial"/>
                <w:sz w:val="18"/>
                <w:szCs w:val="18"/>
              </w:rPr>
              <w:t> </w:t>
            </w:r>
          </w:p>
        </w:tc>
        <w:tc>
          <w:tcPr>
            <w:tcW w:w="1046" w:type="dxa"/>
            <w:tcBorders>
              <w:top w:val="single" w:sz="8" w:space="0" w:color="800080"/>
              <w:left w:val="nil"/>
              <w:bottom w:val="nil"/>
              <w:right w:val="nil"/>
            </w:tcBorders>
            <w:shd w:val="clear" w:color="FFFFFF" w:fill="FFFFFF"/>
            <w:noWrap/>
            <w:vAlign w:val="bottom"/>
            <w:hideMark/>
          </w:tcPr>
          <w:p w14:paraId="0EDDDF2D"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single" w:sz="8" w:space="0" w:color="800080"/>
              <w:left w:val="nil"/>
              <w:bottom w:val="nil"/>
              <w:right w:val="nil"/>
            </w:tcBorders>
            <w:shd w:val="clear" w:color="FFFFFF" w:fill="FFFFFF"/>
            <w:noWrap/>
            <w:vAlign w:val="bottom"/>
            <w:hideMark/>
          </w:tcPr>
          <w:p w14:paraId="70C76F20"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8" w:space="0" w:color="800080"/>
              <w:left w:val="nil"/>
              <w:bottom w:val="nil"/>
              <w:right w:val="nil"/>
            </w:tcBorders>
            <w:shd w:val="clear" w:color="FFFFFF" w:fill="FFFFFF"/>
            <w:noWrap/>
            <w:vAlign w:val="bottom"/>
            <w:hideMark/>
          </w:tcPr>
          <w:p w14:paraId="2DFF1E28"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single" w:sz="8" w:space="0" w:color="800080"/>
              <w:left w:val="nil"/>
              <w:bottom w:val="nil"/>
              <w:right w:val="nil"/>
            </w:tcBorders>
            <w:shd w:val="clear" w:color="FFFFFF" w:fill="FFFFFF"/>
            <w:noWrap/>
            <w:vAlign w:val="bottom"/>
            <w:hideMark/>
          </w:tcPr>
          <w:p w14:paraId="2F349E0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8" w:space="0" w:color="800080"/>
              <w:left w:val="nil"/>
              <w:bottom w:val="nil"/>
              <w:right w:val="nil"/>
            </w:tcBorders>
            <w:shd w:val="clear" w:color="FFFFFF" w:fill="FFFFFF"/>
            <w:vAlign w:val="bottom"/>
            <w:hideMark/>
          </w:tcPr>
          <w:p w14:paraId="109E4C0E" w14:textId="77777777" w:rsidR="00520333" w:rsidRPr="006D688A" w:rsidRDefault="00520333" w:rsidP="005E5E0C">
            <w:pPr>
              <w:spacing w:after="0"/>
              <w:jc w:val="right"/>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r>
      <w:bookmarkEnd w:id="112"/>
      <w:tr w:rsidR="00520333" w:rsidRPr="006D688A" w14:paraId="14BB5A27" w14:textId="77777777" w:rsidTr="005E5E0C">
        <w:trPr>
          <w:trHeight w:val="260"/>
        </w:trPr>
        <w:tc>
          <w:tcPr>
            <w:tcW w:w="4224" w:type="dxa"/>
            <w:tcBorders>
              <w:top w:val="nil"/>
              <w:left w:val="nil"/>
              <w:bottom w:val="nil"/>
              <w:right w:val="nil"/>
            </w:tcBorders>
            <w:shd w:val="clear" w:color="FFFFFF" w:fill="FFFFFF"/>
            <w:noWrap/>
            <w:vAlign w:val="bottom"/>
            <w:hideMark/>
          </w:tcPr>
          <w:p w14:paraId="4274D3DC"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16F083DA" w14:textId="77777777" w:rsidR="00520333" w:rsidRPr="006D688A" w:rsidRDefault="00520333" w:rsidP="005E5E0C">
            <w:pPr>
              <w:spacing w:after="0"/>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23FF0F60" w14:textId="77777777" w:rsidR="00520333" w:rsidRPr="006D688A" w:rsidRDefault="00520333" w:rsidP="005E5E0C">
            <w:pPr>
              <w:spacing w:after="0"/>
              <w:jc w:val="right"/>
              <w:rPr>
                <w:rFonts w:cs="Arial"/>
                <w:b/>
                <w:bCs/>
                <w:sz w:val="18"/>
                <w:szCs w:val="18"/>
              </w:rPr>
            </w:pPr>
            <w:r w:rsidRPr="006D688A">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0AFD8CC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C0F4D6B" w14:textId="77777777" w:rsidR="00520333" w:rsidRPr="006D688A" w:rsidRDefault="00520333" w:rsidP="005E5E0C">
            <w:pPr>
              <w:spacing w:after="0"/>
              <w:jc w:val="right"/>
              <w:rPr>
                <w:rFonts w:cs="Arial"/>
                <w:sz w:val="18"/>
                <w:szCs w:val="18"/>
              </w:rPr>
            </w:pPr>
            <w:r w:rsidRPr="006D688A">
              <w:rPr>
                <w:rFonts w:cs="Arial"/>
                <w:sz w:val="18"/>
                <w:szCs w:val="18"/>
              </w:rPr>
              <w:t>2023</w:t>
            </w:r>
          </w:p>
        </w:tc>
        <w:tc>
          <w:tcPr>
            <w:tcW w:w="236" w:type="dxa"/>
            <w:tcBorders>
              <w:top w:val="nil"/>
              <w:left w:val="nil"/>
              <w:bottom w:val="nil"/>
              <w:right w:val="nil"/>
            </w:tcBorders>
            <w:shd w:val="clear" w:color="FFFFFF" w:fill="FFFFFF"/>
            <w:noWrap/>
            <w:vAlign w:val="bottom"/>
            <w:hideMark/>
          </w:tcPr>
          <w:p w14:paraId="3219DD8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2553A3B0" w14:textId="77777777" w:rsidR="00520333" w:rsidRPr="006D688A" w:rsidRDefault="00520333" w:rsidP="005E5E0C">
            <w:pPr>
              <w:spacing w:after="0"/>
              <w:jc w:val="right"/>
              <w:rPr>
                <w:rFonts w:cs="Arial"/>
                <w:color w:val="6B2976"/>
                <w:sz w:val="18"/>
                <w:szCs w:val="18"/>
              </w:rPr>
            </w:pPr>
            <w:r w:rsidRPr="006D688A">
              <w:rPr>
                <w:rFonts w:cs="Arial"/>
                <w:color w:val="6B2976"/>
                <w:sz w:val="18"/>
                <w:szCs w:val="18"/>
              </w:rPr>
              <w:t>2024</w:t>
            </w:r>
          </w:p>
        </w:tc>
      </w:tr>
      <w:tr w:rsidR="00520333" w:rsidRPr="006D688A" w14:paraId="7EB39CE8" w14:textId="77777777" w:rsidTr="005E5E0C">
        <w:trPr>
          <w:trHeight w:val="270"/>
        </w:trPr>
        <w:tc>
          <w:tcPr>
            <w:tcW w:w="4224" w:type="dxa"/>
            <w:tcBorders>
              <w:top w:val="nil"/>
              <w:left w:val="nil"/>
              <w:bottom w:val="single" w:sz="8" w:space="0" w:color="800080"/>
              <w:right w:val="nil"/>
            </w:tcBorders>
            <w:shd w:val="clear" w:color="FFFFFF" w:fill="FFFFFF"/>
            <w:noWrap/>
            <w:vAlign w:val="bottom"/>
            <w:hideMark/>
          </w:tcPr>
          <w:p w14:paraId="727E3B05"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single" w:sz="8" w:space="0" w:color="800080"/>
              <w:right w:val="nil"/>
            </w:tcBorders>
            <w:shd w:val="clear" w:color="FFFFFF" w:fill="FFFFFF"/>
            <w:noWrap/>
            <w:vAlign w:val="bottom"/>
            <w:hideMark/>
          </w:tcPr>
          <w:p w14:paraId="6FAB1923" w14:textId="77777777" w:rsidR="00520333" w:rsidRPr="006D688A" w:rsidRDefault="00520333" w:rsidP="005E5E0C">
            <w:pPr>
              <w:spacing w:after="0"/>
              <w:jc w:val="center"/>
              <w:rPr>
                <w:rFonts w:cs="Arial"/>
                <w:b/>
                <w:bCs/>
                <w:sz w:val="18"/>
                <w:szCs w:val="18"/>
              </w:rPr>
            </w:pPr>
            <w:r w:rsidRPr="006D688A">
              <w:rPr>
                <w:rFonts w:cs="Arial"/>
                <w:b/>
                <w:bCs/>
                <w:sz w:val="18"/>
                <w:szCs w:val="18"/>
              </w:rPr>
              <w:t>Notes</w:t>
            </w:r>
          </w:p>
        </w:tc>
        <w:tc>
          <w:tcPr>
            <w:tcW w:w="1046" w:type="dxa"/>
            <w:tcBorders>
              <w:top w:val="nil"/>
              <w:left w:val="nil"/>
              <w:bottom w:val="single" w:sz="8" w:space="0" w:color="800080"/>
              <w:right w:val="nil"/>
            </w:tcBorders>
            <w:shd w:val="clear" w:color="FFFFFF" w:fill="FFFFFF"/>
            <w:noWrap/>
            <w:vAlign w:val="bottom"/>
            <w:hideMark/>
          </w:tcPr>
          <w:p w14:paraId="11F04A54" w14:textId="77777777" w:rsidR="00520333" w:rsidRPr="006D688A" w:rsidRDefault="00520333" w:rsidP="005E5E0C">
            <w:pPr>
              <w:spacing w:after="0"/>
              <w:jc w:val="right"/>
              <w:rPr>
                <w:rFonts w:cs="Arial"/>
                <w:b/>
                <w:bCs/>
                <w:sz w:val="18"/>
                <w:szCs w:val="18"/>
              </w:rPr>
            </w:pPr>
            <w:r w:rsidRPr="006D688A">
              <w:rPr>
                <w:rFonts w:cs="Arial"/>
                <w:b/>
                <w:bCs/>
                <w:sz w:val="18"/>
                <w:szCs w:val="18"/>
              </w:rPr>
              <w:t>$'000</w:t>
            </w:r>
          </w:p>
        </w:tc>
        <w:tc>
          <w:tcPr>
            <w:tcW w:w="236" w:type="dxa"/>
            <w:tcBorders>
              <w:top w:val="nil"/>
              <w:left w:val="nil"/>
              <w:bottom w:val="single" w:sz="8" w:space="0" w:color="800080"/>
              <w:right w:val="nil"/>
            </w:tcBorders>
            <w:shd w:val="clear" w:color="FFFFFF" w:fill="FFFFFF"/>
            <w:noWrap/>
            <w:vAlign w:val="bottom"/>
            <w:hideMark/>
          </w:tcPr>
          <w:p w14:paraId="4A6040A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single" w:sz="8" w:space="0" w:color="800080"/>
              <w:right w:val="nil"/>
            </w:tcBorders>
            <w:shd w:val="clear" w:color="FFFFFF" w:fill="FFFFFF"/>
            <w:noWrap/>
            <w:vAlign w:val="bottom"/>
            <w:hideMark/>
          </w:tcPr>
          <w:p w14:paraId="699DDD40" w14:textId="77777777" w:rsidR="00520333" w:rsidRPr="006D688A" w:rsidRDefault="00520333" w:rsidP="005E5E0C">
            <w:pPr>
              <w:spacing w:after="0"/>
              <w:jc w:val="right"/>
              <w:rPr>
                <w:rFonts w:cs="Arial"/>
                <w:sz w:val="18"/>
                <w:szCs w:val="18"/>
              </w:rPr>
            </w:pPr>
            <w:r w:rsidRPr="006D688A">
              <w:rPr>
                <w:rFonts w:cs="Arial"/>
                <w:sz w:val="18"/>
                <w:szCs w:val="18"/>
              </w:rPr>
              <w:t>$'000</w:t>
            </w:r>
          </w:p>
        </w:tc>
        <w:tc>
          <w:tcPr>
            <w:tcW w:w="236" w:type="dxa"/>
            <w:tcBorders>
              <w:top w:val="nil"/>
              <w:left w:val="nil"/>
              <w:bottom w:val="single" w:sz="8" w:space="0" w:color="800080"/>
              <w:right w:val="nil"/>
            </w:tcBorders>
            <w:shd w:val="clear" w:color="FFFFFF" w:fill="FFFFFF"/>
            <w:noWrap/>
            <w:vAlign w:val="bottom"/>
            <w:hideMark/>
          </w:tcPr>
          <w:p w14:paraId="683DC720"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single" w:sz="8" w:space="0" w:color="800080"/>
              <w:right w:val="nil"/>
            </w:tcBorders>
            <w:shd w:val="clear" w:color="FFFFFF" w:fill="FFFFFF"/>
            <w:noWrap/>
            <w:vAlign w:val="bottom"/>
            <w:hideMark/>
          </w:tcPr>
          <w:p w14:paraId="250CFF87" w14:textId="77777777" w:rsidR="00520333" w:rsidRPr="006D688A" w:rsidRDefault="00520333" w:rsidP="005E5E0C">
            <w:pPr>
              <w:spacing w:after="0"/>
              <w:jc w:val="right"/>
              <w:rPr>
                <w:rFonts w:cs="Arial"/>
                <w:color w:val="6B2976"/>
                <w:sz w:val="18"/>
                <w:szCs w:val="18"/>
              </w:rPr>
            </w:pPr>
            <w:r w:rsidRPr="006D688A">
              <w:rPr>
                <w:rFonts w:cs="Arial"/>
                <w:color w:val="6B2976"/>
                <w:sz w:val="18"/>
                <w:szCs w:val="18"/>
              </w:rPr>
              <w:t>$'000</w:t>
            </w:r>
          </w:p>
        </w:tc>
      </w:tr>
      <w:tr w:rsidR="00520333" w:rsidRPr="006D688A" w14:paraId="3F5072A6" w14:textId="77777777" w:rsidTr="005E5E0C">
        <w:trPr>
          <w:trHeight w:val="250"/>
        </w:trPr>
        <w:tc>
          <w:tcPr>
            <w:tcW w:w="4224" w:type="dxa"/>
            <w:tcBorders>
              <w:top w:val="nil"/>
              <w:left w:val="nil"/>
              <w:bottom w:val="nil"/>
              <w:right w:val="nil"/>
            </w:tcBorders>
            <w:shd w:val="clear" w:color="FFFFFF" w:fill="FFFFFF"/>
            <w:vAlign w:val="bottom"/>
            <w:hideMark/>
          </w:tcPr>
          <w:p w14:paraId="4B975955" w14:textId="77777777" w:rsidR="00520333" w:rsidRPr="006D688A" w:rsidRDefault="00520333" w:rsidP="005E5E0C">
            <w:pPr>
              <w:spacing w:after="0"/>
              <w:rPr>
                <w:rFonts w:cs="Arial"/>
                <w:b/>
                <w:bCs/>
                <w:sz w:val="18"/>
                <w:szCs w:val="18"/>
              </w:rPr>
            </w:pPr>
            <w:r w:rsidRPr="006D688A">
              <w:rPr>
                <w:rFonts w:cs="Arial"/>
                <w:b/>
                <w:bCs/>
                <w:sz w:val="18"/>
                <w:szCs w:val="18"/>
              </w:rPr>
              <w:t>ASSETS</w:t>
            </w:r>
          </w:p>
        </w:tc>
        <w:tc>
          <w:tcPr>
            <w:tcW w:w="1273" w:type="dxa"/>
            <w:tcBorders>
              <w:top w:val="nil"/>
              <w:left w:val="nil"/>
              <w:bottom w:val="nil"/>
              <w:right w:val="nil"/>
            </w:tcBorders>
            <w:shd w:val="clear" w:color="FFFFFF" w:fill="FFFFFF"/>
            <w:noWrap/>
            <w:vAlign w:val="bottom"/>
            <w:hideMark/>
          </w:tcPr>
          <w:p w14:paraId="084ADED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3B5359C3"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7A75327"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92DB352"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945147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A2E5A70"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558CB4D" w14:textId="77777777" w:rsidTr="005E5E0C">
        <w:trPr>
          <w:trHeight w:val="250"/>
        </w:trPr>
        <w:tc>
          <w:tcPr>
            <w:tcW w:w="4224" w:type="dxa"/>
            <w:tcBorders>
              <w:top w:val="nil"/>
              <w:left w:val="nil"/>
              <w:bottom w:val="nil"/>
              <w:right w:val="nil"/>
            </w:tcBorders>
            <w:shd w:val="clear" w:color="FFFFFF" w:fill="FFFFFF"/>
            <w:vAlign w:val="bottom"/>
            <w:hideMark/>
          </w:tcPr>
          <w:p w14:paraId="0C4B1CBB" w14:textId="77777777" w:rsidR="00520333" w:rsidRPr="006D688A" w:rsidRDefault="00520333" w:rsidP="005E5E0C">
            <w:pPr>
              <w:spacing w:after="0"/>
              <w:rPr>
                <w:rFonts w:cs="Arial"/>
                <w:b/>
                <w:bCs/>
                <w:sz w:val="18"/>
                <w:szCs w:val="18"/>
              </w:rPr>
            </w:pPr>
            <w:r w:rsidRPr="006D688A">
              <w:rPr>
                <w:rFonts w:cs="Arial"/>
                <w:b/>
                <w:bCs/>
                <w:sz w:val="18"/>
                <w:szCs w:val="18"/>
              </w:rPr>
              <w:t>Financial assets</w:t>
            </w:r>
          </w:p>
        </w:tc>
        <w:tc>
          <w:tcPr>
            <w:tcW w:w="1273" w:type="dxa"/>
            <w:tcBorders>
              <w:top w:val="nil"/>
              <w:left w:val="nil"/>
              <w:bottom w:val="nil"/>
              <w:right w:val="nil"/>
            </w:tcBorders>
            <w:shd w:val="clear" w:color="FFFFFF" w:fill="FFFFFF"/>
            <w:noWrap/>
            <w:vAlign w:val="bottom"/>
            <w:hideMark/>
          </w:tcPr>
          <w:p w14:paraId="3899DDE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01E34BC1"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7DDD44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4246A60"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411CE8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A2C6CDB"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DEBFB14" w14:textId="77777777" w:rsidTr="005E5E0C">
        <w:trPr>
          <w:trHeight w:val="250"/>
        </w:trPr>
        <w:tc>
          <w:tcPr>
            <w:tcW w:w="4224" w:type="dxa"/>
            <w:tcBorders>
              <w:top w:val="nil"/>
              <w:left w:val="nil"/>
              <w:bottom w:val="nil"/>
              <w:right w:val="nil"/>
            </w:tcBorders>
            <w:shd w:val="clear" w:color="FFFFFF" w:fill="FFFFFF"/>
            <w:vAlign w:val="bottom"/>
            <w:hideMark/>
          </w:tcPr>
          <w:p w14:paraId="2A7C163A" w14:textId="77777777" w:rsidR="00520333" w:rsidRPr="006D688A" w:rsidRDefault="00520333" w:rsidP="005E5E0C">
            <w:pPr>
              <w:spacing w:after="0"/>
              <w:ind w:firstLineChars="100" w:firstLine="180"/>
              <w:rPr>
                <w:rFonts w:cs="Arial"/>
                <w:sz w:val="18"/>
                <w:szCs w:val="18"/>
              </w:rPr>
            </w:pPr>
            <w:r w:rsidRPr="006D688A">
              <w:rPr>
                <w:rFonts w:cs="Arial"/>
                <w:sz w:val="18"/>
                <w:szCs w:val="18"/>
              </w:rPr>
              <w:t>Cash and cash equivalents</w:t>
            </w:r>
          </w:p>
        </w:tc>
        <w:tc>
          <w:tcPr>
            <w:tcW w:w="1273" w:type="dxa"/>
            <w:tcBorders>
              <w:top w:val="nil"/>
              <w:left w:val="nil"/>
              <w:bottom w:val="nil"/>
              <w:right w:val="nil"/>
            </w:tcBorders>
            <w:shd w:val="clear" w:color="FFFFFF" w:fill="FFFFFF"/>
            <w:noWrap/>
            <w:vAlign w:val="bottom"/>
            <w:hideMark/>
          </w:tcPr>
          <w:p w14:paraId="756D6CF5" w14:textId="77777777" w:rsidR="00520333" w:rsidRPr="006D688A" w:rsidRDefault="00520333" w:rsidP="005E5E0C">
            <w:pPr>
              <w:spacing w:after="0"/>
              <w:jc w:val="center"/>
              <w:rPr>
                <w:rFonts w:cs="Arial"/>
                <w:sz w:val="18"/>
                <w:szCs w:val="18"/>
              </w:rPr>
            </w:pPr>
            <w:r w:rsidRPr="006D688A">
              <w:rPr>
                <w:rFonts w:cs="Arial"/>
                <w:sz w:val="18"/>
                <w:szCs w:val="18"/>
              </w:rPr>
              <w:t>2.1A</w:t>
            </w:r>
          </w:p>
        </w:tc>
        <w:tc>
          <w:tcPr>
            <w:tcW w:w="1046" w:type="dxa"/>
            <w:tcBorders>
              <w:top w:val="nil"/>
              <w:left w:val="nil"/>
              <w:bottom w:val="nil"/>
              <w:right w:val="nil"/>
            </w:tcBorders>
            <w:shd w:val="clear" w:color="FFFFFF" w:fill="FFFFFF"/>
            <w:noWrap/>
            <w:vAlign w:val="bottom"/>
            <w:hideMark/>
          </w:tcPr>
          <w:p w14:paraId="01F9F48F" w14:textId="77777777" w:rsidR="00520333" w:rsidRPr="006D688A" w:rsidRDefault="00520333" w:rsidP="005E5E0C">
            <w:pPr>
              <w:spacing w:after="0"/>
              <w:jc w:val="right"/>
              <w:rPr>
                <w:rFonts w:cs="Arial"/>
                <w:b/>
                <w:bCs/>
                <w:sz w:val="18"/>
                <w:szCs w:val="18"/>
              </w:rPr>
            </w:pPr>
            <w:r w:rsidRPr="006D688A">
              <w:rPr>
                <w:rFonts w:cs="Arial"/>
                <w:b/>
                <w:bCs/>
                <w:sz w:val="18"/>
                <w:szCs w:val="18"/>
              </w:rPr>
              <w:t>5,659,548</w:t>
            </w:r>
          </w:p>
        </w:tc>
        <w:tc>
          <w:tcPr>
            <w:tcW w:w="236" w:type="dxa"/>
            <w:tcBorders>
              <w:top w:val="nil"/>
              <w:left w:val="nil"/>
              <w:bottom w:val="nil"/>
              <w:right w:val="nil"/>
            </w:tcBorders>
            <w:shd w:val="clear" w:color="FFFFFF" w:fill="FFFFFF"/>
            <w:noWrap/>
            <w:vAlign w:val="bottom"/>
            <w:hideMark/>
          </w:tcPr>
          <w:p w14:paraId="6D27C7A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2A23F465" w14:textId="77777777" w:rsidR="00520333" w:rsidRPr="006D688A" w:rsidRDefault="00520333" w:rsidP="005E5E0C">
            <w:pPr>
              <w:spacing w:after="0"/>
              <w:jc w:val="right"/>
              <w:rPr>
                <w:rFonts w:cs="Arial"/>
                <w:sz w:val="18"/>
                <w:szCs w:val="18"/>
              </w:rPr>
            </w:pPr>
            <w:r w:rsidRPr="006D688A">
              <w:rPr>
                <w:rFonts w:cs="Arial"/>
                <w:sz w:val="18"/>
                <w:szCs w:val="18"/>
              </w:rPr>
              <w:t>2,729,779</w:t>
            </w:r>
          </w:p>
        </w:tc>
        <w:tc>
          <w:tcPr>
            <w:tcW w:w="236" w:type="dxa"/>
            <w:tcBorders>
              <w:top w:val="nil"/>
              <w:left w:val="nil"/>
              <w:bottom w:val="nil"/>
              <w:right w:val="nil"/>
            </w:tcBorders>
            <w:shd w:val="clear" w:color="FFFFFF" w:fill="FFFFFF"/>
            <w:noWrap/>
            <w:vAlign w:val="bottom"/>
            <w:hideMark/>
          </w:tcPr>
          <w:p w14:paraId="4063884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56EFCFB" w14:textId="77777777" w:rsidR="00520333" w:rsidRPr="006D688A" w:rsidRDefault="00520333" w:rsidP="005E5E0C">
            <w:pPr>
              <w:spacing w:after="0"/>
              <w:jc w:val="right"/>
              <w:rPr>
                <w:rFonts w:cs="Arial"/>
                <w:sz w:val="18"/>
                <w:szCs w:val="18"/>
              </w:rPr>
            </w:pPr>
            <w:r w:rsidRPr="006D688A">
              <w:rPr>
                <w:rFonts w:cs="Arial"/>
                <w:sz w:val="18"/>
                <w:szCs w:val="18"/>
              </w:rPr>
              <w:t>850,000</w:t>
            </w:r>
          </w:p>
        </w:tc>
      </w:tr>
      <w:tr w:rsidR="00520333" w:rsidRPr="006D688A" w14:paraId="11ABAEE8" w14:textId="77777777" w:rsidTr="005E5E0C">
        <w:trPr>
          <w:trHeight w:val="250"/>
        </w:trPr>
        <w:tc>
          <w:tcPr>
            <w:tcW w:w="4224" w:type="dxa"/>
            <w:tcBorders>
              <w:top w:val="nil"/>
              <w:left w:val="nil"/>
              <w:bottom w:val="nil"/>
              <w:right w:val="nil"/>
            </w:tcBorders>
            <w:shd w:val="clear" w:color="FFFFFF" w:fill="FFFFFF"/>
            <w:vAlign w:val="bottom"/>
            <w:hideMark/>
          </w:tcPr>
          <w:p w14:paraId="710C1C8F" w14:textId="77777777" w:rsidR="00520333" w:rsidRPr="006D688A" w:rsidRDefault="00520333" w:rsidP="005E5E0C">
            <w:pPr>
              <w:spacing w:after="0"/>
              <w:ind w:firstLineChars="100" w:firstLine="180"/>
              <w:rPr>
                <w:rFonts w:cs="Arial"/>
                <w:sz w:val="18"/>
                <w:szCs w:val="18"/>
              </w:rPr>
            </w:pPr>
            <w:r w:rsidRPr="006D688A">
              <w:rPr>
                <w:rFonts w:cs="Arial"/>
                <w:sz w:val="18"/>
                <w:szCs w:val="18"/>
              </w:rPr>
              <w:t>Trade and other receivables</w:t>
            </w:r>
          </w:p>
        </w:tc>
        <w:tc>
          <w:tcPr>
            <w:tcW w:w="1273" w:type="dxa"/>
            <w:tcBorders>
              <w:top w:val="nil"/>
              <w:left w:val="nil"/>
              <w:bottom w:val="nil"/>
              <w:right w:val="nil"/>
            </w:tcBorders>
            <w:shd w:val="clear" w:color="FFFFFF" w:fill="FFFFFF"/>
            <w:noWrap/>
            <w:vAlign w:val="bottom"/>
            <w:hideMark/>
          </w:tcPr>
          <w:p w14:paraId="78B0822C" w14:textId="77777777" w:rsidR="00520333" w:rsidRPr="006D688A" w:rsidRDefault="00520333" w:rsidP="005E5E0C">
            <w:pPr>
              <w:spacing w:after="0"/>
              <w:jc w:val="center"/>
              <w:rPr>
                <w:rFonts w:cs="Arial"/>
                <w:sz w:val="18"/>
                <w:szCs w:val="18"/>
              </w:rPr>
            </w:pPr>
            <w:r w:rsidRPr="006D688A">
              <w:rPr>
                <w:rFonts w:cs="Arial"/>
                <w:sz w:val="18"/>
                <w:szCs w:val="18"/>
              </w:rPr>
              <w:t>2.1B</w:t>
            </w:r>
          </w:p>
        </w:tc>
        <w:tc>
          <w:tcPr>
            <w:tcW w:w="1046" w:type="dxa"/>
            <w:tcBorders>
              <w:top w:val="nil"/>
              <w:left w:val="nil"/>
              <w:bottom w:val="nil"/>
              <w:right w:val="nil"/>
            </w:tcBorders>
            <w:shd w:val="clear" w:color="FFFFFF" w:fill="FFFFFF"/>
            <w:noWrap/>
            <w:vAlign w:val="bottom"/>
            <w:hideMark/>
          </w:tcPr>
          <w:p w14:paraId="267EC54D" w14:textId="77777777" w:rsidR="00520333" w:rsidRPr="006D688A" w:rsidRDefault="00520333" w:rsidP="005E5E0C">
            <w:pPr>
              <w:spacing w:after="0"/>
              <w:jc w:val="right"/>
              <w:rPr>
                <w:rFonts w:cs="Arial"/>
                <w:b/>
                <w:bCs/>
                <w:sz w:val="18"/>
                <w:szCs w:val="18"/>
              </w:rPr>
            </w:pPr>
            <w:r w:rsidRPr="006D688A">
              <w:rPr>
                <w:rFonts w:cs="Arial"/>
                <w:b/>
                <w:bCs/>
                <w:sz w:val="18"/>
                <w:szCs w:val="18"/>
              </w:rPr>
              <w:t>99,994</w:t>
            </w:r>
          </w:p>
        </w:tc>
        <w:tc>
          <w:tcPr>
            <w:tcW w:w="236" w:type="dxa"/>
            <w:tcBorders>
              <w:top w:val="nil"/>
              <w:left w:val="nil"/>
              <w:bottom w:val="nil"/>
              <w:right w:val="nil"/>
            </w:tcBorders>
            <w:shd w:val="clear" w:color="FFFFFF" w:fill="FFFFFF"/>
            <w:noWrap/>
            <w:vAlign w:val="bottom"/>
            <w:hideMark/>
          </w:tcPr>
          <w:p w14:paraId="6863E36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B18BF3D" w14:textId="77777777" w:rsidR="00520333" w:rsidRPr="006D688A" w:rsidRDefault="00520333" w:rsidP="005E5E0C">
            <w:pPr>
              <w:spacing w:after="0"/>
              <w:jc w:val="right"/>
              <w:rPr>
                <w:rFonts w:cs="Arial"/>
                <w:sz w:val="18"/>
                <w:szCs w:val="18"/>
              </w:rPr>
            </w:pPr>
            <w:r w:rsidRPr="006D688A">
              <w:rPr>
                <w:rFonts w:cs="Arial"/>
                <w:sz w:val="18"/>
                <w:szCs w:val="18"/>
              </w:rPr>
              <w:t>113,659</w:t>
            </w:r>
          </w:p>
        </w:tc>
        <w:tc>
          <w:tcPr>
            <w:tcW w:w="236" w:type="dxa"/>
            <w:tcBorders>
              <w:top w:val="nil"/>
              <w:left w:val="nil"/>
              <w:bottom w:val="nil"/>
              <w:right w:val="nil"/>
            </w:tcBorders>
            <w:shd w:val="clear" w:color="FFFFFF" w:fill="FFFFFF"/>
            <w:noWrap/>
            <w:vAlign w:val="bottom"/>
            <w:hideMark/>
          </w:tcPr>
          <w:p w14:paraId="5F6D5D8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01AAD4A0" w14:textId="77777777" w:rsidR="00520333" w:rsidRPr="006D688A" w:rsidRDefault="00520333" w:rsidP="005E5E0C">
            <w:pPr>
              <w:spacing w:after="0"/>
              <w:jc w:val="right"/>
              <w:rPr>
                <w:rFonts w:cs="Arial"/>
                <w:sz w:val="18"/>
                <w:szCs w:val="18"/>
              </w:rPr>
            </w:pPr>
            <w:r w:rsidRPr="006D688A">
              <w:rPr>
                <w:rFonts w:cs="Arial"/>
                <w:sz w:val="18"/>
                <w:szCs w:val="18"/>
              </w:rPr>
              <w:t>42,068</w:t>
            </w:r>
          </w:p>
        </w:tc>
      </w:tr>
      <w:tr w:rsidR="00520333" w:rsidRPr="006D688A" w14:paraId="706A1B74" w14:textId="77777777" w:rsidTr="005E5E0C">
        <w:trPr>
          <w:trHeight w:val="250"/>
        </w:trPr>
        <w:tc>
          <w:tcPr>
            <w:tcW w:w="4224" w:type="dxa"/>
            <w:tcBorders>
              <w:top w:val="nil"/>
              <w:left w:val="nil"/>
              <w:bottom w:val="nil"/>
              <w:right w:val="nil"/>
            </w:tcBorders>
            <w:shd w:val="clear" w:color="FFFFFF" w:fill="FFFFFF"/>
            <w:vAlign w:val="bottom"/>
            <w:hideMark/>
          </w:tcPr>
          <w:p w14:paraId="0261B748" w14:textId="77777777" w:rsidR="00520333" w:rsidRPr="006D688A" w:rsidRDefault="00520333" w:rsidP="005E5E0C">
            <w:pPr>
              <w:spacing w:after="0"/>
              <w:ind w:firstLineChars="100" w:firstLine="180"/>
              <w:rPr>
                <w:rFonts w:cs="Arial"/>
                <w:sz w:val="18"/>
                <w:szCs w:val="18"/>
              </w:rPr>
            </w:pPr>
            <w:r w:rsidRPr="006D688A">
              <w:rPr>
                <w:rFonts w:cs="Arial"/>
                <w:sz w:val="18"/>
                <w:szCs w:val="18"/>
              </w:rPr>
              <w:t>Other financial assets - term deposits</w:t>
            </w:r>
          </w:p>
        </w:tc>
        <w:tc>
          <w:tcPr>
            <w:tcW w:w="1273" w:type="dxa"/>
            <w:tcBorders>
              <w:top w:val="nil"/>
              <w:left w:val="nil"/>
              <w:bottom w:val="nil"/>
              <w:right w:val="nil"/>
            </w:tcBorders>
            <w:shd w:val="clear" w:color="FFFFFF" w:fill="FFFFFF"/>
            <w:noWrap/>
            <w:vAlign w:val="bottom"/>
            <w:hideMark/>
          </w:tcPr>
          <w:p w14:paraId="79C0E3B9" w14:textId="77777777" w:rsidR="00520333" w:rsidRPr="006D688A" w:rsidRDefault="00520333" w:rsidP="005E5E0C">
            <w:pPr>
              <w:spacing w:after="0"/>
              <w:jc w:val="center"/>
              <w:rPr>
                <w:rFonts w:cs="Arial"/>
                <w:sz w:val="18"/>
                <w:szCs w:val="18"/>
              </w:rPr>
            </w:pPr>
            <w:r w:rsidRPr="006D688A">
              <w:rPr>
                <w:rFonts w:cs="Arial"/>
                <w:sz w:val="18"/>
                <w:szCs w:val="18"/>
              </w:rPr>
              <w:t>2.1C</w:t>
            </w:r>
          </w:p>
        </w:tc>
        <w:tc>
          <w:tcPr>
            <w:tcW w:w="1046" w:type="dxa"/>
            <w:tcBorders>
              <w:top w:val="nil"/>
              <w:left w:val="nil"/>
              <w:bottom w:val="nil"/>
              <w:right w:val="nil"/>
            </w:tcBorders>
            <w:shd w:val="clear" w:color="FFFFFF" w:fill="FFFFFF"/>
            <w:noWrap/>
            <w:vAlign w:val="bottom"/>
            <w:hideMark/>
          </w:tcPr>
          <w:p w14:paraId="77ED349B" w14:textId="77777777" w:rsidR="00520333" w:rsidRPr="006D688A" w:rsidRDefault="00520333" w:rsidP="005E5E0C">
            <w:pPr>
              <w:spacing w:after="0"/>
              <w:jc w:val="right"/>
              <w:rPr>
                <w:rFonts w:cs="Arial"/>
                <w:b/>
                <w:bCs/>
                <w:sz w:val="18"/>
                <w:szCs w:val="18"/>
              </w:rPr>
            </w:pPr>
            <w:r w:rsidRPr="006D688A">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62080D9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9FDB690" w14:textId="77777777" w:rsidR="00520333" w:rsidRPr="006D688A" w:rsidRDefault="00520333" w:rsidP="005E5E0C">
            <w:pPr>
              <w:spacing w:after="0"/>
              <w:jc w:val="right"/>
              <w:rPr>
                <w:rFonts w:cs="Arial"/>
                <w:sz w:val="18"/>
                <w:szCs w:val="18"/>
              </w:rPr>
            </w:pPr>
            <w:r w:rsidRPr="006D688A">
              <w:rPr>
                <w:rFonts w:cs="Arial"/>
                <w:sz w:val="18"/>
                <w:szCs w:val="18"/>
              </w:rPr>
              <w:t>1,500,000</w:t>
            </w:r>
          </w:p>
        </w:tc>
        <w:tc>
          <w:tcPr>
            <w:tcW w:w="236" w:type="dxa"/>
            <w:tcBorders>
              <w:top w:val="nil"/>
              <w:left w:val="nil"/>
              <w:bottom w:val="nil"/>
              <w:right w:val="nil"/>
            </w:tcBorders>
            <w:shd w:val="clear" w:color="FFFFFF" w:fill="FFFFFF"/>
            <w:noWrap/>
            <w:vAlign w:val="bottom"/>
            <w:hideMark/>
          </w:tcPr>
          <w:p w14:paraId="45519D4F"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70CC839" w14:textId="77777777" w:rsidR="00520333" w:rsidRPr="006D688A" w:rsidRDefault="00520333" w:rsidP="005E5E0C">
            <w:pPr>
              <w:spacing w:after="0"/>
              <w:jc w:val="right"/>
              <w:rPr>
                <w:rFonts w:cs="Arial"/>
                <w:sz w:val="18"/>
                <w:szCs w:val="18"/>
              </w:rPr>
            </w:pPr>
            <w:r w:rsidRPr="006D688A">
              <w:rPr>
                <w:rFonts w:cs="Arial"/>
                <w:sz w:val="18"/>
                <w:szCs w:val="18"/>
              </w:rPr>
              <w:t>4,838,667</w:t>
            </w:r>
          </w:p>
        </w:tc>
      </w:tr>
      <w:tr w:rsidR="00520333" w:rsidRPr="006D688A" w14:paraId="574A2A64" w14:textId="77777777" w:rsidTr="005E5E0C">
        <w:trPr>
          <w:trHeight w:val="250"/>
        </w:trPr>
        <w:tc>
          <w:tcPr>
            <w:tcW w:w="4224" w:type="dxa"/>
            <w:tcBorders>
              <w:top w:val="nil"/>
              <w:left w:val="nil"/>
              <w:bottom w:val="nil"/>
              <w:right w:val="nil"/>
            </w:tcBorders>
            <w:shd w:val="clear" w:color="FFFFFF" w:fill="FFFFFF"/>
            <w:vAlign w:val="bottom"/>
            <w:hideMark/>
          </w:tcPr>
          <w:p w14:paraId="31AC2ECC" w14:textId="77777777" w:rsidR="00520333" w:rsidRPr="006D688A" w:rsidRDefault="00520333" w:rsidP="005E5E0C">
            <w:pPr>
              <w:spacing w:after="0"/>
              <w:rPr>
                <w:rFonts w:cs="Arial"/>
                <w:b/>
                <w:bCs/>
                <w:sz w:val="18"/>
                <w:szCs w:val="18"/>
              </w:rPr>
            </w:pPr>
            <w:r w:rsidRPr="006D688A">
              <w:rPr>
                <w:rFonts w:cs="Arial"/>
                <w:b/>
                <w:bCs/>
                <w:sz w:val="18"/>
                <w:szCs w:val="18"/>
              </w:rPr>
              <w:t>Total financial assets</w:t>
            </w:r>
          </w:p>
        </w:tc>
        <w:tc>
          <w:tcPr>
            <w:tcW w:w="1273" w:type="dxa"/>
            <w:tcBorders>
              <w:top w:val="nil"/>
              <w:left w:val="nil"/>
              <w:bottom w:val="nil"/>
              <w:right w:val="nil"/>
            </w:tcBorders>
            <w:shd w:val="clear" w:color="FFFFFF" w:fill="FFFFFF"/>
            <w:noWrap/>
            <w:vAlign w:val="bottom"/>
            <w:hideMark/>
          </w:tcPr>
          <w:p w14:paraId="358C131D"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59C6128E" w14:textId="77777777" w:rsidR="00520333" w:rsidRPr="006D688A" w:rsidRDefault="00520333" w:rsidP="005E5E0C">
            <w:pPr>
              <w:spacing w:after="0"/>
              <w:jc w:val="right"/>
              <w:rPr>
                <w:rFonts w:cs="Arial"/>
                <w:b/>
                <w:bCs/>
                <w:sz w:val="18"/>
                <w:szCs w:val="18"/>
              </w:rPr>
            </w:pPr>
            <w:r w:rsidRPr="006D688A">
              <w:rPr>
                <w:rFonts w:cs="Arial"/>
                <w:b/>
                <w:bCs/>
                <w:sz w:val="18"/>
                <w:szCs w:val="18"/>
              </w:rPr>
              <w:t>5,759,542</w:t>
            </w:r>
          </w:p>
        </w:tc>
        <w:tc>
          <w:tcPr>
            <w:tcW w:w="236" w:type="dxa"/>
            <w:tcBorders>
              <w:top w:val="nil"/>
              <w:left w:val="nil"/>
              <w:bottom w:val="nil"/>
              <w:right w:val="nil"/>
            </w:tcBorders>
            <w:shd w:val="clear" w:color="FFFFFF" w:fill="FFFFFF"/>
            <w:noWrap/>
            <w:vAlign w:val="bottom"/>
            <w:hideMark/>
          </w:tcPr>
          <w:p w14:paraId="1EC2B55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2EB2B533" w14:textId="77777777" w:rsidR="00520333" w:rsidRPr="006D688A" w:rsidRDefault="00520333" w:rsidP="005E5E0C">
            <w:pPr>
              <w:spacing w:after="0"/>
              <w:jc w:val="right"/>
              <w:rPr>
                <w:rFonts w:cs="Arial"/>
                <w:sz w:val="18"/>
                <w:szCs w:val="18"/>
              </w:rPr>
            </w:pPr>
            <w:r w:rsidRPr="006D688A">
              <w:rPr>
                <w:rFonts w:cs="Arial"/>
                <w:sz w:val="18"/>
                <w:szCs w:val="18"/>
              </w:rPr>
              <w:t>4,343,438</w:t>
            </w:r>
          </w:p>
        </w:tc>
        <w:tc>
          <w:tcPr>
            <w:tcW w:w="236" w:type="dxa"/>
            <w:tcBorders>
              <w:top w:val="nil"/>
              <w:left w:val="nil"/>
              <w:bottom w:val="nil"/>
              <w:right w:val="nil"/>
            </w:tcBorders>
            <w:shd w:val="clear" w:color="FFFFFF" w:fill="FFFFFF"/>
            <w:noWrap/>
            <w:vAlign w:val="bottom"/>
            <w:hideMark/>
          </w:tcPr>
          <w:p w14:paraId="18DE3807"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2018177F" w14:textId="77777777" w:rsidR="00520333" w:rsidRPr="006D688A" w:rsidRDefault="00520333" w:rsidP="005E5E0C">
            <w:pPr>
              <w:spacing w:after="0"/>
              <w:jc w:val="right"/>
              <w:rPr>
                <w:rFonts w:cs="Arial"/>
                <w:sz w:val="18"/>
                <w:szCs w:val="18"/>
              </w:rPr>
            </w:pPr>
            <w:r w:rsidRPr="006D688A">
              <w:rPr>
                <w:rFonts w:cs="Arial"/>
                <w:sz w:val="18"/>
                <w:szCs w:val="18"/>
              </w:rPr>
              <w:t>5,730,735</w:t>
            </w:r>
          </w:p>
        </w:tc>
      </w:tr>
      <w:tr w:rsidR="00520333" w:rsidRPr="006D688A" w14:paraId="561C4FA9" w14:textId="77777777" w:rsidTr="005E5E0C">
        <w:trPr>
          <w:trHeight w:val="250"/>
        </w:trPr>
        <w:tc>
          <w:tcPr>
            <w:tcW w:w="4224" w:type="dxa"/>
            <w:tcBorders>
              <w:top w:val="nil"/>
              <w:left w:val="nil"/>
              <w:bottom w:val="nil"/>
              <w:right w:val="nil"/>
            </w:tcBorders>
            <w:shd w:val="clear" w:color="FFFFFF" w:fill="FFFFFF"/>
            <w:noWrap/>
            <w:vAlign w:val="bottom"/>
            <w:hideMark/>
          </w:tcPr>
          <w:p w14:paraId="53493490"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3A726A47"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52640A32"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2E80949"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AB92FA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D65F65B"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BA8CF0F"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A4393DE" w14:textId="77777777" w:rsidTr="005E5E0C">
        <w:trPr>
          <w:trHeight w:val="270"/>
        </w:trPr>
        <w:tc>
          <w:tcPr>
            <w:tcW w:w="4224" w:type="dxa"/>
            <w:tcBorders>
              <w:top w:val="nil"/>
              <w:left w:val="nil"/>
              <w:bottom w:val="nil"/>
              <w:right w:val="nil"/>
            </w:tcBorders>
            <w:shd w:val="clear" w:color="FFFFFF" w:fill="FFFFFF"/>
            <w:vAlign w:val="bottom"/>
            <w:hideMark/>
          </w:tcPr>
          <w:p w14:paraId="1728DEBD" w14:textId="77777777" w:rsidR="00520333" w:rsidRPr="006D688A" w:rsidRDefault="00520333" w:rsidP="005E5E0C">
            <w:pPr>
              <w:spacing w:after="0"/>
              <w:rPr>
                <w:rFonts w:cs="Arial"/>
                <w:b/>
                <w:bCs/>
                <w:sz w:val="18"/>
                <w:szCs w:val="18"/>
              </w:rPr>
            </w:pPr>
            <w:r w:rsidRPr="006D688A">
              <w:rPr>
                <w:rFonts w:cs="Arial"/>
                <w:b/>
                <w:bCs/>
                <w:sz w:val="18"/>
                <w:szCs w:val="18"/>
              </w:rPr>
              <w:t>Non-financial assets</w:t>
            </w:r>
          </w:p>
        </w:tc>
        <w:tc>
          <w:tcPr>
            <w:tcW w:w="1273" w:type="dxa"/>
            <w:tcBorders>
              <w:top w:val="nil"/>
              <w:left w:val="nil"/>
              <w:bottom w:val="nil"/>
              <w:right w:val="nil"/>
            </w:tcBorders>
            <w:shd w:val="clear" w:color="FFFFFF" w:fill="FFFFFF"/>
            <w:noWrap/>
            <w:vAlign w:val="bottom"/>
            <w:hideMark/>
          </w:tcPr>
          <w:p w14:paraId="15F5B20F"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0DBCA22C"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18A638B8"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BDAB04E"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FAA626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68EAB04"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06AAE75A" w14:textId="77777777" w:rsidTr="005E5E0C">
        <w:trPr>
          <w:trHeight w:val="250"/>
        </w:trPr>
        <w:tc>
          <w:tcPr>
            <w:tcW w:w="4224" w:type="dxa"/>
            <w:tcBorders>
              <w:top w:val="nil"/>
              <w:left w:val="nil"/>
              <w:bottom w:val="nil"/>
              <w:right w:val="nil"/>
            </w:tcBorders>
            <w:shd w:val="clear" w:color="FFFFFF" w:fill="FFFFFF"/>
            <w:vAlign w:val="bottom"/>
            <w:hideMark/>
          </w:tcPr>
          <w:p w14:paraId="4D8C7634" w14:textId="77777777" w:rsidR="00520333" w:rsidRPr="006D688A" w:rsidRDefault="00520333" w:rsidP="005E5E0C">
            <w:pPr>
              <w:spacing w:after="0"/>
              <w:ind w:firstLineChars="100" w:firstLine="180"/>
              <w:rPr>
                <w:rFonts w:cs="Arial"/>
                <w:sz w:val="18"/>
                <w:szCs w:val="18"/>
              </w:rPr>
            </w:pPr>
            <w:r w:rsidRPr="006D688A">
              <w:rPr>
                <w:rFonts w:cs="Arial"/>
                <w:sz w:val="18"/>
                <w:szCs w:val="18"/>
              </w:rPr>
              <w:t>Buildings</w:t>
            </w:r>
          </w:p>
        </w:tc>
        <w:tc>
          <w:tcPr>
            <w:tcW w:w="1273" w:type="dxa"/>
            <w:tcBorders>
              <w:top w:val="nil"/>
              <w:left w:val="nil"/>
              <w:bottom w:val="nil"/>
              <w:right w:val="nil"/>
            </w:tcBorders>
            <w:shd w:val="clear" w:color="FFFFFF" w:fill="FFFFFF"/>
            <w:noWrap/>
            <w:vAlign w:val="bottom"/>
            <w:hideMark/>
          </w:tcPr>
          <w:p w14:paraId="209F7877" w14:textId="77777777" w:rsidR="00520333" w:rsidRPr="006D688A" w:rsidRDefault="00520333" w:rsidP="005E5E0C">
            <w:pPr>
              <w:spacing w:after="0"/>
              <w:jc w:val="center"/>
              <w:rPr>
                <w:rFonts w:cs="Arial"/>
                <w:sz w:val="18"/>
                <w:szCs w:val="18"/>
              </w:rPr>
            </w:pPr>
            <w:r w:rsidRPr="006D688A">
              <w:rPr>
                <w:rFonts w:cs="Arial"/>
                <w:sz w:val="18"/>
                <w:szCs w:val="18"/>
              </w:rPr>
              <w:t>2.2A</w:t>
            </w:r>
          </w:p>
        </w:tc>
        <w:tc>
          <w:tcPr>
            <w:tcW w:w="1046" w:type="dxa"/>
            <w:tcBorders>
              <w:top w:val="nil"/>
              <w:left w:val="nil"/>
              <w:bottom w:val="nil"/>
              <w:right w:val="nil"/>
            </w:tcBorders>
            <w:shd w:val="clear" w:color="FFFFFF" w:fill="FFFFFF"/>
            <w:noWrap/>
            <w:vAlign w:val="bottom"/>
            <w:hideMark/>
          </w:tcPr>
          <w:p w14:paraId="20DD4353" w14:textId="77777777" w:rsidR="00520333" w:rsidRPr="006D688A" w:rsidRDefault="00520333" w:rsidP="005E5E0C">
            <w:pPr>
              <w:spacing w:after="0"/>
              <w:jc w:val="right"/>
              <w:rPr>
                <w:rFonts w:cs="Arial"/>
                <w:b/>
                <w:bCs/>
                <w:sz w:val="18"/>
                <w:szCs w:val="18"/>
              </w:rPr>
            </w:pPr>
            <w:r w:rsidRPr="006D688A">
              <w:rPr>
                <w:rFonts w:cs="Arial"/>
                <w:b/>
                <w:bCs/>
                <w:sz w:val="18"/>
                <w:szCs w:val="18"/>
              </w:rPr>
              <w:t>237,892</w:t>
            </w:r>
          </w:p>
        </w:tc>
        <w:tc>
          <w:tcPr>
            <w:tcW w:w="236" w:type="dxa"/>
            <w:tcBorders>
              <w:top w:val="nil"/>
              <w:left w:val="nil"/>
              <w:bottom w:val="nil"/>
              <w:right w:val="nil"/>
            </w:tcBorders>
            <w:shd w:val="clear" w:color="FFFFFF" w:fill="FFFFFF"/>
            <w:noWrap/>
            <w:vAlign w:val="bottom"/>
            <w:hideMark/>
          </w:tcPr>
          <w:p w14:paraId="636C95A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7B6F579" w14:textId="77777777" w:rsidR="00520333" w:rsidRPr="006D688A" w:rsidRDefault="00520333" w:rsidP="005E5E0C">
            <w:pPr>
              <w:spacing w:after="0"/>
              <w:jc w:val="right"/>
              <w:rPr>
                <w:rFonts w:cs="Arial"/>
                <w:sz w:val="18"/>
                <w:szCs w:val="18"/>
              </w:rPr>
            </w:pPr>
            <w:r w:rsidRPr="006D688A">
              <w:rPr>
                <w:rFonts w:cs="Arial"/>
                <w:sz w:val="18"/>
                <w:szCs w:val="18"/>
              </w:rPr>
              <w:t>223,813</w:t>
            </w:r>
          </w:p>
        </w:tc>
        <w:tc>
          <w:tcPr>
            <w:tcW w:w="236" w:type="dxa"/>
            <w:tcBorders>
              <w:top w:val="nil"/>
              <w:left w:val="nil"/>
              <w:bottom w:val="nil"/>
              <w:right w:val="nil"/>
            </w:tcBorders>
            <w:shd w:val="clear" w:color="FFFFFF" w:fill="FFFFFF"/>
            <w:noWrap/>
            <w:vAlign w:val="bottom"/>
            <w:hideMark/>
          </w:tcPr>
          <w:p w14:paraId="20F404D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C6981F1" w14:textId="77777777" w:rsidR="00520333" w:rsidRPr="006D688A" w:rsidRDefault="00520333" w:rsidP="005E5E0C">
            <w:pPr>
              <w:spacing w:after="0"/>
              <w:jc w:val="right"/>
              <w:rPr>
                <w:rFonts w:cs="Arial"/>
                <w:sz w:val="18"/>
                <w:szCs w:val="18"/>
              </w:rPr>
            </w:pPr>
            <w:r w:rsidRPr="006D688A">
              <w:rPr>
                <w:rFonts w:cs="Arial"/>
                <w:sz w:val="18"/>
                <w:szCs w:val="18"/>
              </w:rPr>
              <w:t>230,931</w:t>
            </w:r>
          </w:p>
        </w:tc>
      </w:tr>
      <w:tr w:rsidR="00520333" w:rsidRPr="006D688A" w14:paraId="37883C0F" w14:textId="77777777" w:rsidTr="005E5E0C">
        <w:trPr>
          <w:trHeight w:val="250"/>
        </w:trPr>
        <w:tc>
          <w:tcPr>
            <w:tcW w:w="4224" w:type="dxa"/>
            <w:tcBorders>
              <w:top w:val="nil"/>
              <w:left w:val="nil"/>
              <w:bottom w:val="nil"/>
              <w:right w:val="nil"/>
            </w:tcBorders>
            <w:shd w:val="clear" w:color="FFFFFF" w:fill="FFFFFF"/>
            <w:vAlign w:val="bottom"/>
            <w:hideMark/>
          </w:tcPr>
          <w:p w14:paraId="657A1147" w14:textId="77777777" w:rsidR="00520333" w:rsidRPr="006D688A" w:rsidRDefault="00520333" w:rsidP="005E5E0C">
            <w:pPr>
              <w:spacing w:after="0"/>
              <w:ind w:firstLineChars="100" w:firstLine="180"/>
              <w:rPr>
                <w:rFonts w:cs="Arial"/>
                <w:sz w:val="18"/>
                <w:szCs w:val="18"/>
              </w:rPr>
            </w:pPr>
            <w:r w:rsidRPr="006D688A">
              <w:rPr>
                <w:rFonts w:cs="Arial"/>
                <w:sz w:val="18"/>
                <w:szCs w:val="18"/>
              </w:rPr>
              <w:t>Plant and equipment</w:t>
            </w:r>
          </w:p>
        </w:tc>
        <w:tc>
          <w:tcPr>
            <w:tcW w:w="1273" w:type="dxa"/>
            <w:tcBorders>
              <w:top w:val="nil"/>
              <w:left w:val="nil"/>
              <w:bottom w:val="nil"/>
              <w:right w:val="nil"/>
            </w:tcBorders>
            <w:shd w:val="clear" w:color="FFFFFF" w:fill="FFFFFF"/>
            <w:noWrap/>
            <w:vAlign w:val="bottom"/>
            <w:hideMark/>
          </w:tcPr>
          <w:p w14:paraId="16F5C9BB" w14:textId="77777777" w:rsidR="00520333" w:rsidRPr="006D688A" w:rsidRDefault="00520333" w:rsidP="005E5E0C">
            <w:pPr>
              <w:spacing w:after="0"/>
              <w:jc w:val="center"/>
              <w:rPr>
                <w:rFonts w:cs="Arial"/>
                <w:sz w:val="18"/>
                <w:szCs w:val="18"/>
              </w:rPr>
            </w:pPr>
            <w:r w:rsidRPr="006D688A">
              <w:rPr>
                <w:rFonts w:cs="Arial"/>
                <w:sz w:val="18"/>
                <w:szCs w:val="18"/>
              </w:rPr>
              <w:t>2.2A</w:t>
            </w:r>
          </w:p>
        </w:tc>
        <w:tc>
          <w:tcPr>
            <w:tcW w:w="1046" w:type="dxa"/>
            <w:tcBorders>
              <w:top w:val="nil"/>
              <w:left w:val="nil"/>
              <w:bottom w:val="nil"/>
              <w:right w:val="nil"/>
            </w:tcBorders>
            <w:shd w:val="clear" w:color="FFFFFF" w:fill="FFFFFF"/>
            <w:noWrap/>
            <w:vAlign w:val="bottom"/>
            <w:hideMark/>
          </w:tcPr>
          <w:p w14:paraId="6E48C4DA" w14:textId="77777777" w:rsidR="00520333" w:rsidRPr="006D688A" w:rsidRDefault="00520333" w:rsidP="005E5E0C">
            <w:pPr>
              <w:spacing w:after="0"/>
              <w:jc w:val="right"/>
              <w:rPr>
                <w:rFonts w:cs="Arial"/>
                <w:b/>
                <w:bCs/>
                <w:sz w:val="18"/>
                <w:szCs w:val="18"/>
              </w:rPr>
            </w:pPr>
            <w:r w:rsidRPr="006D688A">
              <w:rPr>
                <w:rFonts w:cs="Arial"/>
                <w:b/>
                <w:bCs/>
                <w:sz w:val="18"/>
                <w:szCs w:val="18"/>
              </w:rPr>
              <w:t>9,364</w:t>
            </w:r>
          </w:p>
        </w:tc>
        <w:tc>
          <w:tcPr>
            <w:tcW w:w="236" w:type="dxa"/>
            <w:tcBorders>
              <w:top w:val="nil"/>
              <w:left w:val="nil"/>
              <w:bottom w:val="nil"/>
              <w:right w:val="nil"/>
            </w:tcBorders>
            <w:shd w:val="clear" w:color="FFFFFF" w:fill="FFFFFF"/>
            <w:noWrap/>
            <w:vAlign w:val="bottom"/>
            <w:hideMark/>
          </w:tcPr>
          <w:p w14:paraId="78B4C8B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A8424E9" w14:textId="77777777" w:rsidR="00520333" w:rsidRPr="006D688A" w:rsidRDefault="00520333" w:rsidP="005E5E0C">
            <w:pPr>
              <w:spacing w:after="0"/>
              <w:jc w:val="right"/>
              <w:rPr>
                <w:rFonts w:cs="Arial"/>
                <w:sz w:val="18"/>
                <w:szCs w:val="18"/>
              </w:rPr>
            </w:pPr>
            <w:r w:rsidRPr="006D688A">
              <w:rPr>
                <w:rFonts w:cs="Arial"/>
                <w:sz w:val="18"/>
                <w:szCs w:val="18"/>
              </w:rPr>
              <w:t>9,048</w:t>
            </w:r>
          </w:p>
        </w:tc>
        <w:tc>
          <w:tcPr>
            <w:tcW w:w="236" w:type="dxa"/>
            <w:tcBorders>
              <w:top w:val="nil"/>
              <w:left w:val="nil"/>
              <w:bottom w:val="nil"/>
              <w:right w:val="nil"/>
            </w:tcBorders>
            <w:shd w:val="clear" w:color="FFFFFF" w:fill="FFFFFF"/>
            <w:noWrap/>
            <w:vAlign w:val="bottom"/>
            <w:hideMark/>
          </w:tcPr>
          <w:p w14:paraId="4A88ED2A"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01FF3B07" w14:textId="77777777" w:rsidR="00520333" w:rsidRPr="006D688A" w:rsidRDefault="00520333" w:rsidP="005E5E0C">
            <w:pPr>
              <w:spacing w:after="0"/>
              <w:jc w:val="right"/>
              <w:rPr>
                <w:rFonts w:cs="Arial"/>
                <w:sz w:val="18"/>
                <w:szCs w:val="18"/>
              </w:rPr>
            </w:pPr>
            <w:r w:rsidRPr="006D688A">
              <w:rPr>
                <w:rFonts w:cs="Arial"/>
                <w:sz w:val="18"/>
                <w:szCs w:val="18"/>
              </w:rPr>
              <w:t>9,447</w:t>
            </w:r>
          </w:p>
        </w:tc>
      </w:tr>
      <w:tr w:rsidR="00520333" w:rsidRPr="006D688A" w14:paraId="0FB486E6" w14:textId="77777777" w:rsidTr="005E5E0C">
        <w:trPr>
          <w:trHeight w:val="250"/>
        </w:trPr>
        <w:tc>
          <w:tcPr>
            <w:tcW w:w="4224" w:type="dxa"/>
            <w:tcBorders>
              <w:top w:val="nil"/>
              <w:left w:val="nil"/>
              <w:bottom w:val="nil"/>
              <w:right w:val="nil"/>
            </w:tcBorders>
            <w:shd w:val="clear" w:color="FFFFFF" w:fill="FFFFFF"/>
            <w:vAlign w:val="bottom"/>
            <w:hideMark/>
          </w:tcPr>
          <w:p w14:paraId="0074CDFE" w14:textId="77777777" w:rsidR="00520333" w:rsidRPr="006D688A" w:rsidRDefault="00520333" w:rsidP="005E5E0C">
            <w:pPr>
              <w:spacing w:after="0"/>
              <w:ind w:firstLineChars="100" w:firstLine="180"/>
              <w:rPr>
                <w:rFonts w:cs="Arial"/>
                <w:sz w:val="18"/>
                <w:szCs w:val="18"/>
              </w:rPr>
            </w:pPr>
            <w:r w:rsidRPr="006D688A">
              <w:rPr>
                <w:rFonts w:cs="Arial"/>
                <w:sz w:val="18"/>
                <w:szCs w:val="18"/>
              </w:rPr>
              <w:t>Other non-financial assets</w:t>
            </w:r>
          </w:p>
        </w:tc>
        <w:tc>
          <w:tcPr>
            <w:tcW w:w="1273" w:type="dxa"/>
            <w:tcBorders>
              <w:top w:val="nil"/>
              <w:left w:val="nil"/>
              <w:bottom w:val="nil"/>
              <w:right w:val="nil"/>
            </w:tcBorders>
            <w:shd w:val="clear" w:color="FFFFFF" w:fill="FFFFFF"/>
            <w:noWrap/>
            <w:vAlign w:val="bottom"/>
            <w:hideMark/>
          </w:tcPr>
          <w:p w14:paraId="1C0F38C8" w14:textId="77777777" w:rsidR="00520333" w:rsidRPr="006D688A" w:rsidRDefault="00520333" w:rsidP="005E5E0C">
            <w:pPr>
              <w:spacing w:after="0"/>
              <w:jc w:val="center"/>
              <w:rPr>
                <w:rFonts w:cs="Arial"/>
                <w:sz w:val="18"/>
                <w:szCs w:val="18"/>
              </w:rPr>
            </w:pPr>
            <w:r w:rsidRPr="006D688A">
              <w:rPr>
                <w:rFonts w:cs="Arial"/>
                <w:sz w:val="18"/>
                <w:szCs w:val="18"/>
              </w:rPr>
              <w:t>2.2B</w:t>
            </w:r>
          </w:p>
        </w:tc>
        <w:tc>
          <w:tcPr>
            <w:tcW w:w="1046" w:type="dxa"/>
            <w:tcBorders>
              <w:top w:val="nil"/>
              <w:left w:val="nil"/>
              <w:bottom w:val="nil"/>
              <w:right w:val="nil"/>
            </w:tcBorders>
            <w:shd w:val="clear" w:color="FFFFFF" w:fill="FFFFFF"/>
            <w:noWrap/>
            <w:vAlign w:val="bottom"/>
            <w:hideMark/>
          </w:tcPr>
          <w:p w14:paraId="0F020A48" w14:textId="77777777" w:rsidR="00520333" w:rsidRPr="006D688A" w:rsidRDefault="00520333" w:rsidP="005E5E0C">
            <w:pPr>
              <w:spacing w:after="0"/>
              <w:jc w:val="right"/>
              <w:rPr>
                <w:rFonts w:cs="Arial"/>
                <w:b/>
                <w:bCs/>
                <w:sz w:val="18"/>
                <w:szCs w:val="18"/>
              </w:rPr>
            </w:pPr>
            <w:r w:rsidRPr="006D688A">
              <w:rPr>
                <w:rFonts w:cs="Arial"/>
                <w:b/>
                <w:bCs/>
                <w:sz w:val="18"/>
                <w:szCs w:val="18"/>
              </w:rPr>
              <w:t>30,264</w:t>
            </w:r>
          </w:p>
        </w:tc>
        <w:tc>
          <w:tcPr>
            <w:tcW w:w="236" w:type="dxa"/>
            <w:tcBorders>
              <w:top w:val="nil"/>
              <w:left w:val="nil"/>
              <w:bottom w:val="nil"/>
              <w:right w:val="nil"/>
            </w:tcBorders>
            <w:shd w:val="clear" w:color="FFFFFF" w:fill="FFFFFF"/>
            <w:noWrap/>
            <w:vAlign w:val="bottom"/>
            <w:hideMark/>
          </w:tcPr>
          <w:p w14:paraId="5C511EEB"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2F1C0CC1" w14:textId="77777777" w:rsidR="00520333" w:rsidRPr="006D688A" w:rsidRDefault="00520333" w:rsidP="005E5E0C">
            <w:pPr>
              <w:spacing w:after="0"/>
              <w:jc w:val="right"/>
              <w:rPr>
                <w:rFonts w:cs="Arial"/>
                <w:sz w:val="18"/>
                <w:szCs w:val="18"/>
              </w:rPr>
            </w:pPr>
            <w:r w:rsidRPr="006D688A">
              <w:rPr>
                <w:rFonts w:cs="Arial"/>
                <w:sz w:val="18"/>
                <w:szCs w:val="18"/>
              </w:rPr>
              <w:t>26,619</w:t>
            </w:r>
          </w:p>
        </w:tc>
        <w:tc>
          <w:tcPr>
            <w:tcW w:w="236" w:type="dxa"/>
            <w:tcBorders>
              <w:top w:val="nil"/>
              <w:left w:val="nil"/>
              <w:bottom w:val="nil"/>
              <w:right w:val="nil"/>
            </w:tcBorders>
            <w:shd w:val="clear" w:color="FFFFFF" w:fill="FFFFFF"/>
            <w:noWrap/>
            <w:vAlign w:val="bottom"/>
            <w:hideMark/>
          </w:tcPr>
          <w:p w14:paraId="62220F25"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FABDFC6" w14:textId="77777777" w:rsidR="00520333" w:rsidRPr="006D688A" w:rsidRDefault="00520333" w:rsidP="005E5E0C">
            <w:pPr>
              <w:spacing w:after="0"/>
              <w:jc w:val="right"/>
              <w:rPr>
                <w:rFonts w:cs="Arial"/>
                <w:sz w:val="18"/>
                <w:szCs w:val="18"/>
              </w:rPr>
            </w:pPr>
            <w:r w:rsidRPr="006D688A">
              <w:rPr>
                <w:rFonts w:cs="Arial"/>
                <w:sz w:val="18"/>
                <w:szCs w:val="18"/>
              </w:rPr>
              <w:t>23,680</w:t>
            </w:r>
          </w:p>
        </w:tc>
      </w:tr>
      <w:tr w:rsidR="00520333" w:rsidRPr="006D688A" w14:paraId="28658F60" w14:textId="77777777" w:rsidTr="005E5E0C">
        <w:trPr>
          <w:trHeight w:val="250"/>
        </w:trPr>
        <w:tc>
          <w:tcPr>
            <w:tcW w:w="4224" w:type="dxa"/>
            <w:tcBorders>
              <w:top w:val="nil"/>
              <w:left w:val="nil"/>
              <w:bottom w:val="nil"/>
              <w:right w:val="nil"/>
            </w:tcBorders>
            <w:shd w:val="clear" w:color="FFFFFF" w:fill="FFFFFF"/>
            <w:vAlign w:val="bottom"/>
            <w:hideMark/>
          </w:tcPr>
          <w:p w14:paraId="1BA7E279" w14:textId="77777777" w:rsidR="00520333" w:rsidRPr="006D688A" w:rsidRDefault="00520333" w:rsidP="005E5E0C">
            <w:pPr>
              <w:spacing w:after="0"/>
              <w:rPr>
                <w:rFonts w:cs="Arial"/>
                <w:b/>
                <w:bCs/>
                <w:sz w:val="18"/>
                <w:szCs w:val="18"/>
              </w:rPr>
            </w:pPr>
            <w:r w:rsidRPr="006D688A">
              <w:rPr>
                <w:rFonts w:cs="Arial"/>
                <w:b/>
                <w:bCs/>
                <w:sz w:val="18"/>
                <w:szCs w:val="18"/>
              </w:rPr>
              <w:t>Total non-financial assets</w:t>
            </w:r>
          </w:p>
        </w:tc>
        <w:tc>
          <w:tcPr>
            <w:tcW w:w="1273" w:type="dxa"/>
            <w:tcBorders>
              <w:top w:val="nil"/>
              <w:left w:val="nil"/>
              <w:bottom w:val="nil"/>
              <w:right w:val="nil"/>
            </w:tcBorders>
            <w:shd w:val="clear" w:color="FFFFFF" w:fill="FFFFFF"/>
            <w:noWrap/>
            <w:vAlign w:val="bottom"/>
            <w:hideMark/>
          </w:tcPr>
          <w:p w14:paraId="12A80949"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5378FA61" w14:textId="77777777" w:rsidR="00520333" w:rsidRPr="006D688A" w:rsidRDefault="00520333" w:rsidP="005E5E0C">
            <w:pPr>
              <w:spacing w:after="0"/>
              <w:jc w:val="right"/>
              <w:rPr>
                <w:rFonts w:cs="Arial"/>
                <w:b/>
                <w:bCs/>
                <w:sz w:val="18"/>
                <w:szCs w:val="18"/>
              </w:rPr>
            </w:pPr>
            <w:r w:rsidRPr="006D688A">
              <w:rPr>
                <w:rFonts w:cs="Arial"/>
                <w:b/>
                <w:bCs/>
                <w:sz w:val="18"/>
                <w:szCs w:val="18"/>
              </w:rPr>
              <w:t>277,520</w:t>
            </w:r>
          </w:p>
        </w:tc>
        <w:tc>
          <w:tcPr>
            <w:tcW w:w="236" w:type="dxa"/>
            <w:tcBorders>
              <w:top w:val="nil"/>
              <w:left w:val="nil"/>
              <w:bottom w:val="nil"/>
              <w:right w:val="nil"/>
            </w:tcBorders>
            <w:shd w:val="clear" w:color="FFFFFF" w:fill="FFFFFF"/>
            <w:noWrap/>
            <w:vAlign w:val="bottom"/>
            <w:hideMark/>
          </w:tcPr>
          <w:p w14:paraId="632A324E"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64D8B6B8" w14:textId="77777777" w:rsidR="00520333" w:rsidRPr="006D688A" w:rsidRDefault="00520333" w:rsidP="005E5E0C">
            <w:pPr>
              <w:spacing w:after="0"/>
              <w:jc w:val="right"/>
              <w:rPr>
                <w:rFonts w:cs="Arial"/>
                <w:sz w:val="18"/>
                <w:szCs w:val="18"/>
              </w:rPr>
            </w:pPr>
            <w:r w:rsidRPr="006D688A">
              <w:rPr>
                <w:rFonts w:cs="Arial"/>
                <w:sz w:val="18"/>
                <w:szCs w:val="18"/>
              </w:rPr>
              <w:t>259,480</w:t>
            </w:r>
          </w:p>
        </w:tc>
        <w:tc>
          <w:tcPr>
            <w:tcW w:w="236" w:type="dxa"/>
            <w:tcBorders>
              <w:top w:val="nil"/>
              <w:left w:val="nil"/>
              <w:bottom w:val="nil"/>
              <w:right w:val="nil"/>
            </w:tcBorders>
            <w:shd w:val="clear" w:color="FFFFFF" w:fill="FFFFFF"/>
            <w:noWrap/>
            <w:vAlign w:val="bottom"/>
            <w:hideMark/>
          </w:tcPr>
          <w:p w14:paraId="68E6AF9F"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74EC4D7C" w14:textId="77777777" w:rsidR="00520333" w:rsidRPr="006D688A" w:rsidRDefault="00520333" w:rsidP="005E5E0C">
            <w:pPr>
              <w:spacing w:after="0"/>
              <w:jc w:val="right"/>
              <w:rPr>
                <w:rFonts w:cs="Arial"/>
                <w:sz w:val="18"/>
                <w:szCs w:val="18"/>
              </w:rPr>
            </w:pPr>
            <w:r w:rsidRPr="006D688A">
              <w:rPr>
                <w:rFonts w:cs="Arial"/>
                <w:sz w:val="18"/>
                <w:szCs w:val="18"/>
              </w:rPr>
              <w:t>264,058</w:t>
            </w:r>
          </w:p>
        </w:tc>
      </w:tr>
      <w:tr w:rsidR="00520333" w:rsidRPr="006D688A" w14:paraId="3DC00B7D" w14:textId="77777777" w:rsidTr="005E5E0C">
        <w:trPr>
          <w:trHeight w:val="250"/>
        </w:trPr>
        <w:tc>
          <w:tcPr>
            <w:tcW w:w="4224" w:type="dxa"/>
            <w:tcBorders>
              <w:top w:val="nil"/>
              <w:left w:val="nil"/>
              <w:bottom w:val="nil"/>
              <w:right w:val="nil"/>
            </w:tcBorders>
            <w:shd w:val="clear" w:color="FFFFFF" w:fill="FFFFFF"/>
            <w:vAlign w:val="bottom"/>
            <w:hideMark/>
          </w:tcPr>
          <w:p w14:paraId="5B3A1D21" w14:textId="77777777" w:rsidR="00520333" w:rsidRPr="006D688A" w:rsidRDefault="00520333" w:rsidP="005E5E0C">
            <w:pPr>
              <w:spacing w:after="0"/>
              <w:rPr>
                <w:rFonts w:cs="Arial"/>
                <w:b/>
                <w:bCs/>
                <w:sz w:val="18"/>
                <w:szCs w:val="18"/>
              </w:rPr>
            </w:pPr>
            <w:r w:rsidRPr="006D688A">
              <w:rPr>
                <w:rFonts w:cs="Arial"/>
                <w:b/>
                <w:bCs/>
                <w:sz w:val="18"/>
                <w:szCs w:val="18"/>
              </w:rPr>
              <w:t>Total assets</w:t>
            </w:r>
          </w:p>
        </w:tc>
        <w:tc>
          <w:tcPr>
            <w:tcW w:w="1273" w:type="dxa"/>
            <w:tcBorders>
              <w:top w:val="nil"/>
              <w:left w:val="nil"/>
              <w:bottom w:val="nil"/>
              <w:right w:val="nil"/>
            </w:tcBorders>
            <w:shd w:val="clear" w:color="FFFFFF" w:fill="FFFFFF"/>
            <w:noWrap/>
            <w:vAlign w:val="bottom"/>
            <w:hideMark/>
          </w:tcPr>
          <w:p w14:paraId="5F7C7139"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441089AC" w14:textId="77777777" w:rsidR="00520333" w:rsidRPr="006D688A" w:rsidRDefault="00520333" w:rsidP="005E5E0C">
            <w:pPr>
              <w:spacing w:after="0"/>
              <w:jc w:val="right"/>
              <w:rPr>
                <w:rFonts w:cs="Arial"/>
                <w:b/>
                <w:bCs/>
                <w:sz w:val="18"/>
                <w:szCs w:val="18"/>
              </w:rPr>
            </w:pPr>
            <w:r w:rsidRPr="006D688A">
              <w:rPr>
                <w:rFonts w:cs="Arial"/>
                <w:b/>
                <w:bCs/>
                <w:sz w:val="18"/>
                <w:szCs w:val="18"/>
              </w:rPr>
              <w:t>6,037,062</w:t>
            </w:r>
          </w:p>
        </w:tc>
        <w:tc>
          <w:tcPr>
            <w:tcW w:w="236" w:type="dxa"/>
            <w:tcBorders>
              <w:top w:val="nil"/>
              <w:left w:val="nil"/>
              <w:bottom w:val="nil"/>
              <w:right w:val="nil"/>
            </w:tcBorders>
            <w:shd w:val="clear" w:color="FFFFFF" w:fill="FFFFFF"/>
            <w:noWrap/>
            <w:vAlign w:val="bottom"/>
            <w:hideMark/>
          </w:tcPr>
          <w:p w14:paraId="497E6FE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12974098" w14:textId="77777777" w:rsidR="00520333" w:rsidRPr="006D688A" w:rsidRDefault="00520333" w:rsidP="005E5E0C">
            <w:pPr>
              <w:spacing w:after="0"/>
              <w:jc w:val="right"/>
              <w:rPr>
                <w:rFonts w:cs="Arial"/>
                <w:sz w:val="18"/>
                <w:szCs w:val="18"/>
              </w:rPr>
            </w:pPr>
            <w:r w:rsidRPr="006D688A">
              <w:rPr>
                <w:rFonts w:cs="Arial"/>
                <w:sz w:val="18"/>
                <w:szCs w:val="18"/>
              </w:rPr>
              <w:t>4,602,918</w:t>
            </w:r>
          </w:p>
        </w:tc>
        <w:tc>
          <w:tcPr>
            <w:tcW w:w="236" w:type="dxa"/>
            <w:tcBorders>
              <w:top w:val="nil"/>
              <w:left w:val="nil"/>
              <w:bottom w:val="nil"/>
              <w:right w:val="nil"/>
            </w:tcBorders>
            <w:shd w:val="clear" w:color="FFFFFF" w:fill="FFFFFF"/>
            <w:noWrap/>
            <w:vAlign w:val="bottom"/>
            <w:hideMark/>
          </w:tcPr>
          <w:p w14:paraId="4F95B4A0"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3D3F3AD0" w14:textId="77777777" w:rsidR="00520333" w:rsidRPr="006D688A" w:rsidRDefault="00520333" w:rsidP="005E5E0C">
            <w:pPr>
              <w:spacing w:after="0"/>
              <w:jc w:val="right"/>
              <w:rPr>
                <w:rFonts w:cs="Arial"/>
                <w:sz w:val="18"/>
                <w:szCs w:val="18"/>
              </w:rPr>
            </w:pPr>
            <w:r w:rsidRPr="006D688A">
              <w:rPr>
                <w:rFonts w:cs="Arial"/>
                <w:sz w:val="18"/>
                <w:szCs w:val="18"/>
              </w:rPr>
              <w:t>5,994,793</w:t>
            </w:r>
          </w:p>
        </w:tc>
      </w:tr>
      <w:tr w:rsidR="00520333" w:rsidRPr="006D688A" w14:paraId="3FFB143D" w14:textId="77777777" w:rsidTr="005E5E0C">
        <w:trPr>
          <w:trHeight w:val="310"/>
        </w:trPr>
        <w:tc>
          <w:tcPr>
            <w:tcW w:w="4224" w:type="dxa"/>
            <w:tcBorders>
              <w:top w:val="nil"/>
              <w:left w:val="nil"/>
              <w:bottom w:val="nil"/>
              <w:right w:val="nil"/>
            </w:tcBorders>
            <w:shd w:val="clear" w:color="FFFFFF" w:fill="FFFFFF"/>
            <w:vAlign w:val="bottom"/>
            <w:hideMark/>
          </w:tcPr>
          <w:p w14:paraId="0B8590A8"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1E0B332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2EB55860"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E0C171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0DFB53D"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1138A8D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5B15AF4"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5EDA97E3" w14:textId="77777777" w:rsidTr="005E5E0C">
        <w:trPr>
          <w:trHeight w:val="250"/>
        </w:trPr>
        <w:tc>
          <w:tcPr>
            <w:tcW w:w="4224" w:type="dxa"/>
            <w:tcBorders>
              <w:top w:val="nil"/>
              <w:left w:val="nil"/>
              <w:bottom w:val="nil"/>
              <w:right w:val="nil"/>
            </w:tcBorders>
            <w:shd w:val="clear" w:color="FFFFFF" w:fill="FFFFFF"/>
            <w:vAlign w:val="bottom"/>
            <w:hideMark/>
          </w:tcPr>
          <w:p w14:paraId="1E443A95" w14:textId="77777777" w:rsidR="00520333" w:rsidRPr="006D688A" w:rsidRDefault="00520333" w:rsidP="005E5E0C">
            <w:pPr>
              <w:spacing w:after="0"/>
              <w:rPr>
                <w:rFonts w:cs="Arial"/>
                <w:b/>
                <w:bCs/>
                <w:sz w:val="18"/>
                <w:szCs w:val="18"/>
              </w:rPr>
            </w:pPr>
            <w:r w:rsidRPr="006D688A">
              <w:rPr>
                <w:rFonts w:cs="Arial"/>
                <w:b/>
                <w:bCs/>
                <w:sz w:val="18"/>
                <w:szCs w:val="18"/>
              </w:rPr>
              <w:t>LIABILITIES</w:t>
            </w:r>
          </w:p>
        </w:tc>
        <w:tc>
          <w:tcPr>
            <w:tcW w:w="1273" w:type="dxa"/>
            <w:tcBorders>
              <w:top w:val="nil"/>
              <w:left w:val="nil"/>
              <w:bottom w:val="nil"/>
              <w:right w:val="nil"/>
            </w:tcBorders>
            <w:shd w:val="clear" w:color="FFFFFF" w:fill="FFFFFF"/>
            <w:noWrap/>
            <w:vAlign w:val="bottom"/>
            <w:hideMark/>
          </w:tcPr>
          <w:p w14:paraId="3A88387A"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16EB6BB3"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08F8186"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C68E72A"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F792F44"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7172B07"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27995567" w14:textId="77777777" w:rsidTr="005E5E0C">
        <w:trPr>
          <w:trHeight w:val="250"/>
        </w:trPr>
        <w:tc>
          <w:tcPr>
            <w:tcW w:w="4224" w:type="dxa"/>
            <w:tcBorders>
              <w:top w:val="nil"/>
              <w:left w:val="nil"/>
              <w:bottom w:val="nil"/>
              <w:right w:val="nil"/>
            </w:tcBorders>
            <w:shd w:val="clear" w:color="FFFFFF" w:fill="FFFFFF"/>
            <w:vAlign w:val="bottom"/>
            <w:hideMark/>
          </w:tcPr>
          <w:p w14:paraId="0301D255" w14:textId="77777777" w:rsidR="00520333" w:rsidRPr="006D688A" w:rsidRDefault="00520333" w:rsidP="005E5E0C">
            <w:pPr>
              <w:spacing w:after="0"/>
              <w:rPr>
                <w:rFonts w:cs="Arial"/>
                <w:b/>
                <w:bCs/>
                <w:sz w:val="18"/>
                <w:szCs w:val="18"/>
              </w:rPr>
            </w:pPr>
            <w:r w:rsidRPr="006D688A">
              <w:rPr>
                <w:rFonts w:cs="Arial"/>
                <w:b/>
                <w:bCs/>
                <w:sz w:val="18"/>
                <w:szCs w:val="18"/>
              </w:rPr>
              <w:t>Payables</w:t>
            </w:r>
          </w:p>
        </w:tc>
        <w:tc>
          <w:tcPr>
            <w:tcW w:w="1273" w:type="dxa"/>
            <w:tcBorders>
              <w:top w:val="nil"/>
              <w:left w:val="nil"/>
              <w:bottom w:val="nil"/>
              <w:right w:val="nil"/>
            </w:tcBorders>
            <w:shd w:val="clear" w:color="FFFFFF" w:fill="FFFFFF"/>
            <w:noWrap/>
            <w:vAlign w:val="bottom"/>
            <w:hideMark/>
          </w:tcPr>
          <w:p w14:paraId="77EECBCF"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1F0DC89A"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ED584D9"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0566EEC"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EEA1166"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4AA62B3"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24D2AAB1" w14:textId="77777777" w:rsidTr="005E5E0C">
        <w:trPr>
          <w:trHeight w:val="250"/>
        </w:trPr>
        <w:tc>
          <w:tcPr>
            <w:tcW w:w="4224" w:type="dxa"/>
            <w:tcBorders>
              <w:top w:val="nil"/>
              <w:left w:val="nil"/>
              <w:bottom w:val="nil"/>
              <w:right w:val="nil"/>
            </w:tcBorders>
            <w:shd w:val="clear" w:color="FFFFFF" w:fill="FFFFFF"/>
            <w:vAlign w:val="bottom"/>
            <w:hideMark/>
          </w:tcPr>
          <w:p w14:paraId="406E2B3B" w14:textId="77777777" w:rsidR="00520333" w:rsidRPr="006D688A" w:rsidRDefault="00520333" w:rsidP="005E5E0C">
            <w:pPr>
              <w:spacing w:after="0"/>
              <w:ind w:firstLineChars="100" w:firstLine="180"/>
              <w:rPr>
                <w:rFonts w:cs="Arial"/>
                <w:sz w:val="18"/>
                <w:szCs w:val="18"/>
              </w:rPr>
            </w:pPr>
            <w:r w:rsidRPr="006D688A">
              <w:rPr>
                <w:rFonts w:cs="Arial"/>
                <w:sz w:val="18"/>
                <w:szCs w:val="18"/>
              </w:rPr>
              <w:t>Suppliers</w:t>
            </w:r>
          </w:p>
        </w:tc>
        <w:tc>
          <w:tcPr>
            <w:tcW w:w="1273" w:type="dxa"/>
            <w:tcBorders>
              <w:top w:val="nil"/>
              <w:left w:val="nil"/>
              <w:bottom w:val="nil"/>
              <w:right w:val="nil"/>
            </w:tcBorders>
            <w:shd w:val="clear" w:color="FFFFFF" w:fill="FFFFFF"/>
            <w:noWrap/>
            <w:vAlign w:val="bottom"/>
            <w:hideMark/>
          </w:tcPr>
          <w:p w14:paraId="5D7D55F7" w14:textId="77777777" w:rsidR="00520333" w:rsidRPr="006D688A" w:rsidRDefault="00520333" w:rsidP="005E5E0C">
            <w:pPr>
              <w:spacing w:after="0"/>
              <w:jc w:val="center"/>
              <w:rPr>
                <w:rFonts w:cs="Arial"/>
                <w:sz w:val="18"/>
                <w:szCs w:val="18"/>
              </w:rPr>
            </w:pPr>
            <w:r w:rsidRPr="006D688A">
              <w:rPr>
                <w:rFonts w:cs="Arial"/>
                <w:sz w:val="18"/>
                <w:szCs w:val="18"/>
              </w:rPr>
              <w:t>2.3A</w:t>
            </w:r>
          </w:p>
        </w:tc>
        <w:tc>
          <w:tcPr>
            <w:tcW w:w="1046" w:type="dxa"/>
            <w:tcBorders>
              <w:top w:val="nil"/>
              <w:left w:val="nil"/>
              <w:bottom w:val="nil"/>
              <w:right w:val="nil"/>
            </w:tcBorders>
            <w:shd w:val="clear" w:color="FFFFFF" w:fill="FFFFFF"/>
            <w:noWrap/>
            <w:vAlign w:val="bottom"/>
            <w:hideMark/>
          </w:tcPr>
          <w:p w14:paraId="2C57D546" w14:textId="77777777" w:rsidR="00520333" w:rsidRPr="006D688A" w:rsidRDefault="00520333" w:rsidP="005E5E0C">
            <w:pPr>
              <w:spacing w:after="0"/>
              <w:jc w:val="right"/>
              <w:rPr>
                <w:rFonts w:cs="Arial"/>
                <w:b/>
                <w:bCs/>
                <w:sz w:val="18"/>
                <w:szCs w:val="18"/>
              </w:rPr>
            </w:pPr>
            <w:r w:rsidRPr="006D688A">
              <w:rPr>
                <w:rFonts w:cs="Arial"/>
                <w:b/>
                <w:bCs/>
                <w:sz w:val="18"/>
                <w:szCs w:val="18"/>
              </w:rPr>
              <w:t>914,519</w:t>
            </w:r>
          </w:p>
        </w:tc>
        <w:tc>
          <w:tcPr>
            <w:tcW w:w="236" w:type="dxa"/>
            <w:tcBorders>
              <w:top w:val="nil"/>
              <w:left w:val="nil"/>
              <w:bottom w:val="nil"/>
              <w:right w:val="nil"/>
            </w:tcBorders>
            <w:shd w:val="clear" w:color="FFFFFF" w:fill="FFFFFF"/>
            <w:noWrap/>
            <w:vAlign w:val="bottom"/>
            <w:hideMark/>
          </w:tcPr>
          <w:p w14:paraId="409DB187"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CB04C60" w14:textId="77777777" w:rsidR="00520333" w:rsidRPr="006D688A" w:rsidRDefault="00520333" w:rsidP="005E5E0C">
            <w:pPr>
              <w:spacing w:after="0"/>
              <w:jc w:val="right"/>
              <w:rPr>
                <w:rFonts w:cs="Arial"/>
                <w:sz w:val="18"/>
                <w:szCs w:val="18"/>
              </w:rPr>
            </w:pPr>
            <w:r w:rsidRPr="006D688A">
              <w:rPr>
                <w:rFonts w:cs="Arial"/>
                <w:sz w:val="18"/>
                <w:szCs w:val="18"/>
              </w:rPr>
              <w:t>594,071</w:t>
            </w:r>
          </w:p>
        </w:tc>
        <w:tc>
          <w:tcPr>
            <w:tcW w:w="236" w:type="dxa"/>
            <w:tcBorders>
              <w:top w:val="nil"/>
              <w:left w:val="nil"/>
              <w:bottom w:val="nil"/>
              <w:right w:val="nil"/>
            </w:tcBorders>
            <w:shd w:val="clear" w:color="FFFFFF" w:fill="FFFFFF"/>
            <w:noWrap/>
            <w:vAlign w:val="bottom"/>
            <w:hideMark/>
          </w:tcPr>
          <w:p w14:paraId="126EF1E5"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5428AC6" w14:textId="77777777" w:rsidR="00520333" w:rsidRPr="006D688A" w:rsidRDefault="00520333" w:rsidP="005E5E0C">
            <w:pPr>
              <w:spacing w:after="0"/>
              <w:jc w:val="right"/>
              <w:rPr>
                <w:rFonts w:cs="Arial"/>
                <w:sz w:val="18"/>
                <w:szCs w:val="18"/>
              </w:rPr>
            </w:pPr>
            <w:r w:rsidRPr="006D688A">
              <w:rPr>
                <w:rFonts w:cs="Arial"/>
                <w:sz w:val="18"/>
                <w:szCs w:val="18"/>
              </w:rPr>
              <w:t>133,184</w:t>
            </w:r>
          </w:p>
        </w:tc>
      </w:tr>
      <w:tr w:rsidR="00520333" w:rsidRPr="006D688A" w14:paraId="38B8816F" w14:textId="77777777" w:rsidTr="005E5E0C">
        <w:trPr>
          <w:trHeight w:val="250"/>
        </w:trPr>
        <w:tc>
          <w:tcPr>
            <w:tcW w:w="4224" w:type="dxa"/>
            <w:tcBorders>
              <w:top w:val="nil"/>
              <w:left w:val="nil"/>
              <w:bottom w:val="nil"/>
              <w:right w:val="nil"/>
            </w:tcBorders>
            <w:shd w:val="clear" w:color="FFFFFF" w:fill="FFFFFF"/>
            <w:vAlign w:val="bottom"/>
            <w:hideMark/>
          </w:tcPr>
          <w:p w14:paraId="40EB1D32" w14:textId="77777777" w:rsidR="00520333" w:rsidRPr="006D688A" w:rsidRDefault="00520333" w:rsidP="005E5E0C">
            <w:pPr>
              <w:spacing w:after="0"/>
              <w:ind w:firstLineChars="100" w:firstLine="180"/>
              <w:rPr>
                <w:rFonts w:cs="Arial"/>
                <w:sz w:val="18"/>
                <w:szCs w:val="18"/>
              </w:rPr>
            </w:pPr>
            <w:r w:rsidRPr="006D688A">
              <w:rPr>
                <w:rFonts w:cs="Arial"/>
                <w:sz w:val="18"/>
                <w:szCs w:val="18"/>
              </w:rPr>
              <w:t>Other payables</w:t>
            </w:r>
          </w:p>
        </w:tc>
        <w:tc>
          <w:tcPr>
            <w:tcW w:w="1273" w:type="dxa"/>
            <w:tcBorders>
              <w:top w:val="nil"/>
              <w:left w:val="nil"/>
              <w:bottom w:val="nil"/>
              <w:right w:val="nil"/>
            </w:tcBorders>
            <w:shd w:val="clear" w:color="FFFFFF" w:fill="FFFFFF"/>
            <w:noWrap/>
            <w:vAlign w:val="bottom"/>
            <w:hideMark/>
          </w:tcPr>
          <w:p w14:paraId="16CBD94A" w14:textId="77777777" w:rsidR="00520333" w:rsidRPr="006D688A" w:rsidRDefault="00520333" w:rsidP="005E5E0C">
            <w:pPr>
              <w:spacing w:after="0"/>
              <w:jc w:val="center"/>
              <w:rPr>
                <w:rFonts w:cs="Arial"/>
                <w:sz w:val="18"/>
                <w:szCs w:val="18"/>
              </w:rPr>
            </w:pPr>
            <w:r w:rsidRPr="006D688A">
              <w:rPr>
                <w:rFonts w:cs="Arial"/>
                <w:sz w:val="18"/>
                <w:szCs w:val="18"/>
              </w:rPr>
              <w:t>2.3B</w:t>
            </w:r>
          </w:p>
        </w:tc>
        <w:tc>
          <w:tcPr>
            <w:tcW w:w="1046" w:type="dxa"/>
            <w:tcBorders>
              <w:top w:val="nil"/>
              <w:left w:val="nil"/>
              <w:bottom w:val="nil"/>
              <w:right w:val="nil"/>
            </w:tcBorders>
            <w:shd w:val="clear" w:color="FFFFFF" w:fill="FFFFFF"/>
            <w:noWrap/>
            <w:vAlign w:val="bottom"/>
            <w:hideMark/>
          </w:tcPr>
          <w:p w14:paraId="255BA25C" w14:textId="77777777" w:rsidR="00520333" w:rsidRPr="006D688A" w:rsidRDefault="00520333" w:rsidP="005E5E0C">
            <w:pPr>
              <w:spacing w:after="0"/>
              <w:jc w:val="right"/>
              <w:rPr>
                <w:rFonts w:cs="Arial"/>
                <w:b/>
                <w:bCs/>
                <w:sz w:val="18"/>
                <w:szCs w:val="18"/>
              </w:rPr>
            </w:pPr>
            <w:r w:rsidRPr="006D688A">
              <w:rPr>
                <w:rFonts w:cs="Arial"/>
                <w:b/>
                <w:bCs/>
                <w:sz w:val="18"/>
                <w:szCs w:val="18"/>
              </w:rPr>
              <w:t>21,037</w:t>
            </w:r>
          </w:p>
        </w:tc>
        <w:tc>
          <w:tcPr>
            <w:tcW w:w="236" w:type="dxa"/>
            <w:tcBorders>
              <w:top w:val="nil"/>
              <w:left w:val="nil"/>
              <w:bottom w:val="nil"/>
              <w:right w:val="nil"/>
            </w:tcBorders>
            <w:shd w:val="clear" w:color="FFFFFF" w:fill="FFFFFF"/>
            <w:noWrap/>
            <w:vAlign w:val="bottom"/>
            <w:hideMark/>
          </w:tcPr>
          <w:p w14:paraId="477058E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C1023BC" w14:textId="77777777" w:rsidR="00520333" w:rsidRPr="006D688A" w:rsidRDefault="00520333" w:rsidP="005E5E0C">
            <w:pPr>
              <w:spacing w:after="0"/>
              <w:jc w:val="right"/>
              <w:rPr>
                <w:rFonts w:cs="Arial"/>
                <w:sz w:val="18"/>
                <w:szCs w:val="18"/>
              </w:rPr>
            </w:pPr>
            <w:r w:rsidRPr="006D688A">
              <w:rPr>
                <w:rFonts w:cs="Arial"/>
                <w:sz w:val="18"/>
                <w:szCs w:val="18"/>
              </w:rPr>
              <w:t>14,410</w:t>
            </w:r>
          </w:p>
        </w:tc>
        <w:tc>
          <w:tcPr>
            <w:tcW w:w="236" w:type="dxa"/>
            <w:tcBorders>
              <w:top w:val="nil"/>
              <w:left w:val="nil"/>
              <w:bottom w:val="nil"/>
              <w:right w:val="nil"/>
            </w:tcBorders>
            <w:shd w:val="clear" w:color="FFFFFF" w:fill="FFFFFF"/>
            <w:noWrap/>
            <w:vAlign w:val="bottom"/>
            <w:hideMark/>
          </w:tcPr>
          <w:p w14:paraId="5237C08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FE11391" w14:textId="77777777" w:rsidR="00520333" w:rsidRPr="006D688A" w:rsidRDefault="00520333" w:rsidP="005E5E0C">
            <w:pPr>
              <w:spacing w:after="0"/>
              <w:jc w:val="right"/>
              <w:rPr>
                <w:rFonts w:cs="Arial"/>
                <w:sz w:val="18"/>
                <w:szCs w:val="18"/>
              </w:rPr>
            </w:pPr>
            <w:r w:rsidRPr="006D688A">
              <w:rPr>
                <w:rFonts w:cs="Arial"/>
                <w:sz w:val="18"/>
                <w:szCs w:val="18"/>
              </w:rPr>
              <w:t>625,238</w:t>
            </w:r>
          </w:p>
        </w:tc>
      </w:tr>
      <w:tr w:rsidR="00520333" w:rsidRPr="006D688A" w14:paraId="33D6BC8B" w14:textId="77777777" w:rsidTr="005E5E0C">
        <w:trPr>
          <w:trHeight w:val="250"/>
        </w:trPr>
        <w:tc>
          <w:tcPr>
            <w:tcW w:w="4224" w:type="dxa"/>
            <w:tcBorders>
              <w:top w:val="nil"/>
              <w:left w:val="nil"/>
              <w:bottom w:val="nil"/>
              <w:right w:val="nil"/>
            </w:tcBorders>
            <w:shd w:val="clear" w:color="FFFFFF" w:fill="FFFFFF"/>
            <w:vAlign w:val="bottom"/>
            <w:hideMark/>
          </w:tcPr>
          <w:p w14:paraId="194A5E69" w14:textId="77777777" w:rsidR="00520333" w:rsidRPr="006D688A" w:rsidRDefault="00520333" w:rsidP="005E5E0C">
            <w:pPr>
              <w:spacing w:after="0"/>
              <w:rPr>
                <w:rFonts w:cs="Arial"/>
                <w:b/>
                <w:bCs/>
                <w:sz w:val="18"/>
                <w:szCs w:val="18"/>
              </w:rPr>
            </w:pPr>
            <w:r w:rsidRPr="006D688A">
              <w:rPr>
                <w:rFonts w:cs="Arial"/>
                <w:b/>
                <w:bCs/>
                <w:sz w:val="18"/>
                <w:szCs w:val="18"/>
              </w:rPr>
              <w:t>Total payables</w:t>
            </w:r>
          </w:p>
        </w:tc>
        <w:tc>
          <w:tcPr>
            <w:tcW w:w="1273" w:type="dxa"/>
            <w:tcBorders>
              <w:top w:val="nil"/>
              <w:left w:val="nil"/>
              <w:bottom w:val="nil"/>
              <w:right w:val="nil"/>
            </w:tcBorders>
            <w:shd w:val="clear" w:color="FFFFFF" w:fill="FFFFFF"/>
            <w:noWrap/>
            <w:vAlign w:val="bottom"/>
            <w:hideMark/>
          </w:tcPr>
          <w:p w14:paraId="5514A8E0"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149F8533" w14:textId="77777777" w:rsidR="00520333" w:rsidRPr="006D688A" w:rsidRDefault="00520333" w:rsidP="005E5E0C">
            <w:pPr>
              <w:spacing w:after="0"/>
              <w:jc w:val="right"/>
              <w:rPr>
                <w:rFonts w:cs="Arial"/>
                <w:b/>
                <w:bCs/>
                <w:sz w:val="18"/>
                <w:szCs w:val="18"/>
              </w:rPr>
            </w:pPr>
            <w:r w:rsidRPr="006D688A">
              <w:rPr>
                <w:rFonts w:cs="Arial"/>
                <w:b/>
                <w:bCs/>
                <w:sz w:val="18"/>
                <w:szCs w:val="18"/>
              </w:rPr>
              <w:t>935,556</w:t>
            </w:r>
          </w:p>
        </w:tc>
        <w:tc>
          <w:tcPr>
            <w:tcW w:w="236" w:type="dxa"/>
            <w:tcBorders>
              <w:top w:val="nil"/>
              <w:left w:val="nil"/>
              <w:bottom w:val="nil"/>
              <w:right w:val="nil"/>
            </w:tcBorders>
            <w:shd w:val="clear" w:color="FFFFFF" w:fill="FFFFFF"/>
            <w:noWrap/>
            <w:vAlign w:val="bottom"/>
            <w:hideMark/>
          </w:tcPr>
          <w:p w14:paraId="46C5B79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2A21E3D1" w14:textId="77777777" w:rsidR="00520333" w:rsidRPr="006D688A" w:rsidRDefault="00520333" w:rsidP="005E5E0C">
            <w:pPr>
              <w:spacing w:after="0"/>
              <w:jc w:val="right"/>
              <w:rPr>
                <w:rFonts w:cs="Arial"/>
                <w:sz w:val="18"/>
                <w:szCs w:val="18"/>
              </w:rPr>
            </w:pPr>
            <w:r w:rsidRPr="006D688A">
              <w:rPr>
                <w:rFonts w:cs="Arial"/>
                <w:sz w:val="18"/>
                <w:szCs w:val="18"/>
              </w:rPr>
              <w:t>608,481</w:t>
            </w:r>
          </w:p>
        </w:tc>
        <w:tc>
          <w:tcPr>
            <w:tcW w:w="236" w:type="dxa"/>
            <w:tcBorders>
              <w:top w:val="nil"/>
              <w:left w:val="nil"/>
              <w:bottom w:val="nil"/>
              <w:right w:val="nil"/>
            </w:tcBorders>
            <w:shd w:val="clear" w:color="FFFFFF" w:fill="FFFFFF"/>
            <w:noWrap/>
            <w:vAlign w:val="bottom"/>
            <w:hideMark/>
          </w:tcPr>
          <w:p w14:paraId="712DA456"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7F066828" w14:textId="77777777" w:rsidR="00520333" w:rsidRPr="006D688A" w:rsidRDefault="00520333" w:rsidP="005E5E0C">
            <w:pPr>
              <w:spacing w:after="0"/>
              <w:jc w:val="right"/>
              <w:rPr>
                <w:rFonts w:cs="Arial"/>
                <w:sz w:val="18"/>
                <w:szCs w:val="18"/>
              </w:rPr>
            </w:pPr>
            <w:r w:rsidRPr="006D688A">
              <w:rPr>
                <w:rFonts w:cs="Arial"/>
                <w:sz w:val="18"/>
                <w:szCs w:val="18"/>
              </w:rPr>
              <w:t>758,422</w:t>
            </w:r>
          </w:p>
        </w:tc>
      </w:tr>
      <w:tr w:rsidR="00520333" w:rsidRPr="006D688A" w14:paraId="7ECB20A5" w14:textId="77777777" w:rsidTr="005E5E0C">
        <w:trPr>
          <w:trHeight w:val="250"/>
        </w:trPr>
        <w:tc>
          <w:tcPr>
            <w:tcW w:w="4224" w:type="dxa"/>
            <w:tcBorders>
              <w:top w:val="nil"/>
              <w:left w:val="nil"/>
              <w:bottom w:val="nil"/>
              <w:right w:val="nil"/>
            </w:tcBorders>
            <w:shd w:val="clear" w:color="FFFFFF" w:fill="FFFFFF"/>
            <w:noWrap/>
            <w:vAlign w:val="bottom"/>
            <w:hideMark/>
          </w:tcPr>
          <w:p w14:paraId="500BFDA2"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770E0138" w14:textId="77777777" w:rsidR="00520333" w:rsidRPr="006D688A" w:rsidRDefault="00520333" w:rsidP="005E5E0C">
            <w:pPr>
              <w:spacing w:after="0"/>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6F51CB95"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FFC1847"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53C2D1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09AA845"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8361B88"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1CDD83C1" w14:textId="77777777" w:rsidTr="005E5E0C">
        <w:trPr>
          <w:trHeight w:val="250"/>
        </w:trPr>
        <w:tc>
          <w:tcPr>
            <w:tcW w:w="4224" w:type="dxa"/>
            <w:tcBorders>
              <w:top w:val="nil"/>
              <w:left w:val="nil"/>
              <w:bottom w:val="nil"/>
              <w:right w:val="nil"/>
            </w:tcBorders>
            <w:shd w:val="clear" w:color="FFFFFF" w:fill="FFFFFF"/>
            <w:vAlign w:val="bottom"/>
            <w:hideMark/>
          </w:tcPr>
          <w:p w14:paraId="51B05DE4" w14:textId="77777777" w:rsidR="00520333" w:rsidRPr="006D688A" w:rsidRDefault="00520333" w:rsidP="005E5E0C">
            <w:pPr>
              <w:spacing w:after="0"/>
              <w:rPr>
                <w:rFonts w:cs="Arial"/>
                <w:b/>
                <w:bCs/>
                <w:sz w:val="18"/>
                <w:szCs w:val="18"/>
              </w:rPr>
            </w:pPr>
            <w:r w:rsidRPr="006D688A">
              <w:rPr>
                <w:rFonts w:cs="Arial"/>
                <w:b/>
                <w:bCs/>
                <w:sz w:val="18"/>
                <w:szCs w:val="18"/>
              </w:rPr>
              <w:t>Interest bearing liabilities</w:t>
            </w:r>
          </w:p>
        </w:tc>
        <w:tc>
          <w:tcPr>
            <w:tcW w:w="1273" w:type="dxa"/>
            <w:tcBorders>
              <w:top w:val="nil"/>
              <w:left w:val="nil"/>
              <w:bottom w:val="nil"/>
              <w:right w:val="nil"/>
            </w:tcBorders>
            <w:shd w:val="clear" w:color="FFFFFF" w:fill="FFFFFF"/>
            <w:noWrap/>
            <w:vAlign w:val="bottom"/>
            <w:hideMark/>
          </w:tcPr>
          <w:p w14:paraId="760EC8B8"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30373354"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0B8FA5A"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3692A8E"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4927DF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2F6B07E"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722DE09F" w14:textId="77777777" w:rsidTr="005E5E0C">
        <w:trPr>
          <w:trHeight w:val="250"/>
        </w:trPr>
        <w:tc>
          <w:tcPr>
            <w:tcW w:w="4224" w:type="dxa"/>
            <w:tcBorders>
              <w:top w:val="nil"/>
              <w:left w:val="nil"/>
              <w:bottom w:val="nil"/>
              <w:right w:val="nil"/>
            </w:tcBorders>
            <w:shd w:val="clear" w:color="FFFFFF" w:fill="FFFFFF"/>
            <w:vAlign w:val="bottom"/>
            <w:hideMark/>
          </w:tcPr>
          <w:p w14:paraId="79143C81" w14:textId="77777777" w:rsidR="00520333" w:rsidRPr="006D688A" w:rsidRDefault="00520333" w:rsidP="005E5E0C">
            <w:pPr>
              <w:spacing w:after="0"/>
              <w:ind w:firstLineChars="100" w:firstLine="180"/>
              <w:rPr>
                <w:rFonts w:cs="Arial"/>
                <w:sz w:val="18"/>
                <w:szCs w:val="18"/>
              </w:rPr>
            </w:pPr>
            <w:r w:rsidRPr="006D688A">
              <w:rPr>
                <w:rFonts w:cs="Arial"/>
                <w:sz w:val="18"/>
                <w:szCs w:val="18"/>
              </w:rPr>
              <w:t>Leases</w:t>
            </w:r>
          </w:p>
        </w:tc>
        <w:tc>
          <w:tcPr>
            <w:tcW w:w="1273" w:type="dxa"/>
            <w:tcBorders>
              <w:top w:val="nil"/>
              <w:left w:val="nil"/>
              <w:bottom w:val="nil"/>
              <w:right w:val="nil"/>
            </w:tcBorders>
            <w:shd w:val="clear" w:color="FFFFFF" w:fill="FFFFFF"/>
            <w:noWrap/>
            <w:vAlign w:val="bottom"/>
            <w:hideMark/>
          </w:tcPr>
          <w:p w14:paraId="18622650" w14:textId="77777777" w:rsidR="00520333" w:rsidRPr="006D688A" w:rsidRDefault="00520333" w:rsidP="005E5E0C">
            <w:pPr>
              <w:spacing w:after="0"/>
              <w:jc w:val="center"/>
              <w:rPr>
                <w:rFonts w:cs="Arial"/>
                <w:sz w:val="18"/>
                <w:szCs w:val="18"/>
              </w:rPr>
            </w:pPr>
            <w:r w:rsidRPr="006D688A">
              <w:rPr>
                <w:rFonts w:cs="Arial"/>
                <w:sz w:val="18"/>
                <w:szCs w:val="18"/>
              </w:rPr>
              <w:t>2.5</w:t>
            </w:r>
          </w:p>
        </w:tc>
        <w:tc>
          <w:tcPr>
            <w:tcW w:w="1046" w:type="dxa"/>
            <w:tcBorders>
              <w:top w:val="nil"/>
              <w:left w:val="nil"/>
              <w:bottom w:val="nil"/>
              <w:right w:val="nil"/>
            </w:tcBorders>
            <w:shd w:val="clear" w:color="FFFFFF" w:fill="FFFFFF"/>
            <w:noWrap/>
            <w:vAlign w:val="bottom"/>
            <w:hideMark/>
          </w:tcPr>
          <w:p w14:paraId="086491E0" w14:textId="77777777" w:rsidR="00520333" w:rsidRPr="006D688A" w:rsidRDefault="00520333" w:rsidP="005E5E0C">
            <w:pPr>
              <w:spacing w:after="0"/>
              <w:jc w:val="right"/>
              <w:rPr>
                <w:rFonts w:cs="Arial"/>
                <w:b/>
                <w:bCs/>
                <w:sz w:val="18"/>
                <w:szCs w:val="18"/>
              </w:rPr>
            </w:pPr>
            <w:r w:rsidRPr="006D688A">
              <w:rPr>
                <w:rFonts w:cs="Arial"/>
                <w:b/>
                <w:bCs/>
                <w:sz w:val="18"/>
                <w:szCs w:val="18"/>
              </w:rPr>
              <w:t>166,659</w:t>
            </w:r>
          </w:p>
        </w:tc>
        <w:tc>
          <w:tcPr>
            <w:tcW w:w="236" w:type="dxa"/>
            <w:tcBorders>
              <w:top w:val="nil"/>
              <w:left w:val="nil"/>
              <w:bottom w:val="nil"/>
              <w:right w:val="nil"/>
            </w:tcBorders>
            <w:shd w:val="clear" w:color="FFFFFF" w:fill="FFFFFF"/>
            <w:noWrap/>
            <w:vAlign w:val="bottom"/>
            <w:hideMark/>
          </w:tcPr>
          <w:p w14:paraId="153CE47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C148104" w14:textId="77777777" w:rsidR="00520333" w:rsidRPr="006D688A" w:rsidRDefault="00520333" w:rsidP="005E5E0C">
            <w:pPr>
              <w:spacing w:after="0"/>
              <w:jc w:val="right"/>
              <w:rPr>
                <w:rFonts w:cs="Arial"/>
                <w:sz w:val="18"/>
                <w:szCs w:val="18"/>
              </w:rPr>
            </w:pPr>
            <w:r w:rsidRPr="006D688A">
              <w:rPr>
                <w:rFonts w:cs="Arial"/>
                <w:sz w:val="18"/>
                <w:szCs w:val="18"/>
              </w:rPr>
              <w:t>147,954</w:t>
            </w:r>
          </w:p>
        </w:tc>
        <w:tc>
          <w:tcPr>
            <w:tcW w:w="236" w:type="dxa"/>
            <w:tcBorders>
              <w:top w:val="nil"/>
              <w:left w:val="nil"/>
              <w:bottom w:val="nil"/>
              <w:right w:val="nil"/>
            </w:tcBorders>
            <w:shd w:val="clear" w:color="FFFFFF" w:fill="FFFFFF"/>
            <w:noWrap/>
            <w:vAlign w:val="bottom"/>
            <w:hideMark/>
          </w:tcPr>
          <w:p w14:paraId="19A6589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DA23091" w14:textId="77777777" w:rsidR="00520333" w:rsidRPr="006D688A" w:rsidRDefault="00520333" w:rsidP="005E5E0C">
            <w:pPr>
              <w:spacing w:after="0"/>
              <w:jc w:val="right"/>
              <w:rPr>
                <w:rFonts w:cs="Arial"/>
                <w:sz w:val="18"/>
                <w:szCs w:val="18"/>
              </w:rPr>
            </w:pPr>
            <w:r w:rsidRPr="006D688A">
              <w:rPr>
                <w:rFonts w:cs="Arial"/>
                <w:sz w:val="18"/>
                <w:szCs w:val="18"/>
              </w:rPr>
              <w:t>169,944</w:t>
            </w:r>
          </w:p>
        </w:tc>
      </w:tr>
      <w:tr w:rsidR="00520333" w:rsidRPr="006D688A" w14:paraId="03F4A262" w14:textId="77777777" w:rsidTr="005E5E0C">
        <w:trPr>
          <w:trHeight w:val="250"/>
        </w:trPr>
        <w:tc>
          <w:tcPr>
            <w:tcW w:w="4224" w:type="dxa"/>
            <w:tcBorders>
              <w:top w:val="nil"/>
              <w:left w:val="nil"/>
              <w:bottom w:val="nil"/>
              <w:right w:val="nil"/>
            </w:tcBorders>
            <w:shd w:val="clear" w:color="FFFFFF" w:fill="FFFFFF"/>
            <w:vAlign w:val="bottom"/>
            <w:hideMark/>
          </w:tcPr>
          <w:p w14:paraId="650F2B92" w14:textId="77777777" w:rsidR="00520333" w:rsidRPr="006D688A" w:rsidRDefault="00520333" w:rsidP="005E5E0C">
            <w:pPr>
              <w:spacing w:after="0"/>
              <w:rPr>
                <w:rFonts w:cs="Arial"/>
                <w:b/>
                <w:bCs/>
                <w:sz w:val="18"/>
                <w:szCs w:val="18"/>
              </w:rPr>
            </w:pPr>
            <w:r w:rsidRPr="006D688A">
              <w:rPr>
                <w:rFonts w:cs="Arial"/>
                <w:b/>
                <w:bCs/>
                <w:sz w:val="18"/>
                <w:szCs w:val="18"/>
              </w:rPr>
              <w:t>Total interest bearing liabilities</w:t>
            </w:r>
          </w:p>
        </w:tc>
        <w:tc>
          <w:tcPr>
            <w:tcW w:w="1273" w:type="dxa"/>
            <w:tcBorders>
              <w:top w:val="nil"/>
              <w:left w:val="nil"/>
              <w:bottom w:val="nil"/>
              <w:right w:val="nil"/>
            </w:tcBorders>
            <w:shd w:val="clear" w:color="FFFFFF" w:fill="FFFFFF"/>
            <w:noWrap/>
            <w:vAlign w:val="bottom"/>
            <w:hideMark/>
          </w:tcPr>
          <w:p w14:paraId="12076AF7"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419F40ED" w14:textId="77777777" w:rsidR="00520333" w:rsidRPr="006D688A" w:rsidRDefault="00520333" w:rsidP="005E5E0C">
            <w:pPr>
              <w:spacing w:after="0"/>
              <w:jc w:val="right"/>
              <w:rPr>
                <w:rFonts w:cs="Arial"/>
                <w:b/>
                <w:bCs/>
                <w:sz w:val="18"/>
                <w:szCs w:val="18"/>
              </w:rPr>
            </w:pPr>
            <w:r w:rsidRPr="006D688A">
              <w:rPr>
                <w:rFonts w:cs="Arial"/>
                <w:b/>
                <w:bCs/>
                <w:sz w:val="18"/>
                <w:szCs w:val="18"/>
              </w:rPr>
              <w:t>166,659</w:t>
            </w:r>
          </w:p>
        </w:tc>
        <w:tc>
          <w:tcPr>
            <w:tcW w:w="236" w:type="dxa"/>
            <w:tcBorders>
              <w:top w:val="nil"/>
              <w:left w:val="nil"/>
              <w:bottom w:val="nil"/>
              <w:right w:val="nil"/>
            </w:tcBorders>
            <w:shd w:val="clear" w:color="FFFFFF" w:fill="FFFFFF"/>
            <w:noWrap/>
            <w:vAlign w:val="bottom"/>
            <w:hideMark/>
          </w:tcPr>
          <w:p w14:paraId="158A8A9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7EF43339" w14:textId="77777777" w:rsidR="00520333" w:rsidRPr="006D688A" w:rsidRDefault="00520333" w:rsidP="005E5E0C">
            <w:pPr>
              <w:spacing w:after="0"/>
              <w:jc w:val="right"/>
              <w:rPr>
                <w:rFonts w:cs="Arial"/>
                <w:sz w:val="18"/>
                <w:szCs w:val="18"/>
              </w:rPr>
            </w:pPr>
            <w:r w:rsidRPr="006D688A">
              <w:rPr>
                <w:rFonts w:cs="Arial"/>
                <w:sz w:val="18"/>
                <w:szCs w:val="18"/>
              </w:rPr>
              <w:t>147,954</w:t>
            </w:r>
          </w:p>
        </w:tc>
        <w:tc>
          <w:tcPr>
            <w:tcW w:w="236" w:type="dxa"/>
            <w:tcBorders>
              <w:top w:val="nil"/>
              <w:left w:val="nil"/>
              <w:bottom w:val="nil"/>
              <w:right w:val="nil"/>
            </w:tcBorders>
            <w:shd w:val="clear" w:color="FFFFFF" w:fill="FFFFFF"/>
            <w:noWrap/>
            <w:vAlign w:val="bottom"/>
            <w:hideMark/>
          </w:tcPr>
          <w:p w14:paraId="795E0684"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272CFD0D" w14:textId="77777777" w:rsidR="00520333" w:rsidRPr="006D688A" w:rsidRDefault="00520333" w:rsidP="005E5E0C">
            <w:pPr>
              <w:spacing w:after="0"/>
              <w:jc w:val="right"/>
              <w:rPr>
                <w:rFonts w:cs="Arial"/>
                <w:sz w:val="18"/>
                <w:szCs w:val="18"/>
              </w:rPr>
            </w:pPr>
            <w:r w:rsidRPr="006D688A">
              <w:rPr>
                <w:rFonts w:cs="Arial"/>
                <w:sz w:val="18"/>
                <w:szCs w:val="18"/>
              </w:rPr>
              <w:t>169,944</w:t>
            </w:r>
          </w:p>
        </w:tc>
      </w:tr>
      <w:tr w:rsidR="00520333" w:rsidRPr="006D688A" w14:paraId="164CA7BF" w14:textId="77777777" w:rsidTr="005E5E0C">
        <w:trPr>
          <w:trHeight w:val="250"/>
        </w:trPr>
        <w:tc>
          <w:tcPr>
            <w:tcW w:w="4224" w:type="dxa"/>
            <w:tcBorders>
              <w:top w:val="nil"/>
              <w:left w:val="nil"/>
              <w:bottom w:val="nil"/>
              <w:right w:val="nil"/>
            </w:tcBorders>
            <w:shd w:val="clear" w:color="FFFFFF" w:fill="FFFFFF"/>
            <w:noWrap/>
            <w:vAlign w:val="bottom"/>
            <w:hideMark/>
          </w:tcPr>
          <w:p w14:paraId="5B064817"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1B0886EE" w14:textId="77777777" w:rsidR="00520333" w:rsidRPr="006D688A" w:rsidRDefault="00520333" w:rsidP="005E5E0C">
            <w:pPr>
              <w:spacing w:after="0"/>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312D1381"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9521AC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DDAE345"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14D9BC4"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95D95E7"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03EA6715" w14:textId="77777777" w:rsidTr="005E5E0C">
        <w:trPr>
          <w:trHeight w:val="250"/>
        </w:trPr>
        <w:tc>
          <w:tcPr>
            <w:tcW w:w="4224" w:type="dxa"/>
            <w:tcBorders>
              <w:top w:val="nil"/>
              <w:left w:val="nil"/>
              <w:bottom w:val="nil"/>
              <w:right w:val="nil"/>
            </w:tcBorders>
            <w:shd w:val="clear" w:color="FFFFFF" w:fill="FFFFFF"/>
            <w:vAlign w:val="bottom"/>
            <w:hideMark/>
          </w:tcPr>
          <w:p w14:paraId="15CC025C" w14:textId="77777777" w:rsidR="00520333" w:rsidRPr="006D688A" w:rsidRDefault="00520333" w:rsidP="005E5E0C">
            <w:pPr>
              <w:spacing w:after="0"/>
              <w:rPr>
                <w:rFonts w:cs="Arial"/>
                <w:b/>
                <w:bCs/>
                <w:sz w:val="18"/>
                <w:szCs w:val="18"/>
              </w:rPr>
            </w:pPr>
            <w:r w:rsidRPr="006D688A">
              <w:rPr>
                <w:rFonts w:cs="Arial"/>
                <w:b/>
                <w:bCs/>
                <w:sz w:val="18"/>
                <w:szCs w:val="18"/>
              </w:rPr>
              <w:t>Unearned revenue</w:t>
            </w:r>
          </w:p>
        </w:tc>
        <w:tc>
          <w:tcPr>
            <w:tcW w:w="1273" w:type="dxa"/>
            <w:tcBorders>
              <w:top w:val="nil"/>
              <w:left w:val="nil"/>
              <w:bottom w:val="nil"/>
              <w:right w:val="nil"/>
            </w:tcBorders>
            <w:shd w:val="clear" w:color="FFFFFF" w:fill="FFFFFF"/>
            <w:noWrap/>
            <w:vAlign w:val="bottom"/>
            <w:hideMark/>
          </w:tcPr>
          <w:p w14:paraId="4E83513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1ECED9D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087A516"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ED4F543"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AD1F4F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3B077A2"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50A0BCB" w14:textId="77777777" w:rsidTr="005E5E0C">
        <w:trPr>
          <w:trHeight w:val="268"/>
        </w:trPr>
        <w:tc>
          <w:tcPr>
            <w:tcW w:w="4224" w:type="dxa"/>
            <w:tcBorders>
              <w:top w:val="nil"/>
              <w:left w:val="nil"/>
              <w:bottom w:val="nil"/>
              <w:right w:val="nil"/>
            </w:tcBorders>
            <w:shd w:val="clear" w:color="FFFFFF" w:fill="FFFFFF"/>
            <w:vAlign w:val="bottom"/>
            <w:hideMark/>
          </w:tcPr>
          <w:p w14:paraId="52815350" w14:textId="77777777" w:rsidR="00520333" w:rsidRPr="006D688A" w:rsidRDefault="00520333" w:rsidP="005E5E0C">
            <w:pPr>
              <w:spacing w:after="0"/>
              <w:ind w:firstLineChars="100" w:firstLine="180"/>
              <w:rPr>
                <w:rFonts w:cs="Arial"/>
                <w:sz w:val="18"/>
                <w:szCs w:val="18"/>
              </w:rPr>
            </w:pPr>
            <w:r w:rsidRPr="006D688A">
              <w:rPr>
                <w:rFonts w:cs="Arial"/>
                <w:sz w:val="18"/>
                <w:szCs w:val="18"/>
              </w:rPr>
              <w:t>Unearned revenue</w:t>
            </w:r>
          </w:p>
        </w:tc>
        <w:tc>
          <w:tcPr>
            <w:tcW w:w="1273" w:type="dxa"/>
            <w:tcBorders>
              <w:top w:val="nil"/>
              <w:left w:val="nil"/>
              <w:bottom w:val="nil"/>
              <w:right w:val="nil"/>
            </w:tcBorders>
            <w:shd w:val="clear" w:color="FFFFFF" w:fill="FFFFFF"/>
            <w:noWrap/>
            <w:vAlign w:val="bottom"/>
            <w:hideMark/>
          </w:tcPr>
          <w:p w14:paraId="4666173A" w14:textId="77777777" w:rsidR="00520333" w:rsidRPr="006D688A" w:rsidRDefault="00520333" w:rsidP="005E5E0C">
            <w:pPr>
              <w:spacing w:after="0"/>
              <w:jc w:val="center"/>
              <w:rPr>
                <w:rFonts w:cs="Arial"/>
                <w:sz w:val="18"/>
                <w:szCs w:val="18"/>
              </w:rPr>
            </w:pPr>
            <w:r w:rsidRPr="006D688A">
              <w:rPr>
                <w:rFonts w:cs="Arial"/>
                <w:sz w:val="18"/>
                <w:szCs w:val="18"/>
              </w:rPr>
              <w:t>2.4</w:t>
            </w:r>
          </w:p>
        </w:tc>
        <w:tc>
          <w:tcPr>
            <w:tcW w:w="1046" w:type="dxa"/>
            <w:tcBorders>
              <w:top w:val="nil"/>
              <w:left w:val="nil"/>
              <w:bottom w:val="nil"/>
              <w:right w:val="nil"/>
            </w:tcBorders>
            <w:shd w:val="clear" w:color="FFFFFF" w:fill="FFFFFF"/>
            <w:noWrap/>
            <w:vAlign w:val="bottom"/>
            <w:hideMark/>
          </w:tcPr>
          <w:p w14:paraId="5595ECE0" w14:textId="77777777" w:rsidR="00520333" w:rsidRPr="006D688A" w:rsidRDefault="00520333" w:rsidP="005E5E0C">
            <w:pPr>
              <w:spacing w:after="0"/>
              <w:jc w:val="right"/>
              <w:rPr>
                <w:rFonts w:cs="Arial"/>
                <w:b/>
                <w:bCs/>
                <w:sz w:val="18"/>
                <w:szCs w:val="18"/>
              </w:rPr>
            </w:pPr>
            <w:r w:rsidRPr="006D688A">
              <w:rPr>
                <w:rFonts w:cs="Arial"/>
                <w:b/>
                <w:bCs/>
                <w:sz w:val="18"/>
                <w:szCs w:val="18"/>
              </w:rPr>
              <w:t>413,969</w:t>
            </w:r>
          </w:p>
        </w:tc>
        <w:tc>
          <w:tcPr>
            <w:tcW w:w="236" w:type="dxa"/>
            <w:tcBorders>
              <w:top w:val="nil"/>
              <w:left w:val="nil"/>
              <w:bottom w:val="nil"/>
              <w:right w:val="nil"/>
            </w:tcBorders>
            <w:shd w:val="clear" w:color="FFFFFF" w:fill="FFFFFF"/>
            <w:noWrap/>
            <w:vAlign w:val="bottom"/>
            <w:hideMark/>
          </w:tcPr>
          <w:p w14:paraId="73AD4149"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8AE8DA5" w14:textId="77777777" w:rsidR="00520333" w:rsidRPr="006D688A" w:rsidRDefault="00520333" w:rsidP="005E5E0C">
            <w:pPr>
              <w:spacing w:after="0"/>
              <w:jc w:val="right"/>
              <w:rPr>
                <w:rFonts w:cs="Arial"/>
                <w:sz w:val="18"/>
                <w:szCs w:val="18"/>
              </w:rPr>
            </w:pPr>
            <w:r w:rsidRPr="006D688A">
              <w:rPr>
                <w:rFonts w:cs="Arial"/>
                <w:sz w:val="18"/>
                <w:szCs w:val="18"/>
              </w:rPr>
              <w:t>506,442</w:t>
            </w:r>
          </w:p>
        </w:tc>
        <w:tc>
          <w:tcPr>
            <w:tcW w:w="236" w:type="dxa"/>
            <w:tcBorders>
              <w:top w:val="nil"/>
              <w:left w:val="nil"/>
              <w:bottom w:val="nil"/>
              <w:right w:val="nil"/>
            </w:tcBorders>
            <w:shd w:val="clear" w:color="FFFFFF" w:fill="FFFFFF"/>
            <w:noWrap/>
            <w:vAlign w:val="bottom"/>
            <w:hideMark/>
          </w:tcPr>
          <w:p w14:paraId="3B7CE429"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149BDFB"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r>
      <w:tr w:rsidR="00520333" w:rsidRPr="006D688A" w14:paraId="0E899ACA" w14:textId="77777777" w:rsidTr="005E5E0C">
        <w:trPr>
          <w:trHeight w:val="268"/>
        </w:trPr>
        <w:tc>
          <w:tcPr>
            <w:tcW w:w="4224" w:type="dxa"/>
            <w:tcBorders>
              <w:top w:val="nil"/>
              <w:left w:val="nil"/>
              <w:bottom w:val="nil"/>
              <w:right w:val="nil"/>
            </w:tcBorders>
            <w:shd w:val="clear" w:color="FFFFFF" w:fill="FFFFFF"/>
            <w:vAlign w:val="bottom"/>
            <w:hideMark/>
          </w:tcPr>
          <w:p w14:paraId="2D733AC5" w14:textId="77777777" w:rsidR="00520333" w:rsidRPr="006D688A" w:rsidRDefault="00520333" w:rsidP="005E5E0C">
            <w:pPr>
              <w:spacing w:after="0"/>
              <w:rPr>
                <w:rFonts w:cs="Arial"/>
                <w:b/>
                <w:bCs/>
                <w:sz w:val="18"/>
                <w:szCs w:val="18"/>
              </w:rPr>
            </w:pPr>
            <w:r w:rsidRPr="006D688A">
              <w:rPr>
                <w:rFonts w:cs="Arial"/>
                <w:b/>
                <w:bCs/>
                <w:sz w:val="18"/>
                <w:szCs w:val="18"/>
              </w:rPr>
              <w:t>Total unearned revenue</w:t>
            </w:r>
          </w:p>
        </w:tc>
        <w:tc>
          <w:tcPr>
            <w:tcW w:w="1273" w:type="dxa"/>
            <w:tcBorders>
              <w:top w:val="nil"/>
              <w:left w:val="nil"/>
              <w:bottom w:val="nil"/>
              <w:right w:val="nil"/>
            </w:tcBorders>
            <w:shd w:val="clear" w:color="FFFFFF" w:fill="FFFFFF"/>
            <w:noWrap/>
            <w:vAlign w:val="bottom"/>
            <w:hideMark/>
          </w:tcPr>
          <w:p w14:paraId="38A2711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4AD9F4F8" w14:textId="77777777" w:rsidR="00520333" w:rsidRPr="006D688A" w:rsidRDefault="00520333" w:rsidP="005E5E0C">
            <w:pPr>
              <w:spacing w:after="0"/>
              <w:jc w:val="right"/>
              <w:rPr>
                <w:rFonts w:cs="Arial"/>
                <w:b/>
                <w:bCs/>
                <w:sz w:val="18"/>
                <w:szCs w:val="18"/>
              </w:rPr>
            </w:pPr>
            <w:r w:rsidRPr="006D688A">
              <w:rPr>
                <w:rFonts w:cs="Arial"/>
                <w:b/>
                <w:bCs/>
                <w:sz w:val="18"/>
                <w:szCs w:val="18"/>
              </w:rPr>
              <w:t>413,969</w:t>
            </w:r>
          </w:p>
        </w:tc>
        <w:tc>
          <w:tcPr>
            <w:tcW w:w="236" w:type="dxa"/>
            <w:tcBorders>
              <w:top w:val="nil"/>
              <w:left w:val="nil"/>
              <w:bottom w:val="nil"/>
              <w:right w:val="nil"/>
            </w:tcBorders>
            <w:shd w:val="clear" w:color="FFFFFF" w:fill="FFFFFF"/>
            <w:noWrap/>
            <w:vAlign w:val="bottom"/>
            <w:hideMark/>
          </w:tcPr>
          <w:p w14:paraId="2697B7F8"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257971D3" w14:textId="77777777" w:rsidR="00520333" w:rsidRPr="006D688A" w:rsidRDefault="00520333" w:rsidP="005E5E0C">
            <w:pPr>
              <w:spacing w:after="0"/>
              <w:jc w:val="right"/>
              <w:rPr>
                <w:rFonts w:cs="Arial"/>
                <w:sz w:val="18"/>
                <w:szCs w:val="18"/>
              </w:rPr>
            </w:pPr>
            <w:r w:rsidRPr="006D688A">
              <w:rPr>
                <w:rFonts w:cs="Arial"/>
                <w:sz w:val="18"/>
                <w:szCs w:val="18"/>
              </w:rPr>
              <w:t>506,442</w:t>
            </w:r>
          </w:p>
        </w:tc>
        <w:tc>
          <w:tcPr>
            <w:tcW w:w="236" w:type="dxa"/>
            <w:tcBorders>
              <w:top w:val="nil"/>
              <w:left w:val="nil"/>
              <w:bottom w:val="nil"/>
              <w:right w:val="nil"/>
            </w:tcBorders>
            <w:shd w:val="clear" w:color="FFFFFF" w:fill="FFFFFF"/>
            <w:noWrap/>
            <w:vAlign w:val="bottom"/>
            <w:hideMark/>
          </w:tcPr>
          <w:p w14:paraId="3F105F2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721E46A8" w14:textId="77777777" w:rsidR="00520333" w:rsidRPr="006D688A" w:rsidRDefault="00520333" w:rsidP="005E5E0C">
            <w:pPr>
              <w:spacing w:after="0"/>
              <w:jc w:val="right"/>
              <w:rPr>
                <w:rFonts w:cs="Arial"/>
                <w:sz w:val="18"/>
                <w:szCs w:val="18"/>
              </w:rPr>
            </w:pPr>
            <w:r w:rsidRPr="006D688A">
              <w:rPr>
                <w:rFonts w:cs="Arial"/>
                <w:sz w:val="18"/>
                <w:szCs w:val="18"/>
              </w:rPr>
              <w:t>-</w:t>
            </w:r>
          </w:p>
        </w:tc>
      </w:tr>
      <w:tr w:rsidR="00520333" w:rsidRPr="006D688A" w14:paraId="224E4F4C" w14:textId="77777777" w:rsidTr="005E5E0C">
        <w:trPr>
          <w:trHeight w:val="268"/>
        </w:trPr>
        <w:tc>
          <w:tcPr>
            <w:tcW w:w="4224" w:type="dxa"/>
            <w:tcBorders>
              <w:top w:val="nil"/>
              <w:left w:val="nil"/>
              <w:bottom w:val="nil"/>
              <w:right w:val="nil"/>
            </w:tcBorders>
            <w:shd w:val="clear" w:color="FFFFFF" w:fill="FFFFFF"/>
            <w:vAlign w:val="bottom"/>
            <w:hideMark/>
          </w:tcPr>
          <w:p w14:paraId="5003DF52"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3F9B1F83"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3D14AC72"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D2872AB"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3C4017B"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179B316"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4D81FF1"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0EA3A8C2" w14:textId="77777777" w:rsidTr="005E5E0C">
        <w:trPr>
          <w:trHeight w:val="250"/>
        </w:trPr>
        <w:tc>
          <w:tcPr>
            <w:tcW w:w="4224" w:type="dxa"/>
            <w:tcBorders>
              <w:top w:val="nil"/>
              <w:left w:val="nil"/>
              <w:bottom w:val="nil"/>
              <w:right w:val="nil"/>
            </w:tcBorders>
            <w:shd w:val="clear" w:color="FFFFFF" w:fill="FFFFFF"/>
            <w:vAlign w:val="bottom"/>
            <w:hideMark/>
          </w:tcPr>
          <w:p w14:paraId="3144DC12" w14:textId="77777777" w:rsidR="00520333" w:rsidRPr="006D688A" w:rsidRDefault="00520333" w:rsidP="005E5E0C">
            <w:pPr>
              <w:spacing w:after="0"/>
              <w:rPr>
                <w:rFonts w:cs="Arial"/>
                <w:b/>
                <w:bCs/>
                <w:sz w:val="18"/>
                <w:szCs w:val="18"/>
              </w:rPr>
            </w:pPr>
            <w:r w:rsidRPr="006D688A">
              <w:rPr>
                <w:rFonts w:cs="Arial"/>
                <w:b/>
                <w:bCs/>
                <w:sz w:val="18"/>
                <w:szCs w:val="18"/>
              </w:rPr>
              <w:t>Provisions</w:t>
            </w:r>
          </w:p>
        </w:tc>
        <w:tc>
          <w:tcPr>
            <w:tcW w:w="1273" w:type="dxa"/>
            <w:tcBorders>
              <w:top w:val="nil"/>
              <w:left w:val="nil"/>
              <w:bottom w:val="nil"/>
              <w:right w:val="nil"/>
            </w:tcBorders>
            <w:shd w:val="clear" w:color="FFFFFF" w:fill="FFFFFF"/>
            <w:noWrap/>
            <w:vAlign w:val="bottom"/>
            <w:hideMark/>
          </w:tcPr>
          <w:p w14:paraId="39BB60A0"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6476BBE8"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A138EB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B560D38"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F45ECEB"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89EC977"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2C64A846" w14:textId="77777777" w:rsidTr="005E5E0C">
        <w:trPr>
          <w:trHeight w:val="250"/>
        </w:trPr>
        <w:tc>
          <w:tcPr>
            <w:tcW w:w="4224" w:type="dxa"/>
            <w:tcBorders>
              <w:top w:val="nil"/>
              <w:left w:val="nil"/>
              <w:bottom w:val="nil"/>
              <w:right w:val="nil"/>
            </w:tcBorders>
            <w:shd w:val="clear" w:color="FFFFFF" w:fill="FFFFFF"/>
            <w:vAlign w:val="bottom"/>
            <w:hideMark/>
          </w:tcPr>
          <w:p w14:paraId="378DDBBD" w14:textId="77777777" w:rsidR="00520333" w:rsidRPr="006D688A" w:rsidRDefault="00520333" w:rsidP="005E5E0C">
            <w:pPr>
              <w:spacing w:after="0"/>
              <w:ind w:firstLineChars="100" w:firstLine="180"/>
              <w:rPr>
                <w:rFonts w:cs="Arial"/>
                <w:sz w:val="18"/>
                <w:szCs w:val="18"/>
              </w:rPr>
            </w:pPr>
            <w:r w:rsidRPr="006D688A">
              <w:rPr>
                <w:rFonts w:cs="Arial"/>
                <w:sz w:val="18"/>
                <w:szCs w:val="18"/>
              </w:rPr>
              <w:t>Employee leave provisions</w:t>
            </w:r>
          </w:p>
        </w:tc>
        <w:tc>
          <w:tcPr>
            <w:tcW w:w="1273" w:type="dxa"/>
            <w:tcBorders>
              <w:top w:val="nil"/>
              <w:left w:val="nil"/>
              <w:bottom w:val="nil"/>
              <w:right w:val="nil"/>
            </w:tcBorders>
            <w:shd w:val="clear" w:color="FFFFFF" w:fill="FFFFFF"/>
            <w:noWrap/>
            <w:vAlign w:val="bottom"/>
            <w:hideMark/>
          </w:tcPr>
          <w:p w14:paraId="5833C384"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54E08155" w14:textId="77777777" w:rsidR="00520333" w:rsidRPr="006D688A" w:rsidRDefault="00520333" w:rsidP="005E5E0C">
            <w:pPr>
              <w:spacing w:after="0"/>
              <w:jc w:val="right"/>
              <w:rPr>
                <w:rFonts w:cs="Arial"/>
                <w:b/>
                <w:bCs/>
                <w:sz w:val="18"/>
                <w:szCs w:val="18"/>
              </w:rPr>
            </w:pPr>
            <w:r w:rsidRPr="006D688A">
              <w:rPr>
                <w:rFonts w:cs="Arial"/>
                <w:b/>
                <w:bCs/>
                <w:sz w:val="18"/>
                <w:szCs w:val="18"/>
              </w:rPr>
              <w:t>150,777</w:t>
            </w:r>
          </w:p>
        </w:tc>
        <w:tc>
          <w:tcPr>
            <w:tcW w:w="236" w:type="dxa"/>
            <w:tcBorders>
              <w:top w:val="nil"/>
              <w:left w:val="nil"/>
              <w:bottom w:val="nil"/>
              <w:right w:val="nil"/>
            </w:tcBorders>
            <w:shd w:val="clear" w:color="FFFFFF" w:fill="FFFFFF"/>
            <w:noWrap/>
            <w:vAlign w:val="bottom"/>
            <w:hideMark/>
          </w:tcPr>
          <w:p w14:paraId="43CE86AD"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5116ACB" w14:textId="77777777" w:rsidR="00520333" w:rsidRPr="006D688A" w:rsidRDefault="00520333" w:rsidP="005E5E0C">
            <w:pPr>
              <w:spacing w:after="0"/>
              <w:jc w:val="right"/>
              <w:rPr>
                <w:rFonts w:cs="Arial"/>
                <w:sz w:val="18"/>
                <w:szCs w:val="18"/>
              </w:rPr>
            </w:pPr>
            <w:r w:rsidRPr="006D688A">
              <w:rPr>
                <w:rFonts w:cs="Arial"/>
                <w:sz w:val="18"/>
                <w:szCs w:val="18"/>
              </w:rPr>
              <w:t>109,210</w:t>
            </w:r>
          </w:p>
        </w:tc>
        <w:tc>
          <w:tcPr>
            <w:tcW w:w="236" w:type="dxa"/>
            <w:tcBorders>
              <w:top w:val="nil"/>
              <w:left w:val="nil"/>
              <w:bottom w:val="nil"/>
              <w:right w:val="nil"/>
            </w:tcBorders>
            <w:shd w:val="clear" w:color="FFFFFF" w:fill="FFFFFF"/>
            <w:noWrap/>
            <w:vAlign w:val="bottom"/>
            <w:hideMark/>
          </w:tcPr>
          <w:p w14:paraId="683AE6AE"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6B0817F" w14:textId="77777777" w:rsidR="00520333" w:rsidRPr="006D688A" w:rsidRDefault="00520333" w:rsidP="005E5E0C">
            <w:pPr>
              <w:spacing w:after="0"/>
              <w:jc w:val="right"/>
              <w:rPr>
                <w:rFonts w:cs="Arial"/>
                <w:sz w:val="18"/>
                <w:szCs w:val="18"/>
              </w:rPr>
            </w:pPr>
            <w:r w:rsidRPr="006D688A">
              <w:rPr>
                <w:rFonts w:cs="Arial"/>
                <w:sz w:val="18"/>
                <w:szCs w:val="18"/>
              </w:rPr>
              <w:t>98,559</w:t>
            </w:r>
          </w:p>
        </w:tc>
      </w:tr>
      <w:tr w:rsidR="00520333" w:rsidRPr="006D688A" w14:paraId="3620AA47" w14:textId="77777777" w:rsidTr="005E5E0C">
        <w:trPr>
          <w:trHeight w:val="250"/>
        </w:trPr>
        <w:tc>
          <w:tcPr>
            <w:tcW w:w="4224" w:type="dxa"/>
            <w:tcBorders>
              <w:top w:val="nil"/>
              <w:left w:val="nil"/>
              <w:bottom w:val="nil"/>
              <w:right w:val="nil"/>
            </w:tcBorders>
            <w:shd w:val="clear" w:color="FFFFFF" w:fill="FFFFFF"/>
            <w:vAlign w:val="bottom"/>
            <w:hideMark/>
          </w:tcPr>
          <w:p w14:paraId="2C9855AE" w14:textId="77777777" w:rsidR="00520333" w:rsidRPr="006D688A" w:rsidRDefault="00520333" w:rsidP="005E5E0C">
            <w:pPr>
              <w:spacing w:after="0"/>
              <w:ind w:firstLineChars="100" w:firstLine="180"/>
              <w:rPr>
                <w:rFonts w:cs="Arial"/>
                <w:sz w:val="18"/>
                <w:szCs w:val="18"/>
              </w:rPr>
            </w:pPr>
            <w:r w:rsidRPr="006D688A">
              <w:rPr>
                <w:rFonts w:cs="Arial"/>
                <w:sz w:val="18"/>
                <w:szCs w:val="18"/>
              </w:rPr>
              <w:t>Participant plan provisions</w:t>
            </w:r>
          </w:p>
        </w:tc>
        <w:tc>
          <w:tcPr>
            <w:tcW w:w="1273" w:type="dxa"/>
            <w:tcBorders>
              <w:top w:val="nil"/>
              <w:left w:val="nil"/>
              <w:bottom w:val="nil"/>
              <w:right w:val="nil"/>
            </w:tcBorders>
            <w:shd w:val="clear" w:color="FFFFFF" w:fill="FFFFFF"/>
            <w:noWrap/>
            <w:vAlign w:val="bottom"/>
            <w:hideMark/>
          </w:tcPr>
          <w:p w14:paraId="6B1BBC4A" w14:textId="77777777" w:rsidR="00520333" w:rsidRPr="006D688A" w:rsidRDefault="00520333" w:rsidP="005E5E0C">
            <w:pPr>
              <w:spacing w:after="0"/>
              <w:jc w:val="center"/>
              <w:rPr>
                <w:rFonts w:cs="Arial"/>
                <w:sz w:val="18"/>
                <w:szCs w:val="18"/>
              </w:rPr>
            </w:pPr>
            <w:r w:rsidRPr="006D688A">
              <w:rPr>
                <w:rFonts w:cs="Arial"/>
                <w:sz w:val="18"/>
                <w:szCs w:val="18"/>
              </w:rPr>
              <w:t>2.6</w:t>
            </w:r>
          </w:p>
        </w:tc>
        <w:tc>
          <w:tcPr>
            <w:tcW w:w="1046" w:type="dxa"/>
            <w:tcBorders>
              <w:top w:val="nil"/>
              <w:left w:val="nil"/>
              <w:bottom w:val="nil"/>
              <w:right w:val="nil"/>
            </w:tcBorders>
            <w:shd w:val="clear" w:color="FFFFFF" w:fill="FFFFFF"/>
            <w:noWrap/>
            <w:vAlign w:val="bottom"/>
            <w:hideMark/>
          </w:tcPr>
          <w:p w14:paraId="2213590C" w14:textId="77777777" w:rsidR="00520333" w:rsidRPr="006D688A" w:rsidRDefault="00520333" w:rsidP="005E5E0C">
            <w:pPr>
              <w:spacing w:after="0"/>
              <w:jc w:val="right"/>
              <w:rPr>
                <w:rFonts w:cs="Arial"/>
                <w:b/>
                <w:bCs/>
                <w:sz w:val="18"/>
                <w:szCs w:val="18"/>
              </w:rPr>
            </w:pPr>
            <w:r w:rsidRPr="006D688A">
              <w:rPr>
                <w:rFonts w:cs="Arial"/>
                <w:b/>
                <w:bCs/>
                <w:sz w:val="18"/>
                <w:szCs w:val="18"/>
              </w:rPr>
              <w:t>2,066,153</w:t>
            </w:r>
          </w:p>
        </w:tc>
        <w:tc>
          <w:tcPr>
            <w:tcW w:w="236" w:type="dxa"/>
            <w:tcBorders>
              <w:top w:val="nil"/>
              <w:left w:val="nil"/>
              <w:bottom w:val="nil"/>
              <w:right w:val="nil"/>
            </w:tcBorders>
            <w:shd w:val="clear" w:color="FFFFFF" w:fill="FFFFFF"/>
            <w:noWrap/>
            <w:vAlign w:val="bottom"/>
            <w:hideMark/>
          </w:tcPr>
          <w:p w14:paraId="5B4BE61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09C609AC" w14:textId="77777777" w:rsidR="00520333" w:rsidRPr="006D688A" w:rsidRDefault="00520333" w:rsidP="005E5E0C">
            <w:pPr>
              <w:spacing w:after="0"/>
              <w:jc w:val="right"/>
              <w:rPr>
                <w:rFonts w:cs="Arial"/>
                <w:sz w:val="18"/>
                <w:szCs w:val="18"/>
              </w:rPr>
            </w:pPr>
            <w:r w:rsidRPr="006D688A">
              <w:rPr>
                <w:rFonts w:cs="Arial"/>
                <w:sz w:val="18"/>
                <w:szCs w:val="18"/>
              </w:rPr>
              <w:t>1,948,638</w:t>
            </w:r>
          </w:p>
        </w:tc>
        <w:tc>
          <w:tcPr>
            <w:tcW w:w="236" w:type="dxa"/>
            <w:tcBorders>
              <w:top w:val="nil"/>
              <w:left w:val="nil"/>
              <w:bottom w:val="nil"/>
              <w:right w:val="nil"/>
            </w:tcBorders>
            <w:shd w:val="clear" w:color="FFFFFF" w:fill="FFFFFF"/>
            <w:noWrap/>
            <w:vAlign w:val="bottom"/>
            <w:hideMark/>
          </w:tcPr>
          <w:p w14:paraId="0D6DC9C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7E1A26A" w14:textId="77777777" w:rsidR="00520333" w:rsidRPr="006D688A" w:rsidRDefault="00520333" w:rsidP="005E5E0C">
            <w:pPr>
              <w:spacing w:after="0"/>
              <w:jc w:val="right"/>
              <w:rPr>
                <w:rFonts w:cs="Arial"/>
                <w:sz w:val="18"/>
                <w:szCs w:val="18"/>
              </w:rPr>
            </w:pPr>
            <w:r w:rsidRPr="006D688A">
              <w:rPr>
                <w:rFonts w:cs="Arial"/>
                <w:sz w:val="18"/>
                <w:szCs w:val="18"/>
              </w:rPr>
              <w:t>3,542,696</w:t>
            </w:r>
          </w:p>
        </w:tc>
      </w:tr>
      <w:tr w:rsidR="00520333" w:rsidRPr="006D688A" w14:paraId="53DF107D" w14:textId="77777777" w:rsidTr="005E5E0C">
        <w:trPr>
          <w:trHeight w:val="250"/>
        </w:trPr>
        <w:tc>
          <w:tcPr>
            <w:tcW w:w="4224" w:type="dxa"/>
            <w:tcBorders>
              <w:top w:val="nil"/>
              <w:left w:val="nil"/>
              <w:bottom w:val="nil"/>
              <w:right w:val="nil"/>
            </w:tcBorders>
            <w:shd w:val="clear" w:color="FFFFFF" w:fill="FFFFFF"/>
            <w:vAlign w:val="bottom"/>
            <w:hideMark/>
          </w:tcPr>
          <w:p w14:paraId="1E31439B" w14:textId="77777777" w:rsidR="00520333" w:rsidRPr="006D688A" w:rsidRDefault="00520333" w:rsidP="005E5E0C">
            <w:pPr>
              <w:spacing w:after="0"/>
              <w:ind w:firstLineChars="100" w:firstLine="180"/>
              <w:rPr>
                <w:rFonts w:cs="Arial"/>
                <w:sz w:val="18"/>
                <w:szCs w:val="18"/>
              </w:rPr>
            </w:pPr>
            <w:r w:rsidRPr="006D688A">
              <w:rPr>
                <w:rFonts w:cs="Arial"/>
                <w:sz w:val="18"/>
                <w:szCs w:val="18"/>
              </w:rPr>
              <w:t>Provision for restoration obligations</w:t>
            </w:r>
          </w:p>
        </w:tc>
        <w:tc>
          <w:tcPr>
            <w:tcW w:w="1273" w:type="dxa"/>
            <w:tcBorders>
              <w:top w:val="nil"/>
              <w:left w:val="nil"/>
              <w:bottom w:val="nil"/>
              <w:right w:val="nil"/>
            </w:tcBorders>
            <w:shd w:val="clear" w:color="FFFFFF" w:fill="FFFFFF"/>
            <w:noWrap/>
            <w:vAlign w:val="bottom"/>
            <w:hideMark/>
          </w:tcPr>
          <w:p w14:paraId="62FB54AB" w14:textId="77777777" w:rsidR="00520333" w:rsidRPr="006D688A" w:rsidRDefault="00520333" w:rsidP="005E5E0C">
            <w:pPr>
              <w:spacing w:after="0"/>
              <w:jc w:val="center"/>
              <w:rPr>
                <w:rFonts w:cs="Arial"/>
                <w:sz w:val="18"/>
                <w:szCs w:val="18"/>
              </w:rPr>
            </w:pPr>
            <w:r w:rsidRPr="006D688A">
              <w:rPr>
                <w:rFonts w:cs="Arial"/>
                <w:sz w:val="18"/>
                <w:szCs w:val="18"/>
              </w:rPr>
              <w:t>2.6</w:t>
            </w:r>
          </w:p>
        </w:tc>
        <w:tc>
          <w:tcPr>
            <w:tcW w:w="1046" w:type="dxa"/>
            <w:tcBorders>
              <w:top w:val="nil"/>
              <w:left w:val="nil"/>
              <w:bottom w:val="nil"/>
              <w:right w:val="nil"/>
            </w:tcBorders>
            <w:shd w:val="clear" w:color="FFFFFF" w:fill="FFFFFF"/>
            <w:noWrap/>
            <w:vAlign w:val="bottom"/>
            <w:hideMark/>
          </w:tcPr>
          <w:p w14:paraId="5EEC0946" w14:textId="77777777" w:rsidR="00520333" w:rsidRPr="006D688A" w:rsidRDefault="00520333" w:rsidP="005E5E0C">
            <w:pPr>
              <w:spacing w:after="0"/>
              <w:jc w:val="right"/>
              <w:rPr>
                <w:rFonts w:cs="Arial"/>
                <w:b/>
                <w:bCs/>
                <w:sz w:val="18"/>
                <w:szCs w:val="18"/>
              </w:rPr>
            </w:pPr>
            <w:r w:rsidRPr="006D688A">
              <w:rPr>
                <w:rFonts w:cs="Arial"/>
                <w:b/>
                <w:bCs/>
                <w:sz w:val="18"/>
                <w:szCs w:val="18"/>
              </w:rPr>
              <w:t>7,467</w:t>
            </w:r>
          </w:p>
        </w:tc>
        <w:tc>
          <w:tcPr>
            <w:tcW w:w="236" w:type="dxa"/>
            <w:tcBorders>
              <w:top w:val="nil"/>
              <w:left w:val="nil"/>
              <w:bottom w:val="nil"/>
              <w:right w:val="nil"/>
            </w:tcBorders>
            <w:shd w:val="clear" w:color="FFFFFF" w:fill="FFFFFF"/>
            <w:noWrap/>
            <w:vAlign w:val="bottom"/>
            <w:hideMark/>
          </w:tcPr>
          <w:p w14:paraId="202CA48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BB00683" w14:textId="77777777" w:rsidR="00520333" w:rsidRPr="006D688A" w:rsidRDefault="00520333" w:rsidP="005E5E0C">
            <w:pPr>
              <w:spacing w:after="0"/>
              <w:jc w:val="right"/>
              <w:rPr>
                <w:rFonts w:cs="Arial"/>
                <w:sz w:val="18"/>
                <w:szCs w:val="18"/>
              </w:rPr>
            </w:pPr>
            <w:r w:rsidRPr="006D688A">
              <w:rPr>
                <w:rFonts w:cs="Arial"/>
                <w:sz w:val="18"/>
                <w:szCs w:val="18"/>
              </w:rPr>
              <w:t>5,936</w:t>
            </w:r>
          </w:p>
        </w:tc>
        <w:tc>
          <w:tcPr>
            <w:tcW w:w="236" w:type="dxa"/>
            <w:tcBorders>
              <w:top w:val="nil"/>
              <w:left w:val="nil"/>
              <w:bottom w:val="nil"/>
              <w:right w:val="nil"/>
            </w:tcBorders>
            <w:shd w:val="clear" w:color="FFFFFF" w:fill="FFFFFF"/>
            <w:noWrap/>
            <w:vAlign w:val="bottom"/>
            <w:hideMark/>
          </w:tcPr>
          <w:p w14:paraId="5AF6B005"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4CBA754" w14:textId="77777777" w:rsidR="00520333" w:rsidRPr="006D688A" w:rsidRDefault="00520333" w:rsidP="005E5E0C">
            <w:pPr>
              <w:spacing w:after="0"/>
              <w:jc w:val="right"/>
              <w:rPr>
                <w:rFonts w:cs="Arial"/>
                <w:sz w:val="18"/>
                <w:szCs w:val="18"/>
              </w:rPr>
            </w:pPr>
            <w:r w:rsidRPr="006D688A">
              <w:rPr>
                <w:rFonts w:cs="Arial"/>
                <w:sz w:val="18"/>
                <w:szCs w:val="18"/>
              </w:rPr>
              <w:t>7,855</w:t>
            </w:r>
          </w:p>
        </w:tc>
      </w:tr>
      <w:tr w:rsidR="00520333" w:rsidRPr="006D688A" w14:paraId="277497F9" w14:textId="77777777" w:rsidTr="005E5E0C">
        <w:trPr>
          <w:trHeight w:val="250"/>
        </w:trPr>
        <w:tc>
          <w:tcPr>
            <w:tcW w:w="4224" w:type="dxa"/>
            <w:tcBorders>
              <w:top w:val="nil"/>
              <w:left w:val="nil"/>
              <w:bottom w:val="nil"/>
              <w:right w:val="nil"/>
            </w:tcBorders>
            <w:shd w:val="clear" w:color="FFFFFF" w:fill="FFFFFF"/>
            <w:vAlign w:val="bottom"/>
          </w:tcPr>
          <w:p w14:paraId="2F88767C" w14:textId="77777777" w:rsidR="00520333" w:rsidRPr="006D688A" w:rsidRDefault="00520333" w:rsidP="005E5E0C">
            <w:pPr>
              <w:spacing w:after="0"/>
              <w:ind w:firstLineChars="100" w:firstLine="180"/>
              <w:rPr>
                <w:rFonts w:cs="Arial"/>
                <w:sz w:val="18"/>
                <w:szCs w:val="18"/>
              </w:rPr>
            </w:pPr>
            <w:r w:rsidRPr="006D688A">
              <w:rPr>
                <w:rFonts w:cs="Arial"/>
                <w:sz w:val="18"/>
                <w:szCs w:val="18"/>
              </w:rPr>
              <w:t xml:space="preserve">Provision for historical Scheme debt </w:t>
            </w:r>
          </w:p>
        </w:tc>
        <w:tc>
          <w:tcPr>
            <w:tcW w:w="1273" w:type="dxa"/>
            <w:tcBorders>
              <w:top w:val="nil"/>
              <w:left w:val="nil"/>
              <w:bottom w:val="nil"/>
              <w:right w:val="nil"/>
            </w:tcBorders>
            <w:shd w:val="clear" w:color="FFFFFF" w:fill="FFFFFF"/>
            <w:noWrap/>
            <w:vAlign w:val="bottom"/>
          </w:tcPr>
          <w:p w14:paraId="21363C2E" w14:textId="77777777" w:rsidR="00520333" w:rsidRPr="006D688A" w:rsidRDefault="00520333" w:rsidP="005E5E0C">
            <w:pPr>
              <w:spacing w:after="0"/>
              <w:jc w:val="center"/>
              <w:rPr>
                <w:rFonts w:cs="Arial"/>
                <w:sz w:val="18"/>
                <w:szCs w:val="18"/>
              </w:rPr>
            </w:pPr>
            <w:r w:rsidRPr="006D688A">
              <w:rPr>
                <w:rFonts w:cs="Arial"/>
                <w:sz w:val="18"/>
                <w:szCs w:val="18"/>
              </w:rPr>
              <w:t>2.6</w:t>
            </w:r>
          </w:p>
        </w:tc>
        <w:tc>
          <w:tcPr>
            <w:tcW w:w="1046" w:type="dxa"/>
            <w:tcBorders>
              <w:top w:val="nil"/>
              <w:left w:val="nil"/>
              <w:bottom w:val="nil"/>
              <w:right w:val="nil"/>
            </w:tcBorders>
            <w:shd w:val="clear" w:color="FFFFFF" w:fill="FFFFFF"/>
            <w:noWrap/>
            <w:vAlign w:val="bottom"/>
          </w:tcPr>
          <w:p w14:paraId="38AF6EFA" w14:textId="77777777" w:rsidR="00520333" w:rsidRPr="006D688A" w:rsidRDefault="00520333" w:rsidP="005E5E0C">
            <w:pPr>
              <w:spacing w:after="0"/>
              <w:jc w:val="right"/>
              <w:rPr>
                <w:rFonts w:cs="Arial"/>
                <w:b/>
                <w:bCs/>
                <w:sz w:val="18"/>
                <w:szCs w:val="18"/>
              </w:rPr>
            </w:pPr>
            <w:r w:rsidRPr="006D688A">
              <w:rPr>
                <w:rFonts w:cs="Arial"/>
                <w:b/>
                <w:bCs/>
                <w:sz w:val="18"/>
                <w:szCs w:val="18"/>
              </w:rPr>
              <w:t>9,088</w:t>
            </w:r>
          </w:p>
        </w:tc>
        <w:tc>
          <w:tcPr>
            <w:tcW w:w="236" w:type="dxa"/>
            <w:tcBorders>
              <w:top w:val="nil"/>
              <w:left w:val="nil"/>
              <w:bottom w:val="nil"/>
              <w:right w:val="nil"/>
            </w:tcBorders>
            <w:shd w:val="clear" w:color="FFFFFF" w:fill="FFFFFF"/>
            <w:noWrap/>
            <w:vAlign w:val="bottom"/>
          </w:tcPr>
          <w:p w14:paraId="3D41447D" w14:textId="77777777" w:rsidR="00520333" w:rsidRPr="006D688A" w:rsidRDefault="00520333" w:rsidP="005E5E0C">
            <w:pPr>
              <w:spacing w:after="0"/>
              <w:rPr>
                <w:rFonts w:cs="Arial"/>
                <w:sz w:val="18"/>
                <w:szCs w:val="18"/>
              </w:rPr>
            </w:pPr>
          </w:p>
        </w:tc>
        <w:tc>
          <w:tcPr>
            <w:tcW w:w="1036" w:type="dxa"/>
            <w:tcBorders>
              <w:top w:val="nil"/>
              <w:left w:val="nil"/>
              <w:bottom w:val="nil"/>
              <w:right w:val="nil"/>
            </w:tcBorders>
            <w:shd w:val="clear" w:color="FFFFFF" w:fill="FFFFFF"/>
            <w:noWrap/>
            <w:vAlign w:val="bottom"/>
          </w:tcPr>
          <w:p w14:paraId="0BED36D2" w14:textId="77777777" w:rsidR="00520333" w:rsidRPr="006D688A" w:rsidRDefault="00520333" w:rsidP="005E5E0C">
            <w:pPr>
              <w:spacing w:after="0"/>
              <w:jc w:val="right"/>
              <w:rPr>
                <w:rFonts w:cs="Arial"/>
                <w:sz w:val="18"/>
                <w:szCs w:val="18"/>
              </w:rPr>
            </w:pPr>
            <w:r w:rsidRPr="006D688A">
              <w:rPr>
                <w:rFonts w:cs="Arial"/>
                <w:sz w:val="18"/>
                <w:szCs w:val="18"/>
              </w:rPr>
              <w:t>-</w:t>
            </w:r>
          </w:p>
        </w:tc>
        <w:tc>
          <w:tcPr>
            <w:tcW w:w="236" w:type="dxa"/>
            <w:tcBorders>
              <w:top w:val="nil"/>
              <w:left w:val="nil"/>
              <w:bottom w:val="nil"/>
              <w:right w:val="nil"/>
            </w:tcBorders>
            <w:shd w:val="clear" w:color="FFFFFF" w:fill="FFFFFF"/>
            <w:noWrap/>
            <w:vAlign w:val="bottom"/>
          </w:tcPr>
          <w:p w14:paraId="265CCDBD" w14:textId="77777777" w:rsidR="00520333" w:rsidRPr="006D688A" w:rsidRDefault="00520333" w:rsidP="005E5E0C">
            <w:pPr>
              <w:spacing w:after="0"/>
              <w:rPr>
                <w:rFonts w:cs="Arial"/>
                <w:sz w:val="18"/>
                <w:szCs w:val="18"/>
              </w:rPr>
            </w:pPr>
          </w:p>
        </w:tc>
        <w:tc>
          <w:tcPr>
            <w:tcW w:w="1036" w:type="dxa"/>
            <w:tcBorders>
              <w:top w:val="nil"/>
              <w:left w:val="nil"/>
              <w:bottom w:val="nil"/>
              <w:right w:val="nil"/>
            </w:tcBorders>
            <w:shd w:val="clear" w:color="FFFFFF" w:fill="FFFFFF"/>
            <w:noWrap/>
            <w:vAlign w:val="bottom"/>
          </w:tcPr>
          <w:p w14:paraId="514D8F05" w14:textId="77777777" w:rsidR="00520333" w:rsidRPr="006D688A" w:rsidRDefault="00520333" w:rsidP="005E5E0C">
            <w:pPr>
              <w:spacing w:after="0"/>
              <w:jc w:val="right"/>
              <w:rPr>
                <w:rFonts w:cs="Arial"/>
                <w:sz w:val="18"/>
                <w:szCs w:val="18"/>
              </w:rPr>
            </w:pPr>
            <w:r w:rsidRPr="006D688A">
              <w:rPr>
                <w:rFonts w:cs="Arial"/>
                <w:sz w:val="18"/>
                <w:szCs w:val="18"/>
              </w:rPr>
              <w:t>-</w:t>
            </w:r>
          </w:p>
        </w:tc>
      </w:tr>
      <w:tr w:rsidR="00520333" w:rsidRPr="006D688A" w14:paraId="3238858E" w14:textId="77777777" w:rsidTr="005E5E0C">
        <w:trPr>
          <w:trHeight w:val="250"/>
        </w:trPr>
        <w:tc>
          <w:tcPr>
            <w:tcW w:w="4224" w:type="dxa"/>
            <w:tcBorders>
              <w:top w:val="nil"/>
              <w:left w:val="nil"/>
              <w:bottom w:val="nil"/>
              <w:right w:val="nil"/>
            </w:tcBorders>
            <w:shd w:val="clear" w:color="FFFFFF" w:fill="FFFFFF"/>
            <w:vAlign w:val="bottom"/>
            <w:hideMark/>
          </w:tcPr>
          <w:p w14:paraId="3EF6E72D" w14:textId="77777777" w:rsidR="00520333" w:rsidRPr="006D688A" w:rsidRDefault="00520333" w:rsidP="005E5E0C">
            <w:pPr>
              <w:spacing w:after="0"/>
              <w:rPr>
                <w:rFonts w:cs="Arial"/>
                <w:b/>
                <w:bCs/>
                <w:sz w:val="18"/>
                <w:szCs w:val="18"/>
              </w:rPr>
            </w:pPr>
            <w:r w:rsidRPr="006D688A">
              <w:rPr>
                <w:rFonts w:cs="Arial"/>
                <w:b/>
                <w:bCs/>
                <w:sz w:val="18"/>
                <w:szCs w:val="18"/>
              </w:rPr>
              <w:t>Total provisions</w:t>
            </w:r>
          </w:p>
        </w:tc>
        <w:tc>
          <w:tcPr>
            <w:tcW w:w="1273" w:type="dxa"/>
            <w:tcBorders>
              <w:top w:val="nil"/>
              <w:left w:val="nil"/>
              <w:bottom w:val="nil"/>
              <w:right w:val="nil"/>
            </w:tcBorders>
            <w:shd w:val="clear" w:color="FFFFFF" w:fill="FFFFFF"/>
            <w:noWrap/>
            <w:vAlign w:val="bottom"/>
            <w:hideMark/>
          </w:tcPr>
          <w:p w14:paraId="210F7A4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69D2897F" w14:textId="77777777" w:rsidR="00520333" w:rsidRPr="006D688A" w:rsidRDefault="00520333" w:rsidP="005E5E0C">
            <w:pPr>
              <w:spacing w:after="0"/>
              <w:jc w:val="right"/>
              <w:rPr>
                <w:rFonts w:cs="Arial"/>
                <w:b/>
                <w:bCs/>
                <w:sz w:val="18"/>
                <w:szCs w:val="18"/>
              </w:rPr>
            </w:pPr>
            <w:r w:rsidRPr="006D688A">
              <w:rPr>
                <w:rFonts w:cs="Arial"/>
                <w:b/>
                <w:bCs/>
                <w:sz w:val="18"/>
                <w:szCs w:val="18"/>
              </w:rPr>
              <w:t>2,233,485</w:t>
            </w:r>
          </w:p>
        </w:tc>
        <w:tc>
          <w:tcPr>
            <w:tcW w:w="236" w:type="dxa"/>
            <w:tcBorders>
              <w:top w:val="nil"/>
              <w:left w:val="nil"/>
              <w:bottom w:val="nil"/>
              <w:right w:val="nil"/>
            </w:tcBorders>
            <w:shd w:val="clear" w:color="FFFFFF" w:fill="FFFFFF"/>
            <w:noWrap/>
            <w:vAlign w:val="bottom"/>
            <w:hideMark/>
          </w:tcPr>
          <w:p w14:paraId="4CF1C49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720F0368" w14:textId="77777777" w:rsidR="00520333" w:rsidRPr="006D688A" w:rsidRDefault="00520333" w:rsidP="005E5E0C">
            <w:pPr>
              <w:spacing w:after="0"/>
              <w:jc w:val="right"/>
              <w:rPr>
                <w:rFonts w:cs="Arial"/>
                <w:sz w:val="18"/>
                <w:szCs w:val="18"/>
              </w:rPr>
            </w:pPr>
            <w:r w:rsidRPr="006D688A">
              <w:rPr>
                <w:rFonts w:cs="Arial"/>
                <w:sz w:val="18"/>
                <w:szCs w:val="18"/>
              </w:rPr>
              <w:t>2,063,784</w:t>
            </w:r>
          </w:p>
        </w:tc>
        <w:tc>
          <w:tcPr>
            <w:tcW w:w="236" w:type="dxa"/>
            <w:tcBorders>
              <w:top w:val="nil"/>
              <w:left w:val="nil"/>
              <w:bottom w:val="nil"/>
              <w:right w:val="nil"/>
            </w:tcBorders>
            <w:shd w:val="clear" w:color="FFFFFF" w:fill="FFFFFF"/>
            <w:noWrap/>
            <w:vAlign w:val="bottom"/>
            <w:hideMark/>
          </w:tcPr>
          <w:p w14:paraId="45029BFA"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10268E94" w14:textId="77777777" w:rsidR="00520333" w:rsidRPr="006D688A" w:rsidRDefault="00520333" w:rsidP="005E5E0C">
            <w:pPr>
              <w:spacing w:after="0"/>
              <w:jc w:val="right"/>
              <w:rPr>
                <w:rFonts w:cs="Arial"/>
                <w:sz w:val="18"/>
                <w:szCs w:val="18"/>
              </w:rPr>
            </w:pPr>
            <w:r w:rsidRPr="006D688A">
              <w:rPr>
                <w:rFonts w:cs="Arial"/>
                <w:sz w:val="18"/>
                <w:szCs w:val="18"/>
              </w:rPr>
              <w:t>3,649,110</w:t>
            </w:r>
          </w:p>
        </w:tc>
      </w:tr>
      <w:tr w:rsidR="00520333" w:rsidRPr="006D688A" w14:paraId="4C0785CD" w14:textId="77777777" w:rsidTr="005E5E0C">
        <w:trPr>
          <w:trHeight w:val="250"/>
        </w:trPr>
        <w:tc>
          <w:tcPr>
            <w:tcW w:w="4224" w:type="dxa"/>
            <w:tcBorders>
              <w:top w:val="nil"/>
              <w:left w:val="nil"/>
              <w:bottom w:val="nil"/>
              <w:right w:val="nil"/>
            </w:tcBorders>
            <w:shd w:val="clear" w:color="FFFFFF" w:fill="FFFFFF"/>
            <w:vAlign w:val="bottom"/>
            <w:hideMark/>
          </w:tcPr>
          <w:p w14:paraId="3D685E7F"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67FDF3A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1479D68B"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12849C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21A3CC89"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3EA6ACE"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3101BCD"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7313D07E" w14:textId="77777777" w:rsidTr="005E5E0C">
        <w:trPr>
          <w:trHeight w:val="250"/>
        </w:trPr>
        <w:tc>
          <w:tcPr>
            <w:tcW w:w="4224" w:type="dxa"/>
            <w:tcBorders>
              <w:top w:val="nil"/>
              <w:left w:val="nil"/>
              <w:bottom w:val="nil"/>
              <w:right w:val="nil"/>
            </w:tcBorders>
            <w:shd w:val="clear" w:color="FFFFFF" w:fill="FFFFFF"/>
            <w:vAlign w:val="bottom"/>
            <w:hideMark/>
          </w:tcPr>
          <w:p w14:paraId="57A4ECE7" w14:textId="77777777" w:rsidR="00520333" w:rsidRPr="006D688A" w:rsidRDefault="00520333" w:rsidP="005E5E0C">
            <w:pPr>
              <w:spacing w:after="0"/>
              <w:rPr>
                <w:rFonts w:cs="Arial"/>
                <w:b/>
                <w:bCs/>
                <w:sz w:val="18"/>
                <w:szCs w:val="18"/>
              </w:rPr>
            </w:pPr>
            <w:r w:rsidRPr="006D688A">
              <w:rPr>
                <w:rFonts w:cs="Arial"/>
                <w:b/>
                <w:bCs/>
                <w:sz w:val="18"/>
                <w:szCs w:val="18"/>
              </w:rPr>
              <w:t>Total liabilities</w:t>
            </w:r>
          </w:p>
        </w:tc>
        <w:tc>
          <w:tcPr>
            <w:tcW w:w="1273" w:type="dxa"/>
            <w:tcBorders>
              <w:top w:val="nil"/>
              <w:left w:val="nil"/>
              <w:bottom w:val="nil"/>
              <w:right w:val="nil"/>
            </w:tcBorders>
            <w:shd w:val="clear" w:color="FFFFFF" w:fill="FFFFFF"/>
            <w:noWrap/>
            <w:vAlign w:val="bottom"/>
            <w:hideMark/>
          </w:tcPr>
          <w:p w14:paraId="6D21352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2E0208B1" w14:textId="77777777" w:rsidR="00520333" w:rsidRPr="006D688A" w:rsidRDefault="00520333" w:rsidP="005E5E0C">
            <w:pPr>
              <w:spacing w:after="0"/>
              <w:jc w:val="right"/>
              <w:rPr>
                <w:rFonts w:cs="Arial"/>
                <w:b/>
                <w:bCs/>
                <w:sz w:val="18"/>
                <w:szCs w:val="18"/>
              </w:rPr>
            </w:pPr>
            <w:r w:rsidRPr="006D688A">
              <w:rPr>
                <w:rFonts w:cs="Arial"/>
                <w:b/>
                <w:bCs/>
                <w:sz w:val="18"/>
                <w:szCs w:val="18"/>
              </w:rPr>
              <w:t>3,749,669</w:t>
            </w:r>
          </w:p>
        </w:tc>
        <w:tc>
          <w:tcPr>
            <w:tcW w:w="236" w:type="dxa"/>
            <w:tcBorders>
              <w:top w:val="nil"/>
              <w:left w:val="nil"/>
              <w:bottom w:val="nil"/>
              <w:right w:val="nil"/>
            </w:tcBorders>
            <w:shd w:val="clear" w:color="FFFFFF" w:fill="FFFFFF"/>
            <w:noWrap/>
            <w:vAlign w:val="bottom"/>
            <w:hideMark/>
          </w:tcPr>
          <w:p w14:paraId="1F14463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67D5A21C" w14:textId="77777777" w:rsidR="00520333" w:rsidRPr="006D688A" w:rsidRDefault="00520333" w:rsidP="005E5E0C">
            <w:pPr>
              <w:spacing w:after="0"/>
              <w:jc w:val="right"/>
              <w:rPr>
                <w:rFonts w:cs="Arial"/>
                <w:sz w:val="18"/>
                <w:szCs w:val="18"/>
              </w:rPr>
            </w:pPr>
            <w:r w:rsidRPr="006D688A">
              <w:rPr>
                <w:rFonts w:cs="Arial"/>
                <w:sz w:val="18"/>
                <w:szCs w:val="18"/>
              </w:rPr>
              <w:t>3,326,661</w:t>
            </w:r>
          </w:p>
        </w:tc>
        <w:tc>
          <w:tcPr>
            <w:tcW w:w="236" w:type="dxa"/>
            <w:tcBorders>
              <w:top w:val="nil"/>
              <w:left w:val="nil"/>
              <w:bottom w:val="nil"/>
              <w:right w:val="nil"/>
            </w:tcBorders>
            <w:shd w:val="clear" w:color="FFFFFF" w:fill="FFFFFF"/>
            <w:noWrap/>
            <w:vAlign w:val="bottom"/>
            <w:hideMark/>
          </w:tcPr>
          <w:p w14:paraId="09B903FC"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19DA9F09" w14:textId="77777777" w:rsidR="00520333" w:rsidRPr="006D688A" w:rsidRDefault="00520333" w:rsidP="005E5E0C">
            <w:pPr>
              <w:spacing w:after="0"/>
              <w:jc w:val="right"/>
              <w:rPr>
                <w:rFonts w:cs="Arial"/>
                <w:sz w:val="18"/>
                <w:szCs w:val="18"/>
              </w:rPr>
            </w:pPr>
            <w:r w:rsidRPr="006D688A">
              <w:rPr>
                <w:rFonts w:cs="Arial"/>
                <w:sz w:val="18"/>
                <w:szCs w:val="18"/>
              </w:rPr>
              <w:t>4,577,476</w:t>
            </w:r>
          </w:p>
        </w:tc>
      </w:tr>
      <w:tr w:rsidR="00520333" w:rsidRPr="006D688A" w14:paraId="52D46D78" w14:textId="77777777" w:rsidTr="005E5E0C">
        <w:trPr>
          <w:trHeight w:val="250"/>
        </w:trPr>
        <w:tc>
          <w:tcPr>
            <w:tcW w:w="4224" w:type="dxa"/>
            <w:tcBorders>
              <w:top w:val="nil"/>
              <w:left w:val="nil"/>
              <w:bottom w:val="nil"/>
              <w:right w:val="nil"/>
            </w:tcBorders>
            <w:shd w:val="clear" w:color="FFFFFF" w:fill="FFFFFF"/>
            <w:vAlign w:val="bottom"/>
            <w:hideMark/>
          </w:tcPr>
          <w:p w14:paraId="5A3262C4" w14:textId="77777777" w:rsidR="00520333" w:rsidRPr="006D688A" w:rsidRDefault="00520333" w:rsidP="005E5E0C">
            <w:pPr>
              <w:spacing w:after="0"/>
              <w:rPr>
                <w:rFonts w:cs="Arial"/>
                <w:b/>
                <w:bCs/>
                <w:sz w:val="18"/>
                <w:szCs w:val="18"/>
              </w:rPr>
            </w:pPr>
            <w:r w:rsidRPr="006D688A">
              <w:rPr>
                <w:rFonts w:cs="Arial"/>
                <w:b/>
                <w:bCs/>
                <w:sz w:val="18"/>
                <w:szCs w:val="18"/>
              </w:rPr>
              <w:t>Net assets</w:t>
            </w:r>
          </w:p>
        </w:tc>
        <w:tc>
          <w:tcPr>
            <w:tcW w:w="1273" w:type="dxa"/>
            <w:tcBorders>
              <w:top w:val="nil"/>
              <w:left w:val="nil"/>
              <w:bottom w:val="nil"/>
              <w:right w:val="nil"/>
            </w:tcBorders>
            <w:shd w:val="clear" w:color="FFFFFF" w:fill="FFFFFF"/>
            <w:noWrap/>
            <w:vAlign w:val="bottom"/>
            <w:hideMark/>
          </w:tcPr>
          <w:p w14:paraId="5A03CFB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single" w:sz="4" w:space="0" w:color="auto"/>
              <w:right w:val="nil"/>
            </w:tcBorders>
            <w:shd w:val="clear" w:color="FFFFFF" w:fill="FFFFFF"/>
            <w:noWrap/>
            <w:vAlign w:val="bottom"/>
            <w:hideMark/>
          </w:tcPr>
          <w:p w14:paraId="5F45A45B" w14:textId="77777777" w:rsidR="00520333" w:rsidRPr="006D688A" w:rsidRDefault="00520333" w:rsidP="005E5E0C">
            <w:pPr>
              <w:spacing w:after="0"/>
              <w:jc w:val="right"/>
              <w:rPr>
                <w:rFonts w:cs="Arial"/>
                <w:b/>
                <w:bCs/>
                <w:sz w:val="18"/>
                <w:szCs w:val="18"/>
              </w:rPr>
            </w:pPr>
            <w:r w:rsidRPr="006D688A">
              <w:rPr>
                <w:rFonts w:cs="Arial"/>
                <w:b/>
                <w:bCs/>
                <w:sz w:val="18"/>
                <w:szCs w:val="18"/>
              </w:rPr>
              <w:t>2,287,393</w:t>
            </w:r>
          </w:p>
        </w:tc>
        <w:tc>
          <w:tcPr>
            <w:tcW w:w="236" w:type="dxa"/>
            <w:tcBorders>
              <w:top w:val="nil"/>
              <w:left w:val="nil"/>
              <w:bottom w:val="nil"/>
              <w:right w:val="nil"/>
            </w:tcBorders>
            <w:shd w:val="clear" w:color="FFFFFF" w:fill="FFFFFF"/>
            <w:noWrap/>
            <w:vAlign w:val="bottom"/>
            <w:hideMark/>
          </w:tcPr>
          <w:p w14:paraId="0DBF2C53"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single" w:sz="4" w:space="0" w:color="auto"/>
              <w:right w:val="nil"/>
            </w:tcBorders>
            <w:shd w:val="clear" w:color="FFFFFF" w:fill="FFFFFF"/>
            <w:noWrap/>
            <w:vAlign w:val="bottom"/>
            <w:hideMark/>
          </w:tcPr>
          <w:p w14:paraId="7A1429E4" w14:textId="77777777" w:rsidR="00520333" w:rsidRPr="006D688A" w:rsidRDefault="00520333" w:rsidP="005E5E0C">
            <w:pPr>
              <w:spacing w:after="0"/>
              <w:jc w:val="right"/>
              <w:rPr>
                <w:rFonts w:cs="Arial"/>
                <w:sz w:val="18"/>
                <w:szCs w:val="18"/>
              </w:rPr>
            </w:pPr>
            <w:r w:rsidRPr="006D688A">
              <w:rPr>
                <w:rFonts w:cs="Arial"/>
                <w:sz w:val="18"/>
                <w:szCs w:val="18"/>
              </w:rPr>
              <w:t>1,276,257</w:t>
            </w:r>
          </w:p>
        </w:tc>
        <w:tc>
          <w:tcPr>
            <w:tcW w:w="236" w:type="dxa"/>
            <w:tcBorders>
              <w:top w:val="nil"/>
              <w:left w:val="nil"/>
              <w:bottom w:val="nil"/>
              <w:right w:val="nil"/>
            </w:tcBorders>
            <w:shd w:val="clear" w:color="FFFFFF" w:fill="FFFFFF"/>
            <w:noWrap/>
            <w:vAlign w:val="bottom"/>
            <w:hideMark/>
          </w:tcPr>
          <w:p w14:paraId="7298037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single" w:sz="4" w:space="0" w:color="auto"/>
              <w:right w:val="nil"/>
            </w:tcBorders>
            <w:shd w:val="clear" w:color="FFFFFF" w:fill="FFFFFF"/>
            <w:noWrap/>
            <w:vAlign w:val="bottom"/>
            <w:hideMark/>
          </w:tcPr>
          <w:p w14:paraId="4CC8EA61" w14:textId="77777777" w:rsidR="00520333" w:rsidRPr="006D688A" w:rsidRDefault="00520333" w:rsidP="005E5E0C">
            <w:pPr>
              <w:spacing w:after="0"/>
              <w:jc w:val="right"/>
              <w:rPr>
                <w:rFonts w:cs="Arial"/>
                <w:sz w:val="18"/>
                <w:szCs w:val="18"/>
              </w:rPr>
            </w:pPr>
            <w:r w:rsidRPr="006D688A">
              <w:rPr>
                <w:rFonts w:cs="Arial"/>
                <w:sz w:val="18"/>
                <w:szCs w:val="18"/>
              </w:rPr>
              <w:t>1,417,317</w:t>
            </w:r>
          </w:p>
        </w:tc>
      </w:tr>
      <w:tr w:rsidR="00520333" w:rsidRPr="006D688A" w14:paraId="73829F3A" w14:textId="77777777" w:rsidTr="005E5E0C">
        <w:trPr>
          <w:trHeight w:val="250"/>
        </w:trPr>
        <w:tc>
          <w:tcPr>
            <w:tcW w:w="4224" w:type="dxa"/>
            <w:tcBorders>
              <w:top w:val="nil"/>
              <w:left w:val="nil"/>
              <w:bottom w:val="nil"/>
              <w:right w:val="nil"/>
            </w:tcBorders>
            <w:shd w:val="clear" w:color="FFFFFF" w:fill="FFFFFF"/>
            <w:vAlign w:val="bottom"/>
            <w:hideMark/>
          </w:tcPr>
          <w:p w14:paraId="3A787374"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tcBorders>
              <w:top w:val="nil"/>
              <w:left w:val="nil"/>
              <w:bottom w:val="nil"/>
              <w:right w:val="nil"/>
            </w:tcBorders>
            <w:shd w:val="clear" w:color="FFFFFF" w:fill="FFFFFF"/>
            <w:noWrap/>
            <w:vAlign w:val="bottom"/>
            <w:hideMark/>
          </w:tcPr>
          <w:p w14:paraId="39F2015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1429EBB4"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744195B"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7A8D7E0A"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1293880"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45694B82"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412ED56C" w14:textId="77777777" w:rsidTr="005E5E0C">
        <w:trPr>
          <w:trHeight w:val="250"/>
        </w:trPr>
        <w:tc>
          <w:tcPr>
            <w:tcW w:w="4224" w:type="dxa"/>
            <w:tcBorders>
              <w:top w:val="nil"/>
              <w:left w:val="nil"/>
              <w:bottom w:val="nil"/>
              <w:right w:val="nil"/>
            </w:tcBorders>
            <w:shd w:val="clear" w:color="FFFFFF" w:fill="FFFFFF"/>
            <w:vAlign w:val="bottom"/>
            <w:hideMark/>
          </w:tcPr>
          <w:p w14:paraId="75236E93" w14:textId="77777777" w:rsidR="00520333" w:rsidRPr="006D688A" w:rsidRDefault="00520333" w:rsidP="005E5E0C">
            <w:pPr>
              <w:spacing w:after="0"/>
              <w:rPr>
                <w:rFonts w:cs="Arial"/>
                <w:b/>
                <w:bCs/>
                <w:sz w:val="18"/>
                <w:szCs w:val="18"/>
              </w:rPr>
            </w:pPr>
            <w:r w:rsidRPr="006D688A">
              <w:rPr>
                <w:rFonts w:cs="Arial"/>
                <w:b/>
                <w:bCs/>
                <w:sz w:val="18"/>
                <w:szCs w:val="18"/>
              </w:rPr>
              <w:t>EQUITY</w:t>
            </w:r>
          </w:p>
        </w:tc>
        <w:tc>
          <w:tcPr>
            <w:tcW w:w="1273" w:type="dxa"/>
            <w:tcBorders>
              <w:top w:val="nil"/>
              <w:left w:val="nil"/>
              <w:bottom w:val="nil"/>
              <w:right w:val="nil"/>
            </w:tcBorders>
            <w:shd w:val="clear" w:color="FFFFFF" w:fill="FFFFFF"/>
            <w:noWrap/>
            <w:vAlign w:val="bottom"/>
            <w:hideMark/>
          </w:tcPr>
          <w:p w14:paraId="6B55FD01"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5CD7F617"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408AB64"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3BA40FC4"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1FFDB66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34AA1D2" w14:textId="77777777" w:rsidR="00520333" w:rsidRPr="006D688A" w:rsidRDefault="00520333" w:rsidP="005E5E0C">
            <w:pPr>
              <w:spacing w:after="0"/>
              <w:jc w:val="right"/>
              <w:rPr>
                <w:rFonts w:cs="Arial"/>
                <w:sz w:val="18"/>
                <w:szCs w:val="18"/>
              </w:rPr>
            </w:pPr>
            <w:r w:rsidRPr="006D688A">
              <w:rPr>
                <w:rFonts w:cs="Arial"/>
                <w:sz w:val="18"/>
                <w:szCs w:val="18"/>
              </w:rPr>
              <w:t> </w:t>
            </w:r>
          </w:p>
        </w:tc>
      </w:tr>
      <w:tr w:rsidR="00520333" w:rsidRPr="006D688A" w14:paraId="6B3352A8" w14:textId="77777777" w:rsidTr="005E5E0C">
        <w:trPr>
          <w:trHeight w:val="250"/>
        </w:trPr>
        <w:tc>
          <w:tcPr>
            <w:tcW w:w="4224" w:type="dxa"/>
            <w:tcBorders>
              <w:top w:val="nil"/>
              <w:left w:val="nil"/>
              <w:bottom w:val="nil"/>
              <w:right w:val="nil"/>
            </w:tcBorders>
            <w:shd w:val="clear" w:color="FFFFFF" w:fill="FFFFFF"/>
            <w:vAlign w:val="bottom"/>
            <w:hideMark/>
          </w:tcPr>
          <w:p w14:paraId="3CBE6BCC" w14:textId="77777777" w:rsidR="00520333" w:rsidRPr="006D688A" w:rsidRDefault="00520333" w:rsidP="005E5E0C">
            <w:pPr>
              <w:spacing w:after="0"/>
              <w:ind w:firstLineChars="100" w:firstLine="180"/>
              <w:rPr>
                <w:rFonts w:cs="Arial"/>
                <w:sz w:val="18"/>
                <w:szCs w:val="18"/>
              </w:rPr>
            </w:pPr>
            <w:r w:rsidRPr="006D688A">
              <w:rPr>
                <w:rFonts w:cs="Arial"/>
                <w:sz w:val="18"/>
                <w:szCs w:val="18"/>
              </w:rPr>
              <w:t>Contributed equity</w:t>
            </w:r>
          </w:p>
        </w:tc>
        <w:tc>
          <w:tcPr>
            <w:tcW w:w="1273" w:type="dxa"/>
            <w:tcBorders>
              <w:top w:val="nil"/>
              <w:left w:val="nil"/>
              <w:bottom w:val="nil"/>
              <w:right w:val="nil"/>
            </w:tcBorders>
            <w:shd w:val="clear" w:color="FFFFFF" w:fill="FFFFFF"/>
            <w:noWrap/>
            <w:vAlign w:val="bottom"/>
            <w:hideMark/>
          </w:tcPr>
          <w:p w14:paraId="703A4999"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07266048" w14:textId="77777777" w:rsidR="00520333" w:rsidRPr="006D688A" w:rsidRDefault="00520333" w:rsidP="005E5E0C">
            <w:pPr>
              <w:spacing w:after="0"/>
              <w:jc w:val="right"/>
              <w:rPr>
                <w:rFonts w:cs="Arial"/>
                <w:b/>
                <w:bCs/>
                <w:sz w:val="18"/>
                <w:szCs w:val="18"/>
              </w:rPr>
            </w:pPr>
            <w:r w:rsidRPr="006D688A">
              <w:rPr>
                <w:rFonts w:cs="Arial"/>
                <w:b/>
                <w:bCs/>
                <w:sz w:val="18"/>
                <w:szCs w:val="18"/>
              </w:rPr>
              <w:t>205,733</w:t>
            </w:r>
          </w:p>
        </w:tc>
        <w:tc>
          <w:tcPr>
            <w:tcW w:w="236" w:type="dxa"/>
            <w:tcBorders>
              <w:top w:val="nil"/>
              <w:left w:val="nil"/>
              <w:bottom w:val="nil"/>
              <w:right w:val="nil"/>
            </w:tcBorders>
            <w:shd w:val="clear" w:color="FFFFFF" w:fill="FFFFFF"/>
            <w:noWrap/>
            <w:vAlign w:val="bottom"/>
            <w:hideMark/>
          </w:tcPr>
          <w:p w14:paraId="66485AA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00C9E6B3" w14:textId="77777777" w:rsidR="00520333" w:rsidRPr="006D688A" w:rsidRDefault="00520333" w:rsidP="005E5E0C">
            <w:pPr>
              <w:spacing w:after="0"/>
              <w:jc w:val="right"/>
              <w:rPr>
                <w:rFonts w:cs="Arial"/>
                <w:sz w:val="18"/>
                <w:szCs w:val="18"/>
              </w:rPr>
            </w:pPr>
            <w:r w:rsidRPr="006D688A">
              <w:rPr>
                <w:rFonts w:cs="Arial"/>
                <w:sz w:val="18"/>
                <w:szCs w:val="18"/>
              </w:rPr>
              <w:t>205,733</w:t>
            </w:r>
          </w:p>
        </w:tc>
        <w:tc>
          <w:tcPr>
            <w:tcW w:w="236" w:type="dxa"/>
            <w:tcBorders>
              <w:top w:val="nil"/>
              <w:left w:val="nil"/>
              <w:bottom w:val="nil"/>
              <w:right w:val="nil"/>
            </w:tcBorders>
            <w:shd w:val="clear" w:color="FFFFFF" w:fill="FFFFFF"/>
            <w:noWrap/>
            <w:vAlign w:val="bottom"/>
            <w:hideMark/>
          </w:tcPr>
          <w:p w14:paraId="5CA41F7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F5717A8" w14:textId="77777777" w:rsidR="00520333" w:rsidRPr="006D688A" w:rsidRDefault="00520333" w:rsidP="005E5E0C">
            <w:pPr>
              <w:spacing w:after="0"/>
              <w:jc w:val="right"/>
              <w:rPr>
                <w:rFonts w:cs="Arial"/>
                <w:sz w:val="18"/>
                <w:szCs w:val="18"/>
              </w:rPr>
            </w:pPr>
            <w:r w:rsidRPr="006D688A">
              <w:rPr>
                <w:rFonts w:cs="Arial"/>
                <w:sz w:val="18"/>
                <w:szCs w:val="18"/>
              </w:rPr>
              <w:t>205,733</w:t>
            </w:r>
          </w:p>
        </w:tc>
      </w:tr>
      <w:tr w:rsidR="00520333" w:rsidRPr="006D688A" w14:paraId="64E100DD" w14:textId="77777777" w:rsidTr="005E5E0C">
        <w:trPr>
          <w:trHeight w:val="250"/>
        </w:trPr>
        <w:tc>
          <w:tcPr>
            <w:tcW w:w="4224" w:type="dxa"/>
            <w:tcBorders>
              <w:top w:val="nil"/>
              <w:left w:val="nil"/>
              <w:bottom w:val="nil"/>
              <w:right w:val="nil"/>
            </w:tcBorders>
            <w:shd w:val="clear" w:color="FFFFFF" w:fill="FFFFFF"/>
            <w:vAlign w:val="bottom"/>
            <w:hideMark/>
          </w:tcPr>
          <w:p w14:paraId="2AF6F3F0" w14:textId="77777777" w:rsidR="00520333" w:rsidRPr="006D688A" w:rsidRDefault="00520333" w:rsidP="005E5E0C">
            <w:pPr>
              <w:spacing w:after="0"/>
              <w:ind w:firstLineChars="100" w:firstLine="180"/>
              <w:rPr>
                <w:rFonts w:cs="Arial"/>
                <w:sz w:val="18"/>
                <w:szCs w:val="18"/>
              </w:rPr>
            </w:pPr>
            <w:r w:rsidRPr="006D688A">
              <w:rPr>
                <w:rFonts w:cs="Arial"/>
                <w:sz w:val="18"/>
                <w:szCs w:val="18"/>
              </w:rPr>
              <w:t>Asset revaluation reserve</w:t>
            </w:r>
          </w:p>
        </w:tc>
        <w:tc>
          <w:tcPr>
            <w:tcW w:w="1273" w:type="dxa"/>
            <w:tcBorders>
              <w:top w:val="nil"/>
              <w:left w:val="nil"/>
              <w:bottom w:val="nil"/>
              <w:right w:val="nil"/>
            </w:tcBorders>
            <w:shd w:val="clear" w:color="FFFFFF" w:fill="FFFFFF"/>
            <w:noWrap/>
            <w:vAlign w:val="bottom"/>
            <w:hideMark/>
          </w:tcPr>
          <w:p w14:paraId="5EF9103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13F0A3AB" w14:textId="77777777" w:rsidR="00520333" w:rsidRPr="006D688A" w:rsidRDefault="00520333" w:rsidP="005E5E0C">
            <w:pPr>
              <w:spacing w:after="0"/>
              <w:jc w:val="right"/>
              <w:rPr>
                <w:rFonts w:cs="Arial"/>
                <w:b/>
                <w:bCs/>
                <w:sz w:val="18"/>
                <w:szCs w:val="18"/>
              </w:rPr>
            </w:pPr>
            <w:r w:rsidRPr="006D688A">
              <w:rPr>
                <w:rFonts w:cs="Arial"/>
                <w:b/>
                <w:bCs/>
                <w:sz w:val="18"/>
                <w:szCs w:val="18"/>
              </w:rPr>
              <w:t>46,916</w:t>
            </w:r>
          </w:p>
        </w:tc>
        <w:tc>
          <w:tcPr>
            <w:tcW w:w="236" w:type="dxa"/>
            <w:tcBorders>
              <w:top w:val="nil"/>
              <w:left w:val="nil"/>
              <w:bottom w:val="nil"/>
              <w:right w:val="nil"/>
            </w:tcBorders>
            <w:shd w:val="clear" w:color="FFFFFF" w:fill="FFFFFF"/>
            <w:noWrap/>
            <w:vAlign w:val="bottom"/>
            <w:hideMark/>
          </w:tcPr>
          <w:p w14:paraId="11C390BE"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169496A7" w14:textId="77777777" w:rsidR="00520333" w:rsidRPr="006D688A" w:rsidRDefault="00520333" w:rsidP="005E5E0C">
            <w:pPr>
              <w:spacing w:after="0"/>
              <w:jc w:val="right"/>
              <w:rPr>
                <w:rFonts w:cs="Arial"/>
                <w:sz w:val="18"/>
                <w:szCs w:val="18"/>
              </w:rPr>
            </w:pPr>
            <w:r w:rsidRPr="006D688A">
              <w:rPr>
                <w:rFonts w:cs="Arial"/>
                <w:sz w:val="18"/>
                <w:szCs w:val="18"/>
              </w:rPr>
              <w:t>38,364</w:t>
            </w:r>
          </w:p>
        </w:tc>
        <w:tc>
          <w:tcPr>
            <w:tcW w:w="236" w:type="dxa"/>
            <w:tcBorders>
              <w:top w:val="nil"/>
              <w:left w:val="nil"/>
              <w:bottom w:val="nil"/>
              <w:right w:val="nil"/>
            </w:tcBorders>
            <w:shd w:val="clear" w:color="FFFFFF" w:fill="FFFFFF"/>
            <w:noWrap/>
            <w:vAlign w:val="bottom"/>
            <w:hideMark/>
          </w:tcPr>
          <w:p w14:paraId="5D643F09"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9D32937" w14:textId="77777777" w:rsidR="00520333" w:rsidRPr="006D688A" w:rsidRDefault="00520333" w:rsidP="005E5E0C">
            <w:pPr>
              <w:spacing w:after="0"/>
              <w:jc w:val="right"/>
              <w:rPr>
                <w:rFonts w:cs="Arial"/>
                <w:sz w:val="18"/>
                <w:szCs w:val="18"/>
              </w:rPr>
            </w:pPr>
            <w:r w:rsidRPr="006D688A">
              <w:rPr>
                <w:rFonts w:cs="Arial"/>
                <w:sz w:val="18"/>
                <w:szCs w:val="18"/>
              </w:rPr>
              <w:t>21,079</w:t>
            </w:r>
          </w:p>
        </w:tc>
      </w:tr>
      <w:tr w:rsidR="00520333" w:rsidRPr="006D688A" w14:paraId="2EC1BDDB" w14:textId="77777777" w:rsidTr="005E5E0C">
        <w:trPr>
          <w:trHeight w:val="250"/>
        </w:trPr>
        <w:tc>
          <w:tcPr>
            <w:tcW w:w="4224" w:type="dxa"/>
            <w:tcBorders>
              <w:top w:val="nil"/>
              <w:left w:val="nil"/>
              <w:bottom w:val="nil"/>
              <w:right w:val="nil"/>
            </w:tcBorders>
            <w:shd w:val="clear" w:color="FFFFFF" w:fill="FFFFFF"/>
            <w:vAlign w:val="bottom"/>
            <w:hideMark/>
          </w:tcPr>
          <w:p w14:paraId="26EB0EFB" w14:textId="77777777" w:rsidR="00520333" w:rsidRPr="006D688A" w:rsidRDefault="00520333" w:rsidP="005E5E0C">
            <w:pPr>
              <w:spacing w:after="0"/>
              <w:ind w:firstLineChars="100" w:firstLine="180"/>
              <w:rPr>
                <w:rFonts w:cs="Arial"/>
                <w:sz w:val="18"/>
                <w:szCs w:val="18"/>
              </w:rPr>
            </w:pPr>
            <w:r w:rsidRPr="006D688A">
              <w:rPr>
                <w:rFonts w:cs="Arial"/>
                <w:sz w:val="18"/>
                <w:szCs w:val="18"/>
              </w:rPr>
              <w:t>Retained surplus</w:t>
            </w:r>
          </w:p>
        </w:tc>
        <w:tc>
          <w:tcPr>
            <w:tcW w:w="1273" w:type="dxa"/>
            <w:tcBorders>
              <w:top w:val="nil"/>
              <w:left w:val="nil"/>
              <w:bottom w:val="nil"/>
              <w:right w:val="nil"/>
            </w:tcBorders>
            <w:shd w:val="clear" w:color="FFFFFF" w:fill="FFFFFF"/>
            <w:noWrap/>
            <w:vAlign w:val="bottom"/>
            <w:hideMark/>
          </w:tcPr>
          <w:p w14:paraId="22AA6DD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nil"/>
              <w:left w:val="nil"/>
              <w:bottom w:val="nil"/>
              <w:right w:val="nil"/>
            </w:tcBorders>
            <w:shd w:val="clear" w:color="FFFFFF" w:fill="FFFFFF"/>
            <w:noWrap/>
            <w:vAlign w:val="bottom"/>
            <w:hideMark/>
          </w:tcPr>
          <w:p w14:paraId="7F4526A6" w14:textId="77777777" w:rsidR="00520333" w:rsidRPr="006D688A" w:rsidRDefault="00520333" w:rsidP="005E5E0C">
            <w:pPr>
              <w:spacing w:after="0"/>
              <w:jc w:val="right"/>
              <w:rPr>
                <w:rFonts w:cs="Arial"/>
                <w:b/>
                <w:bCs/>
                <w:sz w:val="18"/>
                <w:szCs w:val="18"/>
              </w:rPr>
            </w:pPr>
            <w:r w:rsidRPr="006D688A">
              <w:rPr>
                <w:rFonts w:cs="Arial"/>
                <w:b/>
                <w:bCs/>
                <w:sz w:val="18"/>
                <w:szCs w:val="18"/>
              </w:rPr>
              <w:t>2,034,744</w:t>
            </w:r>
          </w:p>
        </w:tc>
        <w:tc>
          <w:tcPr>
            <w:tcW w:w="236" w:type="dxa"/>
            <w:tcBorders>
              <w:top w:val="nil"/>
              <w:left w:val="nil"/>
              <w:bottom w:val="nil"/>
              <w:right w:val="nil"/>
            </w:tcBorders>
            <w:shd w:val="clear" w:color="FFFFFF" w:fill="FFFFFF"/>
            <w:noWrap/>
            <w:vAlign w:val="bottom"/>
            <w:hideMark/>
          </w:tcPr>
          <w:p w14:paraId="1AE8A212"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699E5870" w14:textId="77777777" w:rsidR="00520333" w:rsidRPr="006D688A" w:rsidRDefault="00520333" w:rsidP="005E5E0C">
            <w:pPr>
              <w:spacing w:after="0"/>
              <w:jc w:val="right"/>
              <w:rPr>
                <w:rFonts w:cs="Arial"/>
                <w:sz w:val="18"/>
                <w:szCs w:val="18"/>
              </w:rPr>
            </w:pPr>
            <w:r w:rsidRPr="006D688A">
              <w:rPr>
                <w:rFonts w:cs="Arial"/>
                <w:sz w:val="18"/>
                <w:szCs w:val="18"/>
              </w:rPr>
              <w:t>1,032,160</w:t>
            </w:r>
          </w:p>
        </w:tc>
        <w:tc>
          <w:tcPr>
            <w:tcW w:w="236" w:type="dxa"/>
            <w:tcBorders>
              <w:top w:val="nil"/>
              <w:left w:val="nil"/>
              <w:bottom w:val="nil"/>
              <w:right w:val="nil"/>
            </w:tcBorders>
            <w:shd w:val="clear" w:color="FFFFFF" w:fill="FFFFFF"/>
            <w:noWrap/>
            <w:vAlign w:val="bottom"/>
            <w:hideMark/>
          </w:tcPr>
          <w:p w14:paraId="7AB3C0F6"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nil"/>
              <w:left w:val="nil"/>
              <w:bottom w:val="nil"/>
              <w:right w:val="nil"/>
            </w:tcBorders>
            <w:shd w:val="clear" w:color="FFFFFF" w:fill="FFFFFF"/>
            <w:noWrap/>
            <w:vAlign w:val="bottom"/>
            <w:hideMark/>
          </w:tcPr>
          <w:p w14:paraId="5CFE9C5F" w14:textId="77777777" w:rsidR="00520333" w:rsidRPr="006D688A" w:rsidRDefault="00520333" w:rsidP="005E5E0C">
            <w:pPr>
              <w:spacing w:after="0"/>
              <w:jc w:val="right"/>
              <w:rPr>
                <w:rFonts w:cs="Arial"/>
                <w:sz w:val="18"/>
                <w:szCs w:val="18"/>
              </w:rPr>
            </w:pPr>
            <w:r w:rsidRPr="006D688A">
              <w:rPr>
                <w:rFonts w:cs="Arial"/>
                <w:sz w:val="18"/>
                <w:szCs w:val="18"/>
              </w:rPr>
              <w:t>1,190,505</w:t>
            </w:r>
          </w:p>
        </w:tc>
      </w:tr>
      <w:tr w:rsidR="00520333" w:rsidRPr="006D688A" w14:paraId="07EA4169" w14:textId="77777777" w:rsidTr="005E5E0C">
        <w:trPr>
          <w:trHeight w:val="250"/>
        </w:trPr>
        <w:tc>
          <w:tcPr>
            <w:tcW w:w="4224" w:type="dxa"/>
            <w:tcBorders>
              <w:top w:val="nil"/>
              <w:left w:val="nil"/>
              <w:bottom w:val="nil"/>
              <w:right w:val="nil"/>
            </w:tcBorders>
            <w:shd w:val="clear" w:color="FFFFFF" w:fill="FFFFFF"/>
            <w:vAlign w:val="bottom"/>
            <w:hideMark/>
          </w:tcPr>
          <w:p w14:paraId="599D5020" w14:textId="77777777" w:rsidR="00520333" w:rsidRPr="006D688A" w:rsidRDefault="00520333" w:rsidP="005E5E0C">
            <w:pPr>
              <w:spacing w:after="0"/>
              <w:rPr>
                <w:rFonts w:cs="Arial"/>
                <w:b/>
                <w:bCs/>
                <w:sz w:val="18"/>
                <w:szCs w:val="18"/>
              </w:rPr>
            </w:pPr>
            <w:r w:rsidRPr="006D688A">
              <w:rPr>
                <w:rFonts w:cs="Arial"/>
                <w:b/>
                <w:bCs/>
                <w:sz w:val="18"/>
                <w:szCs w:val="18"/>
              </w:rPr>
              <w:t>Total equity</w:t>
            </w:r>
          </w:p>
        </w:tc>
        <w:tc>
          <w:tcPr>
            <w:tcW w:w="1273" w:type="dxa"/>
            <w:tcBorders>
              <w:top w:val="nil"/>
              <w:left w:val="nil"/>
              <w:bottom w:val="nil"/>
              <w:right w:val="nil"/>
            </w:tcBorders>
            <w:shd w:val="clear" w:color="FFFFFF" w:fill="FFFFFF"/>
            <w:noWrap/>
            <w:vAlign w:val="bottom"/>
            <w:hideMark/>
          </w:tcPr>
          <w:p w14:paraId="0317C61A"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46" w:type="dxa"/>
            <w:tcBorders>
              <w:top w:val="single" w:sz="4" w:space="0" w:color="auto"/>
              <w:left w:val="nil"/>
              <w:bottom w:val="single" w:sz="4" w:space="0" w:color="auto"/>
              <w:right w:val="nil"/>
            </w:tcBorders>
            <w:shd w:val="clear" w:color="FFFFFF" w:fill="FFFFFF"/>
            <w:noWrap/>
            <w:vAlign w:val="bottom"/>
            <w:hideMark/>
          </w:tcPr>
          <w:p w14:paraId="42178B31" w14:textId="77777777" w:rsidR="00520333" w:rsidRPr="006D688A" w:rsidRDefault="00520333" w:rsidP="005E5E0C">
            <w:pPr>
              <w:spacing w:after="0"/>
              <w:jc w:val="right"/>
              <w:rPr>
                <w:rFonts w:cs="Arial"/>
                <w:b/>
                <w:bCs/>
                <w:sz w:val="18"/>
                <w:szCs w:val="18"/>
              </w:rPr>
            </w:pPr>
            <w:r w:rsidRPr="006D688A">
              <w:rPr>
                <w:rFonts w:cs="Arial"/>
                <w:b/>
                <w:bCs/>
                <w:sz w:val="18"/>
                <w:szCs w:val="18"/>
              </w:rPr>
              <w:t>2,287,393</w:t>
            </w:r>
          </w:p>
        </w:tc>
        <w:tc>
          <w:tcPr>
            <w:tcW w:w="236" w:type="dxa"/>
            <w:tcBorders>
              <w:top w:val="nil"/>
              <w:left w:val="nil"/>
              <w:bottom w:val="nil"/>
              <w:right w:val="nil"/>
            </w:tcBorders>
            <w:shd w:val="clear" w:color="FFFFFF" w:fill="FFFFFF"/>
            <w:noWrap/>
            <w:vAlign w:val="bottom"/>
            <w:hideMark/>
          </w:tcPr>
          <w:p w14:paraId="1C43B60A"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6CAB62F0" w14:textId="77777777" w:rsidR="00520333" w:rsidRPr="006D688A" w:rsidRDefault="00520333" w:rsidP="005E5E0C">
            <w:pPr>
              <w:spacing w:after="0"/>
              <w:jc w:val="right"/>
              <w:rPr>
                <w:rFonts w:cs="Arial"/>
                <w:sz w:val="18"/>
                <w:szCs w:val="18"/>
              </w:rPr>
            </w:pPr>
            <w:r w:rsidRPr="006D688A">
              <w:rPr>
                <w:rFonts w:cs="Arial"/>
                <w:sz w:val="18"/>
                <w:szCs w:val="18"/>
              </w:rPr>
              <w:t>1,276,257</w:t>
            </w:r>
          </w:p>
        </w:tc>
        <w:tc>
          <w:tcPr>
            <w:tcW w:w="236" w:type="dxa"/>
            <w:tcBorders>
              <w:top w:val="nil"/>
              <w:left w:val="nil"/>
              <w:bottom w:val="nil"/>
              <w:right w:val="nil"/>
            </w:tcBorders>
            <w:shd w:val="clear" w:color="FFFFFF" w:fill="FFFFFF"/>
            <w:noWrap/>
            <w:vAlign w:val="bottom"/>
            <w:hideMark/>
          </w:tcPr>
          <w:p w14:paraId="05FF9211" w14:textId="77777777" w:rsidR="00520333" w:rsidRPr="006D688A" w:rsidRDefault="00520333" w:rsidP="005E5E0C">
            <w:pPr>
              <w:spacing w:after="0"/>
              <w:rPr>
                <w:rFonts w:cs="Arial"/>
                <w:sz w:val="18"/>
                <w:szCs w:val="18"/>
              </w:rPr>
            </w:pPr>
            <w:r w:rsidRPr="006D688A">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389359D6" w14:textId="77777777" w:rsidR="00520333" w:rsidRPr="006D688A" w:rsidRDefault="00520333" w:rsidP="005E5E0C">
            <w:pPr>
              <w:spacing w:after="0"/>
              <w:jc w:val="right"/>
              <w:rPr>
                <w:rFonts w:cs="Arial"/>
                <w:sz w:val="18"/>
                <w:szCs w:val="18"/>
              </w:rPr>
            </w:pPr>
            <w:r w:rsidRPr="006D688A">
              <w:rPr>
                <w:rFonts w:cs="Arial"/>
                <w:sz w:val="18"/>
                <w:szCs w:val="18"/>
              </w:rPr>
              <w:t>1,417,317</w:t>
            </w:r>
          </w:p>
        </w:tc>
      </w:tr>
    </w:tbl>
    <w:p w14:paraId="53A0CFA9" w14:textId="77777777" w:rsidR="00520333" w:rsidRPr="006D688A" w:rsidRDefault="00520333" w:rsidP="003203A1">
      <w:pPr>
        <w:pStyle w:val="ReferenceText"/>
      </w:pPr>
      <w:r w:rsidRPr="006D688A">
        <w:t>The above statement should be read in conjunction with the accompanying notes.</w:t>
      </w:r>
    </w:p>
    <w:p w14:paraId="265CD8F1" w14:textId="16E7203D" w:rsidR="00AF700A" w:rsidRDefault="00520333" w:rsidP="003203A1">
      <w:pPr>
        <w:pStyle w:val="ReferenceText"/>
        <w:rPr>
          <w:rFonts w:cs="Arial"/>
          <w:b/>
          <w:bCs/>
          <w:szCs w:val="18"/>
          <w:lang w:eastAsia="en-US"/>
        </w:rPr>
      </w:pPr>
      <w:r w:rsidRPr="006D688A">
        <w:rPr>
          <w:vertAlign w:val="superscript"/>
        </w:rPr>
        <w:t xml:space="preserve">1 </w:t>
      </w:r>
      <w:r w:rsidRPr="006D688A">
        <w:t>Original Budget refers to the figures published in the 2023-24 Portfolio Budget Statements</w:t>
      </w:r>
      <w:r w:rsidR="00AF700A">
        <w:br w:type="page"/>
      </w:r>
    </w:p>
    <w:p w14:paraId="04E51D9A" w14:textId="77777777" w:rsidR="006D688A" w:rsidRPr="00AA02E5" w:rsidRDefault="006D688A" w:rsidP="006D688A">
      <w:pPr>
        <w:spacing w:after="0" w:line="240" w:lineRule="auto"/>
        <w:rPr>
          <w:b/>
          <w:bCs/>
        </w:rPr>
      </w:pPr>
      <w:r w:rsidRPr="00AA02E5">
        <w:rPr>
          <w:b/>
          <w:bCs/>
        </w:rPr>
        <w:lastRenderedPageBreak/>
        <w:t>National Disability Insurance Agency</w:t>
      </w:r>
    </w:p>
    <w:p w14:paraId="64AD5AE9" w14:textId="77777777" w:rsidR="006D688A" w:rsidRPr="00AA02E5" w:rsidRDefault="006D688A" w:rsidP="006D688A">
      <w:pPr>
        <w:spacing w:after="0" w:line="240" w:lineRule="auto"/>
        <w:rPr>
          <w:b/>
          <w:bCs/>
        </w:rPr>
      </w:pPr>
      <w:r w:rsidRPr="00AA02E5">
        <w:rPr>
          <w:b/>
          <w:bCs/>
        </w:rPr>
        <w:t xml:space="preserve">STATEMENT OF </w:t>
      </w:r>
      <w:r>
        <w:rPr>
          <w:b/>
          <w:bCs/>
        </w:rPr>
        <w:t>FINANCIAL POSITION</w:t>
      </w:r>
    </w:p>
    <w:p w14:paraId="69857ECC" w14:textId="77777777" w:rsidR="006D688A" w:rsidRPr="00AA02E5" w:rsidRDefault="006D688A" w:rsidP="00C821EB">
      <w:pPr>
        <w:pBdr>
          <w:bottom w:val="single" w:sz="8" w:space="1" w:color="auto"/>
        </w:pBdr>
        <w:spacing w:line="240" w:lineRule="auto"/>
        <w:rPr>
          <w:i/>
          <w:iCs/>
        </w:rPr>
      </w:pPr>
      <w:r>
        <w:rPr>
          <w:i/>
          <w:iCs/>
        </w:rPr>
        <w:t>as at</w:t>
      </w:r>
      <w:r w:rsidRPr="00AA02E5">
        <w:rPr>
          <w:i/>
          <w:iCs/>
        </w:rPr>
        <w:t xml:space="preserve"> 30 June 2024</w:t>
      </w:r>
    </w:p>
    <w:p w14:paraId="0F520AEC" w14:textId="1A9D79F8" w:rsidR="00520333" w:rsidRPr="006D688A" w:rsidRDefault="00520333" w:rsidP="006D688A">
      <w:pPr>
        <w:pStyle w:val="PolicyheadingDept"/>
        <w:pBdr>
          <w:top w:val="none" w:sz="0" w:space="0" w:color="auto"/>
          <w:left w:val="none" w:sz="0" w:space="0" w:color="auto"/>
          <w:bottom w:val="none" w:sz="0" w:space="0" w:color="auto"/>
          <w:right w:val="none" w:sz="0" w:space="0" w:color="auto"/>
        </w:pBdr>
        <w:spacing w:before="120"/>
      </w:pPr>
      <w:r w:rsidRPr="006D688A">
        <w:t xml:space="preserve">Budget Variances Commentary </w:t>
      </w:r>
    </w:p>
    <w:p w14:paraId="5979A892" w14:textId="77777777" w:rsidR="00520333" w:rsidRPr="006D688A" w:rsidRDefault="00520333" w:rsidP="006D688A">
      <w:pPr>
        <w:pStyle w:val="PolicyheadingDept"/>
        <w:pBdr>
          <w:top w:val="none" w:sz="0" w:space="0" w:color="auto"/>
          <w:left w:val="none" w:sz="0" w:space="0" w:color="auto"/>
          <w:bottom w:val="none" w:sz="0" w:space="0" w:color="auto"/>
          <w:right w:val="none" w:sz="0" w:space="0" w:color="auto"/>
        </w:pBdr>
        <w:spacing w:before="120"/>
      </w:pPr>
      <w:r w:rsidRPr="006D688A">
        <w:t>Statement of Financial Position</w:t>
      </w:r>
    </w:p>
    <w:p w14:paraId="2B44C2A8" w14:textId="77777777" w:rsidR="00520333" w:rsidRPr="006D688A" w:rsidRDefault="00520333" w:rsidP="00520333">
      <w:pPr>
        <w:spacing w:before="100" w:beforeAutospacing="1" w:after="0" w:line="240" w:lineRule="auto"/>
        <w:rPr>
          <w:rFonts w:cs="Arial"/>
          <w:sz w:val="18"/>
          <w:szCs w:val="18"/>
          <w:lang w:eastAsia="en-AU"/>
        </w:rPr>
      </w:pPr>
      <w:r w:rsidRPr="006D688A">
        <w:rPr>
          <w:rFonts w:cs="Arial"/>
          <w:sz w:val="18"/>
          <w:szCs w:val="18"/>
          <w:lang w:eastAsia="en-AU"/>
        </w:rPr>
        <w:t>The following major variance explanations between the Original Budget as presented in the 2023-24 Portfolio Budget Statements and the 2023–24 financial statements are presented in accordance with Australian Accounting Standards. The 2023–24 Portfolio Budget Statements contain the original financial statements’ budget estimates presented to Parliament in respect of the 2023–24 financial year. The information presented below should be read in the context of the following:</w:t>
      </w:r>
    </w:p>
    <w:p w14:paraId="07EC63CD" w14:textId="77777777" w:rsidR="00520333" w:rsidRPr="006D688A" w:rsidRDefault="00520333" w:rsidP="007D1B8F">
      <w:pPr>
        <w:spacing w:before="180" w:after="0" w:line="240" w:lineRule="auto"/>
        <w:rPr>
          <w:rFonts w:cs="Arial"/>
          <w:sz w:val="18"/>
          <w:szCs w:val="18"/>
          <w:lang w:eastAsia="en-AU"/>
        </w:rPr>
      </w:pPr>
      <w:r w:rsidRPr="006D688A">
        <w:rPr>
          <w:rFonts w:cs="Arial"/>
          <w:sz w:val="18"/>
          <w:szCs w:val="18"/>
          <w:lang w:eastAsia="en-AU"/>
        </w:rPr>
        <w:t>· major variances are determined in accordance with Department of Finance guidelines; and</w:t>
      </w:r>
    </w:p>
    <w:p w14:paraId="12BD6EDD" w14:textId="77777777" w:rsidR="00520333" w:rsidRPr="006D688A" w:rsidRDefault="00520333" w:rsidP="007D1B8F">
      <w:pPr>
        <w:spacing w:before="180" w:after="180" w:line="240" w:lineRule="auto"/>
        <w:rPr>
          <w:rFonts w:cs="Arial"/>
          <w:sz w:val="18"/>
          <w:szCs w:val="18"/>
          <w:lang w:eastAsia="en-AU"/>
        </w:rPr>
      </w:pPr>
      <w:r w:rsidRPr="006D688A">
        <w:rPr>
          <w:rFonts w:cs="Arial"/>
          <w:sz w:val="18"/>
          <w:szCs w:val="18"/>
          <w:lang w:eastAsia="en-AU"/>
        </w:rPr>
        <w:t>· the Budget is not audited.</w:t>
      </w:r>
    </w:p>
    <w:tbl>
      <w:tblPr>
        <w:tblW w:w="9077"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73"/>
        <w:gridCol w:w="6804"/>
      </w:tblGrid>
      <w:tr w:rsidR="00520333" w:rsidRPr="006D688A" w14:paraId="27DCD297" w14:textId="77777777" w:rsidTr="006D688A">
        <w:trPr>
          <w:cantSplit/>
          <w:trHeight w:val="255"/>
          <w:tblHeader/>
        </w:trPr>
        <w:tc>
          <w:tcPr>
            <w:tcW w:w="2273" w:type="dxa"/>
            <w:shd w:val="clear" w:color="FFFFFF" w:fill="FFFFFF"/>
            <w:noWrap/>
            <w:vAlign w:val="center"/>
          </w:tcPr>
          <w:p w14:paraId="0852E164" w14:textId="77777777" w:rsidR="00520333" w:rsidRPr="006D688A" w:rsidRDefault="00520333" w:rsidP="005E5E0C">
            <w:pPr>
              <w:spacing w:after="0"/>
              <w:rPr>
                <w:rFonts w:cs="Arial"/>
                <w:b/>
                <w:sz w:val="18"/>
                <w:szCs w:val="18"/>
              </w:rPr>
            </w:pPr>
            <w:r w:rsidRPr="006D688A">
              <w:rPr>
                <w:rFonts w:cs="Arial"/>
                <w:b/>
                <w:sz w:val="18"/>
                <w:szCs w:val="18"/>
              </w:rPr>
              <w:t>Affected line items</w:t>
            </w:r>
          </w:p>
        </w:tc>
        <w:tc>
          <w:tcPr>
            <w:tcW w:w="6804" w:type="dxa"/>
            <w:shd w:val="clear" w:color="FFFFFF" w:fill="FFFFFF"/>
            <w:vAlign w:val="center"/>
          </w:tcPr>
          <w:p w14:paraId="6E9D6948" w14:textId="77777777" w:rsidR="00520333" w:rsidRPr="006D688A" w:rsidRDefault="00520333" w:rsidP="005E5E0C">
            <w:pPr>
              <w:spacing w:after="0"/>
              <w:rPr>
                <w:rFonts w:cs="Arial"/>
                <w:b/>
                <w:sz w:val="18"/>
                <w:szCs w:val="18"/>
                <w:highlight w:val="yellow"/>
              </w:rPr>
            </w:pPr>
            <w:r w:rsidRPr="006D688A">
              <w:rPr>
                <w:rFonts w:cs="Arial"/>
                <w:b/>
                <w:bCs/>
                <w:color w:val="000000"/>
                <w:sz w:val="18"/>
                <w:szCs w:val="18"/>
                <w:lang w:eastAsia="en-AU"/>
              </w:rPr>
              <w:t>Explanations of major variances</w:t>
            </w:r>
          </w:p>
        </w:tc>
      </w:tr>
      <w:tr w:rsidR="00520333" w:rsidRPr="006D688A" w14:paraId="5B8AFF50" w14:textId="77777777" w:rsidTr="006D688A">
        <w:trPr>
          <w:cantSplit/>
          <w:trHeight w:val="255"/>
        </w:trPr>
        <w:tc>
          <w:tcPr>
            <w:tcW w:w="2273" w:type="dxa"/>
            <w:shd w:val="clear" w:color="auto" w:fill="auto"/>
            <w:noWrap/>
          </w:tcPr>
          <w:p w14:paraId="5D879FD4" w14:textId="77777777" w:rsidR="00520333" w:rsidRPr="006D688A" w:rsidRDefault="00520333" w:rsidP="005E5E0C">
            <w:pPr>
              <w:spacing w:after="0"/>
              <w:rPr>
                <w:rFonts w:cs="Arial"/>
                <w:sz w:val="18"/>
                <w:szCs w:val="18"/>
              </w:rPr>
            </w:pPr>
            <w:r w:rsidRPr="006D688A">
              <w:rPr>
                <w:rFonts w:cs="Arial"/>
                <w:sz w:val="18"/>
                <w:szCs w:val="18"/>
              </w:rPr>
              <w:t>Financial assets</w:t>
            </w:r>
          </w:p>
          <w:p w14:paraId="370B71F7" w14:textId="77777777" w:rsidR="00520333" w:rsidRPr="006D688A" w:rsidRDefault="00520333" w:rsidP="005E5E0C">
            <w:pPr>
              <w:spacing w:after="0"/>
              <w:rPr>
                <w:rFonts w:cs="Arial"/>
                <w:i/>
                <w:sz w:val="18"/>
                <w:szCs w:val="18"/>
              </w:rPr>
            </w:pPr>
            <w:r w:rsidRPr="006D688A">
              <w:rPr>
                <w:rFonts w:cs="Arial"/>
                <w:i/>
                <w:sz w:val="18"/>
                <w:szCs w:val="18"/>
              </w:rPr>
              <w:t>Cash and cash equivalents</w:t>
            </w:r>
          </w:p>
        </w:tc>
        <w:tc>
          <w:tcPr>
            <w:tcW w:w="6804" w:type="dxa"/>
            <w:shd w:val="clear" w:color="auto" w:fill="auto"/>
            <w:noWrap/>
          </w:tcPr>
          <w:p w14:paraId="4D1FE46D"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The Original Budget assumed that surplus cash funds would be held in term deposits,</w:t>
            </w:r>
            <w:r w:rsidRPr="006D688A">
              <w:rPr>
                <w:rFonts w:cs="Arial"/>
                <w:color w:val="FF0000"/>
                <w:sz w:val="18"/>
                <w:szCs w:val="18"/>
              </w:rPr>
              <w:t xml:space="preserve"> </w:t>
            </w:r>
            <w:r w:rsidRPr="006D688A">
              <w:rPr>
                <w:rFonts w:cs="Arial"/>
                <w:color w:val="000000"/>
                <w:sz w:val="18"/>
                <w:szCs w:val="18"/>
              </w:rPr>
              <w:t>at year-end, reported under Other Financial Assets. The increase in cash balances reflects the movement of funds from term deposits to cash and cash equivalents</w:t>
            </w:r>
            <w:bookmarkStart w:id="113" w:name="_Hlk174601656"/>
            <w:r w:rsidRPr="006D688A">
              <w:rPr>
                <w:rFonts w:cs="Arial"/>
                <w:color w:val="000000"/>
                <w:sz w:val="18"/>
                <w:szCs w:val="18"/>
              </w:rPr>
              <w:t>.</w:t>
            </w:r>
            <w:bookmarkEnd w:id="113"/>
          </w:p>
        </w:tc>
      </w:tr>
      <w:tr w:rsidR="00520333" w:rsidRPr="006D688A" w14:paraId="04ABA796" w14:textId="77777777" w:rsidTr="006D688A">
        <w:trPr>
          <w:cantSplit/>
          <w:trHeight w:val="255"/>
        </w:trPr>
        <w:tc>
          <w:tcPr>
            <w:tcW w:w="2273" w:type="dxa"/>
            <w:shd w:val="clear" w:color="auto" w:fill="auto"/>
            <w:noWrap/>
          </w:tcPr>
          <w:p w14:paraId="7E719878" w14:textId="77777777" w:rsidR="00520333" w:rsidRPr="006D688A" w:rsidRDefault="00520333" w:rsidP="005E5E0C">
            <w:pPr>
              <w:spacing w:after="0"/>
              <w:rPr>
                <w:rFonts w:cs="Arial"/>
                <w:sz w:val="18"/>
                <w:szCs w:val="18"/>
              </w:rPr>
            </w:pPr>
            <w:r w:rsidRPr="006D688A">
              <w:rPr>
                <w:rFonts w:cs="Arial"/>
                <w:sz w:val="18"/>
                <w:szCs w:val="18"/>
              </w:rPr>
              <w:t>Financial assets</w:t>
            </w:r>
          </w:p>
          <w:p w14:paraId="66F32FD3" w14:textId="77777777" w:rsidR="00520333" w:rsidRPr="006D688A" w:rsidRDefault="00520333" w:rsidP="005E5E0C">
            <w:pPr>
              <w:spacing w:after="0"/>
              <w:rPr>
                <w:rFonts w:cs="Arial"/>
                <w:i/>
                <w:sz w:val="18"/>
                <w:szCs w:val="18"/>
              </w:rPr>
            </w:pPr>
            <w:r w:rsidRPr="006D688A">
              <w:rPr>
                <w:rFonts w:cs="Arial"/>
                <w:i/>
                <w:sz w:val="18"/>
                <w:szCs w:val="18"/>
              </w:rPr>
              <w:t>Trade and other receivables</w:t>
            </w:r>
          </w:p>
        </w:tc>
        <w:tc>
          <w:tcPr>
            <w:tcW w:w="6804" w:type="dxa"/>
            <w:shd w:val="clear" w:color="auto" w:fill="auto"/>
            <w:noWrap/>
          </w:tcPr>
          <w:p w14:paraId="1A7E91CA"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Movement is due to increases in participant and other provider receivables reflecting increased compliance reviews of participant and provider expenditure and accrued interest reflecting prevailing bank interest rates.</w:t>
            </w:r>
          </w:p>
        </w:tc>
      </w:tr>
      <w:tr w:rsidR="00520333" w:rsidRPr="006D688A" w14:paraId="622594CB" w14:textId="77777777" w:rsidTr="006D688A">
        <w:trPr>
          <w:cantSplit/>
          <w:trHeight w:val="255"/>
        </w:trPr>
        <w:tc>
          <w:tcPr>
            <w:tcW w:w="2273" w:type="dxa"/>
            <w:shd w:val="clear" w:color="auto" w:fill="auto"/>
            <w:noWrap/>
          </w:tcPr>
          <w:p w14:paraId="4848D79E" w14:textId="77777777" w:rsidR="00520333" w:rsidRPr="006D688A" w:rsidRDefault="00520333" w:rsidP="005E5E0C">
            <w:pPr>
              <w:spacing w:after="0"/>
              <w:rPr>
                <w:rFonts w:cs="Arial"/>
                <w:sz w:val="18"/>
                <w:szCs w:val="18"/>
              </w:rPr>
            </w:pPr>
            <w:r w:rsidRPr="006D688A">
              <w:rPr>
                <w:rFonts w:cs="Arial"/>
                <w:sz w:val="18"/>
                <w:szCs w:val="18"/>
              </w:rPr>
              <w:t>Financial assets</w:t>
            </w:r>
          </w:p>
          <w:p w14:paraId="2D84B618" w14:textId="77777777" w:rsidR="00520333" w:rsidRPr="006D688A" w:rsidRDefault="00520333" w:rsidP="005E5E0C">
            <w:pPr>
              <w:spacing w:after="0"/>
              <w:rPr>
                <w:rFonts w:cs="Arial"/>
                <w:i/>
                <w:sz w:val="18"/>
                <w:szCs w:val="18"/>
              </w:rPr>
            </w:pPr>
            <w:r w:rsidRPr="006D688A">
              <w:rPr>
                <w:rFonts w:cs="Arial"/>
                <w:i/>
                <w:sz w:val="18"/>
                <w:szCs w:val="18"/>
              </w:rPr>
              <w:t>Other financial assets</w:t>
            </w:r>
          </w:p>
        </w:tc>
        <w:tc>
          <w:tcPr>
            <w:tcW w:w="6804" w:type="dxa"/>
            <w:shd w:val="clear" w:color="auto" w:fill="auto"/>
            <w:noWrap/>
          </w:tcPr>
          <w:p w14:paraId="574A8D8F"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Other financial assets are term deposits with an initial maturity greater than three months. The decrease in other financial assets compared to the Original Budget reflects the movement of surplus funds which are now reported under cash and cash equivalents.</w:t>
            </w:r>
          </w:p>
        </w:tc>
      </w:tr>
      <w:tr w:rsidR="00520333" w:rsidRPr="006D688A" w14:paraId="2FC45923" w14:textId="77777777" w:rsidTr="006D688A">
        <w:trPr>
          <w:cantSplit/>
          <w:trHeight w:val="255"/>
        </w:trPr>
        <w:tc>
          <w:tcPr>
            <w:tcW w:w="2273" w:type="dxa"/>
            <w:shd w:val="clear" w:color="FFFFFF" w:fill="FFFFFF"/>
            <w:noWrap/>
          </w:tcPr>
          <w:p w14:paraId="56CA1486" w14:textId="77777777" w:rsidR="00520333" w:rsidRPr="006D688A" w:rsidRDefault="00520333" w:rsidP="005E5E0C">
            <w:pPr>
              <w:spacing w:after="0"/>
              <w:rPr>
                <w:rFonts w:cs="Arial"/>
                <w:sz w:val="18"/>
                <w:szCs w:val="18"/>
              </w:rPr>
            </w:pPr>
            <w:r w:rsidRPr="006D688A">
              <w:rPr>
                <w:rFonts w:cs="Arial"/>
                <w:sz w:val="18"/>
                <w:szCs w:val="18"/>
              </w:rPr>
              <w:t>Non-financial assets</w:t>
            </w:r>
          </w:p>
          <w:p w14:paraId="21823E49" w14:textId="77777777" w:rsidR="00520333" w:rsidRPr="006D688A" w:rsidRDefault="00520333" w:rsidP="005E5E0C">
            <w:pPr>
              <w:spacing w:after="0"/>
              <w:rPr>
                <w:rFonts w:cs="Arial"/>
                <w:i/>
                <w:sz w:val="18"/>
                <w:szCs w:val="18"/>
              </w:rPr>
            </w:pPr>
            <w:r w:rsidRPr="006D688A">
              <w:rPr>
                <w:rFonts w:cs="Arial"/>
                <w:i/>
                <w:sz w:val="18"/>
                <w:szCs w:val="18"/>
              </w:rPr>
              <w:t>Other non-financial assets</w:t>
            </w:r>
          </w:p>
        </w:tc>
        <w:tc>
          <w:tcPr>
            <w:tcW w:w="6804" w:type="dxa"/>
            <w:shd w:val="clear" w:color="FFFFFF" w:fill="FFFFFF"/>
            <w:noWrap/>
          </w:tcPr>
          <w:p w14:paraId="1C9C35B0"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Prepayment of software licences has increased in line with Agency growth.</w:t>
            </w:r>
          </w:p>
        </w:tc>
      </w:tr>
      <w:tr w:rsidR="00520333" w:rsidRPr="006D688A" w14:paraId="7168DF8E" w14:textId="77777777" w:rsidTr="006D688A">
        <w:trPr>
          <w:cantSplit/>
          <w:trHeight w:val="255"/>
        </w:trPr>
        <w:tc>
          <w:tcPr>
            <w:tcW w:w="2273" w:type="dxa"/>
            <w:shd w:val="clear" w:color="FFFFFF" w:fill="FFFFFF"/>
            <w:noWrap/>
          </w:tcPr>
          <w:p w14:paraId="1A9C5009" w14:textId="77777777" w:rsidR="00520333" w:rsidRPr="006D688A" w:rsidRDefault="00520333" w:rsidP="005E5E0C">
            <w:pPr>
              <w:spacing w:after="0"/>
              <w:rPr>
                <w:rFonts w:cs="Arial"/>
                <w:sz w:val="18"/>
                <w:szCs w:val="18"/>
              </w:rPr>
            </w:pPr>
            <w:r w:rsidRPr="006D688A">
              <w:rPr>
                <w:rFonts w:cs="Arial"/>
                <w:sz w:val="18"/>
                <w:szCs w:val="18"/>
              </w:rPr>
              <w:t>Payables</w:t>
            </w:r>
          </w:p>
          <w:p w14:paraId="79B72535" w14:textId="77777777" w:rsidR="00520333" w:rsidRPr="006D688A" w:rsidRDefault="00520333" w:rsidP="005E5E0C">
            <w:pPr>
              <w:spacing w:after="0"/>
              <w:rPr>
                <w:rFonts w:cs="Arial"/>
                <w:i/>
                <w:sz w:val="18"/>
                <w:szCs w:val="18"/>
              </w:rPr>
            </w:pPr>
            <w:r w:rsidRPr="006D688A">
              <w:rPr>
                <w:rFonts w:cs="Arial"/>
                <w:i/>
                <w:sz w:val="18"/>
                <w:szCs w:val="18"/>
              </w:rPr>
              <w:t>Suppliers</w:t>
            </w:r>
          </w:p>
        </w:tc>
        <w:tc>
          <w:tcPr>
            <w:tcW w:w="6804" w:type="dxa"/>
            <w:shd w:val="clear" w:color="FFFFFF" w:fill="FFFFFF"/>
            <w:noWrap/>
          </w:tcPr>
          <w:p w14:paraId="021B6E73"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Suppliers includes an amount payable to the Department of Health and Aged Care for Younger People in Residential Aged Care that remains unpaid as at the end of 2023-24 ($528.6M) which was assumed paid in the Original Budget. The actuals balance also includes personal benefit and other payable amounts worth $137.1M that are included the Other payable line item in the Original Budget.</w:t>
            </w:r>
          </w:p>
        </w:tc>
      </w:tr>
      <w:tr w:rsidR="00520333" w:rsidRPr="006D688A" w14:paraId="00CC160D" w14:textId="77777777" w:rsidTr="006D688A">
        <w:trPr>
          <w:cantSplit/>
          <w:trHeight w:val="255"/>
        </w:trPr>
        <w:tc>
          <w:tcPr>
            <w:tcW w:w="2273" w:type="dxa"/>
            <w:shd w:val="clear" w:color="FFFFFF" w:fill="FFFFFF"/>
            <w:noWrap/>
          </w:tcPr>
          <w:p w14:paraId="5F554A1D" w14:textId="77777777" w:rsidR="00520333" w:rsidRPr="006D688A" w:rsidRDefault="00520333" w:rsidP="005E5E0C">
            <w:pPr>
              <w:spacing w:after="0"/>
              <w:rPr>
                <w:rFonts w:cs="Arial"/>
                <w:sz w:val="18"/>
                <w:szCs w:val="18"/>
              </w:rPr>
            </w:pPr>
            <w:r w:rsidRPr="006D688A">
              <w:rPr>
                <w:rFonts w:cs="Arial"/>
                <w:sz w:val="18"/>
                <w:szCs w:val="18"/>
              </w:rPr>
              <w:t>Payables</w:t>
            </w:r>
          </w:p>
          <w:p w14:paraId="6609314B" w14:textId="77777777" w:rsidR="00520333" w:rsidRPr="006D688A" w:rsidRDefault="00520333" w:rsidP="005E5E0C">
            <w:pPr>
              <w:spacing w:after="0"/>
              <w:rPr>
                <w:rFonts w:cs="Arial"/>
                <w:i/>
                <w:sz w:val="18"/>
                <w:szCs w:val="18"/>
              </w:rPr>
            </w:pPr>
            <w:r w:rsidRPr="006D688A">
              <w:rPr>
                <w:rFonts w:cs="Arial"/>
                <w:i/>
                <w:sz w:val="18"/>
                <w:szCs w:val="18"/>
              </w:rPr>
              <w:t>Other payables, Unearned revenue</w:t>
            </w:r>
          </w:p>
        </w:tc>
        <w:tc>
          <w:tcPr>
            <w:tcW w:w="6804" w:type="dxa"/>
            <w:shd w:val="clear" w:color="FFFFFF" w:fill="FFFFFF"/>
            <w:noWrap/>
          </w:tcPr>
          <w:p w14:paraId="09B506A1"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The Original Budget does not separately disclose amounts attributable to Other payables and Unearned revenue. Refer also to commentary under Supplier payables.</w:t>
            </w:r>
          </w:p>
        </w:tc>
      </w:tr>
      <w:tr w:rsidR="00520333" w:rsidRPr="006D688A" w14:paraId="3026FD5A" w14:textId="77777777" w:rsidTr="006D688A">
        <w:trPr>
          <w:cantSplit/>
          <w:trHeight w:val="255"/>
        </w:trPr>
        <w:tc>
          <w:tcPr>
            <w:tcW w:w="2273" w:type="dxa"/>
            <w:shd w:val="clear" w:color="FFFFFF" w:fill="FFFFFF"/>
            <w:noWrap/>
          </w:tcPr>
          <w:p w14:paraId="30768FBF" w14:textId="77777777" w:rsidR="00520333" w:rsidRPr="006D688A" w:rsidRDefault="00520333" w:rsidP="005E5E0C">
            <w:pPr>
              <w:spacing w:after="0"/>
              <w:rPr>
                <w:rFonts w:cs="Arial"/>
                <w:sz w:val="18"/>
                <w:szCs w:val="18"/>
              </w:rPr>
            </w:pPr>
            <w:r w:rsidRPr="006D688A">
              <w:rPr>
                <w:rFonts w:cs="Arial"/>
                <w:sz w:val="18"/>
                <w:szCs w:val="18"/>
              </w:rPr>
              <w:t>Provisions</w:t>
            </w:r>
          </w:p>
          <w:p w14:paraId="4F754D81" w14:textId="77777777" w:rsidR="00520333" w:rsidRPr="006D688A" w:rsidRDefault="00520333" w:rsidP="005E5E0C">
            <w:pPr>
              <w:spacing w:after="0"/>
              <w:rPr>
                <w:rFonts w:cs="Arial"/>
                <w:i/>
                <w:sz w:val="18"/>
                <w:szCs w:val="18"/>
              </w:rPr>
            </w:pPr>
            <w:r w:rsidRPr="006D688A">
              <w:rPr>
                <w:rFonts w:cs="Arial"/>
                <w:i/>
                <w:sz w:val="18"/>
                <w:szCs w:val="18"/>
              </w:rPr>
              <w:t>Employee provisions</w:t>
            </w:r>
          </w:p>
        </w:tc>
        <w:tc>
          <w:tcPr>
            <w:tcW w:w="6804" w:type="dxa"/>
            <w:shd w:val="clear" w:color="FFFFFF" w:fill="FFFFFF"/>
            <w:noWrap/>
          </w:tcPr>
          <w:p w14:paraId="622B3F44" w14:textId="77777777" w:rsidR="00520333" w:rsidRPr="006D688A" w:rsidRDefault="00520333" w:rsidP="005E5E0C">
            <w:pPr>
              <w:spacing w:after="0"/>
              <w:jc w:val="both"/>
              <w:rPr>
                <w:rFonts w:cs="Arial"/>
                <w:sz w:val="18"/>
                <w:szCs w:val="18"/>
              </w:rPr>
            </w:pPr>
            <w:r w:rsidRPr="006D688A">
              <w:rPr>
                <w:rFonts w:cs="Arial"/>
                <w:sz w:val="18"/>
                <w:szCs w:val="18"/>
              </w:rPr>
              <w:t>The Agency has seen strong growth in staffing levels which has impacted on the level of employee leave provisions. In addition, employee leave provisions increased as a result of year-end actuarial assessment and changes in parameters. This balance is highly sensitive to the parameters and will fluctuate widely as a result. The Original Budget is based on historic trend.</w:t>
            </w:r>
          </w:p>
        </w:tc>
      </w:tr>
      <w:tr w:rsidR="00520333" w:rsidRPr="006D688A" w14:paraId="0F20AD0A" w14:textId="77777777" w:rsidTr="006D688A">
        <w:trPr>
          <w:cantSplit/>
          <w:trHeight w:val="255"/>
        </w:trPr>
        <w:tc>
          <w:tcPr>
            <w:tcW w:w="2273" w:type="dxa"/>
            <w:shd w:val="clear" w:color="FFFFFF" w:fill="FFFFFF"/>
            <w:noWrap/>
          </w:tcPr>
          <w:p w14:paraId="3782F4F1" w14:textId="3B10E985" w:rsidR="00520333" w:rsidRPr="006D688A" w:rsidRDefault="00520333" w:rsidP="006D688A">
            <w:pPr>
              <w:spacing w:after="0"/>
              <w:rPr>
                <w:rFonts w:cs="Arial"/>
                <w:sz w:val="18"/>
                <w:szCs w:val="18"/>
              </w:rPr>
            </w:pPr>
            <w:r w:rsidRPr="006D688A">
              <w:rPr>
                <w:rFonts w:cs="Arial"/>
                <w:sz w:val="18"/>
                <w:szCs w:val="18"/>
              </w:rPr>
              <w:t>Provisions</w:t>
            </w:r>
            <w:r w:rsidRPr="006D688A">
              <w:rPr>
                <w:rFonts w:cs="Arial"/>
                <w:sz w:val="18"/>
                <w:szCs w:val="18"/>
              </w:rPr>
              <w:br/>
            </w:r>
            <w:r w:rsidRPr="006D688A">
              <w:rPr>
                <w:rFonts w:cs="Arial"/>
                <w:i/>
                <w:iCs/>
                <w:sz w:val="18"/>
                <w:szCs w:val="18"/>
              </w:rPr>
              <w:t>Participant plan provisions</w:t>
            </w:r>
          </w:p>
        </w:tc>
        <w:tc>
          <w:tcPr>
            <w:tcW w:w="6804" w:type="dxa"/>
            <w:shd w:val="clear" w:color="FFFFFF" w:fill="FFFFFF"/>
            <w:noWrap/>
          </w:tcPr>
          <w:p w14:paraId="35FB921A" w14:textId="77777777" w:rsidR="00520333" w:rsidRPr="006D688A" w:rsidRDefault="00520333" w:rsidP="005E5E0C">
            <w:pPr>
              <w:spacing w:after="0"/>
              <w:jc w:val="both"/>
              <w:rPr>
                <w:rFonts w:cs="Arial"/>
                <w:color w:val="000000"/>
                <w:sz w:val="18"/>
                <w:szCs w:val="18"/>
              </w:rPr>
            </w:pPr>
            <w:r w:rsidRPr="006D688A">
              <w:rPr>
                <w:rFonts w:cs="Arial"/>
                <w:color w:val="000000"/>
                <w:sz w:val="18"/>
                <w:szCs w:val="18"/>
              </w:rPr>
              <w:t>Despite the strong growth in participant numbers, this was offset by an increase in the amounts paid against participant plans and the removal of the risk margin in the provision calculation. These were not anticipated at the time of the Original Budget was prepared.</w:t>
            </w:r>
          </w:p>
        </w:tc>
      </w:tr>
      <w:tr w:rsidR="00520333" w:rsidRPr="006D688A" w14:paraId="0DD7D830" w14:textId="77777777" w:rsidTr="006D688A">
        <w:trPr>
          <w:cantSplit/>
          <w:trHeight w:val="255"/>
        </w:trPr>
        <w:tc>
          <w:tcPr>
            <w:tcW w:w="2273" w:type="dxa"/>
            <w:shd w:val="clear" w:color="FFFFFF" w:fill="FFFFFF"/>
            <w:noWrap/>
          </w:tcPr>
          <w:p w14:paraId="739B17F2" w14:textId="77777777" w:rsidR="00520333" w:rsidRPr="006D688A" w:rsidRDefault="00520333" w:rsidP="005E5E0C">
            <w:pPr>
              <w:spacing w:after="0"/>
              <w:rPr>
                <w:rFonts w:cs="Arial"/>
                <w:sz w:val="18"/>
                <w:szCs w:val="18"/>
              </w:rPr>
            </w:pPr>
            <w:r w:rsidRPr="006D688A">
              <w:rPr>
                <w:rFonts w:cs="Arial"/>
                <w:sz w:val="18"/>
                <w:szCs w:val="18"/>
              </w:rPr>
              <w:t>Provisions</w:t>
            </w:r>
          </w:p>
          <w:p w14:paraId="1FF28B6A" w14:textId="77777777" w:rsidR="00520333" w:rsidRPr="006D688A" w:rsidRDefault="00520333" w:rsidP="005E5E0C">
            <w:pPr>
              <w:spacing w:after="0"/>
              <w:rPr>
                <w:rFonts w:cs="Arial"/>
                <w:sz w:val="18"/>
                <w:szCs w:val="18"/>
              </w:rPr>
            </w:pPr>
            <w:r w:rsidRPr="006D688A">
              <w:rPr>
                <w:rFonts w:cs="Arial"/>
                <w:i/>
                <w:iCs/>
                <w:sz w:val="18"/>
                <w:szCs w:val="18"/>
              </w:rPr>
              <w:t xml:space="preserve">Provision for historical Scheme debt </w:t>
            </w:r>
          </w:p>
        </w:tc>
        <w:tc>
          <w:tcPr>
            <w:tcW w:w="6804" w:type="dxa"/>
            <w:shd w:val="clear" w:color="FFFFFF" w:fill="FFFFFF"/>
            <w:noWrap/>
          </w:tcPr>
          <w:p w14:paraId="36DB1595" w14:textId="77777777" w:rsidR="00520333" w:rsidRPr="006D688A" w:rsidRDefault="00520333" w:rsidP="005E5E0C">
            <w:pPr>
              <w:spacing w:after="0"/>
              <w:jc w:val="both"/>
              <w:rPr>
                <w:rFonts w:cs="Arial"/>
                <w:sz w:val="18"/>
                <w:szCs w:val="18"/>
              </w:rPr>
            </w:pPr>
            <w:r w:rsidRPr="006D688A">
              <w:rPr>
                <w:rFonts w:cs="Arial"/>
                <w:sz w:val="18"/>
                <w:szCs w:val="18"/>
              </w:rPr>
              <w:t>The Agency has included a new provision for historical Scheme debt. This was not anticipated at the time the Original Budget was prepared.</w:t>
            </w:r>
          </w:p>
        </w:tc>
      </w:tr>
      <w:tr w:rsidR="00520333" w:rsidRPr="006D688A" w14:paraId="0C11898E" w14:textId="77777777" w:rsidTr="006D688A">
        <w:trPr>
          <w:cantSplit/>
          <w:trHeight w:val="255"/>
        </w:trPr>
        <w:tc>
          <w:tcPr>
            <w:tcW w:w="2273" w:type="dxa"/>
            <w:shd w:val="clear" w:color="FFFFFF" w:fill="FFFFFF"/>
            <w:noWrap/>
          </w:tcPr>
          <w:p w14:paraId="2C8D61DC" w14:textId="77777777" w:rsidR="00520333" w:rsidRPr="006D688A" w:rsidRDefault="00520333" w:rsidP="005E5E0C">
            <w:pPr>
              <w:spacing w:after="0"/>
              <w:rPr>
                <w:rFonts w:cs="Arial"/>
                <w:sz w:val="18"/>
                <w:szCs w:val="18"/>
              </w:rPr>
            </w:pPr>
            <w:r w:rsidRPr="006D688A">
              <w:rPr>
                <w:rFonts w:cs="Arial"/>
                <w:sz w:val="18"/>
                <w:szCs w:val="18"/>
              </w:rPr>
              <w:t>Equity</w:t>
            </w:r>
          </w:p>
          <w:p w14:paraId="46F00625" w14:textId="77777777" w:rsidR="00520333" w:rsidRPr="006D688A" w:rsidRDefault="00520333" w:rsidP="005E5E0C">
            <w:pPr>
              <w:spacing w:after="0"/>
              <w:rPr>
                <w:rFonts w:cs="Arial"/>
                <w:sz w:val="18"/>
                <w:szCs w:val="18"/>
              </w:rPr>
            </w:pPr>
            <w:r w:rsidRPr="006D688A">
              <w:rPr>
                <w:rFonts w:cs="Arial"/>
                <w:i/>
                <w:iCs/>
                <w:color w:val="000000"/>
                <w:sz w:val="18"/>
                <w:szCs w:val="18"/>
              </w:rPr>
              <w:t>Asset revaluation reserve</w:t>
            </w:r>
          </w:p>
        </w:tc>
        <w:tc>
          <w:tcPr>
            <w:tcW w:w="6804" w:type="dxa"/>
            <w:shd w:val="clear" w:color="FFFFFF" w:fill="FFFFFF"/>
            <w:noWrap/>
          </w:tcPr>
          <w:p w14:paraId="01288F63" w14:textId="77777777" w:rsidR="00520333" w:rsidRPr="006D688A" w:rsidRDefault="00520333" w:rsidP="005E5E0C">
            <w:pPr>
              <w:spacing w:after="0"/>
              <w:jc w:val="both"/>
              <w:rPr>
                <w:rFonts w:cs="Arial"/>
                <w:sz w:val="18"/>
                <w:szCs w:val="18"/>
              </w:rPr>
            </w:pPr>
            <w:r w:rsidRPr="006D688A">
              <w:rPr>
                <w:rFonts w:cs="Arial"/>
                <w:sz w:val="18"/>
                <w:szCs w:val="18"/>
              </w:rPr>
              <w:t xml:space="preserve">The external revaluation of the Agency's leasehold improvements resulted in a revaluation increment of $8.6m during the year. This was recorded in the asset revaluation reserve. This was not considered in the Original Budget. </w:t>
            </w:r>
          </w:p>
        </w:tc>
      </w:tr>
      <w:tr w:rsidR="00520333" w:rsidRPr="006D688A" w14:paraId="097815BF" w14:textId="77777777" w:rsidTr="006D688A">
        <w:trPr>
          <w:cantSplit/>
          <w:trHeight w:val="255"/>
        </w:trPr>
        <w:tc>
          <w:tcPr>
            <w:tcW w:w="2273" w:type="dxa"/>
            <w:shd w:val="clear" w:color="FFFFFF" w:fill="FFFFFF"/>
            <w:noWrap/>
          </w:tcPr>
          <w:p w14:paraId="17D6D618" w14:textId="77777777" w:rsidR="00520333" w:rsidRPr="006D688A" w:rsidRDefault="00520333" w:rsidP="005E5E0C">
            <w:pPr>
              <w:spacing w:after="0"/>
              <w:rPr>
                <w:rFonts w:cs="Arial"/>
                <w:sz w:val="18"/>
                <w:szCs w:val="18"/>
              </w:rPr>
            </w:pPr>
            <w:r w:rsidRPr="006D688A">
              <w:rPr>
                <w:rFonts w:cs="Arial"/>
                <w:sz w:val="18"/>
                <w:szCs w:val="18"/>
              </w:rPr>
              <w:t>Equity</w:t>
            </w:r>
          </w:p>
          <w:p w14:paraId="27E01CF7" w14:textId="77777777" w:rsidR="00520333" w:rsidRPr="006D688A" w:rsidRDefault="00520333" w:rsidP="005E5E0C">
            <w:pPr>
              <w:spacing w:after="0"/>
              <w:rPr>
                <w:rFonts w:cs="Arial"/>
                <w:i/>
                <w:iCs/>
                <w:sz w:val="18"/>
                <w:szCs w:val="18"/>
              </w:rPr>
            </w:pPr>
            <w:r w:rsidRPr="006D688A">
              <w:rPr>
                <w:rFonts w:cs="Arial"/>
                <w:i/>
                <w:iCs/>
                <w:sz w:val="18"/>
                <w:szCs w:val="18"/>
              </w:rPr>
              <w:t>Retained surplus</w:t>
            </w:r>
          </w:p>
        </w:tc>
        <w:tc>
          <w:tcPr>
            <w:tcW w:w="6804" w:type="dxa"/>
            <w:shd w:val="clear" w:color="FFFFFF" w:fill="FFFFFF"/>
            <w:noWrap/>
          </w:tcPr>
          <w:p w14:paraId="5BC40170" w14:textId="77777777" w:rsidR="00520333" w:rsidRPr="006D688A" w:rsidRDefault="00520333" w:rsidP="005E5E0C">
            <w:pPr>
              <w:spacing w:after="0"/>
              <w:jc w:val="both"/>
              <w:rPr>
                <w:rFonts w:cs="Arial"/>
                <w:sz w:val="18"/>
                <w:szCs w:val="18"/>
              </w:rPr>
            </w:pPr>
            <w:r w:rsidRPr="006D688A">
              <w:rPr>
                <w:rFonts w:cs="Arial"/>
                <w:sz w:val="18"/>
                <w:szCs w:val="18"/>
              </w:rPr>
              <w:t>The Original Budget did not anticipate the additional funding provided to the Agency through Appropriation Acts 3 and 5 of 2023-24.</w:t>
            </w:r>
          </w:p>
        </w:tc>
      </w:tr>
    </w:tbl>
    <w:p w14:paraId="5EE6F955" w14:textId="77777777" w:rsidR="00520333" w:rsidRPr="005E5430" w:rsidRDefault="00520333" w:rsidP="003203A1">
      <w:pPr>
        <w:pStyle w:val="ReferenceText"/>
        <w:sectPr w:rsidR="00520333" w:rsidRPr="005E5430" w:rsidSect="007D1B8F">
          <w:footerReference w:type="default" r:id="rId47"/>
          <w:pgSz w:w="11906" w:h="16838" w:code="9"/>
          <w:pgMar w:top="1361" w:right="1361" w:bottom="1361" w:left="1361" w:header="561" w:footer="374" w:gutter="0"/>
          <w:cols w:space="708"/>
          <w:docGrid w:linePitch="360"/>
        </w:sectPr>
      </w:pPr>
    </w:p>
    <w:p w14:paraId="37030CE1" w14:textId="7B594F5E" w:rsidR="006D688A" w:rsidRDefault="006D688A" w:rsidP="006D688A">
      <w:pPr>
        <w:pStyle w:val="StatementHeading"/>
        <w:rPr>
          <w:rFonts w:cs="Arial"/>
          <w:szCs w:val="24"/>
        </w:rPr>
      </w:pPr>
      <w:r>
        <w:rPr>
          <w:rFonts w:cs="Arial"/>
          <w:szCs w:val="24"/>
        </w:rPr>
        <w:lastRenderedPageBreak/>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76409E">
        <w:t xml:space="preserve"> Agency</w:t>
      </w:r>
      <w:r>
        <w:fldChar w:fldCharType="end"/>
      </w:r>
    </w:p>
    <w:p w14:paraId="0B11F4A0" w14:textId="77777777" w:rsidR="006D688A" w:rsidRDefault="006D688A" w:rsidP="006D688A">
      <w:pPr>
        <w:pStyle w:val="StatementHeading"/>
        <w:rPr>
          <w:rFonts w:cs="Arial"/>
          <w:szCs w:val="24"/>
        </w:rPr>
      </w:pPr>
      <w:r>
        <w:rPr>
          <w:rFonts w:cs="Arial"/>
          <w:szCs w:val="24"/>
        </w:rPr>
        <w:t>STATEMENT OF CHANGES IN EQUITY</w:t>
      </w:r>
    </w:p>
    <w:p w14:paraId="5DF80D84" w14:textId="4AE24C48" w:rsidR="00520333" w:rsidRPr="00C821EB" w:rsidRDefault="006D688A" w:rsidP="00C821EB">
      <w:pPr>
        <w:pBdr>
          <w:bottom w:val="single" w:sz="8" w:space="1" w:color="auto"/>
        </w:pBdr>
        <w:spacing w:line="240" w:lineRule="auto"/>
        <w:rPr>
          <w:i/>
          <w:iCs/>
        </w:rPr>
      </w:pPr>
      <w:r w:rsidRPr="00C821EB">
        <w:rPr>
          <w:i/>
          <w:iCs/>
        </w:rPr>
        <w:t xml:space="preserve">for the year ended </w:t>
      </w:r>
      <w:r w:rsidRPr="00C821EB">
        <w:rPr>
          <w:i/>
          <w:iCs/>
        </w:rPr>
        <w:fldChar w:fldCharType="begin"/>
      </w:r>
      <w:r w:rsidRPr="00C821EB">
        <w:rPr>
          <w:i/>
          <w:iCs/>
        </w:rPr>
        <w:instrText>DOCPROPERTY  pEnd  \* MERGEFORMAT</w:instrText>
      </w:r>
      <w:r w:rsidRPr="00C821EB">
        <w:rPr>
          <w:i/>
          <w:iCs/>
        </w:rPr>
        <w:fldChar w:fldCharType="separate"/>
      </w:r>
      <w:r w:rsidRPr="00C821EB">
        <w:rPr>
          <w:i/>
          <w:iCs/>
        </w:rPr>
        <w:t>30 June</w:t>
      </w:r>
      <w:r w:rsidRPr="00C821EB">
        <w:rPr>
          <w:i/>
          <w:iCs/>
        </w:rPr>
        <w:fldChar w:fldCharType="end"/>
      </w:r>
      <w:r w:rsidRPr="00C821EB">
        <w:rPr>
          <w:i/>
          <w:iCs/>
        </w:rPr>
        <w:t xml:space="preserve"> </w:t>
      </w:r>
      <w:r w:rsidRPr="00C821EB">
        <w:rPr>
          <w:i/>
          <w:iCs/>
        </w:rPr>
        <w:fldChar w:fldCharType="begin"/>
      </w:r>
      <w:r w:rsidRPr="00C821EB">
        <w:rPr>
          <w:i/>
          <w:iCs/>
        </w:rPr>
        <w:instrText xml:space="preserve"> DOCPROPERTY  crYear  \* MERGEFORMAT </w:instrText>
      </w:r>
      <w:r w:rsidRPr="00C821EB">
        <w:rPr>
          <w:i/>
          <w:iCs/>
        </w:rPr>
        <w:fldChar w:fldCharType="separate"/>
      </w:r>
      <w:r w:rsidRPr="00C821EB">
        <w:rPr>
          <w:i/>
          <w:iCs/>
        </w:rPr>
        <w:t>2024</w:t>
      </w:r>
      <w:r w:rsidRPr="00C821EB">
        <w:rPr>
          <w:i/>
          <w:iCs/>
        </w:rPr>
        <w:fldChar w:fldCharType="end"/>
      </w:r>
    </w:p>
    <w:tbl>
      <w:tblPr>
        <w:tblW w:w="14683" w:type="dxa"/>
        <w:tblLayout w:type="fixed"/>
        <w:tblCellMar>
          <w:left w:w="57" w:type="dxa"/>
          <w:right w:w="57" w:type="dxa"/>
        </w:tblCellMar>
        <w:tblLook w:val="04A0" w:firstRow="1" w:lastRow="0" w:firstColumn="1" w:lastColumn="0" w:noHBand="0" w:noVBand="1"/>
      </w:tblPr>
      <w:tblGrid>
        <w:gridCol w:w="2642"/>
        <w:gridCol w:w="1007"/>
        <w:gridCol w:w="1069"/>
        <w:gridCol w:w="1006"/>
        <w:gridCol w:w="1002"/>
        <w:gridCol w:w="986"/>
        <w:gridCol w:w="988"/>
        <w:gridCol w:w="986"/>
        <w:gridCol w:w="984"/>
        <w:gridCol w:w="984"/>
        <w:gridCol w:w="984"/>
        <w:gridCol w:w="1061"/>
        <w:gridCol w:w="984"/>
      </w:tblGrid>
      <w:tr w:rsidR="00520333" w:rsidRPr="006D688A" w14:paraId="231BB0EC" w14:textId="77777777" w:rsidTr="005E5E0C">
        <w:trPr>
          <w:trHeight w:val="238"/>
        </w:trPr>
        <w:tc>
          <w:tcPr>
            <w:tcW w:w="2642" w:type="dxa"/>
            <w:tcBorders>
              <w:top w:val="single" w:sz="8" w:space="0" w:color="800080"/>
              <w:left w:val="nil"/>
              <w:bottom w:val="nil"/>
              <w:right w:val="nil"/>
            </w:tcBorders>
            <w:shd w:val="clear" w:color="FFFFFF" w:fill="FFFFFF"/>
            <w:noWrap/>
            <w:vAlign w:val="bottom"/>
            <w:hideMark/>
          </w:tcPr>
          <w:p w14:paraId="102B606A" w14:textId="77777777" w:rsidR="00520333" w:rsidRPr="006D688A" w:rsidRDefault="00520333" w:rsidP="005E5E0C">
            <w:pPr>
              <w:spacing w:after="0" w:line="240" w:lineRule="auto"/>
              <w:rPr>
                <w:rFonts w:cs="Arial"/>
                <w:sz w:val="18"/>
                <w:szCs w:val="18"/>
              </w:rPr>
            </w:pPr>
            <w:bookmarkStart w:id="114" w:name="Note_CEQTABLE1" w:colFirst="0" w:colLast="0"/>
            <w:r w:rsidRPr="006D688A">
              <w:rPr>
                <w:rFonts w:cs="Arial"/>
                <w:sz w:val="18"/>
                <w:szCs w:val="18"/>
              </w:rPr>
              <w:t> </w:t>
            </w:r>
          </w:p>
        </w:tc>
        <w:tc>
          <w:tcPr>
            <w:tcW w:w="3082" w:type="dxa"/>
            <w:gridSpan w:val="3"/>
            <w:tcBorders>
              <w:top w:val="single" w:sz="8" w:space="0" w:color="800080"/>
              <w:left w:val="nil"/>
              <w:bottom w:val="nil"/>
              <w:right w:val="nil"/>
            </w:tcBorders>
            <w:shd w:val="clear" w:color="FFFFFF" w:fill="FFFFFF"/>
            <w:vAlign w:val="center"/>
            <w:hideMark/>
          </w:tcPr>
          <w:p w14:paraId="6B1E85B7" w14:textId="77777777" w:rsidR="00520333" w:rsidRPr="006D688A" w:rsidRDefault="00520333" w:rsidP="005E5E0C">
            <w:pPr>
              <w:spacing w:after="0" w:line="240" w:lineRule="auto"/>
              <w:jc w:val="center"/>
              <w:rPr>
                <w:rFonts w:cs="Arial"/>
                <w:b/>
                <w:bCs/>
                <w:sz w:val="18"/>
                <w:szCs w:val="18"/>
              </w:rPr>
            </w:pPr>
            <w:r w:rsidRPr="006D688A">
              <w:rPr>
                <w:rFonts w:cs="Arial"/>
                <w:b/>
                <w:bCs/>
                <w:sz w:val="18"/>
                <w:szCs w:val="18"/>
              </w:rPr>
              <w:t>Retained Surplus</w:t>
            </w:r>
          </w:p>
        </w:tc>
        <w:tc>
          <w:tcPr>
            <w:tcW w:w="2976" w:type="dxa"/>
            <w:gridSpan w:val="3"/>
            <w:tcBorders>
              <w:top w:val="single" w:sz="8" w:space="0" w:color="800080"/>
              <w:left w:val="nil"/>
              <w:bottom w:val="nil"/>
              <w:right w:val="nil"/>
            </w:tcBorders>
            <w:shd w:val="clear" w:color="FFFFFF" w:fill="FFFFFF"/>
            <w:vAlign w:val="center"/>
            <w:hideMark/>
          </w:tcPr>
          <w:p w14:paraId="0CFCBB10" w14:textId="77777777" w:rsidR="00520333" w:rsidRPr="006D688A" w:rsidRDefault="00520333" w:rsidP="005E5E0C">
            <w:pPr>
              <w:spacing w:after="0" w:line="240" w:lineRule="auto"/>
              <w:jc w:val="center"/>
              <w:rPr>
                <w:rFonts w:cs="Arial"/>
                <w:b/>
                <w:bCs/>
                <w:sz w:val="18"/>
                <w:szCs w:val="18"/>
              </w:rPr>
            </w:pPr>
            <w:r w:rsidRPr="006D688A">
              <w:rPr>
                <w:rFonts w:cs="Arial"/>
                <w:b/>
                <w:bCs/>
                <w:sz w:val="18"/>
                <w:szCs w:val="18"/>
              </w:rPr>
              <w:t>Asset Revaluation Reserve</w:t>
            </w:r>
          </w:p>
        </w:tc>
        <w:tc>
          <w:tcPr>
            <w:tcW w:w="2954" w:type="dxa"/>
            <w:gridSpan w:val="3"/>
            <w:tcBorders>
              <w:top w:val="single" w:sz="8" w:space="0" w:color="800080"/>
              <w:left w:val="nil"/>
              <w:bottom w:val="nil"/>
              <w:right w:val="nil"/>
            </w:tcBorders>
            <w:shd w:val="clear" w:color="FFFFFF" w:fill="FFFFFF"/>
            <w:vAlign w:val="center"/>
            <w:hideMark/>
          </w:tcPr>
          <w:p w14:paraId="56A118C5" w14:textId="77777777" w:rsidR="00520333" w:rsidRPr="006D688A" w:rsidRDefault="00520333" w:rsidP="005E5E0C">
            <w:pPr>
              <w:spacing w:after="0" w:line="240" w:lineRule="auto"/>
              <w:jc w:val="center"/>
              <w:rPr>
                <w:rFonts w:cs="Arial"/>
                <w:b/>
                <w:bCs/>
                <w:sz w:val="18"/>
                <w:szCs w:val="18"/>
              </w:rPr>
            </w:pPr>
            <w:r w:rsidRPr="006D688A">
              <w:rPr>
                <w:rFonts w:cs="Arial"/>
                <w:b/>
                <w:bCs/>
                <w:sz w:val="18"/>
                <w:szCs w:val="18"/>
              </w:rPr>
              <w:t>Contributed Equity</w:t>
            </w:r>
          </w:p>
        </w:tc>
        <w:tc>
          <w:tcPr>
            <w:tcW w:w="3029" w:type="dxa"/>
            <w:gridSpan w:val="3"/>
            <w:tcBorders>
              <w:top w:val="single" w:sz="8" w:space="0" w:color="800080"/>
              <w:left w:val="nil"/>
              <w:bottom w:val="nil"/>
              <w:right w:val="nil"/>
            </w:tcBorders>
            <w:shd w:val="clear" w:color="FFFFFF" w:fill="FFFFFF"/>
            <w:vAlign w:val="center"/>
            <w:hideMark/>
          </w:tcPr>
          <w:p w14:paraId="7D403419" w14:textId="77777777" w:rsidR="00520333" w:rsidRPr="006D688A" w:rsidRDefault="00520333" w:rsidP="005E5E0C">
            <w:pPr>
              <w:spacing w:after="0" w:line="240" w:lineRule="auto"/>
              <w:jc w:val="center"/>
              <w:rPr>
                <w:rFonts w:cs="Arial"/>
                <w:b/>
                <w:bCs/>
                <w:sz w:val="18"/>
                <w:szCs w:val="18"/>
              </w:rPr>
            </w:pPr>
            <w:r w:rsidRPr="006D688A">
              <w:rPr>
                <w:rFonts w:cs="Arial"/>
                <w:b/>
                <w:bCs/>
                <w:sz w:val="18"/>
                <w:szCs w:val="18"/>
              </w:rPr>
              <w:t>Total Equity</w:t>
            </w:r>
          </w:p>
        </w:tc>
      </w:tr>
      <w:bookmarkEnd w:id="114"/>
      <w:tr w:rsidR="00520333" w:rsidRPr="006D688A" w14:paraId="7D421A14" w14:textId="77777777" w:rsidTr="005E5E0C">
        <w:trPr>
          <w:trHeight w:val="238"/>
        </w:trPr>
        <w:tc>
          <w:tcPr>
            <w:tcW w:w="2642" w:type="dxa"/>
            <w:tcBorders>
              <w:top w:val="nil"/>
              <w:left w:val="nil"/>
              <w:bottom w:val="nil"/>
              <w:right w:val="nil"/>
            </w:tcBorders>
            <w:shd w:val="clear" w:color="FFFFFF" w:fill="FFFFFF"/>
            <w:noWrap/>
            <w:vAlign w:val="bottom"/>
            <w:hideMark/>
          </w:tcPr>
          <w:p w14:paraId="785F21BA"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07" w:type="dxa"/>
            <w:tcBorders>
              <w:top w:val="nil"/>
              <w:left w:val="nil"/>
              <w:bottom w:val="nil"/>
              <w:right w:val="nil"/>
            </w:tcBorders>
            <w:shd w:val="clear" w:color="FFFFFF" w:fill="FFFFFF"/>
            <w:vAlign w:val="center"/>
            <w:hideMark/>
          </w:tcPr>
          <w:p w14:paraId="749DCE29"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1069" w:type="dxa"/>
            <w:tcBorders>
              <w:top w:val="nil"/>
              <w:left w:val="nil"/>
              <w:bottom w:val="nil"/>
              <w:right w:val="nil"/>
            </w:tcBorders>
            <w:shd w:val="clear" w:color="FFFFFF" w:fill="FFFFFF"/>
            <w:vAlign w:val="center"/>
            <w:hideMark/>
          </w:tcPr>
          <w:p w14:paraId="64FAE2D1"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1006" w:type="dxa"/>
            <w:tcBorders>
              <w:top w:val="nil"/>
              <w:left w:val="nil"/>
              <w:bottom w:val="nil"/>
              <w:right w:val="nil"/>
            </w:tcBorders>
            <w:shd w:val="clear" w:color="FFFFFF" w:fill="FFFFFF"/>
            <w:vAlign w:val="bottom"/>
            <w:hideMark/>
          </w:tcPr>
          <w:p w14:paraId="07DC69BC"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c>
          <w:tcPr>
            <w:tcW w:w="1002" w:type="dxa"/>
            <w:tcBorders>
              <w:top w:val="nil"/>
              <w:left w:val="nil"/>
              <w:bottom w:val="nil"/>
              <w:right w:val="nil"/>
            </w:tcBorders>
            <w:shd w:val="clear" w:color="FFFFFF" w:fill="FFFFFF"/>
            <w:vAlign w:val="center"/>
            <w:hideMark/>
          </w:tcPr>
          <w:p w14:paraId="2DD103CD"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986" w:type="dxa"/>
            <w:tcBorders>
              <w:top w:val="nil"/>
              <w:left w:val="nil"/>
              <w:bottom w:val="nil"/>
              <w:right w:val="nil"/>
            </w:tcBorders>
            <w:shd w:val="clear" w:color="FFFFFF" w:fill="FFFFFF"/>
            <w:vAlign w:val="center"/>
            <w:hideMark/>
          </w:tcPr>
          <w:p w14:paraId="468B9348"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988" w:type="dxa"/>
            <w:tcBorders>
              <w:top w:val="nil"/>
              <w:left w:val="nil"/>
              <w:bottom w:val="nil"/>
              <w:right w:val="nil"/>
            </w:tcBorders>
            <w:shd w:val="clear" w:color="FFFFFF" w:fill="FFFFFF"/>
            <w:vAlign w:val="bottom"/>
            <w:hideMark/>
          </w:tcPr>
          <w:p w14:paraId="739E19C1"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c>
          <w:tcPr>
            <w:tcW w:w="986" w:type="dxa"/>
            <w:tcBorders>
              <w:top w:val="nil"/>
              <w:left w:val="nil"/>
              <w:bottom w:val="nil"/>
              <w:right w:val="nil"/>
            </w:tcBorders>
            <w:shd w:val="clear" w:color="FFFFFF" w:fill="FFFFFF"/>
            <w:vAlign w:val="center"/>
            <w:hideMark/>
          </w:tcPr>
          <w:p w14:paraId="134EF0D6"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vAlign w:val="center"/>
            <w:hideMark/>
          </w:tcPr>
          <w:p w14:paraId="5679EEA0"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vAlign w:val="bottom"/>
            <w:hideMark/>
          </w:tcPr>
          <w:p w14:paraId="1EC44266"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c>
          <w:tcPr>
            <w:tcW w:w="984" w:type="dxa"/>
            <w:tcBorders>
              <w:top w:val="nil"/>
              <w:left w:val="nil"/>
              <w:bottom w:val="nil"/>
              <w:right w:val="nil"/>
            </w:tcBorders>
            <w:shd w:val="clear" w:color="FFFFFF" w:fill="FFFFFF"/>
            <w:vAlign w:val="center"/>
            <w:hideMark/>
          </w:tcPr>
          <w:p w14:paraId="6A340776"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1061" w:type="dxa"/>
            <w:tcBorders>
              <w:top w:val="nil"/>
              <w:left w:val="nil"/>
              <w:bottom w:val="nil"/>
              <w:right w:val="nil"/>
            </w:tcBorders>
            <w:shd w:val="clear" w:color="FFFFFF" w:fill="FFFFFF"/>
            <w:vAlign w:val="center"/>
            <w:hideMark/>
          </w:tcPr>
          <w:p w14:paraId="690F33D9"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vAlign w:val="bottom"/>
            <w:hideMark/>
          </w:tcPr>
          <w:p w14:paraId="074500F3"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r>
      <w:tr w:rsidR="00520333" w:rsidRPr="006D688A" w14:paraId="07C319DB" w14:textId="77777777" w:rsidTr="005E5E0C">
        <w:trPr>
          <w:trHeight w:val="238"/>
        </w:trPr>
        <w:tc>
          <w:tcPr>
            <w:tcW w:w="2642" w:type="dxa"/>
            <w:tcBorders>
              <w:top w:val="nil"/>
              <w:left w:val="nil"/>
              <w:bottom w:val="nil"/>
              <w:right w:val="nil"/>
            </w:tcBorders>
            <w:shd w:val="clear" w:color="FFFFFF" w:fill="FFFFFF"/>
            <w:noWrap/>
            <w:vAlign w:val="bottom"/>
            <w:hideMark/>
          </w:tcPr>
          <w:p w14:paraId="6BEF6D1F"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07" w:type="dxa"/>
            <w:tcBorders>
              <w:top w:val="nil"/>
              <w:left w:val="nil"/>
              <w:bottom w:val="nil"/>
              <w:right w:val="nil"/>
            </w:tcBorders>
            <w:shd w:val="clear" w:color="FFFFFF" w:fill="FFFFFF"/>
            <w:vAlign w:val="bottom"/>
            <w:hideMark/>
          </w:tcPr>
          <w:p w14:paraId="5B3A21D7"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2024</w:t>
            </w:r>
          </w:p>
        </w:tc>
        <w:tc>
          <w:tcPr>
            <w:tcW w:w="1069" w:type="dxa"/>
            <w:tcBorders>
              <w:top w:val="nil"/>
              <w:left w:val="nil"/>
              <w:bottom w:val="nil"/>
              <w:right w:val="nil"/>
            </w:tcBorders>
            <w:shd w:val="clear" w:color="FFFFFF" w:fill="FFFFFF"/>
            <w:vAlign w:val="bottom"/>
            <w:hideMark/>
          </w:tcPr>
          <w:p w14:paraId="60311E61" w14:textId="77777777" w:rsidR="00520333" w:rsidRPr="006D688A" w:rsidRDefault="00520333" w:rsidP="005E5E0C">
            <w:pPr>
              <w:spacing w:after="0" w:line="240" w:lineRule="auto"/>
              <w:jc w:val="right"/>
              <w:rPr>
                <w:rFonts w:cs="Arial"/>
                <w:sz w:val="18"/>
                <w:szCs w:val="18"/>
              </w:rPr>
            </w:pPr>
            <w:r w:rsidRPr="006D688A">
              <w:rPr>
                <w:rFonts w:cs="Arial"/>
                <w:sz w:val="18"/>
                <w:szCs w:val="18"/>
              </w:rPr>
              <w:t>2023</w:t>
            </w:r>
          </w:p>
        </w:tc>
        <w:tc>
          <w:tcPr>
            <w:tcW w:w="1006" w:type="dxa"/>
            <w:tcBorders>
              <w:top w:val="nil"/>
              <w:left w:val="nil"/>
              <w:bottom w:val="nil"/>
              <w:right w:val="nil"/>
            </w:tcBorders>
            <w:shd w:val="clear" w:color="FFFFFF" w:fill="FFFFFF"/>
            <w:vAlign w:val="bottom"/>
            <w:hideMark/>
          </w:tcPr>
          <w:p w14:paraId="576750F2"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2024</w:t>
            </w:r>
          </w:p>
        </w:tc>
        <w:tc>
          <w:tcPr>
            <w:tcW w:w="1002" w:type="dxa"/>
            <w:tcBorders>
              <w:top w:val="nil"/>
              <w:left w:val="nil"/>
              <w:bottom w:val="nil"/>
              <w:right w:val="nil"/>
            </w:tcBorders>
            <w:shd w:val="clear" w:color="FFFFFF" w:fill="FFFFFF"/>
            <w:vAlign w:val="bottom"/>
            <w:hideMark/>
          </w:tcPr>
          <w:p w14:paraId="3199285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2024</w:t>
            </w:r>
          </w:p>
        </w:tc>
        <w:tc>
          <w:tcPr>
            <w:tcW w:w="986" w:type="dxa"/>
            <w:tcBorders>
              <w:top w:val="nil"/>
              <w:left w:val="nil"/>
              <w:bottom w:val="nil"/>
              <w:right w:val="nil"/>
            </w:tcBorders>
            <w:shd w:val="clear" w:color="FFFFFF" w:fill="FFFFFF"/>
            <w:vAlign w:val="bottom"/>
            <w:hideMark/>
          </w:tcPr>
          <w:p w14:paraId="5BAE2018" w14:textId="77777777" w:rsidR="00520333" w:rsidRPr="006D688A" w:rsidRDefault="00520333" w:rsidP="005E5E0C">
            <w:pPr>
              <w:spacing w:after="0" w:line="240" w:lineRule="auto"/>
              <w:jc w:val="right"/>
              <w:rPr>
                <w:rFonts w:cs="Arial"/>
                <w:sz w:val="18"/>
                <w:szCs w:val="18"/>
              </w:rPr>
            </w:pPr>
            <w:r w:rsidRPr="006D688A">
              <w:rPr>
                <w:rFonts w:cs="Arial"/>
                <w:sz w:val="18"/>
                <w:szCs w:val="18"/>
              </w:rPr>
              <w:t>2023</w:t>
            </w:r>
          </w:p>
        </w:tc>
        <w:tc>
          <w:tcPr>
            <w:tcW w:w="988" w:type="dxa"/>
            <w:tcBorders>
              <w:top w:val="nil"/>
              <w:left w:val="nil"/>
              <w:bottom w:val="nil"/>
              <w:right w:val="nil"/>
            </w:tcBorders>
            <w:shd w:val="clear" w:color="FFFFFF" w:fill="FFFFFF"/>
            <w:vAlign w:val="bottom"/>
            <w:hideMark/>
          </w:tcPr>
          <w:p w14:paraId="42122E48"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2024</w:t>
            </w:r>
          </w:p>
        </w:tc>
        <w:tc>
          <w:tcPr>
            <w:tcW w:w="986" w:type="dxa"/>
            <w:tcBorders>
              <w:top w:val="nil"/>
              <w:left w:val="nil"/>
              <w:bottom w:val="nil"/>
              <w:right w:val="nil"/>
            </w:tcBorders>
            <w:shd w:val="clear" w:color="FFFFFF" w:fill="FFFFFF"/>
            <w:vAlign w:val="bottom"/>
            <w:hideMark/>
          </w:tcPr>
          <w:p w14:paraId="4E8659C5"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2024</w:t>
            </w:r>
          </w:p>
        </w:tc>
        <w:tc>
          <w:tcPr>
            <w:tcW w:w="984" w:type="dxa"/>
            <w:tcBorders>
              <w:top w:val="nil"/>
              <w:left w:val="nil"/>
              <w:bottom w:val="nil"/>
              <w:right w:val="nil"/>
            </w:tcBorders>
            <w:shd w:val="clear" w:color="FFFFFF" w:fill="FFFFFF"/>
            <w:vAlign w:val="bottom"/>
            <w:hideMark/>
          </w:tcPr>
          <w:p w14:paraId="132EBDB3" w14:textId="77777777" w:rsidR="00520333" w:rsidRPr="006D688A" w:rsidRDefault="00520333" w:rsidP="005E5E0C">
            <w:pPr>
              <w:spacing w:after="0" w:line="240" w:lineRule="auto"/>
              <w:jc w:val="right"/>
              <w:rPr>
                <w:rFonts w:cs="Arial"/>
                <w:sz w:val="18"/>
                <w:szCs w:val="18"/>
              </w:rPr>
            </w:pPr>
            <w:r w:rsidRPr="006D688A">
              <w:rPr>
                <w:rFonts w:cs="Arial"/>
                <w:sz w:val="18"/>
                <w:szCs w:val="18"/>
              </w:rPr>
              <w:t>2023</w:t>
            </w:r>
          </w:p>
        </w:tc>
        <w:tc>
          <w:tcPr>
            <w:tcW w:w="984" w:type="dxa"/>
            <w:tcBorders>
              <w:top w:val="nil"/>
              <w:left w:val="nil"/>
              <w:bottom w:val="nil"/>
              <w:right w:val="nil"/>
            </w:tcBorders>
            <w:shd w:val="clear" w:color="FFFFFF" w:fill="FFFFFF"/>
            <w:vAlign w:val="bottom"/>
            <w:hideMark/>
          </w:tcPr>
          <w:p w14:paraId="03303B6C"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2024</w:t>
            </w:r>
          </w:p>
        </w:tc>
        <w:tc>
          <w:tcPr>
            <w:tcW w:w="984" w:type="dxa"/>
            <w:tcBorders>
              <w:top w:val="nil"/>
              <w:left w:val="nil"/>
              <w:bottom w:val="nil"/>
              <w:right w:val="nil"/>
            </w:tcBorders>
            <w:shd w:val="clear" w:color="FFFFFF" w:fill="FFFFFF"/>
            <w:vAlign w:val="bottom"/>
            <w:hideMark/>
          </w:tcPr>
          <w:p w14:paraId="6C6444F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2024</w:t>
            </w:r>
          </w:p>
        </w:tc>
        <w:tc>
          <w:tcPr>
            <w:tcW w:w="1061" w:type="dxa"/>
            <w:tcBorders>
              <w:top w:val="nil"/>
              <w:left w:val="nil"/>
              <w:bottom w:val="nil"/>
              <w:right w:val="nil"/>
            </w:tcBorders>
            <w:shd w:val="clear" w:color="FFFFFF" w:fill="FFFFFF"/>
            <w:vAlign w:val="bottom"/>
            <w:hideMark/>
          </w:tcPr>
          <w:p w14:paraId="5DB6DAC6" w14:textId="77777777" w:rsidR="00520333" w:rsidRPr="006D688A" w:rsidRDefault="00520333" w:rsidP="005E5E0C">
            <w:pPr>
              <w:spacing w:after="0" w:line="240" w:lineRule="auto"/>
              <w:jc w:val="right"/>
              <w:rPr>
                <w:rFonts w:cs="Arial"/>
                <w:sz w:val="18"/>
                <w:szCs w:val="18"/>
              </w:rPr>
            </w:pPr>
            <w:r w:rsidRPr="006D688A">
              <w:rPr>
                <w:rFonts w:cs="Arial"/>
                <w:sz w:val="18"/>
                <w:szCs w:val="18"/>
              </w:rPr>
              <w:t>2023</w:t>
            </w:r>
          </w:p>
        </w:tc>
        <w:tc>
          <w:tcPr>
            <w:tcW w:w="984" w:type="dxa"/>
            <w:tcBorders>
              <w:top w:val="nil"/>
              <w:left w:val="nil"/>
              <w:bottom w:val="nil"/>
              <w:right w:val="nil"/>
            </w:tcBorders>
            <w:shd w:val="clear" w:color="FFFFFF" w:fill="FFFFFF"/>
            <w:vAlign w:val="bottom"/>
            <w:hideMark/>
          </w:tcPr>
          <w:p w14:paraId="4AF3D870"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2024</w:t>
            </w:r>
          </w:p>
        </w:tc>
      </w:tr>
      <w:tr w:rsidR="00520333" w:rsidRPr="006D688A" w14:paraId="0EF874B3" w14:textId="77777777" w:rsidTr="005E5E0C">
        <w:trPr>
          <w:trHeight w:val="238"/>
        </w:trPr>
        <w:tc>
          <w:tcPr>
            <w:tcW w:w="2642" w:type="dxa"/>
            <w:tcBorders>
              <w:top w:val="nil"/>
              <w:left w:val="nil"/>
              <w:bottom w:val="single" w:sz="8" w:space="0" w:color="800080"/>
              <w:right w:val="nil"/>
            </w:tcBorders>
            <w:shd w:val="clear" w:color="FFFFFF" w:fill="FFFFFF"/>
            <w:noWrap/>
            <w:vAlign w:val="bottom"/>
            <w:hideMark/>
          </w:tcPr>
          <w:p w14:paraId="62C39FE0"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07" w:type="dxa"/>
            <w:tcBorders>
              <w:top w:val="nil"/>
              <w:left w:val="nil"/>
              <w:bottom w:val="single" w:sz="8" w:space="0" w:color="800080"/>
              <w:right w:val="nil"/>
            </w:tcBorders>
            <w:shd w:val="clear" w:color="FFFFFF" w:fill="FFFFFF"/>
            <w:vAlign w:val="bottom"/>
            <w:hideMark/>
          </w:tcPr>
          <w:p w14:paraId="05D952D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$'000</w:t>
            </w:r>
          </w:p>
        </w:tc>
        <w:tc>
          <w:tcPr>
            <w:tcW w:w="1069" w:type="dxa"/>
            <w:tcBorders>
              <w:top w:val="nil"/>
              <w:left w:val="nil"/>
              <w:bottom w:val="single" w:sz="8" w:space="0" w:color="800080"/>
              <w:right w:val="nil"/>
            </w:tcBorders>
            <w:shd w:val="clear" w:color="FFFFFF" w:fill="FFFFFF"/>
            <w:vAlign w:val="bottom"/>
            <w:hideMark/>
          </w:tcPr>
          <w:p w14:paraId="7D4C6669" w14:textId="77777777" w:rsidR="00520333" w:rsidRPr="006D688A" w:rsidRDefault="00520333" w:rsidP="005E5E0C">
            <w:pPr>
              <w:spacing w:after="0" w:line="240" w:lineRule="auto"/>
              <w:jc w:val="right"/>
              <w:rPr>
                <w:rFonts w:cs="Arial"/>
                <w:sz w:val="18"/>
                <w:szCs w:val="18"/>
              </w:rPr>
            </w:pPr>
            <w:r w:rsidRPr="006D688A">
              <w:rPr>
                <w:rFonts w:cs="Arial"/>
                <w:sz w:val="18"/>
                <w:szCs w:val="18"/>
              </w:rPr>
              <w:t>$'000</w:t>
            </w:r>
          </w:p>
        </w:tc>
        <w:tc>
          <w:tcPr>
            <w:tcW w:w="1006" w:type="dxa"/>
            <w:tcBorders>
              <w:top w:val="nil"/>
              <w:left w:val="nil"/>
              <w:bottom w:val="single" w:sz="8" w:space="0" w:color="800080"/>
              <w:right w:val="nil"/>
            </w:tcBorders>
            <w:shd w:val="clear" w:color="FFFFFF" w:fill="FFFFFF"/>
            <w:vAlign w:val="bottom"/>
            <w:hideMark/>
          </w:tcPr>
          <w:p w14:paraId="7701B597"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$'000</w:t>
            </w:r>
          </w:p>
        </w:tc>
        <w:tc>
          <w:tcPr>
            <w:tcW w:w="1002" w:type="dxa"/>
            <w:tcBorders>
              <w:top w:val="nil"/>
              <w:left w:val="nil"/>
              <w:bottom w:val="single" w:sz="8" w:space="0" w:color="800080"/>
              <w:right w:val="nil"/>
            </w:tcBorders>
            <w:shd w:val="clear" w:color="FFFFFF" w:fill="FFFFFF"/>
            <w:vAlign w:val="bottom"/>
            <w:hideMark/>
          </w:tcPr>
          <w:p w14:paraId="17A04DFB"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$'000</w:t>
            </w:r>
          </w:p>
        </w:tc>
        <w:tc>
          <w:tcPr>
            <w:tcW w:w="986" w:type="dxa"/>
            <w:tcBorders>
              <w:top w:val="nil"/>
              <w:left w:val="nil"/>
              <w:bottom w:val="single" w:sz="8" w:space="0" w:color="800080"/>
              <w:right w:val="nil"/>
            </w:tcBorders>
            <w:shd w:val="clear" w:color="FFFFFF" w:fill="FFFFFF"/>
            <w:vAlign w:val="bottom"/>
            <w:hideMark/>
          </w:tcPr>
          <w:p w14:paraId="7BDC4DDA" w14:textId="77777777" w:rsidR="00520333" w:rsidRPr="006D688A" w:rsidRDefault="00520333" w:rsidP="005E5E0C">
            <w:pPr>
              <w:spacing w:after="0" w:line="240" w:lineRule="auto"/>
              <w:jc w:val="right"/>
              <w:rPr>
                <w:rFonts w:cs="Arial"/>
                <w:sz w:val="18"/>
                <w:szCs w:val="18"/>
              </w:rPr>
            </w:pPr>
            <w:r w:rsidRPr="006D688A">
              <w:rPr>
                <w:rFonts w:cs="Arial"/>
                <w:sz w:val="18"/>
                <w:szCs w:val="18"/>
              </w:rPr>
              <w:t>$'000</w:t>
            </w:r>
          </w:p>
        </w:tc>
        <w:tc>
          <w:tcPr>
            <w:tcW w:w="988" w:type="dxa"/>
            <w:tcBorders>
              <w:top w:val="nil"/>
              <w:left w:val="nil"/>
              <w:bottom w:val="single" w:sz="8" w:space="0" w:color="800080"/>
              <w:right w:val="nil"/>
            </w:tcBorders>
            <w:shd w:val="clear" w:color="FFFFFF" w:fill="FFFFFF"/>
            <w:vAlign w:val="bottom"/>
            <w:hideMark/>
          </w:tcPr>
          <w:p w14:paraId="4DA3A2D3"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$'000</w:t>
            </w:r>
          </w:p>
        </w:tc>
        <w:tc>
          <w:tcPr>
            <w:tcW w:w="986" w:type="dxa"/>
            <w:tcBorders>
              <w:top w:val="nil"/>
              <w:left w:val="nil"/>
              <w:bottom w:val="single" w:sz="8" w:space="0" w:color="800080"/>
              <w:right w:val="nil"/>
            </w:tcBorders>
            <w:shd w:val="clear" w:color="FFFFFF" w:fill="FFFFFF"/>
            <w:vAlign w:val="bottom"/>
            <w:hideMark/>
          </w:tcPr>
          <w:p w14:paraId="19AA519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$'000</w:t>
            </w:r>
          </w:p>
        </w:tc>
        <w:tc>
          <w:tcPr>
            <w:tcW w:w="984" w:type="dxa"/>
            <w:tcBorders>
              <w:top w:val="nil"/>
              <w:left w:val="nil"/>
              <w:bottom w:val="single" w:sz="8" w:space="0" w:color="800080"/>
              <w:right w:val="nil"/>
            </w:tcBorders>
            <w:shd w:val="clear" w:color="FFFFFF" w:fill="FFFFFF"/>
            <w:vAlign w:val="bottom"/>
            <w:hideMark/>
          </w:tcPr>
          <w:p w14:paraId="3608FF00" w14:textId="77777777" w:rsidR="00520333" w:rsidRPr="006D688A" w:rsidRDefault="00520333" w:rsidP="005E5E0C">
            <w:pPr>
              <w:spacing w:after="0" w:line="240" w:lineRule="auto"/>
              <w:jc w:val="right"/>
              <w:rPr>
                <w:rFonts w:cs="Arial"/>
                <w:sz w:val="18"/>
                <w:szCs w:val="18"/>
              </w:rPr>
            </w:pPr>
            <w:r w:rsidRPr="006D688A">
              <w:rPr>
                <w:rFonts w:cs="Arial"/>
                <w:sz w:val="18"/>
                <w:szCs w:val="18"/>
              </w:rPr>
              <w:t>$'000</w:t>
            </w:r>
          </w:p>
        </w:tc>
        <w:tc>
          <w:tcPr>
            <w:tcW w:w="984" w:type="dxa"/>
            <w:tcBorders>
              <w:top w:val="nil"/>
              <w:left w:val="nil"/>
              <w:bottom w:val="single" w:sz="8" w:space="0" w:color="800080"/>
              <w:right w:val="nil"/>
            </w:tcBorders>
            <w:shd w:val="clear" w:color="FFFFFF" w:fill="FFFFFF"/>
            <w:vAlign w:val="bottom"/>
            <w:hideMark/>
          </w:tcPr>
          <w:p w14:paraId="122B611E"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$'000</w:t>
            </w:r>
          </w:p>
        </w:tc>
        <w:tc>
          <w:tcPr>
            <w:tcW w:w="984" w:type="dxa"/>
            <w:tcBorders>
              <w:top w:val="nil"/>
              <w:left w:val="nil"/>
              <w:bottom w:val="single" w:sz="8" w:space="0" w:color="800080"/>
              <w:right w:val="nil"/>
            </w:tcBorders>
            <w:shd w:val="clear" w:color="FFFFFF" w:fill="FFFFFF"/>
            <w:vAlign w:val="bottom"/>
            <w:hideMark/>
          </w:tcPr>
          <w:p w14:paraId="253985A1"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$'000</w:t>
            </w:r>
          </w:p>
        </w:tc>
        <w:tc>
          <w:tcPr>
            <w:tcW w:w="1061" w:type="dxa"/>
            <w:tcBorders>
              <w:top w:val="nil"/>
              <w:left w:val="nil"/>
              <w:bottom w:val="single" w:sz="8" w:space="0" w:color="800080"/>
              <w:right w:val="nil"/>
            </w:tcBorders>
            <w:shd w:val="clear" w:color="FFFFFF" w:fill="FFFFFF"/>
            <w:vAlign w:val="bottom"/>
            <w:hideMark/>
          </w:tcPr>
          <w:p w14:paraId="2AC84124" w14:textId="77777777" w:rsidR="00520333" w:rsidRPr="006D688A" w:rsidRDefault="00520333" w:rsidP="005E5E0C">
            <w:pPr>
              <w:spacing w:after="0" w:line="240" w:lineRule="auto"/>
              <w:jc w:val="right"/>
              <w:rPr>
                <w:rFonts w:cs="Arial"/>
                <w:sz w:val="18"/>
                <w:szCs w:val="18"/>
              </w:rPr>
            </w:pPr>
            <w:r w:rsidRPr="006D688A">
              <w:rPr>
                <w:rFonts w:cs="Arial"/>
                <w:sz w:val="18"/>
                <w:szCs w:val="18"/>
              </w:rPr>
              <w:t>$'000</w:t>
            </w:r>
          </w:p>
        </w:tc>
        <w:tc>
          <w:tcPr>
            <w:tcW w:w="984" w:type="dxa"/>
            <w:tcBorders>
              <w:top w:val="nil"/>
              <w:left w:val="nil"/>
              <w:bottom w:val="single" w:sz="8" w:space="0" w:color="800080"/>
              <w:right w:val="nil"/>
            </w:tcBorders>
            <w:shd w:val="clear" w:color="FFFFFF" w:fill="FFFFFF"/>
            <w:vAlign w:val="bottom"/>
            <w:hideMark/>
          </w:tcPr>
          <w:p w14:paraId="5F77B8C6" w14:textId="77777777" w:rsidR="00520333" w:rsidRPr="006D688A" w:rsidRDefault="00520333" w:rsidP="005E5E0C">
            <w:pPr>
              <w:spacing w:after="0" w:line="240" w:lineRule="auto"/>
              <w:jc w:val="right"/>
              <w:rPr>
                <w:rFonts w:cs="Arial"/>
                <w:color w:val="6B2976"/>
                <w:sz w:val="18"/>
                <w:szCs w:val="18"/>
              </w:rPr>
            </w:pPr>
            <w:r w:rsidRPr="006D688A">
              <w:rPr>
                <w:rFonts w:cs="Arial"/>
                <w:color w:val="6B2976"/>
                <w:sz w:val="18"/>
                <w:szCs w:val="18"/>
              </w:rPr>
              <w:t>$'000</w:t>
            </w:r>
          </w:p>
        </w:tc>
      </w:tr>
      <w:tr w:rsidR="00520333" w:rsidRPr="006D688A" w14:paraId="56716C41" w14:textId="77777777" w:rsidTr="005E5E0C">
        <w:trPr>
          <w:trHeight w:val="238"/>
        </w:trPr>
        <w:tc>
          <w:tcPr>
            <w:tcW w:w="2642" w:type="dxa"/>
            <w:tcBorders>
              <w:top w:val="nil"/>
              <w:left w:val="nil"/>
              <w:bottom w:val="nil"/>
              <w:right w:val="nil"/>
            </w:tcBorders>
            <w:shd w:val="clear" w:color="FFFFFF" w:fill="FFFFFF"/>
            <w:hideMark/>
          </w:tcPr>
          <w:p w14:paraId="6CA1B8AA" w14:textId="77777777" w:rsidR="00520333" w:rsidRPr="006D688A" w:rsidRDefault="00520333" w:rsidP="005E5E0C">
            <w:pPr>
              <w:spacing w:after="0" w:line="240" w:lineRule="auto"/>
              <w:rPr>
                <w:rFonts w:cs="Arial"/>
                <w:b/>
                <w:bCs/>
                <w:sz w:val="18"/>
                <w:szCs w:val="18"/>
              </w:rPr>
            </w:pPr>
            <w:r w:rsidRPr="006D688A">
              <w:rPr>
                <w:rFonts w:cs="Arial"/>
                <w:b/>
                <w:bCs/>
                <w:sz w:val="18"/>
                <w:szCs w:val="18"/>
              </w:rPr>
              <w:t>Opening balance</w:t>
            </w:r>
          </w:p>
        </w:tc>
        <w:tc>
          <w:tcPr>
            <w:tcW w:w="1007" w:type="dxa"/>
            <w:tcBorders>
              <w:top w:val="nil"/>
              <w:left w:val="nil"/>
              <w:bottom w:val="nil"/>
              <w:right w:val="nil"/>
            </w:tcBorders>
            <w:shd w:val="clear" w:color="FFFFFF" w:fill="FFFFFF"/>
            <w:noWrap/>
            <w:hideMark/>
          </w:tcPr>
          <w:p w14:paraId="1336301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1,032,160</w:t>
            </w:r>
          </w:p>
        </w:tc>
        <w:tc>
          <w:tcPr>
            <w:tcW w:w="1069" w:type="dxa"/>
            <w:tcBorders>
              <w:top w:val="nil"/>
              <w:left w:val="nil"/>
              <w:bottom w:val="nil"/>
              <w:right w:val="nil"/>
            </w:tcBorders>
            <w:shd w:val="clear" w:color="FFFFFF" w:fill="FFFFFF"/>
            <w:noWrap/>
            <w:hideMark/>
          </w:tcPr>
          <w:p w14:paraId="20DFD692" w14:textId="77777777" w:rsidR="00520333" w:rsidRPr="006D688A" w:rsidRDefault="00520333" w:rsidP="005E5E0C">
            <w:pPr>
              <w:spacing w:after="0" w:line="240" w:lineRule="auto"/>
              <w:jc w:val="right"/>
              <w:rPr>
                <w:rFonts w:cs="Arial"/>
                <w:sz w:val="18"/>
                <w:szCs w:val="18"/>
              </w:rPr>
            </w:pPr>
            <w:r w:rsidRPr="006D688A">
              <w:rPr>
                <w:rFonts w:cs="Arial"/>
                <w:sz w:val="18"/>
                <w:szCs w:val="18"/>
              </w:rPr>
              <w:t>1,017,277</w:t>
            </w:r>
          </w:p>
        </w:tc>
        <w:tc>
          <w:tcPr>
            <w:tcW w:w="1006" w:type="dxa"/>
            <w:tcBorders>
              <w:top w:val="nil"/>
              <w:left w:val="nil"/>
              <w:bottom w:val="nil"/>
              <w:right w:val="nil"/>
            </w:tcBorders>
            <w:shd w:val="clear" w:color="FFFFFF" w:fill="FFFFFF"/>
            <w:noWrap/>
            <w:hideMark/>
          </w:tcPr>
          <w:p w14:paraId="46376E50" w14:textId="77777777" w:rsidR="00520333" w:rsidRPr="006D688A" w:rsidRDefault="00520333" w:rsidP="005E5E0C">
            <w:pPr>
              <w:spacing w:after="0" w:line="240" w:lineRule="auto"/>
              <w:jc w:val="right"/>
              <w:rPr>
                <w:rFonts w:cs="Arial"/>
                <w:sz w:val="18"/>
                <w:szCs w:val="18"/>
              </w:rPr>
            </w:pPr>
            <w:r w:rsidRPr="006D688A">
              <w:rPr>
                <w:rFonts w:cs="Arial"/>
                <w:sz w:val="18"/>
                <w:szCs w:val="18"/>
              </w:rPr>
              <w:t>1,023,395</w:t>
            </w:r>
          </w:p>
        </w:tc>
        <w:tc>
          <w:tcPr>
            <w:tcW w:w="1002" w:type="dxa"/>
            <w:tcBorders>
              <w:top w:val="nil"/>
              <w:left w:val="nil"/>
              <w:bottom w:val="nil"/>
              <w:right w:val="nil"/>
            </w:tcBorders>
            <w:shd w:val="clear" w:color="FFFFFF" w:fill="FFFFFF"/>
            <w:noWrap/>
            <w:hideMark/>
          </w:tcPr>
          <w:p w14:paraId="578FD3A5"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38,364</w:t>
            </w:r>
          </w:p>
        </w:tc>
        <w:tc>
          <w:tcPr>
            <w:tcW w:w="986" w:type="dxa"/>
            <w:tcBorders>
              <w:top w:val="nil"/>
              <w:left w:val="nil"/>
              <w:bottom w:val="nil"/>
              <w:right w:val="nil"/>
            </w:tcBorders>
            <w:shd w:val="clear" w:color="FFFFFF" w:fill="FFFFFF"/>
            <w:noWrap/>
            <w:hideMark/>
          </w:tcPr>
          <w:p w14:paraId="43B73FF3" w14:textId="77777777" w:rsidR="00520333" w:rsidRPr="006D688A" w:rsidRDefault="00520333" w:rsidP="005E5E0C">
            <w:pPr>
              <w:spacing w:after="0" w:line="240" w:lineRule="auto"/>
              <w:jc w:val="right"/>
              <w:rPr>
                <w:rFonts w:cs="Arial"/>
                <w:sz w:val="18"/>
                <w:szCs w:val="18"/>
              </w:rPr>
            </w:pPr>
            <w:r w:rsidRPr="006D688A">
              <w:rPr>
                <w:rFonts w:cs="Arial"/>
                <w:sz w:val="18"/>
                <w:szCs w:val="18"/>
              </w:rPr>
              <w:t>21,079</w:t>
            </w:r>
          </w:p>
        </w:tc>
        <w:tc>
          <w:tcPr>
            <w:tcW w:w="988" w:type="dxa"/>
            <w:tcBorders>
              <w:top w:val="nil"/>
              <w:left w:val="nil"/>
              <w:bottom w:val="nil"/>
              <w:right w:val="nil"/>
            </w:tcBorders>
            <w:shd w:val="clear" w:color="FFFFFF" w:fill="FFFFFF"/>
            <w:noWrap/>
            <w:hideMark/>
          </w:tcPr>
          <w:p w14:paraId="681D3367" w14:textId="77777777" w:rsidR="00520333" w:rsidRPr="006D688A" w:rsidRDefault="00520333" w:rsidP="005E5E0C">
            <w:pPr>
              <w:spacing w:after="0" w:line="240" w:lineRule="auto"/>
              <w:jc w:val="right"/>
              <w:rPr>
                <w:rFonts w:cs="Arial"/>
                <w:sz w:val="18"/>
                <w:szCs w:val="18"/>
              </w:rPr>
            </w:pPr>
            <w:r w:rsidRPr="006D688A">
              <w:rPr>
                <w:rFonts w:cs="Arial"/>
                <w:sz w:val="18"/>
                <w:szCs w:val="18"/>
              </w:rPr>
              <w:t>21,079</w:t>
            </w:r>
          </w:p>
        </w:tc>
        <w:tc>
          <w:tcPr>
            <w:tcW w:w="986" w:type="dxa"/>
            <w:tcBorders>
              <w:top w:val="nil"/>
              <w:left w:val="nil"/>
              <w:bottom w:val="nil"/>
              <w:right w:val="nil"/>
            </w:tcBorders>
            <w:shd w:val="clear" w:color="FFFFFF" w:fill="FFFFFF"/>
            <w:noWrap/>
            <w:hideMark/>
          </w:tcPr>
          <w:p w14:paraId="4349E65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205,733</w:t>
            </w:r>
          </w:p>
        </w:tc>
        <w:tc>
          <w:tcPr>
            <w:tcW w:w="984" w:type="dxa"/>
            <w:tcBorders>
              <w:top w:val="nil"/>
              <w:left w:val="nil"/>
              <w:bottom w:val="nil"/>
              <w:right w:val="nil"/>
            </w:tcBorders>
            <w:shd w:val="clear" w:color="FFFFFF" w:fill="FFFFFF"/>
            <w:noWrap/>
            <w:hideMark/>
          </w:tcPr>
          <w:p w14:paraId="05173F80" w14:textId="77777777" w:rsidR="00520333" w:rsidRPr="006D688A" w:rsidRDefault="00520333" w:rsidP="005E5E0C">
            <w:pPr>
              <w:spacing w:after="0" w:line="240" w:lineRule="auto"/>
              <w:jc w:val="right"/>
              <w:rPr>
                <w:rFonts w:cs="Arial"/>
                <w:sz w:val="18"/>
                <w:szCs w:val="18"/>
              </w:rPr>
            </w:pPr>
            <w:r w:rsidRPr="006D688A">
              <w:rPr>
                <w:rFonts w:cs="Arial"/>
                <w:sz w:val="18"/>
                <w:szCs w:val="18"/>
              </w:rPr>
              <w:t>205,733</w:t>
            </w:r>
          </w:p>
        </w:tc>
        <w:tc>
          <w:tcPr>
            <w:tcW w:w="984" w:type="dxa"/>
            <w:tcBorders>
              <w:top w:val="nil"/>
              <w:left w:val="nil"/>
              <w:bottom w:val="nil"/>
              <w:right w:val="nil"/>
            </w:tcBorders>
            <w:shd w:val="clear" w:color="FFFFFF" w:fill="FFFFFF"/>
            <w:noWrap/>
            <w:hideMark/>
          </w:tcPr>
          <w:p w14:paraId="67EBD070" w14:textId="77777777" w:rsidR="00520333" w:rsidRPr="006D688A" w:rsidRDefault="00520333" w:rsidP="005E5E0C">
            <w:pPr>
              <w:spacing w:after="0" w:line="240" w:lineRule="auto"/>
              <w:jc w:val="right"/>
              <w:rPr>
                <w:rFonts w:cs="Arial"/>
                <w:sz w:val="18"/>
                <w:szCs w:val="18"/>
              </w:rPr>
            </w:pPr>
            <w:r w:rsidRPr="006D688A">
              <w:rPr>
                <w:rFonts w:cs="Arial"/>
                <w:sz w:val="18"/>
                <w:szCs w:val="18"/>
              </w:rPr>
              <w:t>205,733</w:t>
            </w:r>
          </w:p>
        </w:tc>
        <w:tc>
          <w:tcPr>
            <w:tcW w:w="984" w:type="dxa"/>
            <w:tcBorders>
              <w:top w:val="nil"/>
              <w:left w:val="nil"/>
              <w:bottom w:val="nil"/>
              <w:right w:val="nil"/>
            </w:tcBorders>
            <w:shd w:val="clear" w:color="FFFFFF" w:fill="FFFFFF"/>
            <w:noWrap/>
            <w:hideMark/>
          </w:tcPr>
          <w:p w14:paraId="5CA848B4"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1,276,257</w:t>
            </w:r>
          </w:p>
        </w:tc>
        <w:tc>
          <w:tcPr>
            <w:tcW w:w="1061" w:type="dxa"/>
            <w:tcBorders>
              <w:top w:val="nil"/>
              <w:left w:val="nil"/>
              <w:bottom w:val="nil"/>
              <w:right w:val="nil"/>
            </w:tcBorders>
            <w:shd w:val="clear" w:color="FFFFFF" w:fill="FFFFFF"/>
            <w:noWrap/>
            <w:hideMark/>
          </w:tcPr>
          <w:p w14:paraId="3EFA106F" w14:textId="77777777" w:rsidR="00520333" w:rsidRPr="006D688A" w:rsidRDefault="00520333" w:rsidP="005E5E0C">
            <w:pPr>
              <w:spacing w:after="0" w:line="240" w:lineRule="auto"/>
              <w:jc w:val="right"/>
              <w:rPr>
                <w:rFonts w:cs="Arial"/>
                <w:sz w:val="18"/>
                <w:szCs w:val="18"/>
              </w:rPr>
            </w:pPr>
            <w:r w:rsidRPr="006D688A">
              <w:rPr>
                <w:rFonts w:cs="Arial"/>
                <w:sz w:val="18"/>
                <w:szCs w:val="18"/>
              </w:rPr>
              <w:t>1,244,089</w:t>
            </w:r>
          </w:p>
        </w:tc>
        <w:tc>
          <w:tcPr>
            <w:tcW w:w="984" w:type="dxa"/>
            <w:tcBorders>
              <w:top w:val="nil"/>
              <w:left w:val="nil"/>
              <w:bottom w:val="nil"/>
              <w:right w:val="nil"/>
            </w:tcBorders>
            <w:shd w:val="clear" w:color="FFFFFF" w:fill="FFFFFF"/>
            <w:noWrap/>
            <w:hideMark/>
          </w:tcPr>
          <w:p w14:paraId="1A555382" w14:textId="77777777" w:rsidR="00520333" w:rsidRPr="006D688A" w:rsidRDefault="00520333" w:rsidP="005E5E0C">
            <w:pPr>
              <w:spacing w:after="0" w:line="240" w:lineRule="auto"/>
              <w:jc w:val="right"/>
              <w:rPr>
                <w:rFonts w:cs="Arial"/>
                <w:sz w:val="18"/>
                <w:szCs w:val="18"/>
              </w:rPr>
            </w:pPr>
            <w:r w:rsidRPr="006D688A">
              <w:rPr>
                <w:rFonts w:cs="Arial"/>
                <w:sz w:val="18"/>
                <w:szCs w:val="18"/>
              </w:rPr>
              <w:t>1,250,207</w:t>
            </w:r>
          </w:p>
        </w:tc>
      </w:tr>
      <w:tr w:rsidR="00520333" w:rsidRPr="006D688A" w14:paraId="6CAEAB86" w14:textId="77777777" w:rsidTr="005E5E0C">
        <w:trPr>
          <w:trHeight w:val="238"/>
        </w:trPr>
        <w:tc>
          <w:tcPr>
            <w:tcW w:w="2642" w:type="dxa"/>
            <w:tcBorders>
              <w:top w:val="nil"/>
              <w:left w:val="nil"/>
              <w:bottom w:val="nil"/>
              <w:right w:val="nil"/>
            </w:tcBorders>
            <w:shd w:val="clear" w:color="FFFFFF" w:fill="FFFFFF"/>
            <w:hideMark/>
          </w:tcPr>
          <w:p w14:paraId="5852E522" w14:textId="77777777" w:rsidR="00520333" w:rsidRPr="006D688A" w:rsidRDefault="00520333" w:rsidP="005E5E0C">
            <w:pPr>
              <w:spacing w:after="0" w:line="240" w:lineRule="auto"/>
              <w:rPr>
                <w:rFonts w:cs="Arial"/>
                <w:sz w:val="18"/>
                <w:szCs w:val="18"/>
              </w:rPr>
            </w:pPr>
            <w:r w:rsidRPr="006D688A">
              <w:rPr>
                <w:rFonts w:cs="Arial"/>
                <w:sz w:val="18"/>
                <w:szCs w:val="18"/>
              </w:rPr>
              <w:t>Adjustment for rounding</w:t>
            </w:r>
          </w:p>
        </w:tc>
        <w:tc>
          <w:tcPr>
            <w:tcW w:w="1007" w:type="dxa"/>
            <w:tcBorders>
              <w:top w:val="nil"/>
              <w:left w:val="nil"/>
              <w:bottom w:val="nil"/>
              <w:right w:val="nil"/>
            </w:tcBorders>
            <w:shd w:val="clear" w:color="FFFFFF" w:fill="FFFFFF"/>
            <w:noWrap/>
            <w:hideMark/>
          </w:tcPr>
          <w:p w14:paraId="7F2D3C4A"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xml:space="preserve"> -</w:t>
            </w:r>
          </w:p>
        </w:tc>
        <w:tc>
          <w:tcPr>
            <w:tcW w:w="1069" w:type="dxa"/>
            <w:tcBorders>
              <w:top w:val="nil"/>
              <w:left w:val="nil"/>
              <w:bottom w:val="nil"/>
              <w:right w:val="nil"/>
            </w:tcBorders>
            <w:shd w:val="clear" w:color="FFFFFF" w:fill="FFFFFF"/>
            <w:noWrap/>
            <w:hideMark/>
          </w:tcPr>
          <w:p w14:paraId="056ED527" w14:textId="77777777" w:rsidR="00520333" w:rsidRPr="006D688A" w:rsidRDefault="00520333" w:rsidP="005E5E0C">
            <w:pPr>
              <w:spacing w:after="0" w:line="240" w:lineRule="auto"/>
              <w:jc w:val="right"/>
              <w:rPr>
                <w:rFonts w:cs="Arial"/>
                <w:sz w:val="18"/>
                <w:szCs w:val="18"/>
              </w:rPr>
            </w:pPr>
            <w:r w:rsidRPr="006D688A">
              <w:rPr>
                <w:rFonts w:cs="Arial"/>
                <w:sz w:val="18"/>
                <w:szCs w:val="18"/>
              </w:rPr>
              <w:t>(6)</w:t>
            </w:r>
          </w:p>
        </w:tc>
        <w:tc>
          <w:tcPr>
            <w:tcW w:w="1006" w:type="dxa"/>
            <w:tcBorders>
              <w:top w:val="nil"/>
              <w:left w:val="nil"/>
              <w:bottom w:val="nil"/>
              <w:right w:val="nil"/>
            </w:tcBorders>
            <w:shd w:val="clear" w:color="FFFFFF" w:fill="FFFFFF"/>
            <w:noWrap/>
            <w:hideMark/>
          </w:tcPr>
          <w:p w14:paraId="07F3ECCC"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1002" w:type="dxa"/>
            <w:tcBorders>
              <w:top w:val="nil"/>
              <w:left w:val="nil"/>
              <w:bottom w:val="nil"/>
              <w:right w:val="nil"/>
            </w:tcBorders>
            <w:shd w:val="clear" w:color="FFFFFF" w:fill="FFFFFF"/>
            <w:noWrap/>
            <w:hideMark/>
          </w:tcPr>
          <w:p w14:paraId="33D0075B"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xml:space="preserve"> -</w:t>
            </w:r>
          </w:p>
        </w:tc>
        <w:tc>
          <w:tcPr>
            <w:tcW w:w="986" w:type="dxa"/>
            <w:tcBorders>
              <w:top w:val="nil"/>
              <w:left w:val="nil"/>
              <w:bottom w:val="nil"/>
              <w:right w:val="nil"/>
            </w:tcBorders>
            <w:shd w:val="clear" w:color="FFFFFF" w:fill="FFFFFF"/>
            <w:noWrap/>
            <w:hideMark/>
          </w:tcPr>
          <w:p w14:paraId="4EB6FF35"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8" w:type="dxa"/>
            <w:tcBorders>
              <w:top w:val="nil"/>
              <w:left w:val="nil"/>
              <w:bottom w:val="nil"/>
              <w:right w:val="nil"/>
            </w:tcBorders>
            <w:shd w:val="clear" w:color="FFFFFF" w:fill="FFFFFF"/>
            <w:noWrap/>
            <w:hideMark/>
          </w:tcPr>
          <w:p w14:paraId="5D69633A"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6" w:type="dxa"/>
            <w:tcBorders>
              <w:top w:val="nil"/>
              <w:left w:val="nil"/>
              <w:bottom w:val="nil"/>
              <w:right w:val="nil"/>
            </w:tcBorders>
            <w:shd w:val="clear" w:color="FFFFFF" w:fill="FFFFFF"/>
            <w:noWrap/>
            <w:hideMark/>
          </w:tcPr>
          <w:p w14:paraId="2F109325"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xml:space="preserve"> -</w:t>
            </w:r>
          </w:p>
        </w:tc>
        <w:tc>
          <w:tcPr>
            <w:tcW w:w="984" w:type="dxa"/>
            <w:tcBorders>
              <w:top w:val="nil"/>
              <w:left w:val="nil"/>
              <w:bottom w:val="nil"/>
              <w:right w:val="nil"/>
            </w:tcBorders>
            <w:shd w:val="clear" w:color="FFFFFF" w:fill="FFFFFF"/>
            <w:noWrap/>
            <w:hideMark/>
          </w:tcPr>
          <w:p w14:paraId="29E9BB93"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4" w:type="dxa"/>
            <w:tcBorders>
              <w:top w:val="nil"/>
              <w:left w:val="nil"/>
              <w:bottom w:val="nil"/>
              <w:right w:val="nil"/>
            </w:tcBorders>
            <w:shd w:val="clear" w:color="FFFFFF" w:fill="FFFFFF"/>
            <w:noWrap/>
            <w:hideMark/>
          </w:tcPr>
          <w:p w14:paraId="06CDB4AC"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4" w:type="dxa"/>
            <w:tcBorders>
              <w:top w:val="nil"/>
              <w:left w:val="nil"/>
              <w:bottom w:val="nil"/>
              <w:right w:val="nil"/>
            </w:tcBorders>
            <w:shd w:val="clear" w:color="FFFFFF" w:fill="FFFFFF"/>
            <w:noWrap/>
            <w:hideMark/>
          </w:tcPr>
          <w:p w14:paraId="1C98DBCA"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w:t>
            </w:r>
          </w:p>
        </w:tc>
        <w:tc>
          <w:tcPr>
            <w:tcW w:w="1061" w:type="dxa"/>
            <w:tcBorders>
              <w:top w:val="nil"/>
              <w:left w:val="nil"/>
              <w:bottom w:val="nil"/>
              <w:right w:val="nil"/>
            </w:tcBorders>
            <w:shd w:val="clear" w:color="FFFFFF" w:fill="FFFFFF"/>
            <w:noWrap/>
            <w:hideMark/>
          </w:tcPr>
          <w:p w14:paraId="2F349BCA" w14:textId="77777777" w:rsidR="00520333" w:rsidRPr="006D688A" w:rsidRDefault="00520333" w:rsidP="005E5E0C">
            <w:pPr>
              <w:spacing w:after="0" w:line="240" w:lineRule="auto"/>
              <w:jc w:val="right"/>
              <w:rPr>
                <w:rFonts w:cs="Arial"/>
                <w:sz w:val="18"/>
                <w:szCs w:val="18"/>
              </w:rPr>
            </w:pPr>
            <w:r w:rsidRPr="006D688A">
              <w:rPr>
                <w:rFonts w:cs="Arial"/>
                <w:sz w:val="18"/>
                <w:szCs w:val="18"/>
              </w:rPr>
              <w:t>(6)</w:t>
            </w:r>
          </w:p>
        </w:tc>
        <w:tc>
          <w:tcPr>
            <w:tcW w:w="984" w:type="dxa"/>
            <w:tcBorders>
              <w:top w:val="nil"/>
              <w:left w:val="nil"/>
              <w:bottom w:val="nil"/>
              <w:right w:val="nil"/>
            </w:tcBorders>
            <w:shd w:val="clear" w:color="FFFFFF" w:fill="FFFFFF"/>
            <w:noWrap/>
            <w:hideMark/>
          </w:tcPr>
          <w:p w14:paraId="10497232" w14:textId="77777777" w:rsidR="00520333" w:rsidRPr="006D688A" w:rsidRDefault="00520333" w:rsidP="005E5E0C">
            <w:pPr>
              <w:spacing w:after="0" w:line="240" w:lineRule="auto"/>
              <w:jc w:val="right"/>
              <w:rPr>
                <w:rFonts w:cs="Arial"/>
                <w:sz w:val="18"/>
                <w:szCs w:val="18"/>
              </w:rPr>
            </w:pPr>
            <w:r w:rsidRPr="006D688A">
              <w:rPr>
                <w:rFonts w:cs="Arial"/>
                <w:sz w:val="18"/>
                <w:szCs w:val="18"/>
              </w:rPr>
              <w:t>-</w:t>
            </w:r>
          </w:p>
        </w:tc>
      </w:tr>
      <w:tr w:rsidR="00520333" w:rsidRPr="006D688A" w14:paraId="1E0E1B49" w14:textId="77777777" w:rsidTr="005E5E0C">
        <w:trPr>
          <w:trHeight w:val="238"/>
        </w:trPr>
        <w:tc>
          <w:tcPr>
            <w:tcW w:w="2642" w:type="dxa"/>
            <w:tcBorders>
              <w:top w:val="nil"/>
              <w:left w:val="nil"/>
              <w:bottom w:val="nil"/>
              <w:right w:val="nil"/>
            </w:tcBorders>
            <w:shd w:val="clear" w:color="FFFFFF" w:fill="FFFFFF"/>
            <w:hideMark/>
          </w:tcPr>
          <w:p w14:paraId="03F718D6" w14:textId="77777777" w:rsidR="00520333" w:rsidRPr="006D688A" w:rsidRDefault="00520333" w:rsidP="005E5E0C">
            <w:pPr>
              <w:spacing w:after="0" w:line="240" w:lineRule="auto"/>
              <w:rPr>
                <w:rFonts w:cs="Arial"/>
                <w:b/>
                <w:bCs/>
                <w:sz w:val="18"/>
                <w:szCs w:val="18"/>
              </w:rPr>
            </w:pPr>
            <w:r w:rsidRPr="006D688A">
              <w:rPr>
                <w:rFonts w:cs="Arial"/>
                <w:b/>
                <w:bCs/>
                <w:sz w:val="18"/>
                <w:szCs w:val="18"/>
              </w:rPr>
              <w:t>Adjusted Opening balance</w:t>
            </w:r>
          </w:p>
        </w:tc>
        <w:tc>
          <w:tcPr>
            <w:tcW w:w="1007" w:type="dxa"/>
            <w:tcBorders>
              <w:top w:val="single" w:sz="4" w:space="0" w:color="auto"/>
              <w:left w:val="nil"/>
              <w:bottom w:val="single" w:sz="4" w:space="0" w:color="auto"/>
              <w:right w:val="nil"/>
            </w:tcBorders>
            <w:shd w:val="clear" w:color="FFFFFF" w:fill="FFFFFF"/>
            <w:noWrap/>
            <w:hideMark/>
          </w:tcPr>
          <w:p w14:paraId="3980859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1,032,160</w:t>
            </w:r>
          </w:p>
        </w:tc>
        <w:tc>
          <w:tcPr>
            <w:tcW w:w="1069" w:type="dxa"/>
            <w:tcBorders>
              <w:top w:val="single" w:sz="4" w:space="0" w:color="auto"/>
              <w:left w:val="nil"/>
              <w:bottom w:val="single" w:sz="4" w:space="0" w:color="auto"/>
              <w:right w:val="nil"/>
            </w:tcBorders>
            <w:shd w:val="clear" w:color="FFFFFF" w:fill="FFFFFF"/>
            <w:noWrap/>
            <w:hideMark/>
          </w:tcPr>
          <w:p w14:paraId="12929089" w14:textId="77777777" w:rsidR="00520333" w:rsidRPr="006D688A" w:rsidRDefault="00520333" w:rsidP="005E5E0C">
            <w:pPr>
              <w:spacing w:after="0" w:line="240" w:lineRule="auto"/>
              <w:jc w:val="right"/>
              <w:rPr>
                <w:rFonts w:cs="Arial"/>
                <w:sz w:val="18"/>
                <w:szCs w:val="18"/>
              </w:rPr>
            </w:pPr>
            <w:r w:rsidRPr="006D688A">
              <w:rPr>
                <w:rFonts w:cs="Arial"/>
                <w:sz w:val="18"/>
                <w:szCs w:val="18"/>
              </w:rPr>
              <w:t>1,017,271</w:t>
            </w:r>
          </w:p>
        </w:tc>
        <w:tc>
          <w:tcPr>
            <w:tcW w:w="1006" w:type="dxa"/>
            <w:tcBorders>
              <w:top w:val="single" w:sz="4" w:space="0" w:color="auto"/>
              <w:left w:val="nil"/>
              <w:bottom w:val="single" w:sz="4" w:space="0" w:color="auto"/>
              <w:right w:val="nil"/>
            </w:tcBorders>
            <w:shd w:val="clear" w:color="FFFFFF" w:fill="FFFFFF"/>
            <w:noWrap/>
            <w:hideMark/>
          </w:tcPr>
          <w:p w14:paraId="1BBF8999" w14:textId="77777777" w:rsidR="00520333" w:rsidRPr="006D688A" w:rsidRDefault="00520333" w:rsidP="005E5E0C">
            <w:pPr>
              <w:spacing w:after="0" w:line="240" w:lineRule="auto"/>
              <w:jc w:val="right"/>
              <w:rPr>
                <w:rFonts w:cs="Arial"/>
                <w:sz w:val="18"/>
                <w:szCs w:val="18"/>
              </w:rPr>
            </w:pPr>
            <w:r w:rsidRPr="006D688A">
              <w:rPr>
                <w:rFonts w:cs="Arial"/>
                <w:sz w:val="18"/>
                <w:szCs w:val="18"/>
              </w:rPr>
              <w:t>1,023,395</w:t>
            </w:r>
          </w:p>
        </w:tc>
        <w:tc>
          <w:tcPr>
            <w:tcW w:w="1002" w:type="dxa"/>
            <w:tcBorders>
              <w:top w:val="single" w:sz="4" w:space="0" w:color="auto"/>
              <w:left w:val="nil"/>
              <w:bottom w:val="single" w:sz="4" w:space="0" w:color="auto"/>
              <w:right w:val="nil"/>
            </w:tcBorders>
            <w:shd w:val="clear" w:color="FFFFFF" w:fill="FFFFFF"/>
            <w:noWrap/>
            <w:hideMark/>
          </w:tcPr>
          <w:p w14:paraId="1E0E846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38,364</w:t>
            </w:r>
          </w:p>
        </w:tc>
        <w:tc>
          <w:tcPr>
            <w:tcW w:w="986" w:type="dxa"/>
            <w:tcBorders>
              <w:top w:val="single" w:sz="4" w:space="0" w:color="auto"/>
              <w:left w:val="nil"/>
              <w:bottom w:val="single" w:sz="4" w:space="0" w:color="auto"/>
              <w:right w:val="nil"/>
            </w:tcBorders>
            <w:shd w:val="clear" w:color="FFFFFF" w:fill="FFFFFF"/>
            <w:noWrap/>
            <w:hideMark/>
          </w:tcPr>
          <w:p w14:paraId="2DFA4ABF" w14:textId="77777777" w:rsidR="00520333" w:rsidRPr="006D688A" w:rsidRDefault="00520333" w:rsidP="005E5E0C">
            <w:pPr>
              <w:spacing w:after="0" w:line="240" w:lineRule="auto"/>
              <w:jc w:val="right"/>
              <w:rPr>
                <w:rFonts w:cs="Arial"/>
                <w:sz w:val="18"/>
                <w:szCs w:val="18"/>
              </w:rPr>
            </w:pPr>
            <w:r w:rsidRPr="006D688A">
              <w:rPr>
                <w:rFonts w:cs="Arial"/>
                <w:sz w:val="18"/>
                <w:szCs w:val="18"/>
              </w:rPr>
              <w:t>21,079</w:t>
            </w:r>
          </w:p>
        </w:tc>
        <w:tc>
          <w:tcPr>
            <w:tcW w:w="988" w:type="dxa"/>
            <w:tcBorders>
              <w:top w:val="single" w:sz="4" w:space="0" w:color="auto"/>
              <w:left w:val="nil"/>
              <w:bottom w:val="single" w:sz="4" w:space="0" w:color="auto"/>
              <w:right w:val="nil"/>
            </w:tcBorders>
            <w:shd w:val="clear" w:color="FFFFFF" w:fill="FFFFFF"/>
            <w:noWrap/>
            <w:hideMark/>
          </w:tcPr>
          <w:p w14:paraId="7612475E" w14:textId="77777777" w:rsidR="00520333" w:rsidRPr="006D688A" w:rsidRDefault="00520333" w:rsidP="005E5E0C">
            <w:pPr>
              <w:spacing w:after="0" w:line="240" w:lineRule="auto"/>
              <w:jc w:val="right"/>
              <w:rPr>
                <w:rFonts w:cs="Arial"/>
                <w:sz w:val="18"/>
                <w:szCs w:val="18"/>
              </w:rPr>
            </w:pPr>
            <w:r w:rsidRPr="006D688A">
              <w:rPr>
                <w:rFonts w:cs="Arial"/>
                <w:sz w:val="18"/>
                <w:szCs w:val="18"/>
              </w:rPr>
              <w:t>21,079</w:t>
            </w:r>
          </w:p>
        </w:tc>
        <w:tc>
          <w:tcPr>
            <w:tcW w:w="986" w:type="dxa"/>
            <w:tcBorders>
              <w:top w:val="single" w:sz="4" w:space="0" w:color="auto"/>
              <w:left w:val="nil"/>
              <w:bottom w:val="single" w:sz="4" w:space="0" w:color="auto"/>
              <w:right w:val="nil"/>
            </w:tcBorders>
            <w:shd w:val="clear" w:color="FFFFFF" w:fill="FFFFFF"/>
            <w:noWrap/>
            <w:hideMark/>
          </w:tcPr>
          <w:p w14:paraId="3648D404"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205,733</w:t>
            </w:r>
          </w:p>
        </w:tc>
        <w:tc>
          <w:tcPr>
            <w:tcW w:w="984" w:type="dxa"/>
            <w:tcBorders>
              <w:top w:val="single" w:sz="4" w:space="0" w:color="auto"/>
              <w:left w:val="nil"/>
              <w:bottom w:val="single" w:sz="4" w:space="0" w:color="auto"/>
              <w:right w:val="nil"/>
            </w:tcBorders>
            <w:shd w:val="clear" w:color="FFFFFF" w:fill="FFFFFF"/>
            <w:noWrap/>
            <w:hideMark/>
          </w:tcPr>
          <w:p w14:paraId="22FA6277" w14:textId="77777777" w:rsidR="00520333" w:rsidRPr="006D688A" w:rsidRDefault="00520333" w:rsidP="005E5E0C">
            <w:pPr>
              <w:spacing w:after="0" w:line="240" w:lineRule="auto"/>
              <w:jc w:val="right"/>
              <w:rPr>
                <w:rFonts w:cs="Arial"/>
                <w:sz w:val="18"/>
                <w:szCs w:val="18"/>
              </w:rPr>
            </w:pPr>
            <w:r w:rsidRPr="006D688A">
              <w:rPr>
                <w:rFonts w:cs="Arial"/>
                <w:sz w:val="18"/>
                <w:szCs w:val="18"/>
              </w:rPr>
              <w:t>205,733</w:t>
            </w:r>
          </w:p>
        </w:tc>
        <w:tc>
          <w:tcPr>
            <w:tcW w:w="984" w:type="dxa"/>
            <w:tcBorders>
              <w:top w:val="single" w:sz="4" w:space="0" w:color="auto"/>
              <w:left w:val="nil"/>
              <w:bottom w:val="single" w:sz="4" w:space="0" w:color="auto"/>
              <w:right w:val="nil"/>
            </w:tcBorders>
            <w:shd w:val="clear" w:color="FFFFFF" w:fill="FFFFFF"/>
            <w:noWrap/>
            <w:hideMark/>
          </w:tcPr>
          <w:p w14:paraId="7AA02DDE" w14:textId="77777777" w:rsidR="00520333" w:rsidRPr="006D688A" w:rsidRDefault="00520333" w:rsidP="005E5E0C">
            <w:pPr>
              <w:spacing w:after="0" w:line="240" w:lineRule="auto"/>
              <w:jc w:val="right"/>
              <w:rPr>
                <w:rFonts w:cs="Arial"/>
                <w:sz w:val="18"/>
                <w:szCs w:val="18"/>
              </w:rPr>
            </w:pPr>
            <w:r w:rsidRPr="006D688A">
              <w:rPr>
                <w:rFonts w:cs="Arial"/>
                <w:sz w:val="18"/>
                <w:szCs w:val="18"/>
              </w:rPr>
              <w:t>205,733</w:t>
            </w:r>
          </w:p>
        </w:tc>
        <w:tc>
          <w:tcPr>
            <w:tcW w:w="984" w:type="dxa"/>
            <w:tcBorders>
              <w:top w:val="single" w:sz="4" w:space="0" w:color="auto"/>
              <w:left w:val="nil"/>
              <w:bottom w:val="single" w:sz="4" w:space="0" w:color="auto"/>
              <w:right w:val="nil"/>
            </w:tcBorders>
            <w:shd w:val="clear" w:color="FFFFFF" w:fill="FFFFFF"/>
            <w:noWrap/>
            <w:hideMark/>
          </w:tcPr>
          <w:p w14:paraId="6E0C9827"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1,276,257</w:t>
            </w:r>
          </w:p>
        </w:tc>
        <w:tc>
          <w:tcPr>
            <w:tcW w:w="1061" w:type="dxa"/>
            <w:tcBorders>
              <w:top w:val="single" w:sz="4" w:space="0" w:color="auto"/>
              <w:left w:val="nil"/>
              <w:bottom w:val="single" w:sz="4" w:space="0" w:color="auto"/>
              <w:right w:val="nil"/>
            </w:tcBorders>
            <w:shd w:val="clear" w:color="FFFFFF" w:fill="FFFFFF"/>
            <w:noWrap/>
            <w:hideMark/>
          </w:tcPr>
          <w:p w14:paraId="74360FC5" w14:textId="77777777" w:rsidR="00520333" w:rsidRPr="006D688A" w:rsidRDefault="00520333" w:rsidP="005E5E0C">
            <w:pPr>
              <w:spacing w:after="0" w:line="240" w:lineRule="auto"/>
              <w:jc w:val="right"/>
              <w:rPr>
                <w:rFonts w:cs="Arial"/>
                <w:sz w:val="18"/>
                <w:szCs w:val="18"/>
              </w:rPr>
            </w:pPr>
            <w:r w:rsidRPr="006D688A">
              <w:rPr>
                <w:rFonts w:cs="Arial"/>
                <w:sz w:val="18"/>
                <w:szCs w:val="18"/>
              </w:rPr>
              <w:t>1,244,083</w:t>
            </w:r>
          </w:p>
        </w:tc>
        <w:tc>
          <w:tcPr>
            <w:tcW w:w="984" w:type="dxa"/>
            <w:tcBorders>
              <w:top w:val="single" w:sz="4" w:space="0" w:color="auto"/>
              <w:left w:val="nil"/>
              <w:bottom w:val="single" w:sz="4" w:space="0" w:color="auto"/>
              <w:right w:val="nil"/>
            </w:tcBorders>
            <w:shd w:val="clear" w:color="FFFFFF" w:fill="FFFFFF"/>
            <w:noWrap/>
            <w:hideMark/>
          </w:tcPr>
          <w:p w14:paraId="5907DF4B" w14:textId="77777777" w:rsidR="00520333" w:rsidRPr="006D688A" w:rsidRDefault="00520333" w:rsidP="005E5E0C">
            <w:pPr>
              <w:spacing w:after="0" w:line="240" w:lineRule="auto"/>
              <w:jc w:val="right"/>
              <w:rPr>
                <w:rFonts w:cs="Arial"/>
                <w:sz w:val="18"/>
                <w:szCs w:val="18"/>
              </w:rPr>
            </w:pPr>
            <w:r w:rsidRPr="006D688A">
              <w:rPr>
                <w:rFonts w:cs="Arial"/>
                <w:sz w:val="18"/>
                <w:szCs w:val="18"/>
              </w:rPr>
              <w:t>1,250,207</w:t>
            </w:r>
          </w:p>
        </w:tc>
      </w:tr>
      <w:tr w:rsidR="00520333" w:rsidRPr="006D688A" w14:paraId="52E1B8EE" w14:textId="77777777" w:rsidTr="005E5E0C">
        <w:trPr>
          <w:trHeight w:val="238"/>
        </w:trPr>
        <w:tc>
          <w:tcPr>
            <w:tcW w:w="2642" w:type="dxa"/>
            <w:tcBorders>
              <w:top w:val="nil"/>
              <w:left w:val="nil"/>
              <w:bottom w:val="nil"/>
              <w:right w:val="nil"/>
            </w:tcBorders>
            <w:shd w:val="clear" w:color="FFFFFF" w:fill="FFFFFF"/>
            <w:noWrap/>
            <w:hideMark/>
          </w:tcPr>
          <w:p w14:paraId="1E398D99"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07" w:type="dxa"/>
            <w:tcBorders>
              <w:top w:val="nil"/>
              <w:left w:val="nil"/>
              <w:bottom w:val="nil"/>
              <w:right w:val="nil"/>
            </w:tcBorders>
            <w:shd w:val="clear" w:color="FFFFFF" w:fill="FFFFFF"/>
            <w:noWrap/>
            <w:hideMark/>
          </w:tcPr>
          <w:p w14:paraId="20F9E466"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69" w:type="dxa"/>
            <w:tcBorders>
              <w:top w:val="nil"/>
              <w:left w:val="nil"/>
              <w:bottom w:val="nil"/>
              <w:right w:val="nil"/>
            </w:tcBorders>
            <w:shd w:val="clear" w:color="FFFFFF" w:fill="FFFFFF"/>
            <w:noWrap/>
            <w:hideMark/>
          </w:tcPr>
          <w:p w14:paraId="2DBBF147"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06" w:type="dxa"/>
            <w:tcBorders>
              <w:top w:val="nil"/>
              <w:left w:val="nil"/>
              <w:bottom w:val="nil"/>
              <w:right w:val="nil"/>
            </w:tcBorders>
            <w:shd w:val="clear" w:color="FFFFFF" w:fill="FFFFFF"/>
            <w:noWrap/>
            <w:hideMark/>
          </w:tcPr>
          <w:p w14:paraId="1E23EA91"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02" w:type="dxa"/>
            <w:tcBorders>
              <w:top w:val="nil"/>
              <w:left w:val="nil"/>
              <w:bottom w:val="nil"/>
              <w:right w:val="nil"/>
            </w:tcBorders>
            <w:shd w:val="clear" w:color="FFFFFF" w:fill="FFFFFF"/>
            <w:noWrap/>
            <w:hideMark/>
          </w:tcPr>
          <w:p w14:paraId="62EA71E0"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6" w:type="dxa"/>
            <w:tcBorders>
              <w:top w:val="nil"/>
              <w:left w:val="nil"/>
              <w:bottom w:val="nil"/>
              <w:right w:val="nil"/>
            </w:tcBorders>
            <w:shd w:val="clear" w:color="FFFFFF" w:fill="FFFFFF"/>
            <w:noWrap/>
            <w:hideMark/>
          </w:tcPr>
          <w:p w14:paraId="571F76DD"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8" w:type="dxa"/>
            <w:tcBorders>
              <w:top w:val="nil"/>
              <w:left w:val="nil"/>
              <w:bottom w:val="nil"/>
              <w:right w:val="nil"/>
            </w:tcBorders>
            <w:shd w:val="clear" w:color="FFFFFF" w:fill="FFFFFF"/>
            <w:noWrap/>
            <w:hideMark/>
          </w:tcPr>
          <w:p w14:paraId="6D1FE9FA"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6" w:type="dxa"/>
            <w:tcBorders>
              <w:top w:val="nil"/>
              <w:left w:val="nil"/>
              <w:bottom w:val="nil"/>
              <w:right w:val="nil"/>
            </w:tcBorders>
            <w:shd w:val="clear" w:color="FFFFFF" w:fill="FFFFFF"/>
            <w:noWrap/>
            <w:hideMark/>
          </w:tcPr>
          <w:p w14:paraId="7C601906"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0DACE91A"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3D774FE8"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2541395F"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1061" w:type="dxa"/>
            <w:tcBorders>
              <w:top w:val="nil"/>
              <w:left w:val="nil"/>
              <w:bottom w:val="nil"/>
              <w:right w:val="nil"/>
            </w:tcBorders>
            <w:shd w:val="clear" w:color="FFFFFF" w:fill="FFFFFF"/>
            <w:noWrap/>
            <w:hideMark/>
          </w:tcPr>
          <w:p w14:paraId="5242ACEE"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62F101DF" w14:textId="77777777" w:rsidR="00520333" w:rsidRPr="006D688A" w:rsidRDefault="00520333" w:rsidP="005E5E0C">
            <w:pPr>
              <w:spacing w:after="0" w:line="240" w:lineRule="auto"/>
              <w:rPr>
                <w:rFonts w:cs="Arial"/>
                <w:sz w:val="18"/>
                <w:szCs w:val="18"/>
              </w:rPr>
            </w:pPr>
            <w:r w:rsidRPr="006D688A">
              <w:rPr>
                <w:rFonts w:cs="Arial"/>
                <w:sz w:val="18"/>
                <w:szCs w:val="18"/>
              </w:rPr>
              <w:t> </w:t>
            </w:r>
          </w:p>
        </w:tc>
      </w:tr>
      <w:tr w:rsidR="00520333" w:rsidRPr="006D688A" w14:paraId="27934C7A" w14:textId="77777777" w:rsidTr="005E5E0C">
        <w:trPr>
          <w:trHeight w:val="238"/>
        </w:trPr>
        <w:tc>
          <w:tcPr>
            <w:tcW w:w="2642" w:type="dxa"/>
            <w:tcBorders>
              <w:top w:val="nil"/>
              <w:left w:val="nil"/>
              <w:bottom w:val="nil"/>
              <w:right w:val="nil"/>
            </w:tcBorders>
            <w:shd w:val="clear" w:color="FFFFFF" w:fill="FFFFFF"/>
            <w:hideMark/>
          </w:tcPr>
          <w:p w14:paraId="38805209" w14:textId="77777777" w:rsidR="00520333" w:rsidRPr="006D688A" w:rsidRDefault="00520333" w:rsidP="005E5E0C">
            <w:pPr>
              <w:spacing w:after="0" w:line="240" w:lineRule="auto"/>
              <w:rPr>
                <w:rFonts w:cs="Arial"/>
                <w:b/>
                <w:bCs/>
                <w:sz w:val="18"/>
                <w:szCs w:val="18"/>
              </w:rPr>
            </w:pPr>
            <w:r w:rsidRPr="006D688A">
              <w:rPr>
                <w:rFonts w:cs="Arial"/>
                <w:b/>
                <w:bCs/>
                <w:sz w:val="18"/>
                <w:szCs w:val="18"/>
              </w:rPr>
              <w:t>Comprehensive income</w:t>
            </w:r>
          </w:p>
        </w:tc>
        <w:tc>
          <w:tcPr>
            <w:tcW w:w="1007" w:type="dxa"/>
            <w:tcBorders>
              <w:top w:val="nil"/>
              <w:left w:val="nil"/>
              <w:bottom w:val="nil"/>
              <w:right w:val="nil"/>
            </w:tcBorders>
            <w:shd w:val="clear" w:color="FFFFFF" w:fill="FFFFFF"/>
            <w:noWrap/>
            <w:hideMark/>
          </w:tcPr>
          <w:p w14:paraId="2DD7F95D"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69" w:type="dxa"/>
            <w:tcBorders>
              <w:top w:val="nil"/>
              <w:left w:val="nil"/>
              <w:bottom w:val="nil"/>
              <w:right w:val="nil"/>
            </w:tcBorders>
            <w:shd w:val="clear" w:color="FFFFFF" w:fill="FFFFFF"/>
            <w:noWrap/>
            <w:hideMark/>
          </w:tcPr>
          <w:p w14:paraId="5186334F"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06" w:type="dxa"/>
            <w:tcBorders>
              <w:top w:val="nil"/>
              <w:left w:val="nil"/>
              <w:bottom w:val="nil"/>
              <w:right w:val="nil"/>
            </w:tcBorders>
            <w:shd w:val="clear" w:color="FFFFFF" w:fill="FFFFFF"/>
            <w:noWrap/>
            <w:hideMark/>
          </w:tcPr>
          <w:p w14:paraId="246B4554"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02" w:type="dxa"/>
            <w:tcBorders>
              <w:top w:val="nil"/>
              <w:left w:val="nil"/>
              <w:bottom w:val="nil"/>
              <w:right w:val="nil"/>
            </w:tcBorders>
            <w:shd w:val="clear" w:color="FFFFFF" w:fill="FFFFFF"/>
            <w:noWrap/>
            <w:hideMark/>
          </w:tcPr>
          <w:p w14:paraId="424F6302"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6" w:type="dxa"/>
            <w:tcBorders>
              <w:top w:val="nil"/>
              <w:left w:val="nil"/>
              <w:bottom w:val="nil"/>
              <w:right w:val="nil"/>
            </w:tcBorders>
            <w:shd w:val="clear" w:color="FFFFFF" w:fill="FFFFFF"/>
            <w:noWrap/>
            <w:hideMark/>
          </w:tcPr>
          <w:p w14:paraId="7A96261B"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8" w:type="dxa"/>
            <w:tcBorders>
              <w:top w:val="nil"/>
              <w:left w:val="nil"/>
              <w:bottom w:val="nil"/>
              <w:right w:val="nil"/>
            </w:tcBorders>
            <w:shd w:val="clear" w:color="FFFFFF" w:fill="FFFFFF"/>
            <w:noWrap/>
            <w:hideMark/>
          </w:tcPr>
          <w:p w14:paraId="6D40C69A"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6" w:type="dxa"/>
            <w:tcBorders>
              <w:top w:val="nil"/>
              <w:left w:val="nil"/>
              <w:bottom w:val="nil"/>
              <w:right w:val="nil"/>
            </w:tcBorders>
            <w:shd w:val="clear" w:color="FFFFFF" w:fill="FFFFFF"/>
            <w:noWrap/>
            <w:hideMark/>
          </w:tcPr>
          <w:p w14:paraId="690FF841"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noWrap/>
            <w:hideMark/>
          </w:tcPr>
          <w:p w14:paraId="24B3CEA0"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noWrap/>
            <w:hideMark/>
          </w:tcPr>
          <w:p w14:paraId="210A9104"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noWrap/>
            <w:hideMark/>
          </w:tcPr>
          <w:p w14:paraId="2D6A057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61" w:type="dxa"/>
            <w:tcBorders>
              <w:top w:val="nil"/>
              <w:left w:val="nil"/>
              <w:bottom w:val="nil"/>
              <w:right w:val="nil"/>
            </w:tcBorders>
            <w:shd w:val="clear" w:color="FFFFFF" w:fill="FFFFFF"/>
            <w:noWrap/>
            <w:hideMark/>
          </w:tcPr>
          <w:p w14:paraId="57609D37" w14:textId="77777777" w:rsidR="00520333" w:rsidRPr="006D688A" w:rsidRDefault="00520333" w:rsidP="005E5E0C">
            <w:pPr>
              <w:spacing w:after="0" w:line="240" w:lineRule="auto"/>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307C31E8" w14:textId="77777777" w:rsidR="00520333" w:rsidRPr="006D688A" w:rsidRDefault="00520333" w:rsidP="005E5E0C">
            <w:pPr>
              <w:spacing w:after="0" w:line="240" w:lineRule="auto"/>
              <w:rPr>
                <w:rFonts w:cs="Arial"/>
                <w:sz w:val="18"/>
                <w:szCs w:val="18"/>
              </w:rPr>
            </w:pPr>
            <w:r w:rsidRPr="006D688A">
              <w:rPr>
                <w:rFonts w:cs="Arial"/>
                <w:sz w:val="18"/>
                <w:szCs w:val="18"/>
              </w:rPr>
              <w:t> </w:t>
            </w:r>
          </w:p>
        </w:tc>
      </w:tr>
      <w:tr w:rsidR="00520333" w:rsidRPr="006D688A" w14:paraId="154740B3" w14:textId="77777777" w:rsidTr="005E5E0C">
        <w:trPr>
          <w:trHeight w:val="238"/>
        </w:trPr>
        <w:tc>
          <w:tcPr>
            <w:tcW w:w="2642" w:type="dxa"/>
            <w:tcBorders>
              <w:top w:val="nil"/>
              <w:left w:val="nil"/>
              <w:bottom w:val="nil"/>
              <w:right w:val="nil"/>
            </w:tcBorders>
            <w:shd w:val="clear" w:color="FFFFFF" w:fill="FFFFFF"/>
            <w:hideMark/>
          </w:tcPr>
          <w:p w14:paraId="58E9AAD4" w14:textId="77777777" w:rsidR="00520333" w:rsidRPr="006D688A" w:rsidRDefault="00520333" w:rsidP="005E5E0C">
            <w:pPr>
              <w:spacing w:after="0" w:line="240" w:lineRule="auto"/>
              <w:rPr>
                <w:rFonts w:cs="Arial"/>
                <w:sz w:val="18"/>
                <w:szCs w:val="18"/>
              </w:rPr>
            </w:pPr>
            <w:r w:rsidRPr="006D688A">
              <w:rPr>
                <w:rFonts w:cs="Arial"/>
                <w:sz w:val="18"/>
                <w:szCs w:val="18"/>
              </w:rPr>
              <w:t>Surplus/(Deficit) for the period</w:t>
            </w:r>
          </w:p>
        </w:tc>
        <w:tc>
          <w:tcPr>
            <w:tcW w:w="1007" w:type="dxa"/>
            <w:tcBorders>
              <w:top w:val="nil"/>
              <w:left w:val="nil"/>
              <w:bottom w:val="nil"/>
              <w:right w:val="nil"/>
            </w:tcBorders>
            <w:shd w:val="clear" w:color="FFFFFF" w:fill="FFFFFF"/>
            <w:noWrap/>
            <w:hideMark/>
          </w:tcPr>
          <w:p w14:paraId="174B5DEF"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1,002,584</w:t>
            </w:r>
          </w:p>
        </w:tc>
        <w:tc>
          <w:tcPr>
            <w:tcW w:w="1069" w:type="dxa"/>
            <w:tcBorders>
              <w:top w:val="nil"/>
              <w:left w:val="nil"/>
              <w:bottom w:val="nil"/>
              <w:right w:val="nil"/>
            </w:tcBorders>
            <w:shd w:val="clear" w:color="FFFFFF" w:fill="FFFFFF"/>
            <w:noWrap/>
            <w:hideMark/>
          </w:tcPr>
          <w:p w14:paraId="415F6846" w14:textId="77777777" w:rsidR="00520333" w:rsidRPr="006D688A" w:rsidRDefault="00520333" w:rsidP="005E5E0C">
            <w:pPr>
              <w:spacing w:after="0" w:line="240" w:lineRule="auto"/>
              <w:jc w:val="right"/>
              <w:rPr>
                <w:rFonts w:cs="Arial"/>
                <w:sz w:val="18"/>
                <w:szCs w:val="18"/>
              </w:rPr>
            </w:pPr>
            <w:r w:rsidRPr="006D688A">
              <w:rPr>
                <w:rFonts w:cs="Arial"/>
                <w:sz w:val="18"/>
                <w:szCs w:val="18"/>
              </w:rPr>
              <w:t>14,889</w:t>
            </w:r>
          </w:p>
        </w:tc>
        <w:tc>
          <w:tcPr>
            <w:tcW w:w="1006" w:type="dxa"/>
            <w:tcBorders>
              <w:top w:val="nil"/>
              <w:left w:val="nil"/>
              <w:bottom w:val="nil"/>
              <w:right w:val="nil"/>
            </w:tcBorders>
            <w:shd w:val="clear" w:color="FFFFFF" w:fill="FFFFFF"/>
            <w:noWrap/>
            <w:hideMark/>
          </w:tcPr>
          <w:p w14:paraId="04302617" w14:textId="77777777" w:rsidR="00520333" w:rsidRPr="006D688A" w:rsidRDefault="00520333" w:rsidP="005E5E0C">
            <w:pPr>
              <w:spacing w:after="0" w:line="240" w:lineRule="auto"/>
              <w:jc w:val="right"/>
              <w:rPr>
                <w:rFonts w:cs="Arial"/>
                <w:sz w:val="18"/>
                <w:szCs w:val="18"/>
              </w:rPr>
            </w:pPr>
            <w:r w:rsidRPr="006D688A">
              <w:rPr>
                <w:rFonts w:cs="Arial"/>
                <w:sz w:val="18"/>
                <w:szCs w:val="18"/>
              </w:rPr>
              <w:t>167,110</w:t>
            </w:r>
          </w:p>
        </w:tc>
        <w:tc>
          <w:tcPr>
            <w:tcW w:w="1002" w:type="dxa"/>
            <w:tcBorders>
              <w:top w:val="nil"/>
              <w:left w:val="nil"/>
              <w:bottom w:val="nil"/>
              <w:right w:val="nil"/>
            </w:tcBorders>
            <w:shd w:val="clear" w:color="FFFFFF" w:fill="FFFFFF"/>
            <w:noWrap/>
            <w:hideMark/>
          </w:tcPr>
          <w:p w14:paraId="4631FFF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xml:space="preserve"> -</w:t>
            </w:r>
          </w:p>
        </w:tc>
        <w:tc>
          <w:tcPr>
            <w:tcW w:w="986" w:type="dxa"/>
            <w:tcBorders>
              <w:top w:val="nil"/>
              <w:left w:val="nil"/>
              <w:bottom w:val="nil"/>
              <w:right w:val="nil"/>
            </w:tcBorders>
            <w:shd w:val="clear" w:color="FFFFFF" w:fill="FFFFFF"/>
            <w:noWrap/>
            <w:hideMark/>
          </w:tcPr>
          <w:p w14:paraId="0735AF1B"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8" w:type="dxa"/>
            <w:tcBorders>
              <w:top w:val="nil"/>
              <w:left w:val="nil"/>
              <w:bottom w:val="nil"/>
              <w:right w:val="nil"/>
            </w:tcBorders>
            <w:shd w:val="clear" w:color="FFFFFF" w:fill="FFFFFF"/>
            <w:noWrap/>
            <w:hideMark/>
          </w:tcPr>
          <w:p w14:paraId="318B4267"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6" w:type="dxa"/>
            <w:tcBorders>
              <w:top w:val="nil"/>
              <w:left w:val="nil"/>
              <w:bottom w:val="nil"/>
              <w:right w:val="nil"/>
            </w:tcBorders>
            <w:shd w:val="clear" w:color="FFFFFF" w:fill="FFFFFF"/>
            <w:noWrap/>
            <w:hideMark/>
          </w:tcPr>
          <w:p w14:paraId="467F279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w:t>
            </w:r>
          </w:p>
        </w:tc>
        <w:tc>
          <w:tcPr>
            <w:tcW w:w="984" w:type="dxa"/>
            <w:tcBorders>
              <w:top w:val="nil"/>
              <w:left w:val="nil"/>
              <w:bottom w:val="nil"/>
              <w:right w:val="nil"/>
            </w:tcBorders>
            <w:shd w:val="clear" w:color="FFFFFF" w:fill="FFFFFF"/>
            <w:noWrap/>
            <w:hideMark/>
          </w:tcPr>
          <w:p w14:paraId="171F5C5F"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4" w:type="dxa"/>
            <w:tcBorders>
              <w:top w:val="nil"/>
              <w:left w:val="nil"/>
              <w:bottom w:val="nil"/>
              <w:right w:val="nil"/>
            </w:tcBorders>
            <w:shd w:val="clear" w:color="FFFFFF" w:fill="FFFFFF"/>
            <w:noWrap/>
            <w:hideMark/>
          </w:tcPr>
          <w:p w14:paraId="2927740B"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4" w:type="dxa"/>
            <w:tcBorders>
              <w:top w:val="nil"/>
              <w:left w:val="nil"/>
              <w:bottom w:val="nil"/>
              <w:right w:val="nil"/>
            </w:tcBorders>
            <w:shd w:val="clear" w:color="FFFFFF" w:fill="FFFFFF"/>
            <w:noWrap/>
            <w:hideMark/>
          </w:tcPr>
          <w:p w14:paraId="699B8111"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1,002,584</w:t>
            </w:r>
          </w:p>
        </w:tc>
        <w:tc>
          <w:tcPr>
            <w:tcW w:w="1061" w:type="dxa"/>
            <w:tcBorders>
              <w:top w:val="nil"/>
              <w:left w:val="nil"/>
              <w:bottom w:val="nil"/>
              <w:right w:val="nil"/>
            </w:tcBorders>
            <w:shd w:val="clear" w:color="FFFFFF" w:fill="FFFFFF"/>
            <w:noWrap/>
            <w:hideMark/>
          </w:tcPr>
          <w:p w14:paraId="0DB3566D" w14:textId="77777777" w:rsidR="00520333" w:rsidRPr="006D688A" w:rsidRDefault="00520333" w:rsidP="005E5E0C">
            <w:pPr>
              <w:spacing w:after="0" w:line="240" w:lineRule="auto"/>
              <w:jc w:val="right"/>
              <w:rPr>
                <w:rFonts w:cs="Arial"/>
                <w:sz w:val="18"/>
                <w:szCs w:val="18"/>
              </w:rPr>
            </w:pPr>
            <w:r w:rsidRPr="006D688A">
              <w:rPr>
                <w:rFonts w:cs="Arial"/>
                <w:sz w:val="18"/>
                <w:szCs w:val="18"/>
              </w:rPr>
              <w:t>14,889</w:t>
            </w:r>
          </w:p>
        </w:tc>
        <w:tc>
          <w:tcPr>
            <w:tcW w:w="984" w:type="dxa"/>
            <w:tcBorders>
              <w:top w:val="nil"/>
              <w:left w:val="nil"/>
              <w:bottom w:val="nil"/>
              <w:right w:val="nil"/>
            </w:tcBorders>
            <w:shd w:val="clear" w:color="FFFFFF" w:fill="FFFFFF"/>
            <w:noWrap/>
            <w:hideMark/>
          </w:tcPr>
          <w:p w14:paraId="340740A1" w14:textId="77777777" w:rsidR="00520333" w:rsidRPr="006D688A" w:rsidRDefault="00520333" w:rsidP="005E5E0C">
            <w:pPr>
              <w:spacing w:after="0" w:line="240" w:lineRule="auto"/>
              <w:jc w:val="right"/>
              <w:rPr>
                <w:rFonts w:cs="Arial"/>
                <w:sz w:val="18"/>
                <w:szCs w:val="18"/>
              </w:rPr>
            </w:pPr>
            <w:r w:rsidRPr="006D688A">
              <w:rPr>
                <w:rFonts w:cs="Arial"/>
                <w:sz w:val="18"/>
                <w:szCs w:val="18"/>
              </w:rPr>
              <w:t>167,110</w:t>
            </w:r>
          </w:p>
        </w:tc>
      </w:tr>
      <w:tr w:rsidR="00520333" w:rsidRPr="006D688A" w14:paraId="2641AD34" w14:textId="77777777" w:rsidTr="005E5E0C">
        <w:trPr>
          <w:trHeight w:val="238"/>
        </w:trPr>
        <w:tc>
          <w:tcPr>
            <w:tcW w:w="2642" w:type="dxa"/>
            <w:tcBorders>
              <w:top w:val="nil"/>
              <w:left w:val="nil"/>
              <w:bottom w:val="nil"/>
              <w:right w:val="nil"/>
            </w:tcBorders>
            <w:shd w:val="clear" w:color="FFFFFF" w:fill="FFFFFF"/>
            <w:hideMark/>
          </w:tcPr>
          <w:p w14:paraId="6989CF31" w14:textId="77777777" w:rsidR="00520333" w:rsidRPr="006D688A" w:rsidRDefault="00520333" w:rsidP="005E5E0C">
            <w:pPr>
              <w:spacing w:after="0" w:line="240" w:lineRule="auto"/>
              <w:rPr>
                <w:rFonts w:cs="Arial"/>
                <w:sz w:val="18"/>
                <w:szCs w:val="18"/>
              </w:rPr>
            </w:pPr>
            <w:r w:rsidRPr="006D688A">
              <w:rPr>
                <w:rFonts w:cs="Arial"/>
                <w:sz w:val="18"/>
                <w:szCs w:val="18"/>
              </w:rPr>
              <w:t>Other comprehensive income</w:t>
            </w:r>
          </w:p>
        </w:tc>
        <w:tc>
          <w:tcPr>
            <w:tcW w:w="1007" w:type="dxa"/>
            <w:tcBorders>
              <w:top w:val="nil"/>
              <w:left w:val="nil"/>
              <w:bottom w:val="nil"/>
              <w:right w:val="nil"/>
            </w:tcBorders>
            <w:shd w:val="clear" w:color="FFFFFF" w:fill="FFFFFF"/>
            <w:noWrap/>
            <w:hideMark/>
          </w:tcPr>
          <w:p w14:paraId="66DE858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xml:space="preserve"> -</w:t>
            </w:r>
          </w:p>
        </w:tc>
        <w:tc>
          <w:tcPr>
            <w:tcW w:w="1069" w:type="dxa"/>
            <w:tcBorders>
              <w:top w:val="nil"/>
              <w:left w:val="nil"/>
              <w:bottom w:val="nil"/>
              <w:right w:val="nil"/>
            </w:tcBorders>
            <w:shd w:val="clear" w:color="FFFFFF" w:fill="FFFFFF"/>
            <w:noWrap/>
            <w:hideMark/>
          </w:tcPr>
          <w:p w14:paraId="01B5A07B"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1006" w:type="dxa"/>
            <w:tcBorders>
              <w:top w:val="nil"/>
              <w:left w:val="nil"/>
              <w:bottom w:val="nil"/>
              <w:right w:val="nil"/>
            </w:tcBorders>
            <w:shd w:val="clear" w:color="FFFFFF" w:fill="FFFFFF"/>
            <w:noWrap/>
            <w:hideMark/>
          </w:tcPr>
          <w:p w14:paraId="2FDA3BA4"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1002" w:type="dxa"/>
            <w:tcBorders>
              <w:top w:val="nil"/>
              <w:left w:val="nil"/>
              <w:bottom w:val="nil"/>
              <w:right w:val="nil"/>
            </w:tcBorders>
            <w:shd w:val="clear" w:color="FFFFFF" w:fill="FFFFFF"/>
            <w:noWrap/>
            <w:hideMark/>
          </w:tcPr>
          <w:p w14:paraId="622EDBD1"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8,552</w:t>
            </w:r>
          </w:p>
        </w:tc>
        <w:tc>
          <w:tcPr>
            <w:tcW w:w="986" w:type="dxa"/>
            <w:tcBorders>
              <w:top w:val="nil"/>
              <w:left w:val="nil"/>
              <w:bottom w:val="nil"/>
              <w:right w:val="nil"/>
            </w:tcBorders>
            <w:shd w:val="clear" w:color="FFFFFF" w:fill="FFFFFF"/>
            <w:noWrap/>
            <w:hideMark/>
          </w:tcPr>
          <w:p w14:paraId="3AB3DE95" w14:textId="77777777" w:rsidR="00520333" w:rsidRPr="006D688A" w:rsidRDefault="00520333" w:rsidP="005E5E0C">
            <w:pPr>
              <w:spacing w:after="0" w:line="240" w:lineRule="auto"/>
              <w:jc w:val="right"/>
              <w:rPr>
                <w:rFonts w:cs="Arial"/>
                <w:sz w:val="18"/>
                <w:szCs w:val="18"/>
              </w:rPr>
            </w:pPr>
            <w:r w:rsidRPr="006D688A">
              <w:rPr>
                <w:rFonts w:cs="Arial"/>
                <w:sz w:val="18"/>
                <w:szCs w:val="18"/>
              </w:rPr>
              <w:t>17,285</w:t>
            </w:r>
          </w:p>
        </w:tc>
        <w:tc>
          <w:tcPr>
            <w:tcW w:w="988" w:type="dxa"/>
            <w:tcBorders>
              <w:top w:val="nil"/>
              <w:left w:val="nil"/>
              <w:bottom w:val="nil"/>
              <w:right w:val="nil"/>
            </w:tcBorders>
            <w:shd w:val="clear" w:color="FFFFFF" w:fill="FFFFFF"/>
            <w:noWrap/>
            <w:hideMark/>
          </w:tcPr>
          <w:p w14:paraId="216EC50F"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6" w:type="dxa"/>
            <w:tcBorders>
              <w:top w:val="nil"/>
              <w:left w:val="nil"/>
              <w:bottom w:val="nil"/>
              <w:right w:val="nil"/>
            </w:tcBorders>
            <w:shd w:val="clear" w:color="FFFFFF" w:fill="FFFFFF"/>
            <w:noWrap/>
            <w:hideMark/>
          </w:tcPr>
          <w:p w14:paraId="318A9C81"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w:t>
            </w:r>
          </w:p>
        </w:tc>
        <w:tc>
          <w:tcPr>
            <w:tcW w:w="984" w:type="dxa"/>
            <w:tcBorders>
              <w:top w:val="nil"/>
              <w:left w:val="nil"/>
              <w:bottom w:val="nil"/>
              <w:right w:val="nil"/>
            </w:tcBorders>
            <w:shd w:val="clear" w:color="FFFFFF" w:fill="FFFFFF"/>
            <w:noWrap/>
            <w:hideMark/>
          </w:tcPr>
          <w:p w14:paraId="2DA2C25A"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4" w:type="dxa"/>
            <w:tcBorders>
              <w:top w:val="nil"/>
              <w:left w:val="nil"/>
              <w:bottom w:val="nil"/>
              <w:right w:val="nil"/>
            </w:tcBorders>
            <w:shd w:val="clear" w:color="FFFFFF" w:fill="FFFFFF"/>
            <w:noWrap/>
            <w:hideMark/>
          </w:tcPr>
          <w:p w14:paraId="5806C718" w14:textId="77777777" w:rsidR="00520333" w:rsidRPr="006D688A" w:rsidRDefault="00520333" w:rsidP="005E5E0C">
            <w:pPr>
              <w:spacing w:after="0" w:line="240" w:lineRule="auto"/>
              <w:jc w:val="right"/>
              <w:rPr>
                <w:rFonts w:cs="Arial"/>
                <w:sz w:val="18"/>
                <w:szCs w:val="18"/>
              </w:rPr>
            </w:pPr>
            <w:r w:rsidRPr="006D688A">
              <w:rPr>
                <w:rFonts w:cs="Arial"/>
                <w:sz w:val="18"/>
                <w:szCs w:val="18"/>
              </w:rPr>
              <w:t xml:space="preserve"> -</w:t>
            </w:r>
          </w:p>
        </w:tc>
        <w:tc>
          <w:tcPr>
            <w:tcW w:w="984" w:type="dxa"/>
            <w:tcBorders>
              <w:top w:val="nil"/>
              <w:left w:val="nil"/>
              <w:bottom w:val="nil"/>
              <w:right w:val="nil"/>
            </w:tcBorders>
            <w:shd w:val="clear" w:color="FFFFFF" w:fill="FFFFFF"/>
            <w:noWrap/>
            <w:hideMark/>
          </w:tcPr>
          <w:p w14:paraId="1710B9BD"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8,552</w:t>
            </w:r>
          </w:p>
        </w:tc>
        <w:tc>
          <w:tcPr>
            <w:tcW w:w="1061" w:type="dxa"/>
            <w:tcBorders>
              <w:top w:val="nil"/>
              <w:left w:val="nil"/>
              <w:bottom w:val="nil"/>
              <w:right w:val="nil"/>
            </w:tcBorders>
            <w:shd w:val="clear" w:color="FFFFFF" w:fill="FFFFFF"/>
            <w:noWrap/>
            <w:hideMark/>
          </w:tcPr>
          <w:p w14:paraId="77B24F37" w14:textId="77777777" w:rsidR="00520333" w:rsidRPr="006D688A" w:rsidRDefault="00520333" w:rsidP="005E5E0C">
            <w:pPr>
              <w:spacing w:after="0" w:line="240" w:lineRule="auto"/>
              <w:jc w:val="right"/>
              <w:rPr>
                <w:rFonts w:cs="Arial"/>
                <w:sz w:val="18"/>
                <w:szCs w:val="18"/>
              </w:rPr>
            </w:pPr>
            <w:r w:rsidRPr="006D688A">
              <w:rPr>
                <w:rFonts w:cs="Arial"/>
                <w:sz w:val="18"/>
                <w:szCs w:val="18"/>
              </w:rPr>
              <w:t>17,285</w:t>
            </w:r>
          </w:p>
        </w:tc>
        <w:tc>
          <w:tcPr>
            <w:tcW w:w="984" w:type="dxa"/>
            <w:tcBorders>
              <w:top w:val="nil"/>
              <w:left w:val="nil"/>
              <w:bottom w:val="nil"/>
              <w:right w:val="nil"/>
            </w:tcBorders>
            <w:shd w:val="clear" w:color="FFFFFF" w:fill="FFFFFF"/>
            <w:noWrap/>
            <w:hideMark/>
          </w:tcPr>
          <w:p w14:paraId="0E95DCBB" w14:textId="77777777" w:rsidR="00520333" w:rsidRPr="006D688A" w:rsidRDefault="00520333" w:rsidP="005E5E0C">
            <w:pPr>
              <w:spacing w:after="0" w:line="240" w:lineRule="auto"/>
              <w:jc w:val="right"/>
              <w:rPr>
                <w:rFonts w:cs="Arial"/>
                <w:sz w:val="18"/>
                <w:szCs w:val="18"/>
              </w:rPr>
            </w:pPr>
            <w:r w:rsidRPr="006D688A">
              <w:rPr>
                <w:rFonts w:cs="Arial"/>
                <w:sz w:val="18"/>
                <w:szCs w:val="18"/>
              </w:rPr>
              <w:t>-</w:t>
            </w:r>
          </w:p>
        </w:tc>
      </w:tr>
      <w:tr w:rsidR="00520333" w:rsidRPr="006D688A" w14:paraId="0FD96B2E" w14:textId="77777777" w:rsidTr="005E5E0C">
        <w:trPr>
          <w:trHeight w:val="238"/>
        </w:trPr>
        <w:tc>
          <w:tcPr>
            <w:tcW w:w="2642" w:type="dxa"/>
            <w:tcBorders>
              <w:top w:val="single" w:sz="4" w:space="0" w:color="auto"/>
              <w:left w:val="nil"/>
              <w:bottom w:val="single" w:sz="4" w:space="0" w:color="auto"/>
              <w:right w:val="nil"/>
            </w:tcBorders>
            <w:shd w:val="clear" w:color="FFFFFF" w:fill="FFFFFF"/>
            <w:hideMark/>
          </w:tcPr>
          <w:p w14:paraId="409E715E" w14:textId="77777777" w:rsidR="00520333" w:rsidRPr="006D688A" w:rsidRDefault="00520333" w:rsidP="005E5E0C">
            <w:pPr>
              <w:spacing w:after="0" w:line="240" w:lineRule="auto"/>
              <w:rPr>
                <w:rFonts w:cs="Arial"/>
                <w:b/>
                <w:bCs/>
                <w:sz w:val="18"/>
                <w:szCs w:val="18"/>
              </w:rPr>
            </w:pPr>
            <w:r w:rsidRPr="006D688A">
              <w:rPr>
                <w:rFonts w:cs="Arial"/>
                <w:b/>
                <w:bCs/>
                <w:sz w:val="18"/>
                <w:szCs w:val="18"/>
              </w:rPr>
              <w:t>Total comprehensive income/(loss)</w:t>
            </w:r>
          </w:p>
        </w:tc>
        <w:tc>
          <w:tcPr>
            <w:tcW w:w="1007" w:type="dxa"/>
            <w:tcBorders>
              <w:top w:val="single" w:sz="4" w:space="0" w:color="auto"/>
              <w:left w:val="nil"/>
              <w:bottom w:val="single" w:sz="4" w:space="0" w:color="auto"/>
              <w:right w:val="nil"/>
            </w:tcBorders>
            <w:shd w:val="clear" w:color="FFFFFF" w:fill="FFFFFF"/>
            <w:noWrap/>
            <w:hideMark/>
          </w:tcPr>
          <w:p w14:paraId="196FF5F2"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1,002,584</w:t>
            </w:r>
          </w:p>
        </w:tc>
        <w:tc>
          <w:tcPr>
            <w:tcW w:w="1069" w:type="dxa"/>
            <w:tcBorders>
              <w:top w:val="single" w:sz="4" w:space="0" w:color="auto"/>
              <w:left w:val="nil"/>
              <w:bottom w:val="single" w:sz="4" w:space="0" w:color="auto"/>
              <w:right w:val="nil"/>
            </w:tcBorders>
            <w:shd w:val="clear" w:color="FFFFFF" w:fill="FFFFFF"/>
            <w:noWrap/>
            <w:hideMark/>
          </w:tcPr>
          <w:p w14:paraId="773B13BC" w14:textId="77777777" w:rsidR="00520333" w:rsidRPr="006D688A" w:rsidRDefault="00520333" w:rsidP="005E5E0C">
            <w:pPr>
              <w:spacing w:after="0" w:line="240" w:lineRule="auto"/>
              <w:jc w:val="right"/>
              <w:rPr>
                <w:rFonts w:cs="Arial"/>
                <w:sz w:val="18"/>
                <w:szCs w:val="18"/>
              </w:rPr>
            </w:pPr>
            <w:r w:rsidRPr="006D688A">
              <w:rPr>
                <w:rFonts w:cs="Arial"/>
                <w:sz w:val="18"/>
                <w:szCs w:val="18"/>
              </w:rPr>
              <w:t>14,889</w:t>
            </w:r>
          </w:p>
        </w:tc>
        <w:tc>
          <w:tcPr>
            <w:tcW w:w="1006" w:type="dxa"/>
            <w:tcBorders>
              <w:top w:val="single" w:sz="4" w:space="0" w:color="auto"/>
              <w:left w:val="nil"/>
              <w:bottom w:val="single" w:sz="4" w:space="0" w:color="auto"/>
              <w:right w:val="nil"/>
            </w:tcBorders>
            <w:shd w:val="clear" w:color="FFFFFF" w:fill="FFFFFF"/>
            <w:noWrap/>
            <w:hideMark/>
          </w:tcPr>
          <w:p w14:paraId="307116CC" w14:textId="77777777" w:rsidR="00520333" w:rsidRPr="006D688A" w:rsidRDefault="00520333" w:rsidP="005E5E0C">
            <w:pPr>
              <w:spacing w:after="0" w:line="240" w:lineRule="auto"/>
              <w:jc w:val="right"/>
              <w:rPr>
                <w:rFonts w:cs="Arial"/>
                <w:sz w:val="18"/>
                <w:szCs w:val="18"/>
              </w:rPr>
            </w:pPr>
            <w:r w:rsidRPr="006D688A">
              <w:rPr>
                <w:rFonts w:cs="Arial"/>
                <w:sz w:val="18"/>
                <w:szCs w:val="18"/>
              </w:rPr>
              <w:t>167,110</w:t>
            </w:r>
          </w:p>
        </w:tc>
        <w:tc>
          <w:tcPr>
            <w:tcW w:w="1002" w:type="dxa"/>
            <w:tcBorders>
              <w:top w:val="single" w:sz="4" w:space="0" w:color="auto"/>
              <w:left w:val="nil"/>
              <w:bottom w:val="single" w:sz="4" w:space="0" w:color="auto"/>
              <w:right w:val="nil"/>
            </w:tcBorders>
            <w:shd w:val="clear" w:color="FFFFFF" w:fill="FFFFFF"/>
            <w:noWrap/>
            <w:hideMark/>
          </w:tcPr>
          <w:p w14:paraId="7D84618E"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8,552</w:t>
            </w:r>
          </w:p>
        </w:tc>
        <w:tc>
          <w:tcPr>
            <w:tcW w:w="986" w:type="dxa"/>
            <w:tcBorders>
              <w:top w:val="single" w:sz="4" w:space="0" w:color="auto"/>
              <w:left w:val="nil"/>
              <w:bottom w:val="single" w:sz="4" w:space="0" w:color="auto"/>
              <w:right w:val="nil"/>
            </w:tcBorders>
            <w:shd w:val="clear" w:color="FFFFFF" w:fill="FFFFFF"/>
            <w:noWrap/>
            <w:hideMark/>
          </w:tcPr>
          <w:p w14:paraId="5A9F6F6F" w14:textId="77777777" w:rsidR="00520333" w:rsidRPr="006D688A" w:rsidRDefault="00520333" w:rsidP="005E5E0C">
            <w:pPr>
              <w:spacing w:after="0" w:line="240" w:lineRule="auto"/>
              <w:jc w:val="right"/>
              <w:rPr>
                <w:rFonts w:cs="Arial"/>
                <w:sz w:val="18"/>
                <w:szCs w:val="18"/>
              </w:rPr>
            </w:pPr>
            <w:r w:rsidRPr="006D688A">
              <w:rPr>
                <w:rFonts w:cs="Arial"/>
                <w:sz w:val="18"/>
                <w:szCs w:val="18"/>
              </w:rPr>
              <w:t>17,285</w:t>
            </w:r>
          </w:p>
        </w:tc>
        <w:tc>
          <w:tcPr>
            <w:tcW w:w="988" w:type="dxa"/>
            <w:tcBorders>
              <w:top w:val="single" w:sz="4" w:space="0" w:color="auto"/>
              <w:left w:val="nil"/>
              <w:bottom w:val="single" w:sz="4" w:space="0" w:color="auto"/>
              <w:right w:val="nil"/>
            </w:tcBorders>
            <w:shd w:val="clear" w:color="FFFFFF" w:fill="FFFFFF"/>
            <w:noWrap/>
            <w:hideMark/>
          </w:tcPr>
          <w:p w14:paraId="3182D010" w14:textId="77777777" w:rsidR="00520333" w:rsidRPr="006D688A" w:rsidRDefault="00520333" w:rsidP="005E5E0C">
            <w:pPr>
              <w:spacing w:after="0" w:line="240" w:lineRule="auto"/>
              <w:jc w:val="right"/>
              <w:rPr>
                <w:rFonts w:cs="Arial"/>
                <w:sz w:val="18"/>
                <w:szCs w:val="18"/>
              </w:rPr>
            </w:pPr>
            <w:r w:rsidRPr="006D688A">
              <w:rPr>
                <w:rFonts w:cs="Arial"/>
                <w:sz w:val="18"/>
                <w:szCs w:val="18"/>
              </w:rPr>
              <w:t>-</w:t>
            </w:r>
          </w:p>
        </w:tc>
        <w:tc>
          <w:tcPr>
            <w:tcW w:w="986" w:type="dxa"/>
            <w:tcBorders>
              <w:top w:val="single" w:sz="4" w:space="0" w:color="auto"/>
              <w:left w:val="nil"/>
              <w:bottom w:val="single" w:sz="4" w:space="0" w:color="auto"/>
              <w:right w:val="nil"/>
            </w:tcBorders>
            <w:shd w:val="clear" w:color="FFFFFF" w:fill="FFFFFF"/>
            <w:noWrap/>
            <w:hideMark/>
          </w:tcPr>
          <w:p w14:paraId="0274CE62"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w:t>
            </w:r>
          </w:p>
        </w:tc>
        <w:tc>
          <w:tcPr>
            <w:tcW w:w="984" w:type="dxa"/>
            <w:tcBorders>
              <w:top w:val="single" w:sz="4" w:space="0" w:color="auto"/>
              <w:left w:val="nil"/>
              <w:bottom w:val="single" w:sz="4" w:space="0" w:color="auto"/>
              <w:right w:val="nil"/>
            </w:tcBorders>
            <w:shd w:val="clear" w:color="FFFFFF" w:fill="FFFFFF"/>
            <w:noWrap/>
            <w:hideMark/>
          </w:tcPr>
          <w:p w14:paraId="561E2D8A" w14:textId="77777777" w:rsidR="00520333" w:rsidRPr="006D688A" w:rsidRDefault="00520333" w:rsidP="005E5E0C">
            <w:pPr>
              <w:spacing w:after="0" w:line="240" w:lineRule="auto"/>
              <w:jc w:val="right"/>
              <w:rPr>
                <w:rFonts w:cs="Arial"/>
                <w:sz w:val="18"/>
                <w:szCs w:val="18"/>
              </w:rPr>
            </w:pPr>
            <w:r w:rsidRPr="006D688A">
              <w:rPr>
                <w:rFonts w:cs="Arial"/>
                <w:sz w:val="18"/>
                <w:szCs w:val="18"/>
              </w:rPr>
              <w:t>-</w:t>
            </w:r>
          </w:p>
        </w:tc>
        <w:tc>
          <w:tcPr>
            <w:tcW w:w="984" w:type="dxa"/>
            <w:tcBorders>
              <w:top w:val="single" w:sz="4" w:space="0" w:color="auto"/>
              <w:left w:val="nil"/>
              <w:bottom w:val="single" w:sz="4" w:space="0" w:color="auto"/>
              <w:right w:val="nil"/>
            </w:tcBorders>
            <w:shd w:val="clear" w:color="FFFFFF" w:fill="FFFFFF"/>
            <w:noWrap/>
            <w:hideMark/>
          </w:tcPr>
          <w:p w14:paraId="5EC5D9DB" w14:textId="77777777" w:rsidR="00520333" w:rsidRPr="006D688A" w:rsidRDefault="00520333" w:rsidP="005E5E0C">
            <w:pPr>
              <w:spacing w:after="0" w:line="240" w:lineRule="auto"/>
              <w:jc w:val="right"/>
              <w:rPr>
                <w:rFonts w:cs="Arial"/>
                <w:sz w:val="18"/>
                <w:szCs w:val="18"/>
              </w:rPr>
            </w:pPr>
            <w:r w:rsidRPr="006D688A">
              <w:rPr>
                <w:rFonts w:cs="Arial"/>
                <w:sz w:val="18"/>
                <w:szCs w:val="18"/>
              </w:rPr>
              <w:t>-</w:t>
            </w:r>
          </w:p>
        </w:tc>
        <w:tc>
          <w:tcPr>
            <w:tcW w:w="984" w:type="dxa"/>
            <w:tcBorders>
              <w:top w:val="single" w:sz="4" w:space="0" w:color="auto"/>
              <w:left w:val="nil"/>
              <w:bottom w:val="single" w:sz="4" w:space="0" w:color="auto"/>
              <w:right w:val="nil"/>
            </w:tcBorders>
            <w:shd w:val="clear" w:color="FFFFFF" w:fill="FFFFFF"/>
            <w:noWrap/>
            <w:hideMark/>
          </w:tcPr>
          <w:p w14:paraId="6743856A"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1,011,136</w:t>
            </w:r>
          </w:p>
        </w:tc>
        <w:tc>
          <w:tcPr>
            <w:tcW w:w="1061" w:type="dxa"/>
            <w:tcBorders>
              <w:top w:val="single" w:sz="4" w:space="0" w:color="auto"/>
              <w:left w:val="nil"/>
              <w:bottom w:val="single" w:sz="4" w:space="0" w:color="auto"/>
              <w:right w:val="nil"/>
            </w:tcBorders>
            <w:shd w:val="clear" w:color="FFFFFF" w:fill="FFFFFF"/>
            <w:noWrap/>
            <w:hideMark/>
          </w:tcPr>
          <w:p w14:paraId="24623210" w14:textId="77777777" w:rsidR="00520333" w:rsidRPr="006D688A" w:rsidRDefault="00520333" w:rsidP="005E5E0C">
            <w:pPr>
              <w:spacing w:after="0" w:line="240" w:lineRule="auto"/>
              <w:jc w:val="right"/>
              <w:rPr>
                <w:rFonts w:cs="Arial"/>
                <w:sz w:val="18"/>
                <w:szCs w:val="18"/>
              </w:rPr>
            </w:pPr>
            <w:r w:rsidRPr="006D688A">
              <w:rPr>
                <w:rFonts w:cs="Arial"/>
                <w:sz w:val="18"/>
                <w:szCs w:val="18"/>
              </w:rPr>
              <w:t>32,174</w:t>
            </w:r>
          </w:p>
        </w:tc>
        <w:tc>
          <w:tcPr>
            <w:tcW w:w="984" w:type="dxa"/>
            <w:tcBorders>
              <w:top w:val="single" w:sz="4" w:space="0" w:color="auto"/>
              <w:left w:val="nil"/>
              <w:bottom w:val="single" w:sz="4" w:space="0" w:color="auto"/>
              <w:right w:val="nil"/>
            </w:tcBorders>
            <w:shd w:val="clear" w:color="FFFFFF" w:fill="FFFFFF"/>
            <w:noWrap/>
            <w:hideMark/>
          </w:tcPr>
          <w:p w14:paraId="662761A2" w14:textId="77777777" w:rsidR="00520333" w:rsidRPr="006D688A" w:rsidRDefault="00520333" w:rsidP="005E5E0C">
            <w:pPr>
              <w:spacing w:after="0" w:line="240" w:lineRule="auto"/>
              <w:jc w:val="right"/>
              <w:rPr>
                <w:rFonts w:cs="Arial"/>
                <w:sz w:val="18"/>
                <w:szCs w:val="18"/>
              </w:rPr>
            </w:pPr>
            <w:r w:rsidRPr="006D688A">
              <w:rPr>
                <w:rFonts w:cs="Arial"/>
                <w:sz w:val="18"/>
                <w:szCs w:val="18"/>
              </w:rPr>
              <w:t>167,110</w:t>
            </w:r>
          </w:p>
        </w:tc>
      </w:tr>
      <w:tr w:rsidR="00520333" w:rsidRPr="006D688A" w14:paraId="23CECAA1" w14:textId="77777777" w:rsidTr="005E5E0C">
        <w:trPr>
          <w:trHeight w:val="238"/>
        </w:trPr>
        <w:tc>
          <w:tcPr>
            <w:tcW w:w="2642" w:type="dxa"/>
            <w:tcBorders>
              <w:top w:val="nil"/>
              <w:left w:val="nil"/>
              <w:bottom w:val="nil"/>
              <w:right w:val="nil"/>
            </w:tcBorders>
            <w:shd w:val="clear" w:color="FFFFFF" w:fill="FFFFFF"/>
            <w:hideMark/>
          </w:tcPr>
          <w:p w14:paraId="22F189B2"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1007" w:type="dxa"/>
            <w:tcBorders>
              <w:top w:val="nil"/>
              <w:left w:val="nil"/>
              <w:bottom w:val="nil"/>
              <w:right w:val="nil"/>
            </w:tcBorders>
            <w:shd w:val="clear" w:color="FFFFFF" w:fill="FFFFFF"/>
            <w:noWrap/>
            <w:hideMark/>
          </w:tcPr>
          <w:p w14:paraId="273C3E2B"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69" w:type="dxa"/>
            <w:tcBorders>
              <w:top w:val="nil"/>
              <w:left w:val="nil"/>
              <w:bottom w:val="nil"/>
              <w:right w:val="nil"/>
            </w:tcBorders>
            <w:shd w:val="clear" w:color="FFFFFF" w:fill="FFFFFF"/>
            <w:noWrap/>
            <w:hideMark/>
          </w:tcPr>
          <w:p w14:paraId="4D29BC8E"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1006" w:type="dxa"/>
            <w:tcBorders>
              <w:top w:val="nil"/>
              <w:left w:val="nil"/>
              <w:bottom w:val="nil"/>
              <w:right w:val="nil"/>
            </w:tcBorders>
            <w:shd w:val="clear" w:color="FFFFFF" w:fill="FFFFFF"/>
            <w:noWrap/>
            <w:hideMark/>
          </w:tcPr>
          <w:p w14:paraId="5533719F"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1002" w:type="dxa"/>
            <w:tcBorders>
              <w:top w:val="nil"/>
              <w:left w:val="nil"/>
              <w:bottom w:val="nil"/>
              <w:right w:val="nil"/>
            </w:tcBorders>
            <w:shd w:val="clear" w:color="FFFFFF" w:fill="FFFFFF"/>
            <w:noWrap/>
            <w:hideMark/>
          </w:tcPr>
          <w:p w14:paraId="319AB907"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6" w:type="dxa"/>
            <w:tcBorders>
              <w:top w:val="nil"/>
              <w:left w:val="nil"/>
              <w:bottom w:val="nil"/>
              <w:right w:val="nil"/>
            </w:tcBorders>
            <w:shd w:val="clear" w:color="FFFFFF" w:fill="FFFFFF"/>
            <w:noWrap/>
            <w:hideMark/>
          </w:tcPr>
          <w:p w14:paraId="17B91A56"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8" w:type="dxa"/>
            <w:tcBorders>
              <w:top w:val="nil"/>
              <w:left w:val="nil"/>
              <w:bottom w:val="nil"/>
              <w:right w:val="nil"/>
            </w:tcBorders>
            <w:shd w:val="clear" w:color="FFFFFF" w:fill="FFFFFF"/>
            <w:noWrap/>
            <w:hideMark/>
          </w:tcPr>
          <w:p w14:paraId="33341216"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6" w:type="dxa"/>
            <w:tcBorders>
              <w:top w:val="nil"/>
              <w:left w:val="nil"/>
              <w:bottom w:val="nil"/>
              <w:right w:val="nil"/>
            </w:tcBorders>
            <w:shd w:val="clear" w:color="FFFFFF" w:fill="FFFFFF"/>
            <w:noWrap/>
            <w:hideMark/>
          </w:tcPr>
          <w:p w14:paraId="6FA69C59"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noWrap/>
            <w:hideMark/>
          </w:tcPr>
          <w:p w14:paraId="65C8F1AC"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68EC50B0"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4CE05DC8"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61" w:type="dxa"/>
            <w:tcBorders>
              <w:top w:val="nil"/>
              <w:left w:val="nil"/>
              <w:bottom w:val="nil"/>
              <w:right w:val="nil"/>
            </w:tcBorders>
            <w:shd w:val="clear" w:color="FFFFFF" w:fill="FFFFFF"/>
            <w:noWrap/>
            <w:hideMark/>
          </w:tcPr>
          <w:p w14:paraId="567AA66F"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hideMark/>
          </w:tcPr>
          <w:p w14:paraId="3A4FD5ED"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r>
      <w:tr w:rsidR="00520333" w:rsidRPr="006D688A" w14:paraId="647C5190" w14:textId="77777777" w:rsidTr="005E5E0C">
        <w:trPr>
          <w:trHeight w:val="238"/>
        </w:trPr>
        <w:tc>
          <w:tcPr>
            <w:tcW w:w="2642" w:type="dxa"/>
            <w:tcBorders>
              <w:top w:val="nil"/>
              <w:left w:val="nil"/>
              <w:bottom w:val="nil"/>
              <w:right w:val="nil"/>
            </w:tcBorders>
            <w:shd w:val="clear" w:color="FFFFFF" w:fill="FFFFFF"/>
            <w:vAlign w:val="bottom"/>
            <w:hideMark/>
          </w:tcPr>
          <w:p w14:paraId="4F403AAF" w14:textId="77777777" w:rsidR="00520333" w:rsidRPr="006D688A" w:rsidRDefault="00520333" w:rsidP="005E5E0C">
            <w:pPr>
              <w:spacing w:after="0" w:line="240" w:lineRule="auto"/>
              <w:rPr>
                <w:rFonts w:cs="Arial"/>
                <w:b/>
                <w:bCs/>
                <w:sz w:val="18"/>
                <w:szCs w:val="18"/>
              </w:rPr>
            </w:pPr>
            <w:r w:rsidRPr="006D688A">
              <w:rPr>
                <w:rFonts w:cs="Arial"/>
                <w:b/>
                <w:bCs/>
                <w:sz w:val="18"/>
                <w:szCs w:val="18"/>
              </w:rPr>
              <w:t> </w:t>
            </w:r>
          </w:p>
        </w:tc>
        <w:tc>
          <w:tcPr>
            <w:tcW w:w="1007" w:type="dxa"/>
            <w:tcBorders>
              <w:top w:val="nil"/>
              <w:left w:val="nil"/>
              <w:bottom w:val="nil"/>
              <w:right w:val="nil"/>
            </w:tcBorders>
            <w:shd w:val="clear" w:color="FFFFFF" w:fill="FFFFFF"/>
            <w:noWrap/>
            <w:vAlign w:val="bottom"/>
            <w:hideMark/>
          </w:tcPr>
          <w:p w14:paraId="6E182E41"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69" w:type="dxa"/>
            <w:tcBorders>
              <w:top w:val="nil"/>
              <w:left w:val="nil"/>
              <w:bottom w:val="nil"/>
              <w:right w:val="nil"/>
            </w:tcBorders>
            <w:shd w:val="clear" w:color="FFFFFF" w:fill="FFFFFF"/>
            <w:noWrap/>
            <w:vAlign w:val="bottom"/>
            <w:hideMark/>
          </w:tcPr>
          <w:p w14:paraId="30B355EC"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1006" w:type="dxa"/>
            <w:tcBorders>
              <w:top w:val="nil"/>
              <w:left w:val="nil"/>
              <w:bottom w:val="nil"/>
              <w:right w:val="nil"/>
            </w:tcBorders>
            <w:shd w:val="clear" w:color="FFFFFF" w:fill="FFFFFF"/>
            <w:noWrap/>
            <w:vAlign w:val="bottom"/>
            <w:hideMark/>
          </w:tcPr>
          <w:p w14:paraId="6AF3FE32"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1002" w:type="dxa"/>
            <w:tcBorders>
              <w:top w:val="nil"/>
              <w:left w:val="nil"/>
              <w:bottom w:val="nil"/>
              <w:right w:val="nil"/>
            </w:tcBorders>
            <w:shd w:val="clear" w:color="FFFFFF" w:fill="FFFFFF"/>
            <w:noWrap/>
            <w:vAlign w:val="bottom"/>
            <w:hideMark/>
          </w:tcPr>
          <w:p w14:paraId="2D6BBE99"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6" w:type="dxa"/>
            <w:tcBorders>
              <w:top w:val="nil"/>
              <w:left w:val="nil"/>
              <w:bottom w:val="nil"/>
              <w:right w:val="nil"/>
            </w:tcBorders>
            <w:shd w:val="clear" w:color="FFFFFF" w:fill="FFFFFF"/>
            <w:noWrap/>
            <w:vAlign w:val="bottom"/>
            <w:hideMark/>
          </w:tcPr>
          <w:p w14:paraId="197BC5EE"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8" w:type="dxa"/>
            <w:tcBorders>
              <w:top w:val="nil"/>
              <w:left w:val="nil"/>
              <w:bottom w:val="nil"/>
              <w:right w:val="nil"/>
            </w:tcBorders>
            <w:shd w:val="clear" w:color="FFFFFF" w:fill="FFFFFF"/>
            <w:noWrap/>
            <w:vAlign w:val="bottom"/>
            <w:hideMark/>
          </w:tcPr>
          <w:p w14:paraId="3C6506D7"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6" w:type="dxa"/>
            <w:tcBorders>
              <w:top w:val="nil"/>
              <w:left w:val="nil"/>
              <w:bottom w:val="nil"/>
              <w:right w:val="nil"/>
            </w:tcBorders>
            <w:shd w:val="clear" w:color="FFFFFF" w:fill="FFFFFF"/>
            <w:noWrap/>
            <w:vAlign w:val="bottom"/>
            <w:hideMark/>
          </w:tcPr>
          <w:p w14:paraId="0AC4359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984" w:type="dxa"/>
            <w:tcBorders>
              <w:top w:val="nil"/>
              <w:left w:val="nil"/>
              <w:bottom w:val="nil"/>
              <w:right w:val="nil"/>
            </w:tcBorders>
            <w:shd w:val="clear" w:color="FFFFFF" w:fill="FFFFFF"/>
            <w:noWrap/>
            <w:vAlign w:val="bottom"/>
            <w:hideMark/>
          </w:tcPr>
          <w:p w14:paraId="24494A6F"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vAlign w:val="bottom"/>
            <w:hideMark/>
          </w:tcPr>
          <w:p w14:paraId="2AB956F9"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vAlign w:val="bottom"/>
            <w:hideMark/>
          </w:tcPr>
          <w:p w14:paraId="234A4F59"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 </w:t>
            </w:r>
          </w:p>
        </w:tc>
        <w:tc>
          <w:tcPr>
            <w:tcW w:w="1061" w:type="dxa"/>
            <w:tcBorders>
              <w:top w:val="nil"/>
              <w:left w:val="nil"/>
              <w:bottom w:val="nil"/>
              <w:right w:val="nil"/>
            </w:tcBorders>
            <w:shd w:val="clear" w:color="FFFFFF" w:fill="FFFFFF"/>
            <w:noWrap/>
            <w:vAlign w:val="bottom"/>
            <w:hideMark/>
          </w:tcPr>
          <w:p w14:paraId="74D2C858"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c>
          <w:tcPr>
            <w:tcW w:w="984" w:type="dxa"/>
            <w:tcBorders>
              <w:top w:val="nil"/>
              <w:left w:val="nil"/>
              <w:bottom w:val="nil"/>
              <w:right w:val="nil"/>
            </w:tcBorders>
            <w:shd w:val="clear" w:color="FFFFFF" w:fill="FFFFFF"/>
            <w:noWrap/>
            <w:vAlign w:val="bottom"/>
            <w:hideMark/>
          </w:tcPr>
          <w:p w14:paraId="555CCEF4" w14:textId="77777777" w:rsidR="00520333" w:rsidRPr="006D688A" w:rsidRDefault="00520333" w:rsidP="005E5E0C">
            <w:pPr>
              <w:spacing w:after="0" w:line="240" w:lineRule="auto"/>
              <w:jc w:val="right"/>
              <w:rPr>
                <w:rFonts w:cs="Arial"/>
                <w:sz w:val="18"/>
                <w:szCs w:val="18"/>
              </w:rPr>
            </w:pPr>
            <w:r w:rsidRPr="006D688A">
              <w:rPr>
                <w:rFonts w:cs="Arial"/>
                <w:sz w:val="18"/>
                <w:szCs w:val="18"/>
              </w:rPr>
              <w:t> </w:t>
            </w:r>
          </w:p>
        </w:tc>
      </w:tr>
      <w:tr w:rsidR="00520333" w:rsidRPr="006D688A" w14:paraId="712D2FC5" w14:textId="77777777" w:rsidTr="005E5E0C">
        <w:trPr>
          <w:trHeight w:val="238"/>
        </w:trPr>
        <w:tc>
          <w:tcPr>
            <w:tcW w:w="2642" w:type="dxa"/>
            <w:tcBorders>
              <w:top w:val="single" w:sz="4" w:space="0" w:color="auto"/>
              <w:left w:val="nil"/>
              <w:bottom w:val="single" w:sz="4" w:space="0" w:color="auto"/>
              <w:right w:val="nil"/>
            </w:tcBorders>
            <w:shd w:val="clear" w:color="FFFFFF" w:fill="FFFFFF"/>
            <w:vAlign w:val="bottom"/>
            <w:hideMark/>
          </w:tcPr>
          <w:p w14:paraId="1051E2DF" w14:textId="77777777" w:rsidR="00520333" w:rsidRPr="006D688A" w:rsidRDefault="00520333" w:rsidP="005E5E0C">
            <w:pPr>
              <w:spacing w:after="0" w:line="240" w:lineRule="auto"/>
              <w:rPr>
                <w:rFonts w:cs="Arial"/>
                <w:b/>
                <w:bCs/>
                <w:sz w:val="18"/>
                <w:szCs w:val="18"/>
              </w:rPr>
            </w:pPr>
            <w:r w:rsidRPr="006D688A">
              <w:rPr>
                <w:rFonts w:cs="Arial"/>
                <w:b/>
                <w:bCs/>
                <w:sz w:val="18"/>
                <w:szCs w:val="18"/>
              </w:rPr>
              <w:t>Closing balance</w:t>
            </w:r>
          </w:p>
        </w:tc>
        <w:tc>
          <w:tcPr>
            <w:tcW w:w="1007" w:type="dxa"/>
            <w:tcBorders>
              <w:top w:val="single" w:sz="4" w:space="0" w:color="auto"/>
              <w:left w:val="nil"/>
              <w:bottom w:val="single" w:sz="4" w:space="0" w:color="auto"/>
              <w:right w:val="nil"/>
            </w:tcBorders>
            <w:shd w:val="clear" w:color="FFFFFF" w:fill="FFFFFF"/>
            <w:noWrap/>
            <w:vAlign w:val="bottom"/>
            <w:hideMark/>
          </w:tcPr>
          <w:p w14:paraId="30794B85"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2,034,744</w:t>
            </w:r>
          </w:p>
        </w:tc>
        <w:tc>
          <w:tcPr>
            <w:tcW w:w="1069" w:type="dxa"/>
            <w:tcBorders>
              <w:top w:val="single" w:sz="4" w:space="0" w:color="auto"/>
              <w:left w:val="nil"/>
              <w:bottom w:val="single" w:sz="4" w:space="0" w:color="auto"/>
              <w:right w:val="nil"/>
            </w:tcBorders>
            <w:shd w:val="clear" w:color="FFFFFF" w:fill="FFFFFF"/>
            <w:noWrap/>
            <w:vAlign w:val="bottom"/>
            <w:hideMark/>
          </w:tcPr>
          <w:p w14:paraId="3853043C" w14:textId="77777777" w:rsidR="00520333" w:rsidRPr="006D688A" w:rsidRDefault="00520333" w:rsidP="005E5E0C">
            <w:pPr>
              <w:spacing w:after="0" w:line="240" w:lineRule="auto"/>
              <w:jc w:val="right"/>
              <w:rPr>
                <w:rFonts w:cs="Arial"/>
                <w:sz w:val="18"/>
                <w:szCs w:val="18"/>
              </w:rPr>
            </w:pPr>
            <w:r w:rsidRPr="006D688A">
              <w:rPr>
                <w:rFonts w:cs="Arial"/>
                <w:sz w:val="18"/>
                <w:szCs w:val="18"/>
              </w:rPr>
              <w:t>1,032,160</w:t>
            </w:r>
          </w:p>
        </w:tc>
        <w:tc>
          <w:tcPr>
            <w:tcW w:w="1006" w:type="dxa"/>
            <w:tcBorders>
              <w:top w:val="single" w:sz="4" w:space="0" w:color="auto"/>
              <w:left w:val="nil"/>
              <w:bottom w:val="single" w:sz="4" w:space="0" w:color="auto"/>
              <w:right w:val="nil"/>
            </w:tcBorders>
            <w:shd w:val="clear" w:color="FFFFFF" w:fill="FFFFFF"/>
            <w:noWrap/>
            <w:vAlign w:val="bottom"/>
            <w:hideMark/>
          </w:tcPr>
          <w:p w14:paraId="63D6403F" w14:textId="77777777" w:rsidR="00520333" w:rsidRPr="006D688A" w:rsidRDefault="00520333" w:rsidP="005E5E0C">
            <w:pPr>
              <w:spacing w:after="0" w:line="240" w:lineRule="auto"/>
              <w:jc w:val="right"/>
              <w:rPr>
                <w:rFonts w:cs="Arial"/>
                <w:sz w:val="18"/>
                <w:szCs w:val="18"/>
              </w:rPr>
            </w:pPr>
            <w:r w:rsidRPr="006D688A">
              <w:rPr>
                <w:rFonts w:cs="Arial"/>
                <w:sz w:val="18"/>
                <w:szCs w:val="18"/>
              </w:rPr>
              <w:t>1,190,505</w:t>
            </w:r>
          </w:p>
        </w:tc>
        <w:tc>
          <w:tcPr>
            <w:tcW w:w="1002" w:type="dxa"/>
            <w:tcBorders>
              <w:top w:val="single" w:sz="4" w:space="0" w:color="auto"/>
              <w:left w:val="nil"/>
              <w:bottom w:val="single" w:sz="4" w:space="0" w:color="auto"/>
              <w:right w:val="nil"/>
            </w:tcBorders>
            <w:shd w:val="clear" w:color="FFFFFF" w:fill="FFFFFF"/>
            <w:noWrap/>
            <w:vAlign w:val="bottom"/>
            <w:hideMark/>
          </w:tcPr>
          <w:p w14:paraId="2D6B918C"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46,916</w:t>
            </w:r>
          </w:p>
        </w:tc>
        <w:tc>
          <w:tcPr>
            <w:tcW w:w="986" w:type="dxa"/>
            <w:tcBorders>
              <w:top w:val="single" w:sz="4" w:space="0" w:color="auto"/>
              <w:left w:val="nil"/>
              <w:bottom w:val="single" w:sz="4" w:space="0" w:color="auto"/>
              <w:right w:val="nil"/>
            </w:tcBorders>
            <w:shd w:val="clear" w:color="FFFFFF" w:fill="FFFFFF"/>
            <w:noWrap/>
            <w:vAlign w:val="bottom"/>
            <w:hideMark/>
          </w:tcPr>
          <w:p w14:paraId="12BB677A" w14:textId="77777777" w:rsidR="00520333" w:rsidRPr="006D688A" w:rsidRDefault="00520333" w:rsidP="005E5E0C">
            <w:pPr>
              <w:spacing w:after="0" w:line="240" w:lineRule="auto"/>
              <w:jc w:val="right"/>
              <w:rPr>
                <w:rFonts w:cs="Arial"/>
                <w:sz w:val="18"/>
                <w:szCs w:val="18"/>
              </w:rPr>
            </w:pPr>
            <w:r w:rsidRPr="006D688A">
              <w:rPr>
                <w:rFonts w:cs="Arial"/>
                <w:sz w:val="18"/>
                <w:szCs w:val="18"/>
              </w:rPr>
              <w:t>38,364</w:t>
            </w:r>
          </w:p>
        </w:tc>
        <w:tc>
          <w:tcPr>
            <w:tcW w:w="988" w:type="dxa"/>
            <w:tcBorders>
              <w:top w:val="single" w:sz="4" w:space="0" w:color="auto"/>
              <w:left w:val="nil"/>
              <w:bottom w:val="single" w:sz="4" w:space="0" w:color="auto"/>
              <w:right w:val="nil"/>
            </w:tcBorders>
            <w:shd w:val="clear" w:color="FFFFFF" w:fill="FFFFFF"/>
            <w:noWrap/>
            <w:vAlign w:val="bottom"/>
            <w:hideMark/>
          </w:tcPr>
          <w:p w14:paraId="3A7D6EF7" w14:textId="77777777" w:rsidR="00520333" w:rsidRPr="006D688A" w:rsidRDefault="00520333" w:rsidP="005E5E0C">
            <w:pPr>
              <w:spacing w:after="0" w:line="240" w:lineRule="auto"/>
              <w:jc w:val="right"/>
              <w:rPr>
                <w:rFonts w:cs="Arial"/>
                <w:sz w:val="18"/>
                <w:szCs w:val="18"/>
              </w:rPr>
            </w:pPr>
            <w:r w:rsidRPr="006D688A">
              <w:rPr>
                <w:rFonts w:cs="Arial"/>
                <w:sz w:val="18"/>
                <w:szCs w:val="18"/>
              </w:rPr>
              <w:t>21,079</w:t>
            </w:r>
          </w:p>
        </w:tc>
        <w:tc>
          <w:tcPr>
            <w:tcW w:w="986" w:type="dxa"/>
            <w:tcBorders>
              <w:top w:val="single" w:sz="4" w:space="0" w:color="auto"/>
              <w:left w:val="nil"/>
              <w:bottom w:val="single" w:sz="4" w:space="0" w:color="auto"/>
              <w:right w:val="nil"/>
            </w:tcBorders>
            <w:shd w:val="clear" w:color="FFFFFF" w:fill="FFFFFF"/>
            <w:noWrap/>
            <w:vAlign w:val="bottom"/>
            <w:hideMark/>
          </w:tcPr>
          <w:p w14:paraId="7916C3AE"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205,733</w:t>
            </w:r>
          </w:p>
        </w:tc>
        <w:tc>
          <w:tcPr>
            <w:tcW w:w="984" w:type="dxa"/>
            <w:tcBorders>
              <w:top w:val="single" w:sz="4" w:space="0" w:color="auto"/>
              <w:left w:val="nil"/>
              <w:bottom w:val="single" w:sz="4" w:space="0" w:color="auto"/>
              <w:right w:val="nil"/>
            </w:tcBorders>
            <w:shd w:val="clear" w:color="FFFFFF" w:fill="FFFFFF"/>
            <w:noWrap/>
            <w:vAlign w:val="bottom"/>
            <w:hideMark/>
          </w:tcPr>
          <w:p w14:paraId="795DF520" w14:textId="77777777" w:rsidR="00520333" w:rsidRPr="006D688A" w:rsidRDefault="00520333" w:rsidP="005E5E0C">
            <w:pPr>
              <w:spacing w:after="0" w:line="240" w:lineRule="auto"/>
              <w:jc w:val="right"/>
              <w:rPr>
                <w:rFonts w:cs="Arial"/>
                <w:sz w:val="18"/>
                <w:szCs w:val="18"/>
              </w:rPr>
            </w:pPr>
            <w:r w:rsidRPr="006D688A">
              <w:rPr>
                <w:rFonts w:cs="Arial"/>
                <w:sz w:val="18"/>
                <w:szCs w:val="18"/>
              </w:rPr>
              <w:t>205,733</w:t>
            </w:r>
          </w:p>
        </w:tc>
        <w:tc>
          <w:tcPr>
            <w:tcW w:w="984" w:type="dxa"/>
            <w:tcBorders>
              <w:top w:val="single" w:sz="4" w:space="0" w:color="auto"/>
              <w:left w:val="nil"/>
              <w:bottom w:val="single" w:sz="4" w:space="0" w:color="auto"/>
              <w:right w:val="nil"/>
            </w:tcBorders>
            <w:shd w:val="clear" w:color="FFFFFF" w:fill="FFFFFF"/>
            <w:noWrap/>
            <w:vAlign w:val="bottom"/>
            <w:hideMark/>
          </w:tcPr>
          <w:p w14:paraId="2491C3D7" w14:textId="77777777" w:rsidR="00520333" w:rsidRPr="006D688A" w:rsidRDefault="00520333" w:rsidP="005E5E0C">
            <w:pPr>
              <w:spacing w:after="0" w:line="240" w:lineRule="auto"/>
              <w:jc w:val="right"/>
              <w:rPr>
                <w:rFonts w:cs="Arial"/>
                <w:sz w:val="18"/>
                <w:szCs w:val="18"/>
              </w:rPr>
            </w:pPr>
            <w:r w:rsidRPr="006D688A">
              <w:rPr>
                <w:rFonts w:cs="Arial"/>
                <w:sz w:val="18"/>
                <w:szCs w:val="18"/>
              </w:rPr>
              <w:t>205,733</w:t>
            </w:r>
          </w:p>
        </w:tc>
        <w:tc>
          <w:tcPr>
            <w:tcW w:w="984" w:type="dxa"/>
            <w:tcBorders>
              <w:top w:val="single" w:sz="4" w:space="0" w:color="auto"/>
              <w:left w:val="nil"/>
              <w:bottom w:val="single" w:sz="4" w:space="0" w:color="auto"/>
              <w:right w:val="nil"/>
            </w:tcBorders>
            <w:shd w:val="clear" w:color="FFFFFF" w:fill="FFFFFF"/>
            <w:noWrap/>
            <w:vAlign w:val="bottom"/>
            <w:hideMark/>
          </w:tcPr>
          <w:p w14:paraId="0712C249" w14:textId="77777777" w:rsidR="00520333" w:rsidRPr="006D688A" w:rsidRDefault="00520333" w:rsidP="005E5E0C">
            <w:pPr>
              <w:spacing w:after="0" w:line="240" w:lineRule="auto"/>
              <w:jc w:val="right"/>
              <w:rPr>
                <w:rFonts w:cs="Arial"/>
                <w:b/>
                <w:bCs/>
                <w:sz w:val="18"/>
                <w:szCs w:val="18"/>
              </w:rPr>
            </w:pPr>
            <w:r w:rsidRPr="006D688A">
              <w:rPr>
                <w:rFonts w:cs="Arial"/>
                <w:b/>
                <w:bCs/>
                <w:sz w:val="18"/>
                <w:szCs w:val="18"/>
              </w:rPr>
              <w:t>2,287,393</w:t>
            </w:r>
          </w:p>
        </w:tc>
        <w:tc>
          <w:tcPr>
            <w:tcW w:w="1061" w:type="dxa"/>
            <w:tcBorders>
              <w:top w:val="single" w:sz="4" w:space="0" w:color="auto"/>
              <w:left w:val="nil"/>
              <w:bottom w:val="single" w:sz="4" w:space="0" w:color="auto"/>
              <w:right w:val="nil"/>
            </w:tcBorders>
            <w:shd w:val="clear" w:color="FFFFFF" w:fill="FFFFFF"/>
            <w:noWrap/>
            <w:vAlign w:val="bottom"/>
            <w:hideMark/>
          </w:tcPr>
          <w:p w14:paraId="75B42051" w14:textId="77777777" w:rsidR="00520333" w:rsidRPr="006D688A" w:rsidRDefault="00520333" w:rsidP="005E5E0C">
            <w:pPr>
              <w:spacing w:after="0" w:line="240" w:lineRule="auto"/>
              <w:jc w:val="right"/>
              <w:rPr>
                <w:rFonts w:cs="Arial"/>
                <w:sz w:val="18"/>
                <w:szCs w:val="18"/>
              </w:rPr>
            </w:pPr>
            <w:r w:rsidRPr="006D688A">
              <w:rPr>
                <w:rFonts w:cs="Arial"/>
                <w:sz w:val="18"/>
                <w:szCs w:val="18"/>
              </w:rPr>
              <w:t>1,276,257</w:t>
            </w:r>
          </w:p>
        </w:tc>
        <w:tc>
          <w:tcPr>
            <w:tcW w:w="984" w:type="dxa"/>
            <w:tcBorders>
              <w:top w:val="single" w:sz="4" w:space="0" w:color="auto"/>
              <w:left w:val="nil"/>
              <w:bottom w:val="single" w:sz="4" w:space="0" w:color="auto"/>
              <w:right w:val="nil"/>
            </w:tcBorders>
            <w:shd w:val="clear" w:color="FFFFFF" w:fill="FFFFFF"/>
            <w:noWrap/>
            <w:vAlign w:val="bottom"/>
            <w:hideMark/>
          </w:tcPr>
          <w:p w14:paraId="1A48AD4D" w14:textId="77777777" w:rsidR="00520333" w:rsidRPr="006D688A" w:rsidRDefault="00520333" w:rsidP="005E5E0C">
            <w:pPr>
              <w:spacing w:after="0" w:line="240" w:lineRule="auto"/>
              <w:jc w:val="right"/>
              <w:rPr>
                <w:rFonts w:cs="Arial"/>
                <w:sz w:val="18"/>
                <w:szCs w:val="18"/>
              </w:rPr>
            </w:pPr>
            <w:r w:rsidRPr="006D688A">
              <w:rPr>
                <w:rFonts w:cs="Arial"/>
                <w:sz w:val="18"/>
                <w:szCs w:val="18"/>
              </w:rPr>
              <w:t>1,417,317</w:t>
            </w:r>
          </w:p>
        </w:tc>
      </w:tr>
    </w:tbl>
    <w:p w14:paraId="1392E337" w14:textId="77777777" w:rsidR="00520333" w:rsidRPr="006D688A" w:rsidRDefault="00520333" w:rsidP="006D688A">
      <w:pPr>
        <w:spacing w:before="240"/>
        <w:rPr>
          <w:rFonts w:cs="Arial"/>
          <w:sz w:val="18"/>
          <w:szCs w:val="18"/>
        </w:rPr>
      </w:pPr>
      <w:r w:rsidRPr="006D688A">
        <w:rPr>
          <w:rFonts w:cs="Arial"/>
          <w:sz w:val="18"/>
          <w:szCs w:val="18"/>
        </w:rPr>
        <w:t>The above statement should be read in conjunction with the accompanying notes.</w:t>
      </w:r>
    </w:p>
    <w:p w14:paraId="3A6B222D" w14:textId="77777777" w:rsidR="00520333" w:rsidRPr="006D688A" w:rsidRDefault="00520333" w:rsidP="00520333">
      <w:pPr>
        <w:pStyle w:val="PolicyheadingDept"/>
        <w:pBdr>
          <w:left w:val="single" w:sz="4" w:space="4" w:color="800080"/>
          <w:right w:val="single" w:sz="4" w:space="4" w:color="800080"/>
        </w:pBdr>
        <w:spacing w:after="40" w:line="240" w:lineRule="auto"/>
      </w:pPr>
      <w:r w:rsidRPr="006D688A">
        <w:t>Budget Variances Commentary</w:t>
      </w:r>
    </w:p>
    <w:p w14:paraId="3B0AF1BD" w14:textId="77777777" w:rsidR="00520333" w:rsidRPr="006D688A" w:rsidRDefault="00520333" w:rsidP="00520333">
      <w:pPr>
        <w:pStyle w:val="PolicyheadingDept"/>
        <w:pBdr>
          <w:left w:val="single" w:sz="4" w:space="4" w:color="800080"/>
          <w:right w:val="single" w:sz="4" w:space="4" w:color="800080"/>
        </w:pBdr>
        <w:spacing w:after="40" w:line="240" w:lineRule="auto"/>
      </w:pPr>
      <w:r w:rsidRPr="006D688A">
        <w:t>Statement of Changes in Equity</w:t>
      </w:r>
    </w:p>
    <w:p w14:paraId="2DE8ADE3" w14:textId="77777777" w:rsidR="00520333" w:rsidRPr="006D688A" w:rsidRDefault="00520333" w:rsidP="00520333">
      <w:pPr>
        <w:pStyle w:val="PolicyheadingDept"/>
        <w:pBdr>
          <w:left w:val="single" w:sz="4" w:space="4" w:color="800080"/>
          <w:right w:val="single" w:sz="4" w:space="4" w:color="800080"/>
        </w:pBdr>
        <w:spacing w:after="40" w:line="240" w:lineRule="auto"/>
        <w:rPr>
          <w:b w:val="0"/>
        </w:rPr>
      </w:pPr>
      <w:r w:rsidRPr="006D688A">
        <w:rPr>
          <w:b w:val="0"/>
        </w:rPr>
        <w:t xml:space="preserve">Major budget variances for balances contained in the Statement of Changes in Equity have been included in the budget variances commentary for the Statement of Comprehensive Income and the Statement of Financial Position. </w:t>
      </w:r>
    </w:p>
    <w:p w14:paraId="545F9552" w14:textId="77777777" w:rsidR="00520333" w:rsidRPr="006D688A" w:rsidRDefault="00520333" w:rsidP="003203A1">
      <w:pPr>
        <w:pStyle w:val="ReferenceText"/>
      </w:pPr>
      <w:r w:rsidRPr="006D688A">
        <w:rPr>
          <w:vertAlign w:val="superscript"/>
        </w:rPr>
        <w:t xml:space="preserve">1 </w:t>
      </w:r>
      <w:r w:rsidRPr="006D688A">
        <w:t>Original Budget refers to the figures published in the 2023-24 Portfolio Budget Statements.</w:t>
      </w:r>
    </w:p>
    <w:p w14:paraId="71F04BAB" w14:textId="77777777" w:rsidR="00520333" w:rsidRDefault="00520333" w:rsidP="00520333">
      <w:pPr>
        <w:rPr>
          <w:rFonts w:cs="Arial"/>
          <w:sz w:val="18"/>
          <w:szCs w:val="18"/>
        </w:rPr>
        <w:sectPr w:rsidR="00520333" w:rsidSect="00F23525">
          <w:headerReference w:type="even" r:id="rId48"/>
          <w:headerReference w:type="default" r:id="rId49"/>
          <w:footerReference w:type="default" r:id="rId50"/>
          <w:headerReference w:type="first" r:id="rId51"/>
          <w:pgSz w:w="16838" w:h="11906" w:orient="landscape" w:code="9"/>
          <w:pgMar w:top="1361" w:right="1361" w:bottom="1361" w:left="1361" w:header="561" w:footer="374" w:gutter="0"/>
          <w:cols w:space="708"/>
          <w:docGrid w:linePitch="360"/>
        </w:sectPr>
      </w:pPr>
    </w:p>
    <w:p w14:paraId="3DE30239" w14:textId="6568F6A9" w:rsidR="006D688A" w:rsidRDefault="006D688A" w:rsidP="006D688A">
      <w:pPr>
        <w:pStyle w:val="StatementHeading"/>
        <w:rPr>
          <w:rFonts w:cs="Arial"/>
          <w:szCs w:val="24"/>
        </w:rPr>
      </w:pPr>
      <w:r>
        <w:rPr>
          <w:rFonts w:cs="Arial"/>
          <w:szCs w:val="24"/>
        </w:rPr>
        <w:lastRenderedPageBreak/>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76409E">
        <w:t xml:space="preserve"> Agency</w:t>
      </w:r>
      <w:r>
        <w:fldChar w:fldCharType="end"/>
      </w:r>
    </w:p>
    <w:p w14:paraId="48D91FBF" w14:textId="77777777" w:rsidR="006D688A" w:rsidRDefault="006D688A" w:rsidP="006D688A">
      <w:pPr>
        <w:pStyle w:val="StatementHeading"/>
        <w:rPr>
          <w:rFonts w:cs="Arial"/>
          <w:szCs w:val="24"/>
        </w:rPr>
      </w:pPr>
      <w:r>
        <w:rPr>
          <w:szCs w:val="24"/>
        </w:rPr>
        <w:t>CASH FLOW STATEMENT</w:t>
      </w:r>
    </w:p>
    <w:p w14:paraId="276DE47B" w14:textId="4CA3B076" w:rsidR="006D688A" w:rsidRPr="00C821EB" w:rsidRDefault="006D688A" w:rsidP="00C821EB">
      <w:pPr>
        <w:pBdr>
          <w:bottom w:val="single" w:sz="8" w:space="1" w:color="auto"/>
        </w:pBdr>
        <w:spacing w:line="240" w:lineRule="auto"/>
        <w:rPr>
          <w:i/>
          <w:iCs/>
        </w:rPr>
      </w:pPr>
      <w:r w:rsidRPr="00C821EB">
        <w:rPr>
          <w:i/>
          <w:iCs/>
        </w:rPr>
        <w:t xml:space="preserve">for the year ended </w:t>
      </w:r>
      <w:r w:rsidRPr="00C821EB">
        <w:rPr>
          <w:i/>
          <w:iCs/>
        </w:rPr>
        <w:fldChar w:fldCharType="begin"/>
      </w:r>
      <w:r w:rsidRPr="00C821EB">
        <w:rPr>
          <w:i/>
          <w:iCs/>
        </w:rPr>
        <w:instrText>DOCPROPERTY  pEnd  \* MERGEFORMAT</w:instrText>
      </w:r>
      <w:r w:rsidRPr="00C821EB">
        <w:rPr>
          <w:i/>
          <w:iCs/>
        </w:rPr>
        <w:fldChar w:fldCharType="separate"/>
      </w:r>
      <w:r w:rsidRPr="00C821EB">
        <w:rPr>
          <w:i/>
          <w:iCs/>
        </w:rPr>
        <w:t>30 June</w:t>
      </w:r>
      <w:r w:rsidRPr="00C821EB">
        <w:rPr>
          <w:i/>
          <w:iCs/>
        </w:rPr>
        <w:fldChar w:fldCharType="end"/>
      </w:r>
      <w:r w:rsidRPr="00C821EB">
        <w:rPr>
          <w:i/>
          <w:iCs/>
        </w:rPr>
        <w:t xml:space="preserve"> </w:t>
      </w:r>
      <w:r w:rsidRPr="00C821EB">
        <w:rPr>
          <w:i/>
          <w:iCs/>
        </w:rPr>
        <w:fldChar w:fldCharType="begin"/>
      </w:r>
      <w:r w:rsidRPr="00C821EB">
        <w:rPr>
          <w:i/>
          <w:iCs/>
        </w:rPr>
        <w:instrText xml:space="preserve"> DOCPROPERTY  crYear  \* MERGEFORMAT </w:instrText>
      </w:r>
      <w:r w:rsidRPr="00C821EB">
        <w:rPr>
          <w:i/>
          <w:iCs/>
        </w:rPr>
        <w:fldChar w:fldCharType="separate"/>
      </w:r>
      <w:r w:rsidRPr="00C821EB">
        <w:rPr>
          <w:i/>
          <w:iCs/>
        </w:rPr>
        <w:t>2024</w:t>
      </w:r>
      <w:r w:rsidRPr="00C821EB">
        <w:rPr>
          <w:i/>
          <w:iCs/>
        </w:rPr>
        <w:fldChar w:fldCharType="end"/>
      </w:r>
    </w:p>
    <w:tbl>
      <w:tblPr>
        <w:tblW w:w="9087" w:type="dxa"/>
        <w:tblLayout w:type="fixed"/>
        <w:tblCellMar>
          <w:left w:w="57" w:type="dxa"/>
          <w:right w:w="57" w:type="dxa"/>
        </w:tblCellMar>
        <w:tblLook w:val="04A0" w:firstRow="1" w:lastRow="0" w:firstColumn="1" w:lastColumn="0" w:noHBand="0" w:noVBand="1"/>
      </w:tblPr>
      <w:tblGrid>
        <w:gridCol w:w="4488"/>
        <w:gridCol w:w="723"/>
        <w:gridCol w:w="1067"/>
        <w:gridCol w:w="236"/>
        <w:gridCol w:w="1064"/>
        <w:gridCol w:w="236"/>
        <w:gridCol w:w="1037"/>
        <w:gridCol w:w="236"/>
      </w:tblGrid>
      <w:tr w:rsidR="00520333" w:rsidRPr="006D688A" w14:paraId="1D2326AD" w14:textId="77777777" w:rsidTr="005E5E0C">
        <w:trPr>
          <w:trHeight w:val="510"/>
        </w:trPr>
        <w:tc>
          <w:tcPr>
            <w:tcW w:w="4488" w:type="dxa"/>
            <w:tcBorders>
              <w:top w:val="single" w:sz="8" w:space="0" w:color="800080"/>
              <w:left w:val="nil"/>
              <w:bottom w:val="nil"/>
              <w:right w:val="nil"/>
            </w:tcBorders>
            <w:shd w:val="clear" w:color="FFFFFF" w:fill="FFFFFF"/>
            <w:noWrap/>
            <w:vAlign w:val="bottom"/>
            <w:hideMark/>
          </w:tcPr>
          <w:p w14:paraId="2A93DA01" w14:textId="77777777" w:rsidR="00520333" w:rsidRPr="006D688A" w:rsidRDefault="00520333" w:rsidP="005E5E0C">
            <w:pPr>
              <w:spacing w:after="0"/>
              <w:rPr>
                <w:rFonts w:cs="Arial"/>
                <w:sz w:val="18"/>
                <w:szCs w:val="18"/>
              </w:rPr>
            </w:pPr>
            <w:bookmarkStart w:id="115" w:name="Note_DCFTABLE1" w:colFirst="0" w:colLast="0"/>
            <w:r w:rsidRPr="006D688A">
              <w:rPr>
                <w:rFonts w:cs="Arial"/>
                <w:sz w:val="18"/>
                <w:szCs w:val="18"/>
              </w:rPr>
              <w:t> </w:t>
            </w:r>
          </w:p>
        </w:tc>
        <w:tc>
          <w:tcPr>
            <w:tcW w:w="723" w:type="dxa"/>
            <w:tcBorders>
              <w:top w:val="single" w:sz="8" w:space="0" w:color="800080"/>
              <w:left w:val="nil"/>
              <w:bottom w:val="nil"/>
              <w:right w:val="nil"/>
            </w:tcBorders>
            <w:shd w:val="clear" w:color="FFFFFF" w:fill="FFFFFF"/>
            <w:noWrap/>
            <w:vAlign w:val="bottom"/>
            <w:hideMark/>
          </w:tcPr>
          <w:p w14:paraId="051F2E03" w14:textId="77777777" w:rsidR="00520333" w:rsidRPr="006D688A" w:rsidRDefault="00520333" w:rsidP="005E5E0C">
            <w:pPr>
              <w:spacing w:after="0"/>
              <w:rPr>
                <w:rFonts w:cs="Arial"/>
                <w:sz w:val="18"/>
                <w:szCs w:val="18"/>
              </w:rPr>
            </w:pPr>
            <w:r w:rsidRPr="006D688A">
              <w:rPr>
                <w:rFonts w:cs="Arial"/>
                <w:sz w:val="18"/>
                <w:szCs w:val="18"/>
              </w:rPr>
              <w:t> </w:t>
            </w:r>
          </w:p>
        </w:tc>
        <w:tc>
          <w:tcPr>
            <w:tcW w:w="1067" w:type="dxa"/>
            <w:tcBorders>
              <w:top w:val="single" w:sz="8" w:space="0" w:color="800080"/>
              <w:left w:val="nil"/>
              <w:bottom w:val="nil"/>
              <w:right w:val="nil"/>
            </w:tcBorders>
            <w:shd w:val="clear" w:color="FFFFFF" w:fill="FFFFFF"/>
            <w:noWrap/>
            <w:vAlign w:val="bottom"/>
            <w:hideMark/>
          </w:tcPr>
          <w:p w14:paraId="1834CDCF"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single" w:sz="8" w:space="0" w:color="800080"/>
              <w:left w:val="nil"/>
              <w:bottom w:val="nil"/>
              <w:right w:val="nil"/>
            </w:tcBorders>
            <w:shd w:val="clear" w:color="FFFFFF" w:fill="FFFFFF"/>
            <w:noWrap/>
            <w:vAlign w:val="bottom"/>
            <w:hideMark/>
          </w:tcPr>
          <w:p w14:paraId="3CC831D3"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8" w:space="0" w:color="800080"/>
              <w:left w:val="nil"/>
              <w:bottom w:val="nil"/>
              <w:right w:val="nil"/>
            </w:tcBorders>
            <w:shd w:val="clear" w:color="FFFFFF" w:fill="FFFFFF"/>
            <w:noWrap/>
            <w:vAlign w:val="bottom"/>
            <w:hideMark/>
          </w:tcPr>
          <w:p w14:paraId="672C4B42"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single" w:sz="8" w:space="0" w:color="800080"/>
              <w:left w:val="nil"/>
              <w:bottom w:val="nil"/>
              <w:right w:val="nil"/>
            </w:tcBorders>
            <w:shd w:val="clear" w:color="FFFFFF" w:fill="FFFFFF"/>
            <w:noWrap/>
            <w:vAlign w:val="bottom"/>
            <w:hideMark/>
          </w:tcPr>
          <w:p w14:paraId="29501A7D"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gridSpan w:val="2"/>
            <w:tcBorders>
              <w:top w:val="single" w:sz="8" w:space="0" w:color="800080"/>
              <w:left w:val="nil"/>
              <w:bottom w:val="nil"/>
              <w:right w:val="nil"/>
            </w:tcBorders>
            <w:shd w:val="clear" w:color="FFFFFF" w:fill="FFFFFF"/>
            <w:vAlign w:val="center"/>
            <w:hideMark/>
          </w:tcPr>
          <w:p w14:paraId="0114FC64" w14:textId="77777777" w:rsidR="00520333" w:rsidRPr="006D688A" w:rsidRDefault="00520333" w:rsidP="005E5E0C">
            <w:pPr>
              <w:spacing w:after="0"/>
              <w:jc w:val="center"/>
              <w:rPr>
                <w:rFonts w:cs="Arial"/>
                <w:color w:val="6B2976"/>
                <w:sz w:val="18"/>
                <w:szCs w:val="18"/>
              </w:rPr>
            </w:pPr>
            <w:r w:rsidRPr="006D688A">
              <w:rPr>
                <w:rFonts w:cs="Arial"/>
                <w:color w:val="6B2976"/>
                <w:sz w:val="18"/>
                <w:szCs w:val="18"/>
              </w:rPr>
              <w:t>Original</w:t>
            </w:r>
            <w:r w:rsidRPr="006D688A">
              <w:rPr>
                <w:rFonts w:cs="Arial"/>
                <w:color w:val="6B2976"/>
                <w:sz w:val="18"/>
                <w:szCs w:val="18"/>
              </w:rPr>
              <w:br/>
              <w:t>Budget</w:t>
            </w:r>
            <w:r w:rsidRPr="006D688A">
              <w:rPr>
                <w:rFonts w:cs="Arial"/>
                <w:color w:val="6B2976"/>
                <w:sz w:val="18"/>
                <w:szCs w:val="18"/>
                <w:vertAlign w:val="superscript"/>
              </w:rPr>
              <w:t>1</w:t>
            </w:r>
          </w:p>
        </w:tc>
      </w:tr>
      <w:bookmarkEnd w:id="115"/>
      <w:tr w:rsidR="00520333" w:rsidRPr="006D688A" w14:paraId="53166727" w14:textId="77777777" w:rsidTr="005E5E0C">
        <w:trPr>
          <w:trHeight w:val="260"/>
        </w:trPr>
        <w:tc>
          <w:tcPr>
            <w:tcW w:w="4488" w:type="dxa"/>
            <w:tcBorders>
              <w:top w:val="nil"/>
              <w:left w:val="nil"/>
              <w:bottom w:val="nil"/>
              <w:right w:val="nil"/>
            </w:tcBorders>
            <w:shd w:val="clear" w:color="FFFFFF" w:fill="FFFFFF"/>
            <w:noWrap/>
            <w:vAlign w:val="bottom"/>
            <w:hideMark/>
          </w:tcPr>
          <w:p w14:paraId="688F83FA"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nil"/>
              <w:right w:val="nil"/>
            </w:tcBorders>
            <w:shd w:val="clear" w:color="FFFFFF" w:fill="FFFFFF"/>
            <w:noWrap/>
            <w:vAlign w:val="bottom"/>
            <w:hideMark/>
          </w:tcPr>
          <w:p w14:paraId="64C6FDF3" w14:textId="77777777" w:rsidR="00520333" w:rsidRPr="006D688A" w:rsidRDefault="00520333" w:rsidP="005E5E0C">
            <w:pPr>
              <w:spacing w:after="0"/>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410939A1" w14:textId="77777777" w:rsidR="00520333" w:rsidRPr="006D688A" w:rsidRDefault="00520333" w:rsidP="005E5E0C">
            <w:pPr>
              <w:spacing w:after="0"/>
              <w:jc w:val="right"/>
              <w:rPr>
                <w:rFonts w:cs="Arial"/>
                <w:b/>
                <w:bCs/>
                <w:sz w:val="18"/>
                <w:szCs w:val="18"/>
              </w:rPr>
            </w:pPr>
            <w:r w:rsidRPr="006D688A">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19F4B3F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5BA9332B" w14:textId="77777777" w:rsidR="00520333" w:rsidRPr="006D688A" w:rsidRDefault="00520333" w:rsidP="005E5E0C">
            <w:pPr>
              <w:spacing w:after="0"/>
              <w:jc w:val="right"/>
              <w:rPr>
                <w:rFonts w:cs="Arial"/>
                <w:sz w:val="18"/>
                <w:szCs w:val="18"/>
              </w:rPr>
            </w:pPr>
            <w:r w:rsidRPr="006D688A">
              <w:rPr>
                <w:rFonts w:cs="Arial"/>
                <w:sz w:val="18"/>
                <w:szCs w:val="18"/>
              </w:rPr>
              <w:t>2023</w:t>
            </w:r>
          </w:p>
        </w:tc>
        <w:tc>
          <w:tcPr>
            <w:tcW w:w="236" w:type="dxa"/>
            <w:tcBorders>
              <w:top w:val="nil"/>
              <w:left w:val="nil"/>
              <w:bottom w:val="nil"/>
              <w:right w:val="nil"/>
            </w:tcBorders>
            <w:shd w:val="clear" w:color="FFFFFF" w:fill="FFFFFF"/>
            <w:noWrap/>
            <w:vAlign w:val="bottom"/>
            <w:hideMark/>
          </w:tcPr>
          <w:p w14:paraId="051CDF0D"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gridSpan w:val="2"/>
            <w:tcBorders>
              <w:top w:val="nil"/>
              <w:left w:val="nil"/>
              <w:bottom w:val="nil"/>
              <w:right w:val="nil"/>
            </w:tcBorders>
            <w:shd w:val="clear" w:color="FFFFFF" w:fill="FFFFFF"/>
            <w:noWrap/>
            <w:vAlign w:val="bottom"/>
            <w:hideMark/>
          </w:tcPr>
          <w:p w14:paraId="3FA5B4D0" w14:textId="77777777" w:rsidR="00520333" w:rsidRPr="006D688A" w:rsidRDefault="00520333" w:rsidP="005E5E0C">
            <w:pPr>
              <w:spacing w:after="0"/>
              <w:jc w:val="center"/>
              <w:rPr>
                <w:rFonts w:cs="Arial"/>
                <w:color w:val="6B2976"/>
                <w:sz w:val="18"/>
                <w:szCs w:val="18"/>
              </w:rPr>
            </w:pPr>
            <w:r w:rsidRPr="006D688A">
              <w:rPr>
                <w:rFonts w:cs="Arial"/>
                <w:color w:val="6B2976"/>
                <w:sz w:val="18"/>
                <w:szCs w:val="18"/>
              </w:rPr>
              <w:t>2024</w:t>
            </w:r>
          </w:p>
        </w:tc>
      </w:tr>
      <w:tr w:rsidR="00520333" w:rsidRPr="006D688A" w14:paraId="5AFE0844" w14:textId="77777777" w:rsidTr="005E5E0C">
        <w:trPr>
          <w:trHeight w:val="270"/>
        </w:trPr>
        <w:tc>
          <w:tcPr>
            <w:tcW w:w="4488" w:type="dxa"/>
            <w:tcBorders>
              <w:top w:val="nil"/>
              <w:left w:val="nil"/>
              <w:bottom w:val="single" w:sz="8" w:space="0" w:color="800080"/>
              <w:right w:val="nil"/>
            </w:tcBorders>
            <w:shd w:val="clear" w:color="FFFFFF" w:fill="FFFFFF"/>
            <w:noWrap/>
            <w:vAlign w:val="bottom"/>
            <w:hideMark/>
          </w:tcPr>
          <w:p w14:paraId="1D8029F9"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single" w:sz="8" w:space="0" w:color="800080"/>
              <w:right w:val="nil"/>
            </w:tcBorders>
            <w:shd w:val="clear" w:color="FFFFFF" w:fill="FFFFFF"/>
            <w:noWrap/>
            <w:vAlign w:val="bottom"/>
            <w:hideMark/>
          </w:tcPr>
          <w:p w14:paraId="58D6F106" w14:textId="77777777" w:rsidR="00520333" w:rsidRPr="006D688A" w:rsidRDefault="00520333" w:rsidP="005E5E0C">
            <w:pPr>
              <w:spacing w:after="0"/>
              <w:jc w:val="center"/>
              <w:rPr>
                <w:rFonts w:cs="Arial"/>
                <w:b/>
                <w:bCs/>
                <w:sz w:val="18"/>
                <w:szCs w:val="18"/>
              </w:rPr>
            </w:pPr>
            <w:r w:rsidRPr="006D688A">
              <w:rPr>
                <w:rFonts w:cs="Arial"/>
                <w:b/>
                <w:bCs/>
                <w:sz w:val="18"/>
                <w:szCs w:val="18"/>
              </w:rPr>
              <w:t>Notes</w:t>
            </w:r>
          </w:p>
        </w:tc>
        <w:tc>
          <w:tcPr>
            <w:tcW w:w="1067" w:type="dxa"/>
            <w:tcBorders>
              <w:top w:val="nil"/>
              <w:left w:val="nil"/>
              <w:bottom w:val="single" w:sz="8" w:space="0" w:color="800080"/>
              <w:right w:val="nil"/>
            </w:tcBorders>
            <w:shd w:val="clear" w:color="FFFFFF" w:fill="FFFFFF"/>
            <w:noWrap/>
            <w:vAlign w:val="bottom"/>
            <w:hideMark/>
          </w:tcPr>
          <w:p w14:paraId="48E95C87" w14:textId="77777777" w:rsidR="00520333" w:rsidRPr="006D688A" w:rsidRDefault="00520333" w:rsidP="005E5E0C">
            <w:pPr>
              <w:spacing w:after="0"/>
              <w:jc w:val="right"/>
              <w:rPr>
                <w:rFonts w:cs="Arial"/>
                <w:b/>
                <w:bCs/>
                <w:sz w:val="18"/>
                <w:szCs w:val="18"/>
              </w:rPr>
            </w:pPr>
            <w:r w:rsidRPr="006D688A">
              <w:rPr>
                <w:rFonts w:cs="Arial"/>
                <w:b/>
                <w:bCs/>
                <w:sz w:val="18"/>
                <w:szCs w:val="18"/>
              </w:rPr>
              <w:t>$'000</w:t>
            </w:r>
          </w:p>
        </w:tc>
        <w:tc>
          <w:tcPr>
            <w:tcW w:w="236" w:type="dxa"/>
            <w:tcBorders>
              <w:top w:val="nil"/>
              <w:left w:val="nil"/>
              <w:bottom w:val="single" w:sz="8" w:space="0" w:color="800080"/>
              <w:right w:val="nil"/>
            </w:tcBorders>
            <w:shd w:val="clear" w:color="FFFFFF" w:fill="FFFFFF"/>
            <w:noWrap/>
            <w:vAlign w:val="bottom"/>
            <w:hideMark/>
          </w:tcPr>
          <w:p w14:paraId="3B8F8FB8"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single" w:sz="8" w:space="0" w:color="800080"/>
              <w:right w:val="nil"/>
            </w:tcBorders>
            <w:shd w:val="clear" w:color="FFFFFF" w:fill="FFFFFF"/>
            <w:noWrap/>
            <w:vAlign w:val="bottom"/>
            <w:hideMark/>
          </w:tcPr>
          <w:p w14:paraId="0D89562C" w14:textId="77777777" w:rsidR="00520333" w:rsidRPr="006D688A" w:rsidRDefault="00520333" w:rsidP="005E5E0C">
            <w:pPr>
              <w:spacing w:after="0"/>
              <w:jc w:val="right"/>
              <w:rPr>
                <w:rFonts w:cs="Arial"/>
                <w:sz w:val="18"/>
                <w:szCs w:val="18"/>
              </w:rPr>
            </w:pPr>
            <w:r w:rsidRPr="006D688A">
              <w:rPr>
                <w:rFonts w:cs="Arial"/>
                <w:sz w:val="18"/>
                <w:szCs w:val="18"/>
              </w:rPr>
              <w:t>$'000</w:t>
            </w:r>
          </w:p>
        </w:tc>
        <w:tc>
          <w:tcPr>
            <w:tcW w:w="236" w:type="dxa"/>
            <w:tcBorders>
              <w:top w:val="nil"/>
              <w:left w:val="nil"/>
              <w:bottom w:val="single" w:sz="8" w:space="0" w:color="800080"/>
              <w:right w:val="nil"/>
            </w:tcBorders>
            <w:shd w:val="clear" w:color="FFFFFF" w:fill="FFFFFF"/>
            <w:noWrap/>
            <w:vAlign w:val="bottom"/>
            <w:hideMark/>
          </w:tcPr>
          <w:p w14:paraId="68BB7EAB" w14:textId="77777777" w:rsidR="00520333" w:rsidRPr="006D688A" w:rsidRDefault="00520333" w:rsidP="005E5E0C">
            <w:pPr>
              <w:spacing w:after="0"/>
              <w:rPr>
                <w:rFonts w:cs="Arial"/>
                <w:sz w:val="18"/>
                <w:szCs w:val="18"/>
              </w:rPr>
            </w:pPr>
            <w:r w:rsidRPr="006D688A">
              <w:rPr>
                <w:rFonts w:cs="Arial"/>
                <w:sz w:val="18"/>
                <w:szCs w:val="18"/>
              </w:rPr>
              <w:t> </w:t>
            </w:r>
          </w:p>
        </w:tc>
        <w:tc>
          <w:tcPr>
            <w:tcW w:w="1273" w:type="dxa"/>
            <w:gridSpan w:val="2"/>
            <w:tcBorders>
              <w:top w:val="nil"/>
              <w:left w:val="nil"/>
              <w:bottom w:val="single" w:sz="8" w:space="0" w:color="800080"/>
              <w:right w:val="nil"/>
            </w:tcBorders>
            <w:shd w:val="clear" w:color="FFFFFF" w:fill="FFFFFF"/>
            <w:noWrap/>
            <w:vAlign w:val="center"/>
            <w:hideMark/>
          </w:tcPr>
          <w:p w14:paraId="7BF75829" w14:textId="77777777" w:rsidR="00520333" w:rsidRPr="006D688A" w:rsidRDefault="00520333" w:rsidP="005E5E0C">
            <w:pPr>
              <w:spacing w:after="0"/>
              <w:jc w:val="center"/>
              <w:rPr>
                <w:rFonts w:cs="Arial"/>
                <w:color w:val="6B2976"/>
                <w:sz w:val="18"/>
                <w:szCs w:val="18"/>
              </w:rPr>
            </w:pPr>
            <w:r w:rsidRPr="006D688A">
              <w:rPr>
                <w:rFonts w:cs="Arial"/>
                <w:color w:val="6B2976"/>
                <w:sz w:val="18"/>
                <w:szCs w:val="18"/>
              </w:rPr>
              <w:t>$'000</w:t>
            </w:r>
          </w:p>
        </w:tc>
      </w:tr>
      <w:tr w:rsidR="00520333" w:rsidRPr="006D688A" w14:paraId="4C458BB8" w14:textId="77777777" w:rsidTr="005E5E0C">
        <w:trPr>
          <w:trHeight w:val="250"/>
        </w:trPr>
        <w:tc>
          <w:tcPr>
            <w:tcW w:w="4488" w:type="dxa"/>
            <w:tcBorders>
              <w:top w:val="nil"/>
              <w:left w:val="nil"/>
              <w:bottom w:val="nil"/>
              <w:right w:val="nil"/>
            </w:tcBorders>
            <w:shd w:val="clear" w:color="FFFFFF" w:fill="FFFFFF"/>
            <w:noWrap/>
            <w:vAlign w:val="bottom"/>
            <w:hideMark/>
          </w:tcPr>
          <w:p w14:paraId="5E8FFDC8"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nil"/>
              <w:right w:val="nil"/>
            </w:tcBorders>
            <w:shd w:val="clear" w:color="FFFFFF" w:fill="FFFFFF"/>
            <w:noWrap/>
            <w:vAlign w:val="bottom"/>
            <w:hideMark/>
          </w:tcPr>
          <w:p w14:paraId="5507BCC5" w14:textId="77777777" w:rsidR="00520333" w:rsidRPr="006D688A" w:rsidRDefault="00520333" w:rsidP="005E5E0C">
            <w:pPr>
              <w:spacing w:after="0"/>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24E1A69D"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FC18EB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3F8D7087"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022C7BB"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41551EDC"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single" w:sz="4" w:space="0" w:color="auto"/>
              <w:left w:val="nil"/>
              <w:bottom w:val="nil"/>
              <w:right w:val="nil"/>
            </w:tcBorders>
            <w:shd w:val="clear" w:color="FFFFFF" w:fill="FFFFFF"/>
            <w:noWrap/>
            <w:vAlign w:val="bottom"/>
            <w:hideMark/>
          </w:tcPr>
          <w:p w14:paraId="798DB429"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1512DE1F" w14:textId="77777777" w:rsidTr="005E5E0C">
        <w:trPr>
          <w:trHeight w:val="250"/>
        </w:trPr>
        <w:tc>
          <w:tcPr>
            <w:tcW w:w="4488" w:type="dxa"/>
            <w:tcBorders>
              <w:top w:val="nil"/>
              <w:left w:val="nil"/>
              <w:bottom w:val="nil"/>
              <w:right w:val="nil"/>
            </w:tcBorders>
            <w:shd w:val="clear" w:color="FFFFFF" w:fill="FFFFFF"/>
            <w:vAlign w:val="bottom"/>
            <w:hideMark/>
          </w:tcPr>
          <w:p w14:paraId="230DF161" w14:textId="77777777" w:rsidR="00520333" w:rsidRPr="006D688A" w:rsidRDefault="00520333" w:rsidP="005E5E0C">
            <w:pPr>
              <w:spacing w:after="0"/>
              <w:rPr>
                <w:rFonts w:cs="Arial"/>
                <w:b/>
                <w:bCs/>
                <w:sz w:val="18"/>
                <w:szCs w:val="18"/>
              </w:rPr>
            </w:pPr>
            <w:r w:rsidRPr="006D688A">
              <w:rPr>
                <w:rFonts w:cs="Arial"/>
                <w:b/>
                <w:bCs/>
                <w:sz w:val="18"/>
                <w:szCs w:val="18"/>
              </w:rPr>
              <w:t>OPERATING ACTIVITIES</w:t>
            </w:r>
          </w:p>
        </w:tc>
        <w:tc>
          <w:tcPr>
            <w:tcW w:w="723" w:type="dxa"/>
            <w:tcBorders>
              <w:top w:val="nil"/>
              <w:left w:val="nil"/>
              <w:bottom w:val="nil"/>
              <w:right w:val="nil"/>
            </w:tcBorders>
            <w:shd w:val="clear" w:color="FFFFFF" w:fill="FFFFFF"/>
            <w:noWrap/>
            <w:vAlign w:val="bottom"/>
            <w:hideMark/>
          </w:tcPr>
          <w:p w14:paraId="68F1E06A"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223B3BF8"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5785D6D"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05A5119E"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8A186E8"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7C14813"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CF6D9EB"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232089C7" w14:textId="77777777" w:rsidTr="005E5E0C">
        <w:trPr>
          <w:trHeight w:val="250"/>
        </w:trPr>
        <w:tc>
          <w:tcPr>
            <w:tcW w:w="4488" w:type="dxa"/>
            <w:tcBorders>
              <w:top w:val="nil"/>
              <w:left w:val="nil"/>
              <w:bottom w:val="nil"/>
              <w:right w:val="nil"/>
            </w:tcBorders>
            <w:shd w:val="clear" w:color="FFFFFF" w:fill="FFFFFF"/>
            <w:vAlign w:val="bottom"/>
            <w:hideMark/>
          </w:tcPr>
          <w:p w14:paraId="0FE00542" w14:textId="77777777" w:rsidR="00520333" w:rsidRPr="006D688A" w:rsidRDefault="00520333" w:rsidP="005E5E0C">
            <w:pPr>
              <w:spacing w:after="0"/>
              <w:rPr>
                <w:rFonts w:cs="Arial"/>
                <w:b/>
                <w:bCs/>
                <w:sz w:val="18"/>
                <w:szCs w:val="18"/>
              </w:rPr>
            </w:pPr>
            <w:r w:rsidRPr="006D688A">
              <w:rPr>
                <w:rFonts w:cs="Arial"/>
                <w:b/>
                <w:bCs/>
                <w:sz w:val="18"/>
                <w:szCs w:val="18"/>
              </w:rPr>
              <w:t>Cash received</w:t>
            </w:r>
          </w:p>
        </w:tc>
        <w:tc>
          <w:tcPr>
            <w:tcW w:w="723" w:type="dxa"/>
            <w:tcBorders>
              <w:top w:val="nil"/>
              <w:left w:val="nil"/>
              <w:bottom w:val="nil"/>
              <w:right w:val="nil"/>
            </w:tcBorders>
            <w:shd w:val="clear" w:color="FFFFFF" w:fill="FFFFFF"/>
            <w:noWrap/>
            <w:vAlign w:val="bottom"/>
            <w:hideMark/>
          </w:tcPr>
          <w:p w14:paraId="20367F1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65B614C1"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15471EEF"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647A8319"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B0452D6"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7FEAC623"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CC02A38"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3A0F647" w14:textId="77777777" w:rsidTr="005E5E0C">
        <w:trPr>
          <w:trHeight w:val="250"/>
        </w:trPr>
        <w:tc>
          <w:tcPr>
            <w:tcW w:w="4488" w:type="dxa"/>
            <w:tcBorders>
              <w:top w:val="nil"/>
              <w:left w:val="nil"/>
              <w:bottom w:val="nil"/>
              <w:right w:val="nil"/>
            </w:tcBorders>
            <w:shd w:val="clear" w:color="FFFFFF" w:fill="FFFFFF"/>
            <w:vAlign w:val="bottom"/>
            <w:hideMark/>
          </w:tcPr>
          <w:p w14:paraId="32524C45" w14:textId="77777777" w:rsidR="00520333" w:rsidRPr="006D688A" w:rsidRDefault="00520333" w:rsidP="005E5E0C">
            <w:pPr>
              <w:spacing w:after="0"/>
              <w:ind w:firstLineChars="100" w:firstLine="180"/>
              <w:rPr>
                <w:rFonts w:cs="Arial"/>
                <w:sz w:val="18"/>
                <w:szCs w:val="18"/>
              </w:rPr>
            </w:pPr>
            <w:r w:rsidRPr="006D688A">
              <w:rPr>
                <w:rFonts w:cs="Arial"/>
                <w:sz w:val="18"/>
                <w:szCs w:val="18"/>
              </w:rPr>
              <w:t>Receipts from Government</w:t>
            </w:r>
          </w:p>
        </w:tc>
        <w:tc>
          <w:tcPr>
            <w:tcW w:w="723" w:type="dxa"/>
            <w:tcBorders>
              <w:top w:val="nil"/>
              <w:left w:val="nil"/>
              <w:bottom w:val="nil"/>
              <w:right w:val="nil"/>
            </w:tcBorders>
            <w:shd w:val="clear" w:color="FFFFFF" w:fill="FFFFFF"/>
            <w:noWrap/>
            <w:vAlign w:val="bottom"/>
            <w:hideMark/>
          </w:tcPr>
          <w:p w14:paraId="1A44B6A8"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591FF85D" w14:textId="77777777" w:rsidR="00520333" w:rsidRPr="006D688A" w:rsidRDefault="00520333" w:rsidP="005E5E0C">
            <w:pPr>
              <w:spacing w:after="0"/>
              <w:jc w:val="right"/>
              <w:rPr>
                <w:rFonts w:cs="Arial"/>
                <w:b/>
                <w:bCs/>
                <w:sz w:val="18"/>
                <w:szCs w:val="18"/>
              </w:rPr>
            </w:pPr>
            <w:r w:rsidRPr="006D688A">
              <w:rPr>
                <w:rFonts w:cs="Arial"/>
                <w:b/>
                <w:bCs/>
                <w:sz w:val="18"/>
                <w:szCs w:val="18"/>
              </w:rPr>
              <w:t>2,032,420</w:t>
            </w:r>
          </w:p>
        </w:tc>
        <w:tc>
          <w:tcPr>
            <w:tcW w:w="236" w:type="dxa"/>
            <w:tcBorders>
              <w:top w:val="nil"/>
              <w:left w:val="nil"/>
              <w:bottom w:val="nil"/>
              <w:right w:val="nil"/>
            </w:tcBorders>
            <w:shd w:val="clear" w:color="FFFFFF" w:fill="FFFFFF"/>
            <w:noWrap/>
            <w:vAlign w:val="bottom"/>
            <w:hideMark/>
          </w:tcPr>
          <w:p w14:paraId="3A87DD81"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09496FEA" w14:textId="77777777" w:rsidR="00520333" w:rsidRPr="006D688A" w:rsidRDefault="00520333" w:rsidP="005E5E0C">
            <w:pPr>
              <w:spacing w:after="0"/>
              <w:jc w:val="right"/>
              <w:rPr>
                <w:rFonts w:cs="Arial"/>
                <w:sz w:val="18"/>
                <w:szCs w:val="18"/>
              </w:rPr>
            </w:pPr>
            <w:r w:rsidRPr="006D688A">
              <w:rPr>
                <w:rFonts w:cs="Arial"/>
                <w:sz w:val="18"/>
                <w:szCs w:val="18"/>
              </w:rPr>
              <w:t>1,445,361</w:t>
            </w:r>
          </w:p>
        </w:tc>
        <w:tc>
          <w:tcPr>
            <w:tcW w:w="236" w:type="dxa"/>
            <w:tcBorders>
              <w:top w:val="nil"/>
              <w:left w:val="nil"/>
              <w:bottom w:val="nil"/>
              <w:right w:val="nil"/>
            </w:tcBorders>
            <w:shd w:val="clear" w:color="FFFFFF" w:fill="FFFFFF"/>
            <w:noWrap/>
            <w:vAlign w:val="bottom"/>
            <w:hideMark/>
          </w:tcPr>
          <w:p w14:paraId="61571383"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64946892" w14:textId="77777777" w:rsidR="00520333" w:rsidRPr="006D688A" w:rsidRDefault="00520333" w:rsidP="005E5E0C">
            <w:pPr>
              <w:spacing w:after="0"/>
              <w:jc w:val="right"/>
              <w:rPr>
                <w:rFonts w:cs="Arial"/>
                <w:sz w:val="18"/>
                <w:szCs w:val="18"/>
              </w:rPr>
            </w:pPr>
            <w:r w:rsidRPr="006D688A">
              <w:rPr>
                <w:rFonts w:cs="Arial"/>
                <w:sz w:val="18"/>
                <w:szCs w:val="18"/>
              </w:rPr>
              <w:t>1,984,176</w:t>
            </w:r>
          </w:p>
        </w:tc>
        <w:tc>
          <w:tcPr>
            <w:tcW w:w="236" w:type="dxa"/>
            <w:tcBorders>
              <w:top w:val="nil"/>
              <w:left w:val="nil"/>
              <w:bottom w:val="nil"/>
              <w:right w:val="nil"/>
            </w:tcBorders>
            <w:shd w:val="clear" w:color="FFFFFF" w:fill="FFFFFF"/>
            <w:noWrap/>
            <w:vAlign w:val="bottom"/>
            <w:hideMark/>
          </w:tcPr>
          <w:p w14:paraId="2C7C9D08"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5029BAA2" w14:textId="77777777" w:rsidTr="005E5E0C">
        <w:trPr>
          <w:trHeight w:val="250"/>
        </w:trPr>
        <w:tc>
          <w:tcPr>
            <w:tcW w:w="4488" w:type="dxa"/>
            <w:tcBorders>
              <w:top w:val="nil"/>
              <w:left w:val="nil"/>
              <w:bottom w:val="nil"/>
              <w:right w:val="nil"/>
            </w:tcBorders>
            <w:shd w:val="clear" w:color="FFFFFF" w:fill="FFFFFF"/>
            <w:vAlign w:val="bottom"/>
            <w:hideMark/>
          </w:tcPr>
          <w:p w14:paraId="1114C861" w14:textId="77777777" w:rsidR="00520333" w:rsidRPr="006D688A" w:rsidRDefault="00520333" w:rsidP="005E5E0C">
            <w:pPr>
              <w:spacing w:after="0"/>
              <w:ind w:firstLineChars="100" w:firstLine="180"/>
              <w:rPr>
                <w:rFonts w:cs="Arial"/>
                <w:sz w:val="18"/>
                <w:szCs w:val="18"/>
              </w:rPr>
            </w:pPr>
            <w:r w:rsidRPr="006D688A">
              <w:rPr>
                <w:rFonts w:cs="Arial"/>
                <w:sz w:val="18"/>
                <w:szCs w:val="18"/>
              </w:rPr>
              <w:t>Rendering of services</w:t>
            </w:r>
          </w:p>
        </w:tc>
        <w:tc>
          <w:tcPr>
            <w:tcW w:w="723" w:type="dxa"/>
            <w:tcBorders>
              <w:top w:val="nil"/>
              <w:left w:val="nil"/>
              <w:bottom w:val="nil"/>
              <w:right w:val="nil"/>
            </w:tcBorders>
            <w:shd w:val="clear" w:color="FFFFFF" w:fill="FFFFFF"/>
            <w:noWrap/>
            <w:vAlign w:val="bottom"/>
            <w:hideMark/>
          </w:tcPr>
          <w:p w14:paraId="6557E8C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78894B2A" w14:textId="77777777" w:rsidR="00520333" w:rsidRPr="006D688A" w:rsidRDefault="00520333" w:rsidP="005E5E0C">
            <w:pPr>
              <w:spacing w:after="0"/>
              <w:jc w:val="right"/>
              <w:rPr>
                <w:rFonts w:cs="Arial"/>
                <w:b/>
                <w:bCs/>
                <w:sz w:val="18"/>
                <w:szCs w:val="18"/>
              </w:rPr>
            </w:pPr>
            <w:r w:rsidRPr="006D688A">
              <w:rPr>
                <w:rFonts w:cs="Arial"/>
                <w:b/>
                <w:bCs/>
                <w:sz w:val="18"/>
                <w:szCs w:val="18"/>
              </w:rPr>
              <w:t>41,305,772</w:t>
            </w:r>
          </w:p>
        </w:tc>
        <w:tc>
          <w:tcPr>
            <w:tcW w:w="236" w:type="dxa"/>
            <w:tcBorders>
              <w:top w:val="nil"/>
              <w:left w:val="nil"/>
              <w:bottom w:val="nil"/>
              <w:right w:val="nil"/>
            </w:tcBorders>
            <w:shd w:val="clear" w:color="FFFFFF" w:fill="FFFFFF"/>
            <w:noWrap/>
            <w:vAlign w:val="bottom"/>
            <w:hideMark/>
          </w:tcPr>
          <w:p w14:paraId="461591A7"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4819633" w14:textId="77777777" w:rsidR="00520333" w:rsidRPr="006D688A" w:rsidRDefault="00520333" w:rsidP="005E5E0C">
            <w:pPr>
              <w:spacing w:after="0"/>
              <w:jc w:val="right"/>
              <w:rPr>
                <w:rFonts w:cs="Arial"/>
                <w:sz w:val="18"/>
                <w:szCs w:val="18"/>
              </w:rPr>
            </w:pPr>
            <w:r w:rsidRPr="006D688A">
              <w:rPr>
                <w:rFonts w:cs="Arial"/>
                <w:sz w:val="18"/>
                <w:szCs w:val="18"/>
              </w:rPr>
              <w:t>34,134,568</w:t>
            </w:r>
          </w:p>
        </w:tc>
        <w:tc>
          <w:tcPr>
            <w:tcW w:w="236" w:type="dxa"/>
            <w:tcBorders>
              <w:top w:val="nil"/>
              <w:left w:val="nil"/>
              <w:bottom w:val="nil"/>
              <w:right w:val="nil"/>
            </w:tcBorders>
            <w:shd w:val="clear" w:color="FFFFFF" w:fill="FFFFFF"/>
            <w:noWrap/>
            <w:vAlign w:val="bottom"/>
            <w:hideMark/>
          </w:tcPr>
          <w:p w14:paraId="3A6BF6E6"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AEB9D42" w14:textId="77777777" w:rsidR="00520333" w:rsidRPr="006D688A" w:rsidRDefault="00520333" w:rsidP="005E5E0C">
            <w:pPr>
              <w:spacing w:after="0"/>
              <w:jc w:val="right"/>
              <w:rPr>
                <w:rFonts w:cs="Arial"/>
                <w:sz w:val="18"/>
                <w:szCs w:val="18"/>
              </w:rPr>
            </w:pPr>
            <w:r w:rsidRPr="006D688A">
              <w:rPr>
                <w:rFonts w:cs="Arial"/>
                <w:sz w:val="18"/>
                <w:szCs w:val="18"/>
              </w:rPr>
              <w:t>39,664,677</w:t>
            </w:r>
          </w:p>
        </w:tc>
        <w:tc>
          <w:tcPr>
            <w:tcW w:w="236" w:type="dxa"/>
            <w:tcBorders>
              <w:top w:val="nil"/>
              <w:left w:val="nil"/>
              <w:bottom w:val="nil"/>
              <w:right w:val="nil"/>
            </w:tcBorders>
            <w:shd w:val="clear" w:color="FFFFFF" w:fill="FFFFFF"/>
            <w:noWrap/>
            <w:vAlign w:val="bottom"/>
            <w:hideMark/>
          </w:tcPr>
          <w:p w14:paraId="1BFCE6AA"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058C0892" w14:textId="77777777" w:rsidTr="005E5E0C">
        <w:trPr>
          <w:trHeight w:val="250"/>
        </w:trPr>
        <w:tc>
          <w:tcPr>
            <w:tcW w:w="4488" w:type="dxa"/>
            <w:tcBorders>
              <w:top w:val="nil"/>
              <w:left w:val="nil"/>
              <w:bottom w:val="nil"/>
              <w:right w:val="nil"/>
            </w:tcBorders>
            <w:shd w:val="clear" w:color="FFFFFF" w:fill="FFFFFF"/>
            <w:vAlign w:val="bottom"/>
            <w:hideMark/>
          </w:tcPr>
          <w:p w14:paraId="6BE9BF80" w14:textId="77777777" w:rsidR="00520333" w:rsidRPr="006D688A" w:rsidRDefault="00520333" w:rsidP="005E5E0C">
            <w:pPr>
              <w:spacing w:after="0"/>
              <w:ind w:firstLineChars="100" w:firstLine="180"/>
              <w:rPr>
                <w:rFonts w:cs="Arial"/>
                <w:sz w:val="18"/>
                <w:szCs w:val="18"/>
              </w:rPr>
            </w:pPr>
            <w:r w:rsidRPr="006D688A">
              <w:rPr>
                <w:rFonts w:cs="Arial"/>
                <w:sz w:val="18"/>
                <w:szCs w:val="18"/>
              </w:rPr>
              <w:t>Interest received</w:t>
            </w:r>
          </w:p>
        </w:tc>
        <w:tc>
          <w:tcPr>
            <w:tcW w:w="723" w:type="dxa"/>
            <w:tcBorders>
              <w:top w:val="nil"/>
              <w:left w:val="nil"/>
              <w:bottom w:val="nil"/>
              <w:right w:val="nil"/>
            </w:tcBorders>
            <w:shd w:val="clear" w:color="FFFFFF" w:fill="FFFFFF"/>
            <w:noWrap/>
            <w:vAlign w:val="bottom"/>
            <w:hideMark/>
          </w:tcPr>
          <w:p w14:paraId="01648BDD"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0956423A" w14:textId="77777777" w:rsidR="00520333" w:rsidRPr="006D688A" w:rsidRDefault="00520333" w:rsidP="005E5E0C">
            <w:pPr>
              <w:spacing w:after="0"/>
              <w:jc w:val="right"/>
              <w:rPr>
                <w:rFonts w:cs="Arial"/>
                <w:b/>
                <w:bCs/>
                <w:sz w:val="18"/>
                <w:szCs w:val="18"/>
              </w:rPr>
            </w:pPr>
            <w:r w:rsidRPr="006D688A">
              <w:rPr>
                <w:rFonts w:cs="Arial"/>
                <w:b/>
                <w:bCs/>
                <w:sz w:val="18"/>
                <w:szCs w:val="18"/>
              </w:rPr>
              <w:t>408,467</w:t>
            </w:r>
          </w:p>
        </w:tc>
        <w:tc>
          <w:tcPr>
            <w:tcW w:w="236" w:type="dxa"/>
            <w:tcBorders>
              <w:top w:val="nil"/>
              <w:left w:val="nil"/>
              <w:bottom w:val="nil"/>
              <w:right w:val="nil"/>
            </w:tcBorders>
            <w:shd w:val="clear" w:color="FFFFFF" w:fill="FFFFFF"/>
            <w:noWrap/>
            <w:vAlign w:val="bottom"/>
            <w:hideMark/>
          </w:tcPr>
          <w:p w14:paraId="4D37739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635AB9B1" w14:textId="77777777" w:rsidR="00520333" w:rsidRPr="006D688A" w:rsidRDefault="00520333" w:rsidP="005E5E0C">
            <w:pPr>
              <w:spacing w:after="0"/>
              <w:jc w:val="right"/>
              <w:rPr>
                <w:rFonts w:cs="Arial"/>
                <w:sz w:val="18"/>
                <w:szCs w:val="18"/>
              </w:rPr>
            </w:pPr>
            <w:r w:rsidRPr="006D688A">
              <w:rPr>
                <w:rFonts w:cs="Arial"/>
                <w:sz w:val="18"/>
                <w:szCs w:val="18"/>
              </w:rPr>
              <w:t>225,495</w:t>
            </w:r>
          </w:p>
        </w:tc>
        <w:tc>
          <w:tcPr>
            <w:tcW w:w="236" w:type="dxa"/>
            <w:tcBorders>
              <w:top w:val="nil"/>
              <w:left w:val="nil"/>
              <w:bottom w:val="nil"/>
              <w:right w:val="nil"/>
            </w:tcBorders>
            <w:shd w:val="clear" w:color="FFFFFF" w:fill="FFFFFF"/>
            <w:noWrap/>
            <w:vAlign w:val="bottom"/>
            <w:hideMark/>
          </w:tcPr>
          <w:p w14:paraId="2A929C4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5816B77" w14:textId="77777777" w:rsidR="00520333" w:rsidRPr="006D688A" w:rsidRDefault="00520333" w:rsidP="005E5E0C">
            <w:pPr>
              <w:spacing w:after="0"/>
              <w:jc w:val="right"/>
              <w:rPr>
                <w:rFonts w:cs="Arial"/>
                <w:sz w:val="18"/>
                <w:szCs w:val="18"/>
              </w:rPr>
            </w:pPr>
            <w:r w:rsidRPr="006D688A">
              <w:rPr>
                <w:rFonts w:cs="Arial"/>
                <w:sz w:val="18"/>
                <w:szCs w:val="18"/>
              </w:rPr>
              <w:t>259,054</w:t>
            </w:r>
          </w:p>
        </w:tc>
        <w:tc>
          <w:tcPr>
            <w:tcW w:w="236" w:type="dxa"/>
            <w:tcBorders>
              <w:top w:val="nil"/>
              <w:left w:val="nil"/>
              <w:bottom w:val="nil"/>
              <w:right w:val="nil"/>
            </w:tcBorders>
            <w:shd w:val="clear" w:color="FFFFFF" w:fill="FFFFFF"/>
            <w:noWrap/>
            <w:vAlign w:val="bottom"/>
            <w:hideMark/>
          </w:tcPr>
          <w:p w14:paraId="610485C0"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3C90E8A" w14:textId="77777777" w:rsidTr="005E5E0C">
        <w:trPr>
          <w:trHeight w:val="250"/>
        </w:trPr>
        <w:tc>
          <w:tcPr>
            <w:tcW w:w="4488" w:type="dxa"/>
            <w:tcBorders>
              <w:top w:val="nil"/>
              <w:left w:val="nil"/>
              <w:bottom w:val="nil"/>
              <w:right w:val="nil"/>
            </w:tcBorders>
            <w:shd w:val="clear" w:color="FFFFFF" w:fill="FFFFFF"/>
            <w:vAlign w:val="bottom"/>
            <w:hideMark/>
          </w:tcPr>
          <w:p w14:paraId="68317924" w14:textId="77777777" w:rsidR="00520333" w:rsidRPr="006D688A" w:rsidRDefault="00520333" w:rsidP="005E5E0C">
            <w:pPr>
              <w:spacing w:after="0"/>
              <w:ind w:firstLineChars="100" w:firstLine="180"/>
              <w:rPr>
                <w:rFonts w:cs="Arial"/>
                <w:sz w:val="18"/>
                <w:szCs w:val="18"/>
              </w:rPr>
            </w:pPr>
            <w:r w:rsidRPr="006D688A">
              <w:rPr>
                <w:rFonts w:cs="Arial"/>
                <w:sz w:val="18"/>
                <w:szCs w:val="18"/>
              </w:rPr>
              <w:t>GST received</w:t>
            </w:r>
          </w:p>
        </w:tc>
        <w:tc>
          <w:tcPr>
            <w:tcW w:w="723" w:type="dxa"/>
            <w:tcBorders>
              <w:top w:val="nil"/>
              <w:left w:val="nil"/>
              <w:bottom w:val="nil"/>
              <w:right w:val="nil"/>
            </w:tcBorders>
            <w:shd w:val="clear" w:color="FFFFFF" w:fill="FFFFFF"/>
            <w:noWrap/>
            <w:vAlign w:val="bottom"/>
            <w:hideMark/>
          </w:tcPr>
          <w:p w14:paraId="4D014B72"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45B8276F" w14:textId="77777777" w:rsidR="00520333" w:rsidRPr="006D688A" w:rsidRDefault="00520333" w:rsidP="005E5E0C">
            <w:pPr>
              <w:spacing w:after="0"/>
              <w:jc w:val="right"/>
              <w:rPr>
                <w:rFonts w:cs="Arial"/>
                <w:b/>
                <w:bCs/>
                <w:sz w:val="18"/>
                <w:szCs w:val="18"/>
              </w:rPr>
            </w:pPr>
            <w:r w:rsidRPr="006D688A">
              <w:rPr>
                <w:rFonts w:cs="Arial"/>
                <w:b/>
                <w:bCs/>
                <w:sz w:val="18"/>
                <w:szCs w:val="18"/>
              </w:rPr>
              <w:t>144,321</w:t>
            </w:r>
          </w:p>
        </w:tc>
        <w:tc>
          <w:tcPr>
            <w:tcW w:w="236" w:type="dxa"/>
            <w:tcBorders>
              <w:top w:val="nil"/>
              <w:left w:val="nil"/>
              <w:bottom w:val="nil"/>
              <w:right w:val="nil"/>
            </w:tcBorders>
            <w:shd w:val="clear" w:color="FFFFFF" w:fill="FFFFFF"/>
            <w:noWrap/>
            <w:vAlign w:val="bottom"/>
            <w:hideMark/>
          </w:tcPr>
          <w:p w14:paraId="44CDB10E"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220E36DC" w14:textId="77777777" w:rsidR="00520333" w:rsidRPr="006D688A" w:rsidRDefault="00520333" w:rsidP="005E5E0C">
            <w:pPr>
              <w:spacing w:after="0"/>
              <w:jc w:val="right"/>
              <w:rPr>
                <w:rFonts w:cs="Arial"/>
                <w:sz w:val="18"/>
                <w:szCs w:val="18"/>
              </w:rPr>
            </w:pPr>
            <w:r w:rsidRPr="006D688A">
              <w:rPr>
                <w:rFonts w:cs="Arial"/>
                <w:sz w:val="18"/>
                <w:szCs w:val="18"/>
              </w:rPr>
              <w:t>141,879</w:t>
            </w:r>
          </w:p>
        </w:tc>
        <w:tc>
          <w:tcPr>
            <w:tcW w:w="236" w:type="dxa"/>
            <w:tcBorders>
              <w:top w:val="nil"/>
              <w:left w:val="nil"/>
              <w:bottom w:val="nil"/>
              <w:right w:val="nil"/>
            </w:tcBorders>
            <w:shd w:val="clear" w:color="FFFFFF" w:fill="FFFFFF"/>
            <w:noWrap/>
            <w:vAlign w:val="bottom"/>
            <w:hideMark/>
          </w:tcPr>
          <w:p w14:paraId="165B686C"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4BC1AA2F" w14:textId="77777777" w:rsidR="00520333" w:rsidRPr="006D688A" w:rsidRDefault="00520333" w:rsidP="005E5E0C">
            <w:pPr>
              <w:spacing w:after="0"/>
              <w:jc w:val="right"/>
              <w:rPr>
                <w:rFonts w:cs="Arial"/>
                <w:sz w:val="18"/>
                <w:szCs w:val="18"/>
              </w:rPr>
            </w:pPr>
            <w:r w:rsidRPr="006D688A">
              <w:rPr>
                <w:rFonts w:cs="Arial"/>
                <w:sz w:val="18"/>
                <w:szCs w:val="18"/>
              </w:rPr>
              <w:t>87,296</w:t>
            </w:r>
          </w:p>
        </w:tc>
        <w:tc>
          <w:tcPr>
            <w:tcW w:w="236" w:type="dxa"/>
            <w:tcBorders>
              <w:top w:val="nil"/>
              <w:left w:val="nil"/>
              <w:bottom w:val="nil"/>
              <w:right w:val="nil"/>
            </w:tcBorders>
            <w:shd w:val="clear" w:color="FFFFFF" w:fill="FFFFFF"/>
            <w:noWrap/>
            <w:vAlign w:val="bottom"/>
            <w:hideMark/>
          </w:tcPr>
          <w:p w14:paraId="5FAABAB1"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2FCC2B6" w14:textId="77777777" w:rsidTr="005E5E0C">
        <w:trPr>
          <w:trHeight w:val="250"/>
        </w:trPr>
        <w:tc>
          <w:tcPr>
            <w:tcW w:w="4488" w:type="dxa"/>
            <w:tcBorders>
              <w:top w:val="nil"/>
              <w:left w:val="nil"/>
              <w:bottom w:val="nil"/>
              <w:right w:val="nil"/>
            </w:tcBorders>
            <w:shd w:val="clear" w:color="FFFFFF" w:fill="FFFFFF"/>
            <w:vAlign w:val="bottom"/>
            <w:hideMark/>
          </w:tcPr>
          <w:p w14:paraId="433F8FBC" w14:textId="77777777" w:rsidR="00520333" w:rsidRPr="006D688A" w:rsidRDefault="00520333" w:rsidP="005E5E0C">
            <w:pPr>
              <w:spacing w:after="0"/>
              <w:ind w:firstLineChars="100" w:firstLine="180"/>
              <w:rPr>
                <w:rFonts w:cs="Arial"/>
                <w:sz w:val="18"/>
                <w:szCs w:val="18"/>
              </w:rPr>
            </w:pPr>
            <w:r w:rsidRPr="006D688A">
              <w:rPr>
                <w:rFonts w:cs="Arial"/>
                <w:sz w:val="18"/>
                <w:szCs w:val="18"/>
              </w:rPr>
              <w:t>Other</w:t>
            </w:r>
          </w:p>
        </w:tc>
        <w:tc>
          <w:tcPr>
            <w:tcW w:w="723" w:type="dxa"/>
            <w:tcBorders>
              <w:top w:val="nil"/>
              <w:left w:val="nil"/>
              <w:bottom w:val="nil"/>
              <w:right w:val="nil"/>
            </w:tcBorders>
            <w:shd w:val="clear" w:color="FFFFFF" w:fill="FFFFFF"/>
            <w:noWrap/>
            <w:vAlign w:val="bottom"/>
            <w:hideMark/>
          </w:tcPr>
          <w:p w14:paraId="787A03B3"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7BECD326" w14:textId="77777777" w:rsidR="00520333" w:rsidRPr="006D688A" w:rsidRDefault="00520333" w:rsidP="005E5E0C">
            <w:pPr>
              <w:spacing w:after="0"/>
              <w:jc w:val="right"/>
              <w:rPr>
                <w:rFonts w:cs="Arial"/>
                <w:b/>
                <w:bCs/>
                <w:sz w:val="18"/>
                <w:szCs w:val="18"/>
              </w:rPr>
            </w:pPr>
            <w:r w:rsidRPr="006D688A">
              <w:rPr>
                <w:rFonts w:cs="Arial"/>
                <w:b/>
                <w:bCs/>
                <w:sz w:val="18"/>
                <w:szCs w:val="18"/>
              </w:rPr>
              <w:t>48,699</w:t>
            </w:r>
          </w:p>
        </w:tc>
        <w:tc>
          <w:tcPr>
            <w:tcW w:w="236" w:type="dxa"/>
            <w:tcBorders>
              <w:top w:val="nil"/>
              <w:left w:val="nil"/>
              <w:bottom w:val="nil"/>
              <w:right w:val="nil"/>
            </w:tcBorders>
            <w:shd w:val="clear" w:color="FFFFFF" w:fill="FFFFFF"/>
            <w:noWrap/>
            <w:vAlign w:val="bottom"/>
            <w:hideMark/>
          </w:tcPr>
          <w:p w14:paraId="476D5303"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8167DD2" w14:textId="77777777" w:rsidR="00520333" w:rsidRPr="006D688A" w:rsidRDefault="00520333" w:rsidP="005E5E0C">
            <w:pPr>
              <w:spacing w:after="0"/>
              <w:jc w:val="right"/>
              <w:rPr>
                <w:rFonts w:cs="Arial"/>
                <w:sz w:val="18"/>
                <w:szCs w:val="18"/>
              </w:rPr>
            </w:pPr>
            <w:r w:rsidRPr="006D688A">
              <w:rPr>
                <w:rFonts w:cs="Arial"/>
                <w:sz w:val="18"/>
                <w:szCs w:val="18"/>
              </w:rPr>
              <w:t>27,109</w:t>
            </w:r>
          </w:p>
        </w:tc>
        <w:tc>
          <w:tcPr>
            <w:tcW w:w="236" w:type="dxa"/>
            <w:tcBorders>
              <w:top w:val="nil"/>
              <w:left w:val="nil"/>
              <w:bottom w:val="nil"/>
              <w:right w:val="nil"/>
            </w:tcBorders>
            <w:shd w:val="clear" w:color="FFFFFF" w:fill="FFFFFF"/>
            <w:noWrap/>
            <w:vAlign w:val="bottom"/>
            <w:hideMark/>
          </w:tcPr>
          <w:p w14:paraId="21E5B210"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03ECE250" w14:textId="77777777" w:rsidR="00520333" w:rsidRPr="006D688A" w:rsidRDefault="00520333" w:rsidP="005E5E0C">
            <w:pPr>
              <w:spacing w:after="0"/>
              <w:jc w:val="right"/>
              <w:rPr>
                <w:rFonts w:cs="Arial"/>
                <w:sz w:val="18"/>
                <w:szCs w:val="18"/>
              </w:rPr>
            </w:pPr>
            <w:r w:rsidRPr="006D688A">
              <w:rPr>
                <w:rFonts w:cs="Arial"/>
                <w:sz w:val="18"/>
                <w:szCs w:val="18"/>
              </w:rPr>
              <w:t>79,500</w:t>
            </w:r>
          </w:p>
        </w:tc>
        <w:tc>
          <w:tcPr>
            <w:tcW w:w="236" w:type="dxa"/>
            <w:tcBorders>
              <w:top w:val="nil"/>
              <w:left w:val="nil"/>
              <w:bottom w:val="nil"/>
              <w:right w:val="nil"/>
            </w:tcBorders>
            <w:shd w:val="clear" w:color="FFFFFF" w:fill="FFFFFF"/>
            <w:noWrap/>
            <w:vAlign w:val="bottom"/>
            <w:hideMark/>
          </w:tcPr>
          <w:p w14:paraId="31B2CA04"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5165A3B5" w14:textId="77777777" w:rsidTr="005E5E0C">
        <w:trPr>
          <w:trHeight w:val="250"/>
        </w:trPr>
        <w:tc>
          <w:tcPr>
            <w:tcW w:w="4488" w:type="dxa"/>
            <w:tcBorders>
              <w:top w:val="nil"/>
              <w:left w:val="nil"/>
              <w:bottom w:val="nil"/>
              <w:right w:val="nil"/>
            </w:tcBorders>
            <w:shd w:val="clear" w:color="FFFFFF" w:fill="FFFFFF"/>
            <w:vAlign w:val="bottom"/>
            <w:hideMark/>
          </w:tcPr>
          <w:p w14:paraId="25C68FFE" w14:textId="77777777" w:rsidR="00520333" w:rsidRPr="006D688A" w:rsidRDefault="00520333" w:rsidP="005E5E0C">
            <w:pPr>
              <w:spacing w:after="0"/>
              <w:rPr>
                <w:rFonts w:cs="Arial"/>
                <w:b/>
                <w:bCs/>
                <w:sz w:val="18"/>
                <w:szCs w:val="18"/>
              </w:rPr>
            </w:pPr>
            <w:r w:rsidRPr="006D688A">
              <w:rPr>
                <w:rFonts w:cs="Arial"/>
                <w:b/>
                <w:bCs/>
                <w:sz w:val="18"/>
                <w:szCs w:val="18"/>
              </w:rPr>
              <w:t>Total cash received</w:t>
            </w:r>
          </w:p>
        </w:tc>
        <w:tc>
          <w:tcPr>
            <w:tcW w:w="723" w:type="dxa"/>
            <w:tcBorders>
              <w:top w:val="nil"/>
              <w:left w:val="nil"/>
              <w:bottom w:val="nil"/>
              <w:right w:val="nil"/>
            </w:tcBorders>
            <w:shd w:val="clear" w:color="FFFFFF" w:fill="FFFFFF"/>
            <w:noWrap/>
            <w:vAlign w:val="bottom"/>
            <w:hideMark/>
          </w:tcPr>
          <w:p w14:paraId="4D8ECEE0"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7AA34BC7" w14:textId="77777777" w:rsidR="00520333" w:rsidRPr="006D688A" w:rsidRDefault="00520333" w:rsidP="005E5E0C">
            <w:pPr>
              <w:spacing w:after="0"/>
              <w:jc w:val="right"/>
              <w:rPr>
                <w:rFonts w:cs="Arial"/>
                <w:b/>
                <w:bCs/>
                <w:sz w:val="18"/>
                <w:szCs w:val="18"/>
              </w:rPr>
            </w:pPr>
            <w:r w:rsidRPr="006D688A">
              <w:rPr>
                <w:rFonts w:cs="Arial"/>
                <w:b/>
                <w:bCs/>
                <w:sz w:val="18"/>
                <w:szCs w:val="18"/>
              </w:rPr>
              <w:t>43,939,679</w:t>
            </w:r>
          </w:p>
        </w:tc>
        <w:tc>
          <w:tcPr>
            <w:tcW w:w="236" w:type="dxa"/>
            <w:tcBorders>
              <w:top w:val="nil"/>
              <w:left w:val="nil"/>
              <w:bottom w:val="nil"/>
              <w:right w:val="nil"/>
            </w:tcBorders>
            <w:shd w:val="clear" w:color="FFFFFF" w:fill="FFFFFF"/>
            <w:noWrap/>
            <w:vAlign w:val="bottom"/>
            <w:hideMark/>
          </w:tcPr>
          <w:p w14:paraId="659EFA6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1EF9AEB8" w14:textId="77777777" w:rsidR="00520333" w:rsidRPr="006D688A" w:rsidRDefault="00520333" w:rsidP="005E5E0C">
            <w:pPr>
              <w:spacing w:after="0"/>
              <w:jc w:val="right"/>
              <w:rPr>
                <w:rFonts w:cs="Arial"/>
                <w:sz w:val="18"/>
                <w:szCs w:val="18"/>
              </w:rPr>
            </w:pPr>
            <w:r w:rsidRPr="006D688A">
              <w:rPr>
                <w:rFonts w:cs="Arial"/>
                <w:sz w:val="18"/>
                <w:szCs w:val="18"/>
              </w:rPr>
              <w:t>35,974,412</w:t>
            </w:r>
          </w:p>
        </w:tc>
        <w:tc>
          <w:tcPr>
            <w:tcW w:w="236" w:type="dxa"/>
            <w:tcBorders>
              <w:top w:val="nil"/>
              <w:left w:val="nil"/>
              <w:bottom w:val="nil"/>
              <w:right w:val="nil"/>
            </w:tcBorders>
            <w:shd w:val="clear" w:color="FFFFFF" w:fill="FFFFFF"/>
            <w:noWrap/>
            <w:vAlign w:val="bottom"/>
            <w:hideMark/>
          </w:tcPr>
          <w:p w14:paraId="6BB0862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6E16B684" w14:textId="77777777" w:rsidR="00520333" w:rsidRPr="006D688A" w:rsidRDefault="00520333" w:rsidP="005E5E0C">
            <w:pPr>
              <w:spacing w:after="0"/>
              <w:jc w:val="right"/>
              <w:rPr>
                <w:rFonts w:cs="Arial"/>
                <w:sz w:val="18"/>
                <w:szCs w:val="18"/>
              </w:rPr>
            </w:pPr>
            <w:r w:rsidRPr="006D688A">
              <w:rPr>
                <w:rFonts w:cs="Arial"/>
                <w:sz w:val="18"/>
                <w:szCs w:val="18"/>
              </w:rPr>
              <w:t>42,074,703</w:t>
            </w:r>
          </w:p>
        </w:tc>
        <w:tc>
          <w:tcPr>
            <w:tcW w:w="236" w:type="dxa"/>
            <w:tcBorders>
              <w:top w:val="nil"/>
              <w:left w:val="nil"/>
              <w:bottom w:val="nil"/>
              <w:right w:val="nil"/>
            </w:tcBorders>
            <w:shd w:val="clear" w:color="FFFFFF" w:fill="FFFFFF"/>
            <w:noWrap/>
            <w:vAlign w:val="bottom"/>
            <w:hideMark/>
          </w:tcPr>
          <w:p w14:paraId="7864E301" w14:textId="77777777" w:rsidR="00520333" w:rsidRPr="006D688A" w:rsidRDefault="00520333" w:rsidP="005E5E0C">
            <w:pPr>
              <w:spacing w:after="0"/>
              <w:rPr>
                <w:rFonts w:cs="Arial"/>
                <w:sz w:val="18"/>
                <w:szCs w:val="18"/>
              </w:rPr>
            </w:pPr>
            <w:r w:rsidRPr="006D688A">
              <w:rPr>
                <w:rFonts w:cs="Arial"/>
                <w:sz w:val="18"/>
                <w:szCs w:val="18"/>
                <w:vertAlign w:val="superscript"/>
              </w:rPr>
              <w:t> </w:t>
            </w:r>
          </w:p>
        </w:tc>
      </w:tr>
      <w:tr w:rsidR="00520333" w:rsidRPr="006D688A" w14:paraId="3D9DAF51" w14:textId="77777777" w:rsidTr="005E5E0C">
        <w:trPr>
          <w:trHeight w:val="133"/>
        </w:trPr>
        <w:tc>
          <w:tcPr>
            <w:tcW w:w="4488" w:type="dxa"/>
            <w:tcBorders>
              <w:top w:val="nil"/>
              <w:left w:val="nil"/>
              <w:bottom w:val="nil"/>
              <w:right w:val="nil"/>
            </w:tcBorders>
            <w:shd w:val="clear" w:color="FFFFFF" w:fill="FFFFFF"/>
            <w:noWrap/>
            <w:vAlign w:val="bottom"/>
            <w:hideMark/>
          </w:tcPr>
          <w:p w14:paraId="43464AD1"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nil"/>
              <w:right w:val="nil"/>
            </w:tcBorders>
            <w:shd w:val="clear" w:color="FFFFFF" w:fill="FFFFFF"/>
            <w:noWrap/>
            <w:vAlign w:val="bottom"/>
            <w:hideMark/>
          </w:tcPr>
          <w:p w14:paraId="7AB11BA0"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777DB1F2"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C20959D"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791875E2"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A6F54BD"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C12B764"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5126446"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11C25553" w14:textId="77777777" w:rsidTr="005E5E0C">
        <w:trPr>
          <w:trHeight w:val="250"/>
        </w:trPr>
        <w:tc>
          <w:tcPr>
            <w:tcW w:w="4488" w:type="dxa"/>
            <w:tcBorders>
              <w:top w:val="nil"/>
              <w:left w:val="nil"/>
              <w:bottom w:val="nil"/>
              <w:right w:val="nil"/>
            </w:tcBorders>
            <w:shd w:val="clear" w:color="FFFFFF" w:fill="FFFFFF"/>
            <w:vAlign w:val="bottom"/>
            <w:hideMark/>
          </w:tcPr>
          <w:p w14:paraId="655B80C1" w14:textId="77777777" w:rsidR="00520333" w:rsidRPr="006D688A" w:rsidRDefault="00520333" w:rsidP="005E5E0C">
            <w:pPr>
              <w:spacing w:after="0"/>
              <w:rPr>
                <w:rFonts w:cs="Arial"/>
                <w:b/>
                <w:bCs/>
                <w:sz w:val="18"/>
                <w:szCs w:val="18"/>
              </w:rPr>
            </w:pPr>
            <w:r w:rsidRPr="006D688A">
              <w:rPr>
                <w:rFonts w:cs="Arial"/>
                <w:b/>
                <w:bCs/>
                <w:sz w:val="18"/>
                <w:szCs w:val="18"/>
              </w:rPr>
              <w:t>Cash used</w:t>
            </w:r>
          </w:p>
        </w:tc>
        <w:tc>
          <w:tcPr>
            <w:tcW w:w="723" w:type="dxa"/>
            <w:tcBorders>
              <w:top w:val="nil"/>
              <w:left w:val="nil"/>
              <w:bottom w:val="nil"/>
              <w:right w:val="nil"/>
            </w:tcBorders>
            <w:shd w:val="clear" w:color="FFFFFF" w:fill="FFFFFF"/>
            <w:noWrap/>
            <w:vAlign w:val="bottom"/>
            <w:hideMark/>
          </w:tcPr>
          <w:p w14:paraId="02674D2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500766E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70352F5"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659263D5"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C0CD29F"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2F8FB59"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4CF5A27"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17506CE1" w14:textId="77777777" w:rsidTr="005E5E0C">
        <w:trPr>
          <w:trHeight w:val="253"/>
        </w:trPr>
        <w:tc>
          <w:tcPr>
            <w:tcW w:w="4488" w:type="dxa"/>
            <w:tcBorders>
              <w:top w:val="nil"/>
              <w:left w:val="nil"/>
              <w:bottom w:val="nil"/>
              <w:right w:val="nil"/>
            </w:tcBorders>
            <w:shd w:val="clear" w:color="FFFFFF" w:fill="FFFFFF"/>
            <w:vAlign w:val="bottom"/>
            <w:hideMark/>
          </w:tcPr>
          <w:p w14:paraId="67500BBF" w14:textId="77777777" w:rsidR="00520333" w:rsidRPr="006D688A" w:rsidRDefault="00520333" w:rsidP="005E5E0C">
            <w:pPr>
              <w:spacing w:after="0"/>
              <w:ind w:firstLineChars="100" w:firstLine="180"/>
              <w:rPr>
                <w:rFonts w:cs="Arial"/>
                <w:sz w:val="18"/>
                <w:szCs w:val="18"/>
              </w:rPr>
            </w:pPr>
            <w:r w:rsidRPr="006D688A">
              <w:rPr>
                <w:rFonts w:cs="Arial"/>
                <w:sz w:val="18"/>
                <w:szCs w:val="18"/>
              </w:rPr>
              <w:t>Employee benefits</w:t>
            </w:r>
          </w:p>
        </w:tc>
        <w:tc>
          <w:tcPr>
            <w:tcW w:w="723" w:type="dxa"/>
            <w:tcBorders>
              <w:top w:val="nil"/>
              <w:left w:val="nil"/>
              <w:bottom w:val="nil"/>
              <w:right w:val="nil"/>
            </w:tcBorders>
            <w:shd w:val="clear" w:color="FFFFFF" w:fill="FFFFFF"/>
            <w:noWrap/>
            <w:vAlign w:val="bottom"/>
            <w:hideMark/>
          </w:tcPr>
          <w:p w14:paraId="04DF79E1"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0C5357E7" w14:textId="77777777" w:rsidR="00520333" w:rsidRPr="006D688A" w:rsidRDefault="00520333" w:rsidP="005E5E0C">
            <w:pPr>
              <w:spacing w:after="0"/>
              <w:jc w:val="right"/>
              <w:rPr>
                <w:rFonts w:cs="Arial"/>
                <w:b/>
                <w:bCs/>
                <w:sz w:val="18"/>
                <w:szCs w:val="18"/>
              </w:rPr>
            </w:pPr>
            <w:r w:rsidRPr="006D688A">
              <w:rPr>
                <w:rFonts w:cs="Arial"/>
                <w:b/>
                <w:bCs/>
                <w:sz w:val="18"/>
                <w:szCs w:val="18"/>
              </w:rPr>
              <w:t>710,428</w:t>
            </w:r>
          </w:p>
        </w:tc>
        <w:tc>
          <w:tcPr>
            <w:tcW w:w="236" w:type="dxa"/>
            <w:tcBorders>
              <w:top w:val="nil"/>
              <w:left w:val="nil"/>
              <w:bottom w:val="nil"/>
              <w:right w:val="nil"/>
            </w:tcBorders>
            <w:shd w:val="clear" w:color="FFFFFF" w:fill="FFFFFF"/>
            <w:noWrap/>
            <w:vAlign w:val="bottom"/>
            <w:hideMark/>
          </w:tcPr>
          <w:p w14:paraId="745FDE01"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1CD4C932" w14:textId="77777777" w:rsidR="00520333" w:rsidRPr="006D688A" w:rsidRDefault="00520333" w:rsidP="005E5E0C">
            <w:pPr>
              <w:spacing w:after="0"/>
              <w:jc w:val="right"/>
              <w:rPr>
                <w:rFonts w:cs="Arial"/>
                <w:sz w:val="18"/>
                <w:szCs w:val="18"/>
              </w:rPr>
            </w:pPr>
            <w:r w:rsidRPr="006D688A">
              <w:rPr>
                <w:rFonts w:cs="Arial"/>
                <w:sz w:val="18"/>
                <w:szCs w:val="18"/>
              </w:rPr>
              <w:t>539,546</w:t>
            </w:r>
          </w:p>
        </w:tc>
        <w:tc>
          <w:tcPr>
            <w:tcW w:w="236" w:type="dxa"/>
            <w:tcBorders>
              <w:top w:val="nil"/>
              <w:left w:val="nil"/>
              <w:bottom w:val="nil"/>
              <w:right w:val="nil"/>
            </w:tcBorders>
            <w:shd w:val="clear" w:color="FFFFFF" w:fill="FFFFFF"/>
            <w:noWrap/>
            <w:vAlign w:val="bottom"/>
            <w:hideMark/>
          </w:tcPr>
          <w:p w14:paraId="2A374E5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26C45A63" w14:textId="77777777" w:rsidR="00520333" w:rsidRPr="006D688A" w:rsidRDefault="00520333" w:rsidP="005E5E0C">
            <w:pPr>
              <w:spacing w:after="0"/>
              <w:jc w:val="right"/>
              <w:rPr>
                <w:rFonts w:cs="Arial"/>
                <w:sz w:val="18"/>
                <w:szCs w:val="18"/>
              </w:rPr>
            </w:pPr>
            <w:r w:rsidRPr="006D688A">
              <w:rPr>
                <w:rFonts w:cs="Arial"/>
                <w:sz w:val="18"/>
                <w:szCs w:val="18"/>
              </w:rPr>
              <w:t>650,913</w:t>
            </w:r>
          </w:p>
        </w:tc>
        <w:tc>
          <w:tcPr>
            <w:tcW w:w="236" w:type="dxa"/>
            <w:tcBorders>
              <w:top w:val="nil"/>
              <w:left w:val="nil"/>
              <w:bottom w:val="nil"/>
              <w:right w:val="nil"/>
            </w:tcBorders>
            <w:shd w:val="clear" w:color="FFFFFF" w:fill="FFFFFF"/>
            <w:noWrap/>
            <w:vAlign w:val="bottom"/>
            <w:hideMark/>
          </w:tcPr>
          <w:p w14:paraId="55CC3D17"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6E2691A" w14:textId="77777777" w:rsidTr="005E5E0C">
        <w:trPr>
          <w:trHeight w:val="250"/>
        </w:trPr>
        <w:tc>
          <w:tcPr>
            <w:tcW w:w="4488" w:type="dxa"/>
            <w:tcBorders>
              <w:top w:val="nil"/>
              <w:left w:val="nil"/>
              <w:bottom w:val="nil"/>
              <w:right w:val="nil"/>
            </w:tcBorders>
            <w:shd w:val="clear" w:color="FFFFFF" w:fill="FFFFFF"/>
            <w:vAlign w:val="bottom"/>
            <w:hideMark/>
          </w:tcPr>
          <w:p w14:paraId="036DBF32" w14:textId="77777777" w:rsidR="00520333" w:rsidRPr="006D688A" w:rsidRDefault="00520333" w:rsidP="005E5E0C">
            <w:pPr>
              <w:spacing w:after="0"/>
              <w:ind w:firstLineChars="100" w:firstLine="180"/>
              <w:rPr>
                <w:rFonts w:cs="Arial"/>
                <w:sz w:val="18"/>
                <w:szCs w:val="18"/>
              </w:rPr>
            </w:pPr>
            <w:r w:rsidRPr="006D688A">
              <w:rPr>
                <w:rFonts w:cs="Arial"/>
                <w:sz w:val="18"/>
                <w:szCs w:val="18"/>
              </w:rPr>
              <w:t>Supplier expenses</w:t>
            </w:r>
          </w:p>
        </w:tc>
        <w:tc>
          <w:tcPr>
            <w:tcW w:w="723" w:type="dxa"/>
            <w:tcBorders>
              <w:top w:val="nil"/>
              <w:left w:val="nil"/>
              <w:bottom w:val="nil"/>
              <w:right w:val="nil"/>
            </w:tcBorders>
            <w:shd w:val="clear" w:color="FFFFFF" w:fill="FFFFFF"/>
            <w:noWrap/>
            <w:vAlign w:val="bottom"/>
            <w:hideMark/>
          </w:tcPr>
          <w:p w14:paraId="244C914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286DCF12" w14:textId="77777777" w:rsidR="00520333" w:rsidRPr="006D688A" w:rsidRDefault="00520333" w:rsidP="005E5E0C">
            <w:pPr>
              <w:spacing w:after="0"/>
              <w:jc w:val="right"/>
              <w:rPr>
                <w:rFonts w:cs="Arial"/>
                <w:b/>
                <w:bCs/>
                <w:sz w:val="18"/>
                <w:szCs w:val="18"/>
              </w:rPr>
            </w:pPr>
            <w:r w:rsidRPr="006D688A">
              <w:rPr>
                <w:rFonts w:cs="Arial"/>
                <w:b/>
                <w:bCs/>
                <w:sz w:val="18"/>
                <w:szCs w:val="18"/>
              </w:rPr>
              <w:t>766,421</w:t>
            </w:r>
          </w:p>
        </w:tc>
        <w:tc>
          <w:tcPr>
            <w:tcW w:w="236" w:type="dxa"/>
            <w:tcBorders>
              <w:top w:val="nil"/>
              <w:left w:val="nil"/>
              <w:bottom w:val="nil"/>
              <w:right w:val="nil"/>
            </w:tcBorders>
            <w:shd w:val="clear" w:color="FFFFFF" w:fill="FFFFFF"/>
            <w:noWrap/>
            <w:vAlign w:val="bottom"/>
            <w:hideMark/>
          </w:tcPr>
          <w:p w14:paraId="17ADB890"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7E8E29AD" w14:textId="77777777" w:rsidR="00520333" w:rsidRPr="006D688A" w:rsidRDefault="00520333" w:rsidP="005E5E0C">
            <w:pPr>
              <w:spacing w:after="0"/>
              <w:jc w:val="right"/>
              <w:rPr>
                <w:rFonts w:cs="Arial"/>
                <w:sz w:val="18"/>
                <w:szCs w:val="18"/>
              </w:rPr>
            </w:pPr>
            <w:r w:rsidRPr="006D688A">
              <w:rPr>
                <w:rFonts w:cs="Arial"/>
                <w:sz w:val="18"/>
                <w:szCs w:val="18"/>
              </w:rPr>
              <w:t>800,260</w:t>
            </w:r>
          </w:p>
        </w:tc>
        <w:tc>
          <w:tcPr>
            <w:tcW w:w="236" w:type="dxa"/>
            <w:tcBorders>
              <w:top w:val="nil"/>
              <w:left w:val="nil"/>
              <w:bottom w:val="nil"/>
              <w:right w:val="nil"/>
            </w:tcBorders>
            <w:shd w:val="clear" w:color="FFFFFF" w:fill="FFFFFF"/>
            <w:noWrap/>
            <w:vAlign w:val="bottom"/>
            <w:hideMark/>
          </w:tcPr>
          <w:p w14:paraId="2EE1C8FC"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26E83E32" w14:textId="77777777" w:rsidR="00520333" w:rsidRPr="006D688A" w:rsidRDefault="00520333" w:rsidP="005E5E0C">
            <w:pPr>
              <w:spacing w:after="0"/>
              <w:jc w:val="right"/>
              <w:rPr>
                <w:rFonts w:cs="Arial"/>
                <w:sz w:val="18"/>
                <w:szCs w:val="18"/>
              </w:rPr>
            </w:pPr>
            <w:r w:rsidRPr="006D688A">
              <w:rPr>
                <w:rFonts w:cs="Arial"/>
                <w:sz w:val="18"/>
                <w:szCs w:val="18"/>
              </w:rPr>
              <w:t>1,779,736</w:t>
            </w:r>
          </w:p>
        </w:tc>
        <w:tc>
          <w:tcPr>
            <w:tcW w:w="236" w:type="dxa"/>
            <w:tcBorders>
              <w:top w:val="nil"/>
              <w:left w:val="nil"/>
              <w:bottom w:val="nil"/>
              <w:right w:val="nil"/>
            </w:tcBorders>
            <w:shd w:val="clear" w:color="FFFFFF" w:fill="FFFFFF"/>
            <w:noWrap/>
            <w:vAlign w:val="bottom"/>
            <w:hideMark/>
          </w:tcPr>
          <w:p w14:paraId="36A6C50E"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70B3D071" w14:textId="77777777" w:rsidTr="005E5E0C">
        <w:trPr>
          <w:trHeight w:val="250"/>
        </w:trPr>
        <w:tc>
          <w:tcPr>
            <w:tcW w:w="4488" w:type="dxa"/>
            <w:tcBorders>
              <w:top w:val="nil"/>
              <w:left w:val="nil"/>
              <w:bottom w:val="nil"/>
              <w:right w:val="nil"/>
            </w:tcBorders>
            <w:shd w:val="clear" w:color="FFFFFF" w:fill="FFFFFF"/>
            <w:vAlign w:val="bottom"/>
            <w:hideMark/>
          </w:tcPr>
          <w:p w14:paraId="26E6DB12" w14:textId="77777777" w:rsidR="00520333" w:rsidRPr="006D688A" w:rsidRDefault="00520333" w:rsidP="005E5E0C">
            <w:pPr>
              <w:spacing w:after="0"/>
              <w:ind w:firstLineChars="100" w:firstLine="180"/>
              <w:rPr>
                <w:rFonts w:cs="Arial"/>
                <w:sz w:val="18"/>
                <w:szCs w:val="18"/>
              </w:rPr>
            </w:pPr>
            <w:r w:rsidRPr="006D688A">
              <w:rPr>
                <w:rFonts w:cs="Arial"/>
                <w:sz w:val="18"/>
                <w:szCs w:val="18"/>
              </w:rPr>
              <w:t>Interest payments on lease liabilities</w:t>
            </w:r>
          </w:p>
        </w:tc>
        <w:tc>
          <w:tcPr>
            <w:tcW w:w="723" w:type="dxa"/>
            <w:tcBorders>
              <w:top w:val="nil"/>
              <w:left w:val="nil"/>
              <w:bottom w:val="nil"/>
              <w:right w:val="nil"/>
            </w:tcBorders>
            <w:shd w:val="clear" w:color="FFFFFF" w:fill="FFFFFF"/>
            <w:noWrap/>
            <w:vAlign w:val="bottom"/>
            <w:hideMark/>
          </w:tcPr>
          <w:p w14:paraId="016F061A"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1B49CEA4" w14:textId="77777777" w:rsidR="00520333" w:rsidRPr="006D688A" w:rsidRDefault="00520333" w:rsidP="005E5E0C">
            <w:pPr>
              <w:spacing w:after="0"/>
              <w:jc w:val="right"/>
              <w:rPr>
                <w:rFonts w:cs="Arial"/>
                <w:b/>
                <w:bCs/>
                <w:sz w:val="18"/>
                <w:szCs w:val="18"/>
              </w:rPr>
            </w:pPr>
            <w:r w:rsidRPr="006D688A">
              <w:rPr>
                <w:rFonts w:cs="Arial"/>
                <w:b/>
                <w:bCs/>
                <w:sz w:val="18"/>
                <w:szCs w:val="18"/>
              </w:rPr>
              <w:t>3,000</w:t>
            </w:r>
          </w:p>
        </w:tc>
        <w:tc>
          <w:tcPr>
            <w:tcW w:w="236" w:type="dxa"/>
            <w:tcBorders>
              <w:top w:val="nil"/>
              <w:left w:val="nil"/>
              <w:bottom w:val="nil"/>
              <w:right w:val="nil"/>
            </w:tcBorders>
            <w:shd w:val="clear" w:color="FFFFFF" w:fill="FFFFFF"/>
            <w:noWrap/>
            <w:vAlign w:val="bottom"/>
            <w:hideMark/>
          </w:tcPr>
          <w:p w14:paraId="79893015"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1F069E6A" w14:textId="77777777" w:rsidR="00520333" w:rsidRPr="006D688A" w:rsidRDefault="00520333" w:rsidP="005E5E0C">
            <w:pPr>
              <w:spacing w:after="0"/>
              <w:jc w:val="right"/>
              <w:rPr>
                <w:rFonts w:cs="Arial"/>
                <w:sz w:val="18"/>
                <w:szCs w:val="18"/>
              </w:rPr>
            </w:pPr>
            <w:r w:rsidRPr="006D688A">
              <w:rPr>
                <w:rFonts w:cs="Arial"/>
                <w:sz w:val="18"/>
                <w:szCs w:val="18"/>
              </w:rPr>
              <w:t>1,555</w:t>
            </w:r>
          </w:p>
        </w:tc>
        <w:tc>
          <w:tcPr>
            <w:tcW w:w="236" w:type="dxa"/>
            <w:tcBorders>
              <w:top w:val="nil"/>
              <w:left w:val="nil"/>
              <w:bottom w:val="nil"/>
              <w:right w:val="nil"/>
            </w:tcBorders>
            <w:shd w:val="clear" w:color="FFFFFF" w:fill="FFFFFF"/>
            <w:noWrap/>
            <w:vAlign w:val="bottom"/>
            <w:hideMark/>
          </w:tcPr>
          <w:p w14:paraId="5BF7FF47"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4093E87" w14:textId="77777777" w:rsidR="00520333" w:rsidRPr="006D688A" w:rsidRDefault="00520333" w:rsidP="005E5E0C">
            <w:pPr>
              <w:spacing w:after="0"/>
              <w:jc w:val="right"/>
              <w:rPr>
                <w:rFonts w:cs="Arial"/>
                <w:sz w:val="18"/>
                <w:szCs w:val="18"/>
              </w:rPr>
            </w:pPr>
            <w:r w:rsidRPr="006D688A">
              <w:rPr>
                <w:rFonts w:cs="Arial"/>
                <w:sz w:val="18"/>
                <w:szCs w:val="18"/>
              </w:rPr>
              <w:t>2,462</w:t>
            </w:r>
          </w:p>
        </w:tc>
        <w:tc>
          <w:tcPr>
            <w:tcW w:w="236" w:type="dxa"/>
            <w:tcBorders>
              <w:top w:val="nil"/>
              <w:left w:val="nil"/>
              <w:bottom w:val="nil"/>
              <w:right w:val="nil"/>
            </w:tcBorders>
            <w:shd w:val="clear" w:color="FFFFFF" w:fill="FFFFFF"/>
            <w:noWrap/>
            <w:vAlign w:val="bottom"/>
            <w:hideMark/>
          </w:tcPr>
          <w:p w14:paraId="01B0A4ED"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48CEE27" w14:textId="77777777" w:rsidTr="005E5E0C">
        <w:trPr>
          <w:trHeight w:val="250"/>
        </w:trPr>
        <w:tc>
          <w:tcPr>
            <w:tcW w:w="4488" w:type="dxa"/>
            <w:tcBorders>
              <w:top w:val="nil"/>
              <w:left w:val="nil"/>
              <w:bottom w:val="nil"/>
              <w:right w:val="nil"/>
            </w:tcBorders>
            <w:shd w:val="clear" w:color="FFFFFF" w:fill="FFFFFF"/>
            <w:vAlign w:val="bottom"/>
            <w:hideMark/>
          </w:tcPr>
          <w:p w14:paraId="3D506FAC" w14:textId="77777777" w:rsidR="00520333" w:rsidRPr="006D688A" w:rsidRDefault="00520333" w:rsidP="005E5E0C">
            <w:pPr>
              <w:spacing w:after="0"/>
              <w:ind w:firstLineChars="100" w:firstLine="180"/>
              <w:rPr>
                <w:rFonts w:cs="Arial"/>
                <w:sz w:val="18"/>
                <w:szCs w:val="18"/>
              </w:rPr>
            </w:pPr>
            <w:r w:rsidRPr="006D688A">
              <w:rPr>
                <w:rFonts w:cs="Arial"/>
                <w:sz w:val="18"/>
                <w:szCs w:val="18"/>
              </w:rPr>
              <w:t>Community partnership costs</w:t>
            </w:r>
          </w:p>
        </w:tc>
        <w:tc>
          <w:tcPr>
            <w:tcW w:w="723" w:type="dxa"/>
            <w:tcBorders>
              <w:top w:val="nil"/>
              <w:left w:val="nil"/>
              <w:bottom w:val="nil"/>
              <w:right w:val="nil"/>
            </w:tcBorders>
            <w:shd w:val="clear" w:color="FFFFFF" w:fill="FFFFFF"/>
            <w:noWrap/>
            <w:vAlign w:val="bottom"/>
            <w:hideMark/>
          </w:tcPr>
          <w:p w14:paraId="51D8E430"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08B6E2F4" w14:textId="77777777" w:rsidR="00520333" w:rsidRPr="006D688A" w:rsidRDefault="00520333" w:rsidP="005E5E0C">
            <w:pPr>
              <w:spacing w:after="0"/>
              <w:jc w:val="right"/>
              <w:rPr>
                <w:rFonts w:cs="Arial"/>
                <w:b/>
                <w:bCs/>
                <w:sz w:val="18"/>
                <w:szCs w:val="18"/>
              </w:rPr>
            </w:pPr>
            <w:r w:rsidRPr="006D688A">
              <w:rPr>
                <w:rFonts w:cs="Arial"/>
                <w:b/>
                <w:bCs/>
                <w:sz w:val="18"/>
                <w:szCs w:val="18"/>
              </w:rPr>
              <w:t>606,488</w:t>
            </w:r>
          </w:p>
        </w:tc>
        <w:tc>
          <w:tcPr>
            <w:tcW w:w="236" w:type="dxa"/>
            <w:tcBorders>
              <w:top w:val="nil"/>
              <w:left w:val="nil"/>
              <w:bottom w:val="nil"/>
              <w:right w:val="nil"/>
            </w:tcBorders>
            <w:shd w:val="clear" w:color="FFFFFF" w:fill="FFFFFF"/>
            <w:noWrap/>
            <w:vAlign w:val="bottom"/>
            <w:hideMark/>
          </w:tcPr>
          <w:p w14:paraId="6B2D5220"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4B48B43" w14:textId="77777777" w:rsidR="00520333" w:rsidRPr="006D688A" w:rsidRDefault="00520333" w:rsidP="005E5E0C">
            <w:pPr>
              <w:spacing w:after="0"/>
              <w:jc w:val="right"/>
              <w:rPr>
                <w:rFonts w:cs="Arial"/>
                <w:sz w:val="18"/>
                <w:szCs w:val="18"/>
              </w:rPr>
            </w:pPr>
            <w:r w:rsidRPr="006D688A">
              <w:rPr>
                <w:rFonts w:cs="Arial"/>
                <w:sz w:val="18"/>
                <w:szCs w:val="18"/>
              </w:rPr>
              <w:t>608,767</w:t>
            </w:r>
          </w:p>
        </w:tc>
        <w:tc>
          <w:tcPr>
            <w:tcW w:w="236" w:type="dxa"/>
            <w:tcBorders>
              <w:top w:val="nil"/>
              <w:left w:val="nil"/>
              <w:bottom w:val="nil"/>
              <w:right w:val="nil"/>
            </w:tcBorders>
            <w:shd w:val="clear" w:color="FFFFFF" w:fill="FFFFFF"/>
            <w:noWrap/>
            <w:vAlign w:val="bottom"/>
            <w:hideMark/>
          </w:tcPr>
          <w:p w14:paraId="5D4F6A1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4AA5217C"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c>
          <w:tcPr>
            <w:tcW w:w="236" w:type="dxa"/>
            <w:tcBorders>
              <w:top w:val="nil"/>
              <w:left w:val="nil"/>
              <w:bottom w:val="nil"/>
              <w:right w:val="nil"/>
            </w:tcBorders>
            <w:shd w:val="clear" w:color="FFFFFF" w:fill="FFFFFF"/>
            <w:noWrap/>
            <w:vAlign w:val="bottom"/>
            <w:hideMark/>
          </w:tcPr>
          <w:p w14:paraId="3C026FEF"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581C9AC9" w14:textId="77777777" w:rsidTr="005E5E0C">
        <w:trPr>
          <w:trHeight w:val="250"/>
        </w:trPr>
        <w:tc>
          <w:tcPr>
            <w:tcW w:w="4488" w:type="dxa"/>
            <w:tcBorders>
              <w:top w:val="nil"/>
              <w:left w:val="nil"/>
              <w:bottom w:val="nil"/>
              <w:right w:val="nil"/>
            </w:tcBorders>
            <w:shd w:val="clear" w:color="FFFFFF" w:fill="FFFFFF"/>
            <w:vAlign w:val="bottom"/>
            <w:hideMark/>
          </w:tcPr>
          <w:p w14:paraId="6D992F33" w14:textId="77777777" w:rsidR="00520333" w:rsidRPr="006D688A" w:rsidRDefault="00520333" w:rsidP="005E5E0C">
            <w:pPr>
              <w:spacing w:after="0"/>
              <w:ind w:firstLineChars="100" w:firstLine="180"/>
              <w:rPr>
                <w:rFonts w:cs="Arial"/>
                <w:sz w:val="18"/>
                <w:szCs w:val="18"/>
              </w:rPr>
            </w:pPr>
            <w:r w:rsidRPr="006D688A">
              <w:rPr>
                <w:rFonts w:cs="Arial"/>
                <w:sz w:val="18"/>
                <w:szCs w:val="18"/>
              </w:rPr>
              <w:t>Participant plan expenses</w:t>
            </w:r>
          </w:p>
        </w:tc>
        <w:tc>
          <w:tcPr>
            <w:tcW w:w="723" w:type="dxa"/>
            <w:tcBorders>
              <w:top w:val="nil"/>
              <w:left w:val="nil"/>
              <w:bottom w:val="nil"/>
              <w:right w:val="nil"/>
            </w:tcBorders>
            <w:shd w:val="clear" w:color="FFFFFF" w:fill="FFFFFF"/>
            <w:noWrap/>
            <w:vAlign w:val="bottom"/>
            <w:hideMark/>
          </w:tcPr>
          <w:p w14:paraId="28B499FC"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33842619" w14:textId="77777777" w:rsidR="00520333" w:rsidRPr="006D688A" w:rsidRDefault="00520333" w:rsidP="005E5E0C">
            <w:pPr>
              <w:spacing w:after="0"/>
              <w:jc w:val="right"/>
              <w:rPr>
                <w:rFonts w:cs="Arial"/>
                <w:b/>
                <w:bCs/>
                <w:sz w:val="18"/>
                <w:szCs w:val="18"/>
              </w:rPr>
            </w:pPr>
            <w:r w:rsidRPr="006D688A">
              <w:rPr>
                <w:rFonts w:cs="Arial"/>
                <w:b/>
                <w:bCs/>
                <w:sz w:val="18"/>
                <w:szCs w:val="18"/>
              </w:rPr>
              <w:t>40,365,869</w:t>
            </w:r>
          </w:p>
        </w:tc>
        <w:tc>
          <w:tcPr>
            <w:tcW w:w="236" w:type="dxa"/>
            <w:tcBorders>
              <w:top w:val="nil"/>
              <w:left w:val="nil"/>
              <w:bottom w:val="nil"/>
              <w:right w:val="nil"/>
            </w:tcBorders>
            <w:shd w:val="clear" w:color="FFFFFF" w:fill="FFFFFF"/>
            <w:noWrap/>
            <w:vAlign w:val="bottom"/>
            <w:hideMark/>
          </w:tcPr>
          <w:p w14:paraId="6FB666D8"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3945D89" w14:textId="77777777" w:rsidR="00520333" w:rsidRPr="006D688A" w:rsidRDefault="00520333" w:rsidP="005E5E0C">
            <w:pPr>
              <w:spacing w:after="0"/>
              <w:jc w:val="right"/>
              <w:rPr>
                <w:rFonts w:cs="Arial"/>
                <w:sz w:val="18"/>
                <w:szCs w:val="18"/>
              </w:rPr>
            </w:pPr>
            <w:r w:rsidRPr="006D688A">
              <w:rPr>
                <w:rFonts w:cs="Arial"/>
                <w:sz w:val="18"/>
                <w:szCs w:val="18"/>
              </w:rPr>
              <w:t>34,109,901</w:t>
            </w:r>
          </w:p>
        </w:tc>
        <w:tc>
          <w:tcPr>
            <w:tcW w:w="236" w:type="dxa"/>
            <w:tcBorders>
              <w:top w:val="nil"/>
              <w:left w:val="nil"/>
              <w:bottom w:val="nil"/>
              <w:right w:val="nil"/>
            </w:tcBorders>
            <w:shd w:val="clear" w:color="FFFFFF" w:fill="FFFFFF"/>
            <w:noWrap/>
            <w:vAlign w:val="bottom"/>
            <w:hideMark/>
          </w:tcPr>
          <w:p w14:paraId="2DD52E5B"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66602DE0" w14:textId="77777777" w:rsidR="00520333" w:rsidRPr="006D688A" w:rsidRDefault="00520333" w:rsidP="005E5E0C">
            <w:pPr>
              <w:spacing w:after="0"/>
              <w:jc w:val="right"/>
              <w:rPr>
                <w:rFonts w:cs="Arial"/>
                <w:sz w:val="18"/>
                <w:szCs w:val="18"/>
              </w:rPr>
            </w:pPr>
            <w:r w:rsidRPr="006D688A">
              <w:rPr>
                <w:rFonts w:cs="Arial"/>
                <w:sz w:val="18"/>
                <w:szCs w:val="18"/>
              </w:rPr>
              <w:t>38,733,838</w:t>
            </w:r>
          </w:p>
        </w:tc>
        <w:tc>
          <w:tcPr>
            <w:tcW w:w="236" w:type="dxa"/>
            <w:tcBorders>
              <w:top w:val="nil"/>
              <w:left w:val="nil"/>
              <w:bottom w:val="nil"/>
              <w:right w:val="nil"/>
            </w:tcBorders>
            <w:shd w:val="clear" w:color="FFFFFF" w:fill="FFFFFF"/>
            <w:noWrap/>
            <w:vAlign w:val="bottom"/>
            <w:hideMark/>
          </w:tcPr>
          <w:p w14:paraId="12CCDBE5"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25E9D87D" w14:textId="77777777" w:rsidTr="005E5E0C">
        <w:trPr>
          <w:trHeight w:val="250"/>
        </w:trPr>
        <w:tc>
          <w:tcPr>
            <w:tcW w:w="4488" w:type="dxa"/>
            <w:tcBorders>
              <w:top w:val="nil"/>
              <w:left w:val="nil"/>
              <w:bottom w:val="nil"/>
              <w:right w:val="nil"/>
            </w:tcBorders>
            <w:shd w:val="clear" w:color="FFFFFF" w:fill="FFFFFF"/>
            <w:vAlign w:val="bottom"/>
            <w:hideMark/>
          </w:tcPr>
          <w:p w14:paraId="5C6AEC81" w14:textId="77777777" w:rsidR="00520333" w:rsidRPr="006D688A" w:rsidRDefault="00520333" w:rsidP="005E5E0C">
            <w:pPr>
              <w:spacing w:after="0"/>
              <w:ind w:firstLineChars="100" w:firstLine="180"/>
              <w:rPr>
                <w:rFonts w:cs="Arial"/>
                <w:sz w:val="18"/>
                <w:szCs w:val="18"/>
              </w:rPr>
            </w:pPr>
            <w:r w:rsidRPr="006D688A">
              <w:rPr>
                <w:rFonts w:cs="Arial"/>
                <w:sz w:val="18"/>
                <w:szCs w:val="18"/>
              </w:rPr>
              <w:t>GST paid</w:t>
            </w:r>
          </w:p>
        </w:tc>
        <w:tc>
          <w:tcPr>
            <w:tcW w:w="723" w:type="dxa"/>
            <w:tcBorders>
              <w:top w:val="nil"/>
              <w:left w:val="nil"/>
              <w:bottom w:val="nil"/>
              <w:right w:val="nil"/>
            </w:tcBorders>
            <w:shd w:val="clear" w:color="FFFFFF" w:fill="FFFFFF"/>
            <w:noWrap/>
            <w:vAlign w:val="bottom"/>
            <w:hideMark/>
          </w:tcPr>
          <w:p w14:paraId="0D0008C1"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555C7934" w14:textId="77777777" w:rsidR="00520333" w:rsidRPr="006D688A" w:rsidRDefault="00520333" w:rsidP="005E5E0C">
            <w:pPr>
              <w:spacing w:after="0"/>
              <w:jc w:val="right"/>
              <w:rPr>
                <w:rFonts w:cs="Arial"/>
                <w:b/>
                <w:bCs/>
                <w:sz w:val="18"/>
                <w:szCs w:val="18"/>
              </w:rPr>
            </w:pPr>
            <w:r w:rsidRPr="006D688A">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57A2965B"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136F126E"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c>
          <w:tcPr>
            <w:tcW w:w="236" w:type="dxa"/>
            <w:tcBorders>
              <w:top w:val="nil"/>
              <w:left w:val="nil"/>
              <w:bottom w:val="nil"/>
              <w:right w:val="nil"/>
            </w:tcBorders>
            <w:shd w:val="clear" w:color="FFFFFF" w:fill="FFFFFF"/>
            <w:noWrap/>
            <w:vAlign w:val="bottom"/>
            <w:hideMark/>
          </w:tcPr>
          <w:p w14:paraId="2722B29F"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792B3B20" w14:textId="77777777" w:rsidR="00520333" w:rsidRPr="006D688A" w:rsidRDefault="00520333" w:rsidP="005E5E0C">
            <w:pPr>
              <w:spacing w:after="0"/>
              <w:jc w:val="right"/>
              <w:rPr>
                <w:rFonts w:cs="Arial"/>
                <w:sz w:val="18"/>
                <w:szCs w:val="18"/>
              </w:rPr>
            </w:pPr>
            <w:r w:rsidRPr="006D688A">
              <w:rPr>
                <w:rFonts w:cs="Arial"/>
                <w:sz w:val="18"/>
                <w:szCs w:val="18"/>
              </w:rPr>
              <w:t>86,558</w:t>
            </w:r>
          </w:p>
        </w:tc>
        <w:tc>
          <w:tcPr>
            <w:tcW w:w="236" w:type="dxa"/>
            <w:tcBorders>
              <w:top w:val="nil"/>
              <w:left w:val="nil"/>
              <w:bottom w:val="nil"/>
              <w:right w:val="nil"/>
            </w:tcBorders>
            <w:shd w:val="clear" w:color="FFFFFF" w:fill="FFFFFF"/>
            <w:noWrap/>
            <w:vAlign w:val="bottom"/>
            <w:hideMark/>
          </w:tcPr>
          <w:p w14:paraId="0A8831C4"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8AD2F00" w14:textId="77777777" w:rsidTr="005E5E0C">
        <w:trPr>
          <w:trHeight w:val="250"/>
        </w:trPr>
        <w:tc>
          <w:tcPr>
            <w:tcW w:w="4488" w:type="dxa"/>
            <w:tcBorders>
              <w:top w:val="nil"/>
              <w:left w:val="nil"/>
              <w:bottom w:val="nil"/>
              <w:right w:val="nil"/>
            </w:tcBorders>
            <w:shd w:val="clear" w:color="FFFFFF" w:fill="FFFFFF"/>
            <w:vAlign w:val="bottom"/>
            <w:hideMark/>
          </w:tcPr>
          <w:p w14:paraId="1722F44D" w14:textId="77777777" w:rsidR="00520333" w:rsidRPr="006D688A" w:rsidRDefault="00520333" w:rsidP="005E5E0C">
            <w:pPr>
              <w:spacing w:after="0"/>
              <w:ind w:firstLineChars="100" w:firstLine="180"/>
              <w:rPr>
                <w:rFonts w:cs="Arial"/>
                <w:sz w:val="18"/>
                <w:szCs w:val="18"/>
              </w:rPr>
            </w:pPr>
            <w:r w:rsidRPr="006D688A">
              <w:rPr>
                <w:rFonts w:cs="Arial"/>
                <w:sz w:val="18"/>
                <w:szCs w:val="18"/>
              </w:rPr>
              <w:t>Grant payments</w:t>
            </w:r>
          </w:p>
        </w:tc>
        <w:tc>
          <w:tcPr>
            <w:tcW w:w="723" w:type="dxa"/>
            <w:tcBorders>
              <w:top w:val="nil"/>
              <w:left w:val="nil"/>
              <w:bottom w:val="nil"/>
              <w:right w:val="nil"/>
            </w:tcBorders>
            <w:shd w:val="clear" w:color="FFFFFF" w:fill="FFFFFF"/>
            <w:noWrap/>
            <w:vAlign w:val="bottom"/>
            <w:hideMark/>
          </w:tcPr>
          <w:p w14:paraId="3302ECFD"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124A7689" w14:textId="77777777" w:rsidR="00520333" w:rsidRPr="006D688A" w:rsidRDefault="00520333" w:rsidP="005E5E0C">
            <w:pPr>
              <w:spacing w:after="0"/>
              <w:jc w:val="right"/>
              <w:rPr>
                <w:rFonts w:cs="Arial"/>
                <w:b/>
                <w:bCs/>
                <w:sz w:val="18"/>
                <w:szCs w:val="18"/>
              </w:rPr>
            </w:pPr>
            <w:r w:rsidRPr="006D688A">
              <w:rPr>
                <w:rFonts w:cs="Arial"/>
                <w:b/>
                <w:bCs/>
                <w:sz w:val="18"/>
                <w:szCs w:val="18"/>
              </w:rPr>
              <w:t>5,237</w:t>
            </w:r>
          </w:p>
        </w:tc>
        <w:tc>
          <w:tcPr>
            <w:tcW w:w="236" w:type="dxa"/>
            <w:tcBorders>
              <w:top w:val="nil"/>
              <w:left w:val="nil"/>
              <w:bottom w:val="nil"/>
              <w:right w:val="nil"/>
            </w:tcBorders>
            <w:shd w:val="clear" w:color="FFFFFF" w:fill="FFFFFF"/>
            <w:noWrap/>
            <w:vAlign w:val="bottom"/>
            <w:hideMark/>
          </w:tcPr>
          <w:p w14:paraId="4DB22A54"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70EBA12" w14:textId="77777777" w:rsidR="00520333" w:rsidRPr="006D688A" w:rsidRDefault="00520333" w:rsidP="005E5E0C">
            <w:pPr>
              <w:spacing w:after="0"/>
              <w:jc w:val="right"/>
              <w:rPr>
                <w:rFonts w:cs="Arial"/>
                <w:sz w:val="18"/>
                <w:szCs w:val="18"/>
              </w:rPr>
            </w:pPr>
            <w:r w:rsidRPr="006D688A">
              <w:rPr>
                <w:rFonts w:cs="Arial"/>
                <w:sz w:val="18"/>
                <w:szCs w:val="18"/>
              </w:rPr>
              <w:t>523</w:t>
            </w:r>
          </w:p>
        </w:tc>
        <w:tc>
          <w:tcPr>
            <w:tcW w:w="236" w:type="dxa"/>
            <w:tcBorders>
              <w:top w:val="nil"/>
              <w:left w:val="nil"/>
              <w:bottom w:val="nil"/>
              <w:right w:val="nil"/>
            </w:tcBorders>
            <w:shd w:val="clear" w:color="FFFFFF" w:fill="FFFFFF"/>
            <w:noWrap/>
            <w:vAlign w:val="bottom"/>
            <w:hideMark/>
          </w:tcPr>
          <w:p w14:paraId="1B05316A"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31456010"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c>
          <w:tcPr>
            <w:tcW w:w="236" w:type="dxa"/>
            <w:tcBorders>
              <w:top w:val="nil"/>
              <w:left w:val="nil"/>
              <w:bottom w:val="nil"/>
              <w:right w:val="nil"/>
            </w:tcBorders>
            <w:shd w:val="clear" w:color="FFFFFF" w:fill="FFFFFF"/>
            <w:noWrap/>
            <w:vAlign w:val="bottom"/>
            <w:hideMark/>
          </w:tcPr>
          <w:p w14:paraId="4D831443"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0421F267" w14:textId="77777777" w:rsidTr="005E5E0C">
        <w:trPr>
          <w:trHeight w:val="250"/>
        </w:trPr>
        <w:tc>
          <w:tcPr>
            <w:tcW w:w="4488" w:type="dxa"/>
            <w:tcBorders>
              <w:top w:val="nil"/>
              <w:left w:val="nil"/>
              <w:bottom w:val="nil"/>
              <w:right w:val="nil"/>
            </w:tcBorders>
            <w:shd w:val="clear" w:color="FFFFFF" w:fill="FFFFFF"/>
            <w:vAlign w:val="bottom"/>
            <w:hideMark/>
          </w:tcPr>
          <w:p w14:paraId="66F0D29D" w14:textId="77777777" w:rsidR="00520333" w:rsidRPr="006D688A" w:rsidRDefault="00520333" w:rsidP="005E5E0C">
            <w:pPr>
              <w:spacing w:after="0"/>
              <w:rPr>
                <w:rFonts w:cs="Arial"/>
                <w:b/>
                <w:bCs/>
                <w:sz w:val="18"/>
                <w:szCs w:val="18"/>
              </w:rPr>
            </w:pPr>
            <w:r w:rsidRPr="006D688A">
              <w:rPr>
                <w:rFonts w:cs="Arial"/>
                <w:b/>
                <w:bCs/>
                <w:sz w:val="18"/>
                <w:szCs w:val="18"/>
              </w:rPr>
              <w:t>Total cash used</w:t>
            </w:r>
          </w:p>
        </w:tc>
        <w:tc>
          <w:tcPr>
            <w:tcW w:w="723" w:type="dxa"/>
            <w:tcBorders>
              <w:top w:val="nil"/>
              <w:left w:val="nil"/>
              <w:bottom w:val="nil"/>
              <w:right w:val="nil"/>
            </w:tcBorders>
            <w:shd w:val="clear" w:color="FFFFFF" w:fill="FFFFFF"/>
            <w:noWrap/>
            <w:vAlign w:val="bottom"/>
            <w:hideMark/>
          </w:tcPr>
          <w:p w14:paraId="3FCCB30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2AFD76F4" w14:textId="77777777" w:rsidR="00520333" w:rsidRPr="006D688A" w:rsidRDefault="00520333" w:rsidP="005E5E0C">
            <w:pPr>
              <w:spacing w:after="0"/>
              <w:jc w:val="right"/>
              <w:rPr>
                <w:rFonts w:cs="Arial"/>
                <w:b/>
                <w:bCs/>
                <w:sz w:val="18"/>
                <w:szCs w:val="18"/>
              </w:rPr>
            </w:pPr>
            <w:r w:rsidRPr="006D688A">
              <w:rPr>
                <w:rFonts w:cs="Arial"/>
                <w:b/>
                <w:bCs/>
                <w:sz w:val="18"/>
                <w:szCs w:val="18"/>
              </w:rPr>
              <w:t>42,457,443</w:t>
            </w:r>
          </w:p>
        </w:tc>
        <w:tc>
          <w:tcPr>
            <w:tcW w:w="236" w:type="dxa"/>
            <w:tcBorders>
              <w:top w:val="nil"/>
              <w:left w:val="nil"/>
              <w:bottom w:val="nil"/>
              <w:right w:val="nil"/>
            </w:tcBorders>
            <w:shd w:val="clear" w:color="FFFFFF" w:fill="FFFFFF"/>
            <w:noWrap/>
            <w:vAlign w:val="bottom"/>
            <w:hideMark/>
          </w:tcPr>
          <w:p w14:paraId="58C92CD4"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38C9B814" w14:textId="77777777" w:rsidR="00520333" w:rsidRPr="006D688A" w:rsidRDefault="00520333" w:rsidP="005E5E0C">
            <w:pPr>
              <w:spacing w:after="0"/>
              <w:jc w:val="right"/>
              <w:rPr>
                <w:rFonts w:cs="Arial"/>
                <w:sz w:val="18"/>
                <w:szCs w:val="18"/>
              </w:rPr>
            </w:pPr>
            <w:r w:rsidRPr="006D688A">
              <w:rPr>
                <w:rFonts w:cs="Arial"/>
                <w:sz w:val="18"/>
                <w:szCs w:val="18"/>
              </w:rPr>
              <w:t>36,060,552</w:t>
            </w:r>
          </w:p>
        </w:tc>
        <w:tc>
          <w:tcPr>
            <w:tcW w:w="236" w:type="dxa"/>
            <w:tcBorders>
              <w:top w:val="nil"/>
              <w:left w:val="nil"/>
              <w:bottom w:val="nil"/>
              <w:right w:val="nil"/>
            </w:tcBorders>
            <w:shd w:val="clear" w:color="FFFFFF" w:fill="FFFFFF"/>
            <w:noWrap/>
            <w:vAlign w:val="bottom"/>
            <w:hideMark/>
          </w:tcPr>
          <w:p w14:paraId="2DA7A2CB"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131D232F" w14:textId="77777777" w:rsidR="00520333" w:rsidRPr="006D688A" w:rsidRDefault="00520333" w:rsidP="005E5E0C">
            <w:pPr>
              <w:spacing w:after="0"/>
              <w:jc w:val="right"/>
              <w:rPr>
                <w:rFonts w:cs="Arial"/>
                <w:sz w:val="18"/>
                <w:szCs w:val="18"/>
              </w:rPr>
            </w:pPr>
            <w:r w:rsidRPr="006D688A">
              <w:rPr>
                <w:rFonts w:cs="Arial"/>
                <w:sz w:val="18"/>
                <w:szCs w:val="18"/>
              </w:rPr>
              <w:t>41,253,507</w:t>
            </w:r>
          </w:p>
        </w:tc>
        <w:tc>
          <w:tcPr>
            <w:tcW w:w="236" w:type="dxa"/>
            <w:tcBorders>
              <w:top w:val="nil"/>
              <w:left w:val="nil"/>
              <w:bottom w:val="nil"/>
              <w:right w:val="nil"/>
            </w:tcBorders>
            <w:shd w:val="clear" w:color="FFFFFF" w:fill="FFFFFF"/>
            <w:noWrap/>
            <w:vAlign w:val="bottom"/>
            <w:hideMark/>
          </w:tcPr>
          <w:p w14:paraId="5FDB88F4" w14:textId="77777777" w:rsidR="00520333" w:rsidRPr="006D688A" w:rsidRDefault="00520333" w:rsidP="005E5E0C">
            <w:pPr>
              <w:spacing w:after="0"/>
              <w:rPr>
                <w:rFonts w:cs="Arial"/>
                <w:sz w:val="18"/>
                <w:szCs w:val="18"/>
              </w:rPr>
            </w:pPr>
            <w:r w:rsidRPr="006D688A">
              <w:rPr>
                <w:rFonts w:cs="Arial"/>
                <w:sz w:val="18"/>
                <w:szCs w:val="18"/>
                <w:vertAlign w:val="superscript"/>
              </w:rPr>
              <w:t> </w:t>
            </w:r>
          </w:p>
        </w:tc>
      </w:tr>
      <w:tr w:rsidR="00520333" w:rsidRPr="006D688A" w14:paraId="4EB2EB26" w14:textId="77777777" w:rsidTr="005E5E0C">
        <w:trPr>
          <w:trHeight w:val="270"/>
        </w:trPr>
        <w:tc>
          <w:tcPr>
            <w:tcW w:w="4488" w:type="dxa"/>
            <w:tcBorders>
              <w:top w:val="nil"/>
              <w:left w:val="nil"/>
              <w:bottom w:val="nil"/>
              <w:right w:val="nil"/>
            </w:tcBorders>
            <w:shd w:val="clear" w:color="FFFFFF" w:fill="FFFFFF"/>
            <w:vAlign w:val="bottom"/>
            <w:hideMark/>
          </w:tcPr>
          <w:p w14:paraId="255D1344" w14:textId="77777777" w:rsidR="00520333" w:rsidRPr="006D688A" w:rsidRDefault="00520333" w:rsidP="005E5E0C">
            <w:pPr>
              <w:spacing w:after="0"/>
              <w:rPr>
                <w:rFonts w:cs="Arial"/>
                <w:b/>
                <w:bCs/>
                <w:sz w:val="18"/>
                <w:szCs w:val="18"/>
              </w:rPr>
            </w:pPr>
            <w:r w:rsidRPr="006D688A">
              <w:rPr>
                <w:rFonts w:cs="Arial"/>
                <w:b/>
                <w:bCs/>
                <w:sz w:val="18"/>
                <w:szCs w:val="18"/>
              </w:rPr>
              <w:t>Net cash from / (used by) operating activities</w:t>
            </w:r>
          </w:p>
        </w:tc>
        <w:tc>
          <w:tcPr>
            <w:tcW w:w="723" w:type="dxa"/>
            <w:tcBorders>
              <w:top w:val="nil"/>
              <w:left w:val="nil"/>
              <w:bottom w:val="nil"/>
              <w:right w:val="nil"/>
            </w:tcBorders>
            <w:shd w:val="clear" w:color="FFFFFF" w:fill="FFFFFF"/>
            <w:noWrap/>
            <w:vAlign w:val="bottom"/>
            <w:hideMark/>
          </w:tcPr>
          <w:p w14:paraId="7EB8D3D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single" w:sz="4" w:space="0" w:color="auto"/>
              <w:right w:val="nil"/>
            </w:tcBorders>
            <w:shd w:val="clear" w:color="FFFFFF" w:fill="FFFFFF"/>
            <w:noWrap/>
            <w:vAlign w:val="bottom"/>
            <w:hideMark/>
          </w:tcPr>
          <w:p w14:paraId="13A4E662" w14:textId="77777777" w:rsidR="00520333" w:rsidRPr="006D688A" w:rsidRDefault="00520333" w:rsidP="005E5E0C">
            <w:pPr>
              <w:spacing w:after="0"/>
              <w:jc w:val="right"/>
              <w:rPr>
                <w:rFonts w:cs="Arial"/>
                <w:b/>
                <w:bCs/>
                <w:sz w:val="18"/>
                <w:szCs w:val="18"/>
              </w:rPr>
            </w:pPr>
            <w:r w:rsidRPr="006D688A">
              <w:rPr>
                <w:rFonts w:cs="Arial"/>
                <w:b/>
                <w:bCs/>
                <w:sz w:val="18"/>
                <w:szCs w:val="18"/>
              </w:rPr>
              <w:t>1,482,236</w:t>
            </w:r>
          </w:p>
        </w:tc>
        <w:tc>
          <w:tcPr>
            <w:tcW w:w="236" w:type="dxa"/>
            <w:tcBorders>
              <w:top w:val="nil"/>
              <w:left w:val="nil"/>
              <w:bottom w:val="nil"/>
              <w:right w:val="nil"/>
            </w:tcBorders>
            <w:shd w:val="clear" w:color="FFFFFF" w:fill="FFFFFF"/>
            <w:noWrap/>
            <w:vAlign w:val="bottom"/>
            <w:hideMark/>
          </w:tcPr>
          <w:p w14:paraId="38270575"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single" w:sz="4" w:space="0" w:color="auto"/>
              <w:right w:val="nil"/>
            </w:tcBorders>
            <w:shd w:val="clear" w:color="FFFFFF" w:fill="FFFFFF"/>
            <w:noWrap/>
            <w:vAlign w:val="bottom"/>
            <w:hideMark/>
          </w:tcPr>
          <w:p w14:paraId="4C093AC3" w14:textId="77777777" w:rsidR="00520333" w:rsidRPr="006D688A" w:rsidRDefault="00520333" w:rsidP="005E5E0C">
            <w:pPr>
              <w:spacing w:after="0"/>
              <w:jc w:val="right"/>
              <w:rPr>
                <w:rFonts w:cs="Arial"/>
                <w:sz w:val="18"/>
                <w:szCs w:val="18"/>
              </w:rPr>
            </w:pPr>
            <w:r w:rsidRPr="006D688A">
              <w:rPr>
                <w:rFonts w:cs="Arial"/>
                <w:sz w:val="18"/>
                <w:szCs w:val="18"/>
              </w:rPr>
              <w:t>(86,140)</w:t>
            </w:r>
          </w:p>
        </w:tc>
        <w:tc>
          <w:tcPr>
            <w:tcW w:w="236" w:type="dxa"/>
            <w:tcBorders>
              <w:top w:val="nil"/>
              <w:left w:val="nil"/>
              <w:bottom w:val="nil"/>
              <w:right w:val="nil"/>
            </w:tcBorders>
            <w:shd w:val="clear" w:color="FFFFFF" w:fill="FFFFFF"/>
            <w:noWrap/>
            <w:vAlign w:val="bottom"/>
            <w:hideMark/>
          </w:tcPr>
          <w:p w14:paraId="19201BD7"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single" w:sz="4" w:space="0" w:color="auto"/>
              <w:right w:val="nil"/>
            </w:tcBorders>
            <w:shd w:val="clear" w:color="FFFFFF" w:fill="FFFFFF"/>
            <w:noWrap/>
            <w:vAlign w:val="bottom"/>
            <w:hideMark/>
          </w:tcPr>
          <w:p w14:paraId="7FD8C824" w14:textId="77777777" w:rsidR="00520333" w:rsidRPr="006D688A" w:rsidRDefault="00520333" w:rsidP="005E5E0C">
            <w:pPr>
              <w:spacing w:after="0"/>
              <w:jc w:val="right"/>
              <w:rPr>
                <w:rFonts w:cs="Arial"/>
                <w:sz w:val="18"/>
                <w:szCs w:val="18"/>
              </w:rPr>
            </w:pPr>
            <w:r w:rsidRPr="006D688A">
              <w:rPr>
                <w:rFonts w:cs="Arial"/>
                <w:sz w:val="18"/>
                <w:szCs w:val="18"/>
              </w:rPr>
              <w:t>821,196</w:t>
            </w:r>
          </w:p>
        </w:tc>
        <w:tc>
          <w:tcPr>
            <w:tcW w:w="236" w:type="dxa"/>
            <w:tcBorders>
              <w:top w:val="nil"/>
              <w:left w:val="nil"/>
              <w:bottom w:val="nil"/>
              <w:right w:val="nil"/>
            </w:tcBorders>
            <w:shd w:val="clear" w:color="FFFFFF" w:fill="FFFFFF"/>
            <w:noWrap/>
            <w:vAlign w:val="bottom"/>
            <w:hideMark/>
          </w:tcPr>
          <w:p w14:paraId="3A830065" w14:textId="77777777" w:rsidR="00520333" w:rsidRPr="006D688A" w:rsidRDefault="00520333" w:rsidP="005E5E0C">
            <w:pPr>
              <w:spacing w:after="0"/>
              <w:rPr>
                <w:rFonts w:cs="Arial"/>
                <w:sz w:val="18"/>
                <w:szCs w:val="18"/>
              </w:rPr>
            </w:pPr>
            <w:r w:rsidRPr="006D688A">
              <w:rPr>
                <w:rFonts w:cs="Arial"/>
                <w:sz w:val="18"/>
                <w:szCs w:val="18"/>
                <w:vertAlign w:val="superscript"/>
              </w:rPr>
              <w:t> </w:t>
            </w:r>
          </w:p>
        </w:tc>
      </w:tr>
      <w:tr w:rsidR="00520333" w:rsidRPr="006D688A" w14:paraId="70B3B531" w14:textId="77777777" w:rsidTr="005E5E0C">
        <w:trPr>
          <w:trHeight w:val="238"/>
        </w:trPr>
        <w:tc>
          <w:tcPr>
            <w:tcW w:w="4488" w:type="dxa"/>
            <w:tcBorders>
              <w:top w:val="nil"/>
              <w:left w:val="nil"/>
              <w:bottom w:val="nil"/>
              <w:right w:val="nil"/>
            </w:tcBorders>
            <w:shd w:val="clear" w:color="FFFFFF" w:fill="FFFFFF"/>
            <w:noWrap/>
            <w:vAlign w:val="bottom"/>
            <w:hideMark/>
          </w:tcPr>
          <w:p w14:paraId="40F3DD15"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nil"/>
              <w:right w:val="nil"/>
            </w:tcBorders>
            <w:shd w:val="clear" w:color="FFFFFF" w:fill="FFFFFF"/>
            <w:noWrap/>
            <w:vAlign w:val="bottom"/>
            <w:hideMark/>
          </w:tcPr>
          <w:p w14:paraId="6675450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3BE5BB37"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74C041E"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3A46FC9E"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0560DD8"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105DE62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D52E8A3"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7E8B90C9" w14:textId="77777777" w:rsidTr="005E5E0C">
        <w:trPr>
          <w:trHeight w:val="250"/>
        </w:trPr>
        <w:tc>
          <w:tcPr>
            <w:tcW w:w="4488" w:type="dxa"/>
            <w:tcBorders>
              <w:top w:val="nil"/>
              <w:left w:val="nil"/>
              <w:bottom w:val="nil"/>
              <w:right w:val="nil"/>
            </w:tcBorders>
            <w:shd w:val="clear" w:color="FFFFFF" w:fill="FFFFFF"/>
            <w:vAlign w:val="bottom"/>
            <w:hideMark/>
          </w:tcPr>
          <w:p w14:paraId="393AFBEF" w14:textId="77777777" w:rsidR="00520333" w:rsidRPr="006D688A" w:rsidRDefault="00520333" w:rsidP="005E5E0C">
            <w:pPr>
              <w:spacing w:after="0"/>
              <w:rPr>
                <w:rFonts w:cs="Arial"/>
                <w:b/>
                <w:bCs/>
                <w:sz w:val="18"/>
                <w:szCs w:val="18"/>
              </w:rPr>
            </w:pPr>
            <w:r w:rsidRPr="006D688A">
              <w:rPr>
                <w:rFonts w:cs="Arial"/>
                <w:b/>
                <w:bCs/>
                <w:sz w:val="18"/>
                <w:szCs w:val="18"/>
              </w:rPr>
              <w:t>INVESTING ACTIVITIES</w:t>
            </w:r>
          </w:p>
        </w:tc>
        <w:tc>
          <w:tcPr>
            <w:tcW w:w="723" w:type="dxa"/>
            <w:tcBorders>
              <w:top w:val="nil"/>
              <w:left w:val="nil"/>
              <w:bottom w:val="nil"/>
              <w:right w:val="nil"/>
            </w:tcBorders>
            <w:shd w:val="clear" w:color="FFFFFF" w:fill="FFFFFF"/>
            <w:noWrap/>
            <w:vAlign w:val="bottom"/>
            <w:hideMark/>
          </w:tcPr>
          <w:p w14:paraId="26DFBF4A"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70BA4DF3"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64D5BD6"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50C9049F"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AC32679"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3BA7BA3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C9F83AF"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08B2736" w14:textId="77777777" w:rsidTr="005E5E0C">
        <w:trPr>
          <w:trHeight w:val="250"/>
        </w:trPr>
        <w:tc>
          <w:tcPr>
            <w:tcW w:w="4488" w:type="dxa"/>
            <w:tcBorders>
              <w:top w:val="nil"/>
              <w:left w:val="nil"/>
              <w:bottom w:val="nil"/>
              <w:right w:val="nil"/>
            </w:tcBorders>
            <w:shd w:val="clear" w:color="FFFFFF" w:fill="FFFFFF"/>
            <w:vAlign w:val="bottom"/>
            <w:hideMark/>
          </w:tcPr>
          <w:p w14:paraId="4B3E6269" w14:textId="77777777" w:rsidR="00520333" w:rsidRPr="006D688A" w:rsidRDefault="00520333" w:rsidP="005E5E0C">
            <w:pPr>
              <w:spacing w:after="0"/>
              <w:rPr>
                <w:rFonts w:cs="Arial"/>
                <w:b/>
                <w:bCs/>
                <w:sz w:val="18"/>
                <w:szCs w:val="18"/>
              </w:rPr>
            </w:pPr>
            <w:r w:rsidRPr="006D688A">
              <w:rPr>
                <w:rFonts w:cs="Arial"/>
                <w:b/>
                <w:bCs/>
                <w:sz w:val="18"/>
                <w:szCs w:val="18"/>
              </w:rPr>
              <w:t>Cash received</w:t>
            </w:r>
          </w:p>
        </w:tc>
        <w:tc>
          <w:tcPr>
            <w:tcW w:w="723" w:type="dxa"/>
            <w:tcBorders>
              <w:top w:val="nil"/>
              <w:left w:val="nil"/>
              <w:bottom w:val="nil"/>
              <w:right w:val="nil"/>
            </w:tcBorders>
            <w:shd w:val="clear" w:color="FFFFFF" w:fill="FFFFFF"/>
            <w:noWrap/>
            <w:vAlign w:val="bottom"/>
            <w:hideMark/>
          </w:tcPr>
          <w:p w14:paraId="3352257F"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71753A52"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94B5D0B"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1B3D2F36"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1548F7A5"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2B51444B"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7B5B26E"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640C15EA" w14:textId="77777777" w:rsidTr="005E5E0C">
        <w:trPr>
          <w:trHeight w:val="460"/>
        </w:trPr>
        <w:tc>
          <w:tcPr>
            <w:tcW w:w="4488" w:type="dxa"/>
            <w:tcBorders>
              <w:top w:val="nil"/>
              <w:left w:val="nil"/>
              <w:bottom w:val="nil"/>
              <w:right w:val="nil"/>
            </w:tcBorders>
            <w:shd w:val="clear" w:color="FFFFFF" w:fill="FFFFFF"/>
            <w:vAlign w:val="bottom"/>
            <w:hideMark/>
          </w:tcPr>
          <w:p w14:paraId="356C291F" w14:textId="77777777" w:rsidR="00520333" w:rsidRPr="006D688A" w:rsidRDefault="00520333" w:rsidP="005E5E0C">
            <w:pPr>
              <w:spacing w:after="0"/>
              <w:ind w:firstLineChars="100" w:firstLine="180"/>
              <w:rPr>
                <w:rFonts w:cs="Arial"/>
                <w:sz w:val="18"/>
                <w:szCs w:val="18"/>
              </w:rPr>
            </w:pPr>
            <w:r w:rsidRPr="006D688A">
              <w:rPr>
                <w:rFonts w:cs="Arial"/>
                <w:sz w:val="18"/>
                <w:szCs w:val="18"/>
              </w:rPr>
              <w:t xml:space="preserve">Proceeds from sales of property, plant and </w:t>
            </w:r>
            <w:r w:rsidRPr="006D688A">
              <w:rPr>
                <w:rFonts w:cs="Arial"/>
                <w:sz w:val="18"/>
                <w:szCs w:val="18"/>
              </w:rPr>
              <w:br/>
              <w:t xml:space="preserve">    equipment</w:t>
            </w:r>
          </w:p>
        </w:tc>
        <w:tc>
          <w:tcPr>
            <w:tcW w:w="723" w:type="dxa"/>
            <w:tcBorders>
              <w:top w:val="nil"/>
              <w:left w:val="nil"/>
              <w:bottom w:val="nil"/>
              <w:right w:val="nil"/>
            </w:tcBorders>
            <w:shd w:val="clear" w:color="FFFFFF" w:fill="FFFFFF"/>
            <w:noWrap/>
            <w:vAlign w:val="bottom"/>
            <w:hideMark/>
          </w:tcPr>
          <w:p w14:paraId="11725053"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69802D42" w14:textId="77777777" w:rsidR="00520333" w:rsidRPr="006D688A" w:rsidRDefault="00520333" w:rsidP="005E5E0C">
            <w:pPr>
              <w:spacing w:after="0"/>
              <w:jc w:val="right"/>
              <w:rPr>
                <w:rFonts w:cs="Arial"/>
                <w:b/>
                <w:bCs/>
                <w:sz w:val="18"/>
                <w:szCs w:val="18"/>
              </w:rPr>
            </w:pPr>
            <w:r w:rsidRPr="006D688A">
              <w:rPr>
                <w:rFonts w:cs="Arial"/>
                <w:b/>
                <w:bCs/>
                <w:sz w:val="18"/>
                <w:szCs w:val="18"/>
              </w:rPr>
              <w:t>6</w:t>
            </w:r>
          </w:p>
        </w:tc>
        <w:tc>
          <w:tcPr>
            <w:tcW w:w="236" w:type="dxa"/>
            <w:tcBorders>
              <w:top w:val="nil"/>
              <w:left w:val="nil"/>
              <w:bottom w:val="nil"/>
              <w:right w:val="nil"/>
            </w:tcBorders>
            <w:shd w:val="clear" w:color="FFFFFF" w:fill="FFFFFF"/>
            <w:noWrap/>
            <w:vAlign w:val="bottom"/>
            <w:hideMark/>
          </w:tcPr>
          <w:p w14:paraId="75552426"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5E58CA93" w14:textId="77777777" w:rsidR="00520333" w:rsidRPr="006D688A" w:rsidRDefault="00520333" w:rsidP="005E5E0C">
            <w:pPr>
              <w:spacing w:after="0"/>
              <w:jc w:val="right"/>
              <w:rPr>
                <w:rFonts w:cs="Arial"/>
                <w:sz w:val="18"/>
                <w:szCs w:val="18"/>
              </w:rPr>
            </w:pPr>
            <w:r w:rsidRPr="006D688A">
              <w:rPr>
                <w:rFonts w:cs="Arial"/>
                <w:sz w:val="18"/>
                <w:szCs w:val="18"/>
              </w:rPr>
              <w:t>1,202</w:t>
            </w:r>
          </w:p>
        </w:tc>
        <w:tc>
          <w:tcPr>
            <w:tcW w:w="236" w:type="dxa"/>
            <w:tcBorders>
              <w:top w:val="nil"/>
              <w:left w:val="nil"/>
              <w:bottom w:val="nil"/>
              <w:right w:val="nil"/>
            </w:tcBorders>
            <w:shd w:val="clear" w:color="FFFFFF" w:fill="FFFFFF"/>
            <w:noWrap/>
            <w:vAlign w:val="bottom"/>
            <w:hideMark/>
          </w:tcPr>
          <w:p w14:paraId="0F606483"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7FFCB9C5"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c>
          <w:tcPr>
            <w:tcW w:w="236" w:type="dxa"/>
            <w:tcBorders>
              <w:top w:val="nil"/>
              <w:left w:val="nil"/>
              <w:bottom w:val="nil"/>
              <w:right w:val="nil"/>
            </w:tcBorders>
            <w:shd w:val="clear" w:color="FFFFFF" w:fill="FFFFFF"/>
            <w:noWrap/>
            <w:vAlign w:val="bottom"/>
            <w:hideMark/>
          </w:tcPr>
          <w:p w14:paraId="1D6FC603"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51A9D809" w14:textId="77777777" w:rsidTr="005E5E0C">
        <w:trPr>
          <w:trHeight w:val="250"/>
        </w:trPr>
        <w:tc>
          <w:tcPr>
            <w:tcW w:w="4488" w:type="dxa"/>
            <w:tcBorders>
              <w:top w:val="nil"/>
              <w:left w:val="nil"/>
              <w:bottom w:val="nil"/>
              <w:right w:val="nil"/>
            </w:tcBorders>
            <w:shd w:val="clear" w:color="FFFFFF" w:fill="FFFFFF"/>
            <w:vAlign w:val="bottom"/>
            <w:hideMark/>
          </w:tcPr>
          <w:p w14:paraId="3EB18E05" w14:textId="77777777" w:rsidR="00520333" w:rsidRPr="006D688A" w:rsidRDefault="00520333" w:rsidP="005E5E0C">
            <w:pPr>
              <w:spacing w:after="0"/>
              <w:ind w:firstLineChars="100" w:firstLine="180"/>
              <w:rPr>
                <w:rFonts w:cs="Arial"/>
                <w:sz w:val="18"/>
                <w:szCs w:val="18"/>
              </w:rPr>
            </w:pPr>
            <w:r w:rsidRPr="006D688A">
              <w:rPr>
                <w:rFonts w:cs="Arial"/>
                <w:sz w:val="18"/>
                <w:szCs w:val="18"/>
              </w:rPr>
              <w:t>Proceeds from sales of financial instruments</w:t>
            </w:r>
          </w:p>
        </w:tc>
        <w:tc>
          <w:tcPr>
            <w:tcW w:w="723" w:type="dxa"/>
            <w:tcBorders>
              <w:top w:val="nil"/>
              <w:left w:val="nil"/>
              <w:bottom w:val="nil"/>
              <w:right w:val="nil"/>
            </w:tcBorders>
            <w:shd w:val="clear" w:color="FFFFFF" w:fill="FFFFFF"/>
            <w:noWrap/>
            <w:vAlign w:val="bottom"/>
            <w:hideMark/>
          </w:tcPr>
          <w:p w14:paraId="3CA231C1"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355B8E15" w14:textId="77777777" w:rsidR="00520333" w:rsidRPr="006D688A" w:rsidRDefault="00520333" w:rsidP="005E5E0C">
            <w:pPr>
              <w:spacing w:after="0"/>
              <w:jc w:val="right"/>
              <w:rPr>
                <w:rFonts w:cs="Arial"/>
                <w:b/>
                <w:bCs/>
                <w:sz w:val="18"/>
                <w:szCs w:val="18"/>
              </w:rPr>
            </w:pPr>
            <w:r w:rsidRPr="006D688A">
              <w:rPr>
                <w:rFonts w:cs="Arial"/>
                <w:b/>
                <w:bCs/>
                <w:sz w:val="18"/>
                <w:szCs w:val="18"/>
              </w:rPr>
              <w:t>1,500,000</w:t>
            </w:r>
          </w:p>
        </w:tc>
        <w:tc>
          <w:tcPr>
            <w:tcW w:w="236" w:type="dxa"/>
            <w:tcBorders>
              <w:top w:val="nil"/>
              <w:left w:val="nil"/>
              <w:bottom w:val="nil"/>
              <w:right w:val="nil"/>
            </w:tcBorders>
            <w:shd w:val="clear" w:color="FFFFFF" w:fill="FFFFFF"/>
            <w:noWrap/>
            <w:vAlign w:val="bottom"/>
            <w:hideMark/>
          </w:tcPr>
          <w:p w14:paraId="146694B9"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3E642F8F" w14:textId="77777777" w:rsidR="00520333" w:rsidRPr="006D688A" w:rsidRDefault="00520333" w:rsidP="005E5E0C">
            <w:pPr>
              <w:spacing w:after="0"/>
              <w:jc w:val="right"/>
              <w:rPr>
                <w:rFonts w:cs="Arial"/>
                <w:sz w:val="18"/>
                <w:szCs w:val="18"/>
              </w:rPr>
            </w:pPr>
            <w:r w:rsidRPr="006D688A">
              <w:rPr>
                <w:rFonts w:cs="Arial"/>
                <w:sz w:val="18"/>
                <w:szCs w:val="18"/>
              </w:rPr>
              <w:t>7,985,000</w:t>
            </w:r>
          </w:p>
        </w:tc>
        <w:tc>
          <w:tcPr>
            <w:tcW w:w="236" w:type="dxa"/>
            <w:tcBorders>
              <w:top w:val="nil"/>
              <w:left w:val="nil"/>
              <w:bottom w:val="nil"/>
              <w:right w:val="nil"/>
            </w:tcBorders>
            <w:shd w:val="clear" w:color="FFFFFF" w:fill="FFFFFF"/>
            <w:noWrap/>
            <w:vAlign w:val="bottom"/>
            <w:hideMark/>
          </w:tcPr>
          <w:p w14:paraId="24815D30"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11E0C4EB" w14:textId="77777777" w:rsidR="00520333" w:rsidRPr="006D688A" w:rsidRDefault="00520333" w:rsidP="005E5E0C">
            <w:pPr>
              <w:spacing w:after="0"/>
              <w:jc w:val="right"/>
              <w:rPr>
                <w:rFonts w:cs="Arial"/>
                <w:sz w:val="18"/>
                <w:szCs w:val="18"/>
              </w:rPr>
            </w:pPr>
            <w:r w:rsidRPr="006D688A">
              <w:rPr>
                <w:rFonts w:cs="Arial"/>
                <w:sz w:val="18"/>
                <w:szCs w:val="18"/>
              </w:rPr>
              <w:t xml:space="preserve"> -</w:t>
            </w:r>
          </w:p>
        </w:tc>
        <w:tc>
          <w:tcPr>
            <w:tcW w:w="236" w:type="dxa"/>
            <w:tcBorders>
              <w:top w:val="nil"/>
              <w:left w:val="nil"/>
              <w:bottom w:val="nil"/>
              <w:right w:val="nil"/>
            </w:tcBorders>
            <w:shd w:val="clear" w:color="FFFFFF" w:fill="FFFFFF"/>
            <w:noWrap/>
            <w:vAlign w:val="bottom"/>
            <w:hideMark/>
          </w:tcPr>
          <w:p w14:paraId="76EF33F9"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39078E2" w14:textId="77777777" w:rsidTr="005E5E0C">
        <w:trPr>
          <w:trHeight w:val="250"/>
        </w:trPr>
        <w:tc>
          <w:tcPr>
            <w:tcW w:w="4488" w:type="dxa"/>
            <w:tcBorders>
              <w:top w:val="nil"/>
              <w:left w:val="nil"/>
              <w:bottom w:val="nil"/>
              <w:right w:val="nil"/>
            </w:tcBorders>
            <w:shd w:val="clear" w:color="FFFFFF" w:fill="FFFFFF"/>
            <w:vAlign w:val="bottom"/>
            <w:hideMark/>
          </w:tcPr>
          <w:p w14:paraId="7BD19F6B" w14:textId="77777777" w:rsidR="00520333" w:rsidRPr="006D688A" w:rsidRDefault="00520333" w:rsidP="005E5E0C">
            <w:pPr>
              <w:spacing w:after="0"/>
              <w:rPr>
                <w:rFonts w:cs="Arial"/>
                <w:b/>
                <w:bCs/>
                <w:sz w:val="18"/>
                <w:szCs w:val="18"/>
              </w:rPr>
            </w:pPr>
            <w:r w:rsidRPr="006D688A">
              <w:rPr>
                <w:rFonts w:cs="Arial"/>
                <w:b/>
                <w:bCs/>
                <w:sz w:val="18"/>
                <w:szCs w:val="18"/>
              </w:rPr>
              <w:t>Total cash received</w:t>
            </w:r>
          </w:p>
        </w:tc>
        <w:tc>
          <w:tcPr>
            <w:tcW w:w="723" w:type="dxa"/>
            <w:tcBorders>
              <w:top w:val="nil"/>
              <w:left w:val="nil"/>
              <w:bottom w:val="nil"/>
              <w:right w:val="nil"/>
            </w:tcBorders>
            <w:shd w:val="clear" w:color="FFFFFF" w:fill="FFFFFF"/>
            <w:noWrap/>
            <w:vAlign w:val="bottom"/>
            <w:hideMark/>
          </w:tcPr>
          <w:p w14:paraId="33DDB70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5BC30B10" w14:textId="77777777" w:rsidR="00520333" w:rsidRPr="006D688A" w:rsidRDefault="00520333" w:rsidP="005E5E0C">
            <w:pPr>
              <w:spacing w:after="0"/>
              <w:jc w:val="right"/>
              <w:rPr>
                <w:rFonts w:cs="Arial"/>
                <w:b/>
                <w:bCs/>
                <w:sz w:val="18"/>
                <w:szCs w:val="18"/>
              </w:rPr>
            </w:pPr>
            <w:r w:rsidRPr="006D688A">
              <w:rPr>
                <w:rFonts w:cs="Arial"/>
                <w:b/>
                <w:bCs/>
                <w:sz w:val="18"/>
                <w:szCs w:val="18"/>
              </w:rPr>
              <w:t>1,500,006</w:t>
            </w:r>
          </w:p>
        </w:tc>
        <w:tc>
          <w:tcPr>
            <w:tcW w:w="236" w:type="dxa"/>
            <w:tcBorders>
              <w:top w:val="nil"/>
              <w:left w:val="nil"/>
              <w:bottom w:val="nil"/>
              <w:right w:val="nil"/>
            </w:tcBorders>
            <w:shd w:val="clear" w:color="FFFFFF" w:fill="FFFFFF"/>
            <w:noWrap/>
            <w:vAlign w:val="bottom"/>
            <w:hideMark/>
          </w:tcPr>
          <w:p w14:paraId="648C5341"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7662DAC6" w14:textId="77777777" w:rsidR="00520333" w:rsidRPr="006D688A" w:rsidRDefault="00520333" w:rsidP="005E5E0C">
            <w:pPr>
              <w:spacing w:after="0"/>
              <w:jc w:val="right"/>
              <w:rPr>
                <w:rFonts w:cs="Arial"/>
                <w:sz w:val="18"/>
                <w:szCs w:val="18"/>
              </w:rPr>
            </w:pPr>
            <w:r w:rsidRPr="006D688A">
              <w:rPr>
                <w:rFonts w:cs="Arial"/>
                <w:sz w:val="18"/>
                <w:szCs w:val="18"/>
              </w:rPr>
              <w:t>7,986,202</w:t>
            </w:r>
          </w:p>
        </w:tc>
        <w:tc>
          <w:tcPr>
            <w:tcW w:w="236" w:type="dxa"/>
            <w:tcBorders>
              <w:top w:val="nil"/>
              <w:left w:val="nil"/>
              <w:bottom w:val="nil"/>
              <w:right w:val="nil"/>
            </w:tcBorders>
            <w:shd w:val="clear" w:color="FFFFFF" w:fill="FFFFFF"/>
            <w:noWrap/>
            <w:vAlign w:val="bottom"/>
            <w:hideMark/>
          </w:tcPr>
          <w:p w14:paraId="496FC8ED"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607C149F" w14:textId="77777777" w:rsidR="00520333" w:rsidRPr="006D688A" w:rsidRDefault="00520333" w:rsidP="005E5E0C">
            <w:pPr>
              <w:spacing w:after="0"/>
              <w:jc w:val="right"/>
              <w:rPr>
                <w:rFonts w:cs="Arial"/>
                <w:sz w:val="18"/>
                <w:szCs w:val="18"/>
              </w:rPr>
            </w:pPr>
            <w:r w:rsidRPr="006D688A">
              <w:rPr>
                <w:rFonts w:cs="Arial"/>
                <w:sz w:val="18"/>
                <w:szCs w:val="18"/>
              </w:rPr>
              <w:t>-</w:t>
            </w:r>
          </w:p>
        </w:tc>
        <w:tc>
          <w:tcPr>
            <w:tcW w:w="236" w:type="dxa"/>
            <w:tcBorders>
              <w:top w:val="nil"/>
              <w:left w:val="nil"/>
              <w:bottom w:val="nil"/>
              <w:right w:val="nil"/>
            </w:tcBorders>
            <w:shd w:val="clear" w:color="FFFFFF" w:fill="FFFFFF"/>
            <w:noWrap/>
            <w:vAlign w:val="bottom"/>
            <w:hideMark/>
          </w:tcPr>
          <w:p w14:paraId="13300084"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FFCC139" w14:textId="77777777" w:rsidTr="005E5E0C">
        <w:trPr>
          <w:trHeight w:val="250"/>
        </w:trPr>
        <w:tc>
          <w:tcPr>
            <w:tcW w:w="4488" w:type="dxa"/>
            <w:tcBorders>
              <w:top w:val="nil"/>
              <w:left w:val="nil"/>
              <w:bottom w:val="nil"/>
              <w:right w:val="nil"/>
            </w:tcBorders>
            <w:shd w:val="clear" w:color="FFFFFF" w:fill="FFFFFF"/>
            <w:vAlign w:val="bottom"/>
            <w:hideMark/>
          </w:tcPr>
          <w:p w14:paraId="487A4108" w14:textId="77777777" w:rsidR="00520333" w:rsidRPr="006D688A" w:rsidRDefault="00520333" w:rsidP="005E5E0C">
            <w:pPr>
              <w:spacing w:after="0"/>
              <w:rPr>
                <w:rFonts w:cs="Arial"/>
                <w:b/>
                <w:bCs/>
                <w:sz w:val="18"/>
                <w:szCs w:val="18"/>
              </w:rPr>
            </w:pPr>
            <w:r w:rsidRPr="006D688A">
              <w:rPr>
                <w:rFonts w:cs="Arial"/>
                <w:b/>
                <w:bCs/>
                <w:sz w:val="18"/>
                <w:szCs w:val="18"/>
              </w:rPr>
              <w:t> </w:t>
            </w:r>
          </w:p>
        </w:tc>
        <w:tc>
          <w:tcPr>
            <w:tcW w:w="723" w:type="dxa"/>
            <w:tcBorders>
              <w:top w:val="nil"/>
              <w:left w:val="nil"/>
              <w:bottom w:val="nil"/>
              <w:right w:val="nil"/>
            </w:tcBorders>
            <w:shd w:val="clear" w:color="FFFFFF" w:fill="FFFFFF"/>
            <w:noWrap/>
            <w:vAlign w:val="bottom"/>
            <w:hideMark/>
          </w:tcPr>
          <w:p w14:paraId="151D9BF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2BF4EDDB" w14:textId="77777777" w:rsidR="00520333" w:rsidRPr="006D688A" w:rsidRDefault="00520333" w:rsidP="005E5E0C">
            <w:pPr>
              <w:spacing w:after="0"/>
              <w:jc w:val="right"/>
              <w:rPr>
                <w:rFonts w:cs="Arial"/>
                <w:b/>
                <w:bCs/>
                <w:sz w:val="18"/>
                <w:szCs w:val="18"/>
              </w:rPr>
            </w:pPr>
            <w:r w:rsidRPr="006D688A">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E55BAF4"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69F21F05"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89CF0BD"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07CC480C" w14:textId="77777777" w:rsidR="00520333" w:rsidRPr="006D688A" w:rsidRDefault="00520333" w:rsidP="005E5E0C">
            <w:pPr>
              <w:spacing w:after="0"/>
              <w:jc w:val="right"/>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2F4AF7A"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1637FD38" w14:textId="77777777" w:rsidTr="005E5E0C">
        <w:trPr>
          <w:trHeight w:val="250"/>
        </w:trPr>
        <w:tc>
          <w:tcPr>
            <w:tcW w:w="4488" w:type="dxa"/>
            <w:tcBorders>
              <w:top w:val="nil"/>
              <w:left w:val="nil"/>
              <w:bottom w:val="nil"/>
              <w:right w:val="nil"/>
            </w:tcBorders>
            <w:shd w:val="clear" w:color="FFFFFF" w:fill="FFFFFF"/>
            <w:vAlign w:val="bottom"/>
            <w:hideMark/>
          </w:tcPr>
          <w:p w14:paraId="5E8D82BE" w14:textId="77777777" w:rsidR="00520333" w:rsidRPr="006D688A" w:rsidRDefault="00520333" w:rsidP="005E5E0C">
            <w:pPr>
              <w:spacing w:after="0"/>
              <w:rPr>
                <w:rFonts w:cs="Arial"/>
                <w:b/>
                <w:bCs/>
                <w:sz w:val="18"/>
                <w:szCs w:val="18"/>
              </w:rPr>
            </w:pPr>
            <w:r w:rsidRPr="006D688A">
              <w:rPr>
                <w:rFonts w:cs="Arial"/>
                <w:b/>
                <w:bCs/>
                <w:sz w:val="18"/>
                <w:szCs w:val="18"/>
              </w:rPr>
              <w:t>Cash used</w:t>
            </w:r>
          </w:p>
        </w:tc>
        <w:tc>
          <w:tcPr>
            <w:tcW w:w="723" w:type="dxa"/>
            <w:tcBorders>
              <w:top w:val="nil"/>
              <w:left w:val="nil"/>
              <w:bottom w:val="nil"/>
              <w:right w:val="nil"/>
            </w:tcBorders>
            <w:shd w:val="clear" w:color="FFFFFF" w:fill="FFFFFF"/>
            <w:noWrap/>
            <w:vAlign w:val="bottom"/>
            <w:hideMark/>
          </w:tcPr>
          <w:p w14:paraId="75DDA77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536E3E0C"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74F26A7"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28ABBC5"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F524C0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733AC197"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021A808"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DC5B0AF" w14:textId="77777777" w:rsidTr="005E5E0C">
        <w:trPr>
          <w:trHeight w:val="260"/>
        </w:trPr>
        <w:tc>
          <w:tcPr>
            <w:tcW w:w="4488" w:type="dxa"/>
            <w:tcBorders>
              <w:top w:val="nil"/>
              <w:left w:val="nil"/>
              <w:bottom w:val="nil"/>
              <w:right w:val="nil"/>
            </w:tcBorders>
            <w:shd w:val="clear" w:color="FFFFFF" w:fill="FFFFFF"/>
            <w:vAlign w:val="bottom"/>
            <w:hideMark/>
          </w:tcPr>
          <w:p w14:paraId="7CFA1DAA" w14:textId="77777777" w:rsidR="00520333" w:rsidRPr="006D688A" w:rsidRDefault="00520333" w:rsidP="005E5E0C">
            <w:pPr>
              <w:spacing w:after="0"/>
              <w:ind w:firstLineChars="100" w:firstLine="180"/>
              <w:rPr>
                <w:rFonts w:cs="Arial"/>
                <w:sz w:val="18"/>
                <w:szCs w:val="18"/>
              </w:rPr>
            </w:pPr>
            <w:r w:rsidRPr="006D688A">
              <w:rPr>
                <w:rFonts w:cs="Arial"/>
                <w:sz w:val="18"/>
                <w:szCs w:val="18"/>
              </w:rPr>
              <w:t>Purchase of property, plant &amp; equipment</w:t>
            </w:r>
          </w:p>
        </w:tc>
        <w:tc>
          <w:tcPr>
            <w:tcW w:w="723" w:type="dxa"/>
            <w:tcBorders>
              <w:top w:val="nil"/>
              <w:left w:val="nil"/>
              <w:bottom w:val="nil"/>
              <w:right w:val="nil"/>
            </w:tcBorders>
            <w:shd w:val="clear" w:color="FFFFFF" w:fill="FFFFFF"/>
            <w:noWrap/>
            <w:vAlign w:val="bottom"/>
            <w:hideMark/>
          </w:tcPr>
          <w:p w14:paraId="2250F82C"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174D7BBD" w14:textId="77777777" w:rsidR="00520333" w:rsidRPr="006D688A" w:rsidRDefault="00520333" w:rsidP="005E5E0C">
            <w:pPr>
              <w:spacing w:after="0"/>
              <w:jc w:val="right"/>
              <w:rPr>
                <w:rFonts w:cs="Arial"/>
                <w:b/>
                <w:bCs/>
                <w:sz w:val="18"/>
                <w:szCs w:val="18"/>
              </w:rPr>
            </w:pPr>
            <w:r w:rsidRPr="006D688A">
              <w:rPr>
                <w:rFonts w:cs="Arial"/>
                <w:b/>
                <w:bCs/>
                <w:sz w:val="18"/>
                <w:szCs w:val="18"/>
              </w:rPr>
              <w:t>25,779</w:t>
            </w:r>
          </w:p>
        </w:tc>
        <w:tc>
          <w:tcPr>
            <w:tcW w:w="236" w:type="dxa"/>
            <w:tcBorders>
              <w:top w:val="nil"/>
              <w:left w:val="nil"/>
              <w:bottom w:val="nil"/>
              <w:right w:val="nil"/>
            </w:tcBorders>
            <w:shd w:val="clear" w:color="FFFFFF" w:fill="FFFFFF"/>
            <w:noWrap/>
            <w:vAlign w:val="bottom"/>
            <w:hideMark/>
          </w:tcPr>
          <w:p w14:paraId="1290CDA4"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582DC719" w14:textId="77777777" w:rsidR="00520333" w:rsidRPr="006D688A" w:rsidRDefault="00520333" w:rsidP="005E5E0C">
            <w:pPr>
              <w:spacing w:after="0"/>
              <w:jc w:val="right"/>
              <w:rPr>
                <w:rFonts w:cs="Arial"/>
                <w:sz w:val="18"/>
                <w:szCs w:val="18"/>
              </w:rPr>
            </w:pPr>
            <w:r w:rsidRPr="006D688A">
              <w:rPr>
                <w:rFonts w:cs="Arial"/>
                <w:sz w:val="18"/>
                <w:szCs w:val="18"/>
              </w:rPr>
              <w:t>30,495</w:t>
            </w:r>
          </w:p>
        </w:tc>
        <w:tc>
          <w:tcPr>
            <w:tcW w:w="236" w:type="dxa"/>
            <w:tcBorders>
              <w:top w:val="nil"/>
              <w:left w:val="nil"/>
              <w:bottom w:val="nil"/>
              <w:right w:val="nil"/>
            </w:tcBorders>
            <w:shd w:val="clear" w:color="FFFFFF" w:fill="FFFFFF"/>
            <w:noWrap/>
            <w:vAlign w:val="bottom"/>
            <w:hideMark/>
          </w:tcPr>
          <w:p w14:paraId="6F3BDE99"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66D78F96" w14:textId="77777777" w:rsidR="00520333" w:rsidRPr="006D688A" w:rsidRDefault="00520333" w:rsidP="005E5E0C">
            <w:pPr>
              <w:spacing w:after="0"/>
              <w:jc w:val="right"/>
              <w:rPr>
                <w:rFonts w:cs="Arial"/>
                <w:sz w:val="18"/>
                <w:szCs w:val="18"/>
              </w:rPr>
            </w:pPr>
            <w:r w:rsidRPr="006D688A">
              <w:rPr>
                <w:rFonts w:cs="Arial"/>
                <w:sz w:val="18"/>
                <w:szCs w:val="18"/>
              </w:rPr>
              <w:t>24,093</w:t>
            </w:r>
          </w:p>
        </w:tc>
        <w:tc>
          <w:tcPr>
            <w:tcW w:w="236" w:type="dxa"/>
            <w:tcBorders>
              <w:top w:val="nil"/>
              <w:left w:val="nil"/>
              <w:bottom w:val="nil"/>
              <w:right w:val="nil"/>
            </w:tcBorders>
            <w:shd w:val="clear" w:color="FFFFFF" w:fill="FFFFFF"/>
            <w:noWrap/>
            <w:vAlign w:val="bottom"/>
            <w:hideMark/>
          </w:tcPr>
          <w:p w14:paraId="76AC5F01"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6085D88" w14:textId="77777777" w:rsidTr="005E5E0C">
        <w:trPr>
          <w:trHeight w:val="250"/>
        </w:trPr>
        <w:tc>
          <w:tcPr>
            <w:tcW w:w="4488" w:type="dxa"/>
            <w:tcBorders>
              <w:top w:val="nil"/>
              <w:left w:val="nil"/>
              <w:bottom w:val="nil"/>
              <w:right w:val="nil"/>
            </w:tcBorders>
            <w:shd w:val="clear" w:color="FFFFFF" w:fill="FFFFFF"/>
            <w:vAlign w:val="bottom"/>
            <w:hideMark/>
          </w:tcPr>
          <w:p w14:paraId="34180536" w14:textId="77777777" w:rsidR="00520333" w:rsidRPr="006D688A" w:rsidRDefault="00520333" w:rsidP="005E5E0C">
            <w:pPr>
              <w:spacing w:after="0"/>
              <w:ind w:firstLineChars="100" w:firstLine="180"/>
              <w:rPr>
                <w:rFonts w:cs="Arial"/>
                <w:sz w:val="18"/>
                <w:szCs w:val="18"/>
              </w:rPr>
            </w:pPr>
            <w:r w:rsidRPr="006D688A">
              <w:rPr>
                <w:rFonts w:cs="Arial"/>
                <w:sz w:val="18"/>
                <w:szCs w:val="18"/>
              </w:rPr>
              <w:t>Purchase of financial instruments</w:t>
            </w:r>
          </w:p>
        </w:tc>
        <w:tc>
          <w:tcPr>
            <w:tcW w:w="723" w:type="dxa"/>
            <w:tcBorders>
              <w:top w:val="nil"/>
              <w:left w:val="nil"/>
              <w:bottom w:val="nil"/>
              <w:right w:val="nil"/>
            </w:tcBorders>
            <w:shd w:val="clear" w:color="FFFFFF" w:fill="FFFFFF"/>
            <w:noWrap/>
            <w:vAlign w:val="bottom"/>
            <w:hideMark/>
          </w:tcPr>
          <w:p w14:paraId="188CC814"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6BE46A79" w14:textId="77777777" w:rsidR="00520333" w:rsidRPr="006D688A" w:rsidRDefault="00520333" w:rsidP="005E5E0C">
            <w:pPr>
              <w:spacing w:after="0"/>
              <w:jc w:val="right"/>
              <w:rPr>
                <w:rFonts w:cs="Arial"/>
                <w:b/>
                <w:bCs/>
                <w:sz w:val="18"/>
                <w:szCs w:val="18"/>
              </w:rPr>
            </w:pPr>
            <w:r w:rsidRPr="006D688A">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34D5A18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02A2EF19" w14:textId="77777777" w:rsidR="00520333" w:rsidRPr="006D688A" w:rsidRDefault="00520333" w:rsidP="005E5E0C">
            <w:pPr>
              <w:spacing w:after="0"/>
              <w:jc w:val="right"/>
              <w:rPr>
                <w:rFonts w:cs="Arial"/>
                <w:sz w:val="18"/>
                <w:szCs w:val="18"/>
              </w:rPr>
            </w:pPr>
            <w:r w:rsidRPr="006D688A">
              <w:rPr>
                <w:rFonts w:cs="Arial"/>
                <w:sz w:val="18"/>
                <w:szCs w:val="18"/>
              </w:rPr>
              <w:t>7,020,000</w:t>
            </w:r>
          </w:p>
        </w:tc>
        <w:tc>
          <w:tcPr>
            <w:tcW w:w="236" w:type="dxa"/>
            <w:tcBorders>
              <w:top w:val="nil"/>
              <w:left w:val="nil"/>
              <w:bottom w:val="nil"/>
              <w:right w:val="nil"/>
            </w:tcBorders>
            <w:shd w:val="clear" w:color="FFFFFF" w:fill="FFFFFF"/>
            <w:noWrap/>
            <w:vAlign w:val="bottom"/>
            <w:hideMark/>
          </w:tcPr>
          <w:p w14:paraId="3FBB3BE4"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0CF5814F" w14:textId="77777777" w:rsidR="00520333" w:rsidRPr="006D688A" w:rsidRDefault="00520333" w:rsidP="005E5E0C">
            <w:pPr>
              <w:spacing w:after="0"/>
              <w:jc w:val="right"/>
              <w:rPr>
                <w:rFonts w:cs="Arial"/>
                <w:sz w:val="18"/>
                <w:szCs w:val="18"/>
              </w:rPr>
            </w:pPr>
            <w:r w:rsidRPr="006D688A">
              <w:rPr>
                <w:rFonts w:cs="Arial"/>
                <w:sz w:val="18"/>
                <w:szCs w:val="18"/>
              </w:rPr>
              <w:t>754,442</w:t>
            </w:r>
          </w:p>
        </w:tc>
        <w:tc>
          <w:tcPr>
            <w:tcW w:w="236" w:type="dxa"/>
            <w:tcBorders>
              <w:top w:val="nil"/>
              <w:left w:val="nil"/>
              <w:bottom w:val="nil"/>
              <w:right w:val="nil"/>
            </w:tcBorders>
            <w:shd w:val="clear" w:color="FFFFFF" w:fill="FFFFFF"/>
            <w:noWrap/>
            <w:vAlign w:val="bottom"/>
            <w:hideMark/>
          </w:tcPr>
          <w:p w14:paraId="416E7842"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1EB4DB9A" w14:textId="77777777" w:rsidTr="005E5E0C">
        <w:trPr>
          <w:trHeight w:val="250"/>
        </w:trPr>
        <w:tc>
          <w:tcPr>
            <w:tcW w:w="4488" w:type="dxa"/>
            <w:tcBorders>
              <w:top w:val="nil"/>
              <w:left w:val="nil"/>
              <w:bottom w:val="nil"/>
              <w:right w:val="nil"/>
            </w:tcBorders>
            <w:shd w:val="clear" w:color="FFFFFF" w:fill="FFFFFF"/>
            <w:vAlign w:val="bottom"/>
            <w:hideMark/>
          </w:tcPr>
          <w:p w14:paraId="49F91747" w14:textId="77777777" w:rsidR="00520333" w:rsidRPr="006D688A" w:rsidRDefault="00520333" w:rsidP="005E5E0C">
            <w:pPr>
              <w:spacing w:after="0"/>
              <w:rPr>
                <w:rFonts w:cs="Arial"/>
                <w:b/>
                <w:bCs/>
                <w:sz w:val="18"/>
                <w:szCs w:val="18"/>
              </w:rPr>
            </w:pPr>
            <w:r w:rsidRPr="006D688A">
              <w:rPr>
                <w:rFonts w:cs="Arial"/>
                <w:b/>
                <w:bCs/>
                <w:sz w:val="18"/>
                <w:szCs w:val="18"/>
              </w:rPr>
              <w:t>Total cash used</w:t>
            </w:r>
          </w:p>
        </w:tc>
        <w:tc>
          <w:tcPr>
            <w:tcW w:w="723" w:type="dxa"/>
            <w:tcBorders>
              <w:top w:val="nil"/>
              <w:left w:val="nil"/>
              <w:bottom w:val="nil"/>
              <w:right w:val="nil"/>
            </w:tcBorders>
            <w:shd w:val="clear" w:color="FFFFFF" w:fill="FFFFFF"/>
            <w:noWrap/>
            <w:vAlign w:val="bottom"/>
            <w:hideMark/>
          </w:tcPr>
          <w:p w14:paraId="73FED5B5"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12597592" w14:textId="77777777" w:rsidR="00520333" w:rsidRPr="006D688A" w:rsidRDefault="00520333" w:rsidP="005E5E0C">
            <w:pPr>
              <w:spacing w:after="0"/>
              <w:jc w:val="right"/>
              <w:rPr>
                <w:rFonts w:cs="Arial"/>
                <w:b/>
                <w:bCs/>
                <w:sz w:val="18"/>
                <w:szCs w:val="18"/>
              </w:rPr>
            </w:pPr>
            <w:r w:rsidRPr="006D688A">
              <w:rPr>
                <w:rFonts w:cs="Arial"/>
                <w:b/>
                <w:bCs/>
                <w:sz w:val="18"/>
                <w:szCs w:val="18"/>
              </w:rPr>
              <w:t>25,779</w:t>
            </w:r>
          </w:p>
        </w:tc>
        <w:tc>
          <w:tcPr>
            <w:tcW w:w="236" w:type="dxa"/>
            <w:tcBorders>
              <w:top w:val="nil"/>
              <w:left w:val="nil"/>
              <w:bottom w:val="nil"/>
              <w:right w:val="nil"/>
            </w:tcBorders>
            <w:shd w:val="clear" w:color="FFFFFF" w:fill="FFFFFF"/>
            <w:noWrap/>
            <w:vAlign w:val="bottom"/>
            <w:hideMark/>
          </w:tcPr>
          <w:p w14:paraId="0D001C69"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584EAEBA" w14:textId="77777777" w:rsidR="00520333" w:rsidRPr="006D688A" w:rsidRDefault="00520333" w:rsidP="005E5E0C">
            <w:pPr>
              <w:spacing w:after="0"/>
              <w:jc w:val="right"/>
              <w:rPr>
                <w:rFonts w:cs="Arial"/>
                <w:sz w:val="18"/>
                <w:szCs w:val="18"/>
              </w:rPr>
            </w:pPr>
            <w:r w:rsidRPr="006D688A">
              <w:rPr>
                <w:rFonts w:cs="Arial"/>
                <w:sz w:val="18"/>
                <w:szCs w:val="18"/>
              </w:rPr>
              <w:t>7,050,495</w:t>
            </w:r>
          </w:p>
        </w:tc>
        <w:tc>
          <w:tcPr>
            <w:tcW w:w="236" w:type="dxa"/>
            <w:tcBorders>
              <w:top w:val="nil"/>
              <w:left w:val="nil"/>
              <w:bottom w:val="nil"/>
              <w:right w:val="nil"/>
            </w:tcBorders>
            <w:shd w:val="clear" w:color="FFFFFF" w:fill="FFFFFF"/>
            <w:noWrap/>
            <w:vAlign w:val="bottom"/>
            <w:hideMark/>
          </w:tcPr>
          <w:p w14:paraId="5D91F374"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433599D5" w14:textId="77777777" w:rsidR="00520333" w:rsidRPr="006D688A" w:rsidRDefault="00520333" w:rsidP="005E5E0C">
            <w:pPr>
              <w:spacing w:after="0"/>
              <w:jc w:val="right"/>
              <w:rPr>
                <w:rFonts w:cs="Arial"/>
                <w:sz w:val="18"/>
                <w:szCs w:val="18"/>
              </w:rPr>
            </w:pPr>
            <w:r w:rsidRPr="006D688A">
              <w:rPr>
                <w:rFonts w:cs="Arial"/>
                <w:sz w:val="18"/>
                <w:szCs w:val="18"/>
              </w:rPr>
              <w:t>778,535</w:t>
            </w:r>
          </w:p>
        </w:tc>
        <w:tc>
          <w:tcPr>
            <w:tcW w:w="236" w:type="dxa"/>
            <w:tcBorders>
              <w:top w:val="nil"/>
              <w:left w:val="nil"/>
              <w:bottom w:val="nil"/>
              <w:right w:val="nil"/>
            </w:tcBorders>
            <w:shd w:val="clear" w:color="FFFFFF" w:fill="FFFFFF"/>
            <w:noWrap/>
            <w:vAlign w:val="bottom"/>
            <w:hideMark/>
          </w:tcPr>
          <w:p w14:paraId="7A5B6168" w14:textId="77777777" w:rsidR="00520333" w:rsidRPr="006D688A" w:rsidRDefault="00520333" w:rsidP="005E5E0C">
            <w:pPr>
              <w:spacing w:after="0"/>
              <w:rPr>
                <w:rFonts w:cs="Arial"/>
                <w:sz w:val="18"/>
                <w:szCs w:val="18"/>
              </w:rPr>
            </w:pPr>
            <w:r w:rsidRPr="006D688A">
              <w:rPr>
                <w:rFonts w:cs="Arial"/>
                <w:sz w:val="18"/>
                <w:szCs w:val="18"/>
                <w:vertAlign w:val="superscript"/>
              </w:rPr>
              <w:t> </w:t>
            </w:r>
          </w:p>
        </w:tc>
      </w:tr>
      <w:tr w:rsidR="00520333" w:rsidRPr="006D688A" w14:paraId="4345F032" w14:textId="77777777" w:rsidTr="005E5E0C">
        <w:trPr>
          <w:trHeight w:val="250"/>
        </w:trPr>
        <w:tc>
          <w:tcPr>
            <w:tcW w:w="4488" w:type="dxa"/>
            <w:tcBorders>
              <w:top w:val="nil"/>
              <w:left w:val="nil"/>
              <w:bottom w:val="nil"/>
              <w:right w:val="nil"/>
            </w:tcBorders>
            <w:shd w:val="clear" w:color="FFFFFF" w:fill="FFFFFF"/>
            <w:vAlign w:val="bottom"/>
            <w:hideMark/>
          </w:tcPr>
          <w:p w14:paraId="1B597080" w14:textId="77777777" w:rsidR="00520333" w:rsidRPr="006D688A" w:rsidRDefault="00520333" w:rsidP="005E5E0C">
            <w:pPr>
              <w:spacing w:after="0"/>
              <w:rPr>
                <w:rFonts w:cs="Arial"/>
                <w:b/>
                <w:bCs/>
                <w:sz w:val="18"/>
                <w:szCs w:val="18"/>
              </w:rPr>
            </w:pPr>
            <w:r w:rsidRPr="006D688A">
              <w:rPr>
                <w:rFonts w:cs="Arial"/>
                <w:b/>
                <w:bCs/>
                <w:sz w:val="18"/>
                <w:szCs w:val="18"/>
              </w:rPr>
              <w:t>Net cash from / (used by) investing activities</w:t>
            </w:r>
          </w:p>
        </w:tc>
        <w:tc>
          <w:tcPr>
            <w:tcW w:w="723" w:type="dxa"/>
            <w:tcBorders>
              <w:top w:val="nil"/>
              <w:left w:val="nil"/>
              <w:bottom w:val="nil"/>
              <w:right w:val="nil"/>
            </w:tcBorders>
            <w:shd w:val="clear" w:color="FFFFFF" w:fill="FFFFFF"/>
            <w:noWrap/>
            <w:vAlign w:val="bottom"/>
            <w:hideMark/>
          </w:tcPr>
          <w:p w14:paraId="513D91E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single" w:sz="4" w:space="0" w:color="auto"/>
              <w:right w:val="nil"/>
            </w:tcBorders>
            <w:shd w:val="clear" w:color="FFFFFF" w:fill="FFFFFF"/>
            <w:noWrap/>
            <w:vAlign w:val="bottom"/>
            <w:hideMark/>
          </w:tcPr>
          <w:p w14:paraId="4213159F" w14:textId="77777777" w:rsidR="00520333" w:rsidRPr="006D688A" w:rsidRDefault="00520333" w:rsidP="005E5E0C">
            <w:pPr>
              <w:spacing w:after="0"/>
              <w:jc w:val="right"/>
              <w:rPr>
                <w:rFonts w:cs="Arial"/>
                <w:b/>
                <w:bCs/>
                <w:sz w:val="18"/>
                <w:szCs w:val="18"/>
              </w:rPr>
            </w:pPr>
            <w:r w:rsidRPr="006D688A">
              <w:rPr>
                <w:rFonts w:cs="Arial"/>
                <w:b/>
                <w:bCs/>
                <w:sz w:val="18"/>
                <w:szCs w:val="18"/>
              </w:rPr>
              <w:t>1,474,227</w:t>
            </w:r>
          </w:p>
        </w:tc>
        <w:tc>
          <w:tcPr>
            <w:tcW w:w="236" w:type="dxa"/>
            <w:tcBorders>
              <w:top w:val="nil"/>
              <w:left w:val="nil"/>
              <w:bottom w:val="nil"/>
              <w:right w:val="nil"/>
            </w:tcBorders>
            <w:shd w:val="clear" w:color="FFFFFF" w:fill="FFFFFF"/>
            <w:noWrap/>
            <w:vAlign w:val="bottom"/>
            <w:hideMark/>
          </w:tcPr>
          <w:p w14:paraId="71315245"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single" w:sz="4" w:space="0" w:color="auto"/>
              <w:right w:val="nil"/>
            </w:tcBorders>
            <w:shd w:val="clear" w:color="FFFFFF" w:fill="FFFFFF"/>
            <w:noWrap/>
            <w:vAlign w:val="bottom"/>
            <w:hideMark/>
          </w:tcPr>
          <w:p w14:paraId="0C2E1549" w14:textId="77777777" w:rsidR="00520333" w:rsidRPr="006D688A" w:rsidRDefault="00520333" w:rsidP="005E5E0C">
            <w:pPr>
              <w:spacing w:after="0"/>
              <w:jc w:val="right"/>
              <w:rPr>
                <w:rFonts w:cs="Arial"/>
                <w:sz w:val="18"/>
                <w:szCs w:val="18"/>
              </w:rPr>
            </w:pPr>
            <w:r w:rsidRPr="006D688A">
              <w:rPr>
                <w:rFonts w:cs="Arial"/>
                <w:sz w:val="18"/>
                <w:szCs w:val="18"/>
              </w:rPr>
              <w:t>935,707</w:t>
            </w:r>
          </w:p>
        </w:tc>
        <w:tc>
          <w:tcPr>
            <w:tcW w:w="236" w:type="dxa"/>
            <w:tcBorders>
              <w:top w:val="nil"/>
              <w:left w:val="nil"/>
              <w:bottom w:val="nil"/>
              <w:right w:val="nil"/>
            </w:tcBorders>
            <w:shd w:val="clear" w:color="FFFFFF" w:fill="FFFFFF"/>
            <w:noWrap/>
            <w:vAlign w:val="bottom"/>
            <w:hideMark/>
          </w:tcPr>
          <w:p w14:paraId="5EF33A81"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single" w:sz="4" w:space="0" w:color="auto"/>
              <w:right w:val="nil"/>
            </w:tcBorders>
            <w:shd w:val="clear" w:color="FFFFFF" w:fill="FFFFFF"/>
            <w:noWrap/>
            <w:vAlign w:val="bottom"/>
            <w:hideMark/>
          </w:tcPr>
          <w:p w14:paraId="34184E6A" w14:textId="77777777" w:rsidR="00520333" w:rsidRPr="006D688A" w:rsidRDefault="00520333" w:rsidP="005E5E0C">
            <w:pPr>
              <w:spacing w:after="0"/>
              <w:jc w:val="right"/>
              <w:rPr>
                <w:rFonts w:cs="Arial"/>
                <w:sz w:val="18"/>
                <w:szCs w:val="18"/>
              </w:rPr>
            </w:pPr>
            <w:r w:rsidRPr="006D688A">
              <w:rPr>
                <w:rFonts w:cs="Arial"/>
                <w:sz w:val="18"/>
                <w:szCs w:val="18"/>
              </w:rPr>
              <w:t>(778,535)</w:t>
            </w:r>
          </w:p>
        </w:tc>
        <w:tc>
          <w:tcPr>
            <w:tcW w:w="236" w:type="dxa"/>
            <w:tcBorders>
              <w:top w:val="nil"/>
              <w:left w:val="nil"/>
              <w:bottom w:val="nil"/>
              <w:right w:val="nil"/>
            </w:tcBorders>
            <w:shd w:val="clear" w:color="FFFFFF" w:fill="FFFFFF"/>
            <w:noWrap/>
            <w:vAlign w:val="bottom"/>
            <w:hideMark/>
          </w:tcPr>
          <w:p w14:paraId="23851366" w14:textId="77777777" w:rsidR="00520333" w:rsidRPr="006D688A" w:rsidRDefault="00520333" w:rsidP="005E5E0C">
            <w:pPr>
              <w:spacing w:after="0"/>
              <w:rPr>
                <w:rFonts w:cs="Arial"/>
                <w:sz w:val="18"/>
                <w:szCs w:val="18"/>
              </w:rPr>
            </w:pPr>
            <w:r w:rsidRPr="006D688A">
              <w:rPr>
                <w:rFonts w:cs="Arial"/>
                <w:sz w:val="18"/>
                <w:szCs w:val="18"/>
                <w:vertAlign w:val="superscript"/>
              </w:rPr>
              <w:t> </w:t>
            </w:r>
          </w:p>
        </w:tc>
      </w:tr>
      <w:tr w:rsidR="00520333" w:rsidRPr="006D688A" w14:paraId="5AA858A6" w14:textId="77777777" w:rsidTr="005E5E0C">
        <w:trPr>
          <w:trHeight w:val="133"/>
        </w:trPr>
        <w:tc>
          <w:tcPr>
            <w:tcW w:w="4488" w:type="dxa"/>
            <w:tcBorders>
              <w:top w:val="nil"/>
              <w:left w:val="nil"/>
              <w:bottom w:val="nil"/>
              <w:right w:val="nil"/>
            </w:tcBorders>
            <w:shd w:val="clear" w:color="FFFFFF" w:fill="FFFFFF"/>
            <w:noWrap/>
            <w:vAlign w:val="bottom"/>
            <w:hideMark/>
          </w:tcPr>
          <w:p w14:paraId="6D1C7438"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nil"/>
              <w:right w:val="nil"/>
            </w:tcBorders>
            <w:shd w:val="clear" w:color="FFFFFF" w:fill="FFFFFF"/>
            <w:noWrap/>
            <w:vAlign w:val="bottom"/>
            <w:hideMark/>
          </w:tcPr>
          <w:p w14:paraId="77A3822D"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56C5DFAC"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0022B5E9"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EA958C0"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1BEA4ED"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19CA04E5"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62A9523"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49FD7AF" w14:textId="77777777" w:rsidTr="005E5E0C">
        <w:trPr>
          <w:trHeight w:val="250"/>
        </w:trPr>
        <w:tc>
          <w:tcPr>
            <w:tcW w:w="4488" w:type="dxa"/>
            <w:tcBorders>
              <w:top w:val="nil"/>
              <w:left w:val="nil"/>
              <w:bottom w:val="nil"/>
              <w:right w:val="nil"/>
            </w:tcBorders>
            <w:shd w:val="clear" w:color="FFFFFF" w:fill="FFFFFF"/>
            <w:vAlign w:val="bottom"/>
            <w:hideMark/>
          </w:tcPr>
          <w:p w14:paraId="075DB8BE" w14:textId="77777777" w:rsidR="00520333" w:rsidRPr="006D688A" w:rsidRDefault="00520333" w:rsidP="005E5E0C">
            <w:pPr>
              <w:spacing w:after="0"/>
              <w:rPr>
                <w:rFonts w:cs="Arial"/>
                <w:b/>
                <w:bCs/>
                <w:sz w:val="18"/>
                <w:szCs w:val="18"/>
              </w:rPr>
            </w:pPr>
            <w:r w:rsidRPr="006D688A">
              <w:rPr>
                <w:rFonts w:cs="Arial"/>
                <w:b/>
                <w:bCs/>
                <w:sz w:val="18"/>
                <w:szCs w:val="18"/>
              </w:rPr>
              <w:t>FINANCING ACTIVITIES</w:t>
            </w:r>
          </w:p>
        </w:tc>
        <w:tc>
          <w:tcPr>
            <w:tcW w:w="723" w:type="dxa"/>
            <w:tcBorders>
              <w:top w:val="nil"/>
              <w:left w:val="nil"/>
              <w:bottom w:val="nil"/>
              <w:right w:val="nil"/>
            </w:tcBorders>
            <w:shd w:val="clear" w:color="FFFFFF" w:fill="FFFFFF"/>
            <w:noWrap/>
            <w:vAlign w:val="bottom"/>
            <w:hideMark/>
          </w:tcPr>
          <w:p w14:paraId="3184FBBC"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55BA234D"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0E9302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6CE9AA60"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B3A0D06"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5D128B99"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2B82666B"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44B026C2" w14:textId="77777777" w:rsidTr="005E5E0C">
        <w:trPr>
          <w:trHeight w:val="250"/>
        </w:trPr>
        <w:tc>
          <w:tcPr>
            <w:tcW w:w="4488" w:type="dxa"/>
            <w:tcBorders>
              <w:top w:val="nil"/>
              <w:left w:val="nil"/>
              <w:bottom w:val="nil"/>
              <w:right w:val="nil"/>
            </w:tcBorders>
            <w:shd w:val="clear" w:color="FFFFFF" w:fill="FFFFFF"/>
            <w:vAlign w:val="bottom"/>
            <w:hideMark/>
          </w:tcPr>
          <w:p w14:paraId="432232FC" w14:textId="77777777" w:rsidR="00520333" w:rsidRPr="006D688A" w:rsidRDefault="00520333" w:rsidP="005E5E0C">
            <w:pPr>
              <w:spacing w:after="0"/>
              <w:rPr>
                <w:rFonts w:cs="Arial"/>
                <w:b/>
                <w:bCs/>
                <w:sz w:val="18"/>
                <w:szCs w:val="18"/>
              </w:rPr>
            </w:pPr>
            <w:r w:rsidRPr="006D688A">
              <w:rPr>
                <w:rFonts w:cs="Arial"/>
                <w:b/>
                <w:bCs/>
                <w:sz w:val="18"/>
                <w:szCs w:val="18"/>
              </w:rPr>
              <w:t>Cash used</w:t>
            </w:r>
          </w:p>
        </w:tc>
        <w:tc>
          <w:tcPr>
            <w:tcW w:w="723" w:type="dxa"/>
            <w:tcBorders>
              <w:top w:val="nil"/>
              <w:left w:val="nil"/>
              <w:bottom w:val="nil"/>
              <w:right w:val="nil"/>
            </w:tcBorders>
            <w:shd w:val="clear" w:color="FFFFFF" w:fill="FFFFFF"/>
            <w:noWrap/>
            <w:vAlign w:val="bottom"/>
            <w:hideMark/>
          </w:tcPr>
          <w:p w14:paraId="120AC24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41CC7B6E"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CA8100A"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367C2ABF"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5480B66E"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68E37A04"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79CCE668"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21161451" w14:textId="77777777" w:rsidTr="005E5E0C">
        <w:trPr>
          <w:trHeight w:val="250"/>
        </w:trPr>
        <w:tc>
          <w:tcPr>
            <w:tcW w:w="4488" w:type="dxa"/>
            <w:tcBorders>
              <w:top w:val="nil"/>
              <w:left w:val="nil"/>
              <w:bottom w:val="nil"/>
              <w:right w:val="nil"/>
            </w:tcBorders>
            <w:shd w:val="clear" w:color="FFFFFF" w:fill="FFFFFF"/>
            <w:vAlign w:val="bottom"/>
            <w:hideMark/>
          </w:tcPr>
          <w:p w14:paraId="34CBA76F" w14:textId="77777777" w:rsidR="00520333" w:rsidRPr="006D688A" w:rsidRDefault="00520333" w:rsidP="005E5E0C">
            <w:pPr>
              <w:spacing w:after="0"/>
              <w:ind w:firstLineChars="100" w:firstLine="180"/>
              <w:rPr>
                <w:rFonts w:cs="Arial"/>
                <w:sz w:val="18"/>
                <w:szCs w:val="18"/>
              </w:rPr>
            </w:pPr>
            <w:r w:rsidRPr="006D688A">
              <w:rPr>
                <w:rFonts w:cs="Arial"/>
                <w:sz w:val="18"/>
                <w:szCs w:val="18"/>
              </w:rPr>
              <w:t>Principal payments of lease liabilities</w:t>
            </w:r>
          </w:p>
        </w:tc>
        <w:tc>
          <w:tcPr>
            <w:tcW w:w="723" w:type="dxa"/>
            <w:tcBorders>
              <w:top w:val="nil"/>
              <w:left w:val="nil"/>
              <w:bottom w:val="nil"/>
              <w:right w:val="nil"/>
            </w:tcBorders>
            <w:shd w:val="clear" w:color="FFFFFF" w:fill="FFFFFF"/>
            <w:noWrap/>
            <w:vAlign w:val="bottom"/>
            <w:hideMark/>
          </w:tcPr>
          <w:p w14:paraId="03E327B1"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3C766706" w14:textId="77777777" w:rsidR="00520333" w:rsidRPr="006D688A" w:rsidRDefault="00520333" w:rsidP="005E5E0C">
            <w:pPr>
              <w:spacing w:after="0"/>
              <w:jc w:val="right"/>
              <w:rPr>
                <w:rFonts w:cs="Arial"/>
                <w:b/>
                <w:bCs/>
                <w:sz w:val="18"/>
                <w:szCs w:val="18"/>
              </w:rPr>
            </w:pPr>
            <w:r w:rsidRPr="006D688A">
              <w:rPr>
                <w:rFonts w:cs="Arial"/>
                <w:b/>
                <w:bCs/>
                <w:sz w:val="18"/>
                <w:szCs w:val="18"/>
              </w:rPr>
              <w:t>26,694</w:t>
            </w:r>
          </w:p>
        </w:tc>
        <w:tc>
          <w:tcPr>
            <w:tcW w:w="236" w:type="dxa"/>
            <w:tcBorders>
              <w:top w:val="nil"/>
              <w:left w:val="nil"/>
              <w:bottom w:val="nil"/>
              <w:right w:val="nil"/>
            </w:tcBorders>
            <w:shd w:val="clear" w:color="FFFFFF" w:fill="FFFFFF"/>
            <w:noWrap/>
            <w:vAlign w:val="bottom"/>
            <w:hideMark/>
          </w:tcPr>
          <w:p w14:paraId="255B3416"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36EA00D7" w14:textId="77777777" w:rsidR="00520333" w:rsidRPr="006D688A" w:rsidRDefault="00520333" w:rsidP="005E5E0C">
            <w:pPr>
              <w:spacing w:after="0"/>
              <w:jc w:val="right"/>
              <w:rPr>
                <w:rFonts w:cs="Arial"/>
                <w:sz w:val="18"/>
                <w:szCs w:val="18"/>
              </w:rPr>
            </w:pPr>
            <w:r w:rsidRPr="006D688A">
              <w:rPr>
                <w:rFonts w:cs="Arial"/>
                <w:sz w:val="18"/>
                <w:szCs w:val="18"/>
              </w:rPr>
              <w:t>38,744</w:t>
            </w:r>
          </w:p>
        </w:tc>
        <w:tc>
          <w:tcPr>
            <w:tcW w:w="236" w:type="dxa"/>
            <w:tcBorders>
              <w:top w:val="nil"/>
              <w:left w:val="nil"/>
              <w:bottom w:val="nil"/>
              <w:right w:val="nil"/>
            </w:tcBorders>
            <w:shd w:val="clear" w:color="FFFFFF" w:fill="FFFFFF"/>
            <w:noWrap/>
            <w:vAlign w:val="bottom"/>
            <w:hideMark/>
          </w:tcPr>
          <w:p w14:paraId="4A2F119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0AC1E33C" w14:textId="77777777" w:rsidR="00520333" w:rsidRPr="006D688A" w:rsidRDefault="00520333" w:rsidP="005E5E0C">
            <w:pPr>
              <w:spacing w:after="0"/>
              <w:jc w:val="right"/>
              <w:rPr>
                <w:rFonts w:cs="Arial"/>
                <w:sz w:val="18"/>
                <w:szCs w:val="18"/>
              </w:rPr>
            </w:pPr>
            <w:r w:rsidRPr="006D688A">
              <w:rPr>
                <w:rFonts w:cs="Arial"/>
                <w:sz w:val="18"/>
                <w:szCs w:val="18"/>
              </w:rPr>
              <w:t>42,661</w:t>
            </w:r>
          </w:p>
        </w:tc>
        <w:tc>
          <w:tcPr>
            <w:tcW w:w="236" w:type="dxa"/>
            <w:tcBorders>
              <w:top w:val="nil"/>
              <w:left w:val="nil"/>
              <w:bottom w:val="nil"/>
              <w:right w:val="nil"/>
            </w:tcBorders>
            <w:shd w:val="clear" w:color="FFFFFF" w:fill="FFFFFF"/>
            <w:noWrap/>
            <w:vAlign w:val="bottom"/>
            <w:hideMark/>
          </w:tcPr>
          <w:p w14:paraId="4B373C6E"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CA29F92" w14:textId="77777777" w:rsidTr="005E5E0C">
        <w:trPr>
          <w:trHeight w:val="250"/>
        </w:trPr>
        <w:tc>
          <w:tcPr>
            <w:tcW w:w="4488" w:type="dxa"/>
            <w:tcBorders>
              <w:top w:val="nil"/>
              <w:left w:val="nil"/>
              <w:bottom w:val="nil"/>
              <w:right w:val="nil"/>
            </w:tcBorders>
            <w:shd w:val="clear" w:color="FFFFFF" w:fill="FFFFFF"/>
            <w:vAlign w:val="bottom"/>
            <w:hideMark/>
          </w:tcPr>
          <w:p w14:paraId="67161E6C" w14:textId="77777777" w:rsidR="00520333" w:rsidRPr="006D688A" w:rsidRDefault="00520333" w:rsidP="005E5E0C">
            <w:pPr>
              <w:spacing w:after="0"/>
              <w:rPr>
                <w:rFonts w:cs="Arial"/>
                <w:b/>
                <w:bCs/>
                <w:sz w:val="18"/>
                <w:szCs w:val="18"/>
              </w:rPr>
            </w:pPr>
            <w:r w:rsidRPr="006D688A">
              <w:rPr>
                <w:rFonts w:cs="Arial"/>
                <w:b/>
                <w:bCs/>
                <w:sz w:val="18"/>
                <w:szCs w:val="18"/>
              </w:rPr>
              <w:t>Total cash used</w:t>
            </w:r>
          </w:p>
        </w:tc>
        <w:tc>
          <w:tcPr>
            <w:tcW w:w="723" w:type="dxa"/>
            <w:tcBorders>
              <w:top w:val="nil"/>
              <w:left w:val="nil"/>
              <w:bottom w:val="nil"/>
              <w:right w:val="nil"/>
            </w:tcBorders>
            <w:shd w:val="clear" w:color="FFFFFF" w:fill="FFFFFF"/>
            <w:noWrap/>
            <w:vAlign w:val="bottom"/>
            <w:hideMark/>
          </w:tcPr>
          <w:p w14:paraId="5699FB83"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6C52A81B" w14:textId="77777777" w:rsidR="00520333" w:rsidRPr="006D688A" w:rsidRDefault="00520333" w:rsidP="005E5E0C">
            <w:pPr>
              <w:spacing w:after="0"/>
              <w:jc w:val="right"/>
              <w:rPr>
                <w:rFonts w:cs="Arial"/>
                <w:b/>
                <w:bCs/>
                <w:sz w:val="18"/>
                <w:szCs w:val="18"/>
              </w:rPr>
            </w:pPr>
            <w:r w:rsidRPr="006D688A">
              <w:rPr>
                <w:rFonts w:cs="Arial"/>
                <w:b/>
                <w:bCs/>
                <w:sz w:val="18"/>
                <w:szCs w:val="18"/>
              </w:rPr>
              <w:t>26,694</w:t>
            </w:r>
          </w:p>
        </w:tc>
        <w:tc>
          <w:tcPr>
            <w:tcW w:w="236" w:type="dxa"/>
            <w:tcBorders>
              <w:top w:val="nil"/>
              <w:left w:val="nil"/>
              <w:bottom w:val="nil"/>
              <w:right w:val="nil"/>
            </w:tcBorders>
            <w:shd w:val="clear" w:color="FFFFFF" w:fill="FFFFFF"/>
            <w:noWrap/>
            <w:vAlign w:val="bottom"/>
            <w:hideMark/>
          </w:tcPr>
          <w:p w14:paraId="3A07F3A4"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5E1AC0B4" w14:textId="77777777" w:rsidR="00520333" w:rsidRPr="006D688A" w:rsidRDefault="00520333" w:rsidP="005E5E0C">
            <w:pPr>
              <w:spacing w:after="0"/>
              <w:jc w:val="right"/>
              <w:rPr>
                <w:rFonts w:cs="Arial"/>
                <w:sz w:val="18"/>
                <w:szCs w:val="18"/>
              </w:rPr>
            </w:pPr>
            <w:r w:rsidRPr="006D688A">
              <w:rPr>
                <w:rFonts w:cs="Arial"/>
                <w:sz w:val="18"/>
                <w:szCs w:val="18"/>
              </w:rPr>
              <w:t>38,744</w:t>
            </w:r>
          </w:p>
        </w:tc>
        <w:tc>
          <w:tcPr>
            <w:tcW w:w="236" w:type="dxa"/>
            <w:tcBorders>
              <w:top w:val="nil"/>
              <w:left w:val="nil"/>
              <w:bottom w:val="nil"/>
              <w:right w:val="nil"/>
            </w:tcBorders>
            <w:shd w:val="clear" w:color="FFFFFF" w:fill="FFFFFF"/>
            <w:noWrap/>
            <w:vAlign w:val="bottom"/>
            <w:hideMark/>
          </w:tcPr>
          <w:p w14:paraId="435FA955"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47F009F4" w14:textId="77777777" w:rsidR="00520333" w:rsidRPr="006D688A" w:rsidRDefault="00520333" w:rsidP="005E5E0C">
            <w:pPr>
              <w:spacing w:after="0"/>
              <w:jc w:val="right"/>
              <w:rPr>
                <w:rFonts w:cs="Arial"/>
                <w:sz w:val="18"/>
                <w:szCs w:val="18"/>
              </w:rPr>
            </w:pPr>
            <w:r w:rsidRPr="006D688A">
              <w:rPr>
                <w:rFonts w:cs="Arial"/>
                <w:sz w:val="18"/>
                <w:szCs w:val="18"/>
              </w:rPr>
              <w:t>42,661</w:t>
            </w:r>
          </w:p>
        </w:tc>
        <w:tc>
          <w:tcPr>
            <w:tcW w:w="236" w:type="dxa"/>
            <w:tcBorders>
              <w:top w:val="nil"/>
              <w:left w:val="nil"/>
              <w:bottom w:val="nil"/>
              <w:right w:val="nil"/>
            </w:tcBorders>
            <w:shd w:val="clear" w:color="FFFFFF" w:fill="FFFFFF"/>
            <w:noWrap/>
            <w:vAlign w:val="bottom"/>
            <w:hideMark/>
          </w:tcPr>
          <w:p w14:paraId="5EBABAF1"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7E17D7B4" w14:textId="77777777" w:rsidTr="005E5E0C">
        <w:trPr>
          <w:trHeight w:val="270"/>
        </w:trPr>
        <w:tc>
          <w:tcPr>
            <w:tcW w:w="4488" w:type="dxa"/>
            <w:tcBorders>
              <w:top w:val="nil"/>
              <w:left w:val="nil"/>
              <w:bottom w:val="nil"/>
              <w:right w:val="nil"/>
            </w:tcBorders>
            <w:shd w:val="clear" w:color="FFFFFF" w:fill="FFFFFF"/>
            <w:vAlign w:val="bottom"/>
            <w:hideMark/>
          </w:tcPr>
          <w:p w14:paraId="45D06CB8" w14:textId="77777777" w:rsidR="00520333" w:rsidRPr="006D688A" w:rsidRDefault="00520333" w:rsidP="005E5E0C">
            <w:pPr>
              <w:spacing w:after="0"/>
              <w:rPr>
                <w:rFonts w:cs="Arial"/>
                <w:b/>
                <w:bCs/>
                <w:sz w:val="18"/>
                <w:szCs w:val="18"/>
              </w:rPr>
            </w:pPr>
            <w:r w:rsidRPr="006D688A">
              <w:rPr>
                <w:rFonts w:cs="Arial"/>
                <w:b/>
                <w:bCs/>
                <w:sz w:val="18"/>
                <w:szCs w:val="18"/>
              </w:rPr>
              <w:t>Net cash from / (used by) financing activities</w:t>
            </w:r>
          </w:p>
        </w:tc>
        <w:tc>
          <w:tcPr>
            <w:tcW w:w="723" w:type="dxa"/>
            <w:tcBorders>
              <w:top w:val="nil"/>
              <w:left w:val="nil"/>
              <w:bottom w:val="nil"/>
              <w:right w:val="nil"/>
            </w:tcBorders>
            <w:shd w:val="clear" w:color="FFFFFF" w:fill="FFFFFF"/>
            <w:noWrap/>
            <w:vAlign w:val="bottom"/>
            <w:hideMark/>
          </w:tcPr>
          <w:p w14:paraId="67E7B006"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single" w:sz="4" w:space="0" w:color="auto"/>
              <w:right w:val="nil"/>
            </w:tcBorders>
            <w:shd w:val="clear" w:color="FFFFFF" w:fill="FFFFFF"/>
            <w:noWrap/>
            <w:vAlign w:val="bottom"/>
            <w:hideMark/>
          </w:tcPr>
          <w:p w14:paraId="3E58C693" w14:textId="77777777" w:rsidR="00520333" w:rsidRPr="006D688A" w:rsidRDefault="00520333" w:rsidP="005E5E0C">
            <w:pPr>
              <w:spacing w:after="0"/>
              <w:jc w:val="right"/>
              <w:rPr>
                <w:rFonts w:cs="Arial"/>
                <w:b/>
                <w:bCs/>
                <w:sz w:val="18"/>
                <w:szCs w:val="18"/>
              </w:rPr>
            </w:pPr>
            <w:r w:rsidRPr="006D688A">
              <w:rPr>
                <w:rFonts w:cs="Arial"/>
                <w:b/>
                <w:bCs/>
                <w:sz w:val="18"/>
                <w:szCs w:val="18"/>
              </w:rPr>
              <w:t>(26,694)</w:t>
            </w:r>
          </w:p>
        </w:tc>
        <w:tc>
          <w:tcPr>
            <w:tcW w:w="236" w:type="dxa"/>
            <w:tcBorders>
              <w:top w:val="nil"/>
              <w:left w:val="nil"/>
              <w:bottom w:val="nil"/>
              <w:right w:val="nil"/>
            </w:tcBorders>
            <w:shd w:val="clear" w:color="FFFFFF" w:fill="FFFFFF"/>
            <w:noWrap/>
            <w:vAlign w:val="bottom"/>
            <w:hideMark/>
          </w:tcPr>
          <w:p w14:paraId="6EC6BA8F"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single" w:sz="4" w:space="0" w:color="auto"/>
              <w:right w:val="nil"/>
            </w:tcBorders>
            <w:shd w:val="clear" w:color="FFFFFF" w:fill="FFFFFF"/>
            <w:noWrap/>
            <w:vAlign w:val="bottom"/>
            <w:hideMark/>
          </w:tcPr>
          <w:p w14:paraId="58EFF2E3" w14:textId="77777777" w:rsidR="00520333" w:rsidRPr="006D688A" w:rsidRDefault="00520333" w:rsidP="005E5E0C">
            <w:pPr>
              <w:spacing w:after="0"/>
              <w:jc w:val="right"/>
              <w:rPr>
                <w:rFonts w:cs="Arial"/>
                <w:sz w:val="18"/>
                <w:szCs w:val="18"/>
              </w:rPr>
            </w:pPr>
            <w:r w:rsidRPr="006D688A">
              <w:rPr>
                <w:rFonts w:cs="Arial"/>
                <w:sz w:val="18"/>
                <w:szCs w:val="18"/>
              </w:rPr>
              <w:t>(38,744)</w:t>
            </w:r>
          </w:p>
        </w:tc>
        <w:tc>
          <w:tcPr>
            <w:tcW w:w="236" w:type="dxa"/>
            <w:tcBorders>
              <w:top w:val="nil"/>
              <w:left w:val="nil"/>
              <w:bottom w:val="nil"/>
              <w:right w:val="nil"/>
            </w:tcBorders>
            <w:shd w:val="clear" w:color="FFFFFF" w:fill="FFFFFF"/>
            <w:noWrap/>
            <w:vAlign w:val="bottom"/>
            <w:hideMark/>
          </w:tcPr>
          <w:p w14:paraId="0845E0E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single" w:sz="4" w:space="0" w:color="auto"/>
              <w:right w:val="nil"/>
            </w:tcBorders>
            <w:shd w:val="clear" w:color="FFFFFF" w:fill="FFFFFF"/>
            <w:noWrap/>
            <w:vAlign w:val="bottom"/>
            <w:hideMark/>
          </w:tcPr>
          <w:p w14:paraId="7BD0FF96" w14:textId="77777777" w:rsidR="00520333" w:rsidRPr="006D688A" w:rsidRDefault="00520333" w:rsidP="005E5E0C">
            <w:pPr>
              <w:spacing w:after="0"/>
              <w:jc w:val="right"/>
              <w:rPr>
                <w:rFonts w:cs="Arial"/>
                <w:sz w:val="18"/>
                <w:szCs w:val="18"/>
              </w:rPr>
            </w:pPr>
            <w:r w:rsidRPr="006D688A">
              <w:rPr>
                <w:rFonts w:cs="Arial"/>
                <w:sz w:val="18"/>
                <w:szCs w:val="18"/>
              </w:rPr>
              <w:t>(42,661)</w:t>
            </w:r>
          </w:p>
        </w:tc>
        <w:tc>
          <w:tcPr>
            <w:tcW w:w="236" w:type="dxa"/>
            <w:tcBorders>
              <w:top w:val="nil"/>
              <w:left w:val="nil"/>
              <w:bottom w:val="nil"/>
              <w:right w:val="nil"/>
            </w:tcBorders>
            <w:shd w:val="clear" w:color="FFFFFF" w:fill="FFFFFF"/>
            <w:noWrap/>
            <w:vAlign w:val="bottom"/>
            <w:hideMark/>
          </w:tcPr>
          <w:p w14:paraId="1BEA1442" w14:textId="77777777" w:rsidR="00520333" w:rsidRPr="006D688A" w:rsidRDefault="00520333" w:rsidP="005E5E0C">
            <w:pPr>
              <w:spacing w:after="0"/>
              <w:rPr>
                <w:rFonts w:cs="Arial"/>
                <w:sz w:val="18"/>
                <w:szCs w:val="18"/>
              </w:rPr>
            </w:pPr>
            <w:r w:rsidRPr="006D688A">
              <w:rPr>
                <w:rFonts w:cs="Arial"/>
                <w:sz w:val="18"/>
                <w:szCs w:val="18"/>
                <w:vertAlign w:val="superscript"/>
              </w:rPr>
              <w:t> </w:t>
            </w:r>
          </w:p>
        </w:tc>
      </w:tr>
      <w:tr w:rsidR="00520333" w:rsidRPr="006D688A" w14:paraId="3D342CB3" w14:textId="77777777" w:rsidTr="005E5E0C">
        <w:trPr>
          <w:trHeight w:val="133"/>
        </w:trPr>
        <w:tc>
          <w:tcPr>
            <w:tcW w:w="4488" w:type="dxa"/>
            <w:tcBorders>
              <w:top w:val="nil"/>
              <w:left w:val="nil"/>
              <w:bottom w:val="nil"/>
              <w:right w:val="nil"/>
            </w:tcBorders>
            <w:shd w:val="clear" w:color="FFFFFF" w:fill="FFFFFF"/>
            <w:noWrap/>
            <w:vAlign w:val="bottom"/>
            <w:hideMark/>
          </w:tcPr>
          <w:p w14:paraId="73BB0947" w14:textId="77777777" w:rsidR="00520333" w:rsidRPr="006D688A" w:rsidRDefault="00520333" w:rsidP="005E5E0C">
            <w:pPr>
              <w:spacing w:after="0"/>
              <w:rPr>
                <w:rFonts w:cs="Arial"/>
                <w:sz w:val="18"/>
                <w:szCs w:val="18"/>
              </w:rPr>
            </w:pPr>
            <w:r w:rsidRPr="006D688A">
              <w:rPr>
                <w:rFonts w:cs="Arial"/>
                <w:sz w:val="18"/>
                <w:szCs w:val="18"/>
              </w:rPr>
              <w:t> </w:t>
            </w:r>
          </w:p>
        </w:tc>
        <w:tc>
          <w:tcPr>
            <w:tcW w:w="723" w:type="dxa"/>
            <w:tcBorders>
              <w:top w:val="nil"/>
              <w:left w:val="nil"/>
              <w:bottom w:val="nil"/>
              <w:right w:val="nil"/>
            </w:tcBorders>
            <w:shd w:val="clear" w:color="FFFFFF" w:fill="FFFFFF"/>
            <w:noWrap/>
            <w:vAlign w:val="bottom"/>
            <w:hideMark/>
          </w:tcPr>
          <w:p w14:paraId="695FD06B"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1BCB7ACE"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6832F3D2"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05C0A7F8"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4AF87F0E"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3A2F0B23" w14:textId="77777777" w:rsidR="00520333" w:rsidRPr="006D688A" w:rsidRDefault="00520333" w:rsidP="005E5E0C">
            <w:pPr>
              <w:spacing w:after="0"/>
              <w:rPr>
                <w:rFonts w:cs="Arial"/>
                <w:sz w:val="18"/>
                <w:szCs w:val="18"/>
              </w:rPr>
            </w:pPr>
            <w:r w:rsidRPr="006D688A">
              <w:rPr>
                <w:rFonts w:cs="Arial"/>
                <w:sz w:val="18"/>
                <w:szCs w:val="18"/>
              </w:rPr>
              <w:t> </w:t>
            </w:r>
          </w:p>
        </w:tc>
        <w:tc>
          <w:tcPr>
            <w:tcW w:w="236" w:type="dxa"/>
            <w:tcBorders>
              <w:top w:val="nil"/>
              <w:left w:val="nil"/>
              <w:bottom w:val="nil"/>
              <w:right w:val="nil"/>
            </w:tcBorders>
            <w:shd w:val="clear" w:color="FFFFFF" w:fill="FFFFFF"/>
            <w:noWrap/>
            <w:vAlign w:val="bottom"/>
            <w:hideMark/>
          </w:tcPr>
          <w:p w14:paraId="39CB0965"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65B307EA" w14:textId="77777777" w:rsidTr="005E5E0C">
        <w:trPr>
          <w:trHeight w:val="250"/>
        </w:trPr>
        <w:tc>
          <w:tcPr>
            <w:tcW w:w="4488" w:type="dxa"/>
            <w:tcBorders>
              <w:top w:val="nil"/>
              <w:left w:val="nil"/>
              <w:bottom w:val="nil"/>
              <w:right w:val="nil"/>
            </w:tcBorders>
            <w:shd w:val="clear" w:color="FFFFFF" w:fill="FFFFFF"/>
            <w:vAlign w:val="bottom"/>
            <w:hideMark/>
          </w:tcPr>
          <w:p w14:paraId="15A3B409" w14:textId="77777777" w:rsidR="00520333" w:rsidRPr="006D688A" w:rsidRDefault="00520333" w:rsidP="005E5E0C">
            <w:pPr>
              <w:spacing w:after="0"/>
              <w:rPr>
                <w:rFonts w:cs="Arial"/>
                <w:b/>
                <w:bCs/>
                <w:sz w:val="18"/>
                <w:szCs w:val="18"/>
              </w:rPr>
            </w:pPr>
            <w:r w:rsidRPr="006D688A">
              <w:rPr>
                <w:rFonts w:cs="Arial"/>
                <w:b/>
                <w:bCs/>
                <w:sz w:val="18"/>
                <w:szCs w:val="18"/>
              </w:rPr>
              <w:t>Net increase / (decrease) in cash held</w:t>
            </w:r>
          </w:p>
        </w:tc>
        <w:tc>
          <w:tcPr>
            <w:tcW w:w="723" w:type="dxa"/>
            <w:tcBorders>
              <w:top w:val="nil"/>
              <w:left w:val="nil"/>
              <w:bottom w:val="nil"/>
              <w:right w:val="nil"/>
            </w:tcBorders>
            <w:shd w:val="clear" w:color="FFFFFF" w:fill="FFFFFF"/>
            <w:noWrap/>
            <w:vAlign w:val="bottom"/>
            <w:hideMark/>
          </w:tcPr>
          <w:p w14:paraId="443E6B0D"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299DAAE4" w14:textId="77777777" w:rsidR="00520333" w:rsidRPr="006D688A" w:rsidRDefault="00520333" w:rsidP="005E5E0C">
            <w:pPr>
              <w:spacing w:after="0"/>
              <w:jc w:val="right"/>
              <w:rPr>
                <w:rFonts w:cs="Arial"/>
                <w:b/>
                <w:bCs/>
                <w:sz w:val="18"/>
                <w:szCs w:val="18"/>
              </w:rPr>
            </w:pPr>
            <w:r w:rsidRPr="006D688A">
              <w:rPr>
                <w:rFonts w:cs="Arial"/>
                <w:b/>
                <w:bCs/>
                <w:sz w:val="18"/>
                <w:szCs w:val="18"/>
              </w:rPr>
              <w:t>2,929,769</w:t>
            </w:r>
          </w:p>
        </w:tc>
        <w:tc>
          <w:tcPr>
            <w:tcW w:w="236" w:type="dxa"/>
            <w:tcBorders>
              <w:top w:val="nil"/>
              <w:left w:val="nil"/>
              <w:bottom w:val="nil"/>
              <w:right w:val="nil"/>
            </w:tcBorders>
            <w:shd w:val="clear" w:color="FFFFFF" w:fill="FFFFFF"/>
            <w:noWrap/>
            <w:vAlign w:val="bottom"/>
            <w:hideMark/>
          </w:tcPr>
          <w:p w14:paraId="20B1A627"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5A3FD7EB" w14:textId="77777777" w:rsidR="00520333" w:rsidRPr="006D688A" w:rsidRDefault="00520333" w:rsidP="005E5E0C">
            <w:pPr>
              <w:spacing w:after="0"/>
              <w:jc w:val="right"/>
              <w:rPr>
                <w:rFonts w:cs="Arial"/>
                <w:sz w:val="18"/>
                <w:szCs w:val="18"/>
              </w:rPr>
            </w:pPr>
            <w:r w:rsidRPr="006D688A">
              <w:rPr>
                <w:rFonts w:cs="Arial"/>
                <w:sz w:val="18"/>
                <w:szCs w:val="18"/>
              </w:rPr>
              <w:t>810,823</w:t>
            </w:r>
          </w:p>
        </w:tc>
        <w:tc>
          <w:tcPr>
            <w:tcW w:w="236" w:type="dxa"/>
            <w:tcBorders>
              <w:top w:val="nil"/>
              <w:left w:val="nil"/>
              <w:bottom w:val="nil"/>
              <w:right w:val="nil"/>
            </w:tcBorders>
            <w:shd w:val="clear" w:color="FFFFFF" w:fill="FFFFFF"/>
            <w:noWrap/>
            <w:vAlign w:val="bottom"/>
            <w:hideMark/>
          </w:tcPr>
          <w:p w14:paraId="5E4B4396"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086CBCF1" w14:textId="77777777" w:rsidR="00520333" w:rsidRPr="006D688A" w:rsidRDefault="00520333" w:rsidP="005E5E0C">
            <w:pPr>
              <w:spacing w:after="0"/>
              <w:jc w:val="right"/>
              <w:rPr>
                <w:rFonts w:cs="Arial"/>
                <w:sz w:val="18"/>
                <w:szCs w:val="18"/>
              </w:rPr>
            </w:pPr>
            <w:r w:rsidRPr="006D688A">
              <w:rPr>
                <w:rFonts w:cs="Arial"/>
                <w:sz w:val="18"/>
                <w:szCs w:val="18"/>
              </w:rPr>
              <w:t>-</w:t>
            </w:r>
          </w:p>
        </w:tc>
        <w:tc>
          <w:tcPr>
            <w:tcW w:w="236" w:type="dxa"/>
            <w:tcBorders>
              <w:top w:val="nil"/>
              <w:left w:val="nil"/>
              <w:bottom w:val="nil"/>
              <w:right w:val="nil"/>
            </w:tcBorders>
            <w:shd w:val="clear" w:color="FFFFFF" w:fill="FFFFFF"/>
            <w:noWrap/>
            <w:vAlign w:val="bottom"/>
            <w:hideMark/>
          </w:tcPr>
          <w:p w14:paraId="4E992F29"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3BAFFB32" w14:textId="77777777" w:rsidTr="005E5E0C">
        <w:trPr>
          <w:trHeight w:val="450"/>
        </w:trPr>
        <w:tc>
          <w:tcPr>
            <w:tcW w:w="4488" w:type="dxa"/>
            <w:tcBorders>
              <w:top w:val="nil"/>
              <w:left w:val="nil"/>
              <w:bottom w:val="nil"/>
              <w:right w:val="nil"/>
            </w:tcBorders>
            <w:shd w:val="clear" w:color="FFFFFF" w:fill="FFFFFF"/>
            <w:vAlign w:val="bottom"/>
            <w:hideMark/>
          </w:tcPr>
          <w:p w14:paraId="20439BEA" w14:textId="77777777" w:rsidR="00520333" w:rsidRPr="006D688A" w:rsidRDefault="00520333" w:rsidP="005E5E0C">
            <w:pPr>
              <w:spacing w:after="0"/>
              <w:ind w:firstLineChars="100" w:firstLine="180"/>
              <w:rPr>
                <w:rFonts w:cs="Arial"/>
                <w:sz w:val="18"/>
                <w:szCs w:val="18"/>
              </w:rPr>
            </w:pPr>
            <w:r w:rsidRPr="006D688A">
              <w:rPr>
                <w:rFonts w:cs="Arial"/>
                <w:sz w:val="18"/>
                <w:szCs w:val="18"/>
              </w:rPr>
              <w:t xml:space="preserve">Cash and cash equivalents at the beginning of the </w:t>
            </w:r>
            <w:r w:rsidRPr="006D688A">
              <w:rPr>
                <w:rFonts w:cs="Arial"/>
                <w:sz w:val="18"/>
                <w:szCs w:val="18"/>
              </w:rPr>
              <w:br/>
              <w:t xml:space="preserve">    reporting period</w:t>
            </w:r>
          </w:p>
        </w:tc>
        <w:tc>
          <w:tcPr>
            <w:tcW w:w="723" w:type="dxa"/>
            <w:tcBorders>
              <w:top w:val="nil"/>
              <w:left w:val="nil"/>
              <w:bottom w:val="nil"/>
              <w:right w:val="nil"/>
            </w:tcBorders>
            <w:shd w:val="clear" w:color="FFFFFF" w:fill="FFFFFF"/>
            <w:noWrap/>
            <w:vAlign w:val="bottom"/>
            <w:hideMark/>
          </w:tcPr>
          <w:p w14:paraId="5CC115CE" w14:textId="77777777" w:rsidR="00520333" w:rsidRPr="006D688A" w:rsidRDefault="00520333" w:rsidP="005E5E0C">
            <w:pPr>
              <w:spacing w:after="0"/>
              <w:jc w:val="center"/>
              <w:rPr>
                <w:rFonts w:cs="Arial"/>
                <w:sz w:val="18"/>
                <w:szCs w:val="18"/>
              </w:rPr>
            </w:pPr>
            <w:r w:rsidRPr="006D688A">
              <w:rPr>
                <w:rFonts w:cs="Arial"/>
                <w:sz w:val="18"/>
                <w:szCs w:val="18"/>
              </w:rPr>
              <w:t> </w:t>
            </w:r>
          </w:p>
        </w:tc>
        <w:tc>
          <w:tcPr>
            <w:tcW w:w="1067" w:type="dxa"/>
            <w:tcBorders>
              <w:top w:val="nil"/>
              <w:left w:val="nil"/>
              <w:bottom w:val="nil"/>
              <w:right w:val="nil"/>
            </w:tcBorders>
            <w:shd w:val="clear" w:color="FFFFFF" w:fill="FFFFFF"/>
            <w:noWrap/>
            <w:vAlign w:val="bottom"/>
            <w:hideMark/>
          </w:tcPr>
          <w:p w14:paraId="766E69B5" w14:textId="77777777" w:rsidR="00520333" w:rsidRPr="006D688A" w:rsidRDefault="00520333" w:rsidP="005E5E0C">
            <w:pPr>
              <w:spacing w:after="0"/>
              <w:jc w:val="right"/>
              <w:rPr>
                <w:rFonts w:cs="Arial"/>
                <w:b/>
                <w:bCs/>
                <w:sz w:val="18"/>
                <w:szCs w:val="18"/>
              </w:rPr>
            </w:pPr>
            <w:r w:rsidRPr="006D688A">
              <w:rPr>
                <w:rFonts w:cs="Arial"/>
                <w:b/>
                <w:bCs/>
                <w:sz w:val="18"/>
                <w:szCs w:val="18"/>
              </w:rPr>
              <w:t>2,729,779</w:t>
            </w:r>
          </w:p>
        </w:tc>
        <w:tc>
          <w:tcPr>
            <w:tcW w:w="236" w:type="dxa"/>
            <w:tcBorders>
              <w:top w:val="nil"/>
              <w:left w:val="nil"/>
              <w:bottom w:val="nil"/>
              <w:right w:val="nil"/>
            </w:tcBorders>
            <w:shd w:val="clear" w:color="FFFFFF" w:fill="FFFFFF"/>
            <w:noWrap/>
            <w:vAlign w:val="bottom"/>
            <w:hideMark/>
          </w:tcPr>
          <w:p w14:paraId="04DA37D9"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nil"/>
              <w:left w:val="nil"/>
              <w:bottom w:val="nil"/>
              <w:right w:val="nil"/>
            </w:tcBorders>
            <w:shd w:val="clear" w:color="FFFFFF" w:fill="FFFFFF"/>
            <w:noWrap/>
            <w:vAlign w:val="bottom"/>
            <w:hideMark/>
          </w:tcPr>
          <w:p w14:paraId="429D334F" w14:textId="77777777" w:rsidR="00520333" w:rsidRPr="006D688A" w:rsidRDefault="00520333" w:rsidP="005E5E0C">
            <w:pPr>
              <w:spacing w:after="0"/>
              <w:jc w:val="right"/>
              <w:rPr>
                <w:rFonts w:cs="Arial"/>
                <w:sz w:val="18"/>
                <w:szCs w:val="18"/>
              </w:rPr>
            </w:pPr>
            <w:r w:rsidRPr="006D688A">
              <w:rPr>
                <w:rFonts w:cs="Arial"/>
                <w:sz w:val="18"/>
                <w:szCs w:val="18"/>
              </w:rPr>
              <w:t>1,918,956</w:t>
            </w:r>
          </w:p>
        </w:tc>
        <w:tc>
          <w:tcPr>
            <w:tcW w:w="236" w:type="dxa"/>
            <w:tcBorders>
              <w:top w:val="nil"/>
              <w:left w:val="nil"/>
              <w:bottom w:val="nil"/>
              <w:right w:val="nil"/>
            </w:tcBorders>
            <w:shd w:val="clear" w:color="FFFFFF" w:fill="FFFFFF"/>
            <w:noWrap/>
            <w:vAlign w:val="bottom"/>
            <w:hideMark/>
          </w:tcPr>
          <w:p w14:paraId="23C62F60"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nil"/>
              <w:left w:val="nil"/>
              <w:bottom w:val="nil"/>
              <w:right w:val="nil"/>
            </w:tcBorders>
            <w:shd w:val="clear" w:color="FFFFFF" w:fill="FFFFFF"/>
            <w:noWrap/>
            <w:vAlign w:val="bottom"/>
            <w:hideMark/>
          </w:tcPr>
          <w:p w14:paraId="051428E8" w14:textId="77777777" w:rsidR="00520333" w:rsidRPr="006D688A" w:rsidRDefault="00520333" w:rsidP="005E5E0C">
            <w:pPr>
              <w:spacing w:after="0"/>
              <w:jc w:val="right"/>
              <w:rPr>
                <w:rFonts w:cs="Arial"/>
                <w:sz w:val="18"/>
                <w:szCs w:val="18"/>
              </w:rPr>
            </w:pPr>
            <w:r w:rsidRPr="006D688A">
              <w:rPr>
                <w:rFonts w:cs="Arial"/>
                <w:sz w:val="18"/>
                <w:szCs w:val="18"/>
              </w:rPr>
              <w:t>850,000</w:t>
            </w:r>
          </w:p>
        </w:tc>
        <w:tc>
          <w:tcPr>
            <w:tcW w:w="236" w:type="dxa"/>
            <w:tcBorders>
              <w:top w:val="nil"/>
              <w:left w:val="nil"/>
              <w:bottom w:val="nil"/>
              <w:right w:val="nil"/>
            </w:tcBorders>
            <w:shd w:val="clear" w:color="FFFFFF" w:fill="FFFFFF"/>
            <w:noWrap/>
            <w:vAlign w:val="bottom"/>
            <w:hideMark/>
          </w:tcPr>
          <w:p w14:paraId="7171F424" w14:textId="77777777" w:rsidR="00520333" w:rsidRPr="006D688A" w:rsidRDefault="00520333" w:rsidP="005E5E0C">
            <w:pPr>
              <w:spacing w:after="0"/>
              <w:rPr>
                <w:rFonts w:cs="Arial"/>
                <w:sz w:val="18"/>
                <w:szCs w:val="18"/>
              </w:rPr>
            </w:pPr>
            <w:r w:rsidRPr="006D688A">
              <w:rPr>
                <w:rFonts w:cs="Arial"/>
                <w:sz w:val="18"/>
                <w:szCs w:val="18"/>
              </w:rPr>
              <w:t> </w:t>
            </w:r>
          </w:p>
        </w:tc>
      </w:tr>
      <w:tr w:rsidR="00520333" w:rsidRPr="006D688A" w14:paraId="72829F88" w14:textId="77777777" w:rsidTr="005E5E0C">
        <w:trPr>
          <w:trHeight w:val="250"/>
        </w:trPr>
        <w:tc>
          <w:tcPr>
            <w:tcW w:w="4488" w:type="dxa"/>
            <w:tcBorders>
              <w:top w:val="nil"/>
              <w:left w:val="nil"/>
              <w:bottom w:val="nil"/>
              <w:right w:val="nil"/>
            </w:tcBorders>
            <w:shd w:val="clear" w:color="FFFFFF" w:fill="FFFFFF"/>
            <w:vAlign w:val="bottom"/>
            <w:hideMark/>
          </w:tcPr>
          <w:p w14:paraId="69447937" w14:textId="77777777" w:rsidR="00520333" w:rsidRPr="006D688A" w:rsidRDefault="00520333" w:rsidP="005E5E0C">
            <w:pPr>
              <w:spacing w:after="0"/>
              <w:rPr>
                <w:rFonts w:cs="Arial"/>
                <w:b/>
                <w:bCs/>
                <w:sz w:val="18"/>
                <w:szCs w:val="18"/>
              </w:rPr>
            </w:pPr>
            <w:r w:rsidRPr="006D688A">
              <w:rPr>
                <w:rFonts w:cs="Arial"/>
                <w:b/>
                <w:bCs/>
                <w:sz w:val="18"/>
                <w:szCs w:val="18"/>
              </w:rPr>
              <w:t>Cash and cash equivalents at the end of the reporting period</w:t>
            </w:r>
          </w:p>
        </w:tc>
        <w:tc>
          <w:tcPr>
            <w:tcW w:w="723" w:type="dxa"/>
            <w:tcBorders>
              <w:top w:val="nil"/>
              <w:left w:val="nil"/>
              <w:bottom w:val="nil"/>
              <w:right w:val="nil"/>
            </w:tcBorders>
            <w:shd w:val="clear" w:color="FFFFFF" w:fill="FFFFFF"/>
            <w:noWrap/>
            <w:vAlign w:val="bottom"/>
            <w:hideMark/>
          </w:tcPr>
          <w:p w14:paraId="02EB1AD6" w14:textId="77777777" w:rsidR="00520333" w:rsidRPr="006D688A" w:rsidRDefault="00520333" w:rsidP="005E5E0C">
            <w:pPr>
              <w:spacing w:after="0"/>
              <w:jc w:val="center"/>
              <w:rPr>
                <w:rFonts w:cs="Arial"/>
                <w:sz w:val="18"/>
                <w:szCs w:val="18"/>
              </w:rPr>
            </w:pPr>
            <w:r w:rsidRPr="006D688A">
              <w:rPr>
                <w:rFonts w:cs="Arial"/>
                <w:sz w:val="18"/>
                <w:szCs w:val="18"/>
              </w:rPr>
              <w:t>2.1A</w:t>
            </w:r>
          </w:p>
        </w:tc>
        <w:tc>
          <w:tcPr>
            <w:tcW w:w="1067" w:type="dxa"/>
            <w:tcBorders>
              <w:top w:val="single" w:sz="4" w:space="0" w:color="auto"/>
              <w:left w:val="nil"/>
              <w:bottom w:val="single" w:sz="4" w:space="0" w:color="auto"/>
              <w:right w:val="nil"/>
            </w:tcBorders>
            <w:shd w:val="clear" w:color="FFFFFF" w:fill="FFFFFF"/>
            <w:noWrap/>
            <w:vAlign w:val="bottom"/>
            <w:hideMark/>
          </w:tcPr>
          <w:p w14:paraId="10712DC8" w14:textId="77777777" w:rsidR="00520333" w:rsidRPr="006D688A" w:rsidRDefault="00520333" w:rsidP="005E5E0C">
            <w:pPr>
              <w:spacing w:after="0"/>
              <w:jc w:val="right"/>
              <w:rPr>
                <w:rFonts w:cs="Arial"/>
                <w:b/>
                <w:bCs/>
                <w:sz w:val="18"/>
                <w:szCs w:val="18"/>
              </w:rPr>
            </w:pPr>
            <w:r w:rsidRPr="006D688A">
              <w:rPr>
                <w:rFonts w:cs="Arial"/>
                <w:b/>
                <w:bCs/>
                <w:sz w:val="18"/>
                <w:szCs w:val="18"/>
              </w:rPr>
              <w:t>5,659,548</w:t>
            </w:r>
          </w:p>
        </w:tc>
        <w:tc>
          <w:tcPr>
            <w:tcW w:w="236" w:type="dxa"/>
            <w:tcBorders>
              <w:top w:val="nil"/>
              <w:left w:val="nil"/>
              <w:bottom w:val="nil"/>
              <w:right w:val="nil"/>
            </w:tcBorders>
            <w:shd w:val="clear" w:color="FFFFFF" w:fill="FFFFFF"/>
            <w:noWrap/>
            <w:vAlign w:val="bottom"/>
            <w:hideMark/>
          </w:tcPr>
          <w:p w14:paraId="60F60150" w14:textId="77777777" w:rsidR="00520333" w:rsidRPr="006D688A" w:rsidRDefault="00520333" w:rsidP="005E5E0C">
            <w:pPr>
              <w:spacing w:after="0"/>
              <w:rPr>
                <w:rFonts w:cs="Arial"/>
                <w:sz w:val="18"/>
                <w:szCs w:val="18"/>
              </w:rPr>
            </w:pPr>
            <w:r w:rsidRPr="006D688A">
              <w:rPr>
                <w:rFonts w:cs="Arial"/>
                <w:sz w:val="18"/>
                <w:szCs w:val="18"/>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589D389F" w14:textId="77777777" w:rsidR="00520333" w:rsidRPr="006D688A" w:rsidRDefault="00520333" w:rsidP="005E5E0C">
            <w:pPr>
              <w:spacing w:after="0"/>
              <w:jc w:val="right"/>
              <w:rPr>
                <w:rFonts w:cs="Arial"/>
                <w:sz w:val="18"/>
                <w:szCs w:val="18"/>
              </w:rPr>
            </w:pPr>
            <w:r w:rsidRPr="006D688A">
              <w:rPr>
                <w:rFonts w:cs="Arial"/>
                <w:sz w:val="18"/>
                <w:szCs w:val="18"/>
              </w:rPr>
              <w:t>2,729,779</w:t>
            </w:r>
          </w:p>
        </w:tc>
        <w:tc>
          <w:tcPr>
            <w:tcW w:w="236" w:type="dxa"/>
            <w:tcBorders>
              <w:top w:val="nil"/>
              <w:left w:val="nil"/>
              <w:bottom w:val="nil"/>
              <w:right w:val="nil"/>
            </w:tcBorders>
            <w:shd w:val="clear" w:color="FFFFFF" w:fill="FFFFFF"/>
            <w:noWrap/>
            <w:vAlign w:val="bottom"/>
            <w:hideMark/>
          </w:tcPr>
          <w:p w14:paraId="22920E72" w14:textId="77777777" w:rsidR="00520333" w:rsidRPr="006D688A" w:rsidRDefault="00520333" w:rsidP="005E5E0C">
            <w:pPr>
              <w:spacing w:after="0"/>
              <w:rPr>
                <w:rFonts w:cs="Arial"/>
                <w:sz w:val="18"/>
                <w:szCs w:val="18"/>
              </w:rPr>
            </w:pPr>
            <w:r w:rsidRPr="006D688A">
              <w:rPr>
                <w:rFonts w:cs="Arial"/>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14:paraId="5840E75B" w14:textId="77777777" w:rsidR="00520333" w:rsidRPr="006D688A" w:rsidRDefault="00520333" w:rsidP="005E5E0C">
            <w:pPr>
              <w:spacing w:after="0"/>
              <w:jc w:val="right"/>
              <w:rPr>
                <w:rFonts w:cs="Arial"/>
                <w:sz w:val="18"/>
                <w:szCs w:val="18"/>
              </w:rPr>
            </w:pPr>
            <w:r w:rsidRPr="006D688A">
              <w:rPr>
                <w:rFonts w:cs="Arial"/>
                <w:sz w:val="18"/>
                <w:szCs w:val="18"/>
              </w:rPr>
              <w:t>850,000</w:t>
            </w:r>
          </w:p>
        </w:tc>
        <w:tc>
          <w:tcPr>
            <w:tcW w:w="236" w:type="dxa"/>
            <w:tcBorders>
              <w:top w:val="nil"/>
              <w:left w:val="nil"/>
              <w:bottom w:val="nil"/>
              <w:right w:val="nil"/>
            </w:tcBorders>
            <w:shd w:val="clear" w:color="FFFFFF" w:fill="FFFFFF"/>
            <w:noWrap/>
            <w:vAlign w:val="bottom"/>
            <w:hideMark/>
          </w:tcPr>
          <w:p w14:paraId="4CF873E3" w14:textId="77777777" w:rsidR="00520333" w:rsidRPr="006D688A" w:rsidRDefault="00520333" w:rsidP="005E5E0C">
            <w:pPr>
              <w:spacing w:after="0"/>
              <w:rPr>
                <w:rFonts w:cs="Arial"/>
                <w:sz w:val="18"/>
                <w:szCs w:val="18"/>
              </w:rPr>
            </w:pPr>
            <w:r w:rsidRPr="006D688A">
              <w:rPr>
                <w:rFonts w:cs="Arial"/>
                <w:sz w:val="18"/>
                <w:szCs w:val="18"/>
              </w:rPr>
              <w:t> </w:t>
            </w:r>
          </w:p>
        </w:tc>
      </w:tr>
    </w:tbl>
    <w:p w14:paraId="6277139C" w14:textId="77777777" w:rsidR="00520333" w:rsidRPr="006D688A" w:rsidRDefault="00520333" w:rsidP="003203A1">
      <w:pPr>
        <w:pStyle w:val="ReferenceText"/>
      </w:pPr>
      <w:bookmarkStart w:id="116" w:name="OLE_LINK1"/>
      <w:bookmarkStart w:id="117" w:name="OLE_LINK4"/>
      <w:bookmarkStart w:id="118" w:name="OLE_LINK5"/>
      <w:bookmarkStart w:id="119" w:name="OLE_LINK6"/>
      <w:r w:rsidRPr="006D688A">
        <w:t>The above statement should be read in conjunction with the accompanying notes.</w:t>
      </w:r>
    </w:p>
    <w:bookmarkEnd w:id="116"/>
    <w:bookmarkEnd w:id="117"/>
    <w:bookmarkEnd w:id="118"/>
    <w:bookmarkEnd w:id="119"/>
    <w:p w14:paraId="4F103919" w14:textId="7702A305" w:rsidR="00133885" w:rsidRDefault="00520333" w:rsidP="003203A1">
      <w:pPr>
        <w:pStyle w:val="ReferenceText"/>
        <w:rPr>
          <w:b/>
          <w:bCs/>
          <w:lang w:eastAsia="en-US"/>
        </w:rPr>
      </w:pPr>
      <w:r w:rsidRPr="006D688A">
        <w:rPr>
          <w:vertAlign w:val="superscript"/>
        </w:rPr>
        <w:t>1</w:t>
      </w:r>
      <w:r w:rsidRPr="006D688A">
        <w:t>Original Budget refers to the figures published in the 2023-24 Portfolio Budget Statements.</w:t>
      </w:r>
      <w:r w:rsidR="00133885">
        <w:br w:type="page"/>
      </w:r>
    </w:p>
    <w:p w14:paraId="279FBE3C" w14:textId="77777777" w:rsidR="006D688A" w:rsidRDefault="006D688A" w:rsidP="006D688A">
      <w:pPr>
        <w:pStyle w:val="StatementHeading"/>
        <w:rPr>
          <w:rFonts w:cs="Arial"/>
          <w:szCs w:val="24"/>
        </w:rPr>
      </w:pPr>
      <w:r>
        <w:rPr>
          <w:rFonts w:cs="Arial"/>
          <w:szCs w:val="24"/>
        </w:rPr>
        <w:lastRenderedPageBreak/>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76409E">
        <w:t xml:space="preserve"> Agency</w:t>
      </w:r>
      <w:r>
        <w:fldChar w:fldCharType="end"/>
      </w:r>
    </w:p>
    <w:p w14:paraId="3651C848" w14:textId="77777777" w:rsidR="006D688A" w:rsidRDefault="006D688A" w:rsidP="006D688A">
      <w:pPr>
        <w:pStyle w:val="StatementHeading"/>
        <w:rPr>
          <w:rFonts w:cs="Arial"/>
          <w:szCs w:val="24"/>
        </w:rPr>
      </w:pPr>
      <w:r>
        <w:rPr>
          <w:szCs w:val="24"/>
        </w:rPr>
        <w:t>CASH FLOW STATEMENT</w:t>
      </w:r>
    </w:p>
    <w:p w14:paraId="7A7D4CBE" w14:textId="77777777" w:rsidR="006D688A" w:rsidRPr="00C821EB" w:rsidRDefault="006D688A" w:rsidP="00C821EB">
      <w:pPr>
        <w:pBdr>
          <w:bottom w:val="single" w:sz="8" w:space="1" w:color="auto"/>
        </w:pBdr>
        <w:spacing w:line="240" w:lineRule="auto"/>
        <w:rPr>
          <w:i/>
          <w:iCs/>
        </w:rPr>
      </w:pPr>
      <w:r w:rsidRPr="00C821EB">
        <w:rPr>
          <w:i/>
          <w:iCs/>
        </w:rPr>
        <w:t xml:space="preserve">for the year ended </w:t>
      </w:r>
      <w:r w:rsidRPr="00C821EB">
        <w:rPr>
          <w:i/>
          <w:iCs/>
        </w:rPr>
        <w:fldChar w:fldCharType="begin"/>
      </w:r>
      <w:r w:rsidRPr="00C821EB">
        <w:rPr>
          <w:i/>
          <w:iCs/>
        </w:rPr>
        <w:instrText>DOCPROPERTY  pEnd  \* MERGEFORMAT</w:instrText>
      </w:r>
      <w:r w:rsidRPr="00C821EB">
        <w:rPr>
          <w:i/>
          <w:iCs/>
        </w:rPr>
        <w:fldChar w:fldCharType="separate"/>
      </w:r>
      <w:r w:rsidRPr="00C821EB">
        <w:rPr>
          <w:i/>
          <w:iCs/>
        </w:rPr>
        <w:t>30 June</w:t>
      </w:r>
      <w:r w:rsidRPr="00C821EB">
        <w:rPr>
          <w:i/>
          <w:iCs/>
        </w:rPr>
        <w:fldChar w:fldCharType="end"/>
      </w:r>
      <w:r w:rsidRPr="00C821EB">
        <w:rPr>
          <w:i/>
          <w:iCs/>
        </w:rPr>
        <w:t xml:space="preserve"> </w:t>
      </w:r>
      <w:r w:rsidRPr="00C821EB">
        <w:rPr>
          <w:i/>
          <w:iCs/>
        </w:rPr>
        <w:fldChar w:fldCharType="begin"/>
      </w:r>
      <w:r w:rsidRPr="00C821EB">
        <w:rPr>
          <w:i/>
          <w:iCs/>
        </w:rPr>
        <w:instrText xml:space="preserve"> DOCPROPERTY  crYear  \* MERGEFORMAT </w:instrText>
      </w:r>
      <w:r w:rsidRPr="00C821EB">
        <w:rPr>
          <w:i/>
          <w:iCs/>
        </w:rPr>
        <w:fldChar w:fldCharType="separate"/>
      </w:r>
      <w:r w:rsidRPr="00C821EB">
        <w:rPr>
          <w:i/>
          <w:iCs/>
        </w:rPr>
        <w:t>2024</w:t>
      </w:r>
      <w:r w:rsidRPr="00C821EB">
        <w:rPr>
          <w:i/>
          <w:iCs/>
        </w:rPr>
        <w:fldChar w:fldCharType="end"/>
      </w:r>
    </w:p>
    <w:p w14:paraId="374276A0" w14:textId="739FA880" w:rsidR="00520333" w:rsidRPr="00D61499" w:rsidRDefault="00520333" w:rsidP="00520333">
      <w:pPr>
        <w:pStyle w:val="PolicyheadingDept"/>
        <w:pBdr>
          <w:top w:val="none" w:sz="0" w:space="0" w:color="auto"/>
          <w:left w:val="none" w:sz="0" w:space="0" w:color="auto"/>
          <w:bottom w:val="none" w:sz="0" w:space="0" w:color="auto"/>
          <w:right w:val="none" w:sz="0" w:space="0" w:color="auto"/>
        </w:pBdr>
      </w:pPr>
      <w:r w:rsidRPr="00D61499">
        <w:t xml:space="preserve">Budget Variances Commentary </w:t>
      </w:r>
    </w:p>
    <w:p w14:paraId="0BCD9858" w14:textId="77777777" w:rsidR="00520333" w:rsidRPr="008016CA" w:rsidRDefault="00520333" w:rsidP="00520333">
      <w:pPr>
        <w:pStyle w:val="PolicyheadingDept"/>
        <w:pBdr>
          <w:top w:val="none" w:sz="0" w:space="0" w:color="auto"/>
          <w:left w:val="none" w:sz="0" w:space="0" w:color="auto"/>
          <w:bottom w:val="none" w:sz="0" w:space="0" w:color="auto"/>
          <w:right w:val="none" w:sz="0" w:space="0" w:color="auto"/>
        </w:pBdr>
      </w:pPr>
      <w:r w:rsidRPr="008016CA">
        <w:t>Cash Flow Statement</w:t>
      </w:r>
    </w:p>
    <w:p w14:paraId="695A0EA1" w14:textId="77777777" w:rsidR="00520333" w:rsidRPr="008016CA" w:rsidRDefault="00520333" w:rsidP="00520333">
      <w:pPr>
        <w:spacing w:before="100" w:beforeAutospacing="1" w:after="0" w:line="240" w:lineRule="auto"/>
        <w:rPr>
          <w:rFonts w:cs="Arial"/>
          <w:sz w:val="18"/>
          <w:szCs w:val="18"/>
          <w:lang w:eastAsia="en-AU"/>
        </w:rPr>
      </w:pPr>
      <w:r w:rsidRPr="008016CA">
        <w:rPr>
          <w:rFonts w:cs="Arial"/>
          <w:sz w:val="18"/>
          <w:szCs w:val="18"/>
          <w:lang w:eastAsia="en-AU"/>
        </w:rPr>
        <w:t>The following major variance explanations between the Original Budget as presented in the 2023-24 Portfolio Budget Statements and the 2023–24 financial statements are presented in accordance with Australian Accounting Standards. The 2023–24 Portfolio Budget Statements contain the original financial statements’ budget estimates presented to Parliament in respect of the 2022–23 financial year. The information presented below should be read in the context of the following:</w:t>
      </w:r>
    </w:p>
    <w:p w14:paraId="3EF02C33" w14:textId="77777777" w:rsidR="00520333" w:rsidRPr="008016CA" w:rsidRDefault="00520333" w:rsidP="00520333">
      <w:pPr>
        <w:spacing w:before="100" w:beforeAutospacing="1" w:after="0" w:line="240" w:lineRule="auto"/>
        <w:rPr>
          <w:rFonts w:cs="Arial"/>
          <w:sz w:val="18"/>
          <w:szCs w:val="18"/>
          <w:lang w:eastAsia="en-AU"/>
        </w:rPr>
      </w:pPr>
      <w:r w:rsidRPr="008016CA">
        <w:rPr>
          <w:rFonts w:cs="Arial"/>
          <w:sz w:val="18"/>
          <w:szCs w:val="18"/>
          <w:lang w:eastAsia="en-AU"/>
        </w:rPr>
        <w:t>· major variances are determined in accordance with Department of Finance guidelines;</w:t>
      </w:r>
    </w:p>
    <w:p w14:paraId="1EDC8815" w14:textId="77777777" w:rsidR="00520333" w:rsidRPr="008016CA" w:rsidRDefault="00520333" w:rsidP="00520333">
      <w:pPr>
        <w:spacing w:before="100" w:beforeAutospacing="1" w:after="0" w:line="240" w:lineRule="auto"/>
        <w:rPr>
          <w:rFonts w:cs="Arial"/>
          <w:sz w:val="18"/>
          <w:szCs w:val="18"/>
          <w:lang w:eastAsia="en-AU"/>
        </w:rPr>
      </w:pPr>
      <w:r w:rsidRPr="008016CA">
        <w:rPr>
          <w:rFonts w:cs="Arial"/>
          <w:sz w:val="18"/>
          <w:szCs w:val="18"/>
          <w:lang w:eastAsia="en-AU"/>
        </w:rPr>
        <w:t>· variances relating to cash flows are a result of the factors explained for net cost of services, assets or liabilities variations. Unless otherwise individually significant, no additional commentary has been included; and</w:t>
      </w:r>
    </w:p>
    <w:p w14:paraId="0D5D4228" w14:textId="77777777" w:rsidR="00520333" w:rsidRDefault="00520333" w:rsidP="00C821EB">
      <w:pPr>
        <w:spacing w:before="100" w:beforeAutospacing="1" w:line="240" w:lineRule="auto"/>
        <w:rPr>
          <w:rFonts w:eastAsia="Calibri" w:cs="Arial"/>
          <w:sz w:val="18"/>
          <w:szCs w:val="18"/>
        </w:rPr>
      </w:pPr>
      <w:r w:rsidRPr="008016CA">
        <w:rPr>
          <w:rFonts w:cs="Arial"/>
          <w:sz w:val="18"/>
          <w:szCs w:val="18"/>
          <w:lang w:eastAsia="en-AU"/>
        </w:rPr>
        <w:t>· the Budget is not audited.</w:t>
      </w:r>
    </w:p>
    <w:tbl>
      <w:tblPr>
        <w:tblW w:w="9077"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73"/>
        <w:gridCol w:w="6804"/>
      </w:tblGrid>
      <w:tr w:rsidR="00520333" w:rsidRPr="00BC5D6B" w14:paraId="0F49FBF8" w14:textId="77777777">
        <w:trPr>
          <w:cantSplit/>
          <w:trHeight w:val="255"/>
          <w:tblHeader/>
        </w:trPr>
        <w:tc>
          <w:tcPr>
            <w:tcW w:w="2273" w:type="dxa"/>
            <w:shd w:val="clear" w:color="FFFFFF" w:fill="FFFFFF"/>
            <w:noWrap/>
            <w:vAlign w:val="center"/>
          </w:tcPr>
          <w:p w14:paraId="4DBFB8AB" w14:textId="77777777" w:rsidR="00520333" w:rsidRPr="008016CA" w:rsidRDefault="00520333" w:rsidP="005E5E0C">
            <w:pPr>
              <w:spacing w:after="0"/>
              <w:rPr>
                <w:b/>
                <w:sz w:val="18"/>
              </w:rPr>
            </w:pPr>
            <w:r w:rsidRPr="008016CA">
              <w:rPr>
                <w:b/>
                <w:sz w:val="18"/>
              </w:rPr>
              <w:t>Affected line items</w:t>
            </w:r>
          </w:p>
        </w:tc>
        <w:tc>
          <w:tcPr>
            <w:tcW w:w="6804" w:type="dxa"/>
            <w:shd w:val="clear" w:color="FFFFFF" w:fill="FFFFFF"/>
            <w:vAlign w:val="center"/>
          </w:tcPr>
          <w:p w14:paraId="4F1C648B" w14:textId="77777777" w:rsidR="00520333" w:rsidRPr="00BC5D6B" w:rsidRDefault="00520333" w:rsidP="005E5E0C">
            <w:pPr>
              <w:spacing w:after="0"/>
              <w:rPr>
                <w:b/>
                <w:sz w:val="18"/>
                <w:highlight w:val="yellow"/>
              </w:rPr>
            </w:pPr>
            <w:r w:rsidRPr="00597542">
              <w:rPr>
                <w:rFonts w:cs="Arial"/>
                <w:b/>
                <w:bCs/>
                <w:color w:val="000000"/>
                <w:sz w:val="18"/>
                <w:szCs w:val="18"/>
                <w:lang w:eastAsia="en-AU"/>
              </w:rPr>
              <w:t>Explanations of major variances</w:t>
            </w:r>
          </w:p>
        </w:tc>
      </w:tr>
      <w:tr w:rsidR="00520333" w:rsidRPr="00283706" w14:paraId="35094E8C" w14:textId="77777777">
        <w:trPr>
          <w:cantSplit/>
          <w:trHeight w:val="255"/>
        </w:trPr>
        <w:tc>
          <w:tcPr>
            <w:tcW w:w="2273" w:type="dxa"/>
            <w:shd w:val="clear" w:color="auto" w:fill="auto"/>
            <w:noWrap/>
          </w:tcPr>
          <w:p w14:paraId="245419E9" w14:textId="77777777" w:rsidR="00520333" w:rsidRDefault="00520333" w:rsidP="005E5E0C">
            <w:pPr>
              <w:spacing w:after="0"/>
              <w:rPr>
                <w:sz w:val="18"/>
              </w:rPr>
            </w:pPr>
            <w:r w:rsidRPr="00206440">
              <w:rPr>
                <w:sz w:val="18"/>
              </w:rPr>
              <w:t>Financing Activities</w:t>
            </w:r>
          </w:p>
          <w:p w14:paraId="4972B7B1" w14:textId="77777777" w:rsidR="00520333" w:rsidRPr="00283706" w:rsidRDefault="00520333" w:rsidP="005E5E0C">
            <w:pPr>
              <w:spacing w:after="0"/>
              <w:rPr>
                <w:i/>
                <w:sz w:val="18"/>
              </w:rPr>
            </w:pPr>
            <w:r w:rsidRPr="00206440">
              <w:rPr>
                <w:i/>
                <w:sz w:val="18"/>
              </w:rPr>
              <w:t>Principal payments of lease liabilities</w:t>
            </w:r>
          </w:p>
        </w:tc>
        <w:tc>
          <w:tcPr>
            <w:tcW w:w="6804" w:type="dxa"/>
            <w:shd w:val="clear" w:color="auto" w:fill="auto"/>
            <w:noWrap/>
          </w:tcPr>
          <w:p w14:paraId="50FDD60B" w14:textId="77777777" w:rsidR="00520333" w:rsidRPr="00283706" w:rsidRDefault="00520333" w:rsidP="005E5E0C">
            <w:pPr>
              <w:spacing w:after="0"/>
              <w:jc w:val="both"/>
              <w:rPr>
                <w:rFonts w:cs="Arial"/>
                <w:color w:val="000000"/>
                <w:sz w:val="18"/>
                <w:szCs w:val="18"/>
              </w:rPr>
            </w:pPr>
            <w:r w:rsidRPr="00206440">
              <w:rPr>
                <w:rFonts w:cs="Arial"/>
                <w:color w:val="000000"/>
                <w:sz w:val="18"/>
                <w:szCs w:val="18"/>
              </w:rPr>
              <w:t>The Original Budget did not anticipate lease incentives received in 2023-24 which contributed to the reduction in principal repayments.</w:t>
            </w:r>
          </w:p>
        </w:tc>
      </w:tr>
    </w:tbl>
    <w:p w14:paraId="41170F93" w14:textId="77777777" w:rsidR="00520333" w:rsidRPr="005E5430" w:rsidRDefault="00520333" w:rsidP="00520333">
      <w:pPr>
        <w:rPr>
          <w:rFonts w:eastAsia="Calibri" w:cs="Arial"/>
          <w:sz w:val="18"/>
          <w:szCs w:val="18"/>
        </w:rPr>
        <w:sectPr w:rsidR="00520333" w:rsidRPr="005E5430" w:rsidSect="007D1B8F">
          <w:headerReference w:type="even" r:id="rId52"/>
          <w:headerReference w:type="default" r:id="rId53"/>
          <w:footerReference w:type="default" r:id="rId54"/>
          <w:headerReference w:type="first" r:id="rId55"/>
          <w:pgSz w:w="11906" w:h="16838" w:code="9"/>
          <w:pgMar w:top="1361" w:right="1361" w:bottom="1361" w:left="1361" w:header="561" w:footer="374" w:gutter="0"/>
          <w:cols w:space="708"/>
          <w:docGrid w:linePitch="360"/>
        </w:sectPr>
      </w:pPr>
    </w:p>
    <w:p w14:paraId="4D9307DF" w14:textId="56D0131E" w:rsidR="006D688A" w:rsidRPr="00C821EB" w:rsidRDefault="006D688A" w:rsidP="00C821EB">
      <w:pPr>
        <w:spacing w:after="0" w:line="240" w:lineRule="auto"/>
        <w:rPr>
          <w:b/>
          <w:bCs/>
        </w:rPr>
      </w:pPr>
      <w:bookmarkStart w:id="120" w:name="_Hlk181021994"/>
      <w:r w:rsidRPr="00C821EB">
        <w:rPr>
          <w:b/>
          <w:bCs/>
        </w:rPr>
        <w:lastRenderedPageBreak/>
        <w:t>National Disability Insurance Agency</w:t>
      </w:r>
    </w:p>
    <w:p w14:paraId="1CA1DEB0" w14:textId="77777777" w:rsidR="006D688A" w:rsidRPr="00C821EB" w:rsidRDefault="006D688A" w:rsidP="00C821EB">
      <w:pPr>
        <w:pBdr>
          <w:bottom w:val="single" w:sz="8" w:space="1" w:color="auto"/>
        </w:pBdr>
        <w:rPr>
          <w:b/>
          <w:bCs/>
        </w:rPr>
      </w:pPr>
      <w:r w:rsidRPr="00C821EB">
        <w:rPr>
          <w:b/>
          <w:bCs/>
        </w:rPr>
        <w:t>NOTES TO AND FORMING PART OF THE FINANCIAL STATEMENTS</w:t>
      </w:r>
    </w:p>
    <w:p w14:paraId="3BA1AD2E" w14:textId="77777777" w:rsidR="00C821EB" w:rsidRPr="00C821EB" w:rsidRDefault="00C821EB" w:rsidP="00C821EB">
      <w:pPr>
        <w:tabs>
          <w:tab w:val="left" w:pos="9214"/>
        </w:tabs>
        <w:spacing w:before="240" w:line="240" w:lineRule="auto"/>
        <w:rPr>
          <w:b/>
          <w:bCs/>
          <w:sz w:val="18"/>
          <w:szCs w:val="18"/>
          <w:u w:val="single"/>
        </w:rPr>
      </w:pPr>
      <w:r w:rsidRPr="00C821EB">
        <w:rPr>
          <w:b/>
          <w:bCs/>
          <w:sz w:val="18"/>
          <w:szCs w:val="18"/>
          <w:u w:val="single"/>
        </w:rPr>
        <w:t>Table of Contents</w:t>
      </w:r>
    </w:p>
    <w:p w14:paraId="40F9C9F1" w14:textId="77777777" w:rsidR="00BC1253" w:rsidRPr="00BC1253" w:rsidRDefault="00BC1253" w:rsidP="00BC1253">
      <w:pPr>
        <w:tabs>
          <w:tab w:val="left" w:pos="709"/>
          <w:tab w:val="left" w:pos="1276"/>
          <w:tab w:val="right" w:pos="9356"/>
        </w:tabs>
        <w:spacing w:line="240" w:lineRule="auto"/>
        <w:rPr>
          <w:b/>
          <w:bCs/>
          <w:sz w:val="18"/>
          <w:szCs w:val="18"/>
        </w:rPr>
      </w:pPr>
      <w:bookmarkStart w:id="121" w:name="_Hlk181024432"/>
      <w:r w:rsidRPr="00BC1253">
        <w:rPr>
          <w:b/>
          <w:bCs/>
          <w:sz w:val="18"/>
          <w:szCs w:val="18"/>
        </w:rPr>
        <w:t>Overview</w:t>
      </w:r>
      <w:r w:rsidRPr="00BC1253">
        <w:rPr>
          <w:b/>
          <w:bCs/>
          <w:sz w:val="18"/>
          <w:szCs w:val="18"/>
        </w:rPr>
        <w:tab/>
      </w:r>
      <w:r w:rsidRPr="00BC1253">
        <w:rPr>
          <w:b/>
          <w:bCs/>
          <w:sz w:val="18"/>
          <w:szCs w:val="18"/>
        </w:rPr>
        <w:tab/>
        <w:t>49</w:t>
      </w:r>
    </w:p>
    <w:p w14:paraId="49C4ECCE" w14:textId="77777777" w:rsidR="00BC1253" w:rsidRPr="00BC1253" w:rsidRDefault="00BC1253" w:rsidP="00BC1253">
      <w:pPr>
        <w:tabs>
          <w:tab w:val="left" w:pos="709"/>
          <w:tab w:val="left" w:pos="1276"/>
          <w:tab w:val="right" w:pos="9356"/>
        </w:tabs>
        <w:spacing w:line="240" w:lineRule="auto"/>
        <w:rPr>
          <w:b/>
          <w:bCs/>
          <w:sz w:val="18"/>
          <w:szCs w:val="18"/>
        </w:rPr>
      </w:pPr>
      <w:r w:rsidRPr="00BC1253">
        <w:rPr>
          <w:b/>
          <w:bCs/>
          <w:sz w:val="18"/>
          <w:szCs w:val="18"/>
        </w:rPr>
        <w:t>1.</w:t>
      </w:r>
      <w:r w:rsidRPr="00BC1253">
        <w:rPr>
          <w:b/>
          <w:bCs/>
          <w:sz w:val="18"/>
          <w:szCs w:val="18"/>
        </w:rPr>
        <w:tab/>
        <w:t>Financial Performance</w:t>
      </w:r>
      <w:r w:rsidRPr="00BC1253">
        <w:rPr>
          <w:b/>
          <w:bCs/>
          <w:sz w:val="18"/>
          <w:szCs w:val="18"/>
        </w:rPr>
        <w:tab/>
        <w:t>50</w:t>
      </w:r>
    </w:p>
    <w:p w14:paraId="22BD74E7"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1.1.</w:t>
      </w:r>
      <w:r w:rsidRPr="00BC1253">
        <w:rPr>
          <w:sz w:val="18"/>
          <w:szCs w:val="18"/>
        </w:rPr>
        <w:tab/>
        <w:t xml:space="preserve">Expenses </w:t>
      </w:r>
      <w:r w:rsidRPr="00BC1253">
        <w:rPr>
          <w:sz w:val="18"/>
          <w:szCs w:val="18"/>
        </w:rPr>
        <w:tab/>
        <w:t>50</w:t>
      </w:r>
    </w:p>
    <w:p w14:paraId="593A8221"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1.2.</w:t>
      </w:r>
      <w:r w:rsidRPr="00BC1253">
        <w:rPr>
          <w:sz w:val="18"/>
          <w:szCs w:val="18"/>
        </w:rPr>
        <w:tab/>
        <w:t xml:space="preserve">Own-Source Revenue and Gains </w:t>
      </w:r>
      <w:r w:rsidRPr="00BC1253">
        <w:rPr>
          <w:sz w:val="18"/>
          <w:szCs w:val="18"/>
        </w:rPr>
        <w:tab/>
        <w:t>53</w:t>
      </w:r>
    </w:p>
    <w:p w14:paraId="349F1F61" w14:textId="77777777" w:rsidR="00BC1253" w:rsidRPr="00BC1253" w:rsidRDefault="00BC1253" w:rsidP="00BC1253">
      <w:pPr>
        <w:tabs>
          <w:tab w:val="left" w:pos="709"/>
          <w:tab w:val="left" w:pos="1276"/>
          <w:tab w:val="right" w:pos="9356"/>
        </w:tabs>
        <w:spacing w:line="240" w:lineRule="auto"/>
        <w:rPr>
          <w:b/>
          <w:bCs/>
          <w:sz w:val="18"/>
          <w:szCs w:val="18"/>
        </w:rPr>
      </w:pPr>
      <w:r w:rsidRPr="00BC1253">
        <w:rPr>
          <w:b/>
          <w:bCs/>
          <w:sz w:val="18"/>
          <w:szCs w:val="18"/>
        </w:rPr>
        <w:t>2.</w:t>
      </w:r>
      <w:r w:rsidRPr="00BC1253">
        <w:rPr>
          <w:b/>
          <w:bCs/>
          <w:sz w:val="18"/>
          <w:szCs w:val="18"/>
        </w:rPr>
        <w:tab/>
        <w:t xml:space="preserve">Financial Position </w:t>
      </w:r>
      <w:r w:rsidRPr="00BC1253">
        <w:rPr>
          <w:b/>
          <w:bCs/>
          <w:sz w:val="18"/>
          <w:szCs w:val="18"/>
        </w:rPr>
        <w:tab/>
        <w:t>56</w:t>
      </w:r>
    </w:p>
    <w:p w14:paraId="57839B96"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2.1.</w:t>
      </w:r>
      <w:r w:rsidRPr="00BC1253">
        <w:rPr>
          <w:sz w:val="18"/>
          <w:szCs w:val="18"/>
        </w:rPr>
        <w:tab/>
        <w:t xml:space="preserve">Financial Assets </w:t>
      </w:r>
      <w:r w:rsidRPr="00BC1253">
        <w:rPr>
          <w:sz w:val="18"/>
          <w:szCs w:val="18"/>
        </w:rPr>
        <w:tab/>
        <w:t>56</w:t>
      </w:r>
    </w:p>
    <w:p w14:paraId="6EF4B10A"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2.2.</w:t>
      </w:r>
      <w:r w:rsidRPr="00BC1253">
        <w:rPr>
          <w:sz w:val="18"/>
          <w:szCs w:val="18"/>
        </w:rPr>
        <w:tab/>
        <w:t xml:space="preserve">Non-Financial Assets </w:t>
      </w:r>
      <w:r w:rsidRPr="00BC1253">
        <w:rPr>
          <w:sz w:val="18"/>
          <w:szCs w:val="18"/>
        </w:rPr>
        <w:tab/>
        <w:t>58</w:t>
      </w:r>
    </w:p>
    <w:p w14:paraId="3C38CDE2"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2.3.</w:t>
      </w:r>
      <w:r w:rsidRPr="00BC1253">
        <w:rPr>
          <w:sz w:val="18"/>
          <w:szCs w:val="18"/>
        </w:rPr>
        <w:tab/>
        <w:t xml:space="preserve">Payables </w:t>
      </w:r>
      <w:r w:rsidRPr="00BC1253">
        <w:rPr>
          <w:sz w:val="18"/>
          <w:szCs w:val="18"/>
        </w:rPr>
        <w:tab/>
        <w:t>61</w:t>
      </w:r>
    </w:p>
    <w:p w14:paraId="6A3F3DAD"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2.4.</w:t>
      </w:r>
      <w:r w:rsidRPr="00BC1253">
        <w:rPr>
          <w:sz w:val="18"/>
          <w:szCs w:val="18"/>
        </w:rPr>
        <w:tab/>
        <w:t xml:space="preserve">Unearned Income </w:t>
      </w:r>
      <w:r w:rsidRPr="00BC1253">
        <w:rPr>
          <w:sz w:val="18"/>
          <w:szCs w:val="18"/>
        </w:rPr>
        <w:tab/>
        <w:t>61</w:t>
      </w:r>
    </w:p>
    <w:p w14:paraId="172E093D"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2.5.</w:t>
      </w:r>
      <w:r w:rsidRPr="00BC1253">
        <w:rPr>
          <w:sz w:val="18"/>
          <w:szCs w:val="18"/>
        </w:rPr>
        <w:tab/>
        <w:t xml:space="preserve">Interest Bearing Liabilities </w:t>
      </w:r>
      <w:r w:rsidRPr="00BC1253">
        <w:rPr>
          <w:sz w:val="18"/>
          <w:szCs w:val="18"/>
        </w:rPr>
        <w:tab/>
        <w:t>61</w:t>
      </w:r>
    </w:p>
    <w:p w14:paraId="5C253882"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2.6.</w:t>
      </w:r>
      <w:r w:rsidRPr="00BC1253">
        <w:rPr>
          <w:sz w:val="18"/>
          <w:szCs w:val="18"/>
        </w:rPr>
        <w:tab/>
        <w:t xml:space="preserve">Provisions </w:t>
      </w:r>
      <w:r w:rsidRPr="00BC1253">
        <w:rPr>
          <w:sz w:val="18"/>
          <w:szCs w:val="18"/>
        </w:rPr>
        <w:tab/>
        <w:t>62</w:t>
      </w:r>
    </w:p>
    <w:p w14:paraId="1AF5BAC8" w14:textId="77777777" w:rsidR="00BC1253" w:rsidRPr="00BC1253" w:rsidRDefault="00BC1253" w:rsidP="00BC1253">
      <w:pPr>
        <w:tabs>
          <w:tab w:val="left" w:pos="709"/>
          <w:tab w:val="left" w:pos="1276"/>
          <w:tab w:val="right" w:pos="9356"/>
        </w:tabs>
        <w:spacing w:line="240" w:lineRule="auto"/>
        <w:rPr>
          <w:b/>
          <w:bCs/>
          <w:sz w:val="18"/>
          <w:szCs w:val="18"/>
        </w:rPr>
      </w:pPr>
      <w:r w:rsidRPr="00BC1253">
        <w:rPr>
          <w:b/>
          <w:bCs/>
          <w:sz w:val="18"/>
          <w:szCs w:val="18"/>
        </w:rPr>
        <w:t>3.</w:t>
      </w:r>
      <w:r w:rsidRPr="00BC1253">
        <w:rPr>
          <w:b/>
          <w:bCs/>
          <w:sz w:val="18"/>
          <w:szCs w:val="18"/>
        </w:rPr>
        <w:tab/>
        <w:t xml:space="preserve">People and Relationships </w:t>
      </w:r>
      <w:r w:rsidRPr="00BC1253">
        <w:rPr>
          <w:b/>
          <w:bCs/>
          <w:sz w:val="18"/>
          <w:szCs w:val="18"/>
        </w:rPr>
        <w:tab/>
        <w:t>64</w:t>
      </w:r>
    </w:p>
    <w:p w14:paraId="600B3F2E"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3.1.</w:t>
      </w:r>
      <w:r w:rsidRPr="00BC1253">
        <w:rPr>
          <w:sz w:val="18"/>
          <w:szCs w:val="18"/>
        </w:rPr>
        <w:tab/>
        <w:t xml:space="preserve">Key Management Personnel Remuneration </w:t>
      </w:r>
      <w:r w:rsidRPr="00BC1253">
        <w:rPr>
          <w:sz w:val="18"/>
          <w:szCs w:val="18"/>
        </w:rPr>
        <w:tab/>
        <w:t>65</w:t>
      </w:r>
    </w:p>
    <w:p w14:paraId="2A83AE37"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3.2.</w:t>
      </w:r>
      <w:r w:rsidRPr="00BC1253">
        <w:rPr>
          <w:sz w:val="18"/>
          <w:szCs w:val="18"/>
        </w:rPr>
        <w:tab/>
        <w:t xml:space="preserve">Related Party Disclosures </w:t>
      </w:r>
      <w:r w:rsidRPr="00BC1253">
        <w:rPr>
          <w:sz w:val="18"/>
          <w:szCs w:val="18"/>
        </w:rPr>
        <w:tab/>
        <w:t>65</w:t>
      </w:r>
    </w:p>
    <w:p w14:paraId="18BF3A0B" w14:textId="77777777" w:rsidR="00BC1253" w:rsidRPr="00BC1253" w:rsidRDefault="00BC1253" w:rsidP="00BC1253">
      <w:pPr>
        <w:tabs>
          <w:tab w:val="left" w:pos="709"/>
          <w:tab w:val="left" w:pos="1276"/>
          <w:tab w:val="right" w:pos="9356"/>
        </w:tabs>
        <w:spacing w:line="240" w:lineRule="auto"/>
        <w:rPr>
          <w:b/>
          <w:bCs/>
          <w:sz w:val="18"/>
          <w:szCs w:val="18"/>
        </w:rPr>
      </w:pPr>
      <w:r w:rsidRPr="00BC1253">
        <w:rPr>
          <w:b/>
          <w:bCs/>
          <w:sz w:val="18"/>
          <w:szCs w:val="18"/>
        </w:rPr>
        <w:t>4.</w:t>
      </w:r>
      <w:r w:rsidRPr="00BC1253">
        <w:rPr>
          <w:b/>
          <w:bCs/>
          <w:sz w:val="18"/>
          <w:szCs w:val="18"/>
        </w:rPr>
        <w:tab/>
        <w:t xml:space="preserve">Managing Uncertainties </w:t>
      </w:r>
      <w:r w:rsidRPr="00BC1253">
        <w:rPr>
          <w:b/>
          <w:bCs/>
          <w:sz w:val="18"/>
          <w:szCs w:val="18"/>
        </w:rPr>
        <w:tab/>
        <w:t>67</w:t>
      </w:r>
    </w:p>
    <w:p w14:paraId="7B22651A"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4.1.</w:t>
      </w:r>
      <w:r w:rsidRPr="00BC1253">
        <w:rPr>
          <w:sz w:val="18"/>
          <w:szCs w:val="18"/>
        </w:rPr>
        <w:tab/>
        <w:t xml:space="preserve">Contingent Assets and Liabilities </w:t>
      </w:r>
      <w:r w:rsidRPr="00BC1253">
        <w:rPr>
          <w:sz w:val="18"/>
          <w:szCs w:val="18"/>
        </w:rPr>
        <w:tab/>
        <w:t>67</w:t>
      </w:r>
    </w:p>
    <w:p w14:paraId="718D7D9E"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4.2.</w:t>
      </w:r>
      <w:r w:rsidRPr="00BC1253">
        <w:rPr>
          <w:sz w:val="18"/>
          <w:szCs w:val="18"/>
        </w:rPr>
        <w:tab/>
        <w:t xml:space="preserve">Financial Instruments </w:t>
      </w:r>
      <w:r w:rsidRPr="00BC1253">
        <w:rPr>
          <w:sz w:val="18"/>
          <w:szCs w:val="18"/>
        </w:rPr>
        <w:tab/>
        <w:t>68</w:t>
      </w:r>
    </w:p>
    <w:p w14:paraId="5C191B3F" w14:textId="77777777" w:rsidR="00BC1253" w:rsidRPr="00BC1253" w:rsidRDefault="00BC1253" w:rsidP="00BC1253">
      <w:pPr>
        <w:tabs>
          <w:tab w:val="left" w:pos="709"/>
          <w:tab w:val="left" w:pos="1276"/>
          <w:tab w:val="right" w:pos="9356"/>
        </w:tabs>
        <w:spacing w:line="240" w:lineRule="auto"/>
        <w:rPr>
          <w:b/>
          <w:bCs/>
          <w:sz w:val="18"/>
          <w:szCs w:val="18"/>
        </w:rPr>
      </w:pPr>
      <w:r w:rsidRPr="00BC1253">
        <w:rPr>
          <w:b/>
          <w:bCs/>
          <w:sz w:val="18"/>
          <w:szCs w:val="18"/>
        </w:rPr>
        <w:t>5.</w:t>
      </w:r>
      <w:r w:rsidRPr="00BC1253">
        <w:rPr>
          <w:b/>
          <w:bCs/>
          <w:sz w:val="18"/>
          <w:szCs w:val="18"/>
        </w:rPr>
        <w:tab/>
        <w:t xml:space="preserve">Other Information </w:t>
      </w:r>
      <w:r w:rsidRPr="00BC1253">
        <w:rPr>
          <w:b/>
          <w:bCs/>
          <w:sz w:val="18"/>
          <w:szCs w:val="18"/>
        </w:rPr>
        <w:tab/>
        <w:t>70</w:t>
      </w:r>
    </w:p>
    <w:p w14:paraId="4A371BAC" w14:textId="77777777" w:rsidR="00BC1253" w:rsidRPr="00BC1253" w:rsidRDefault="00BC1253" w:rsidP="00BC1253">
      <w:pPr>
        <w:tabs>
          <w:tab w:val="left" w:pos="1418"/>
          <w:tab w:val="right" w:pos="9356"/>
        </w:tabs>
        <w:spacing w:line="240" w:lineRule="auto"/>
        <w:ind w:left="709"/>
        <w:rPr>
          <w:sz w:val="18"/>
          <w:szCs w:val="18"/>
        </w:rPr>
      </w:pPr>
      <w:r w:rsidRPr="00BC1253">
        <w:rPr>
          <w:sz w:val="18"/>
          <w:szCs w:val="18"/>
        </w:rPr>
        <w:t>5.1</w:t>
      </w:r>
      <w:r w:rsidRPr="00BC1253">
        <w:rPr>
          <w:sz w:val="18"/>
          <w:szCs w:val="18"/>
        </w:rPr>
        <w:tab/>
        <w:t xml:space="preserve">Current/Non-current Distinction for Assets and Liabilities </w:t>
      </w:r>
      <w:r w:rsidRPr="00BC1253">
        <w:rPr>
          <w:sz w:val="18"/>
          <w:szCs w:val="18"/>
        </w:rPr>
        <w:tab/>
        <w:t>70</w:t>
      </w:r>
    </w:p>
    <w:bookmarkEnd w:id="121"/>
    <w:p w14:paraId="1AF87027" w14:textId="32AA0E77" w:rsidR="00520333" w:rsidRPr="00C821EB" w:rsidRDefault="00520333" w:rsidP="00C821EB">
      <w:pPr>
        <w:tabs>
          <w:tab w:val="left" w:pos="1418"/>
          <w:tab w:val="right" w:pos="9356"/>
        </w:tabs>
        <w:spacing w:line="240" w:lineRule="auto"/>
        <w:ind w:left="709"/>
        <w:rPr>
          <w:sz w:val="18"/>
          <w:szCs w:val="18"/>
        </w:rPr>
      </w:pPr>
    </w:p>
    <w:p w14:paraId="0562B4A0" w14:textId="235A7A73" w:rsidR="006D688A" w:rsidRPr="00C821EB" w:rsidRDefault="006D688A" w:rsidP="00C821EB">
      <w:pPr>
        <w:tabs>
          <w:tab w:val="left" w:pos="1418"/>
          <w:tab w:val="right" w:pos="9356"/>
        </w:tabs>
        <w:spacing w:line="240" w:lineRule="auto"/>
        <w:ind w:left="709"/>
        <w:rPr>
          <w:sz w:val="18"/>
          <w:szCs w:val="18"/>
        </w:rPr>
        <w:sectPr w:rsidR="006D688A" w:rsidRPr="00C821EB" w:rsidSect="007D1B8F">
          <w:headerReference w:type="even" r:id="rId56"/>
          <w:headerReference w:type="default" r:id="rId57"/>
          <w:headerReference w:type="first" r:id="rId58"/>
          <w:pgSz w:w="11906" w:h="16838" w:code="9"/>
          <w:pgMar w:top="1361" w:right="1361" w:bottom="1361" w:left="1361" w:header="561" w:footer="374" w:gutter="0"/>
          <w:cols w:space="708"/>
          <w:docGrid w:linePitch="360"/>
        </w:sectPr>
      </w:pPr>
    </w:p>
    <w:p w14:paraId="21A258A5" w14:textId="77777777" w:rsidR="00C821EB" w:rsidRPr="00C821EB" w:rsidRDefault="00C821EB" w:rsidP="00C821EB">
      <w:pPr>
        <w:spacing w:after="0" w:line="240" w:lineRule="auto"/>
        <w:rPr>
          <w:b/>
          <w:bCs/>
        </w:rPr>
      </w:pPr>
      <w:bookmarkStart w:id="122" w:name="_Toc443469521"/>
      <w:bookmarkStart w:id="123" w:name="_Toc444065769"/>
      <w:bookmarkStart w:id="124" w:name="_Toc444077331"/>
      <w:bookmarkStart w:id="125" w:name="_Toc447030534"/>
      <w:bookmarkStart w:id="126" w:name="_Toc447030686"/>
      <w:bookmarkStart w:id="127" w:name="_Toc447030779"/>
      <w:bookmarkStart w:id="128" w:name="_Toc65742842"/>
      <w:bookmarkStart w:id="129" w:name="_Toc173417289"/>
      <w:bookmarkStart w:id="130" w:name="_Toc393360771"/>
      <w:bookmarkStart w:id="131" w:name="_Toc393784905"/>
      <w:bookmarkEnd w:id="120"/>
      <w:r w:rsidRPr="00C821EB">
        <w:rPr>
          <w:b/>
          <w:bCs/>
        </w:rPr>
        <w:lastRenderedPageBreak/>
        <w:t>National Disability Insurance Agency</w:t>
      </w:r>
    </w:p>
    <w:p w14:paraId="6C2F79A5" w14:textId="77777777" w:rsidR="00C821EB" w:rsidRPr="00C821EB" w:rsidRDefault="00C821EB" w:rsidP="00C821EB">
      <w:pPr>
        <w:pBdr>
          <w:bottom w:val="single" w:sz="8" w:space="1" w:color="auto"/>
        </w:pBdr>
        <w:rPr>
          <w:b/>
          <w:bCs/>
        </w:rPr>
      </w:pPr>
      <w:r w:rsidRPr="00C821EB">
        <w:rPr>
          <w:b/>
          <w:bCs/>
        </w:rPr>
        <w:t>NOTES TO AND FORMING PART OF THE FINANCIAL STATEMENTS</w:t>
      </w:r>
    </w:p>
    <w:p w14:paraId="4C0CCF33" w14:textId="77777777" w:rsidR="00520333" w:rsidRPr="00737116" w:rsidRDefault="00520333" w:rsidP="00520333">
      <w:pPr>
        <w:pStyle w:val="SectionHeading-NoNumber"/>
      </w:pPr>
      <w:r w:rsidRPr="00DD52F3">
        <w:t>Overview</w:t>
      </w:r>
      <w:bookmarkEnd w:id="122"/>
      <w:bookmarkEnd w:id="123"/>
      <w:bookmarkEnd w:id="124"/>
      <w:bookmarkEnd w:id="125"/>
      <w:bookmarkEnd w:id="126"/>
      <w:bookmarkEnd w:id="127"/>
      <w:bookmarkEnd w:id="128"/>
      <w:bookmarkEnd w:id="129"/>
      <w:r>
        <w:rPr>
          <w:highlight w:val="darkMagenta"/>
        </w:rPr>
        <w:tab/>
      </w:r>
    </w:p>
    <w:p w14:paraId="2275A6F4" w14:textId="77777777" w:rsidR="00520333" w:rsidRPr="00737116" w:rsidRDefault="00520333" w:rsidP="00520333">
      <w:pPr>
        <w:spacing w:after="120" w:line="120" w:lineRule="atLeast"/>
        <w:rPr>
          <w:b/>
          <w:bCs/>
          <w:sz w:val="4"/>
          <w:szCs w:val="4"/>
        </w:rPr>
      </w:pPr>
    </w:p>
    <w:p w14:paraId="1692A6CD" w14:textId="77777777" w:rsidR="00520333" w:rsidRPr="005E5E0C" w:rsidRDefault="00520333" w:rsidP="00520333">
      <w:pPr>
        <w:spacing w:line="240" w:lineRule="auto"/>
        <w:jc w:val="both"/>
        <w:rPr>
          <w:rFonts w:cs="Arial"/>
          <w:b/>
          <w:bCs/>
          <w:color w:val="800080"/>
          <w:sz w:val="18"/>
          <w:szCs w:val="18"/>
          <w:lang w:eastAsia="en-AU"/>
        </w:rPr>
      </w:pPr>
      <w:r w:rsidRPr="003216A4">
        <w:rPr>
          <w:rFonts w:cs="Arial"/>
          <w:b/>
          <w:bCs/>
          <w:color w:val="800080"/>
          <w:sz w:val="18"/>
          <w:szCs w:val="18"/>
          <w:lang w:eastAsia="en-AU"/>
        </w:rPr>
        <w:t>General information</w:t>
      </w:r>
    </w:p>
    <w:p w14:paraId="1315B6E1" w14:textId="77777777" w:rsidR="00520333" w:rsidRPr="003216A4" w:rsidRDefault="00520333" w:rsidP="00520333">
      <w:pPr>
        <w:tabs>
          <w:tab w:val="left" w:pos="9504"/>
        </w:tabs>
        <w:spacing w:after="120" w:line="240" w:lineRule="auto"/>
        <w:jc w:val="both"/>
        <w:rPr>
          <w:rFonts w:cs="Arial"/>
          <w:sz w:val="18"/>
          <w:szCs w:val="18"/>
          <w:lang w:eastAsia="en-AU"/>
        </w:rPr>
      </w:pPr>
      <w:r w:rsidRPr="003216A4">
        <w:rPr>
          <w:rFonts w:cs="Arial"/>
          <w:sz w:val="18"/>
          <w:szCs w:val="18"/>
          <w:lang w:eastAsia="en-AU"/>
        </w:rPr>
        <w:t xml:space="preserve">The </w:t>
      </w:r>
      <w:r>
        <w:rPr>
          <w:rFonts w:cs="Arial"/>
          <w:sz w:val="18"/>
          <w:szCs w:val="18"/>
          <w:lang w:eastAsia="en-AU"/>
        </w:rPr>
        <w:t>National Disability Insurance Agency</w:t>
      </w:r>
      <w:r w:rsidRPr="003216A4">
        <w:rPr>
          <w:rFonts w:cs="Arial"/>
          <w:sz w:val="18"/>
          <w:szCs w:val="18"/>
          <w:lang w:eastAsia="en-AU"/>
        </w:rPr>
        <w:t xml:space="preserve"> (‘the Agency’) was established on 29 March 2013 by the </w:t>
      </w:r>
      <w:r w:rsidRPr="003216A4">
        <w:rPr>
          <w:rFonts w:cs="Arial"/>
          <w:i/>
          <w:sz w:val="18"/>
          <w:szCs w:val="18"/>
          <w:lang w:eastAsia="en-AU"/>
        </w:rPr>
        <w:t>National Disability Insurance Scheme Act 2013</w:t>
      </w:r>
      <w:r w:rsidRPr="003216A4">
        <w:rPr>
          <w:rFonts w:cs="Arial"/>
          <w:sz w:val="18"/>
          <w:szCs w:val="18"/>
          <w:lang w:eastAsia="en-AU"/>
        </w:rPr>
        <w:t xml:space="preserve"> (‘the Act’). The Agency is an Australian Government controlled not-for-profit entity.</w:t>
      </w:r>
    </w:p>
    <w:p w14:paraId="43159640" w14:textId="77777777" w:rsidR="00520333" w:rsidRPr="003216A4" w:rsidRDefault="00520333" w:rsidP="00520333">
      <w:pPr>
        <w:tabs>
          <w:tab w:val="left" w:pos="7230"/>
          <w:tab w:val="left" w:pos="9504"/>
        </w:tabs>
        <w:spacing w:after="120" w:line="240" w:lineRule="auto"/>
        <w:jc w:val="both"/>
        <w:rPr>
          <w:rFonts w:cs="Arial"/>
          <w:sz w:val="18"/>
          <w:szCs w:val="18"/>
          <w:lang w:eastAsia="en-AU"/>
        </w:rPr>
      </w:pPr>
      <w:r w:rsidRPr="003216A4">
        <w:rPr>
          <w:rFonts w:cs="Arial"/>
          <w:sz w:val="18"/>
          <w:szCs w:val="18"/>
          <w:lang w:eastAsia="en-AU"/>
        </w:rPr>
        <w:t>The Scheme has operations in all states and territories of Australia</w:t>
      </w:r>
      <w:r>
        <w:rPr>
          <w:rFonts w:cs="Arial"/>
          <w:sz w:val="18"/>
          <w:szCs w:val="18"/>
          <w:lang w:eastAsia="en-AU"/>
        </w:rPr>
        <w:t xml:space="preserve">, </w:t>
      </w:r>
      <w:r w:rsidRPr="00F27D71">
        <w:rPr>
          <w:rFonts w:cs="Arial"/>
          <w:sz w:val="18"/>
          <w:szCs w:val="18"/>
          <w:lang w:eastAsia="en-AU"/>
        </w:rPr>
        <w:t xml:space="preserve">with its national office at </w:t>
      </w:r>
      <w:r>
        <w:rPr>
          <w:rFonts w:cs="Arial"/>
          <w:sz w:val="18"/>
          <w:szCs w:val="18"/>
          <w:lang w:eastAsia="en-AU"/>
        </w:rPr>
        <w:t>1</w:t>
      </w:r>
      <w:r w:rsidRPr="00F27D71">
        <w:rPr>
          <w:rFonts w:cs="Arial"/>
          <w:sz w:val="18"/>
          <w:szCs w:val="18"/>
          <w:lang w:eastAsia="en-AU"/>
        </w:rPr>
        <w:t>3</w:t>
      </w:r>
      <w:r>
        <w:rPr>
          <w:rFonts w:cs="Arial"/>
          <w:sz w:val="18"/>
          <w:szCs w:val="18"/>
          <w:lang w:eastAsia="en-AU"/>
        </w:rPr>
        <w:t xml:space="preserve"> – </w:t>
      </w:r>
      <w:r w:rsidRPr="00F27D71">
        <w:rPr>
          <w:rFonts w:cs="Arial"/>
          <w:sz w:val="18"/>
          <w:szCs w:val="18"/>
          <w:lang w:eastAsia="en-AU"/>
        </w:rPr>
        <w:t>19 Malop Street, Geelong, Victoria, 3220.</w:t>
      </w:r>
      <w:r w:rsidRPr="003216A4">
        <w:rPr>
          <w:rFonts w:cs="Arial"/>
          <w:sz w:val="18"/>
          <w:szCs w:val="18"/>
          <w:lang w:eastAsia="en-AU"/>
        </w:rPr>
        <w:tab/>
      </w:r>
    </w:p>
    <w:p w14:paraId="2E31FE27" w14:textId="77777777" w:rsidR="00520333" w:rsidRPr="005E5E0C" w:rsidRDefault="00520333" w:rsidP="00520333">
      <w:pPr>
        <w:spacing w:line="240" w:lineRule="auto"/>
        <w:jc w:val="both"/>
        <w:rPr>
          <w:rFonts w:cs="Arial"/>
          <w:b/>
          <w:bCs/>
          <w:color w:val="800080"/>
          <w:sz w:val="18"/>
          <w:szCs w:val="18"/>
          <w:lang w:eastAsia="en-AU"/>
        </w:rPr>
      </w:pPr>
      <w:r w:rsidRPr="003216A4">
        <w:rPr>
          <w:rFonts w:cs="Arial"/>
          <w:b/>
          <w:bCs/>
          <w:color w:val="800080"/>
          <w:sz w:val="18"/>
          <w:szCs w:val="18"/>
          <w:lang w:eastAsia="en-AU"/>
        </w:rPr>
        <w:t>Objectives of the Agency</w:t>
      </w:r>
    </w:p>
    <w:p w14:paraId="4EEFDD08" w14:textId="77777777" w:rsidR="00520333" w:rsidRPr="005E5E0C" w:rsidRDefault="00520333" w:rsidP="00520333">
      <w:pPr>
        <w:spacing w:after="120" w:line="240" w:lineRule="auto"/>
        <w:jc w:val="both"/>
        <w:rPr>
          <w:rFonts w:cs="Arial"/>
          <w:sz w:val="18"/>
          <w:szCs w:val="18"/>
          <w:highlight w:val="cyan"/>
          <w:lang w:eastAsia="en-AU"/>
        </w:rPr>
      </w:pPr>
      <w:r w:rsidRPr="003216A4">
        <w:rPr>
          <w:rFonts w:cs="Arial"/>
          <w:sz w:val="18"/>
          <w:szCs w:val="18"/>
          <w:lang w:eastAsia="en-AU"/>
        </w:rPr>
        <w:t>The objective of the Agency is to operate under the Act, and in conjunction with other legislation, to give effect to Australia’s obligations under the Convention on the Rights of Persons with Disabilities. In doing so, the Agency supports the independence, social and economic participation of people with a disabilit</w:t>
      </w:r>
      <w:r w:rsidRPr="00641052">
        <w:rPr>
          <w:rFonts w:cs="Arial"/>
          <w:sz w:val="18"/>
          <w:szCs w:val="18"/>
          <w:lang w:eastAsia="en-AU"/>
        </w:rPr>
        <w:t xml:space="preserve">y. </w:t>
      </w:r>
    </w:p>
    <w:p w14:paraId="62FF64F4" w14:textId="77777777" w:rsidR="00520333" w:rsidRPr="00F45CC2" w:rsidRDefault="00520333" w:rsidP="00520333">
      <w:pPr>
        <w:spacing w:after="120" w:line="240" w:lineRule="auto"/>
        <w:jc w:val="both"/>
        <w:rPr>
          <w:rFonts w:cs="Arial"/>
          <w:sz w:val="18"/>
          <w:szCs w:val="18"/>
          <w:lang w:eastAsia="en-AU"/>
        </w:rPr>
      </w:pPr>
      <w:r w:rsidRPr="00F45CC2">
        <w:rPr>
          <w:rFonts w:cs="Arial"/>
          <w:sz w:val="18"/>
          <w:szCs w:val="18"/>
          <w:lang w:eastAsia="en-AU"/>
        </w:rPr>
        <w:t>The Agency is structured to meet the following outcome:</w:t>
      </w:r>
    </w:p>
    <w:p w14:paraId="7AD0D7CD" w14:textId="77777777" w:rsidR="00520333" w:rsidRPr="005E5E0C" w:rsidRDefault="00520333" w:rsidP="00520333">
      <w:pPr>
        <w:spacing w:after="120" w:line="240" w:lineRule="auto"/>
        <w:jc w:val="both"/>
        <w:rPr>
          <w:rFonts w:cs="Arial"/>
          <w:i/>
          <w:sz w:val="18"/>
          <w:szCs w:val="18"/>
          <w:lang w:eastAsia="en-AU"/>
        </w:rPr>
      </w:pPr>
      <w:r w:rsidRPr="00F45CC2">
        <w:rPr>
          <w:rFonts w:cs="Arial"/>
          <w:i/>
          <w:sz w:val="18"/>
          <w:szCs w:val="18"/>
          <w:lang w:eastAsia="en-AU"/>
        </w:rPr>
        <w:t>To implement a National Disability Insurance Scheme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14:paraId="38F3DAA5" w14:textId="77777777" w:rsidR="00520333" w:rsidRDefault="00520333" w:rsidP="00520333">
      <w:pPr>
        <w:spacing w:after="120" w:line="240" w:lineRule="auto"/>
        <w:jc w:val="both"/>
        <w:rPr>
          <w:rFonts w:cs="Arial"/>
          <w:sz w:val="18"/>
          <w:szCs w:val="18"/>
          <w:lang w:eastAsia="en-AU"/>
        </w:rPr>
      </w:pPr>
      <w:r w:rsidRPr="00F45CC2">
        <w:rPr>
          <w:rFonts w:cs="Arial"/>
          <w:sz w:val="18"/>
          <w:szCs w:val="18"/>
          <w:lang w:eastAsia="en-AU"/>
        </w:rPr>
        <w:t>The continued existence</w:t>
      </w:r>
      <w:r w:rsidRPr="00C20DDF">
        <w:rPr>
          <w:rFonts w:cs="Arial"/>
          <w:sz w:val="18"/>
          <w:szCs w:val="18"/>
          <w:lang w:eastAsia="en-AU"/>
        </w:rPr>
        <w:t xml:space="preserve"> of the Agency in its present form and with its present programs is dependent on Commonwealth Government policy, continuing funding by Parliament for the Agency’s administration and programs and agreement with state and territory governments.</w:t>
      </w:r>
      <w:r>
        <w:rPr>
          <w:rFonts w:cs="Arial"/>
          <w:sz w:val="18"/>
          <w:szCs w:val="18"/>
          <w:lang w:eastAsia="en-AU"/>
        </w:rPr>
        <w:t xml:space="preserve"> </w:t>
      </w:r>
      <w:r w:rsidRPr="00973618">
        <w:rPr>
          <w:rFonts w:cs="Arial"/>
          <w:sz w:val="18"/>
          <w:szCs w:val="18"/>
          <w:lang w:eastAsia="en-AU"/>
        </w:rPr>
        <w:t>States an</w:t>
      </w:r>
      <w:r>
        <w:rPr>
          <w:rFonts w:cs="Arial"/>
          <w:sz w:val="18"/>
          <w:szCs w:val="18"/>
          <w:lang w:eastAsia="en-AU"/>
        </w:rPr>
        <w:t>d</w:t>
      </w:r>
      <w:r w:rsidRPr="00973618">
        <w:rPr>
          <w:rFonts w:cs="Arial"/>
          <w:sz w:val="18"/>
          <w:szCs w:val="18"/>
          <w:lang w:eastAsia="en-AU"/>
        </w:rPr>
        <w:t xml:space="preserve"> territories have continued to provide funding as set out in the bilateral agreements between </w:t>
      </w:r>
      <w:r>
        <w:rPr>
          <w:rFonts w:cs="Arial"/>
          <w:sz w:val="18"/>
          <w:szCs w:val="18"/>
          <w:lang w:eastAsia="en-AU"/>
        </w:rPr>
        <w:t xml:space="preserve">each </w:t>
      </w:r>
      <w:r w:rsidRPr="00973618">
        <w:rPr>
          <w:rFonts w:cs="Arial"/>
          <w:sz w:val="18"/>
          <w:szCs w:val="18"/>
          <w:lang w:eastAsia="en-AU"/>
        </w:rPr>
        <w:t>state and territor</w:t>
      </w:r>
      <w:r>
        <w:rPr>
          <w:rFonts w:cs="Arial"/>
          <w:sz w:val="18"/>
          <w:szCs w:val="18"/>
          <w:lang w:eastAsia="en-AU"/>
        </w:rPr>
        <w:t>y</w:t>
      </w:r>
      <w:r w:rsidRPr="00973618">
        <w:rPr>
          <w:rFonts w:cs="Arial"/>
          <w:sz w:val="18"/>
          <w:szCs w:val="18"/>
          <w:lang w:eastAsia="en-AU"/>
        </w:rPr>
        <w:t xml:space="preserve"> and the Commonwealth</w:t>
      </w:r>
      <w:r>
        <w:rPr>
          <w:rFonts w:cs="Arial"/>
          <w:sz w:val="18"/>
          <w:szCs w:val="18"/>
          <w:lang w:eastAsia="en-AU"/>
        </w:rPr>
        <w:t>.</w:t>
      </w:r>
    </w:p>
    <w:p w14:paraId="7E17B97D" w14:textId="77777777" w:rsidR="00520333" w:rsidRPr="005E5E0C" w:rsidRDefault="00520333" w:rsidP="00520333">
      <w:pPr>
        <w:spacing w:line="240" w:lineRule="auto"/>
        <w:jc w:val="both"/>
        <w:rPr>
          <w:rFonts w:cs="Arial"/>
          <w:b/>
          <w:bCs/>
          <w:color w:val="800080"/>
          <w:sz w:val="18"/>
          <w:szCs w:val="18"/>
          <w:lang w:eastAsia="en-AU"/>
        </w:rPr>
      </w:pPr>
      <w:r w:rsidRPr="009F02DB">
        <w:rPr>
          <w:rFonts w:cs="Arial"/>
          <w:b/>
          <w:bCs/>
          <w:color w:val="800080"/>
          <w:sz w:val="18"/>
          <w:szCs w:val="18"/>
          <w:lang w:eastAsia="en-AU"/>
        </w:rPr>
        <w:t>The Basis of Preparation</w:t>
      </w:r>
    </w:p>
    <w:p w14:paraId="6F33F089" w14:textId="77777777" w:rsidR="00520333" w:rsidRPr="00147A65" w:rsidRDefault="00520333" w:rsidP="00520333">
      <w:pPr>
        <w:spacing w:after="120" w:line="240" w:lineRule="auto"/>
        <w:jc w:val="both"/>
        <w:rPr>
          <w:rFonts w:cs="Arial"/>
          <w:bCs/>
          <w:sz w:val="18"/>
          <w:szCs w:val="18"/>
          <w:lang w:eastAsia="en-AU"/>
        </w:rPr>
      </w:pPr>
      <w:r w:rsidRPr="00BB6CF4">
        <w:rPr>
          <w:rFonts w:cs="Arial"/>
          <w:bCs/>
          <w:sz w:val="18"/>
          <w:szCs w:val="18"/>
          <w:lang w:eastAsia="en-AU"/>
        </w:rPr>
        <w:t xml:space="preserve">The financial statements </w:t>
      </w:r>
      <w:r>
        <w:rPr>
          <w:rFonts w:cs="Arial"/>
          <w:bCs/>
          <w:sz w:val="18"/>
          <w:szCs w:val="18"/>
          <w:lang w:eastAsia="en-AU"/>
        </w:rPr>
        <w:t xml:space="preserve">are </w:t>
      </w:r>
      <w:r w:rsidRPr="00BB6CF4">
        <w:rPr>
          <w:rFonts w:cs="Arial"/>
          <w:bCs/>
          <w:sz w:val="18"/>
          <w:szCs w:val="18"/>
          <w:lang w:eastAsia="en-AU"/>
        </w:rPr>
        <w:t xml:space="preserve">required by section 42 of the </w:t>
      </w:r>
      <w:r w:rsidRPr="00BB6CF4">
        <w:rPr>
          <w:rFonts w:cs="Arial"/>
          <w:bCs/>
          <w:i/>
          <w:sz w:val="18"/>
          <w:szCs w:val="18"/>
          <w:lang w:eastAsia="en-AU"/>
        </w:rPr>
        <w:t>Public Governance, Performance and Accountability Act 2013</w:t>
      </w:r>
      <w:r w:rsidRPr="00BB6CF4">
        <w:rPr>
          <w:rFonts w:cs="Arial"/>
          <w:bCs/>
          <w:sz w:val="18"/>
          <w:szCs w:val="18"/>
          <w:lang w:eastAsia="en-AU"/>
        </w:rPr>
        <w:t>.</w:t>
      </w:r>
    </w:p>
    <w:p w14:paraId="369FA8FD" w14:textId="77777777" w:rsidR="00520333" w:rsidRPr="00BB6CF4" w:rsidRDefault="00520333" w:rsidP="00520333">
      <w:pPr>
        <w:spacing w:after="120" w:line="240" w:lineRule="auto"/>
        <w:jc w:val="both"/>
        <w:rPr>
          <w:rFonts w:cs="Arial"/>
          <w:sz w:val="18"/>
          <w:szCs w:val="18"/>
          <w:lang w:eastAsia="en-AU"/>
        </w:rPr>
      </w:pPr>
      <w:r w:rsidRPr="00BB6CF4">
        <w:rPr>
          <w:rFonts w:cs="Arial"/>
          <w:sz w:val="18"/>
          <w:szCs w:val="18"/>
          <w:lang w:eastAsia="en-AU"/>
        </w:rPr>
        <w:t>The financial statements have been prepared in accordance with:</w:t>
      </w:r>
    </w:p>
    <w:p w14:paraId="2622B712" w14:textId="77777777" w:rsidR="00520333" w:rsidRPr="00BB6CF4" w:rsidRDefault="00520333" w:rsidP="00520333">
      <w:pPr>
        <w:numPr>
          <w:ilvl w:val="0"/>
          <w:numId w:val="28"/>
        </w:numPr>
        <w:spacing w:after="0" w:line="240" w:lineRule="auto"/>
        <w:contextualSpacing/>
        <w:jc w:val="both"/>
        <w:rPr>
          <w:rFonts w:cs="Arial"/>
          <w:sz w:val="18"/>
          <w:szCs w:val="18"/>
          <w:lang w:eastAsia="en-AU"/>
        </w:rPr>
      </w:pPr>
      <w:r w:rsidRPr="00FD020F">
        <w:rPr>
          <w:rFonts w:cs="Arial"/>
          <w:i/>
          <w:sz w:val="18"/>
          <w:szCs w:val="18"/>
          <w:lang w:eastAsia="en-AU"/>
        </w:rPr>
        <w:t>Public Governance, Performance and Accountability (Financial Reporting) Rule 2015</w:t>
      </w:r>
      <w:r w:rsidRPr="00BB6CF4">
        <w:rPr>
          <w:rFonts w:cs="Arial"/>
          <w:sz w:val="18"/>
          <w:szCs w:val="18"/>
          <w:lang w:eastAsia="en-AU"/>
        </w:rPr>
        <w:t xml:space="preserve"> (FRR</w:t>
      </w:r>
      <w:r>
        <w:rPr>
          <w:rFonts w:cs="Arial"/>
          <w:sz w:val="18"/>
          <w:szCs w:val="18"/>
          <w:lang w:eastAsia="en-AU"/>
        </w:rPr>
        <w:t>)</w:t>
      </w:r>
      <w:r w:rsidRPr="00FD020F">
        <w:rPr>
          <w:rFonts w:cs="Arial"/>
          <w:sz w:val="18"/>
          <w:szCs w:val="18"/>
          <w:lang w:eastAsia="en-AU"/>
        </w:rPr>
        <w:t>;</w:t>
      </w:r>
      <w:r w:rsidRPr="00BB6CF4">
        <w:rPr>
          <w:rFonts w:cs="Arial"/>
          <w:sz w:val="18"/>
          <w:szCs w:val="18"/>
          <w:lang w:eastAsia="en-AU"/>
        </w:rPr>
        <w:t xml:space="preserve"> and  </w:t>
      </w:r>
    </w:p>
    <w:p w14:paraId="1CD5FA1E" w14:textId="77777777" w:rsidR="00520333" w:rsidRPr="00147A65" w:rsidRDefault="00520333" w:rsidP="00520333">
      <w:pPr>
        <w:numPr>
          <w:ilvl w:val="0"/>
          <w:numId w:val="28"/>
        </w:numPr>
        <w:spacing w:after="0" w:line="240" w:lineRule="auto"/>
        <w:contextualSpacing/>
        <w:jc w:val="both"/>
        <w:rPr>
          <w:rFonts w:cs="Arial"/>
          <w:sz w:val="18"/>
          <w:szCs w:val="18"/>
          <w:lang w:eastAsia="en-AU"/>
        </w:rPr>
      </w:pPr>
      <w:r w:rsidRPr="00BB6CF4">
        <w:rPr>
          <w:rFonts w:cs="Arial"/>
          <w:sz w:val="18"/>
          <w:szCs w:val="18"/>
          <w:lang w:eastAsia="en-AU"/>
        </w:rPr>
        <w:t>Australian Accounti</w:t>
      </w:r>
      <w:r>
        <w:rPr>
          <w:rFonts w:cs="Arial"/>
          <w:sz w:val="18"/>
          <w:szCs w:val="18"/>
          <w:lang w:eastAsia="en-AU"/>
        </w:rPr>
        <w:t xml:space="preserve">ng Standards and Interpretations – </w:t>
      </w:r>
      <w:r w:rsidRPr="00F27D71">
        <w:rPr>
          <w:rFonts w:cs="Arial"/>
          <w:sz w:val="18"/>
          <w:szCs w:val="18"/>
          <w:lang w:eastAsia="en-AU"/>
        </w:rPr>
        <w:t>including simplified disclosures for Tier 2 Entities under AASB 1060 issued by the Australian Accounting Standards Board (AASB) that apply for the reporting period.</w:t>
      </w:r>
      <w:r w:rsidRPr="00BB6CF4">
        <w:rPr>
          <w:rFonts w:cs="Arial"/>
          <w:sz w:val="18"/>
          <w:szCs w:val="18"/>
          <w:lang w:eastAsia="en-AU"/>
        </w:rPr>
        <w:tab/>
      </w:r>
    </w:p>
    <w:p w14:paraId="57E91CCD" w14:textId="77777777" w:rsidR="00520333" w:rsidRPr="00BB6CF4" w:rsidRDefault="00520333" w:rsidP="00520333">
      <w:pPr>
        <w:spacing w:line="240" w:lineRule="auto"/>
        <w:jc w:val="both"/>
        <w:rPr>
          <w:rFonts w:cs="Arial"/>
          <w:sz w:val="18"/>
          <w:szCs w:val="18"/>
          <w:lang w:eastAsia="en-AU"/>
        </w:rPr>
      </w:pPr>
      <w:r w:rsidRPr="00BB6CF4">
        <w:rPr>
          <w:rFonts w:cs="Arial"/>
          <w:sz w:val="18"/>
          <w:szCs w:val="18"/>
          <w:lang w:eastAsia="en-AU"/>
        </w:rPr>
        <w:t>The financial statements have been prepared on an accrual basis and in accordance with the historical cost convention, except for certain assets and liabilities</w:t>
      </w:r>
      <w:r>
        <w:rPr>
          <w:rFonts w:cs="Arial"/>
          <w:sz w:val="18"/>
          <w:szCs w:val="18"/>
          <w:lang w:eastAsia="en-AU"/>
        </w:rPr>
        <w:t>, which are measured</w:t>
      </w:r>
      <w:r w:rsidRPr="00BB6CF4">
        <w:rPr>
          <w:rFonts w:cs="Arial"/>
          <w:sz w:val="18"/>
          <w:szCs w:val="18"/>
          <w:lang w:eastAsia="en-AU"/>
        </w:rPr>
        <w:t xml:space="preserve"> at fair value. Except where stated, no allowance is made for the effect of changing prices on the results or the </w:t>
      </w:r>
      <w:r>
        <w:rPr>
          <w:rFonts w:cs="Arial"/>
          <w:sz w:val="18"/>
          <w:szCs w:val="18"/>
          <w:lang w:eastAsia="en-AU"/>
        </w:rPr>
        <w:t>financial position</w:t>
      </w:r>
      <w:r w:rsidRPr="00BB6CF4">
        <w:rPr>
          <w:rFonts w:cs="Arial"/>
          <w:sz w:val="18"/>
          <w:szCs w:val="18"/>
          <w:lang w:eastAsia="en-AU"/>
        </w:rPr>
        <w:t>. The financial statements are presented in Australian dollars and values are rounded to the nearest thousand dollars, unless otherwise specified.</w:t>
      </w:r>
    </w:p>
    <w:p w14:paraId="2502BE63" w14:textId="77777777" w:rsidR="00520333" w:rsidRPr="005E5E0C" w:rsidRDefault="00520333" w:rsidP="00520333">
      <w:pPr>
        <w:spacing w:line="240" w:lineRule="auto"/>
        <w:rPr>
          <w:rFonts w:cs="Arial"/>
          <w:b/>
          <w:bCs/>
          <w:color w:val="800080"/>
          <w:sz w:val="18"/>
          <w:szCs w:val="18"/>
          <w:lang w:eastAsia="en-AU"/>
        </w:rPr>
      </w:pPr>
      <w:r w:rsidRPr="009F25EA">
        <w:rPr>
          <w:rFonts w:cs="Arial"/>
          <w:b/>
          <w:bCs/>
          <w:color w:val="800080"/>
          <w:sz w:val="18"/>
          <w:szCs w:val="18"/>
          <w:lang w:eastAsia="en-AU"/>
        </w:rPr>
        <w:t>New Accounting Standards</w:t>
      </w:r>
    </w:p>
    <w:p w14:paraId="754EB49A" w14:textId="77777777" w:rsidR="00520333" w:rsidRPr="005E5E0C" w:rsidRDefault="00520333" w:rsidP="00520333">
      <w:pPr>
        <w:jc w:val="both"/>
        <w:rPr>
          <w:rFonts w:cs="Arial"/>
          <w:sz w:val="18"/>
          <w:szCs w:val="18"/>
          <w:lang w:eastAsia="en-AU"/>
        </w:rPr>
      </w:pPr>
      <w:r w:rsidRPr="009F25EA">
        <w:rPr>
          <w:rFonts w:cs="Arial"/>
          <w:sz w:val="18"/>
          <w:szCs w:val="18"/>
          <w:lang w:eastAsia="en-AU"/>
        </w:rPr>
        <w:t>All new/revised/amending standards and/or interpretations that were issued prior to the sign-off date and are applicable to the current reporting period did not have a material effect on the entity’s financial statements.</w:t>
      </w:r>
      <w:r>
        <w:rPr>
          <w:rFonts w:cs="Arial"/>
          <w:sz w:val="18"/>
          <w:szCs w:val="18"/>
          <w:lang w:eastAsia="en-AU"/>
        </w:rPr>
        <w:t xml:space="preserve"> </w:t>
      </w:r>
    </w:p>
    <w:p w14:paraId="67737393" w14:textId="77777777" w:rsidR="00520333" w:rsidRPr="00D132EA" w:rsidRDefault="00520333" w:rsidP="00520333">
      <w:pPr>
        <w:spacing w:line="240" w:lineRule="auto"/>
        <w:rPr>
          <w:rFonts w:cs="Arial"/>
          <w:b/>
          <w:bCs/>
          <w:color w:val="800080"/>
          <w:sz w:val="18"/>
          <w:szCs w:val="18"/>
          <w:lang w:eastAsia="en-AU"/>
        </w:rPr>
      </w:pPr>
      <w:r w:rsidRPr="009F02DB">
        <w:rPr>
          <w:rFonts w:cs="Arial"/>
          <w:b/>
          <w:bCs/>
          <w:color w:val="800080"/>
          <w:sz w:val="18"/>
          <w:szCs w:val="18"/>
          <w:lang w:eastAsia="en-AU"/>
        </w:rPr>
        <w:t>Taxation</w:t>
      </w:r>
    </w:p>
    <w:p w14:paraId="5325C384" w14:textId="77777777" w:rsidR="00520333" w:rsidRDefault="00520333" w:rsidP="00520333">
      <w:pPr>
        <w:keepNext/>
        <w:spacing w:line="240" w:lineRule="auto"/>
        <w:jc w:val="both"/>
        <w:rPr>
          <w:rFonts w:cs="Arial"/>
          <w:sz w:val="18"/>
          <w:szCs w:val="18"/>
          <w:lang w:eastAsia="en-AU"/>
        </w:rPr>
      </w:pPr>
      <w:r w:rsidRPr="00BB6CF4">
        <w:rPr>
          <w:rFonts w:cs="Arial"/>
          <w:sz w:val="18"/>
          <w:szCs w:val="18"/>
          <w:lang w:eastAsia="en-AU"/>
        </w:rPr>
        <w:t xml:space="preserve">The Agency is exempt from all forms of </w:t>
      </w:r>
      <w:r>
        <w:rPr>
          <w:rFonts w:cs="Arial"/>
          <w:sz w:val="18"/>
          <w:szCs w:val="18"/>
          <w:lang w:eastAsia="en-AU"/>
        </w:rPr>
        <w:t xml:space="preserve">Commonwealth, state, and territory </w:t>
      </w:r>
      <w:r w:rsidRPr="00BB6CF4">
        <w:rPr>
          <w:rFonts w:cs="Arial"/>
          <w:sz w:val="18"/>
          <w:szCs w:val="18"/>
          <w:lang w:eastAsia="en-AU"/>
        </w:rPr>
        <w:t xml:space="preserve">taxation except Fringe Benefits Tax (FBT) and </w:t>
      </w:r>
      <w:r>
        <w:rPr>
          <w:rFonts w:cs="Arial"/>
          <w:sz w:val="18"/>
          <w:szCs w:val="18"/>
          <w:lang w:eastAsia="en-AU"/>
        </w:rPr>
        <w:t xml:space="preserve">the </w:t>
      </w:r>
      <w:r w:rsidRPr="00BB6CF4">
        <w:rPr>
          <w:rFonts w:cs="Arial"/>
          <w:sz w:val="18"/>
          <w:szCs w:val="18"/>
          <w:lang w:eastAsia="en-AU"/>
        </w:rPr>
        <w:t xml:space="preserve">Goods </w:t>
      </w:r>
      <w:r>
        <w:rPr>
          <w:rFonts w:cs="Arial"/>
          <w:sz w:val="18"/>
          <w:szCs w:val="18"/>
          <w:lang w:eastAsia="en-AU"/>
        </w:rPr>
        <w:t>and Services Tax</w:t>
      </w:r>
      <w:r w:rsidDel="00AB0C22">
        <w:rPr>
          <w:rFonts w:cs="Arial"/>
          <w:sz w:val="18"/>
          <w:szCs w:val="18"/>
          <w:lang w:eastAsia="en-AU"/>
        </w:rPr>
        <w:t xml:space="preserve"> </w:t>
      </w:r>
      <w:r>
        <w:rPr>
          <w:rFonts w:cs="Arial"/>
          <w:sz w:val="18"/>
          <w:szCs w:val="18"/>
          <w:lang w:eastAsia="en-AU"/>
        </w:rPr>
        <w:t>(GST).</w:t>
      </w:r>
    </w:p>
    <w:p w14:paraId="6ACA751E" w14:textId="77777777" w:rsidR="00520333" w:rsidRPr="00D0437A" w:rsidRDefault="00520333" w:rsidP="00520333">
      <w:pPr>
        <w:spacing w:line="240" w:lineRule="auto"/>
        <w:rPr>
          <w:rFonts w:cs="Arial"/>
          <w:b/>
          <w:bCs/>
          <w:color w:val="800080"/>
          <w:sz w:val="18"/>
          <w:szCs w:val="18"/>
          <w:lang w:eastAsia="en-AU"/>
        </w:rPr>
      </w:pPr>
      <w:r w:rsidRPr="00D0437A">
        <w:rPr>
          <w:rFonts w:cs="Arial"/>
          <w:b/>
          <w:bCs/>
          <w:color w:val="800080"/>
          <w:sz w:val="18"/>
          <w:szCs w:val="18"/>
          <w:lang w:eastAsia="en-AU"/>
        </w:rPr>
        <w:t>Events after the reporting period</w:t>
      </w:r>
    </w:p>
    <w:p w14:paraId="73FBFBC1" w14:textId="77777777" w:rsidR="00520333" w:rsidRPr="006F7587" w:rsidRDefault="00520333" w:rsidP="00520333">
      <w:pPr>
        <w:keepNext/>
        <w:spacing w:line="240" w:lineRule="auto"/>
        <w:jc w:val="both"/>
        <w:rPr>
          <w:rFonts w:cs="Arial"/>
          <w:sz w:val="18"/>
          <w:szCs w:val="18"/>
          <w:lang w:eastAsia="en-AU"/>
        </w:rPr>
      </w:pPr>
      <w:bookmarkStart w:id="132" w:name="_Toc444065770"/>
      <w:bookmarkStart w:id="133" w:name="_Toc444077332"/>
      <w:bookmarkEnd w:id="130"/>
      <w:bookmarkEnd w:id="131"/>
      <w:r w:rsidRPr="0073640F">
        <w:rPr>
          <w:rFonts w:cs="Arial"/>
          <w:sz w:val="18"/>
          <w:szCs w:val="18"/>
          <w:lang w:eastAsia="en-AU"/>
        </w:rPr>
        <w:t>There are no known events occurring after the reporting period that could have a material impact on the financial statements.</w:t>
      </w:r>
      <w:r w:rsidRPr="004933E2">
        <w:rPr>
          <w:rFonts w:cs="Arial"/>
          <w:sz w:val="18"/>
          <w:szCs w:val="18"/>
          <w:lang w:eastAsia="en-AU"/>
        </w:rPr>
        <w:t xml:space="preserve"> </w:t>
      </w:r>
    </w:p>
    <w:p w14:paraId="24F5FEB2" w14:textId="77777777" w:rsidR="00520333" w:rsidRPr="006F7587" w:rsidRDefault="00520333" w:rsidP="00520333">
      <w:pPr>
        <w:spacing w:line="240" w:lineRule="auto"/>
        <w:sectPr w:rsidR="00520333" w:rsidRPr="006F7587" w:rsidSect="00BC1253">
          <w:pgSz w:w="11906" w:h="16838" w:code="9"/>
          <w:pgMar w:top="1361" w:right="1361" w:bottom="1361" w:left="1361" w:header="958" w:footer="737" w:gutter="0"/>
          <w:cols w:space="708"/>
          <w:docGrid w:linePitch="360"/>
        </w:sectPr>
      </w:pPr>
      <w:r w:rsidRPr="006F7587">
        <w:t xml:space="preserve"> </w:t>
      </w:r>
    </w:p>
    <w:p w14:paraId="0C38B594" w14:textId="77777777" w:rsidR="00520333" w:rsidRPr="006F7587" w:rsidRDefault="00520333" w:rsidP="00520333">
      <w:pPr>
        <w:spacing w:line="240" w:lineRule="auto"/>
        <w:sectPr w:rsidR="00520333" w:rsidRPr="006F7587" w:rsidSect="00520333">
          <w:type w:val="continuous"/>
          <w:pgSz w:w="11906" w:h="16838" w:code="9"/>
          <w:pgMar w:top="1134" w:right="1700" w:bottom="1134" w:left="1134" w:header="958" w:footer="737" w:gutter="0"/>
          <w:cols w:space="708"/>
          <w:docGrid w:linePitch="360"/>
        </w:sectPr>
      </w:pPr>
    </w:p>
    <w:p w14:paraId="0F7B2377" w14:textId="77777777" w:rsidR="003203A1" w:rsidRPr="00C821EB" w:rsidRDefault="003203A1" w:rsidP="003203A1">
      <w:pPr>
        <w:spacing w:after="0" w:line="240" w:lineRule="auto"/>
        <w:rPr>
          <w:b/>
          <w:bCs/>
        </w:rPr>
      </w:pPr>
      <w:bookmarkStart w:id="134" w:name="_Toc447030535"/>
      <w:bookmarkStart w:id="135" w:name="_Toc447030687"/>
      <w:bookmarkStart w:id="136" w:name="_Toc447030780"/>
      <w:bookmarkStart w:id="137" w:name="_Toc65742843"/>
      <w:bookmarkStart w:id="138" w:name="_Toc173417290"/>
      <w:r w:rsidRPr="00C821EB">
        <w:rPr>
          <w:b/>
          <w:bCs/>
        </w:rPr>
        <w:lastRenderedPageBreak/>
        <w:t>National Disability Insurance Agency</w:t>
      </w:r>
    </w:p>
    <w:p w14:paraId="020C3C6A"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769AAA1B" w14:textId="4AF5CB2A" w:rsidR="00520333" w:rsidRPr="00EE5DE1" w:rsidRDefault="00520333" w:rsidP="00520333">
      <w:pPr>
        <w:pStyle w:val="SectionHeading"/>
      </w:pPr>
      <w:r w:rsidRPr="00EE5DE1">
        <w:t>Financial Performance</w:t>
      </w:r>
      <w:bookmarkEnd w:id="132"/>
      <w:bookmarkEnd w:id="133"/>
      <w:bookmarkEnd w:id="134"/>
      <w:bookmarkEnd w:id="135"/>
      <w:bookmarkEnd w:id="136"/>
      <w:bookmarkEnd w:id="137"/>
      <w:bookmarkEnd w:id="138"/>
    </w:p>
    <w:p w14:paraId="267CC89E" w14:textId="77777777" w:rsidR="00520333" w:rsidRDefault="00520333" w:rsidP="00520333">
      <w:pPr>
        <w:pStyle w:val="SectionHeadingDescription"/>
      </w:pPr>
      <w:bookmarkStart w:id="139" w:name="_Toc444065771"/>
      <w:r w:rsidRPr="00EE5DE1">
        <w:t xml:space="preserve">This section analyses the financial performance of the </w:t>
      </w:r>
      <w:r>
        <w:t>Agency</w:t>
      </w:r>
      <w:r w:rsidRPr="00EE5DE1">
        <w:t xml:space="preserve"> for the </w:t>
      </w:r>
      <w:r>
        <w:t xml:space="preserve">year </w:t>
      </w:r>
      <w:r w:rsidRPr="00EE5DE1">
        <w:t>ended</w:t>
      </w:r>
      <w:r>
        <w:t xml:space="preserve"> </w:t>
      </w:r>
      <w:r w:rsidR="008D64B9">
        <w:fldChar w:fldCharType="begin"/>
      </w:r>
      <w:r w:rsidR="008D64B9">
        <w:instrText>DOCPROPERTY  pEnd  \* MERGEFORMAT</w:instrText>
      </w:r>
      <w:r w:rsidR="008D64B9">
        <w:fldChar w:fldCharType="separate"/>
      </w:r>
      <w:r>
        <w:t>30 June</w:t>
      </w:r>
      <w:r w:rsidR="008D64B9">
        <w:fldChar w:fldCharType="end"/>
      </w:r>
      <w:r>
        <w:t xml:space="preserve"> </w:t>
      </w:r>
      <w:r w:rsidR="008D64B9">
        <w:fldChar w:fldCharType="begin"/>
      </w:r>
      <w:r w:rsidR="008D64B9">
        <w:instrText>DOCPROPERTY  crYear  \* MERGEFORMAT</w:instrText>
      </w:r>
      <w:r w:rsidR="008D64B9">
        <w:fldChar w:fldCharType="separate"/>
      </w:r>
      <w:r>
        <w:t>2024</w:t>
      </w:r>
      <w:r w:rsidR="008D64B9">
        <w:fldChar w:fldCharType="end"/>
      </w:r>
      <w:r w:rsidRPr="00EE5DE1">
        <w:t>.</w:t>
      </w:r>
      <w:bookmarkStart w:id="140" w:name="_Toc443469523"/>
      <w:bookmarkStart w:id="141" w:name="_Toc444065772"/>
      <w:bookmarkStart w:id="142" w:name="_Toc444077333"/>
      <w:bookmarkEnd w:id="139"/>
    </w:p>
    <w:p w14:paraId="1C292427" w14:textId="77777777" w:rsidR="00520333" w:rsidRPr="00FF78A0" w:rsidRDefault="00520333" w:rsidP="003203A1">
      <w:pPr>
        <w:pStyle w:val="SubHeading"/>
        <w:shd w:val="clear" w:color="auto" w:fill="000000" w:themeFill="accent6"/>
      </w:pPr>
      <w:bookmarkStart w:id="143" w:name="_Toc447030536"/>
      <w:bookmarkStart w:id="144" w:name="_Toc447030688"/>
      <w:bookmarkStart w:id="145" w:name="_Toc447030781"/>
      <w:bookmarkStart w:id="146" w:name="_Toc65742844"/>
      <w:bookmarkStart w:id="147" w:name="_Toc173417291"/>
      <w:r>
        <w:t>E</w:t>
      </w:r>
      <w:r w:rsidRPr="00714F4A">
        <w:t>xp</w:t>
      </w:r>
      <w:r w:rsidRPr="00FF3E9C">
        <w:t>enses</w:t>
      </w:r>
      <w:bookmarkEnd w:id="140"/>
      <w:bookmarkEnd w:id="141"/>
      <w:bookmarkEnd w:id="142"/>
      <w:bookmarkEnd w:id="143"/>
      <w:bookmarkEnd w:id="144"/>
      <w:bookmarkEnd w:id="145"/>
      <w:bookmarkEnd w:id="146"/>
      <w:bookmarkEnd w:id="147"/>
    </w:p>
    <w:tbl>
      <w:tblPr>
        <w:tblW w:w="9087" w:type="dxa"/>
        <w:tblLayout w:type="fixed"/>
        <w:tblLook w:val="04A0" w:firstRow="1" w:lastRow="0" w:firstColumn="1" w:lastColumn="0" w:noHBand="0" w:noVBand="1"/>
      </w:tblPr>
      <w:tblGrid>
        <w:gridCol w:w="6366"/>
        <w:gridCol w:w="1260"/>
        <w:gridCol w:w="236"/>
        <w:gridCol w:w="1225"/>
      </w:tblGrid>
      <w:tr w:rsidR="00520333" w:rsidRPr="003203A1" w14:paraId="59CB3837" w14:textId="77777777" w:rsidTr="005E5E0C">
        <w:trPr>
          <w:trHeight w:val="253"/>
        </w:trPr>
        <w:tc>
          <w:tcPr>
            <w:tcW w:w="6366" w:type="dxa"/>
            <w:tcBorders>
              <w:top w:val="nil"/>
              <w:left w:val="nil"/>
              <w:bottom w:val="nil"/>
              <w:right w:val="nil"/>
            </w:tcBorders>
            <w:shd w:val="clear" w:color="FFFFFF" w:fill="FFFFFF"/>
            <w:noWrap/>
            <w:vAlign w:val="bottom"/>
            <w:hideMark/>
          </w:tcPr>
          <w:p w14:paraId="715C9BF8" w14:textId="77777777" w:rsidR="00520333" w:rsidRPr="003203A1" w:rsidRDefault="00520333" w:rsidP="005E5E0C">
            <w:pPr>
              <w:spacing w:after="0"/>
              <w:rPr>
                <w:rFonts w:cs="Arial"/>
                <w:sz w:val="18"/>
                <w:szCs w:val="18"/>
              </w:rPr>
            </w:pPr>
            <w:bookmarkStart w:id="148" w:name="Note_EEXTABLE1" w:colFirst="0" w:colLast="0"/>
            <w:r w:rsidRPr="003203A1">
              <w:rPr>
                <w:rFonts w:cs="Arial"/>
                <w:sz w:val="18"/>
                <w:szCs w:val="18"/>
              </w:rPr>
              <w:t> </w:t>
            </w:r>
          </w:p>
        </w:tc>
        <w:tc>
          <w:tcPr>
            <w:tcW w:w="1260" w:type="dxa"/>
            <w:tcBorders>
              <w:top w:val="nil"/>
              <w:left w:val="nil"/>
              <w:bottom w:val="nil"/>
              <w:right w:val="nil"/>
            </w:tcBorders>
            <w:shd w:val="clear" w:color="FFFFFF" w:fill="FFFFFF"/>
            <w:vAlign w:val="bottom"/>
            <w:hideMark/>
          </w:tcPr>
          <w:p w14:paraId="08D874F4" w14:textId="77777777" w:rsidR="00520333" w:rsidRPr="003203A1" w:rsidRDefault="00520333" w:rsidP="005E5E0C">
            <w:pPr>
              <w:spacing w:after="0"/>
              <w:jc w:val="right"/>
              <w:rPr>
                <w:rFonts w:cs="Arial"/>
                <w:b/>
                <w:bCs/>
                <w:sz w:val="18"/>
                <w:szCs w:val="18"/>
              </w:rPr>
            </w:pPr>
            <w:r w:rsidRPr="003203A1">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730B71DB"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vAlign w:val="bottom"/>
            <w:hideMark/>
          </w:tcPr>
          <w:p w14:paraId="191BC7C3" w14:textId="77777777" w:rsidR="00520333" w:rsidRPr="003203A1" w:rsidRDefault="00520333" w:rsidP="005E5E0C">
            <w:pPr>
              <w:spacing w:after="0"/>
              <w:jc w:val="right"/>
              <w:rPr>
                <w:rFonts w:cs="Arial"/>
                <w:sz w:val="18"/>
                <w:szCs w:val="18"/>
              </w:rPr>
            </w:pPr>
            <w:r w:rsidRPr="003203A1">
              <w:rPr>
                <w:rFonts w:cs="Arial"/>
                <w:sz w:val="18"/>
                <w:szCs w:val="18"/>
              </w:rPr>
              <w:t>2023</w:t>
            </w:r>
          </w:p>
        </w:tc>
      </w:tr>
      <w:bookmarkEnd w:id="148"/>
      <w:tr w:rsidR="00520333" w:rsidRPr="003203A1" w14:paraId="49F6C9DF" w14:textId="77777777" w:rsidTr="005E5E0C">
        <w:trPr>
          <w:trHeight w:val="253"/>
        </w:trPr>
        <w:tc>
          <w:tcPr>
            <w:tcW w:w="6366" w:type="dxa"/>
            <w:tcBorders>
              <w:top w:val="nil"/>
              <w:left w:val="nil"/>
              <w:bottom w:val="nil"/>
              <w:right w:val="nil"/>
            </w:tcBorders>
            <w:shd w:val="clear" w:color="FFFFFF" w:fill="FFFFFF"/>
            <w:noWrap/>
            <w:vAlign w:val="bottom"/>
            <w:hideMark/>
          </w:tcPr>
          <w:p w14:paraId="64386E8B" w14:textId="77777777" w:rsidR="00520333" w:rsidRPr="003203A1" w:rsidRDefault="00520333" w:rsidP="005E5E0C">
            <w:pPr>
              <w:spacing w:after="0"/>
              <w:rPr>
                <w:rFonts w:cs="Arial"/>
                <w:sz w:val="18"/>
                <w:szCs w:val="18"/>
              </w:rPr>
            </w:pPr>
            <w:r w:rsidRPr="003203A1">
              <w:rPr>
                <w:rFonts w:cs="Arial"/>
                <w:sz w:val="18"/>
                <w:szCs w:val="18"/>
              </w:rPr>
              <w:t> </w:t>
            </w:r>
          </w:p>
        </w:tc>
        <w:tc>
          <w:tcPr>
            <w:tcW w:w="1260" w:type="dxa"/>
            <w:tcBorders>
              <w:top w:val="nil"/>
              <w:left w:val="nil"/>
              <w:bottom w:val="nil"/>
              <w:right w:val="nil"/>
            </w:tcBorders>
            <w:shd w:val="clear" w:color="FFFFFF" w:fill="FFFFFF"/>
            <w:vAlign w:val="bottom"/>
            <w:hideMark/>
          </w:tcPr>
          <w:p w14:paraId="63F5BF28" w14:textId="77777777" w:rsidR="00520333" w:rsidRPr="003203A1" w:rsidRDefault="00520333" w:rsidP="005E5E0C">
            <w:pPr>
              <w:spacing w:after="0"/>
              <w:jc w:val="right"/>
              <w:rPr>
                <w:rFonts w:cs="Arial"/>
                <w:b/>
                <w:bCs/>
                <w:sz w:val="18"/>
                <w:szCs w:val="18"/>
              </w:rPr>
            </w:pPr>
            <w:r w:rsidRPr="003203A1">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65B35A9D"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vAlign w:val="bottom"/>
            <w:hideMark/>
          </w:tcPr>
          <w:p w14:paraId="2CA82742" w14:textId="77777777" w:rsidR="00520333" w:rsidRPr="003203A1" w:rsidRDefault="00520333" w:rsidP="005E5E0C">
            <w:pPr>
              <w:spacing w:after="0"/>
              <w:jc w:val="right"/>
              <w:rPr>
                <w:rFonts w:cs="Arial"/>
                <w:sz w:val="18"/>
                <w:szCs w:val="18"/>
              </w:rPr>
            </w:pPr>
            <w:r w:rsidRPr="003203A1">
              <w:rPr>
                <w:rFonts w:cs="Arial"/>
                <w:sz w:val="18"/>
                <w:szCs w:val="18"/>
              </w:rPr>
              <w:t>$'000</w:t>
            </w:r>
          </w:p>
        </w:tc>
      </w:tr>
      <w:tr w:rsidR="00520333" w:rsidRPr="003203A1" w14:paraId="2BFF0A22" w14:textId="77777777" w:rsidTr="005E5E0C">
        <w:trPr>
          <w:trHeight w:val="253"/>
        </w:trPr>
        <w:tc>
          <w:tcPr>
            <w:tcW w:w="6366" w:type="dxa"/>
            <w:tcBorders>
              <w:top w:val="nil"/>
              <w:left w:val="nil"/>
              <w:bottom w:val="nil"/>
              <w:right w:val="nil"/>
            </w:tcBorders>
            <w:shd w:val="clear" w:color="FFFFFF" w:fill="FFFFFF"/>
            <w:noWrap/>
            <w:vAlign w:val="bottom"/>
            <w:hideMark/>
          </w:tcPr>
          <w:p w14:paraId="1BAB4103" w14:textId="77777777" w:rsidR="00520333" w:rsidRPr="003203A1" w:rsidRDefault="00520333" w:rsidP="005E5E0C">
            <w:pPr>
              <w:spacing w:after="0"/>
              <w:rPr>
                <w:rFonts w:cs="Arial"/>
                <w:b/>
                <w:bCs/>
                <w:sz w:val="18"/>
                <w:szCs w:val="18"/>
                <w:u w:val="single"/>
              </w:rPr>
            </w:pPr>
            <w:r w:rsidRPr="003203A1">
              <w:rPr>
                <w:rFonts w:cs="Arial"/>
                <w:b/>
                <w:bCs/>
                <w:sz w:val="18"/>
                <w:szCs w:val="18"/>
                <w:u w:val="single"/>
              </w:rPr>
              <w:t>Note 1.1A: Employee benefits</w:t>
            </w:r>
          </w:p>
        </w:tc>
        <w:tc>
          <w:tcPr>
            <w:tcW w:w="1260" w:type="dxa"/>
            <w:tcBorders>
              <w:top w:val="nil"/>
              <w:left w:val="nil"/>
              <w:bottom w:val="nil"/>
              <w:right w:val="nil"/>
            </w:tcBorders>
            <w:shd w:val="clear" w:color="FFFFFF" w:fill="FFFFFF"/>
            <w:vAlign w:val="bottom"/>
            <w:hideMark/>
          </w:tcPr>
          <w:p w14:paraId="13E9D121"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C08ABF1"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vAlign w:val="bottom"/>
            <w:hideMark/>
          </w:tcPr>
          <w:p w14:paraId="43B904EE"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656EFDE9" w14:textId="77777777" w:rsidTr="005E5E0C">
        <w:trPr>
          <w:trHeight w:val="253"/>
        </w:trPr>
        <w:tc>
          <w:tcPr>
            <w:tcW w:w="6366" w:type="dxa"/>
            <w:tcBorders>
              <w:top w:val="nil"/>
              <w:left w:val="nil"/>
              <w:bottom w:val="nil"/>
              <w:right w:val="nil"/>
            </w:tcBorders>
            <w:shd w:val="clear" w:color="FFFFFF" w:fill="FFFFFF"/>
            <w:vAlign w:val="bottom"/>
            <w:hideMark/>
          </w:tcPr>
          <w:p w14:paraId="723494DD" w14:textId="77777777" w:rsidR="00520333" w:rsidRPr="003203A1" w:rsidRDefault="00520333" w:rsidP="005E5E0C">
            <w:pPr>
              <w:spacing w:after="0"/>
              <w:rPr>
                <w:rFonts w:cs="Arial"/>
                <w:sz w:val="18"/>
                <w:szCs w:val="18"/>
              </w:rPr>
            </w:pPr>
            <w:r w:rsidRPr="003203A1">
              <w:rPr>
                <w:rFonts w:cs="Arial"/>
                <w:sz w:val="18"/>
                <w:szCs w:val="18"/>
              </w:rPr>
              <w:t>Wages and salaries</w:t>
            </w:r>
          </w:p>
        </w:tc>
        <w:tc>
          <w:tcPr>
            <w:tcW w:w="1260" w:type="dxa"/>
            <w:tcBorders>
              <w:top w:val="nil"/>
              <w:left w:val="nil"/>
              <w:bottom w:val="nil"/>
              <w:right w:val="nil"/>
            </w:tcBorders>
            <w:shd w:val="clear" w:color="FFFFFF" w:fill="FFFFFF"/>
            <w:noWrap/>
            <w:vAlign w:val="bottom"/>
            <w:hideMark/>
          </w:tcPr>
          <w:p w14:paraId="663FCC4F" w14:textId="77777777" w:rsidR="00520333" w:rsidRPr="003203A1" w:rsidRDefault="00520333" w:rsidP="005E5E0C">
            <w:pPr>
              <w:spacing w:after="0"/>
              <w:jc w:val="right"/>
              <w:rPr>
                <w:rFonts w:cs="Arial"/>
                <w:b/>
                <w:bCs/>
                <w:sz w:val="18"/>
                <w:szCs w:val="18"/>
              </w:rPr>
            </w:pPr>
            <w:r w:rsidRPr="003203A1">
              <w:rPr>
                <w:rFonts w:cs="Arial"/>
                <w:b/>
                <w:bCs/>
                <w:sz w:val="18"/>
                <w:szCs w:val="18"/>
              </w:rPr>
              <w:t>577,795</w:t>
            </w:r>
          </w:p>
        </w:tc>
        <w:tc>
          <w:tcPr>
            <w:tcW w:w="236" w:type="dxa"/>
            <w:tcBorders>
              <w:top w:val="nil"/>
              <w:left w:val="nil"/>
              <w:bottom w:val="nil"/>
              <w:right w:val="nil"/>
            </w:tcBorders>
            <w:shd w:val="clear" w:color="FFFFFF" w:fill="FFFFFF"/>
            <w:noWrap/>
            <w:vAlign w:val="bottom"/>
            <w:hideMark/>
          </w:tcPr>
          <w:p w14:paraId="388DCD70"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330F1A41" w14:textId="77777777" w:rsidR="00520333" w:rsidRPr="003203A1" w:rsidRDefault="00520333" w:rsidP="005E5E0C">
            <w:pPr>
              <w:spacing w:after="0"/>
              <w:jc w:val="right"/>
              <w:rPr>
                <w:rFonts w:cs="Arial"/>
                <w:sz w:val="18"/>
                <w:szCs w:val="18"/>
              </w:rPr>
            </w:pPr>
            <w:r w:rsidRPr="003203A1">
              <w:rPr>
                <w:rFonts w:cs="Arial"/>
                <w:sz w:val="18"/>
                <w:szCs w:val="18"/>
              </w:rPr>
              <w:t>429,897</w:t>
            </w:r>
          </w:p>
        </w:tc>
      </w:tr>
      <w:tr w:rsidR="00520333" w:rsidRPr="003203A1" w14:paraId="11B5EF91" w14:textId="77777777" w:rsidTr="005E5E0C">
        <w:trPr>
          <w:trHeight w:val="253"/>
        </w:trPr>
        <w:tc>
          <w:tcPr>
            <w:tcW w:w="6366" w:type="dxa"/>
            <w:tcBorders>
              <w:top w:val="nil"/>
              <w:left w:val="nil"/>
              <w:bottom w:val="nil"/>
              <w:right w:val="nil"/>
            </w:tcBorders>
            <w:shd w:val="clear" w:color="FFFFFF" w:fill="FFFFFF"/>
            <w:vAlign w:val="bottom"/>
            <w:hideMark/>
          </w:tcPr>
          <w:p w14:paraId="6E0FCCBA" w14:textId="77777777" w:rsidR="00520333" w:rsidRPr="003203A1" w:rsidRDefault="00520333" w:rsidP="005E5E0C">
            <w:pPr>
              <w:spacing w:after="0"/>
              <w:rPr>
                <w:rFonts w:cs="Arial"/>
                <w:sz w:val="18"/>
                <w:szCs w:val="18"/>
              </w:rPr>
            </w:pPr>
            <w:r w:rsidRPr="003203A1">
              <w:rPr>
                <w:rFonts w:cs="Arial"/>
                <w:sz w:val="18"/>
                <w:szCs w:val="18"/>
              </w:rPr>
              <w:t>Superannuation</w:t>
            </w:r>
          </w:p>
        </w:tc>
        <w:tc>
          <w:tcPr>
            <w:tcW w:w="1260" w:type="dxa"/>
            <w:tcBorders>
              <w:top w:val="nil"/>
              <w:left w:val="nil"/>
              <w:bottom w:val="nil"/>
              <w:right w:val="nil"/>
            </w:tcBorders>
            <w:shd w:val="clear" w:color="FFFFFF" w:fill="FFFFFF"/>
            <w:noWrap/>
            <w:vAlign w:val="bottom"/>
            <w:hideMark/>
          </w:tcPr>
          <w:p w14:paraId="6F2DE9CA"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4F6ECBB7"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688A0385"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1748298D" w14:textId="77777777" w:rsidTr="005E5E0C">
        <w:trPr>
          <w:trHeight w:val="253"/>
        </w:trPr>
        <w:tc>
          <w:tcPr>
            <w:tcW w:w="6366" w:type="dxa"/>
            <w:tcBorders>
              <w:top w:val="nil"/>
              <w:left w:val="nil"/>
              <w:bottom w:val="nil"/>
              <w:right w:val="nil"/>
            </w:tcBorders>
            <w:shd w:val="clear" w:color="FFFFFF" w:fill="FFFFFF"/>
            <w:noWrap/>
            <w:vAlign w:val="bottom"/>
            <w:hideMark/>
          </w:tcPr>
          <w:p w14:paraId="0BB456E2" w14:textId="77777777" w:rsidR="00520333" w:rsidRPr="003203A1" w:rsidRDefault="00520333" w:rsidP="005E5E0C">
            <w:pPr>
              <w:spacing w:after="0"/>
              <w:ind w:firstLineChars="100" w:firstLine="180"/>
              <w:rPr>
                <w:rFonts w:cs="Arial"/>
                <w:sz w:val="18"/>
                <w:szCs w:val="18"/>
              </w:rPr>
            </w:pPr>
            <w:r w:rsidRPr="003203A1">
              <w:rPr>
                <w:rFonts w:cs="Arial"/>
                <w:sz w:val="18"/>
                <w:szCs w:val="18"/>
              </w:rPr>
              <w:t>Defined contribution plans</w:t>
            </w:r>
          </w:p>
        </w:tc>
        <w:tc>
          <w:tcPr>
            <w:tcW w:w="1260" w:type="dxa"/>
            <w:tcBorders>
              <w:top w:val="nil"/>
              <w:left w:val="nil"/>
              <w:bottom w:val="nil"/>
              <w:right w:val="nil"/>
            </w:tcBorders>
            <w:shd w:val="clear" w:color="FFFFFF" w:fill="FFFFFF"/>
            <w:noWrap/>
            <w:vAlign w:val="bottom"/>
            <w:hideMark/>
          </w:tcPr>
          <w:p w14:paraId="2075E156" w14:textId="77777777" w:rsidR="00520333" w:rsidRPr="003203A1" w:rsidRDefault="00520333" w:rsidP="005E5E0C">
            <w:pPr>
              <w:spacing w:after="0"/>
              <w:jc w:val="right"/>
              <w:rPr>
                <w:rFonts w:cs="Arial"/>
                <w:b/>
                <w:bCs/>
                <w:sz w:val="18"/>
                <w:szCs w:val="18"/>
              </w:rPr>
            </w:pPr>
            <w:r w:rsidRPr="003203A1">
              <w:rPr>
                <w:rFonts w:cs="Arial"/>
                <w:b/>
                <w:bCs/>
                <w:sz w:val="18"/>
                <w:szCs w:val="18"/>
              </w:rPr>
              <w:t>82,486</w:t>
            </w:r>
          </w:p>
        </w:tc>
        <w:tc>
          <w:tcPr>
            <w:tcW w:w="236" w:type="dxa"/>
            <w:tcBorders>
              <w:top w:val="nil"/>
              <w:left w:val="nil"/>
              <w:bottom w:val="nil"/>
              <w:right w:val="nil"/>
            </w:tcBorders>
            <w:shd w:val="clear" w:color="FFFFFF" w:fill="FFFFFF"/>
            <w:noWrap/>
            <w:vAlign w:val="bottom"/>
            <w:hideMark/>
          </w:tcPr>
          <w:p w14:paraId="655273C9"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2730D42A" w14:textId="77777777" w:rsidR="00520333" w:rsidRPr="003203A1" w:rsidRDefault="00520333" w:rsidP="005E5E0C">
            <w:pPr>
              <w:spacing w:after="0"/>
              <w:jc w:val="right"/>
              <w:rPr>
                <w:rFonts w:cs="Arial"/>
                <w:sz w:val="18"/>
                <w:szCs w:val="18"/>
              </w:rPr>
            </w:pPr>
            <w:r w:rsidRPr="003203A1">
              <w:rPr>
                <w:rFonts w:cs="Arial"/>
                <w:sz w:val="18"/>
                <w:szCs w:val="18"/>
              </w:rPr>
              <w:t>62,685</w:t>
            </w:r>
          </w:p>
        </w:tc>
      </w:tr>
      <w:tr w:rsidR="00520333" w:rsidRPr="003203A1" w14:paraId="63BBEE96" w14:textId="77777777" w:rsidTr="005E5E0C">
        <w:trPr>
          <w:trHeight w:val="253"/>
        </w:trPr>
        <w:tc>
          <w:tcPr>
            <w:tcW w:w="6366" w:type="dxa"/>
            <w:tcBorders>
              <w:top w:val="nil"/>
              <w:left w:val="nil"/>
              <w:bottom w:val="nil"/>
              <w:right w:val="nil"/>
            </w:tcBorders>
            <w:shd w:val="clear" w:color="FFFFFF" w:fill="FFFFFF"/>
            <w:noWrap/>
            <w:vAlign w:val="bottom"/>
            <w:hideMark/>
          </w:tcPr>
          <w:p w14:paraId="466EB4FA" w14:textId="77777777" w:rsidR="00520333" w:rsidRPr="003203A1" w:rsidRDefault="00520333" w:rsidP="005E5E0C">
            <w:pPr>
              <w:spacing w:after="0"/>
              <w:ind w:firstLineChars="100" w:firstLine="180"/>
              <w:rPr>
                <w:rFonts w:cs="Arial"/>
                <w:sz w:val="18"/>
                <w:szCs w:val="18"/>
              </w:rPr>
            </w:pPr>
            <w:r w:rsidRPr="003203A1">
              <w:rPr>
                <w:rFonts w:cs="Arial"/>
                <w:sz w:val="18"/>
                <w:szCs w:val="18"/>
              </w:rPr>
              <w:t>Defined benefit plans</w:t>
            </w:r>
          </w:p>
        </w:tc>
        <w:tc>
          <w:tcPr>
            <w:tcW w:w="1260" w:type="dxa"/>
            <w:tcBorders>
              <w:top w:val="nil"/>
              <w:left w:val="nil"/>
              <w:bottom w:val="nil"/>
              <w:right w:val="nil"/>
            </w:tcBorders>
            <w:shd w:val="clear" w:color="FFFFFF" w:fill="FFFFFF"/>
            <w:noWrap/>
            <w:vAlign w:val="bottom"/>
            <w:hideMark/>
          </w:tcPr>
          <w:p w14:paraId="2021C1D9" w14:textId="77777777" w:rsidR="00520333" w:rsidRPr="003203A1" w:rsidRDefault="00520333" w:rsidP="005E5E0C">
            <w:pPr>
              <w:spacing w:after="0"/>
              <w:jc w:val="right"/>
              <w:rPr>
                <w:rFonts w:cs="Arial"/>
                <w:b/>
                <w:bCs/>
                <w:sz w:val="18"/>
                <w:szCs w:val="18"/>
              </w:rPr>
            </w:pPr>
            <w:r w:rsidRPr="003203A1">
              <w:rPr>
                <w:rFonts w:cs="Arial"/>
                <w:b/>
                <w:bCs/>
                <w:sz w:val="18"/>
                <w:szCs w:val="18"/>
              </w:rPr>
              <w:t>13,926</w:t>
            </w:r>
          </w:p>
        </w:tc>
        <w:tc>
          <w:tcPr>
            <w:tcW w:w="236" w:type="dxa"/>
            <w:tcBorders>
              <w:top w:val="nil"/>
              <w:left w:val="nil"/>
              <w:bottom w:val="nil"/>
              <w:right w:val="nil"/>
            </w:tcBorders>
            <w:shd w:val="clear" w:color="FFFFFF" w:fill="FFFFFF"/>
            <w:noWrap/>
            <w:vAlign w:val="bottom"/>
            <w:hideMark/>
          </w:tcPr>
          <w:p w14:paraId="4A16724E"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5A2BF752" w14:textId="77777777" w:rsidR="00520333" w:rsidRPr="003203A1" w:rsidRDefault="00520333" w:rsidP="005E5E0C">
            <w:pPr>
              <w:spacing w:after="0"/>
              <w:jc w:val="right"/>
              <w:rPr>
                <w:rFonts w:cs="Arial"/>
                <w:sz w:val="18"/>
                <w:szCs w:val="18"/>
              </w:rPr>
            </w:pPr>
            <w:r w:rsidRPr="003203A1">
              <w:rPr>
                <w:rFonts w:cs="Arial"/>
                <w:sz w:val="18"/>
                <w:szCs w:val="18"/>
              </w:rPr>
              <w:t>10,826</w:t>
            </w:r>
          </w:p>
        </w:tc>
      </w:tr>
      <w:tr w:rsidR="00520333" w:rsidRPr="003203A1" w14:paraId="194AF721" w14:textId="77777777" w:rsidTr="005E5E0C">
        <w:trPr>
          <w:trHeight w:val="253"/>
        </w:trPr>
        <w:tc>
          <w:tcPr>
            <w:tcW w:w="6366" w:type="dxa"/>
            <w:tcBorders>
              <w:top w:val="nil"/>
              <w:left w:val="nil"/>
              <w:bottom w:val="nil"/>
              <w:right w:val="nil"/>
            </w:tcBorders>
            <w:shd w:val="clear" w:color="FFFFFF" w:fill="FFFFFF"/>
            <w:vAlign w:val="bottom"/>
            <w:hideMark/>
          </w:tcPr>
          <w:p w14:paraId="3BBCDC9D" w14:textId="77777777" w:rsidR="00520333" w:rsidRPr="003203A1" w:rsidRDefault="00520333" w:rsidP="005E5E0C">
            <w:pPr>
              <w:spacing w:after="0"/>
              <w:rPr>
                <w:rFonts w:cs="Arial"/>
                <w:sz w:val="18"/>
                <w:szCs w:val="18"/>
              </w:rPr>
            </w:pPr>
            <w:r w:rsidRPr="003203A1">
              <w:rPr>
                <w:rFonts w:cs="Arial"/>
                <w:sz w:val="18"/>
                <w:szCs w:val="18"/>
              </w:rPr>
              <w:t>Leave and other entitlements</w:t>
            </w:r>
          </w:p>
        </w:tc>
        <w:tc>
          <w:tcPr>
            <w:tcW w:w="1260" w:type="dxa"/>
            <w:tcBorders>
              <w:top w:val="nil"/>
              <w:left w:val="nil"/>
              <w:bottom w:val="nil"/>
              <w:right w:val="nil"/>
            </w:tcBorders>
            <w:shd w:val="clear" w:color="FFFFFF" w:fill="FFFFFF"/>
            <w:noWrap/>
            <w:vAlign w:val="bottom"/>
            <w:hideMark/>
          </w:tcPr>
          <w:p w14:paraId="576850FE" w14:textId="77777777" w:rsidR="00520333" w:rsidRPr="003203A1" w:rsidRDefault="00520333" w:rsidP="005E5E0C">
            <w:pPr>
              <w:spacing w:after="0"/>
              <w:jc w:val="right"/>
              <w:rPr>
                <w:rFonts w:cs="Arial"/>
                <w:b/>
                <w:bCs/>
                <w:sz w:val="18"/>
                <w:szCs w:val="18"/>
              </w:rPr>
            </w:pPr>
            <w:r w:rsidRPr="003203A1">
              <w:rPr>
                <w:rFonts w:cs="Arial"/>
                <w:b/>
                <w:bCs/>
                <w:sz w:val="18"/>
                <w:szCs w:val="18"/>
              </w:rPr>
              <w:t>82,810</w:t>
            </w:r>
          </w:p>
        </w:tc>
        <w:tc>
          <w:tcPr>
            <w:tcW w:w="236" w:type="dxa"/>
            <w:tcBorders>
              <w:top w:val="nil"/>
              <w:left w:val="nil"/>
              <w:bottom w:val="nil"/>
              <w:right w:val="nil"/>
            </w:tcBorders>
            <w:shd w:val="clear" w:color="FFFFFF" w:fill="FFFFFF"/>
            <w:noWrap/>
            <w:vAlign w:val="bottom"/>
            <w:hideMark/>
          </w:tcPr>
          <w:p w14:paraId="57F817EF"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63BB08BC" w14:textId="77777777" w:rsidR="00520333" w:rsidRPr="003203A1" w:rsidRDefault="00520333" w:rsidP="005E5E0C">
            <w:pPr>
              <w:spacing w:after="0"/>
              <w:jc w:val="right"/>
              <w:rPr>
                <w:rFonts w:cs="Arial"/>
                <w:sz w:val="18"/>
                <w:szCs w:val="18"/>
              </w:rPr>
            </w:pPr>
            <w:r w:rsidRPr="003203A1">
              <w:rPr>
                <w:rFonts w:cs="Arial"/>
                <w:sz w:val="18"/>
                <w:szCs w:val="18"/>
              </w:rPr>
              <w:t>48,145</w:t>
            </w:r>
          </w:p>
        </w:tc>
      </w:tr>
      <w:tr w:rsidR="00520333" w:rsidRPr="003203A1" w14:paraId="6B9BE611" w14:textId="77777777" w:rsidTr="005E5E0C">
        <w:trPr>
          <w:trHeight w:val="253"/>
        </w:trPr>
        <w:tc>
          <w:tcPr>
            <w:tcW w:w="6366" w:type="dxa"/>
            <w:tcBorders>
              <w:top w:val="nil"/>
              <w:left w:val="nil"/>
              <w:bottom w:val="nil"/>
              <w:right w:val="nil"/>
            </w:tcBorders>
            <w:shd w:val="clear" w:color="FFFFFF" w:fill="FFFFFF"/>
            <w:vAlign w:val="bottom"/>
            <w:hideMark/>
          </w:tcPr>
          <w:p w14:paraId="6BF776DD" w14:textId="77777777" w:rsidR="00520333" w:rsidRPr="003203A1" w:rsidRDefault="00520333" w:rsidP="005E5E0C">
            <w:pPr>
              <w:spacing w:after="0"/>
              <w:rPr>
                <w:rFonts w:cs="Arial"/>
                <w:sz w:val="18"/>
                <w:szCs w:val="18"/>
              </w:rPr>
            </w:pPr>
            <w:r w:rsidRPr="003203A1">
              <w:rPr>
                <w:rFonts w:cs="Arial"/>
                <w:sz w:val="18"/>
                <w:szCs w:val="18"/>
              </w:rPr>
              <w:t>Separation and redundancies</w:t>
            </w:r>
          </w:p>
        </w:tc>
        <w:tc>
          <w:tcPr>
            <w:tcW w:w="1260" w:type="dxa"/>
            <w:tcBorders>
              <w:top w:val="nil"/>
              <w:left w:val="nil"/>
              <w:bottom w:val="nil"/>
              <w:right w:val="nil"/>
            </w:tcBorders>
            <w:shd w:val="clear" w:color="FFFFFF" w:fill="FFFFFF"/>
            <w:noWrap/>
            <w:vAlign w:val="bottom"/>
            <w:hideMark/>
          </w:tcPr>
          <w:p w14:paraId="0F98003D" w14:textId="77777777" w:rsidR="00520333" w:rsidRPr="003203A1" w:rsidRDefault="00520333" w:rsidP="005E5E0C">
            <w:pPr>
              <w:spacing w:after="0"/>
              <w:jc w:val="right"/>
              <w:rPr>
                <w:rFonts w:cs="Arial"/>
                <w:b/>
                <w:bCs/>
                <w:sz w:val="18"/>
                <w:szCs w:val="18"/>
              </w:rPr>
            </w:pPr>
            <w:r w:rsidRPr="003203A1">
              <w:rPr>
                <w:rFonts w:cs="Arial"/>
                <w:b/>
                <w:bCs/>
                <w:sz w:val="18"/>
                <w:szCs w:val="18"/>
              </w:rPr>
              <w:t>1,586</w:t>
            </w:r>
          </w:p>
        </w:tc>
        <w:tc>
          <w:tcPr>
            <w:tcW w:w="236" w:type="dxa"/>
            <w:tcBorders>
              <w:top w:val="nil"/>
              <w:left w:val="nil"/>
              <w:bottom w:val="nil"/>
              <w:right w:val="nil"/>
            </w:tcBorders>
            <w:shd w:val="clear" w:color="FFFFFF" w:fill="FFFFFF"/>
            <w:noWrap/>
            <w:vAlign w:val="bottom"/>
            <w:hideMark/>
          </w:tcPr>
          <w:p w14:paraId="554DD2B1"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2598A26D" w14:textId="77777777" w:rsidR="00520333" w:rsidRPr="003203A1" w:rsidRDefault="00520333" w:rsidP="005E5E0C">
            <w:pPr>
              <w:spacing w:after="0"/>
              <w:jc w:val="right"/>
              <w:rPr>
                <w:rFonts w:cs="Arial"/>
                <w:sz w:val="18"/>
                <w:szCs w:val="18"/>
              </w:rPr>
            </w:pPr>
            <w:r w:rsidRPr="003203A1">
              <w:rPr>
                <w:rFonts w:cs="Arial"/>
                <w:sz w:val="18"/>
                <w:szCs w:val="18"/>
              </w:rPr>
              <w:t>87</w:t>
            </w:r>
          </w:p>
        </w:tc>
      </w:tr>
      <w:tr w:rsidR="00520333" w:rsidRPr="003203A1" w14:paraId="77F1F5FF" w14:textId="77777777" w:rsidTr="005E5E0C">
        <w:trPr>
          <w:trHeight w:val="253"/>
        </w:trPr>
        <w:tc>
          <w:tcPr>
            <w:tcW w:w="6366" w:type="dxa"/>
            <w:tcBorders>
              <w:top w:val="nil"/>
              <w:left w:val="nil"/>
              <w:bottom w:val="nil"/>
              <w:right w:val="nil"/>
            </w:tcBorders>
            <w:shd w:val="clear" w:color="FFFFFF" w:fill="FFFFFF"/>
            <w:vAlign w:val="bottom"/>
            <w:hideMark/>
          </w:tcPr>
          <w:p w14:paraId="56D61C66" w14:textId="77777777" w:rsidR="00520333" w:rsidRPr="003203A1" w:rsidRDefault="00520333" w:rsidP="005E5E0C">
            <w:pPr>
              <w:spacing w:after="0"/>
              <w:rPr>
                <w:rFonts w:cs="Arial"/>
                <w:b/>
                <w:bCs/>
                <w:sz w:val="18"/>
                <w:szCs w:val="18"/>
              </w:rPr>
            </w:pPr>
            <w:r w:rsidRPr="003203A1">
              <w:rPr>
                <w:rFonts w:cs="Arial"/>
                <w:b/>
                <w:bCs/>
                <w:sz w:val="18"/>
                <w:szCs w:val="18"/>
              </w:rPr>
              <w:t>Total employee benefits</w:t>
            </w:r>
          </w:p>
        </w:tc>
        <w:tc>
          <w:tcPr>
            <w:tcW w:w="1260" w:type="dxa"/>
            <w:tcBorders>
              <w:top w:val="single" w:sz="4" w:space="0" w:color="auto"/>
              <w:left w:val="nil"/>
              <w:bottom w:val="single" w:sz="4" w:space="0" w:color="auto"/>
              <w:right w:val="nil"/>
            </w:tcBorders>
            <w:shd w:val="clear" w:color="FFFFFF" w:fill="FFFFFF"/>
            <w:noWrap/>
            <w:vAlign w:val="bottom"/>
            <w:hideMark/>
          </w:tcPr>
          <w:p w14:paraId="6F0C6991" w14:textId="77777777" w:rsidR="00520333" w:rsidRPr="003203A1" w:rsidRDefault="00520333" w:rsidP="005E5E0C">
            <w:pPr>
              <w:spacing w:after="0"/>
              <w:jc w:val="right"/>
              <w:rPr>
                <w:rFonts w:cs="Arial"/>
                <w:b/>
                <w:bCs/>
                <w:sz w:val="18"/>
                <w:szCs w:val="18"/>
              </w:rPr>
            </w:pPr>
            <w:r w:rsidRPr="003203A1">
              <w:rPr>
                <w:rFonts w:cs="Arial"/>
                <w:b/>
                <w:bCs/>
                <w:sz w:val="18"/>
                <w:szCs w:val="18"/>
              </w:rPr>
              <w:t>758,603</w:t>
            </w:r>
          </w:p>
        </w:tc>
        <w:tc>
          <w:tcPr>
            <w:tcW w:w="236" w:type="dxa"/>
            <w:tcBorders>
              <w:top w:val="nil"/>
              <w:left w:val="nil"/>
              <w:bottom w:val="nil"/>
              <w:right w:val="nil"/>
            </w:tcBorders>
            <w:shd w:val="clear" w:color="FFFFFF" w:fill="FFFFFF"/>
            <w:noWrap/>
            <w:vAlign w:val="bottom"/>
            <w:hideMark/>
          </w:tcPr>
          <w:p w14:paraId="4A3ACAD3"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single" w:sz="4" w:space="0" w:color="auto"/>
              <w:left w:val="nil"/>
              <w:bottom w:val="single" w:sz="4" w:space="0" w:color="auto"/>
              <w:right w:val="nil"/>
            </w:tcBorders>
            <w:shd w:val="clear" w:color="FFFFFF" w:fill="FFFFFF"/>
            <w:noWrap/>
            <w:vAlign w:val="bottom"/>
            <w:hideMark/>
          </w:tcPr>
          <w:p w14:paraId="4C83D0E6" w14:textId="77777777" w:rsidR="00520333" w:rsidRPr="003203A1" w:rsidRDefault="00520333" w:rsidP="005E5E0C">
            <w:pPr>
              <w:spacing w:after="0"/>
              <w:jc w:val="right"/>
              <w:rPr>
                <w:rFonts w:cs="Arial"/>
                <w:sz w:val="18"/>
                <w:szCs w:val="18"/>
              </w:rPr>
            </w:pPr>
            <w:r w:rsidRPr="003203A1">
              <w:rPr>
                <w:rFonts w:cs="Arial"/>
                <w:sz w:val="18"/>
                <w:szCs w:val="18"/>
              </w:rPr>
              <w:t>551,640</w:t>
            </w:r>
          </w:p>
        </w:tc>
      </w:tr>
    </w:tbl>
    <w:p w14:paraId="18772DCD" w14:textId="77777777" w:rsidR="00520333" w:rsidRPr="003203A1" w:rsidRDefault="00520333" w:rsidP="003203A1">
      <w:pPr>
        <w:pStyle w:val="ReferenceText"/>
        <w:rPr>
          <w:rFonts w:cs="Arial"/>
          <w:szCs w:val="18"/>
        </w:rPr>
      </w:pPr>
    </w:p>
    <w:p w14:paraId="2F24D62F" w14:textId="77777777" w:rsidR="00520333" w:rsidRPr="003203A1" w:rsidRDefault="00520333" w:rsidP="00520333">
      <w:pPr>
        <w:pStyle w:val="PolicyheadingDept"/>
      </w:pPr>
      <w:r w:rsidRPr="003203A1">
        <w:t>Accounting Policy</w:t>
      </w:r>
    </w:p>
    <w:p w14:paraId="33399235" w14:textId="77777777" w:rsidR="00520333" w:rsidRPr="003203A1" w:rsidRDefault="00520333" w:rsidP="00520333">
      <w:pPr>
        <w:pStyle w:val="PolicytextDept"/>
      </w:pPr>
      <w:r w:rsidRPr="003203A1">
        <w:t xml:space="preserve">Accounting policies for employee related expenses are contained in Section 3. People and Relationships. </w:t>
      </w:r>
    </w:p>
    <w:tbl>
      <w:tblPr>
        <w:tblW w:w="9087" w:type="dxa"/>
        <w:tblLayout w:type="fixed"/>
        <w:tblLook w:val="04A0" w:firstRow="1" w:lastRow="0" w:firstColumn="1" w:lastColumn="0" w:noHBand="0" w:noVBand="1"/>
      </w:tblPr>
      <w:tblGrid>
        <w:gridCol w:w="6366"/>
        <w:gridCol w:w="1260"/>
        <w:gridCol w:w="236"/>
        <w:gridCol w:w="1225"/>
      </w:tblGrid>
      <w:tr w:rsidR="00520333" w:rsidRPr="003203A1" w14:paraId="31535781" w14:textId="77777777" w:rsidTr="005E5E0C">
        <w:trPr>
          <w:trHeight w:val="260"/>
        </w:trPr>
        <w:tc>
          <w:tcPr>
            <w:tcW w:w="6366" w:type="dxa"/>
            <w:tcBorders>
              <w:top w:val="nil"/>
              <w:left w:val="nil"/>
              <w:bottom w:val="nil"/>
              <w:right w:val="nil"/>
            </w:tcBorders>
            <w:shd w:val="clear" w:color="FFFFFF" w:fill="FFFFFF"/>
            <w:noWrap/>
            <w:vAlign w:val="bottom"/>
            <w:hideMark/>
          </w:tcPr>
          <w:p w14:paraId="42AAB985" w14:textId="77777777" w:rsidR="00520333" w:rsidRPr="003203A1" w:rsidRDefault="00520333" w:rsidP="005E5E0C">
            <w:pPr>
              <w:spacing w:after="0"/>
              <w:rPr>
                <w:rFonts w:cs="Arial"/>
                <w:b/>
                <w:bCs/>
                <w:sz w:val="18"/>
                <w:szCs w:val="18"/>
                <w:u w:val="single"/>
              </w:rPr>
            </w:pPr>
            <w:bookmarkStart w:id="149" w:name="Note_SXPTABLE1" w:colFirst="0" w:colLast="0"/>
            <w:r w:rsidRPr="003203A1">
              <w:rPr>
                <w:rFonts w:cs="Arial"/>
                <w:b/>
                <w:bCs/>
                <w:sz w:val="18"/>
                <w:szCs w:val="18"/>
                <w:u w:val="single"/>
              </w:rPr>
              <w:t>Note 1.1B: Suppliers</w:t>
            </w:r>
          </w:p>
        </w:tc>
        <w:tc>
          <w:tcPr>
            <w:tcW w:w="1260" w:type="dxa"/>
            <w:tcBorders>
              <w:top w:val="nil"/>
              <w:left w:val="nil"/>
              <w:bottom w:val="nil"/>
              <w:right w:val="nil"/>
            </w:tcBorders>
            <w:shd w:val="clear" w:color="FFFFFF" w:fill="FFFFFF"/>
            <w:vAlign w:val="bottom"/>
            <w:hideMark/>
          </w:tcPr>
          <w:p w14:paraId="2A9BFAFC"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CF85CF4"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vAlign w:val="bottom"/>
            <w:hideMark/>
          </w:tcPr>
          <w:p w14:paraId="1F12DA74" w14:textId="77777777" w:rsidR="00520333" w:rsidRPr="003203A1" w:rsidRDefault="00520333" w:rsidP="005E5E0C">
            <w:pPr>
              <w:spacing w:after="0"/>
              <w:jc w:val="right"/>
              <w:rPr>
                <w:rFonts w:cs="Arial"/>
                <w:sz w:val="18"/>
                <w:szCs w:val="18"/>
              </w:rPr>
            </w:pPr>
            <w:r w:rsidRPr="003203A1">
              <w:rPr>
                <w:rFonts w:cs="Arial"/>
                <w:sz w:val="18"/>
                <w:szCs w:val="18"/>
              </w:rPr>
              <w:t> </w:t>
            </w:r>
          </w:p>
        </w:tc>
      </w:tr>
      <w:bookmarkEnd w:id="149"/>
      <w:tr w:rsidR="00520333" w:rsidRPr="003203A1" w14:paraId="7020B271" w14:textId="77777777" w:rsidTr="005E5E0C">
        <w:trPr>
          <w:trHeight w:val="260"/>
        </w:trPr>
        <w:tc>
          <w:tcPr>
            <w:tcW w:w="6366" w:type="dxa"/>
            <w:tcBorders>
              <w:top w:val="nil"/>
              <w:left w:val="nil"/>
              <w:bottom w:val="nil"/>
              <w:right w:val="nil"/>
            </w:tcBorders>
            <w:shd w:val="clear" w:color="FFFFFF" w:fill="FFFFFF"/>
            <w:vAlign w:val="bottom"/>
            <w:hideMark/>
          </w:tcPr>
          <w:p w14:paraId="6550AEA7" w14:textId="77777777" w:rsidR="00520333" w:rsidRPr="003203A1" w:rsidRDefault="00520333" w:rsidP="005E5E0C">
            <w:pPr>
              <w:spacing w:after="0"/>
              <w:rPr>
                <w:rFonts w:cs="Arial"/>
                <w:b/>
                <w:bCs/>
                <w:sz w:val="18"/>
                <w:szCs w:val="18"/>
              </w:rPr>
            </w:pPr>
            <w:r w:rsidRPr="003203A1">
              <w:rPr>
                <w:rFonts w:cs="Arial"/>
                <w:b/>
                <w:bCs/>
                <w:sz w:val="18"/>
                <w:szCs w:val="18"/>
              </w:rPr>
              <w:t>Services rendered</w:t>
            </w:r>
          </w:p>
        </w:tc>
        <w:tc>
          <w:tcPr>
            <w:tcW w:w="1260" w:type="dxa"/>
            <w:tcBorders>
              <w:top w:val="nil"/>
              <w:left w:val="nil"/>
              <w:bottom w:val="nil"/>
              <w:right w:val="nil"/>
            </w:tcBorders>
            <w:shd w:val="clear" w:color="FFFFFF" w:fill="FFFFFF"/>
            <w:noWrap/>
            <w:vAlign w:val="bottom"/>
            <w:hideMark/>
          </w:tcPr>
          <w:p w14:paraId="63491EBF"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072D7CAD"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7714B2EA"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23AA58E3" w14:textId="77777777" w:rsidTr="005E5E0C">
        <w:trPr>
          <w:trHeight w:val="270"/>
        </w:trPr>
        <w:tc>
          <w:tcPr>
            <w:tcW w:w="6366" w:type="dxa"/>
            <w:tcBorders>
              <w:top w:val="nil"/>
              <w:left w:val="nil"/>
              <w:bottom w:val="nil"/>
              <w:right w:val="nil"/>
            </w:tcBorders>
            <w:shd w:val="clear" w:color="FFFFFF" w:fill="FFFFFF"/>
            <w:noWrap/>
            <w:vAlign w:val="bottom"/>
            <w:hideMark/>
          </w:tcPr>
          <w:p w14:paraId="316A8792" w14:textId="77777777" w:rsidR="00520333" w:rsidRPr="003203A1" w:rsidRDefault="00520333" w:rsidP="005E5E0C">
            <w:pPr>
              <w:spacing w:after="0"/>
              <w:ind w:firstLineChars="100" w:firstLine="180"/>
              <w:rPr>
                <w:rFonts w:cs="Arial"/>
                <w:sz w:val="18"/>
                <w:szCs w:val="18"/>
              </w:rPr>
            </w:pPr>
            <w:r w:rsidRPr="003203A1">
              <w:rPr>
                <w:rFonts w:cs="Arial"/>
                <w:sz w:val="18"/>
                <w:szCs w:val="18"/>
              </w:rPr>
              <w:t>Service providers</w:t>
            </w:r>
            <w:r w:rsidRPr="003203A1">
              <w:rPr>
                <w:rFonts w:cs="Arial"/>
                <w:sz w:val="18"/>
                <w:szCs w:val="18"/>
                <w:vertAlign w:val="superscript"/>
              </w:rPr>
              <w:t>1</w:t>
            </w:r>
          </w:p>
        </w:tc>
        <w:tc>
          <w:tcPr>
            <w:tcW w:w="1260" w:type="dxa"/>
            <w:tcBorders>
              <w:top w:val="nil"/>
              <w:left w:val="nil"/>
              <w:bottom w:val="nil"/>
              <w:right w:val="nil"/>
            </w:tcBorders>
            <w:shd w:val="clear" w:color="FFFFFF" w:fill="FFFFFF"/>
            <w:noWrap/>
            <w:vAlign w:val="bottom"/>
            <w:hideMark/>
          </w:tcPr>
          <w:p w14:paraId="5EDFC2E1" w14:textId="77777777" w:rsidR="00520333" w:rsidRPr="003203A1" w:rsidRDefault="00520333" w:rsidP="005E5E0C">
            <w:pPr>
              <w:spacing w:after="0"/>
              <w:jc w:val="right"/>
              <w:rPr>
                <w:rFonts w:cs="Arial"/>
                <w:b/>
                <w:bCs/>
                <w:sz w:val="18"/>
                <w:szCs w:val="18"/>
              </w:rPr>
            </w:pPr>
            <w:r w:rsidRPr="003203A1">
              <w:rPr>
                <w:rFonts w:cs="Arial"/>
                <w:b/>
                <w:bCs/>
                <w:sz w:val="18"/>
                <w:szCs w:val="18"/>
              </w:rPr>
              <w:t>395,558</w:t>
            </w:r>
          </w:p>
        </w:tc>
        <w:tc>
          <w:tcPr>
            <w:tcW w:w="236" w:type="dxa"/>
            <w:tcBorders>
              <w:top w:val="nil"/>
              <w:left w:val="nil"/>
              <w:bottom w:val="nil"/>
              <w:right w:val="nil"/>
            </w:tcBorders>
            <w:shd w:val="clear" w:color="FFFFFF" w:fill="FFFFFF"/>
            <w:noWrap/>
            <w:vAlign w:val="bottom"/>
            <w:hideMark/>
          </w:tcPr>
          <w:p w14:paraId="49441F95"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557C7BE8" w14:textId="77777777" w:rsidR="00520333" w:rsidRPr="003203A1" w:rsidRDefault="00520333" w:rsidP="005E5E0C">
            <w:pPr>
              <w:spacing w:after="0"/>
              <w:jc w:val="right"/>
              <w:rPr>
                <w:rFonts w:cs="Arial"/>
                <w:sz w:val="18"/>
                <w:szCs w:val="18"/>
              </w:rPr>
            </w:pPr>
            <w:r w:rsidRPr="003203A1">
              <w:rPr>
                <w:rFonts w:cs="Arial"/>
                <w:sz w:val="18"/>
                <w:szCs w:val="18"/>
              </w:rPr>
              <w:t>351,164</w:t>
            </w:r>
          </w:p>
        </w:tc>
      </w:tr>
      <w:tr w:rsidR="00520333" w:rsidRPr="003203A1" w14:paraId="23712704" w14:textId="77777777" w:rsidTr="005E5E0C">
        <w:trPr>
          <w:trHeight w:val="250"/>
        </w:trPr>
        <w:tc>
          <w:tcPr>
            <w:tcW w:w="6366" w:type="dxa"/>
            <w:tcBorders>
              <w:top w:val="nil"/>
              <w:left w:val="nil"/>
              <w:bottom w:val="nil"/>
              <w:right w:val="nil"/>
            </w:tcBorders>
            <w:shd w:val="clear" w:color="FFFFFF" w:fill="FFFFFF"/>
            <w:noWrap/>
            <w:vAlign w:val="bottom"/>
            <w:hideMark/>
          </w:tcPr>
          <w:p w14:paraId="5920BBA1" w14:textId="77777777" w:rsidR="00520333" w:rsidRPr="003203A1" w:rsidRDefault="00520333" w:rsidP="005E5E0C">
            <w:pPr>
              <w:spacing w:after="0"/>
              <w:ind w:firstLineChars="100" w:firstLine="180"/>
              <w:rPr>
                <w:rFonts w:cs="Arial"/>
                <w:sz w:val="18"/>
                <w:szCs w:val="18"/>
              </w:rPr>
            </w:pPr>
            <w:r w:rsidRPr="003203A1">
              <w:rPr>
                <w:rFonts w:cs="Arial"/>
                <w:sz w:val="18"/>
                <w:szCs w:val="18"/>
              </w:rPr>
              <w:t>Legal expenses</w:t>
            </w:r>
          </w:p>
        </w:tc>
        <w:tc>
          <w:tcPr>
            <w:tcW w:w="1260" w:type="dxa"/>
            <w:tcBorders>
              <w:top w:val="nil"/>
              <w:left w:val="nil"/>
              <w:bottom w:val="nil"/>
              <w:right w:val="nil"/>
            </w:tcBorders>
            <w:shd w:val="clear" w:color="FFFFFF" w:fill="FFFFFF"/>
            <w:noWrap/>
            <w:vAlign w:val="bottom"/>
            <w:hideMark/>
          </w:tcPr>
          <w:p w14:paraId="57CAEE0C" w14:textId="77777777" w:rsidR="00520333" w:rsidRPr="003203A1" w:rsidRDefault="00520333" w:rsidP="005E5E0C">
            <w:pPr>
              <w:spacing w:after="0"/>
              <w:jc w:val="right"/>
              <w:rPr>
                <w:rFonts w:cs="Arial"/>
                <w:b/>
                <w:bCs/>
                <w:sz w:val="18"/>
                <w:szCs w:val="18"/>
              </w:rPr>
            </w:pPr>
            <w:r w:rsidRPr="003203A1">
              <w:rPr>
                <w:rFonts w:cs="Arial"/>
                <w:b/>
                <w:bCs/>
                <w:sz w:val="18"/>
                <w:szCs w:val="18"/>
              </w:rPr>
              <w:t>51,899</w:t>
            </w:r>
          </w:p>
        </w:tc>
        <w:tc>
          <w:tcPr>
            <w:tcW w:w="236" w:type="dxa"/>
            <w:tcBorders>
              <w:top w:val="nil"/>
              <w:left w:val="nil"/>
              <w:bottom w:val="nil"/>
              <w:right w:val="nil"/>
            </w:tcBorders>
            <w:shd w:val="clear" w:color="FFFFFF" w:fill="FFFFFF"/>
            <w:noWrap/>
            <w:vAlign w:val="bottom"/>
            <w:hideMark/>
          </w:tcPr>
          <w:p w14:paraId="1F1B250B"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6F68D2F0" w14:textId="77777777" w:rsidR="00520333" w:rsidRPr="003203A1" w:rsidRDefault="00520333" w:rsidP="005E5E0C">
            <w:pPr>
              <w:spacing w:after="0"/>
              <w:jc w:val="right"/>
              <w:rPr>
                <w:rFonts w:cs="Arial"/>
                <w:sz w:val="18"/>
                <w:szCs w:val="18"/>
              </w:rPr>
            </w:pPr>
            <w:r w:rsidRPr="003203A1">
              <w:rPr>
                <w:rFonts w:cs="Arial"/>
                <w:sz w:val="18"/>
                <w:szCs w:val="18"/>
              </w:rPr>
              <w:t>72,272</w:t>
            </w:r>
          </w:p>
        </w:tc>
      </w:tr>
      <w:tr w:rsidR="00520333" w:rsidRPr="003203A1" w14:paraId="2937C6E3" w14:textId="77777777" w:rsidTr="005E5E0C">
        <w:trPr>
          <w:trHeight w:val="250"/>
        </w:trPr>
        <w:tc>
          <w:tcPr>
            <w:tcW w:w="6366" w:type="dxa"/>
            <w:tcBorders>
              <w:top w:val="nil"/>
              <w:left w:val="nil"/>
              <w:bottom w:val="nil"/>
              <w:right w:val="nil"/>
            </w:tcBorders>
            <w:shd w:val="clear" w:color="FFFFFF" w:fill="FFFFFF"/>
            <w:noWrap/>
            <w:vAlign w:val="bottom"/>
            <w:hideMark/>
          </w:tcPr>
          <w:p w14:paraId="46F29899" w14:textId="77777777" w:rsidR="00520333" w:rsidRPr="003203A1" w:rsidRDefault="00520333" w:rsidP="005E5E0C">
            <w:pPr>
              <w:spacing w:after="0"/>
              <w:ind w:firstLineChars="100" w:firstLine="180"/>
              <w:rPr>
                <w:rFonts w:cs="Arial"/>
                <w:sz w:val="18"/>
                <w:szCs w:val="18"/>
              </w:rPr>
            </w:pPr>
            <w:r w:rsidRPr="003203A1">
              <w:rPr>
                <w:rFonts w:cs="Arial"/>
                <w:sz w:val="18"/>
                <w:szCs w:val="18"/>
              </w:rPr>
              <w:t>Information technology expenses</w:t>
            </w:r>
          </w:p>
        </w:tc>
        <w:tc>
          <w:tcPr>
            <w:tcW w:w="1260" w:type="dxa"/>
            <w:tcBorders>
              <w:top w:val="nil"/>
              <w:left w:val="nil"/>
              <w:bottom w:val="nil"/>
              <w:right w:val="nil"/>
            </w:tcBorders>
            <w:shd w:val="clear" w:color="FFFFFF" w:fill="FFFFFF"/>
            <w:noWrap/>
            <w:vAlign w:val="bottom"/>
            <w:hideMark/>
          </w:tcPr>
          <w:p w14:paraId="63D4FEBF" w14:textId="77777777" w:rsidR="00520333" w:rsidRPr="003203A1" w:rsidRDefault="00520333" w:rsidP="005E5E0C">
            <w:pPr>
              <w:spacing w:after="0"/>
              <w:jc w:val="right"/>
              <w:rPr>
                <w:rFonts w:cs="Arial"/>
                <w:b/>
                <w:bCs/>
                <w:sz w:val="18"/>
                <w:szCs w:val="18"/>
              </w:rPr>
            </w:pPr>
            <w:r w:rsidRPr="003203A1">
              <w:rPr>
                <w:rFonts w:cs="Arial"/>
                <w:b/>
                <w:bCs/>
                <w:sz w:val="18"/>
                <w:szCs w:val="18"/>
              </w:rPr>
              <w:t>76,518</w:t>
            </w:r>
          </w:p>
        </w:tc>
        <w:tc>
          <w:tcPr>
            <w:tcW w:w="236" w:type="dxa"/>
            <w:tcBorders>
              <w:top w:val="nil"/>
              <w:left w:val="nil"/>
              <w:bottom w:val="nil"/>
              <w:right w:val="nil"/>
            </w:tcBorders>
            <w:shd w:val="clear" w:color="FFFFFF" w:fill="FFFFFF"/>
            <w:noWrap/>
            <w:vAlign w:val="bottom"/>
            <w:hideMark/>
          </w:tcPr>
          <w:p w14:paraId="7D3DC511"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45BE1BA8" w14:textId="77777777" w:rsidR="00520333" w:rsidRPr="003203A1" w:rsidRDefault="00520333" w:rsidP="005E5E0C">
            <w:pPr>
              <w:spacing w:after="0"/>
              <w:jc w:val="right"/>
              <w:rPr>
                <w:rFonts w:cs="Arial"/>
                <w:sz w:val="18"/>
                <w:szCs w:val="18"/>
              </w:rPr>
            </w:pPr>
            <w:r w:rsidRPr="003203A1">
              <w:rPr>
                <w:rFonts w:cs="Arial"/>
                <w:sz w:val="18"/>
                <w:szCs w:val="18"/>
              </w:rPr>
              <w:t>58,240</w:t>
            </w:r>
          </w:p>
        </w:tc>
      </w:tr>
      <w:tr w:rsidR="00520333" w:rsidRPr="003203A1" w14:paraId="73CA732A" w14:textId="77777777" w:rsidTr="005E5E0C">
        <w:trPr>
          <w:trHeight w:val="270"/>
        </w:trPr>
        <w:tc>
          <w:tcPr>
            <w:tcW w:w="6366" w:type="dxa"/>
            <w:tcBorders>
              <w:top w:val="nil"/>
              <w:left w:val="nil"/>
              <w:bottom w:val="nil"/>
              <w:right w:val="nil"/>
            </w:tcBorders>
            <w:shd w:val="clear" w:color="FFFFFF" w:fill="FFFFFF"/>
            <w:noWrap/>
            <w:vAlign w:val="bottom"/>
            <w:hideMark/>
          </w:tcPr>
          <w:p w14:paraId="5BD5B78C" w14:textId="77777777" w:rsidR="00520333" w:rsidRPr="003203A1" w:rsidRDefault="00520333" w:rsidP="005E5E0C">
            <w:pPr>
              <w:spacing w:after="0"/>
              <w:ind w:firstLineChars="100" w:firstLine="180"/>
              <w:rPr>
                <w:rFonts w:cs="Arial"/>
                <w:sz w:val="18"/>
                <w:szCs w:val="18"/>
              </w:rPr>
            </w:pPr>
            <w:r w:rsidRPr="003203A1">
              <w:rPr>
                <w:rFonts w:cs="Arial"/>
                <w:sz w:val="18"/>
                <w:szCs w:val="18"/>
              </w:rPr>
              <w:t>Shared Services</w:t>
            </w:r>
            <w:r w:rsidRPr="003203A1">
              <w:rPr>
                <w:rFonts w:cs="Arial"/>
                <w:sz w:val="18"/>
                <w:szCs w:val="18"/>
                <w:vertAlign w:val="superscript"/>
              </w:rPr>
              <w:t>2</w:t>
            </w:r>
          </w:p>
        </w:tc>
        <w:tc>
          <w:tcPr>
            <w:tcW w:w="1260" w:type="dxa"/>
            <w:tcBorders>
              <w:top w:val="nil"/>
              <w:left w:val="nil"/>
              <w:bottom w:val="nil"/>
              <w:right w:val="nil"/>
            </w:tcBorders>
            <w:shd w:val="clear" w:color="FFFFFF" w:fill="FFFFFF"/>
            <w:noWrap/>
            <w:vAlign w:val="bottom"/>
            <w:hideMark/>
          </w:tcPr>
          <w:p w14:paraId="30EF61D5" w14:textId="77777777" w:rsidR="00520333" w:rsidRPr="003203A1" w:rsidRDefault="00520333" w:rsidP="005E5E0C">
            <w:pPr>
              <w:spacing w:after="0"/>
              <w:jc w:val="right"/>
              <w:rPr>
                <w:rFonts w:cs="Arial"/>
                <w:b/>
                <w:bCs/>
                <w:sz w:val="18"/>
                <w:szCs w:val="18"/>
              </w:rPr>
            </w:pPr>
            <w:r w:rsidRPr="003203A1">
              <w:rPr>
                <w:rFonts w:cs="Arial"/>
                <w:b/>
                <w:bCs/>
                <w:sz w:val="18"/>
                <w:szCs w:val="18"/>
              </w:rPr>
              <w:t>35,006</w:t>
            </w:r>
          </w:p>
        </w:tc>
        <w:tc>
          <w:tcPr>
            <w:tcW w:w="236" w:type="dxa"/>
            <w:tcBorders>
              <w:top w:val="nil"/>
              <w:left w:val="nil"/>
              <w:bottom w:val="nil"/>
              <w:right w:val="nil"/>
            </w:tcBorders>
            <w:shd w:val="clear" w:color="FFFFFF" w:fill="FFFFFF"/>
            <w:noWrap/>
            <w:vAlign w:val="bottom"/>
            <w:hideMark/>
          </w:tcPr>
          <w:p w14:paraId="6A88F866"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23AE60F6" w14:textId="77777777" w:rsidR="00520333" w:rsidRPr="003203A1" w:rsidRDefault="00520333" w:rsidP="005E5E0C">
            <w:pPr>
              <w:spacing w:after="0"/>
              <w:jc w:val="right"/>
              <w:rPr>
                <w:rFonts w:cs="Arial"/>
                <w:sz w:val="18"/>
                <w:szCs w:val="18"/>
              </w:rPr>
            </w:pPr>
            <w:r w:rsidRPr="003203A1">
              <w:rPr>
                <w:rFonts w:cs="Arial"/>
                <w:sz w:val="18"/>
                <w:szCs w:val="18"/>
              </w:rPr>
              <w:t>45,903</w:t>
            </w:r>
          </w:p>
        </w:tc>
      </w:tr>
      <w:tr w:rsidR="00520333" w:rsidRPr="003203A1" w14:paraId="0D237747" w14:textId="77777777" w:rsidTr="005E5E0C">
        <w:trPr>
          <w:trHeight w:val="250"/>
        </w:trPr>
        <w:tc>
          <w:tcPr>
            <w:tcW w:w="6366" w:type="dxa"/>
            <w:tcBorders>
              <w:top w:val="nil"/>
              <w:left w:val="nil"/>
              <w:bottom w:val="nil"/>
              <w:right w:val="nil"/>
            </w:tcBorders>
            <w:shd w:val="clear" w:color="FFFFFF" w:fill="FFFFFF"/>
            <w:noWrap/>
            <w:vAlign w:val="bottom"/>
            <w:hideMark/>
          </w:tcPr>
          <w:p w14:paraId="38B0FC22" w14:textId="77777777" w:rsidR="00520333" w:rsidRPr="003203A1" w:rsidRDefault="00520333" w:rsidP="005E5E0C">
            <w:pPr>
              <w:spacing w:after="0"/>
              <w:ind w:firstLineChars="100" w:firstLine="180"/>
              <w:rPr>
                <w:rFonts w:cs="Arial"/>
                <w:sz w:val="18"/>
                <w:szCs w:val="18"/>
              </w:rPr>
            </w:pPr>
            <w:r w:rsidRPr="003203A1">
              <w:rPr>
                <w:rFonts w:cs="Arial"/>
                <w:sz w:val="18"/>
                <w:szCs w:val="18"/>
              </w:rPr>
              <w:t>Community connector management fees</w:t>
            </w:r>
          </w:p>
        </w:tc>
        <w:tc>
          <w:tcPr>
            <w:tcW w:w="1260" w:type="dxa"/>
            <w:tcBorders>
              <w:top w:val="nil"/>
              <w:left w:val="nil"/>
              <w:bottom w:val="nil"/>
              <w:right w:val="nil"/>
            </w:tcBorders>
            <w:shd w:val="clear" w:color="FFFFFF" w:fill="FFFFFF"/>
            <w:noWrap/>
            <w:vAlign w:val="bottom"/>
            <w:hideMark/>
          </w:tcPr>
          <w:p w14:paraId="78C57126" w14:textId="77777777" w:rsidR="00520333" w:rsidRPr="003203A1" w:rsidRDefault="00520333" w:rsidP="005E5E0C">
            <w:pPr>
              <w:spacing w:after="0"/>
              <w:jc w:val="right"/>
              <w:rPr>
                <w:rFonts w:cs="Arial"/>
                <w:b/>
                <w:bCs/>
                <w:sz w:val="18"/>
                <w:szCs w:val="18"/>
              </w:rPr>
            </w:pPr>
            <w:r w:rsidRPr="003203A1">
              <w:rPr>
                <w:rFonts w:cs="Arial"/>
                <w:b/>
                <w:bCs/>
                <w:sz w:val="18"/>
                <w:szCs w:val="18"/>
              </w:rPr>
              <w:t>21,098</w:t>
            </w:r>
          </w:p>
        </w:tc>
        <w:tc>
          <w:tcPr>
            <w:tcW w:w="236" w:type="dxa"/>
            <w:tcBorders>
              <w:top w:val="nil"/>
              <w:left w:val="nil"/>
              <w:bottom w:val="nil"/>
              <w:right w:val="nil"/>
            </w:tcBorders>
            <w:shd w:val="clear" w:color="FFFFFF" w:fill="FFFFFF"/>
            <w:noWrap/>
            <w:vAlign w:val="bottom"/>
            <w:hideMark/>
          </w:tcPr>
          <w:p w14:paraId="4992C5FA"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1EC1D560" w14:textId="77777777" w:rsidR="00520333" w:rsidRPr="003203A1" w:rsidRDefault="00520333" w:rsidP="005E5E0C">
            <w:pPr>
              <w:spacing w:after="0"/>
              <w:jc w:val="right"/>
              <w:rPr>
                <w:rFonts w:cs="Arial"/>
                <w:sz w:val="18"/>
                <w:szCs w:val="18"/>
              </w:rPr>
            </w:pPr>
            <w:r w:rsidRPr="003203A1">
              <w:rPr>
                <w:rFonts w:cs="Arial"/>
                <w:sz w:val="18"/>
                <w:szCs w:val="18"/>
              </w:rPr>
              <w:t>20,153</w:t>
            </w:r>
          </w:p>
        </w:tc>
      </w:tr>
      <w:tr w:rsidR="00520333" w:rsidRPr="003203A1" w14:paraId="439D486B" w14:textId="77777777" w:rsidTr="005E5E0C">
        <w:trPr>
          <w:trHeight w:val="250"/>
        </w:trPr>
        <w:tc>
          <w:tcPr>
            <w:tcW w:w="6366" w:type="dxa"/>
            <w:tcBorders>
              <w:top w:val="nil"/>
              <w:left w:val="nil"/>
              <w:bottom w:val="nil"/>
              <w:right w:val="nil"/>
            </w:tcBorders>
            <w:shd w:val="clear" w:color="FFFFFF" w:fill="FFFFFF"/>
            <w:noWrap/>
            <w:vAlign w:val="bottom"/>
            <w:hideMark/>
          </w:tcPr>
          <w:p w14:paraId="24A3A980" w14:textId="77777777" w:rsidR="00520333" w:rsidRPr="003203A1" w:rsidRDefault="00520333" w:rsidP="005E5E0C">
            <w:pPr>
              <w:spacing w:after="0"/>
              <w:ind w:firstLineChars="100" w:firstLine="180"/>
              <w:rPr>
                <w:rFonts w:cs="Arial"/>
                <w:sz w:val="18"/>
                <w:szCs w:val="18"/>
              </w:rPr>
            </w:pPr>
            <w:r w:rsidRPr="003203A1">
              <w:rPr>
                <w:rFonts w:cs="Arial"/>
                <w:sz w:val="18"/>
                <w:szCs w:val="18"/>
              </w:rPr>
              <w:t>Property operating expenses</w:t>
            </w:r>
          </w:p>
        </w:tc>
        <w:tc>
          <w:tcPr>
            <w:tcW w:w="1260" w:type="dxa"/>
            <w:tcBorders>
              <w:top w:val="nil"/>
              <w:left w:val="nil"/>
              <w:bottom w:val="nil"/>
              <w:right w:val="nil"/>
            </w:tcBorders>
            <w:shd w:val="clear" w:color="FFFFFF" w:fill="FFFFFF"/>
            <w:noWrap/>
            <w:vAlign w:val="bottom"/>
            <w:hideMark/>
          </w:tcPr>
          <w:p w14:paraId="35AA4AA6" w14:textId="77777777" w:rsidR="00520333" w:rsidRPr="003203A1" w:rsidRDefault="00520333" w:rsidP="005E5E0C">
            <w:pPr>
              <w:spacing w:after="0"/>
              <w:jc w:val="right"/>
              <w:rPr>
                <w:rFonts w:cs="Arial"/>
                <w:b/>
                <w:bCs/>
                <w:sz w:val="18"/>
                <w:szCs w:val="18"/>
              </w:rPr>
            </w:pPr>
            <w:r w:rsidRPr="003203A1">
              <w:rPr>
                <w:rFonts w:cs="Arial"/>
                <w:b/>
                <w:bCs/>
                <w:sz w:val="18"/>
                <w:szCs w:val="18"/>
              </w:rPr>
              <w:t>11,183</w:t>
            </w:r>
          </w:p>
        </w:tc>
        <w:tc>
          <w:tcPr>
            <w:tcW w:w="236" w:type="dxa"/>
            <w:tcBorders>
              <w:top w:val="nil"/>
              <w:left w:val="nil"/>
              <w:bottom w:val="nil"/>
              <w:right w:val="nil"/>
            </w:tcBorders>
            <w:shd w:val="clear" w:color="FFFFFF" w:fill="FFFFFF"/>
            <w:noWrap/>
            <w:vAlign w:val="bottom"/>
            <w:hideMark/>
          </w:tcPr>
          <w:p w14:paraId="60FE9027"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20ED1DCF" w14:textId="77777777" w:rsidR="00520333" w:rsidRPr="003203A1" w:rsidRDefault="00520333" w:rsidP="005E5E0C">
            <w:pPr>
              <w:spacing w:after="0"/>
              <w:jc w:val="right"/>
              <w:rPr>
                <w:rFonts w:cs="Arial"/>
                <w:sz w:val="18"/>
                <w:szCs w:val="18"/>
              </w:rPr>
            </w:pPr>
            <w:r w:rsidRPr="003203A1">
              <w:rPr>
                <w:rFonts w:cs="Arial"/>
                <w:sz w:val="18"/>
                <w:szCs w:val="18"/>
              </w:rPr>
              <w:t>9,706</w:t>
            </w:r>
          </w:p>
        </w:tc>
      </w:tr>
      <w:tr w:rsidR="00520333" w:rsidRPr="003203A1" w14:paraId="76B653BE" w14:textId="77777777" w:rsidTr="005E5E0C">
        <w:trPr>
          <w:trHeight w:val="250"/>
        </w:trPr>
        <w:tc>
          <w:tcPr>
            <w:tcW w:w="6366" w:type="dxa"/>
            <w:tcBorders>
              <w:top w:val="nil"/>
              <w:left w:val="nil"/>
              <w:bottom w:val="nil"/>
              <w:right w:val="nil"/>
            </w:tcBorders>
            <w:shd w:val="clear" w:color="FFFFFF" w:fill="FFFFFF"/>
            <w:noWrap/>
            <w:vAlign w:val="bottom"/>
            <w:hideMark/>
          </w:tcPr>
          <w:p w14:paraId="03F00FE2" w14:textId="77777777" w:rsidR="00520333" w:rsidRPr="003203A1" w:rsidRDefault="00520333" w:rsidP="005E5E0C">
            <w:pPr>
              <w:spacing w:after="0"/>
              <w:ind w:firstLineChars="100" w:firstLine="180"/>
              <w:rPr>
                <w:rFonts w:cs="Arial"/>
                <w:sz w:val="18"/>
                <w:szCs w:val="18"/>
              </w:rPr>
            </w:pPr>
            <w:r w:rsidRPr="003203A1">
              <w:rPr>
                <w:rFonts w:cs="Arial"/>
                <w:sz w:val="18"/>
                <w:szCs w:val="18"/>
              </w:rPr>
              <w:t xml:space="preserve">Other </w:t>
            </w:r>
          </w:p>
        </w:tc>
        <w:tc>
          <w:tcPr>
            <w:tcW w:w="1260" w:type="dxa"/>
            <w:tcBorders>
              <w:top w:val="nil"/>
              <w:left w:val="nil"/>
              <w:bottom w:val="nil"/>
              <w:right w:val="nil"/>
            </w:tcBorders>
            <w:shd w:val="clear" w:color="FFFFFF" w:fill="FFFFFF"/>
            <w:noWrap/>
            <w:vAlign w:val="bottom"/>
            <w:hideMark/>
          </w:tcPr>
          <w:p w14:paraId="2B9E10DE" w14:textId="77777777" w:rsidR="00520333" w:rsidRPr="003203A1" w:rsidRDefault="00520333" w:rsidP="005E5E0C">
            <w:pPr>
              <w:spacing w:after="0"/>
              <w:jc w:val="right"/>
              <w:rPr>
                <w:rFonts w:cs="Arial"/>
                <w:b/>
                <w:bCs/>
                <w:sz w:val="18"/>
                <w:szCs w:val="18"/>
              </w:rPr>
            </w:pPr>
            <w:r w:rsidRPr="003203A1">
              <w:rPr>
                <w:rFonts w:cs="Arial"/>
                <w:b/>
                <w:bCs/>
                <w:sz w:val="18"/>
                <w:szCs w:val="18"/>
              </w:rPr>
              <w:t>20,496</w:t>
            </w:r>
          </w:p>
        </w:tc>
        <w:tc>
          <w:tcPr>
            <w:tcW w:w="236" w:type="dxa"/>
            <w:tcBorders>
              <w:top w:val="nil"/>
              <w:left w:val="nil"/>
              <w:bottom w:val="nil"/>
              <w:right w:val="nil"/>
            </w:tcBorders>
            <w:shd w:val="clear" w:color="FFFFFF" w:fill="FFFFFF"/>
            <w:noWrap/>
            <w:vAlign w:val="bottom"/>
            <w:hideMark/>
          </w:tcPr>
          <w:p w14:paraId="69F9DE3A"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31CF3F26" w14:textId="77777777" w:rsidR="00520333" w:rsidRPr="003203A1" w:rsidRDefault="00520333" w:rsidP="005E5E0C">
            <w:pPr>
              <w:spacing w:after="0"/>
              <w:jc w:val="right"/>
              <w:rPr>
                <w:rFonts w:cs="Arial"/>
                <w:sz w:val="18"/>
                <w:szCs w:val="18"/>
              </w:rPr>
            </w:pPr>
            <w:r w:rsidRPr="003203A1">
              <w:rPr>
                <w:rFonts w:cs="Arial"/>
                <w:sz w:val="18"/>
                <w:szCs w:val="18"/>
              </w:rPr>
              <w:t>9,293</w:t>
            </w:r>
          </w:p>
        </w:tc>
      </w:tr>
      <w:tr w:rsidR="00520333" w:rsidRPr="003203A1" w14:paraId="528C0CA0" w14:textId="77777777" w:rsidTr="005E5E0C">
        <w:trPr>
          <w:trHeight w:val="250"/>
        </w:trPr>
        <w:tc>
          <w:tcPr>
            <w:tcW w:w="6366" w:type="dxa"/>
            <w:tcBorders>
              <w:top w:val="nil"/>
              <w:left w:val="nil"/>
              <w:bottom w:val="nil"/>
              <w:right w:val="nil"/>
            </w:tcBorders>
            <w:shd w:val="clear" w:color="FFFFFF" w:fill="FFFFFF"/>
            <w:noWrap/>
            <w:vAlign w:val="bottom"/>
            <w:hideMark/>
          </w:tcPr>
          <w:p w14:paraId="4BB7900A" w14:textId="77777777" w:rsidR="00520333" w:rsidRPr="003203A1" w:rsidRDefault="00520333" w:rsidP="005E5E0C">
            <w:pPr>
              <w:spacing w:after="0"/>
              <w:ind w:firstLineChars="100" w:firstLine="180"/>
              <w:rPr>
                <w:rFonts w:cs="Arial"/>
                <w:sz w:val="18"/>
                <w:szCs w:val="18"/>
              </w:rPr>
            </w:pPr>
            <w:r w:rsidRPr="003203A1">
              <w:rPr>
                <w:rFonts w:cs="Arial"/>
                <w:sz w:val="18"/>
                <w:szCs w:val="18"/>
              </w:rPr>
              <w:t>Travel</w:t>
            </w:r>
          </w:p>
        </w:tc>
        <w:tc>
          <w:tcPr>
            <w:tcW w:w="1260" w:type="dxa"/>
            <w:tcBorders>
              <w:top w:val="nil"/>
              <w:left w:val="nil"/>
              <w:bottom w:val="nil"/>
              <w:right w:val="nil"/>
            </w:tcBorders>
            <w:shd w:val="clear" w:color="FFFFFF" w:fill="FFFFFF"/>
            <w:noWrap/>
            <w:vAlign w:val="bottom"/>
            <w:hideMark/>
          </w:tcPr>
          <w:p w14:paraId="5C1DBEC0" w14:textId="77777777" w:rsidR="00520333" w:rsidRPr="003203A1" w:rsidRDefault="00520333" w:rsidP="005E5E0C">
            <w:pPr>
              <w:spacing w:after="0"/>
              <w:jc w:val="right"/>
              <w:rPr>
                <w:rFonts w:cs="Arial"/>
                <w:b/>
                <w:bCs/>
                <w:sz w:val="18"/>
                <w:szCs w:val="18"/>
              </w:rPr>
            </w:pPr>
            <w:r w:rsidRPr="003203A1">
              <w:rPr>
                <w:rFonts w:cs="Arial"/>
                <w:b/>
                <w:bCs/>
                <w:sz w:val="18"/>
                <w:szCs w:val="18"/>
              </w:rPr>
              <w:t>5,201</w:t>
            </w:r>
          </w:p>
        </w:tc>
        <w:tc>
          <w:tcPr>
            <w:tcW w:w="236" w:type="dxa"/>
            <w:tcBorders>
              <w:top w:val="nil"/>
              <w:left w:val="nil"/>
              <w:bottom w:val="nil"/>
              <w:right w:val="nil"/>
            </w:tcBorders>
            <w:shd w:val="clear" w:color="FFFFFF" w:fill="FFFFFF"/>
            <w:noWrap/>
            <w:vAlign w:val="bottom"/>
            <w:hideMark/>
          </w:tcPr>
          <w:p w14:paraId="7C2BB3E6"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33A16AD4" w14:textId="77777777" w:rsidR="00520333" w:rsidRPr="003203A1" w:rsidRDefault="00520333" w:rsidP="005E5E0C">
            <w:pPr>
              <w:spacing w:after="0"/>
              <w:jc w:val="right"/>
              <w:rPr>
                <w:rFonts w:cs="Arial"/>
                <w:sz w:val="18"/>
                <w:szCs w:val="18"/>
              </w:rPr>
            </w:pPr>
            <w:r w:rsidRPr="003203A1">
              <w:rPr>
                <w:rFonts w:cs="Arial"/>
                <w:sz w:val="18"/>
                <w:szCs w:val="18"/>
              </w:rPr>
              <w:t>5,981</w:t>
            </w:r>
          </w:p>
        </w:tc>
      </w:tr>
      <w:tr w:rsidR="00520333" w:rsidRPr="003203A1" w14:paraId="4536A303" w14:textId="77777777" w:rsidTr="005E5E0C">
        <w:trPr>
          <w:trHeight w:val="250"/>
        </w:trPr>
        <w:tc>
          <w:tcPr>
            <w:tcW w:w="6366" w:type="dxa"/>
            <w:tcBorders>
              <w:top w:val="nil"/>
              <w:left w:val="nil"/>
              <w:bottom w:val="nil"/>
              <w:right w:val="nil"/>
            </w:tcBorders>
            <w:shd w:val="clear" w:color="FFFFFF" w:fill="FFFFFF"/>
            <w:noWrap/>
            <w:vAlign w:val="bottom"/>
            <w:hideMark/>
          </w:tcPr>
          <w:p w14:paraId="61CD2626" w14:textId="77777777" w:rsidR="00520333" w:rsidRPr="003203A1" w:rsidRDefault="00520333" w:rsidP="005E5E0C">
            <w:pPr>
              <w:spacing w:after="0"/>
              <w:ind w:firstLineChars="100" w:firstLine="180"/>
              <w:rPr>
                <w:rFonts w:cs="Arial"/>
                <w:sz w:val="18"/>
                <w:szCs w:val="18"/>
              </w:rPr>
            </w:pPr>
            <w:r w:rsidRPr="003203A1">
              <w:rPr>
                <w:rFonts w:cs="Arial"/>
                <w:sz w:val="18"/>
                <w:szCs w:val="18"/>
              </w:rPr>
              <w:t>Comcover</w:t>
            </w:r>
          </w:p>
        </w:tc>
        <w:tc>
          <w:tcPr>
            <w:tcW w:w="1260" w:type="dxa"/>
            <w:tcBorders>
              <w:top w:val="nil"/>
              <w:left w:val="nil"/>
              <w:bottom w:val="nil"/>
              <w:right w:val="nil"/>
            </w:tcBorders>
            <w:shd w:val="clear" w:color="FFFFFF" w:fill="FFFFFF"/>
            <w:noWrap/>
            <w:vAlign w:val="bottom"/>
            <w:hideMark/>
          </w:tcPr>
          <w:p w14:paraId="163D5959" w14:textId="77777777" w:rsidR="00520333" w:rsidRPr="003203A1" w:rsidRDefault="00520333" w:rsidP="005E5E0C">
            <w:pPr>
              <w:spacing w:after="0"/>
              <w:jc w:val="right"/>
              <w:rPr>
                <w:rFonts w:cs="Arial"/>
                <w:b/>
                <w:bCs/>
                <w:sz w:val="18"/>
                <w:szCs w:val="18"/>
              </w:rPr>
            </w:pPr>
            <w:r w:rsidRPr="003203A1">
              <w:rPr>
                <w:rFonts w:cs="Arial"/>
                <w:b/>
                <w:bCs/>
                <w:sz w:val="18"/>
                <w:szCs w:val="18"/>
              </w:rPr>
              <w:t>6,296</w:t>
            </w:r>
          </w:p>
        </w:tc>
        <w:tc>
          <w:tcPr>
            <w:tcW w:w="236" w:type="dxa"/>
            <w:tcBorders>
              <w:top w:val="nil"/>
              <w:left w:val="nil"/>
              <w:bottom w:val="nil"/>
              <w:right w:val="nil"/>
            </w:tcBorders>
            <w:shd w:val="clear" w:color="FFFFFF" w:fill="FFFFFF"/>
            <w:noWrap/>
            <w:vAlign w:val="bottom"/>
            <w:hideMark/>
          </w:tcPr>
          <w:p w14:paraId="4A996121"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793018DC" w14:textId="77777777" w:rsidR="00520333" w:rsidRPr="003203A1" w:rsidRDefault="00520333" w:rsidP="005E5E0C">
            <w:pPr>
              <w:spacing w:after="0"/>
              <w:jc w:val="right"/>
              <w:rPr>
                <w:rFonts w:cs="Arial"/>
                <w:sz w:val="18"/>
                <w:szCs w:val="18"/>
              </w:rPr>
            </w:pPr>
            <w:r w:rsidRPr="003203A1">
              <w:rPr>
                <w:rFonts w:cs="Arial"/>
                <w:sz w:val="18"/>
                <w:szCs w:val="18"/>
              </w:rPr>
              <w:t>5,936</w:t>
            </w:r>
          </w:p>
        </w:tc>
      </w:tr>
      <w:tr w:rsidR="00520333" w:rsidRPr="003203A1" w14:paraId="722CC600" w14:textId="77777777" w:rsidTr="005E5E0C">
        <w:trPr>
          <w:trHeight w:val="250"/>
        </w:trPr>
        <w:tc>
          <w:tcPr>
            <w:tcW w:w="6366" w:type="dxa"/>
            <w:tcBorders>
              <w:top w:val="nil"/>
              <w:left w:val="nil"/>
              <w:bottom w:val="nil"/>
              <w:right w:val="nil"/>
            </w:tcBorders>
            <w:shd w:val="clear" w:color="FFFFFF" w:fill="FFFFFF"/>
            <w:noWrap/>
            <w:vAlign w:val="bottom"/>
            <w:hideMark/>
          </w:tcPr>
          <w:p w14:paraId="5C1883ED" w14:textId="77777777" w:rsidR="00520333" w:rsidRPr="003203A1" w:rsidRDefault="00520333" w:rsidP="005E5E0C">
            <w:pPr>
              <w:spacing w:after="0"/>
              <w:ind w:firstLineChars="100" w:firstLine="180"/>
              <w:rPr>
                <w:rFonts w:cs="Arial"/>
                <w:sz w:val="18"/>
                <w:szCs w:val="18"/>
              </w:rPr>
            </w:pPr>
            <w:r w:rsidRPr="003203A1">
              <w:rPr>
                <w:rFonts w:cs="Arial"/>
                <w:sz w:val="18"/>
                <w:szCs w:val="18"/>
              </w:rPr>
              <w:t>Staff welfare and training</w:t>
            </w:r>
          </w:p>
        </w:tc>
        <w:tc>
          <w:tcPr>
            <w:tcW w:w="1260" w:type="dxa"/>
            <w:tcBorders>
              <w:top w:val="nil"/>
              <w:left w:val="nil"/>
              <w:bottom w:val="nil"/>
              <w:right w:val="nil"/>
            </w:tcBorders>
            <w:shd w:val="clear" w:color="FFFFFF" w:fill="FFFFFF"/>
            <w:noWrap/>
            <w:vAlign w:val="bottom"/>
            <w:hideMark/>
          </w:tcPr>
          <w:p w14:paraId="338A1322" w14:textId="77777777" w:rsidR="00520333" w:rsidRPr="003203A1" w:rsidRDefault="00520333" w:rsidP="005E5E0C">
            <w:pPr>
              <w:spacing w:after="0"/>
              <w:jc w:val="right"/>
              <w:rPr>
                <w:rFonts w:cs="Arial"/>
                <w:b/>
                <w:bCs/>
                <w:sz w:val="18"/>
                <w:szCs w:val="18"/>
              </w:rPr>
            </w:pPr>
            <w:r w:rsidRPr="003203A1">
              <w:rPr>
                <w:rFonts w:cs="Arial"/>
                <w:b/>
                <w:bCs/>
                <w:sz w:val="18"/>
                <w:szCs w:val="18"/>
              </w:rPr>
              <w:t>7,067</w:t>
            </w:r>
          </w:p>
        </w:tc>
        <w:tc>
          <w:tcPr>
            <w:tcW w:w="236" w:type="dxa"/>
            <w:tcBorders>
              <w:top w:val="nil"/>
              <w:left w:val="nil"/>
              <w:bottom w:val="nil"/>
              <w:right w:val="nil"/>
            </w:tcBorders>
            <w:shd w:val="clear" w:color="FFFFFF" w:fill="FFFFFF"/>
            <w:noWrap/>
            <w:vAlign w:val="bottom"/>
            <w:hideMark/>
          </w:tcPr>
          <w:p w14:paraId="530CD8BD"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2EE3BF40" w14:textId="77777777" w:rsidR="00520333" w:rsidRPr="003203A1" w:rsidRDefault="00520333" w:rsidP="005E5E0C">
            <w:pPr>
              <w:spacing w:after="0"/>
              <w:jc w:val="right"/>
              <w:rPr>
                <w:rFonts w:cs="Arial"/>
                <w:sz w:val="18"/>
                <w:szCs w:val="18"/>
              </w:rPr>
            </w:pPr>
            <w:r w:rsidRPr="003203A1">
              <w:rPr>
                <w:rFonts w:cs="Arial"/>
                <w:sz w:val="18"/>
                <w:szCs w:val="18"/>
              </w:rPr>
              <w:t>5,392</w:t>
            </w:r>
          </w:p>
        </w:tc>
      </w:tr>
      <w:tr w:rsidR="00520333" w:rsidRPr="003203A1" w14:paraId="56BEB04B" w14:textId="77777777" w:rsidTr="005E5E0C">
        <w:trPr>
          <w:trHeight w:val="250"/>
        </w:trPr>
        <w:tc>
          <w:tcPr>
            <w:tcW w:w="6366" w:type="dxa"/>
            <w:tcBorders>
              <w:top w:val="nil"/>
              <w:left w:val="nil"/>
              <w:bottom w:val="nil"/>
              <w:right w:val="nil"/>
            </w:tcBorders>
            <w:shd w:val="clear" w:color="FFFFFF" w:fill="FFFFFF"/>
            <w:noWrap/>
            <w:vAlign w:val="bottom"/>
            <w:hideMark/>
          </w:tcPr>
          <w:p w14:paraId="3AB4E057" w14:textId="77777777" w:rsidR="00520333" w:rsidRPr="003203A1" w:rsidRDefault="00520333" w:rsidP="005E5E0C">
            <w:pPr>
              <w:spacing w:after="0"/>
              <w:ind w:firstLineChars="100" w:firstLine="180"/>
              <w:rPr>
                <w:rFonts w:cs="Arial"/>
                <w:sz w:val="18"/>
                <w:szCs w:val="18"/>
              </w:rPr>
            </w:pPr>
            <w:r w:rsidRPr="003203A1">
              <w:rPr>
                <w:rFonts w:cs="Arial"/>
                <w:sz w:val="18"/>
                <w:szCs w:val="18"/>
              </w:rPr>
              <w:t>Market research</w:t>
            </w:r>
          </w:p>
        </w:tc>
        <w:tc>
          <w:tcPr>
            <w:tcW w:w="1260" w:type="dxa"/>
            <w:tcBorders>
              <w:top w:val="nil"/>
              <w:left w:val="nil"/>
              <w:bottom w:val="nil"/>
              <w:right w:val="nil"/>
            </w:tcBorders>
            <w:shd w:val="clear" w:color="FFFFFF" w:fill="FFFFFF"/>
            <w:noWrap/>
            <w:vAlign w:val="bottom"/>
            <w:hideMark/>
          </w:tcPr>
          <w:p w14:paraId="480F4AA3" w14:textId="77777777" w:rsidR="00520333" w:rsidRPr="003203A1" w:rsidRDefault="00520333" w:rsidP="005E5E0C">
            <w:pPr>
              <w:spacing w:after="0"/>
              <w:jc w:val="right"/>
              <w:rPr>
                <w:rFonts w:cs="Arial"/>
                <w:b/>
                <w:bCs/>
                <w:sz w:val="18"/>
                <w:szCs w:val="18"/>
              </w:rPr>
            </w:pPr>
            <w:r w:rsidRPr="003203A1">
              <w:rPr>
                <w:rFonts w:cs="Arial"/>
                <w:b/>
                <w:bCs/>
                <w:sz w:val="18"/>
                <w:szCs w:val="18"/>
              </w:rPr>
              <w:t>3,724</w:t>
            </w:r>
          </w:p>
        </w:tc>
        <w:tc>
          <w:tcPr>
            <w:tcW w:w="236" w:type="dxa"/>
            <w:tcBorders>
              <w:top w:val="nil"/>
              <w:left w:val="nil"/>
              <w:bottom w:val="nil"/>
              <w:right w:val="nil"/>
            </w:tcBorders>
            <w:shd w:val="clear" w:color="FFFFFF" w:fill="FFFFFF"/>
            <w:noWrap/>
            <w:vAlign w:val="bottom"/>
            <w:hideMark/>
          </w:tcPr>
          <w:p w14:paraId="0DAF31AD"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151160E3" w14:textId="77777777" w:rsidR="00520333" w:rsidRPr="003203A1" w:rsidRDefault="00520333" w:rsidP="005E5E0C">
            <w:pPr>
              <w:spacing w:after="0"/>
              <w:jc w:val="right"/>
              <w:rPr>
                <w:rFonts w:cs="Arial"/>
                <w:sz w:val="18"/>
                <w:szCs w:val="18"/>
              </w:rPr>
            </w:pPr>
            <w:r w:rsidRPr="003203A1">
              <w:rPr>
                <w:rFonts w:cs="Arial"/>
                <w:sz w:val="18"/>
                <w:szCs w:val="18"/>
              </w:rPr>
              <w:t>3,815</w:t>
            </w:r>
          </w:p>
        </w:tc>
      </w:tr>
      <w:tr w:rsidR="00520333" w:rsidRPr="003203A1" w14:paraId="60915F7E" w14:textId="77777777" w:rsidTr="005E5E0C">
        <w:trPr>
          <w:trHeight w:val="250"/>
        </w:trPr>
        <w:tc>
          <w:tcPr>
            <w:tcW w:w="6366" w:type="dxa"/>
            <w:tcBorders>
              <w:top w:val="nil"/>
              <w:left w:val="nil"/>
              <w:bottom w:val="nil"/>
              <w:right w:val="nil"/>
            </w:tcBorders>
            <w:shd w:val="clear" w:color="FFFFFF" w:fill="FFFFFF"/>
            <w:noWrap/>
            <w:vAlign w:val="bottom"/>
            <w:hideMark/>
          </w:tcPr>
          <w:p w14:paraId="6C7E0030" w14:textId="77777777" w:rsidR="00520333" w:rsidRPr="003203A1" w:rsidRDefault="00520333" w:rsidP="005E5E0C">
            <w:pPr>
              <w:spacing w:after="0"/>
              <w:ind w:firstLineChars="100" w:firstLine="180"/>
              <w:rPr>
                <w:rFonts w:cs="Arial"/>
                <w:sz w:val="18"/>
                <w:szCs w:val="18"/>
              </w:rPr>
            </w:pPr>
            <w:r w:rsidRPr="003203A1">
              <w:rPr>
                <w:rFonts w:cs="Arial"/>
                <w:sz w:val="18"/>
                <w:szCs w:val="18"/>
              </w:rPr>
              <w:t>Staff recruitment and relocation</w:t>
            </w:r>
          </w:p>
        </w:tc>
        <w:tc>
          <w:tcPr>
            <w:tcW w:w="1260" w:type="dxa"/>
            <w:tcBorders>
              <w:top w:val="nil"/>
              <w:left w:val="nil"/>
              <w:bottom w:val="nil"/>
              <w:right w:val="nil"/>
            </w:tcBorders>
            <w:shd w:val="clear" w:color="FFFFFF" w:fill="FFFFFF"/>
            <w:noWrap/>
            <w:vAlign w:val="bottom"/>
            <w:hideMark/>
          </w:tcPr>
          <w:p w14:paraId="38DA3490" w14:textId="77777777" w:rsidR="00520333" w:rsidRPr="003203A1" w:rsidRDefault="00520333" w:rsidP="005E5E0C">
            <w:pPr>
              <w:spacing w:after="0"/>
              <w:jc w:val="right"/>
              <w:rPr>
                <w:rFonts w:cs="Arial"/>
                <w:b/>
                <w:bCs/>
                <w:sz w:val="18"/>
                <w:szCs w:val="18"/>
              </w:rPr>
            </w:pPr>
            <w:r w:rsidRPr="003203A1">
              <w:rPr>
                <w:rFonts w:cs="Arial"/>
                <w:b/>
                <w:bCs/>
                <w:sz w:val="18"/>
                <w:szCs w:val="18"/>
              </w:rPr>
              <w:t>3,959</w:t>
            </w:r>
          </w:p>
        </w:tc>
        <w:tc>
          <w:tcPr>
            <w:tcW w:w="236" w:type="dxa"/>
            <w:tcBorders>
              <w:top w:val="nil"/>
              <w:left w:val="nil"/>
              <w:bottom w:val="nil"/>
              <w:right w:val="nil"/>
            </w:tcBorders>
            <w:shd w:val="clear" w:color="FFFFFF" w:fill="FFFFFF"/>
            <w:noWrap/>
            <w:vAlign w:val="bottom"/>
            <w:hideMark/>
          </w:tcPr>
          <w:p w14:paraId="261F4D5C"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19E77C1F" w14:textId="77777777" w:rsidR="00520333" w:rsidRPr="003203A1" w:rsidRDefault="00520333" w:rsidP="005E5E0C">
            <w:pPr>
              <w:spacing w:after="0"/>
              <w:jc w:val="right"/>
              <w:rPr>
                <w:rFonts w:cs="Arial"/>
                <w:sz w:val="18"/>
                <w:szCs w:val="18"/>
              </w:rPr>
            </w:pPr>
            <w:r w:rsidRPr="003203A1">
              <w:rPr>
                <w:rFonts w:cs="Arial"/>
                <w:sz w:val="18"/>
                <w:szCs w:val="18"/>
              </w:rPr>
              <w:t>3,121</w:t>
            </w:r>
          </w:p>
        </w:tc>
      </w:tr>
      <w:tr w:rsidR="00520333" w:rsidRPr="003203A1" w14:paraId="3370B887" w14:textId="77777777" w:rsidTr="005E5E0C">
        <w:trPr>
          <w:trHeight w:val="250"/>
        </w:trPr>
        <w:tc>
          <w:tcPr>
            <w:tcW w:w="6366" w:type="dxa"/>
            <w:tcBorders>
              <w:top w:val="nil"/>
              <w:left w:val="nil"/>
              <w:bottom w:val="nil"/>
              <w:right w:val="nil"/>
            </w:tcBorders>
            <w:shd w:val="clear" w:color="FFFFFF" w:fill="FFFFFF"/>
            <w:noWrap/>
            <w:vAlign w:val="bottom"/>
            <w:hideMark/>
          </w:tcPr>
          <w:p w14:paraId="44094163" w14:textId="77777777" w:rsidR="00520333" w:rsidRPr="003203A1" w:rsidRDefault="00520333" w:rsidP="005E5E0C">
            <w:pPr>
              <w:spacing w:after="0"/>
              <w:ind w:firstLineChars="100" w:firstLine="180"/>
              <w:rPr>
                <w:rFonts w:cs="Arial"/>
                <w:sz w:val="18"/>
                <w:szCs w:val="18"/>
              </w:rPr>
            </w:pPr>
            <w:r w:rsidRPr="003203A1">
              <w:rPr>
                <w:rFonts w:cs="Arial"/>
                <w:sz w:val="18"/>
                <w:szCs w:val="18"/>
              </w:rPr>
              <w:t>Translator and interpreter services</w:t>
            </w:r>
          </w:p>
        </w:tc>
        <w:tc>
          <w:tcPr>
            <w:tcW w:w="1260" w:type="dxa"/>
            <w:tcBorders>
              <w:top w:val="nil"/>
              <w:left w:val="nil"/>
              <w:bottom w:val="nil"/>
              <w:right w:val="nil"/>
            </w:tcBorders>
            <w:shd w:val="clear" w:color="FFFFFF" w:fill="FFFFFF"/>
            <w:noWrap/>
            <w:vAlign w:val="bottom"/>
            <w:hideMark/>
          </w:tcPr>
          <w:p w14:paraId="321E39EC" w14:textId="77777777" w:rsidR="00520333" w:rsidRPr="003203A1" w:rsidRDefault="00520333" w:rsidP="005E5E0C">
            <w:pPr>
              <w:spacing w:after="0"/>
              <w:jc w:val="right"/>
              <w:rPr>
                <w:rFonts w:cs="Arial"/>
                <w:b/>
                <w:bCs/>
                <w:sz w:val="18"/>
                <w:szCs w:val="18"/>
              </w:rPr>
            </w:pPr>
            <w:r w:rsidRPr="003203A1">
              <w:rPr>
                <w:rFonts w:cs="Arial"/>
                <w:b/>
                <w:bCs/>
                <w:sz w:val="18"/>
                <w:szCs w:val="18"/>
              </w:rPr>
              <w:t>2,371</w:t>
            </w:r>
          </w:p>
        </w:tc>
        <w:tc>
          <w:tcPr>
            <w:tcW w:w="236" w:type="dxa"/>
            <w:tcBorders>
              <w:top w:val="nil"/>
              <w:left w:val="nil"/>
              <w:bottom w:val="nil"/>
              <w:right w:val="nil"/>
            </w:tcBorders>
            <w:shd w:val="clear" w:color="FFFFFF" w:fill="FFFFFF"/>
            <w:noWrap/>
            <w:vAlign w:val="bottom"/>
            <w:hideMark/>
          </w:tcPr>
          <w:p w14:paraId="4CA0ED19"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54B4B42B" w14:textId="77777777" w:rsidR="00520333" w:rsidRPr="003203A1" w:rsidRDefault="00520333" w:rsidP="005E5E0C">
            <w:pPr>
              <w:spacing w:after="0"/>
              <w:jc w:val="right"/>
              <w:rPr>
                <w:rFonts w:cs="Arial"/>
                <w:sz w:val="18"/>
                <w:szCs w:val="18"/>
              </w:rPr>
            </w:pPr>
            <w:r w:rsidRPr="003203A1">
              <w:rPr>
                <w:rFonts w:cs="Arial"/>
                <w:sz w:val="18"/>
                <w:szCs w:val="18"/>
              </w:rPr>
              <w:t>1,705</w:t>
            </w:r>
          </w:p>
        </w:tc>
      </w:tr>
      <w:tr w:rsidR="00520333" w:rsidRPr="003203A1" w14:paraId="2E12ACED" w14:textId="77777777" w:rsidTr="005E5E0C">
        <w:trPr>
          <w:trHeight w:val="250"/>
        </w:trPr>
        <w:tc>
          <w:tcPr>
            <w:tcW w:w="6366" w:type="dxa"/>
            <w:tcBorders>
              <w:top w:val="nil"/>
              <w:left w:val="nil"/>
              <w:bottom w:val="nil"/>
              <w:right w:val="nil"/>
            </w:tcBorders>
            <w:shd w:val="clear" w:color="FFFFFF" w:fill="FFFFFF"/>
            <w:noWrap/>
            <w:vAlign w:val="bottom"/>
            <w:hideMark/>
          </w:tcPr>
          <w:p w14:paraId="0663E3E5" w14:textId="77777777" w:rsidR="00520333" w:rsidRPr="003203A1" w:rsidRDefault="00520333" w:rsidP="005E5E0C">
            <w:pPr>
              <w:spacing w:after="0"/>
              <w:ind w:firstLineChars="100" w:firstLine="180"/>
              <w:rPr>
                <w:rFonts w:cs="Arial"/>
                <w:sz w:val="18"/>
                <w:szCs w:val="18"/>
              </w:rPr>
            </w:pPr>
            <w:r w:rsidRPr="003203A1">
              <w:rPr>
                <w:rFonts w:cs="Arial"/>
                <w:sz w:val="18"/>
                <w:szCs w:val="18"/>
              </w:rPr>
              <w:t>Repairs and maintenance</w:t>
            </w:r>
          </w:p>
        </w:tc>
        <w:tc>
          <w:tcPr>
            <w:tcW w:w="1260" w:type="dxa"/>
            <w:tcBorders>
              <w:top w:val="nil"/>
              <w:left w:val="nil"/>
              <w:bottom w:val="nil"/>
              <w:right w:val="nil"/>
            </w:tcBorders>
            <w:shd w:val="clear" w:color="FFFFFF" w:fill="FFFFFF"/>
            <w:noWrap/>
            <w:vAlign w:val="bottom"/>
            <w:hideMark/>
          </w:tcPr>
          <w:p w14:paraId="412A7B4B" w14:textId="77777777" w:rsidR="00520333" w:rsidRPr="003203A1" w:rsidRDefault="00520333" w:rsidP="005E5E0C">
            <w:pPr>
              <w:spacing w:after="0"/>
              <w:jc w:val="right"/>
              <w:rPr>
                <w:rFonts w:cs="Arial"/>
                <w:b/>
                <w:bCs/>
                <w:sz w:val="18"/>
                <w:szCs w:val="18"/>
              </w:rPr>
            </w:pPr>
            <w:r w:rsidRPr="003203A1">
              <w:rPr>
                <w:rFonts w:cs="Arial"/>
                <w:b/>
                <w:bCs/>
                <w:sz w:val="18"/>
                <w:szCs w:val="18"/>
              </w:rPr>
              <w:t>732</w:t>
            </w:r>
          </w:p>
        </w:tc>
        <w:tc>
          <w:tcPr>
            <w:tcW w:w="236" w:type="dxa"/>
            <w:tcBorders>
              <w:top w:val="nil"/>
              <w:left w:val="nil"/>
              <w:bottom w:val="nil"/>
              <w:right w:val="nil"/>
            </w:tcBorders>
            <w:shd w:val="clear" w:color="FFFFFF" w:fill="FFFFFF"/>
            <w:noWrap/>
            <w:vAlign w:val="bottom"/>
            <w:hideMark/>
          </w:tcPr>
          <w:p w14:paraId="15C8C171"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51B1D3AE" w14:textId="77777777" w:rsidR="00520333" w:rsidRPr="003203A1" w:rsidRDefault="00520333" w:rsidP="005E5E0C">
            <w:pPr>
              <w:spacing w:after="0"/>
              <w:jc w:val="right"/>
              <w:rPr>
                <w:rFonts w:cs="Arial"/>
                <w:sz w:val="18"/>
                <w:szCs w:val="18"/>
              </w:rPr>
            </w:pPr>
            <w:r w:rsidRPr="003203A1">
              <w:rPr>
                <w:rFonts w:cs="Arial"/>
                <w:sz w:val="18"/>
                <w:szCs w:val="18"/>
              </w:rPr>
              <w:t>781</w:t>
            </w:r>
          </w:p>
        </w:tc>
      </w:tr>
      <w:tr w:rsidR="00520333" w:rsidRPr="003203A1" w14:paraId="7BBD55FA" w14:textId="77777777" w:rsidTr="005E5E0C">
        <w:trPr>
          <w:trHeight w:val="250"/>
        </w:trPr>
        <w:tc>
          <w:tcPr>
            <w:tcW w:w="6366" w:type="dxa"/>
            <w:tcBorders>
              <w:top w:val="nil"/>
              <w:left w:val="nil"/>
              <w:bottom w:val="nil"/>
              <w:right w:val="nil"/>
            </w:tcBorders>
            <w:shd w:val="clear" w:color="FFFFFF" w:fill="FFFFFF"/>
            <w:noWrap/>
            <w:vAlign w:val="bottom"/>
            <w:hideMark/>
          </w:tcPr>
          <w:p w14:paraId="1D80DD76" w14:textId="77777777" w:rsidR="00520333" w:rsidRPr="003203A1" w:rsidRDefault="00520333" w:rsidP="005E5E0C">
            <w:pPr>
              <w:spacing w:after="0"/>
              <w:ind w:firstLineChars="100" w:firstLine="180"/>
              <w:rPr>
                <w:rFonts w:cs="Arial"/>
                <w:sz w:val="18"/>
                <w:szCs w:val="18"/>
              </w:rPr>
            </w:pPr>
            <w:r w:rsidRPr="003203A1">
              <w:rPr>
                <w:rFonts w:cs="Arial"/>
                <w:sz w:val="18"/>
                <w:szCs w:val="18"/>
              </w:rPr>
              <w:t>Audit fees</w:t>
            </w:r>
          </w:p>
        </w:tc>
        <w:tc>
          <w:tcPr>
            <w:tcW w:w="1260" w:type="dxa"/>
            <w:tcBorders>
              <w:top w:val="nil"/>
              <w:left w:val="nil"/>
              <w:bottom w:val="nil"/>
              <w:right w:val="nil"/>
            </w:tcBorders>
            <w:shd w:val="clear" w:color="FFFFFF" w:fill="FFFFFF"/>
            <w:noWrap/>
            <w:vAlign w:val="bottom"/>
            <w:hideMark/>
          </w:tcPr>
          <w:p w14:paraId="73BCB7C7" w14:textId="77777777" w:rsidR="00520333" w:rsidRPr="003203A1" w:rsidRDefault="00520333" w:rsidP="005E5E0C">
            <w:pPr>
              <w:spacing w:after="0"/>
              <w:jc w:val="right"/>
              <w:rPr>
                <w:rFonts w:cs="Arial"/>
                <w:b/>
                <w:bCs/>
                <w:sz w:val="18"/>
                <w:szCs w:val="18"/>
              </w:rPr>
            </w:pPr>
            <w:r w:rsidRPr="003203A1">
              <w:rPr>
                <w:rFonts w:cs="Arial"/>
                <w:b/>
                <w:bCs/>
                <w:sz w:val="18"/>
                <w:szCs w:val="18"/>
              </w:rPr>
              <w:t>762</w:t>
            </w:r>
          </w:p>
        </w:tc>
        <w:tc>
          <w:tcPr>
            <w:tcW w:w="236" w:type="dxa"/>
            <w:tcBorders>
              <w:top w:val="nil"/>
              <w:left w:val="nil"/>
              <w:bottom w:val="nil"/>
              <w:right w:val="nil"/>
            </w:tcBorders>
            <w:shd w:val="clear" w:color="FFFFFF" w:fill="FFFFFF"/>
            <w:noWrap/>
            <w:vAlign w:val="bottom"/>
            <w:hideMark/>
          </w:tcPr>
          <w:p w14:paraId="29E34B2D"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0FC7B6D2" w14:textId="77777777" w:rsidR="00520333" w:rsidRPr="003203A1" w:rsidRDefault="00520333" w:rsidP="005E5E0C">
            <w:pPr>
              <w:spacing w:after="0"/>
              <w:jc w:val="right"/>
              <w:rPr>
                <w:rFonts w:cs="Arial"/>
                <w:sz w:val="18"/>
                <w:szCs w:val="18"/>
              </w:rPr>
            </w:pPr>
            <w:r w:rsidRPr="003203A1">
              <w:rPr>
                <w:rFonts w:cs="Arial"/>
                <w:sz w:val="18"/>
                <w:szCs w:val="18"/>
              </w:rPr>
              <w:t>680</w:t>
            </w:r>
          </w:p>
        </w:tc>
      </w:tr>
      <w:tr w:rsidR="00520333" w:rsidRPr="003203A1" w14:paraId="71661968" w14:textId="77777777" w:rsidTr="005E5E0C">
        <w:trPr>
          <w:trHeight w:val="250"/>
        </w:trPr>
        <w:tc>
          <w:tcPr>
            <w:tcW w:w="6366" w:type="dxa"/>
            <w:tcBorders>
              <w:top w:val="nil"/>
              <w:left w:val="nil"/>
              <w:bottom w:val="nil"/>
              <w:right w:val="nil"/>
            </w:tcBorders>
            <w:shd w:val="clear" w:color="FFFFFF" w:fill="FFFFFF"/>
            <w:vAlign w:val="bottom"/>
            <w:hideMark/>
          </w:tcPr>
          <w:p w14:paraId="299840CC" w14:textId="77777777" w:rsidR="00520333" w:rsidRPr="003203A1" w:rsidRDefault="00520333" w:rsidP="005E5E0C">
            <w:pPr>
              <w:spacing w:after="0"/>
              <w:rPr>
                <w:rFonts w:cs="Arial"/>
                <w:b/>
                <w:bCs/>
                <w:sz w:val="18"/>
                <w:szCs w:val="18"/>
              </w:rPr>
            </w:pPr>
            <w:r w:rsidRPr="003203A1">
              <w:rPr>
                <w:rFonts w:cs="Arial"/>
                <w:b/>
                <w:bCs/>
                <w:sz w:val="18"/>
                <w:szCs w:val="18"/>
              </w:rPr>
              <w:t>Total services rendered</w:t>
            </w:r>
          </w:p>
        </w:tc>
        <w:tc>
          <w:tcPr>
            <w:tcW w:w="1260" w:type="dxa"/>
            <w:tcBorders>
              <w:top w:val="single" w:sz="4" w:space="0" w:color="auto"/>
              <w:left w:val="nil"/>
              <w:bottom w:val="single" w:sz="4" w:space="0" w:color="auto"/>
              <w:right w:val="nil"/>
            </w:tcBorders>
            <w:shd w:val="clear" w:color="FFFFFF" w:fill="FFFFFF"/>
            <w:noWrap/>
            <w:vAlign w:val="bottom"/>
            <w:hideMark/>
          </w:tcPr>
          <w:p w14:paraId="50FA9804" w14:textId="77777777" w:rsidR="00520333" w:rsidRPr="003203A1" w:rsidRDefault="00520333" w:rsidP="005E5E0C">
            <w:pPr>
              <w:spacing w:after="0"/>
              <w:jc w:val="right"/>
              <w:rPr>
                <w:rFonts w:cs="Arial"/>
                <w:b/>
                <w:bCs/>
                <w:sz w:val="18"/>
                <w:szCs w:val="18"/>
              </w:rPr>
            </w:pPr>
            <w:r w:rsidRPr="003203A1">
              <w:rPr>
                <w:rFonts w:cs="Arial"/>
                <w:b/>
                <w:bCs/>
                <w:sz w:val="18"/>
                <w:szCs w:val="18"/>
              </w:rPr>
              <w:t>641,870</w:t>
            </w:r>
          </w:p>
        </w:tc>
        <w:tc>
          <w:tcPr>
            <w:tcW w:w="236" w:type="dxa"/>
            <w:tcBorders>
              <w:top w:val="nil"/>
              <w:left w:val="nil"/>
              <w:bottom w:val="nil"/>
              <w:right w:val="nil"/>
            </w:tcBorders>
            <w:shd w:val="clear" w:color="FFFFFF" w:fill="FFFFFF"/>
            <w:noWrap/>
            <w:vAlign w:val="bottom"/>
            <w:hideMark/>
          </w:tcPr>
          <w:p w14:paraId="38A6BD5A"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single" w:sz="4" w:space="0" w:color="auto"/>
              <w:left w:val="nil"/>
              <w:bottom w:val="single" w:sz="4" w:space="0" w:color="auto"/>
              <w:right w:val="nil"/>
            </w:tcBorders>
            <w:shd w:val="clear" w:color="FFFFFF" w:fill="FFFFFF"/>
            <w:noWrap/>
            <w:vAlign w:val="bottom"/>
            <w:hideMark/>
          </w:tcPr>
          <w:p w14:paraId="6FBAEEBF" w14:textId="77777777" w:rsidR="00520333" w:rsidRPr="003203A1" w:rsidRDefault="00520333" w:rsidP="005E5E0C">
            <w:pPr>
              <w:spacing w:after="0"/>
              <w:jc w:val="right"/>
              <w:rPr>
                <w:rFonts w:cs="Arial"/>
                <w:sz w:val="18"/>
                <w:szCs w:val="18"/>
              </w:rPr>
            </w:pPr>
            <w:r w:rsidRPr="003203A1">
              <w:rPr>
                <w:rFonts w:cs="Arial"/>
                <w:sz w:val="18"/>
                <w:szCs w:val="18"/>
              </w:rPr>
              <w:t>594,142</w:t>
            </w:r>
          </w:p>
        </w:tc>
      </w:tr>
      <w:tr w:rsidR="00520333" w:rsidRPr="003203A1" w14:paraId="3F8E92DC" w14:textId="77777777" w:rsidTr="005E5E0C">
        <w:trPr>
          <w:trHeight w:val="210"/>
        </w:trPr>
        <w:tc>
          <w:tcPr>
            <w:tcW w:w="6366" w:type="dxa"/>
            <w:tcBorders>
              <w:top w:val="nil"/>
              <w:left w:val="nil"/>
              <w:bottom w:val="nil"/>
              <w:right w:val="nil"/>
            </w:tcBorders>
            <w:shd w:val="clear" w:color="FFFFFF" w:fill="FFFFFF"/>
            <w:vAlign w:val="bottom"/>
            <w:hideMark/>
          </w:tcPr>
          <w:p w14:paraId="74E9AD14"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60" w:type="dxa"/>
            <w:tcBorders>
              <w:top w:val="nil"/>
              <w:left w:val="nil"/>
              <w:bottom w:val="nil"/>
              <w:right w:val="nil"/>
            </w:tcBorders>
            <w:shd w:val="clear" w:color="FFFFFF" w:fill="FFFFFF"/>
            <w:noWrap/>
            <w:vAlign w:val="bottom"/>
            <w:hideMark/>
          </w:tcPr>
          <w:p w14:paraId="43A1D3AC"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2424D9E"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34A881F6"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030761C2" w14:textId="77777777" w:rsidTr="005E5E0C">
        <w:trPr>
          <w:trHeight w:val="250"/>
        </w:trPr>
        <w:tc>
          <w:tcPr>
            <w:tcW w:w="6366" w:type="dxa"/>
            <w:tcBorders>
              <w:top w:val="nil"/>
              <w:left w:val="nil"/>
              <w:bottom w:val="nil"/>
              <w:right w:val="nil"/>
            </w:tcBorders>
            <w:shd w:val="clear" w:color="FFFFFF" w:fill="FFFFFF"/>
            <w:vAlign w:val="bottom"/>
            <w:hideMark/>
          </w:tcPr>
          <w:p w14:paraId="5BA4C941" w14:textId="77777777" w:rsidR="00520333" w:rsidRPr="003203A1" w:rsidRDefault="00520333" w:rsidP="005E5E0C">
            <w:pPr>
              <w:spacing w:after="0"/>
              <w:rPr>
                <w:rFonts w:cs="Arial"/>
                <w:b/>
                <w:bCs/>
                <w:sz w:val="18"/>
                <w:szCs w:val="18"/>
              </w:rPr>
            </w:pPr>
            <w:r w:rsidRPr="003203A1">
              <w:rPr>
                <w:rFonts w:cs="Arial"/>
                <w:b/>
                <w:bCs/>
                <w:sz w:val="18"/>
                <w:szCs w:val="18"/>
              </w:rPr>
              <w:t>Other suppliers</w:t>
            </w:r>
          </w:p>
        </w:tc>
        <w:tc>
          <w:tcPr>
            <w:tcW w:w="1260" w:type="dxa"/>
            <w:tcBorders>
              <w:top w:val="nil"/>
              <w:left w:val="nil"/>
              <w:bottom w:val="nil"/>
              <w:right w:val="nil"/>
            </w:tcBorders>
            <w:shd w:val="clear" w:color="FFFFFF" w:fill="FFFFFF"/>
            <w:noWrap/>
            <w:vAlign w:val="bottom"/>
            <w:hideMark/>
          </w:tcPr>
          <w:p w14:paraId="5BC99974"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6010E4FC"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032D7C54"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5D4A56EB" w14:textId="77777777" w:rsidTr="005E5E0C">
        <w:trPr>
          <w:trHeight w:val="250"/>
        </w:trPr>
        <w:tc>
          <w:tcPr>
            <w:tcW w:w="6366" w:type="dxa"/>
            <w:tcBorders>
              <w:top w:val="nil"/>
              <w:left w:val="nil"/>
              <w:bottom w:val="nil"/>
              <w:right w:val="nil"/>
            </w:tcBorders>
            <w:shd w:val="clear" w:color="FFFFFF" w:fill="FFFFFF"/>
            <w:noWrap/>
            <w:vAlign w:val="bottom"/>
            <w:hideMark/>
          </w:tcPr>
          <w:p w14:paraId="4D3E0EA5" w14:textId="77777777" w:rsidR="00520333" w:rsidRPr="003203A1" w:rsidRDefault="00520333" w:rsidP="005E5E0C">
            <w:pPr>
              <w:spacing w:after="0"/>
              <w:ind w:firstLineChars="100" w:firstLine="180"/>
              <w:rPr>
                <w:rFonts w:cs="Arial"/>
                <w:sz w:val="18"/>
                <w:szCs w:val="18"/>
              </w:rPr>
            </w:pPr>
            <w:r w:rsidRPr="003203A1">
              <w:rPr>
                <w:rFonts w:cs="Arial"/>
                <w:sz w:val="18"/>
                <w:szCs w:val="18"/>
              </w:rPr>
              <w:t>Short-term leases</w:t>
            </w:r>
          </w:p>
        </w:tc>
        <w:tc>
          <w:tcPr>
            <w:tcW w:w="1260" w:type="dxa"/>
            <w:tcBorders>
              <w:top w:val="nil"/>
              <w:left w:val="nil"/>
              <w:bottom w:val="nil"/>
              <w:right w:val="nil"/>
            </w:tcBorders>
            <w:shd w:val="clear" w:color="FFFFFF" w:fill="FFFFFF"/>
            <w:noWrap/>
            <w:vAlign w:val="bottom"/>
            <w:hideMark/>
          </w:tcPr>
          <w:p w14:paraId="60C49F22" w14:textId="77777777" w:rsidR="00520333" w:rsidRPr="003203A1" w:rsidRDefault="00520333" w:rsidP="005E5E0C">
            <w:pPr>
              <w:spacing w:after="0"/>
              <w:jc w:val="right"/>
              <w:rPr>
                <w:rFonts w:cs="Arial"/>
                <w:b/>
                <w:bCs/>
                <w:sz w:val="18"/>
                <w:szCs w:val="18"/>
              </w:rPr>
            </w:pPr>
            <w:r w:rsidRPr="003203A1">
              <w:rPr>
                <w:rFonts w:cs="Arial"/>
                <w:b/>
                <w:bCs/>
                <w:sz w:val="18"/>
                <w:szCs w:val="18"/>
              </w:rPr>
              <w:t>1,987</w:t>
            </w:r>
          </w:p>
        </w:tc>
        <w:tc>
          <w:tcPr>
            <w:tcW w:w="236" w:type="dxa"/>
            <w:tcBorders>
              <w:top w:val="nil"/>
              <w:left w:val="nil"/>
              <w:bottom w:val="nil"/>
              <w:right w:val="nil"/>
            </w:tcBorders>
            <w:shd w:val="clear" w:color="FFFFFF" w:fill="FFFFFF"/>
            <w:noWrap/>
            <w:vAlign w:val="bottom"/>
            <w:hideMark/>
          </w:tcPr>
          <w:p w14:paraId="7219D3AF"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63DAD5D6" w14:textId="77777777" w:rsidR="00520333" w:rsidRPr="003203A1" w:rsidRDefault="00520333" w:rsidP="005E5E0C">
            <w:pPr>
              <w:spacing w:after="0"/>
              <w:jc w:val="right"/>
              <w:rPr>
                <w:rFonts w:cs="Arial"/>
                <w:sz w:val="18"/>
                <w:szCs w:val="18"/>
              </w:rPr>
            </w:pPr>
            <w:r w:rsidRPr="003203A1">
              <w:rPr>
                <w:rFonts w:cs="Arial"/>
                <w:sz w:val="18"/>
                <w:szCs w:val="18"/>
              </w:rPr>
              <w:t>2,016</w:t>
            </w:r>
          </w:p>
        </w:tc>
      </w:tr>
      <w:tr w:rsidR="00520333" w:rsidRPr="003203A1" w14:paraId="34CE17C7" w14:textId="77777777" w:rsidTr="005E5E0C">
        <w:trPr>
          <w:trHeight w:val="250"/>
        </w:trPr>
        <w:tc>
          <w:tcPr>
            <w:tcW w:w="6366" w:type="dxa"/>
            <w:tcBorders>
              <w:top w:val="nil"/>
              <w:left w:val="nil"/>
              <w:bottom w:val="nil"/>
              <w:right w:val="nil"/>
            </w:tcBorders>
            <w:shd w:val="clear" w:color="FFFFFF" w:fill="FFFFFF"/>
            <w:vAlign w:val="bottom"/>
            <w:hideMark/>
          </w:tcPr>
          <w:p w14:paraId="07F56FF5" w14:textId="77777777" w:rsidR="00520333" w:rsidRPr="003203A1" w:rsidRDefault="00520333" w:rsidP="005E5E0C">
            <w:pPr>
              <w:spacing w:after="0"/>
              <w:ind w:firstLineChars="100" w:firstLine="180"/>
              <w:rPr>
                <w:rFonts w:cs="Arial"/>
                <w:sz w:val="18"/>
                <w:szCs w:val="18"/>
              </w:rPr>
            </w:pPr>
            <w:r w:rsidRPr="003203A1">
              <w:rPr>
                <w:rFonts w:cs="Arial"/>
                <w:sz w:val="18"/>
                <w:szCs w:val="18"/>
              </w:rPr>
              <w:t>Workers compensation expenses</w:t>
            </w:r>
          </w:p>
        </w:tc>
        <w:tc>
          <w:tcPr>
            <w:tcW w:w="1260" w:type="dxa"/>
            <w:tcBorders>
              <w:top w:val="nil"/>
              <w:left w:val="nil"/>
              <w:bottom w:val="nil"/>
              <w:right w:val="nil"/>
            </w:tcBorders>
            <w:shd w:val="clear" w:color="FFFFFF" w:fill="FFFFFF"/>
            <w:noWrap/>
            <w:vAlign w:val="bottom"/>
            <w:hideMark/>
          </w:tcPr>
          <w:p w14:paraId="6DD4C3C5" w14:textId="77777777" w:rsidR="00520333" w:rsidRPr="003203A1" w:rsidRDefault="00520333" w:rsidP="005E5E0C">
            <w:pPr>
              <w:spacing w:after="0"/>
              <w:jc w:val="right"/>
              <w:rPr>
                <w:rFonts w:cs="Arial"/>
                <w:b/>
                <w:bCs/>
                <w:sz w:val="18"/>
                <w:szCs w:val="18"/>
              </w:rPr>
            </w:pPr>
            <w:r w:rsidRPr="003203A1">
              <w:rPr>
                <w:rFonts w:cs="Arial"/>
                <w:b/>
                <w:bCs/>
                <w:sz w:val="18"/>
                <w:szCs w:val="18"/>
              </w:rPr>
              <w:t>10,093</w:t>
            </w:r>
          </w:p>
        </w:tc>
        <w:tc>
          <w:tcPr>
            <w:tcW w:w="236" w:type="dxa"/>
            <w:tcBorders>
              <w:top w:val="nil"/>
              <w:left w:val="nil"/>
              <w:bottom w:val="nil"/>
              <w:right w:val="nil"/>
            </w:tcBorders>
            <w:shd w:val="clear" w:color="FFFFFF" w:fill="FFFFFF"/>
            <w:noWrap/>
            <w:vAlign w:val="bottom"/>
            <w:hideMark/>
          </w:tcPr>
          <w:p w14:paraId="16675E7F"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16A0E06B" w14:textId="77777777" w:rsidR="00520333" w:rsidRPr="003203A1" w:rsidRDefault="00520333" w:rsidP="005E5E0C">
            <w:pPr>
              <w:spacing w:after="0"/>
              <w:jc w:val="right"/>
              <w:rPr>
                <w:rFonts w:cs="Arial"/>
                <w:sz w:val="18"/>
                <w:szCs w:val="18"/>
              </w:rPr>
            </w:pPr>
            <w:r w:rsidRPr="003203A1">
              <w:rPr>
                <w:rFonts w:cs="Arial"/>
                <w:sz w:val="18"/>
                <w:szCs w:val="18"/>
              </w:rPr>
              <w:t>7,888</w:t>
            </w:r>
          </w:p>
        </w:tc>
      </w:tr>
      <w:tr w:rsidR="00520333" w:rsidRPr="003203A1" w14:paraId="3A1D9E1B" w14:textId="77777777" w:rsidTr="005E5E0C">
        <w:trPr>
          <w:trHeight w:val="250"/>
        </w:trPr>
        <w:tc>
          <w:tcPr>
            <w:tcW w:w="6366" w:type="dxa"/>
            <w:tcBorders>
              <w:top w:val="nil"/>
              <w:left w:val="nil"/>
              <w:bottom w:val="nil"/>
              <w:right w:val="nil"/>
            </w:tcBorders>
            <w:shd w:val="clear" w:color="FFFFFF" w:fill="FFFFFF"/>
            <w:vAlign w:val="bottom"/>
            <w:hideMark/>
          </w:tcPr>
          <w:p w14:paraId="6172FBE4" w14:textId="77777777" w:rsidR="00520333" w:rsidRPr="003203A1" w:rsidRDefault="00520333" w:rsidP="005E5E0C">
            <w:pPr>
              <w:spacing w:after="0"/>
              <w:rPr>
                <w:rFonts w:cs="Arial"/>
                <w:b/>
                <w:bCs/>
                <w:sz w:val="18"/>
                <w:szCs w:val="18"/>
              </w:rPr>
            </w:pPr>
            <w:r w:rsidRPr="003203A1">
              <w:rPr>
                <w:rFonts w:cs="Arial"/>
                <w:b/>
                <w:bCs/>
                <w:sz w:val="18"/>
                <w:szCs w:val="18"/>
              </w:rPr>
              <w:t>Total other suppliers</w:t>
            </w:r>
          </w:p>
        </w:tc>
        <w:tc>
          <w:tcPr>
            <w:tcW w:w="1260" w:type="dxa"/>
            <w:tcBorders>
              <w:top w:val="single" w:sz="4" w:space="0" w:color="auto"/>
              <w:left w:val="nil"/>
              <w:bottom w:val="single" w:sz="4" w:space="0" w:color="auto"/>
              <w:right w:val="nil"/>
            </w:tcBorders>
            <w:shd w:val="clear" w:color="FFFFFF" w:fill="FFFFFF"/>
            <w:noWrap/>
            <w:vAlign w:val="bottom"/>
            <w:hideMark/>
          </w:tcPr>
          <w:p w14:paraId="1336486D" w14:textId="77777777" w:rsidR="00520333" w:rsidRPr="003203A1" w:rsidRDefault="00520333" w:rsidP="005E5E0C">
            <w:pPr>
              <w:spacing w:after="0"/>
              <w:jc w:val="right"/>
              <w:rPr>
                <w:rFonts w:cs="Arial"/>
                <w:b/>
                <w:bCs/>
                <w:sz w:val="18"/>
                <w:szCs w:val="18"/>
              </w:rPr>
            </w:pPr>
            <w:r w:rsidRPr="003203A1">
              <w:rPr>
                <w:rFonts w:cs="Arial"/>
                <w:b/>
                <w:bCs/>
                <w:sz w:val="18"/>
                <w:szCs w:val="18"/>
              </w:rPr>
              <w:t>12,080</w:t>
            </w:r>
          </w:p>
        </w:tc>
        <w:tc>
          <w:tcPr>
            <w:tcW w:w="236" w:type="dxa"/>
            <w:tcBorders>
              <w:top w:val="nil"/>
              <w:left w:val="nil"/>
              <w:bottom w:val="nil"/>
              <w:right w:val="nil"/>
            </w:tcBorders>
            <w:shd w:val="clear" w:color="FFFFFF" w:fill="FFFFFF"/>
            <w:noWrap/>
            <w:vAlign w:val="bottom"/>
            <w:hideMark/>
          </w:tcPr>
          <w:p w14:paraId="248534F9"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single" w:sz="4" w:space="0" w:color="auto"/>
              <w:left w:val="nil"/>
              <w:bottom w:val="single" w:sz="4" w:space="0" w:color="auto"/>
              <w:right w:val="nil"/>
            </w:tcBorders>
            <w:shd w:val="clear" w:color="FFFFFF" w:fill="FFFFFF"/>
            <w:noWrap/>
            <w:vAlign w:val="bottom"/>
            <w:hideMark/>
          </w:tcPr>
          <w:p w14:paraId="254DF0DA" w14:textId="77777777" w:rsidR="00520333" w:rsidRPr="003203A1" w:rsidRDefault="00520333" w:rsidP="005E5E0C">
            <w:pPr>
              <w:spacing w:after="0"/>
              <w:jc w:val="right"/>
              <w:rPr>
                <w:rFonts w:cs="Arial"/>
                <w:sz w:val="18"/>
                <w:szCs w:val="18"/>
              </w:rPr>
            </w:pPr>
            <w:r w:rsidRPr="003203A1">
              <w:rPr>
                <w:rFonts w:cs="Arial"/>
                <w:sz w:val="18"/>
                <w:szCs w:val="18"/>
              </w:rPr>
              <w:t>9,904</w:t>
            </w:r>
          </w:p>
        </w:tc>
      </w:tr>
      <w:tr w:rsidR="00520333" w:rsidRPr="003203A1" w14:paraId="46B130F7" w14:textId="77777777" w:rsidTr="005E5E0C">
        <w:trPr>
          <w:trHeight w:val="250"/>
        </w:trPr>
        <w:tc>
          <w:tcPr>
            <w:tcW w:w="6366" w:type="dxa"/>
            <w:tcBorders>
              <w:top w:val="nil"/>
              <w:left w:val="nil"/>
              <w:bottom w:val="nil"/>
              <w:right w:val="nil"/>
            </w:tcBorders>
            <w:shd w:val="clear" w:color="FFFFFF" w:fill="FFFFFF"/>
            <w:vAlign w:val="bottom"/>
            <w:hideMark/>
          </w:tcPr>
          <w:p w14:paraId="1D475384" w14:textId="77777777" w:rsidR="00520333" w:rsidRPr="003203A1" w:rsidRDefault="00520333" w:rsidP="005E5E0C">
            <w:pPr>
              <w:spacing w:after="0"/>
              <w:rPr>
                <w:rFonts w:cs="Arial"/>
                <w:b/>
                <w:bCs/>
                <w:sz w:val="18"/>
                <w:szCs w:val="18"/>
              </w:rPr>
            </w:pPr>
            <w:r w:rsidRPr="003203A1">
              <w:rPr>
                <w:rFonts w:cs="Arial"/>
                <w:b/>
                <w:bCs/>
                <w:sz w:val="18"/>
                <w:szCs w:val="18"/>
              </w:rPr>
              <w:t>Total suppliers</w:t>
            </w:r>
          </w:p>
        </w:tc>
        <w:tc>
          <w:tcPr>
            <w:tcW w:w="1260" w:type="dxa"/>
            <w:tcBorders>
              <w:top w:val="nil"/>
              <w:left w:val="nil"/>
              <w:bottom w:val="single" w:sz="4" w:space="0" w:color="auto"/>
              <w:right w:val="nil"/>
            </w:tcBorders>
            <w:shd w:val="clear" w:color="FFFFFF" w:fill="FFFFFF"/>
            <w:noWrap/>
            <w:vAlign w:val="bottom"/>
            <w:hideMark/>
          </w:tcPr>
          <w:p w14:paraId="545BC365" w14:textId="77777777" w:rsidR="00520333" w:rsidRPr="003203A1" w:rsidRDefault="00520333" w:rsidP="005E5E0C">
            <w:pPr>
              <w:spacing w:after="0"/>
              <w:jc w:val="right"/>
              <w:rPr>
                <w:rFonts w:cs="Arial"/>
                <w:b/>
                <w:bCs/>
                <w:sz w:val="18"/>
                <w:szCs w:val="18"/>
              </w:rPr>
            </w:pPr>
            <w:r w:rsidRPr="003203A1">
              <w:rPr>
                <w:rFonts w:cs="Arial"/>
                <w:b/>
                <w:bCs/>
                <w:sz w:val="18"/>
                <w:szCs w:val="18"/>
              </w:rPr>
              <w:t>653,950</w:t>
            </w:r>
          </w:p>
        </w:tc>
        <w:tc>
          <w:tcPr>
            <w:tcW w:w="236" w:type="dxa"/>
            <w:tcBorders>
              <w:top w:val="nil"/>
              <w:left w:val="nil"/>
              <w:bottom w:val="nil"/>
              <w:right w:val="nil"/>
            </w:tcBorders>
            <w:shd w:val="clear" w:color="FFFFFF" w:fill="FFFFFF"/>
            <w:noWrap/>
            <w:vAlign w:val="bottom"/>
            <w:hideMark/>
          </w:tcPr>
          <w:p w14:paraId="5F63EEBA"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single" w:sz="4" w:space="0" w:color="auto"/>
              <w:right w:val="nil"/>
            </w:tcBorders>
            <w:shd w:val="clear" w:color="FFFFFF" w:fill="FFFFFF"/>
            <w:noWrap/>
            <w:vAlign w:val="bottom"/>
            <w:hideMark/>
          </w:tcPr>
          <w:p w14:paraId="17CA4B23" w14:textId="77777777" w:rsidR="00520333" w:rsidRPr="003203A1" w:rsidRDefault="00520333" w:rsidP="005E5E0C">
            <w:pPr>
              <w:spacing w:after="0"/>
              <w:jc w:val="right"/>
              <w:rPr>
                <w:rFonts w:cs="Arial"/>
                <w:sz w:val="18"/>
                <w:szCs w:val="18"/>
              </w:rPr>
            </w:pPr>
            <w:r w:rsidRPr="003203A1">
              <w:rPr>
                <w:rFonts w:cs="Arial"/>
                <w:sz w:val="18"/>
                <w:szCs w:val="18"/>
              </w:rPr>
              <w:t>604,046</w:t>
            </w:r>
          </w:p>
        </w:tc>
      </w:tr>
    </w:tbl>
    <w:p w14:paraId="16B056DD" w14:textId="77777777" w:rsidR="00520333" w:rsidRPr="003203A1" w:rsidRDefault="00520333" w:rsidP="00520333">
      <w:pPr>
        <w:pStyle w:val="ContinuedNotesHeading-Level1"/>
        <w:rPr>
          <w:rFonts w:cs="Arial"/>
          <w:b w:val="0"/>
          <w:bCs/>
          <w:sz w:val="18"/>
          <w:szCs w:val="18"/>
        </w:rPr>
      </w:pPr>
    </w:p>
    <w:p w14:paraId="06011BAE" w14:textId="77777777" w:rsidR="00520333" w:rsidRPr="003203A1" w:rsidRDefault="00520333" w:rsidP="00520333">
      <w:pPr>
        <w:pStyle w:val="ContinuedNotesHeading-Level1"/>
        <w:rPr>
          <w:rFonts w:cs="Arial"/>
          <w:b w:val="0"/>
          <w:bCs/>
          <w:sz w:val="18"/>
          <w:szCs w:val="18"/>
        </w:rPr>
      </w:pPr>
      <w:r w:rsidRPr="003203A1">
        <w:rPr>
          <w:rFonts w:cs="Arial"/>
          <w:b w:val="0"/>
          <w:bCs/>
          <w:sz w:val="18"/>
          <w:szCs w:val="18"/>
        </w:rPr>
        <w:t>The above lease disclosures should be read in conjunction with the accompanying notes 1.1D, 1.2B, 2.2A &amp; 2.5.</w:t>
      </w:r>
    </w:p>
    <w:p w14:paraId="738F88F2" w14:textId="77777777" w:rsidR="00520333" w:rsidRPr="003203A1" w:rsidRDefault="00520333" w:rsidP="00520333">
      <w:pPr>
        <w:pStyle w:val="ContinuedNotesHeading-Level1"/>
        <w:rPr>
          <w:b w:val="0"/>
          <w:bCs/>
        </w:rPr>
      </w:pPr>
    </w:p>
    <w:p w14:paraId="6485A898" w14:textId="77777777" w:rsidR="00520333" w:rsidRDefault="00520333" w:rsidP="003203A1">
      <w:pPr>
        <w:spacing w:after="120" w:line="240" w:lineRule="auto"/>
        <w:rPr>
          <w:rFonts w:cs="Arial"/>
          <w:sz w:val="14"/>
          <w:szCs w:val="14"/>
        </w:rPr>
      </w:pPr>
      <w:r w:rsidRPr="00634BB9">
        <w:rPr>
          <w:rFonts w:cs="Arial"/>
          <w:sz w:val="16"/>
          <w:szCs w:val="16"/>
          <w:vertAlign w:val="superscript"/>
        </w:rPr>
        <w:t xml:space="preserve">1 </w:t>
      </w:r>
      <w:r w:rsidRPr="000E1853">
        <w:rPr>
          <w:rFonts w:cs="Arial"/>
          <w:sz w:val="14"/>
          <w:szCs w:val="14"/>
        </w:rPr>
        <w:t>Balance includes contractor and consultant related expenses.</w:t>
      </w:r>
      <w:r>
        <w:rPr>
          <w:rFonts w:cs="Arial"/>
          <w:sz w:val="14"/>
          <w:szCs w:val="14"/>
        </w:rPr>
        <w:t xml:space="preserve"> </w:t>
      </w:r>
    </w:p>
    <w:p w14:paraId="76A1B2A5" w14:textId="77777777" w:rsidR="00520333" w:rsidRDefault="00520333" w:rsidP="003203A1">
      <w:pPr>
        <w:spacing w:after="120" w:line="240" w:lineRule="auto"/>
        <w:rPr>
          <w:rFonts w:cs="Arial"/>
          <w:sz w:val="14"/>
          <w:szCs w:val="16"/>
        </w:rPr>
      </w:pPr>
      <w:r w:rsidRPr="008016CA">
        <w:rPr>
          <w:rFonts w:cs="Arial"/>
          <w:sz w:val="16"/>
          <w:szCs w:val="18"/>
          <w:vertAlign w:val="superscript"/>
        </w:rPr>
        <w:t>2</w:t>
      </w:r>
      <w:r w:rsidRPr="008016CA">
        <w:rPr>
          <w:rFonts w:cs="Arial"/>
          <w:sz w:val="16"/>
          <w:szCs w:val="18"/>
        </w:rPr>
        <w:t xml:space="preserve"> </w:t>
      </w:r>
      <w:r w:rsidRPr="008016CA">
        <w:rPr>
          <w:rFonts w:cs="Arial"/>
          <w:sz w:val="14"/>
          <w:szCs w:val="16"/>
        </w:rPr>
        <w:t xml:space="preserve">During </w:t>
      </w:r>
      <w:r w:rsidRPr="008016CA">
        <w:rPr>
          <w:rFonts w:cs="Arial"/>
          <w:sz w:val="14"/>
          <w:szCs w:val="16"/>
        </w:rPr>
        <w:fldChar w:fldCharType="begin"/>
      </w:r>
      <w:r w:rsidRPr="008016CA">
        <w:rPr>
          <w:rFonts w:cs="Arial"/>
          <w:sz w:val="14"/>
          <w:szCs w:val="16"/>
        </w:rPr>
        <w:instrText xml:space="preserve"> DOCPROPERTY  prYear  \* MERGEFORMAT </w:instrText>
      </w:r>
      <w:r w:rsidRPr="008016CA">
        <w:rPr>
          <w:rFonts w:cs="Arial"/>
          <w:sz w:val="14"/>
          <w:szCs w:val="16"/>
        </w:rPr>
        <w:fldChar w:fldCharType="separate"/>
      </w:r>
      <w:r w:rsidRPr="008016CA">
        <w:rPr>
          <w:rFonts w:cs="Arial"/>
          <w:sz w:val="14"/>
          <w:szCs w:val="16"/>
        </w:rPr>
        <w:t>2023</w:t>
      </w:r>
      <w:r w:rsidRPr="008016CA">
        <w:rPr>
          <w:rFonts w:cs="Arial"/>
          <w:sz w:val="14"/>
          <w:szCs w:val="16"/>
        </w:rPr>
        <w:fldChar w:fldCharType="end"/>
      </w:r>
      <w:r w:rsidRPr="008016CA">
        <w:rPr>
          <w:rFonts w:cs="Arial"/>
          <w:sz w:val="14"/>
          <w:szCs w:val="16"/>
        </w:rPr>
        <w:t>-24 the Agency had a Memorandum of Understanding in place that covered the provision of various administrative and operational support services provided by Services Australia.</w:t>
      </w:r>
      <w:r>
        <w:rPr>
          <w:rFonts w:cs="Arial"/>
          <w:sz w:val="14"/>
          <w:szCs w:val="16"/>
        </w:rPr>
        <w:br w:type="page"/>
      </w:r>
    </w:p>
    <w:p w14:paraId="585D9F18" w14:textId="77777777" w:rsidR="003203A1" w:rsidRPr="00C821EB" w:rsidRDefault="003203A1" w:rsidP="003203A1">
      <w:pPr>
        <w:spacing w:after="0" w:line="240" w:lineRule="auto"/>
        <w:rPr>
          <w:b/>
          <w:bCs/>
        </w:rPr>
      </w:pPr>
      <w:r w:rsidRPr="00C821EB">
        <w:rPr>
          <w:b/>
          <w:bCs/>
        </w:rPr>
        <w:lastRenderedPageBreak/>
        <w:t>National Disability Insurance Agency</w:t>
      </w:r>
    </w:p>
    <w:p w14:paraId="1AAD41B3"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344F6592" w14:textId="22EB5447" w:rsidR="00520333" w:rsidRPr="003203A1" w:rsidRDefault="00520333" w:rsidP="00520333">
      <w:pPr>
        <w:pStyle w:val="PolicyheadingDept"/>
        <w:pBdr>
          <w:left w:val="single" w:sz="4" w:space="4" w:color="800080"/>
          <w:right w:val="single" w:sz="4" w:space="4" w:color="800080"/>
        </w:pBdr>
      </w:pPr>
      <w:r w:rsidRPr="003203A1">
        <w:t>Accounting Policy</w:t>
      </w:r>
    </w:p>
    <w:p w14:paraId="64F84ECE" w14:textId="77777777" w:rsidR="00520333" w:rsidRPr="003203A1" w:rsidRDefault="00520333" w:rsidP="00520333">
      <w:pPr>
        <w:pStyle w:val="PolicytextDept"/>
        <w:pBdr>
          <w:left w:val="single" w:sz="4" w:space="4" w:color="800080"/>
          <w:right w:val="single" w:sz="4" w:space="4" w:color="800080"/>
        </w:pBdr>
        <w:rPr>
          <w:u w:val="single"/>
        </w:rPr>
      </w:pPr>
      <w:r w:rsidRPr="003203A1">
        <w:rPr>
          <w:u w:val="single"/>
        </w:rPr>
        <w:t>Short-term leases and leases of low-value assets</w:t>
      </w:r>
    </w:p>
    <w:p w14:paraId="24F41A97" w14:textId="77777777" w:rsidR="00520333" w:rsidRPr="003203A1" w:rsidRDefault="00520333" w:rsidP="00520333">
      <w:pPr>
        <w:pStyle w:val="PolicytextDept"/>
        <w:pBdr>
          <w:left w:val="single" w:sz="4" w:space="4" w:color="800080"/>
          <w:right w:val="single" w:sz="4" w:space="4" w:color="800080"/>
        </w:pBdr>
        <w:rPr>
          <w:strike/>
        </w:rPr>
      </w:pPr>
      <w:r w:rsidRPr="003203A1">
        <w:t xml:space="preserve">The Agency has elected not to recognise right-of-use assets and lease liabilities for short-term leases of assets that have a lease term of 12 months or less and leases of low-value assets (less than $10,000 per asset). The Agency recognises the lease payments associated with these leases as an expense on a straight-line basis over the lease term. </w:t>
      </w: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2C2E2571" w14:textId="77777777" w:rsidTr="005E5E0C">
        <w:trPr>
          <w:trHeight w:val="253"/>
        </w:trPr>
        <w:tc>
          <w:tcPr>
            <w:tcW w:w="6351" w:type="dxa"/>
            <w:tcBorders>
              <w:top w:val="nil"/>
              <w:left w:val="nil"/>
              <w:bottom w:val="nil"/>
              <w:right w:val="nil"/>
            </w:tcBorders>
            <w:shd w:val="clear" w:color="FFFFFF" w:fill="FFFFFF"/>
            <w:noWrap/>
            <w:vAlign w:val="bottom"/>
            <w:hideMark/>
          </w:tcPr>
          <w:p w14:paraId="43ACDFF5" w14:textId="77777777" w:rsidR="00520333" w:rsidRPr="003203A1" w:rsidRDefault="00520333" w:rsidP="005E5E0C">
            <w:pPr>
              <w:spacing w:after="0"/>
              <w:rPr>
                <w:rFonts w:cs="Arial"/>
                <w:sz w:val="18"/>
                <w:szCs w:val="18"/>
              </w:rPr>
            </w:pPr>
            <w:bookmarkStart w:id="150" w:name="Note_GRXTABLE1" w:colFirst="0" w:colLast="0"/>
            <w:r w:rsidRPr="003203A1">
              <w:rPr>
                <w:rFonts w:cs="Arial"/>
                <w:sz w:val="18"/>
                <w:szCs w:val="18"/>
              </w:rPr>
              <w:t> </w:t>
            </w:r>
          </w:p>
        </w:tc>
        <w:tc>
          <w:tcPr>
            <w:tcW w:w="1259" w:type="dxa"/>
            <w:tcBorders>
              <w:top w:val="nil"/>
              <w:left w:val="nil"/>
              <w:bottom w:val="nil"/>
              <w:right w:val="nil"/>
            </w:tcBorders>
            <w:shd w:val="clear" w:color="FFFFFF" w:fill="FFFFFF"/>
            <w:noWrap/>
            <w:vAlign w:val="bottom"/>
            <w:hideMark/>
          </w:tcPr>
          <w:p w14:paraId="5A189052" w14:textId="77777777" w:rsidR="00520333" w:rsidRPr="003203A1" w:rsidRDefault="00520333" w:rsidP="005E5E0C">
            <w:pPr>
              <w:spacing w:after="0"/>
              <w:jc w:val="right"/>
              <w:rPr>
                <w:rFonts w:cs="Arial"/>
                <w:b/>
                <w:bCs/>
                <w:sz w:val="18"/>
                <w:szCs w:val="18"/>
              </w:rPr>
            </w:pPr>
            <w:r w:rsidRPr="003203A1">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7B657D37"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7F81A89A" w14:textId="77777777" w:rsidR="00520333" w:rsidRPr="003203A1" w:rsidRDefault="00520333" w:rsidP="005E5E0C">
            <w:pPr>
              <w:spacing w:after="0"/>
              <w:jc w:val="right"/>
              <w:rPr>
                <w:rFonts w:cs="Arial"/>
                <w:sz w:val="18"/>
                <w:szCs w:val="18"/>
              </w:rPr>
            </w:pPr>
            <w:r w:rsidRPr="003203A1">
              <w:rPr>
                <w:rFonts w:cs="Arial"/>
                <w:sz w:val="18"/>
                <w:szCs w:val="18"/>
              </w:rPr>
              <w:t>2023</w:t>
            </w:r>
          </w:p>
        </w:tc>
      </w:tr>
      <w:bookmarkEnd w:id="150"/>
      <w:tr w:rsidR="00520333" w:rsidRPr="003203A1" w14:paraId="026CF82B" w14:textId="77777777" w:rsidTr="005E5E0C">
        <w:trPr>
          <w:trHeight w:val="260"/>
        </w:trPr>
        <w:tc>
          <w:tcPr>
            <w:tcW w:w="6351" w:type="dxa"/>
            <w:tcBorders>
              <w:top w:val="nil"/>
              <w:left w:val="nil"/>
              <w:bottom w:val="nil"/>
              <w:right w:val="nil"/>
            </w:tcBorders>
            <w:shd w:val="clear" w:color="FFFFFF" w:fill="FFFFFF"/>
            <w:noWrap/>
            <w:vAlign w:val="bottom"/>
            <w:hideMark/>
          </w:tcPr>
          <w:p w14:paraId="015F1F85" w14:textId="77777777" w:rsidR="00520333" w:rsidRPr="003203A1" w:rsidRDefault="00520333" w:rsidP="005E5E0C">
            <w:pPr>
              <w:spacing w:after="0"/>
              <w:rPr>
                <w:rFonts w:cs="Arial"/>
                <w:b/>
                <w:bCs/>
                <w:sz w:val="18"/>
                <w:szCs w:val="18"/>
                <w:u w:val="single"/>
              </w:rPr>
            </w:pPr>
            <w:r w:rsidRPr="003203A1">
              <w:rPr>
                <w:rFonts w:cs="Arial"/>
                <w:b/>
                <w:bCs/>
                <w:sz w:val="18"/>
                <w:szCs w:val="18"/>
                <w:u w:val="single"/>
              </w:rPr>
              <w:t>Note 1.1C: Grants</w:t>
            </w:r>
          </w:p>
        </w:tc>
        <w:tc>
          <w:tcPr>
            <w:tcW w:w="1259" w:type="dxa"/>
            <w:tcBorders>
              <w:top w:val="nil"/>
              <w:left w:val="nil"/>
              <w:bottom w:val="nil"/>
              <w:right w:val="nil"/>
            </w:tcBorders>
            <w:shd w:val="clear" w:color="FFFFFF" w:fill="FFFFFF"/>
            <w:noWrap/>
            <w:vAlign w:val="bottom"/>
            <w:hideMark/>
          </w:tcPr>
          <w:p w14:paraId="3948DF06" w14:textId="77777777" w:rsidR="00520333" w:rsidRPr="003203A1" w:rsidRDefault="00520333" w:rsidP="005E5E0C">
            <w:pPr>
              <w:spacing w:after="0"/>
              <w:jc w:val="right"/>
              <w:rPr>
                <w:rFonts w:cs="Arial"/>
                <w:b/>
                <w:bCs/>
                <w:sz w:val="18"/>
                <w:szCs w:val="18"/>
              </w:rPr>
            </w:pPr>
            <w:r w:rsidRPr="003203A1">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3BA0BB61"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0414125" w14:textId="77777777" w:rsidR="00520333" w:rsidRPr="003203A1" w:rsidRDefault="00520333" w:rsidP="005E5E0C">
            <w:pPr>
              <w:spacing w:after="0"/>
              <w:jc w:val="right"/>
              <w:rPr>
                <w:rFonts w:cs="Arial"/>
                <w:sz w:val="18"/>
                <w:szCs w:val="18"/>
              </w:rPr>
            </w:pPr>
            <w:r w:rsidRPr="003203A1">
              <w:rPr>
                <w:rFonts w:cs="Arial"/>
                <w:sz w:val="18"/>
                <w:szCs w:val="18"/>
              </w:rPr>
              <w:t>$'000</w:t>
            </w:r>
          </w:p>
        </w:tc>
      </w:tr>
      <w:tr w:rsidR="00520333" w:rsidRPr="003203A1" w14:paraId="0F67A5BA" w14:textId="77777777" w:rsidTr="005E5E0C">
        <w:trPr>
          <w:trHeight w:val="250"/>
        </w:trPr>
        <w:tc>
          <w:tcPr>
            <w:tcW w:w="6351" w:type="dxa"/>
            <w:tcBorders>
              <w:top w:val="nil"/>
              <w:left w:val="nil"/>
              <w:bottom w:val="nil"/>
              <w:right w:val="nil"/>
            </w:tcBorders>
            <w:shd w:val="clear" w:color="FFFFFF" w:fill="FFFFFF"/>
            <w:noWrap/>
            <w:vAlign w:val="bottom"/>
            <w:hideMark/>
          </w:tcPr>
          <w:p w14:paraId="2979474A" w14:textId="77777777" w:rsidR="00520333" w:rsidRPr="003203A1" w:rsidRDefault="00520333" w:rsidP="005E5E0C">
            <w:pPr>
              <w:spacing w:after="0"/>
              <w:ind w:firstLineChars="100" w:firstLine="180"/>
              <w:rPr>
                <w:rFonts w:cs="Arial"/>
                <w:sz w:val="18"/>
                <w:szCs w:val="18"/>
              </w:rPr>
            </w:pPr>
            <w:r w:rsidRPr="003203A1">
              <w:rPr>
                <w:rFonts w:cs="Arial"/>
                <w:sz w:val="18"/>
                <w:szCs w:val="18"/>
              </w:rPr>
              <w:t>Private sector</w:t>
            </w:r>
          </w:p>
        </w:tc>
        <w:tc>
          <w:tcPr>
            <w:tcW w:w="1259" w:type="dxa"/>
            <w:tcBorders>
              <w:top w:val="nil"/>
              <w:left w:val="nil"/>
              <w:bottom w:val="nil"/>
              <w:right w:val="nil"/>
            </w:tcBorders>
            <w:shd w:val="clear" w:color="FFFFFF" w:fill="FFFFFF"/>
            <w:noWrap/>
            <w:vAlign w:val="bottom"/>
            <w:hideMark/>
          </w:tcPr>
          <w:p w14:paraId="2CB0A82B"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03052A4"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8DF08F7"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7EFC0214" w14:textId="77777777" w:rsidTr="005E5E0C">
        <w:trPr>
          <w:trHeight w:val="268"/>
        </w:trPr>
        <w:tc>
          <w:tcPr>
            <w:tcW w:w="6351" w:type="dxa"/>
            <w:tcBorders>
              <w:top w:val="nil"/>
              <w:left w:val="nil"/>
              <w:bottom w:val="nil"/>
              <w:right w:val="nil"/>
            </w:tcBorders>
            <w:shd w:val="clear" w:color="FFFFFF" w:fill="FFFFFF"/>
            <w:noWrap/>
            <w:vAlign w:val="bottom"/>
            <w:hideMark/>
          </w:tcPr>
          <w:p w14:paraId="164D9AAD" w14:textId="77777777" w:rsidR="00520333" w:rsidRPr="003203A1" w:rsidRDefault="00520333" w:rsidP="005E5E0C">
            <w:pPr>
              <w:spacing w:after="0"/>
              <w:ind w:firstLineChars="200" w:firstLine="360"/>
              <w:rPr>
                <w:rFonts w:cs="Arial"/>
                <w:sz w:val="18"/>
                <w:szCs w:val="18"/>
              </w:rPr>
            </w:pPr>
            <w:r w:rsidRPr="003203A1">
              <w:rPr>
                <w:rFonts w:cs="Arial"/>
                <w:sz w:val="18"/>
                <w:szCs w:val="18"/>
              </w:rPr>
              <w:t>Not for profit organisations</w:t>
            </w:r>
          </w:p>
        </w:tc>
        <w:tc>
          <w:tcPr>
            <w:tcW w:w="1259" w:type="dxa"/>
            <w:tcBorders>
              <w:top w:val="nil"/>
              <w:left w:val="nil"/>
              <w:bottom w:val="nil"/>
              <w:right w:val="nil"/>
            </w:tcBorders>
            <w:shd w:val="clear" w:color="FFFFFF" w:fill="FFFFFF"/>
            <w:noWrap/>
            <w:vAlign w:val="bottom"/>
            <w:hideMark/>
          </w:tcPr>
          <w:p w14:paraId="3A33AAFA" w14:textId="77777777" w:rsidR="00520333" w:rsidRPr="003203A1" w:rsidRDefault="00520333" w:rsidP="005E5E0C">
            <w:pPr>
              <w:spacing w:after="0"/>
              <w:jc w:val="right"/>
              <w:rPr>
                <w:rFonts w:cs="Arial"/>
                <w:b/>
                <w:bCs/>
                <w:sz w:val="18"/>
                <w:szCs w:val="18"/>
              </w:rPr>
            </w:pPr>
            <w:r w:rsidRPr="003203A1">
              <w:rPr>
                <w:rFonts w:cs="Arial"/>
                <w:b/>
                <w:bCs/>
                <w:sz w:val="18"/>
                <w:szCs w:val="18"/>
              </w:rPr>
              <w:t>5,306</w:t>
            </w:r>
          </w:p>
        </w:tc>
        <w:tc>
          <w:tcPr>
            <w:tcW w:w="236" w:type="dxa"/>
            <w:tcBorders>
              <w:top w:val="nil"/>
              <w:left w:val="nil"/>
              <w:bottom w:val="nil"/>
              <w:right w:val="nil"/>
            </w:tcBorders>
            <w:shd w:val="clear" w:color="FFFFFF" w:fill="FFFFFF"/>
            <w:noWrap/>
            <w:vAlign w:val="bottom"/>
            <w:hideMark/>
          </w:tcPr>
          <w:p w14:paraId="6B330146"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1EC4CD13" w14:textId="77777777" w:rsidR="00520333" w:rsidRPr="003203A1" w:rsidRDefault="00520333" w:rsidP="005E5E0C">
            <w:pPr>
              <w:spacing w:after="0"/>
              <w:jc w:val="right"/>
              <w:rPr>
                <w:rFonts w:cs="Arial"/>
                <w:sz w:val="18"/>
                <w:szCs w:val="18"/>
              </w:rPr>
            </w:pPr>
            <w:r w:rsidRPr="003203A1">
              <w:rPr>
                <w:rFonts w:cs="Arial"/>
                <w:sz w:val="18"/>
                <w:szCs w:val="18"/>
              </w:rPr>
              <w:t>347</w:t>
            </w:r>
          </w:p>
        </w:tc>
      </w:tr>
      <w:tr w:rsidR="00520333" w:rsidRPr="003203A1" w14:paraId="5E934C53" w14:textId="77777777" w:rsidTr="005E5E0C">
        <w:trPr>
          <w:trHeight w:val="250"/>
        </w:trPr>
        <w:tc>
          <w:tcPr>
            <w:tcW w:w="6351" w:type="dxa"/>
            <w:tcBorders>
              <w:top w:val="nil"/>
              <w:left w:val="nil"/>
              <w:bottom w:val="nil"/>
              <w:right w:val="nil"/>
            </w:tcBorders>
            <w:shd w:val="clear" w:color="FFFFFF" w:fill="FFFFFF"/>
            <w:vAlign w:val="bottom"/>
            <w:hideMark/>
          </w:tcPr>
          <w:p w14:paraId="24E8B19A" w14:textId="77777777" w:rsidR="00520333" w:rsidRPr="003203A1" w:rsidRDefault="00520333" w:rsidP="005E5E0C">
            <w:pPr>
              <w:spacing w:after="0"/>
              <w:rPr>
                <w:rFonts w:cs="Arial"/>
                <w:b/>
                <w:bCs/>
                <w:sz w:val="18"/>
                <w:szCs w:val="18"/>
              </w:rPr>
            </w:pPr>
            <w:r w:rsidRPr="003203A1">
              <w:rPr>
                <w:rFonts w:cs="Arial"/>
                <w:b/>
                <w:bCs/>
                <w:sz w:val="18"/>
                <w:szCs w:val="18"/>
              </w:rPr>
              <w:t>Total grants</w:t>
            </w:r>
          </w:p>
        </w:tc>
        <w:tc>
          <w:tcPr>
            <w:tcW w:w="1259" w:type="dxa"/>
            <w:tcBorders>
              <w:top w:val="single" w:sz="4" w:space="0" w:color="auto"/>
              <w:left w:val="nil"/>
              <w:bottom w:val="single" w:sz="4" w:space="0" w:color="auto"/>
              <w:right w:val="nil"/>
            </w:tcBorders>
            <w:shd w:val="clear" w:color="FFFFFF" w:fill="FFFFFF"/>
            <w:noWrap/>
            <w:vAlign w:val="bottom"/>
            <w:hideMark/>
          </w:tcPr>
          <w:p w14:paraId="0DF22FFF" w14:textId="77777777" w:rsidR="00520333" w:rsidRPr="003203A1" w:rsidRDefault="00520333" w:rsidP="005E5E0C">
            <w:pPr>
              <w:spacing w:after="0"/>
              <w:jc w:val="right"/>
              <w:rPr>
                <w:rFonts w:cs="Arial"/>
                <w:b/>
                <w:bCs/>
                <w:sz w:val="18"/>
                <w:szCs w:val="18"/>
              </w:rPr>
            </w:pPr>
            <w:r w:rsidRPr="003203A1">
              <w:rPr>
                <w:rFonts w:cs="Arial"/>
                <w:b/>
                <w:bCs/>
                <w:sz w:val="18"/>
                <w:szCs w:val="18"/>
              </w:rPr>
              <w:t>5,306</w:t>
            </w:r>
          </w:p>
        </w:tc>
        <w:tc>
          <w:tcPr>
            <w:tcW w:w="236" w:type="dxa"/>
            <w:tcBorders>
              <w:top w:val="nil"/>
              <w:left w:val="nil"/>
              <w:bottom w:val="nil"/>
              <w:right w:val="nil"/>
            </w:tcBorders>
            <w:shd w:val="clear" w:color="FFFFFF" w:fill="FFFFFF"/>
            <w:noWrap/>
            <w:vAlign w:val="bottom"/>
            <w:hideMark/>
          </w:tcPr>
          <w:p w14:paraId="1F281551"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5FC6896F" w14:textId="77777777" w:rsidR="00520333" w:rsidRPr="003203A1" w:rsidRDefault="00520333" w:rsidP="005E5E0C">
            <w:pPr>
              <w:spacing w:after="0"/>
              <w:jc w:val="right"/>
              <w:rPr>
                <w:rFonts w:cs="Arial"/>
                <w:sz w:val="18"/>
                <w:szCs w:val="18"/>
              </w:rPr>
            </w:pPr>
            <w:r w:rsidRPr="003203A1">
              <w:rPr>
                <w:rFonts w:cs="Arial"/>
                <w:sz w:val="18"/>
                <w:szCs w:val="18"/>
              </w:rPr>
              <w:t>347</w:t>
            </w:r>
          </w:p>
        </w:tc>
      </w:tr>
      <w:tr w:rsidR="00520333" w:rsidRPr="003203A1" w14:paraId="279DF1D2" w14:textId="77777777" w:rsidTr="005E5E0C">
        <w:trPr>
          <w:trHeight w:val="250"/>
        </w:trPr>
        <w:tc>
          <w:tcPr>
            <w:tcW w:w="6351" w:type="dxa"/>
            <w:tcBorders>
              <w:top w:val="nil"/>
              <w:left w:val="nil"/>
              <w:bottom w:val="nil"/>
              <w:right w:val="nil"/>
            </w:tcBorders>
            <w:shd w:val="clear" w:color="FFFFFF" w:fill="FFFFFF"/>
            <w:vAlign w:val="bottom"/>
            <w:hideMark/>
          </w:tcPr>
          <w:p w14:paraId="53E406A9"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59" w:type="dxa"/>
            <w:tcBorders>
              <w:top w:val="nil"/>
              <w:left w:val="nil"/>
              <w:bottom w:val="nil"/>
              <w:right w:val="nil"/>
            </w:tcBorders>
            <w:shd w:val="clear" w:color="FFFFFF" w:fill="FFFFFF"/>
            <w:noWrap/>
            <w:vAlign w:val="bottom"/>
            <w:hideMark/>
          </w:tcPr>
          <w:p w14:paraId="6DE05A8F"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2FEFFA2"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1BA1C20B"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0F8C7199" w14:textId="77777777" w:rsidTr="005E5E0C">
        <w:trPr>
          <w:trHeight w:val="630"/>
        </w:trPr>
        <w:tc>
          <w:tcPr>
            <w:tcW w:w="9087" w:type="dxa"/>
            <w:gridSpan w:val="4"/>
            <w:tcBorders>
              <w:top w:val="nil"/>
              <w:left w:val="nil"/>
              <w:bottom w:val="nil"/>
              <w:right w:val="nil"/>
            </w:tcBorders>
            <w:shd w:val="clear" w:color="FFFFFF" w:fill="FFFFFF"/>
            <w:hideMark/>
          </w:tcPr>
          <w:p w14:paraId="7152C640" w14:textId="77777777" w:rsidR="00520333" w:rsidRPr="003203A1" w:rsidRDefault="00520333" w:rsidP="005E5E0C">
            <w:pPr>
              <w:spacing w:after="0"/>
              <w:rPr>
                <w:rFonts w:cs="Arial"/>
                <w:sz w:val="18"/>
                <w:szCs w:val="18"/>
              </w:rPr>
            </w:pPr>
            <w:r w:rsidRPr="003203A1">
              <w:rPr>
                <w:rFonts w:cs="Arial"/>
                <w:sz w:val="18"/>
                <w:szCs w:val="18"/>
              </w:rPr>
              <w:t>Grants relate to the Home and Living grants program designed to assist providers with establishment costs associated with Supported Independent Living demonstration projects and the Inklings grants program, commencing in 2023–24, developing a pre-emptive approach to support children with early signs of autism spectrum disorder.</w:t>
            </w:r>
          </w:p>
        </w:tc>
      </w:tr>
    </w:tbl>
    <w:p w14:paraId="19EEC73C" w14:textId="77777777" w:rsidR="00520333" w:rsidRPr="003203A1" w:rsidRDefault="00520333" w:rsidP="00520333">
      <w:pPr>
        <w:pStyle w:val="PolicytextDept"/>
        <w:rPr>
          <w:b/>
          <w:bCs w:val="0"/>
        </w:rPr>
      </w:pPr>
      <w:r w:rsidRPr="003203A1">
        <w:rPr>
          <w:b/>
          <w:bCs w:val="0"/>
        </w:rPr>
        <w:t>Accounting Policy</w:t>
      </w:r>
    </w:p>
    <w:p w14:paraId="785E1BAA" w14:textId="77777777" w:rsidR="00520333" w:rsidRPr="003203A1" w:rsidRDefault="00520333" w:rsidP="00520333">
      <w:pPr>
        <w:pStyle w:val="PolicytextDept"/>
        <w:rPr>
          <w:u w:val="single"/>
        </w:rPr>
      </w:pPr>
      <w:r w:rsidRPr="003203A1">
        <w:rPr>
          <w:u w:val="single"/>
        </w:rPr>
        <w:t>Grants</w:t>
      </w:r>
    </w:p>
    <w:p w14:paraId="4D5844EA" w14:textId="77777777" w:rsidR="00520333" w:rsidRPr="003203A1" w:rsidRDefault="00520333" w:rsidP="00520333">
      <w:pPr>
        <w:pStyle w:val="PolicytextDept"/>
      </w:pPr>
      <w:r w:rsidRPr="003203A1">
        <w:t>Grant liabilities are recognised to the extent that (i) the services required to be performed by the grantee have been performed or (ii) the grant eligibility criteria have been satisfied, but payments due have not been made.</w:t>
      </w:r>
    </w:p>
    <w:p w14:paraId="4E589E19" w14:textId="77777777" w:rsidR="00520333" w:rsidRPr="003203A1" w:rsidRDefault="00520333" w:rsidP="00520333">
      <w:pPr>
        <w:pStyle w:val="PolicytextDept"/>
      </w:pPr>
      <w:r w:rsidRPr="003203A1">
        <w:t>When the Agency enters into an agreement to make these grants and services, but services have not been performed or criteria satisfied, this is considered a commitment.</w:t>
      </w:r>
    </w:p>
    <w:tbl>
      <w:tblPr>
        <w:tblW w:w="9087" w:type="dxa"/>
        <w:tblLayout w:type="fixed"/>
        <w:tblLook w:val="04A0" w:firstRow="1" w:lastRow="0" w:firstColumn="1" w:lastColumn="0" w:noHBand="0" w:noVBand="1"/>
      </w:tblPr>
      <w:tblGrid>
        <w:gridCol w:w="6357"/>
        <w:gridCol w:w="1251"/>
        <w:gridCol w:w="236"/>
        <w:gridCol w:w="1243"/>
      </w:tblGrid>
      <w:tr w:rsidR="00520333" w:rsidRPr="003203A1" w14:paraId="368DC2D6" w14:textId="77777777" w:rsidTr="005E5E0C">
        <w:trPr>
          <w:trHeight w:val="210"/>
        </w:trPr>
        <w:tc>
          <w:tcPr>
            <w:tcW w:w="6357" w:type="dxa"/>
            <w:tcBorders>
              <w:top w:val="nil"/>
              <w:left w:val="nil"/>
              <w:bottom w:val="nil"/>
              <w:right w:val="nil"/>
            </w:tcBorders>
            <w:shd w:val="clear" w:color="FFFFFF" w:fill="FFFFFF"/>
            <w:noWrap/>
            <w:vAlign w:val="bottom"/>
            <w:hideMark/>
          </w:tcPr>
          <w:p w14:paraId="38B5FDCC" w14:textId="77777777" w:rsidR="00520333" w:rsidRPr="003203A1" w:rsidRDefault="00520333" w:rsidP="005E5E0C">
            <w:pPr>
              <w:spacing w:after="0"/>
              <w:rPr>
                <w:rFonts w:cs="Arial"/>
                <w:b/>
                <w:bCs/>
                <w:sz w:val="18"/>
                <w:szCs w:val="18"/>
                <w:u w:val="single"/>
              </w:rPr>
            </w:pPr>
            <w:bookmarkStart w:id="151" w:name="Note_FCETABLE1" w:colFirst="0" w:colLast="0"/>
            <w:r w:rsidRPr="003203A1">
              <w:rPr>
                <w:rFonts w:cs="Arial"/>
                <w:b/>
                <w:bCs/>
                <w:sz w:val="18"/>
                <w:szCs w:val="18"/>
                <w:u w:val="single"/>
              </w:rPr>
              <w:t>Note 1.1D: Finance costs</w:t>
            </w:r>
          </w:p>
        </w:tc>
        <w:tc>
          <w:tcPr>
            <w:tcW w:w="1251" w:type="dxa"/>
            <w:tcBorders>
              <w:top w:val="nil"/>
              <w:left w:val="nil"/>
              <w:bottom w:val="nil"/>
              <w:right w:val="nil"/>
            </w:tcBorders>
            <w:shd w:val="clear" w:color="FFFFFF" w:fill="FFFFFF"/>
            <w:noWrap/>
            <w:vAlign w:val="bottom"/>
            <w:hideMark/>
          </w:tcPr>
          <w:p w14:paraId="38D65759"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11E1BBD0" w14:textId="77777777" w:rsidR="00520333" w:rsidRPr="003203A1" w:rsidRDefault="00520333" w:rsidP="005E5E0C">
            <w:pPr>
              <w:spacing w:after="0"/>
              <w:rPr>
                <w:rFonts w:cs="Arial"/>
                <w:sz w:val="18"/>
                <w:szCs w:val="18"/>
              </w:rPr>
            </w:pPr>
            <w:r w:rsidRPr="003203A1">
              <w:rPr>
                <w:rFonts w:cs="Arial"/>
                <w:sz w:val="18"/>
                <w:szCs w:val="18"/>
              </w:rPr>
              <w:t> </w:t>
            </w:r>
          </w:p>
        </w:tc>
        <w:tc>
          <w:tcPr>
            <w:tcW w:w="1243" w:type="dxa"/>
            <w:tcBorders>
              <w:top w:val="nil"/>
              <w:left w:val="nil"/>
              <w:bottom w:val="nil"/>
              <w:right w:val="nil"/>
            </w:tcBorders>
            <w:shd w:val="clear" w:color="FFFFFF" w:fill="FFFFFF"/>
            <w:noWrap/>
            <w:vAlign w:val="bottom"/>
            <w:hideMark/>
          </w:tcPr>
          <w:p w14:paraId="1BEEE32C" w14:textId="77777777" w:rsidR="00520333" w:rsidRPr="003203A1" w:rsidRDefault="00520333" w:rsidP="005E5E0C">
            <w:pPr>
              <w:spacing w:after="0"/>
              <w:rPr>
                <w:rFonts w:cs="Arial"/>
                <w:sz w:val="18"/>
                <w:szCs w:val="18"/>
              </w:rPr>
            </w:pPr>
            <w:r w:rsidRPr="003203A1">
              <w:rPr>
                <w:rFonts w:cs="Arial"/>
                <w:sz w:val="18"/>
                <w:szCs w:val="18"/>
              </w:rPr>
              <w:t> </w:t>
            </w:r>
          </w:p>
        </w:tc>
      </w:tr>
      <w:bookmarkEnd w:id="151"/>
      <w:tr w:rsidR="00520333" w:rsidRPr="003203A1" w14:paraId="6227C68F" w14:textId="77777777" w:rsidTr="005E5E0C">
        <w:trPr>
          <w:trHeight w:val="250"/>
        </w:trPr>
        <w:tc>
          <w:tcPr>
            <w:tcW w:w="6357" w:type="dxa"/>
            <w:tcBorders>
              <w:top w:val="nil"/>
              <w:left w:val="nil"/>
              <w:bottom w:val="nil"/>
              <w:right w:val="nil"/>
            </w:tcBorders>
            <w:shd w:val="clear" w:color="FFFFFF" w:fill="FFFFFF"/>
            <w:vAlign w:val="bottom"/>
            <w:hideMark/>
          </w:tcPr>
          <w:p w14:paraId="777859E4" w14:textId="77777777" w:rsidR="00520333" w:rsidRPr="003203A1" w:rsidRDefault="00520333" w:rsidP="005E5E0C">
            <w:pPr>
              <w:spacing w:after="0"/>
              <w:rPr>
                <w:rFonts w:cs="Arial"/>
                <w:sz w:val="18"/>
                <w:szCs w:val="18"/>
              </w:rPr>
            </w:pPr>
            <w:r w:rsidRPr="003203A1">
              <w:rPr>
                <w:rFonts w:cs="Arial"/>
                <w:sz w:val="18"/>
                <w:szCs w:val="18"/>
              </w:rPr>
              <w:t>Interest on lease liabilities</w:t>
            </w:r>
          </w:p>
        </w:tc>
        <w:tc>
          <w:tcPr>
            <w:tcW w:w="1251" w:type="dxa"/>
            <w:tcBorders>
              <w:top w:val="nil"/>
              <w:left w:val="nil"/>
              <w:bottom w:val="nil"/>
              <w:right w:val="nil"/>
            </w:tcBorders>
            <w:shd w:val="clear" w:color="FFFFFF" w:fill="FFFFFF"/>
            <w:noWrap/>
            <w:vAlign w:val="bottom"/>
            <w:hideMark/>
          </w:tcPr>
          <w:p w14:paraId="5F1D6AF9" w14:textId="77777777" w:rsidR="00520333" w:rsidRPr="003203A1" w:rsidRDefault="00520333" w:rsidP="005E5E0C">
            <w:pPr>
              <w:spacing w:after="0"/>
              <w:jc w:val="right"/>
              <w:rPr>
                <w:rFonts w:cs="Arial"/>
                <w:b/>
                <w:bCs/>
                <w:sz w:val="18"/>
                <w:szCs w:val="18"/>
              </w:rPr>
            </w:pPr>
            <w:r w:rsidRPr="003203A1">
              <w:rPr>
                <w:rFonts w:cs="Arial"/>
                <w:b/>
                <w:bCs/>
                <w:sz w:val="18"/>
                <w:szCs w:val="18"/>
              </w:rPr>
              <w:t>3,000</w:t>
            </w:r>
          </w:p>
        </w:tc>
        <w:tc>
          <w:tcPr>
            <w:tcW w:w="236" w:type="dxa"/>
            <w:tcBorders>
              <w:top w:val="nil"/>
              <w:left w:val="nil"/>
              <w:bottom w:val="nil"/>
              <w:right w:val="nil"/>
            </w:tcBorders>
            <w:shd w:val="clear" w:color="FFFFFF" w:fill="FFFFFF"/>
            <w:noWrap/>
            <w:vAlign w:val="bottom"/>
            <w:hideMark/>
          </w:tcPr>
          <w:p w14:paraId="069DC913" w14:textId="77777777" w:rsidR="00520333" w:rsidRPr="003203A1" w:rsidRDefault="00520333" w:rsidP="005E5E0C">
            <w:pPr>
              <w:spacing w:after="0"/>
              <w:rPr>
                <w:rFonts w:cs="Arial"/>
                <w:sz w:val="18"/>
                <w:szCs w:val="18"/>
              </w:rPr>
            </w:pPr>
            <w:r w:rsidRPr="003203A1">
              <w:rPr>
                <w:rFonts w:cs="Arial"/>
                <w:sz w:val="18"/>
                <w:szCs w:val="18"/>
              </w:rPr>
              <w:t> </w:t>
            </w:r>
          </w:p>
        </w:tc>
        <w:tc>
          <w:tcPr>
            <w:tcW w:w="1243" w:type="dxa"/>
            <w:tcBorders>
              <w:top w:val="nil"/>
              <w:left w:val="nil"/>
              <w:bottom w:val="nil"/>
              <w:right w:val="nil"/>
            </w:tcBorders>
            <w:shd w:val="clear" w:color="FFFFFF" w:fill="FFFFFF"/>
            <w:noWrap/>
            <w:vAlign w:val="bottom"/>
            <w:hideMark/>
          </w:tcPr>
          <w:p w14:paraId="6E377F9E" w14:textId="77777777" w:rsidR="00520333" w:rsidRPr="003203A1" w:rsidRDefault="00520333" w:rsidP="005E5E0C">
            <w:pPr>
              <w:spacing w:after="0"/>
              <w:jc w:val="right"/>
              <w:rPr>
                <w:rFonts w:cs="Arial"/>
                <w:sz w:val="18"/>
                <w:szCs w:val="18"/>
              </w:rPr>
            </w:pPr>
            <w:r w:rsidRPr="003203A1">
              <w:rPr>
                <w:rFonts w:cs="Arial"/>
                <w:sz w:val="18"/>
                <w:szCs w:val="18"/>
              </w:rPr>
              <w:t>1,555</w:t>
            </w:r>
          </w:p>
        </w:tc>
      </w:tr>
      <w:tr w:rsidR="00520333" w:rsidRPr="003203A1" w14:paraId="7D2EFD7A" w14:textId="77777777" w:rsidTr="005E5E0C">
        <w:trPr>
          <w:trHeight w:val="250"/>
        </w:trPr>
        <w:tc>
          <w:tcPr>
            <w:tcW w:w="6357" w:type="dxa"/>
            <w:tcBorders>
              <w:top w:val="nil"/>
              <w:left w:val="nil"/>
              <w:bottom w:val="nil"/>
              <w:right w:val="nil"/>
            </w:tcBorders>
            <w:shd w:val="clear" w:color="FFFFFF" w:fill="FFFFFF"/>
            <w:vAlign w:val="bottom"/>
            <w:hideMark/>
          </w:tcPr>
          <w:p w14:paraId="2AF94706" w14:textId="77777777" w:rsidR="00520333" w:rsidRPr="003203A1" w:rsidRDefault="00520333" w:rsidP="005E5E0C">
            <w:pPr>
              <w:spacing w:after="0"/>
              <w:rPr>
                <w:rFonts w:cs="Arial"/>
                <w:sz w:val="18"/>
                <w:szCs w:val="18"/>
              </w:rPr>
            </w:pPr>
            <w:r w:rsidRPr="003203A1">
              <w:rPr>
                <w:rFonts w:cs="Arial"/>
                <w:sz w:val="18"/>
                <w:szCs w:val="18"/>
              </w:rPr>
              <w:t>Unwinding of discount and discount rate movement</w:t>
            </w:r>
          </w:p>
        </w:tc>
        <w:tc>
          <w:tcPr>
            <w:tcW w:w="1251" w:type="dxa"/>
            <w:tcBorders>
              <w:top w:val="nil"/>
              <w:left w:val="nil"/>
              <w:bottom w:val="nil"/>
              <w:right w:val="nil"/>
            </w:tcBorders>
            <w:shd w:val="clear" w:color="FFFFFF" w:fill="FFFFFF"/>
            <w:noWrap/>
            <w:vAlign w:val="bottom"/>
            <w:hideMark/>
          </w:tcPr>
          <w:p w14:paraId="38267A4F" w14:textId="77777777" w:rsidR="00520333" w:rsidRPr="003203A1" w:rsidRDefault="00520333" w:rsidP="005E5E0C">
            <w:pPr>
              <w:spacing w:after="0"/>
              <w:jc w:val="right"/>
              <w:rPr>
                <w:rFonts w:cs="Arial"/>
                <w:b/>
                <w:bCs/>
                <w:sz w:val="18"/>
                <w:szCs w:val="18"/>
              </w:rPr>
            </w:pPr>
            <w:r w:rsidRPr="003203A1">
              <w:rPr>
                <w:rFonts w:cs="Arial"/>
                <w:b/>
                <w:bCs/>
                <w:sz w:val="18"/>
                <w:szCs w:val="18"/>
              </w:rPr>
              <w:t>1,342</w:t>
            </w:r>
          </w:p>
        </w:tc>
        <w:tc>
          <w:tcPr>
            <w:tcW w:w="236" w:type="dxa"/>
            <w:tcBorders>
              <w:top w:val="nil"/>
              <w:left w:val="nil"/>
              <w:bottom w:val="nil"/>
              <w:right w:val="nil"/>
            </w:tcBorders>
            <w:shd w:val="clear" w:color="FFFFFF" w:fill="FFFFFF"/>
            <w:noWrap/>
            <w:vAlign w:val="bottom"/>
            <w:hideMark/>
          </w:tcPr>
          <w:p w14:paraId="372F0D54" w14:textId="77777777" w:rsidR="00520333" w:rsidRPr="003203A1" w:rsidRDefault="00520333" w:rsidP="005E5E0C">
            <w:pPr>
              <w:spacing w:after="0"/>
              <w:rPr>
                <w:rFonts w:cs="Arial"/>
                <w:sz w:val="18"/>
                <w:szCs w:val="18"/>
              </w:rPr>
            </w:pPr>
            <w:r w:rsidRPr="003203A1">
              <w:rPr>
                <w:rFonts w:cs="Arial"/>
                <w:sz w:val="18"/>
                <w:szCs w:val="18"/>
              </w:rPr>
              <w:t> </w:t>
            </w:r>
          </w:p>
        </w:tc>
        <w:tc>
          <w:tcPr>
            <w:tcW w:w="1243" w:type="dxa"/>
            <w:tcBorders>
              <w:top w:val="nil"/>
              <w:left w:val="nil"/>
              <w:bottom w:val="nil"/>
              <w:right w:val="nil"/>
            </w:tcBorders>
            <w:shd w:val="clear" w:color="FFFFFF" w:fill="FFFFFF"/>
            <w:noWrap/>
            <w:vAlign w:val="bottom"/>
            <w:hideMark/>
          </w:tcPr>
          <w:p w14:paraId="231F272F" w14:textId="77777777" w:rsidR="00520333" w:rsidRPr="003203A1" w:rsidRDefault="00520333" w:rsidP="005E5E0C">
            <w:pPr>
              <w:spacing w:after="0"/>
              <w:jc w:val="right"/>
              <w:rPr>
                <w:rFonts w:cs="Arial"/>
                <w:sz w:val="18"/>
                <w:szCs w:val="18"/>
              </w:rPr>
            </w:pPr>
            <w:r w:rsidRPr="003203A1">
              <w:rPr>
                <w:rFonts w:cs="Arial"/>
                <w:sz w:val="18"/>
                <w:szCs w:val="18"/>
              </w:rPr>
              <w:t>393</w:t>
            </w:r>
          </w:p>
        </w:tc>
      </w:tr>
      <w:tr w:rsidR="00520333" w:rsidRPr="003203A1" w14:paraId="7A653DBA" w14:textId="77777777" w:rsidTr="005E5E0C">
        <w:trPr>
          <w:trHeight w:val="260"/>
        </w:trPr>
        <w:tc>
          <w:tcPr>
            <w:tcW w:w="6357" w:type="dxa"/>
            <w:tcBorders>
              <w:top w:val="nil"/>
              <w:left w:val="nil"/>
              <w:bottom w:val="nil"/>
              <w:right w:val="nil"/>
            </w:tcBorders>
            <w:shd w:val="clear" w:color="FFFFFF" w:fill="FFFFFF"/>
            <w:vAlign w:val="bottom"/>
            <w:hideMark/>
          </w:tcPr>
          <w:p w14:paraId="0EBF357F" w14:textId="77777777" w:rsidR="00520333" w:rsidRPr="003203A1" w:rsidRDefault="00520333" w:rsidP="005E5E0C">
            <w:pPr>
              <w:spacing w:after="0"/>
              <w:rPr>
                <w:rFonts w:cs="Arial"/>
                <w:b/>
                <w:bCs/>
                <w:sz w:val="18"/>
                <w:szCs w:val="18"/>
              </w:rPr>
            </w:pPr>
            <w:r w:rsidRPr="003203A1">
              <w:rPr>
                <w:rFonts w:cs="Arial"/>
                <w:b/>
                <w:bCs/>
                <w:sz w:val="18"/>
                <w:szCs w:val="18"/>
              </w:rPr>
              <w:t>Total finance costs</w:t>
            </w:r>
          </w:p>
        </w:tc>
        <w:tc>
          <w:tcPr>
            <w:tcW w:w="1251" w:type="dxa"/>
            <w:tcBorders>
              <w:top w:val="single" w:sz="4" w:space="0" w:color="auto"/>
              <w:left w:val="nil"/>
              <w:bottom w:val="single" w:sz="4" w:space="0" w:color="auto"/>
              <w:right w:val="nil"/>
            </w:tcBorders>
            <w:shd w:val="clear" w:color="FFFFFF" w:fill="FFFFFF"/>
            <w:noWrap/>
            <w:vAlign w:val="bottom"/>
            <w:hideMark/>
          </w:tcPr>
          <w:p w14:paraId="58740C7F" w14:textId="77777777" w:rsidR="00520333" w:rsidRPr="003203A1" w:rsidRDefault="00520333" w:rsidP="005E5E0C">
            <w:pPr>
              <w:spacing w:after="0"/>
              <w:jc w:val="right"/>
              <w:rPr>
                <w:rFonts w:cs="Arial"/>
                <w:b/>
                <w:bCs/>
                <w:sz w:val="18"/>
                <w:szCs w:val="18"/>
              </w:rPr>
            </w:pPr>
            <w:r w:rsidRPr="003203A1">
              <w:rPr>
                <w:rFonts w:cs="Arial"/>
                <w:b/>
                <w:bCs/>
                <w:sz w:val="18"/>
                <w:szCs w:val="18"/>
              </w:rPr>
              <w:t>4,342</w:t>
            </w:r>
          </w:p>
        </w:tc>
        <w:tc>
          <w:tcPr>
            <w:tcW w:w="236" w:type="dxa"/>
            <w:tcBorders>
              <w:top w:val="nil"/>
              <w:left w:val="nil"/>
              <w:bottom w:val="nil"/>
              <w:right w:val="nil"/>
            </w:tcBorders>
            <w:shd w:val="clear" w:color="FFFFFF" w:fill="FFFFFF"/>
            <w:noWrap/>
            <w:vAlign w:val="bottom"/>
            <w:hideMark/>
          </w:tcPr>
          <w:p w14:paraId="77104949" w14:textId="77777777" w:rsidR="00520333" w:rsidRPr="003203A1" w:rsidRDefault="00520333" w:rsidP="005E5E0C">
            <w:pPr>
              <w:spacing w:after="0"/>
              <w:rPr>
                <w:rFonts w:cs="Arial"/>
                <w:sz w:val="18"/>
                <w:szCs w:val="18"/>
              </w:rPr>
            </w:pPr>
            <w:r w:rsidRPr="003203A1">
              <w:rPr>
                <w:rFonts w:cs="Arial"/>
                <w:sz w:val="18"/>
                <w:szCs w:val="18"/>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6D87DF7" w14:textId="77777777" w:rsidR="00520333" w:rsidRPr="003203A1" w:rsidRDefault="00520333" w:rsidP="005E5E0C">
            <w:pPr>
              <w:spacing w:after="0"/>
              <w:jc w:val="right"/>
              <w:rPr>
                <w:rFonts w:cs="Arial"/>
                <w:sz w:val="18"/>
                <w:szCs w:val="18"/>
              </w:rPr>
            </w:pPr>
            <w:r w:rsidRPr="003203A1">
              <w:rPr>
                <w:rFonts w:cs="Arial"/>
                <w:sz w:val="18"/>
                <w:szCs w:val="18"/>
              </w:rPr>
              <w:t>1,948</w:t>
            </w:r>
          </w:p>
        </w:tc>
      </w:tr>
      <w:tr w:rsidR="00520333" w:rsidRPr="003203A1" w14:paraId="60EBF068" w14:textId="77777777" w:rsidTr="005E5E0C">
        <w:trPr>
          <w:trHeight w:val="585"/>
        </w:trPr>
        <w:tc>
          <w:tcPr>
            <w:tcW w:w="9087" w:type="dxa"/>
            <w:gridSpan w:val="4"/>
            <w:tcBorders>
              <w:top w:val="nil"/>
              <w:left w:val="nil"/>
              <w:bottom w:val="nil"/>
              <w:right w:val="nil"/>
            </w:tcBorders>
            <w:shd w:val="clear" w:color="FFFFFF" w:fill="FFFFFF"/>
            <w:vAlign w:val="center"/>
            <w:hideMark/>
          </w:tcPr>
          <w:p w14:paraId="18FDEFF9" w14:textId="77777777" w:rsidR="00520333" w:rsidRPr="003203A1" w:rsidRDefault="00520333" w:rsidP="005E5E0C">
            <w:pPr>
              <w:spacing w:after="0"/>
              <w:rPr>
                <w:rFonts w:cs="Arial"/>
                <w:sz w:val="18"/>
                <w:szCs w:val="18"/>
              </w:rPr>
            </w:pPr>
            <w:r w:rsidRPr="003203A1">
              <w:rPr>
                <w:rFonts w:cs="Arial"/>
                <w:sz w:val="18"/>
                <w:szCs w:val="18"/>
              </w:rPr>
              <w:t>The above lease disclosures should be read in conjunction with the accompanying notes 1.1B, 1.2B, 2.2A and 2.5.</w:t>
            </w:r>
          </w:p>
        </w:tc>
      </w:tr>
    </w:tbl>
    <w:p w14:paraId="5672B486" w14:textId="77777777" w:rsidR="00520333" w:rsidRPr="003203A1" w:rsidRDefault="00520333" w:rsidP="00520333">
      <w:pPr>
        <w:pStyle w:val="PolicyheadingDept"/>
        <w:pBdr>
          <w:left w:val="single" w:sz="4" w:space="4" w:color="800080"/>
          <w:right w:val="single" w:sz="4" w:space="4" w:color="800080"/>
        </w:pBdr>
      </w:pPr>
      <w:r w:rsidRPr="003203A1">
        <w:t>Accounting Policy</w:t>
      </w:r>
    </w:p>
    <w:p w14:paraId="0984645B" w14:textId="77777777" w:rsidR="00520333" w:rsidRPr="003203A1" w:rsidRDefault="00520333" w:rsidP="00520333">
      <w:pPr>
        <w:pStyle w:val="PolicyheadingDept"/>
        <w:pBdr>
          <w:left w:val="single" w:sz="4" w:space="4" w:color="800080"/>
          <w:right w:val="single" w:sz="4" w:space="4" w:color="800080"/>
        </w:pBdr>
      </w:pPr>
      <w:r w:rsidRPr="003203A1">
        <w:rPr>
          <w:b w:val="0"/>
        </w:rPr>
        <w:t>All borrowing costs are expensed as incurred</w:t>
      </w:r>
      <w:r w:rsidRPr="003203A1">
        <w:t xml:space="preserve">. </w:t>
      </w:r>
    </w:p>
    <w:tbl>
      <w:tblPr>
        <w:tblW w:w="9087" w:type="dxa"/>
        <w:tblLayout w:type="fixed"/>
        <w:tblLook w:val="04A0" w:firstRow="1" w:lastRow="0" w:firstColumn="1" w:lastColumn="0" w:noHBand="0" w:noVBand="1"/>
      </w:tblPr>
      <w:tblGrid>
        <w:gridCol w:w="6366"/>
        <w:gridCol w:w="1260"/>
        <w:gridCol w:w="236"/>
        <w:gridCol w:w="1225"/>
      </w:tblGrid>
      <w:tr w:rsidR="00520333" w:rsidRPr="003203A1" w14:paraId="03EE39DF" w14:textId="77777777" w:rsidTr="005E5E0C">
        <w:trPr>
          <w:trHeight w:val="260"/>
        </w:trPr>
        <w:tc>
          <w:tcPr>
            <w:tcW w:w="6366" w:type="dxa"/>
            <w:tcBorders>
              <w:top w:val="nil"/>
              <w:left w:val="nil"/>
              <w:bottom w:val="nil"/>
              <w:right w:val="nil"/>
            </w:tcBorders>
            <w:shd w:val="clear" w:color="FFFFFF" w:fill="FFFFFF"/>
            <w:noWrap/>
            <w:vAlign w:val="bottom"/>
            <w:hideMark/>
          </w:tcPr>
          <w:p w14:paraId="370AAB36" w14:textId="77777777" w:rsidR="00520333" w:rsidRPr="003203A1" w:rsidRDefault="00520333" w:rsidP="005E5E0C">
            <w:pPr>
              <w:spacing w:after="0"/>
              <w:rPr>
                <w:rFonts w:cs="Arial"/>
                <w:b/>
                <w:bCs/>
                <w:sz w:val="18"/>
                <w:szCs w:val="18"/>
                <w:u w:val="single"/>
              </w:rPr>
            </w:pPr>
            <w:bookmarkStart w:id="152" w:name="Note_WDATABLE1" w:colFirst="0" w:colLast="0"/>
            <w:r w:rsidRPr="003203A1">
              <w:rPr>
                <w:rFonts w:cs="Arial"/>
                <w:b/>
                <w:bCs/>
                <w:sz w:val="18"/>
                <w:szCs w:val="18"/>
                <w:u w:val="single"/>
              </w:rPr>
              <w:t>Note 1.1E: Write-down and impairment of other assets</w:t>
            </w:r>
          </w:p>
        </w:tc>
        <w:tc>
          <w:tcPr>
            <w:tcW w:w="1260" w:type="dxa"/>
            <w:tcBorders>
              <w:top w:val="nil"/>
              <w:left w:val="nil"/>
              <w:bottom w:val="nil"/>
              <w:right w:val="nil"/>
            </w:tcBorders>
            <w:shd w:val="clear" w:color="FFFFFF" w:fill="FFFFFF"/>
            <w:noWrap/>
            <w:vAlign w:val="bottom"/>
            <w:hideMark/>
          </w:tcPr>
          <w:p w14:paraId="2F56FA47"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6CC5075"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57376A1A" w14:textId="77777777" w:rsidR="00520333" w:rsidRPr="003203A1" w:rsidRDefault="00520333" w:rsidP="005E5E0C">
            <w:pPr>
              <w:spacing w:after="0"/>
              <w:jc w:val="right"/>
              <w:rPr>
                <w:rFonts w:cs="Arial"/>
                <w:sz w:val="18"/>
                <w:szCs w:val="18"/>
              </w:rPr>
            </w:pPr>
            <w:r w:rsidRPr="003203A1">
              <w:rPr>
                <w:rFonts w:cs="Arial"/>
                <w:sz w:val="18"/>
                <w:szCs w:val="18"/>
              </w:rPr>
              <w:t> </w:t>
            </w:r>
          </w:p>
        </w:tc>
      </w:tr>
      <w:bookmarkEnd w:id="152"/>
      <w:tr w:rsidR="00520333" w:rsidRPr="003203A1" w14:paraId="61F221D9" w14:textId="77777777" w:rsidTr="005E5E0C">
        <w:trPr>
          <w:trHeight w:val="250"/>
        </w:trPr>
        <w:tc>
          <w:tcPr>
            <w:tcW w:w="6366" w:type="dxa"/>
            <w:tcBorders>
              <w:top w:val="nil"/>
              <w:left w:val="nil"/>
              <w:bottom w:val="nil"/>
              <w:right w:val="nil"/>
            </w:tcBorders>
            <w:shd w:val="clear" w:color="FFFFFF" w:fill="FFFFFF"/>
            <w:noWrap/>
            <w:vAlign w:val="bottom"/>
            <w:hideMark/>
          </w:tcPr>
          <w:p w14:paraId="652ECBFE" w14:textId="77777777" w:rsidR="00520333" w:rsidRPr="003203A1" w:rsidRDefault="00520333" w:rsidP="005E5E0C">
            <w:pPr>
              <w:spacing w:after="0"/>
              <w:rPr>
                <w:rFonts w:cs="Arial"/>
                <w:sz w:val="18"/>
                <w:szCs w:val="18"/>
              </w:rPr>
            </w:pPr>
            <w:r w:rsidRPr="003203A1">
              <w:rPr>
                <w:rFonts w:cs="Arial"/>
                <w:sz w:val="18"/>
                <w:szCs w:val="18"/>
              </w:rPr>
              <w:t>Buildings, plant and equipment</w:t>
            </w:r>
          </w:p>
        </w:tc>
        <w:tc>
          <w:tcPr>
            <w:tcW w:w="1260" w:type="dxa"/>
            <w:tcBorders>
              <w:top w:val="nil"/>
              <w:left w:val="nil"/>
              <w:bottom w:val="nil"/>
              <w:right w:val="nil"/>
            </w:tcBorders>
            <w:shd w:val="clear" w:color="FFFFFF" w:fill="FFFFFF"/>
            <w:noWrap/>
            <w:vAlign w:val="bottom"/>
            <w:hideMark/>
          </w:tcPr>
          <w:p w14:paraId="4F54C104" w14:textId="77777777" w:rsidR="00520333" w:rsidRPr="003203A1" w:rsidRDefault="00520333" w:rsidP="005E5E0C">
            <w:pPr>
              <w:spacing w:after="0"/>
              <w:jc w:val="right"/>
              <w:rPr>
                <w:rFonts w:cs="Arial"/>
                <w:b/>
                <w:bCs/>
                <w:sz w:val="18"/>
                <w:szCs w:val="18"/>
              </w:rPr>
            </w:pPr>
            <w:r w:rsidRPr="003203A1">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017D85F5"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4788B0C4" w14:textId="77777777" w:rsidR="00520333" w:rsidRPr="003203A1" w:rsidRDefault="00520333" w:rsidP="005E5E0C">
            <w:pPr>
              <w:spacing w:after="0"/>
              <w:jc w:val="right"/>
              <w:rPr>
                <w:rFonts w:cs="Arial"/>
                <w:sz w:val="18"/>
                <w:szCs w:val="18"/>
              </w:rPr>
            </w:pPr>
            <w:r w:rsidRPr="003203A1">
              <w:rPr>
                <w:rFonts w:cs="Arial"/>
                <w:sz w:val="18"/>
                <w:szCs w:val="18"/>
              </w:rPr>
              <w:t>3,653</w:t>
            </w:r>
          </w:p>
        </w:tc>
      </w:tr>
      <w:tr w:rsidR="00520333" w:rsidRPr="003203A1" w14:paraId="60F1BFB4" w14:textId="77777777" w:rsidTr="005E5E0C">
        <w:trPr>
          <w:trHeight w:val="250"/>
        </w:trPr>
        <w:tc>
          <w:tcPr>
            <w:tcW w:w="6366" w:type="dxa"/>
            <w:tcBorders>
              <w:top w:val="nil"/>
              <w:left w:val="nil"/>
              <w:bottom w:val="nil"/>
              <w:right w:val="nil"/>
            </w:tcBorders>
            <w:shd w:val="clear" w:color="FFFFFF" w:fill="FFFFFF"/>
            <w:noWrap/>
            <w:vAlign w:val="bottom"/>
            <w:hideMark/>
          </w:tcPr>
          <w:p w14:paraId="2109748D" w14:textId="77777777" w:rsidR="00520333" w:rsidRPr="003203A1" w:rsidRDefault="00520333" w:rsidP="005E5E0C">
            <w:pPr>
              <w:spacing w:after="0"/>
              <w:rPr>
                <w:rFonts w:cs="Arial"/>
                <w:sz w:val="18"/>
                <w:szCs w:val="18"/>
              </w:rPr>
            </w:pPr>
            <w:r w:rsidRPr="003203A1">
              <w:rPr>
                <w:rFonts w:cs="Arial"/>
                <w:sz w:val="18"/>
                <w:szCs w:val="18"/>
              </w:rPr>
              <w:t>Goods and Services - external parties</w:t>
            </w:r>
          </w:p>
        </w:tc>
        <w:tc>
          <w:tcPr>
            <w:tcW w:w="1260" w:type="dxa"/>
            <w:tcBorders>
              <w:top w:val="nil"/>
              <w:left w:val="nil"/>
              <w:bottom w:val="nil"/>
              <w:right w:val="nil"/>
            </w:tcBorders>
            <w:shd w:val="clear" w:color="FFFFFF" w:fill="FFFFFF"/>
            <w:noWrap/>
            <w:vAlign w:val="bottom"/>
            <w:hideMark/>
          </w:tcPr>
          <w:p w14:paraId="02C8FC39" w14:textId="77777777" w:rsidR="00520333" w:rsidRPr="003203A1" w:rsidRDefault="00520333" w:rsidP="005E5E0C">
            <w:pPr>
              <w:spacing w:after="0"/>
              <w:jc w:val="right"/>
              <w:rPr>
                <w:rFonts w:cs="Arial"/>
                <w:b/>
                <w:bCs/>
                <w:sz w:val="18"/>
                <w:szCs w:val="18"/>
              </w:rPr>
            </w:pPr>
            <w:r w:rsidRPr="003203A1">
              <w:rPr>
                <w:rFonts w:cs="Arial"/>
                <w:b/>
                <w:bCs/>
                <w:sz w:val="18"/>
                <w:szCs w:val="18"/>
              </w:rPr>
              <w:t>35,939</w:t>
            </w:r>
          </w:p>
        </w:tc>
        <w:tc>
          <w:tcPr>
            <w:tcW w:w="236" w:type="dxa"/>
            <w:tcBorders>
              <w:top w:val="nil"/>
              <w:left w:val="nil"/>
              <w:bottom w:val="nil"/>
              <w:right w:val="nil"/>
            </w:tcBorders>
            <w:shd w:val="clear" w:color="FFFFFF" w:fill="FFFFFF"/>
            <w:noWrap/>
            <w:vAlign w:val="bottom"/>
            <w:hideMark/>
          </w:tcPr>
          <w:p w14:paraId="7380D69E"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30B66948" w14:textId="77777777" w:rsidR="00520333" w:rsidRPr="003203A1" w:rsidRDefault="00520333" w:rsidP="005E5E0C">
            <w:pPr>
              <w:spacing w:after="0"/>
              <w:jc w:val="right"/>
              <w:rPr>
                <w:rFonts w:cs="Arial"/>
                <w:sz w:val="18"/>
                <w:szCs w:val="18"/>
              </w:rPr>
            </w:pPr>
            <w:r w:rsidRPr="003203A1">
              <w:rPr>
                <w:rFonts w:cs="Arial"/>
                <w:sz w:val="18"/>
                <w:szCs w:val="18"/>
              </w:rPr>
              <w:t>-</w:t>
            </w:r>
          </w:p>
        </w:tc>
      </w:tr>
      <w:tr w:rsidR="00520333" w:rsidRPr="003203A1" w14:paraId="7797E4AD" w14:textId="77777777" w:rsidTr="005E5E0C">
        <w:trPr>
          <w:trHeight w:val="250"/>
        </w:trPr>
        <w:tc>
          <w:tcPr>
            <w:tcW w:w="6366" w:type="dxa"/>
            <w:tcBorders>
              <w:top w:val="nil"/>
              <w:left w:val="nil"/>
              <w:bottom w:val="nil"/>
              <w:right w:val="nil"/>
            </w:tcBorders>
            <w:shd w:val="clear" w:color="FFFFFF" w:fill="FFFFFF"/>
            <w:noWrap/>
            <w:vAlign w:val="bottom"/>
            <w:hideMark/>
          </w:tcPr>
          <w:p w14:paraId="35544059" w14:textId="77777777" w:rsidR="00520333" w:rsidRPr="003203A1" w:rsidRDefault="00520333" w:rsidP="005E5E0C">
            <w:pPr>
              <w:spacing w:after="0"/>
              <w:rPr>
                <w:rFonts w:cs="Arial"/>
                <w:sz w:val="18"/>
                <w:szCs w:val="18"/>
              </w:rPr>
            </w:pPr>
            <w:r w:rsidRPr="003203A1">
              <w:rPr>
                <w:rFonts w:cs="Arial"/>
                <w:sz w:val="18"/>
                <w:szCs w:val="18"/>
              </w:rPr>
              <w:t>Participant and provider receivables</w:t>
            </w:r>
          </w:p>
        </w:tc>
        <w:tc>
          <w:tcPr>
            <w:tcW w:w="1260" w:type="dxa"/>
            <w:tcBorders>
              <w:top w:val="nil"/>
              <w:left w:val="nil"/>
              <w:bottom w:val="nil"/>
              <w:right w:val="nil"/>
            </w:tcBorders>
            <w:shd w:val="clear" w:color="FFFFFF" w:fill="FFFFFF"/>
            <w:noWrap/>
            <w:vAlign w:val="bottom"/>
            <w:hideMark/>
          </w:tcPr>
          <w:p w14:paraId="7C3555A5" w14:textId="77777777" w:rsidR="00520333" w:rsidRPr="003203A1" w:rsidRDefault="00520333" w:rsidP="005E5E0C">
            <w:pPr>
              <w:spacing w:after="0"/>
              <w:jc w:val="right"/>
              <w:rPr>
                <w:rFonts w:cs="Arial"/>
                <w:b/>
                <w:bCs/>
                <w:sz w:val="18"/>
                <w:szCs w:val="18"/>
              </w:rPr>
            </w:pPr>
            <w:r w:rsidRPr="003203A1">
              <w:rPr>
                <w:rFonts w:cs="Arial"/>
                <w:b/>
                <w:bCs/>
                <w:sz w:val="18"/>
                <w:szCs w:val="18"/>
              </w:rPr>
              <w:t>6,761</w:t>
            </w:r>
          </w:p>
        </w:tc>
        <w:tc>
          <w:tcPr>
            <w:tcW w:w="236" w:type="dxa"/>
            <w:tcBorders>
              <w:top w:val="nil"/>
              <w:left w:val="nil"/>
              <w:bottom w:val="nil"/>
              <w:right w:val="nil"/>
            </w:tcBorders>
            <w:shd w:val="clear" w:color="FFFFFF" w:fill="FFFFFF"/>
            <w:noWrap/>
            <w:vAlign w:val="bottom"/>
            <w:hideMark/>
          </w:tcPr>
          <w:p w14:paraId="25238771"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5F0FAE20" w14:textId="77777777" w:rsidR="00520333" w:rsidRPr="003203A1" w:rsidRDefault="00520333" w:rsidP="005E5E0C">
            <w:pPr>
              <w:spacing w:after="0"/>
              <w:jc w:val="right"/>
              <w:rPr>
                <w:rFonts w:cs="Arial"/>
                <w:sz w:val="18"/>
                <w:szCs w:val="18"/>
              </w:rPr>
            </w:pPr>
            <w:r w:rsidRPr="003203A1">
              <w:rPr>
                <w:rFonts w:cs="Arial"/>
                <w:sz w:val="18"/>
                <w:szCs w:val="18"/>
              </w:rPr>
              <w:t>3,173</w:t>
            </w:r>
          </w:p>
        </w:tc>
      </w:tr>
      <w:tr w:rsidR="00520333" w:rsidRPr="003203A1" w14:paraId="486DFBDE" w14:textId="77777777" w:rsidTr="005E5E0C">
        <w:trPr>
          <w:trHeight w:val="250"/>
        </w:trPr>
        <w:tc>
          <w:tcPr>
            <w:tcW w:w="6366" w:type="dxa"/>
            <w:tcBorders>
              <w:top w:val="nil"/>
              <w:left w:val="nil"/>
              <w:bottom w:val="nil"/>
              <w:right w:val="nil"/>
            </w:tcBorders>
            <w:shd w:val="clear" w:color="FFFFFF" w:fill="FFFFFF"/>
            <w:noWrap/>
            <w:vAlign w:val="bottom"/>
            <w:hideMark/>
          </w:tcPr>
          <w:p w14:paraId="192CC5FF" w14:textId="77777777" w:rsidR="00520333" w:rsidRPr="003203A1" w:rsidRDefault="00520333" w:rsidP="005E5E0C">
            <w:pPr>
              <w:spacing w:after="0"/>
              <w:rPr>
                <w:rFonts w:cs="Arial"/>
                <w:sz w:val="18"/>
                <w:szCs w:val="18"/>
              </w:rPr>
            </w:pPr>
            <w:r w:rsidRPr="003203A1">
              <w:rPr>
                <w:rFonts w:cs="Arial"/>
                <w:sz w:val="18"/>
                <w:szCs w:val="18"/>
              </w:rPr>
              <w:t>Other receivables</w:t>
            </w:r>
          </w:p>
        </w:tc>
        <w:tc>
          <w:tcPr>
            <w:tcW w:w="1260" w:type="dxa"/>
            <w:tcBorders>
              <w:top w:val="nil"/>
              <w:left w:val="nil"/>
              <w:bottom w:val="nil"/>
              <w:right w:val="nil"/>
            </w:tcBorders>
            <w:shd w:val="clear" w:color="FFFFFF" w:fill="FFFFFF"/>
            <w:noWrap/>
            <w:vAlign w:val="bottom"/>
            <w:hideMark/>
          </w:tcPr>
          <w:p w14:paraId="65B498EF" w14:textId="77777777" w:rsidR="00520333" w:rsidRPr="003203A1" w:rsidRDefault="00520333" w:rsidP="005E5E0C">
            <w:pPr>
              <w:spacing w:after="0"/>
              <w:jc w:val="right"/>
              <w:rPr>
                <w:rFonts w:cs="Arial"/>
                <w:b/>
                <w:bCs/>
                <w:sz w:val="18"/>
                <w:szCs w:val="18"/>
              </w:rPr>
            </w:pPr>
            <w:r w:rsidRPr="003203A1">
              <w:rPr>
                <w:rFonts w:cs="Arial"/>
                <w:b/>
                <w:bCs/>
                <w:sz w:val="18"/>
                <w:szCs w:val="18"/>
              </w:rPr>
              <w:t>17</w:t>
            </w:r>
          </w:p>
        </w:tc>
        <w:tc>
          <w:tcPr>
            <w:tcW w:w="236" w:type="dxa"/>
            <w:tcBorders>
              <w:top w:val="nil"/>
              <w:left w:val="nil"/>
              <w:bottom w:val="nil"/>
              <w:right w:val="nil"/>
            </w:tcBorders>
            <w:shd w:val="clear" w:color="FFFFFF" w:fill="FFFFFF"/>
            <w:noWrap/>
            <w:vAlign w:val="bottom"/>
            <w:hideMark/>
          </w:tcPr>
          <w:p w14:paraId="5C5BE5BC"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nil"/>
              <w:left w:val="nil"/>
              <w:bottom w:val="nil"/>
              <w:right w:val="nil"/>
            </w:tcBorders>
            <w:shd w:val="clear" w:color="FFFFFF" w:fill="FFFFFF"/>
            <w:noWrap/>
            <w:vAlign w:val="bottom"/>
            <w:hideMark/>
          </w:tcPr>
          <w:p w14:paraId="4C894020" w14:textId="77777777" w:rsidR="00520333" w:rsidRPr="003203A1" w:rsidRDefault="00520333" w:rsidP="005E5E0C">
            <w:pPr>
              <w:spacing w:after="0"/>
              <w:jc w:val="right"/>
              <w:rPr>
                <w:rFonts w:cs="Arial"/>
                <w:sz w:val="18"/>
                <w:szCs w:val="18"/>
              </w:rPr>
            </w:pPr>
            <w:r w:rsidRPr="003203A1">
              <w:rPr>
                <w:rFonts w:cs="Arial"/>
                <w:sz w:val="18"/>
                <w:szCs w:val="18"/>
              </w:rPr>
              <w:t>2,468</w:t>
            </w:r>
          </w:p>
        </w:tc>
      </w:tr>
      <w:tr w:rsidR="00520333" w:rsidRPr="003203A1" w14:paraId="5CEEED32" w14:textId="77777777" w:rsidTr="005E5E0C">
        <w:trPr>
          <w:trHeight w:val="250"/>
        </w:trPr>
        <w:tc>
          <w:tcPr>
            <w:tcW w:w="6366" w:type="dxa"/>
            <w:tcBorders>
              <w:top w:val="nil"/>
              <w:left w:val="nil"/>
              <w:bottom w:val="nil"/>
              <w:right w:val="nil"/>
            </w:tcBorders>
            <w:shd w:val="clear" w:color="FFFFFF" w:fill="FFFFFF"/>
            <w:vAlign w:val="bottom"/>
            <w:hideMark/>
          </w:tcPr>
          <w:p w14:paraId="3E64513C" w14:textId="77777777" w:rsidR="00520333" w:rsidRPr="003203A1" w:rsidRDefault="00520333" w:rsidP="005E5E0C">
            <w:pPr>
              <w:spacing w:after="0"/>
              <w:rPr>
                <w:rFonts w:cs="Arial"/>
                <w:b/>
                <w:bCs/>
                <w:sz w:val="18"/>
                <w:szCs w:val="18"/>
              </w:rPr>
            </w:pPr>
            <w:r w:rsidRPr="003203A1">
              <w:rPr>
                <w:rFonts w:cs="Arial"/>
                <w:b/>
                <w:bCs/>
                <w:sz w:val="18"/>
                <w:szCs w:val="18"/>
              </w:rPr>
              <w:t>Total write-down and impairment of other assets</w:t>
            </w:r>
          </w:p>
        </w:tc>
        <w:tc>
          <w:tcPr>
            <w:tcW w:w="1260" w:type="dxa"/>
            <w:tcBorders>
              <w:top w:val="single" w:sz="4" w:space="0" w:color="auto"/>
              <w:left w:val="nil"/>
              <w:bottom w:val="single" w:sz="4" w:space="0" w:color="auto"/>
              <w:right w:val="nil"/>
            </w:tcBorders>
            <w:shd w:val="clear" w:color="FFFFFF" w:fill="FFFFFF"/>
            <w:noWrap/>
            <w:vAlign w:val="bottom"/>
            <w:hideMark/>
          </w:tcPr>
          <w:p w14:paraId="298D3F9E" w14:textId="77777777" w:rsidR="00520333" w:rsidRPr="003203A1" w:rsidRDefault="00520333" w:rsidP="005E5E0C">
            <w:pPr>
              <w:spacing w:after="0"/>
              <w:jc w:val="right"/>
              <w:rPr>
                <w:rFonts w:cs="Arial"/>
                <w:b/>
                <w:bCs/>
                <w:sz w:val="18"/>
                <w:szCs w:val="18"/>
              </w:rPr>
            </w:pPr>
            <w:r w:rsidRPr="003203A1">
              <w:rPr>
                <w:rFonts w:cs="Arial"/>
                <w:b/>
                <w:bCs/>
                <w:sz w:val="18"/>
                <w:szCs w:val="18"/>
              </w:rPr>
              <w:t>42,717</w:t>
            </w:r>
          </w:p>
        </w:tc>
        <w:tc>
          <w:tcPr>
            <w:tcW w:w="236" w:type="dxa"/>
            <w:tcBorders>
              <w:top w:val="nil"/>
              <w:left w:val="nil"/>
              <w:bottom w:val="nil"/>
              <w:right w:val="nil"/>
            </w:tcBorders>
            <w:shd w:val="clear" w:color="FFFFFF" w:fill="FFFFFF"/>
            <w:noWrap/>
            <w:vAlign w:val="bottom"/>
            <w:hideMark/>
          </w:tcPr>
          <w:p w14:paraId="2ACE5B8E" w14:textId="77777777" w:rsidR="00520333" w:rsidRPr="003203A1" w:rsidRDefault="00520333" w:rsidP="005E5E0C">
            <w:pPr>
              <w:spacing w:after="0"/>
              <w:rPr>
                <w:rFonts w:cs="Arial"/>
                <w:sz w:val="18"/>
                <w:szCs w:val="18"/>
              </w:rPr>
            </w:pPr>
            <w:r w:rsidRPr="003203A1">
              <w:rPr>
                <w:rFonts w:cs="Arial"/>
                <w:sz w:val="18"/>
                <w:szCs w:val="18"/>
              </w:rPr>
              <w:t> </w:t>
            </w:r>
          </w:p>
        </w:tc>
        <w:tc>
          <w:tcPr>
            <w:tcW w:w="1225" w:type="dxa"/>
            <w:tcBorders>
              <w:top w:val="single" w:sz="4" w:space="0" w:color="auto"/>
              <w:left w:val="nil"/>
              <w:bottom w:val="single" w:sz="4" w:space="0" w:color="auto"/>
              <w:right w:val="nil"/>
            </w:tcBorders>
            <w:shd w:val="clear" w:color="FFFFFF" w:fill="FFFFFF"/>
            <w:noWrap/>
            <w:vAlign w:val="bottom"/>
            <w:hideMark/>
          </w:tcPr>
          <w:p w14:paraId="499B112E" w14:textId="77777777" w:rsidR="00520333" w:rsidRPr="003203A1" w:rsidRDefault="00520333" w:rsidP="005E5E0C">
            <w:pPr>
              <w:spacing w:after="0"/>
              <w:jc w:val="right"/>
              <w:rPr>
                <w:rFonts w:cs="Arial"/>
                <w:sz w:val="18"/>
                <w:szCs w:val="18"/>
              </w:rPr>
            </w:pPr>
            <w:r w:rsidRPr="003203A1">
              <w:rPr>
                <w:rFonts w:cs="Arial"/>
                <w:sz w:val="18"/>
                <w:szCs w:val="18"/>
              </w:rPr>
              <w:t>9,294</w:t>
            </w:r>
          </w:p>
        </w:tc>
      </w:tr>
    </w:tbl>
    <w:p w14:paraId="550E8F0C" w14:textId="77777777" w:rsidR="00520333" w:rsidRPr="003203A1" w:rsidRDefault="00520333" w:rsidP="00520333">
      <w:pPr>
        <w:pStyle w:val="PolicytextDept"/>
        <w:pBdr>
          <w:top w:val="none" w:sz="0" w:space="0" w:color="auto"/>
          <w:left w:val="none" w:sz="0" w:space="0" w:color="auto"/>
          <w:bottom w:val="none" w:sz="0" w:space="0" w:color="auto"/>
          <w:right w:val="none" w:sz="0" w:space="0" w:color="auto"/>
        </w:pBdr>
        <w:rPr>
          <w:b/>
        </w:rPr>
      </w:pP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2E941C6A" w14:textId="77777777" w:rsidTr="005E5E0C">
        <w:trPr>
          <w:trHeight w:val="253"/>
        </w:trPr>
        <w:tc>
          <w:tcPr>
            <w:tcW w:w="6351" w:type="dxa"/>
            <w:tcBorders>
              <w:top w:val="nil"/>
              <w:left w:val="nil"/>
              <w:bottom w:val="nil"/>
              <w:right w:val="nil"/>
            </w:tcBorders>
            <w:shd w:val="clear" w:color="FFFFFF" w:fill="FFFFFF"/>
            <w:noWrap/>
            <w:vAlign w:val="bottom"/>
            <w:hideMark/>
          </w:tcPr>
          <w:p w14:paraId="2A92B12D" w14:textId="77777777" w:rsidR="00520333" w:rsidRPr="003203A1" w:rsidRDefault="00520333" w:rsidP="005E5E0C">
            <w:pPr>
              <w:spacing w:after="0"/>
              <w:rPr>
                <w:rFonts w:cs="Arial"/>
                <w:b/>
                <w:bCs/>
                <w:sz w:val="18"/>
                <w:szCs w:val="18"/>
                <w:u w:val="single"/>
              </w:rPr>
            </w:pPr>
            <w:bookmarkStart w:id="153" w:name="Note_SCCTABLE1" w:colFirst="0" w:colLast="0"/>
            <w:r w:rsidRPr="003203A1">
              <w:rPr>
                <w:rFonts w:cs="Arial"/>
                <w:b/>
                <w:bCs/>
                <w:sz w:val="18"/>
                <w:szCs w:val="18"/>
                <w:u w:val="single"/>
              </w:rPr>
              <w:t>Note 1.1F: Community partnership costs</w:t>
            </w:r>
          </w:p>
        </w:tc>
        <w:tc>
          <w:tcPr>
            <w:tcW w:w="1259" w:type="dxa"/>
            <w:tcBorders>
              <w:top w:val="nil"/>
              <w:left w:val="nil"/>
              <w:bottom w:val="nil"/>
              <w:right w:val="nil"/>
            </w:tcBorders>
            <w:shd w:val="clear" w:color="FFFFFF" w:fill="FFFFFF"/>
            <w:noWrap/>
            <w:vAlign w:val="bottom"/>
            <w:hideMark/>
          </w:tcPr>
          <w:p w14:paraId="58A3E1D0"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221AD9EE"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7B27527A" w14:textId="77777777" w:rsidR="00520333" w:rsidRPr="003203A1" w:rsidRDefault="00520333" w:rsidP="005E5E0C">
            <w:pPr>
              <w:spacing w:after="0"/>
              <w:rPr>
                <w:rFonts w:cs="Arial"/>
                <w:sz w:val="18"/>
                <w:szCs w:val="18"/>
              </w:rPr>
            </w:pPr>
            <w:r w:rsidRPr="003203A1">
              <w:rPr>
                <w:rFonts w:cs="Arial"/>
                <w:sz w:val="18"/>
                <w:szCs w:val="18"/>
              </w:rPr>
              <w:t> </w:t>
            </w:r>
          </w:p>
        </w:tc>
      </w:tr>
      <w:bookmarkEnd w:id="153"/>
      <w:tr w:rsidR="00520333" w:rsidRPr="003203A1" w14:paraId="35ECF667" w14:textId="77777777" w:rsidTr="005E5E0C">
        <w:trPr>
          <w:trHeight w:val="253"/>
        </w:trPr>
        <w:tc>
          <w:tcPr>
            <w:tcW w:w="6351" w:type="dxa"/>
            <w:tcBorders>
              <w:top w:val="nil"/>
              <w:left w:val="nil"/>
              <w:bottom w:val="nil"/>
              <w:right w:val="nil"/>
            </w:tcBorders>
            <w:shd w:val="clear" w:color="FFFFFF" w:fill="FFFFFF"/>
            <w:vAlign w:val="bottom"/>
            <w:hideMark/>
          </w:tcPr>
          <w:p w14:paraId="0312DF5C" w14:textId="77777777" w:rsidR="00520333" w:rsidRPr="003203A1" w:rsidRDefault="00520333" w:rsidP="005E5E0C">
            <w:pPr>
              <w:spacing w:after="0"/>
              <w:rPr>
                <w:rFonts w:cs="Arial"/>
                <w:sz w:val="18"/>
                <w:szCs w:val="18"/>
              </w:rPr>
            </w:pPr>
            <w:r w:rsidRPr="003203A1">
              <w:rPr>
                <w:rFonts w:cs="Arial"/>
                <w:sz w:val="18"/>
                <w:szCs w:val="18"/>
              </w:rPr>
              <w:t>Early Childhood costs</w:t>
            </w:r>
          </w:p>
        </w:tc>
        <w:tc>
          <w:tcPr>
            <w:tcW w:w="1259" w:type="dxa"/>
            <w:tcBorders>
              <w:top w:val="nil"/>
              <w:left w:val="nil"/>
              <w:bottom w:val="nil"/>
              <w:right w:val="nil"/>
            </w:tcBorders>
            <w:shd w:val="clear" w:color="FFFFFF" w:fill="FFFFFF"/>
            <w:noWrap/>
            <w:vAlign w:val="bottom"/>
            <w:hideMark/>
          </w:tcPr>
          <w:p w14:paraId="060F7F87" w14:textId="77777777" w:rsidR="00520333" w:rsidRPr="003203A1" w:rsidRDefault="00520333" w:rsidP="005E5E0C">
            <w:pPr>
              <w:spacing w:after="0"/>
              <w:jc w:val="right"/>
              <w:rPr>
                <w:rFonts w:cs="Arial"/>
                <w:b/>
                <w:bCs/>
                <w:sz w:val="18"/>
                <w:szCs w:val="18"/>
              </w:rPr>
            </w:pPr>
            <w:r w:rsidRPr="003203A1">
              <w:rPr>
                <w:rFonts w:cs="Arial"/>
                <w:b/>
                <w:bCs/>
                <w:sz w:val="18"/>
                <w:szCs w:val="18"/>
              </w:rPr>
              <w:t>211,281</w:t>
            </w:r>
          </w:p>
        </w:tc>
        <w:tc>
          <w:tcPr>
            <w:tcW w:w="236" w:type="dxa"/>
            <w:tcBorders>
              <w:top w:val="nil"/>
              <w:left w:val="nil"/>
              <w:bottom w:val="nil"/>
              <w:right w:val="nil"/>
            </w:tcBorders>
            <w:shd w:val="clear" w:color="FFFFFF" w:fill="FFFFFF"/>
            <w:noWrap/>
            <w:vAlign w:val="bottom"/>
            <w:hideMark/>
          </w:tcPr>
          <w:p w14:paraId="1B9C0CE1"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4CA6CC00" w14:textId="77777777" w:rsidR="00520333" w:rsidRPr="003203A1" w:rsidRDefault="00520333" w:rsidP="005E5E0C">
            <w:pPr>
              <w:spacing w:after="0"/>
              <w:jc w:val="right"/>
              <w:rPr>
                <w:rFonts w:cs="Arial"/>
                <w:sz w:val="18"/>
                <w:szCs w:val="18"/>
              </w:rPr>
            </w:pPr>
            <w:r w:rsidRPr="003203A1">
              <w:rPr>
                <w:rFonts w:cs="Arial"/>
                <w:sz w:val="18"/>
                <w:szCs w:val="18"/>
              </w:rPr>
              <w:t>197,762</w:t>
            </w:r>
          </w:p>
        </w:tc>
      </w:tr>
      <w:tr w:rsidR="00520333" w:rsidRPr="003203A1" w14:paraId="1FBC9246" w14:textId="77777777" w:rsidTr="005E5E0C">
        <w:trPr>
          <w:trHeight w:val="253"/>
        </w:trPr>
        <w:tc>
          <w:tcPr>
            <w:tcW w:w="6351" w:type="dxa"/>
            <w:tcBorders>
              <w:top w:val="nil"/>
              <w:left w:val="nil"/>
              <w:bottom w:val="nil"/>
              <w:right w:val="nil"/>
            </w:tcBorders>
            <w:shd w:val="clear" w:color="FFFFFF" w:fill="FFFFFF"/>
            <w:vAlign w:val="bottom"/>
            <w:hideMark/>
          </w:tcPr>
          <w:p w14:paraId="5EB599D8" w14:textId="77777777" w:rsidR="00520333" w:rsidRPr="003203A1" w:rsidRDefault="00520333" w:rsidP="005E5E0C">
            <w:pPr>
              <w:spacing w:after="0"/>
              <w:rPr>
                <w:rFonts w:cs="Arial"/>
                <w:sz w:val="18"/>
                <w:szCs w:val="18"/>
              </w:rPr>
            </w:pPr>
            <w:r w:rsidRPr="003203A1">
              <w:rPr>
                <w:rFonts w:cs="Arial"/>
                <w:sz w:val="18"/>
                <w:szCs w:val="18"/>
              </w:rPr>
              <w:t>Exceptionally Complex Support Needs costs</w:t>
            </w:r>
          </w:p>
        </w:tc>
        <w:tc>
          <w:tcPr>
            <w:tcW w:w="1259" w:type="dxa"/>
            <w:tcBorders>
              <w:top w:val="nil"/>
              <w:left w:val="nil"/>
              <w:bottom w:val="nil"/>
              <w:right w:val="nil"/>
            </w:tcBorders>
            <w:shd w:val="clear" w:color="FFFFFF" w:fill="FFFFFF"/>
            <w:noWrap/>
            <w:vAlign w:val="bottom"/>
            <w:hideMark/>
          </w:tcPr>
          <w:p w14:paraId="77DBD7CB" w14:textId="77777777" w:rsidR="00520333" w:rsidRPr="003203A1" w:rsidRDefault="00520333" w:rsidP="005E5E0C">
            <w:pPr>
              <w:spacing w:after="0"/>
              <w:jc w:val="right"/>
              <w:rPr>
                <w:rFonts w:cs="Arial"/>
                <w:b/>
                <w:bCs/>
                <w:sz w:val="18"/>
                <w:szCs w:val="18"/>
              </w:rPr>
            </w:pPr>
            <w:r w:rsidRPr="003203A1">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47F28F44"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3F6EFBBF" w14:textId="77777777" w:rsidR="00520333" w:rsidRPr="003203A1" w:rsidRDefault="00520333" w:rsidP="005E5E0C">
            <w:pPr>
              <w:spacing w:after="0"/>
              <w:jc w:val="right"/>
              <w:rPr>
                <w:rFonts w:cs="Arial"/>
                <w:sz w:val="18"/>
                <w:szCs w:val="18"/>
              </w:rPr>
            </w:pPr>
            <w:r w:rsidRPr="003203A1">
              <w:rPr>
                <w:rFonts w:cs="Arial"/>
                <w:sz w:val="18"/>
                <w:szCs w:val="18"/>
              </w:rPr>
              <w:t>57</w:t>
            </w:r>
          </w:p>
        </w:tc>
      </w:tr>
      <w:tr w:rsidR="00520333" w:rsidRPr="003203A1" w14:paraId="7EF2970E" w14:textId="77777777" w:rsidTr="005E5E0C">
        <w:trPr>
          <w:trHeight w:val="253"/>
        </w:trPr>
        <w:tc>
          <w:tcPr>
            <w:tcW w:w="6351" w:type="dxa"/>
            <w:tcBorders>
              <w:top w:val="nil"/>
              <w:left w:val="nil"/>
              <w:bottom w:val="nil"/>
              <w:right w:val="nil"/>
            </w:tcBorders>
            <w:shd w:val="clear" w:color="FFFFFF" w:fill="FFFFFF"/>
            <w:vAlign w:val="bottom"/>
            <w:hideMark/>
          </w:tcPr>
          <w:p w14:paraId="204450A3" w14:textId="77777777" w:rsidR="00520333" w:rsidRPr="003203A1" w:rsidRDefault="00520333" w:rsidP="005E5E0C">
            <w:pPr>
              <w:spacing w:after="0"/>
              <w:rPr>
                <w:rFonts w:cs="Arial"/>
                <w:sz w:val="18"/>
                <w:szCs w:val="18"/>
              </w:rPr>
            </w:pPr>
            <w:r w:rsidRPr="003203A1">
              <w:rPr>
                <w:rFonts w:cs="Arial"/>
                <w:sz w:val="18"/>
                <w:szCs w:val="18"/>
              </w:rPr>
              <w:t>Local Area Coordination costs</w:t>
            </w:r>
          </w:p>
        </w:tc>
        <w:tc>
          <w:tcPr>
            <w:tcW w:w="1259" w:type="dxa"/>
            <w:tcBorders>
              <w:top w:val="nil"/>
              <w:left w:val="nil"/>
              <w:bottom w:val="nil"/>
              <w:right w:val="nil"/>
            </w:tcBorders>
            <w:shd w:val="clear" w:color="FFFFFF" w:fill="FFFFFF"/>
            <w:noWrap/>
            <w:vAlign w:val="bottom"/>
            <w:hideMark/>
          </w:tcPr>
          <w:p w14:paraId="77D64272" w14:textId="77777777" w:rsidR="00520333" w:rsidRPr="003203A1" w:rsidRDefault="00520333" w:rsidP="005E5E0C">
            <w:pPr>
              <w:spacing w:after="0"/>
              <w:jc w:val="right"/>
              <w:rPr>
                <w:rFonts w:cs="Arial"/>
                <w:b/>
                <w:bCs/>
                <w:sz w:val="18"/>
                <w:szCs w:val="18"/>
              </w:rPr>
            </w:pPr>
            <w:r w:rsidRPr="003203A1">
              <w:rPr>
                <w:rFonts w:cs="Arial"/>
                <w:b/>
                <w:bCs/>
                <w:sz w:val="18"/>
                <w:szCs w:val="18"/>
              </w:rPr>
              <w:t>394,458</w:t>
            </w:r>
          </w:p>
        </w:tc>
        <w:tc>
          <w:tcPr>
            <w:tcW w:w="236" w:type="dxa"/>
            <w:tcBorders>
              <w:top w:val="nil"/>
              <w:left w:val="nil"/>
              <w:bottom w:val="nil"/>
              <w:right w:val="nil"/>
            </w:tcBorders>
            <w:shd w:val="clear" w:color="FFFFFF" w:fill="FFFFFF"/>
            <w:noWrap/>
            <w:vAlign w:val="bottom"/>
            <w:hideMark/>
          </w:tcPr>
          <w:p w14:paraId="71C00952"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6F327D02" w14:textId="77777777" w:rsidR="00520333" w:rsidRPr="003203A1" w:rsidRDefault="00520333" w:rsidP="005E5E0C">
            <w:pPr>
              <w:spacing w:after="0"/>
              <w:jc w:val="right"/>
              <w:rPr>
                <w:rFonts w:cs="Arial"/>
                <w:sz w:val="18"/>
                <w:szCs w:val="18"/>
              </w:rPr>
            </w:pPr>
            <w:r w:rsidRPr="003203A1">
              <w:rPr>
                <w:rFonts w:cs="Arial"/>
                <w:sz w:val="18"/>
                <w:szCs w:val="18"/>
              </w:rPr>
              <w:t>406,527</w:t>
            </w:r>
          </w:p>
        </w:tc>
      </w:tr>
      <w:tr w:rsidR="00520333" w:rsidRPr="003203A1" w14:paraId="3CC6A476" w14:textId="77777777" w:rsidTr="005E5E0C">
        <w:trPr>
          <w:trHeight w:val="253"/>
        </w:trPr>
        <w:tc>
          <w:tcPr>
            <w:tcW w:w="6351" w:type="dxa"/>
            <w:tcBorders>
              <w:top w:val="nil"/>
              <w:left w:val="nil"/>
              <w:bottom w:val="nil"/>
              <w:right w:val="nil"/>
            </w:tcBorders>
            <w:shd w:val="clear" w:color="FFFFFF" w:fill="FFFFFF"/>
            <w:vAlign w:val="bottom"/>
            <w:hideMark/>
          </w:tcPr>
          <w:p w14:paraId="3B99F27E" w14:textId="77777777" w:rsidR="00520333" w:rsidRPr="003203A1" w:rsidRDefault="00520333" w:rsidP="005E5E0C">
            <w:pPr>
              <w:spacing w:after="0"/>
              <w:rPr>
                <w:rFonts w:cs="Arial"/>
                <w:b/>
                <w:bCs/>
                <w:sz w:val="18"/>
                <w:szCs w:val="18"/>
              </w:rPr>
            </w:pPr>
            <w:r w:rsidRPr="003203A1">
              <w:rPr>
                <w:rFonts w:cs="Arial"/>
                <w:b/>
                <w:bCs/>
                <w:sz w:val="18"/>
                <w:szCs w:val="18"/>
              </w:rPr>
              <w:t>Total Community partnership costs</w:t>
            </w:r>
          </w:p>
        </w:tc>
        <w:tc>
          <w:tcPr>
            <w:tcW w:w="1259" w:type="dxa"/>
            <w:tcBorders>
              <w:top w:val="single" w:sz="4" w:space="0" w:color="auto"/>
              <w:left w:val="nil"/>
              <w:bottom w:val="single" w:sz="4" w:space="0" w:color="auto"/>
              <w:right w:val="nil"/>
            </w:tcBorders>
            <w:shd w:val="clear" w:color="FFFFFF" w:fill="FFFFFF"/>
            <w:noWrap/>
            <w:vAlign w:val="bottom"/>
            <w:hideMark/>
          </w:tcPr>
          <w:p w14:paraId="1BF88FBC" w14:textId="77777777" w:rsidR="00520333" w:rsidRPr="003203A1" w:rsidRDefault="00520333" w:rsidP="005E5E0C">
            <w:pPr>
              <w:spacing w:after="0"/>
              <w:jc w:val="right"/>
              <w:rPr>
                <w:rFonts w:cs="Arial"/>
                <w:b/>
                <w:bCs/>
                <w:sz w:val="18"/>
                <w:szCs w:val="18"/>
              </w:rPr>
            </w:pPr>
            <w:r w:rsidRPr="003203A1">
              <w:rPr>
                <w:rFonts w:cs="Arial"/>
                <w:b/>
                <w:bCs/>
                <w:sz w:val="18"/>
                <w:szCs w:val="18"/>
              </w:rPr>
              <w:t>605,739</w:t>
            </w:r>
          </w:p>
        </w:tc>
        <w:tc>
          <w:tcPr>
            <w:tcW w:w="236" w:type="dxa"/>
            <w:tcBorders>
              <w:top w:val="nil"/>
              <w:left w:val="nil"/>
              <w:bottom w:val="nil"/>
              <w:right w:val="nil"/>
            </w:tcBorders>
            <w:shd w:val="clear" w:color="FFFFFF" w:fill="FFFFFF"/>
            <w:noWrap/>
            <w:vAlign w:val="bottom"/>
            <w:hideMark/>
          </w:tcPr>
          <w:p w14:paraId="29AEEF79"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3725B612" w14:textId="77777777" w:rsidR="00520333" w:rsidRPr="003203A1" w:rsidRDefault="00520333" w:rsidP="005E5E0C">
            <w:pPr>
              <w:spacing w:after="0"/>
              <w:jc w:val="right"/>
              <w:rPr>
                <w:rFonts w:cs="Arial"/>
                <w:sz w:val="18"/>
                <w:szCs w:val="18"/>
              </w:rPr>
            </w:pPr>
            <w:r w:rsidRPr="003203A1">
              <w:rPr>
                <w:rFonts w:cs="Arial"/>
                <w:sz w:val="18"/>
                <w:szCs w:val="18"/>
              </w:rPr>
              <w:t>604,346</w:t>
            </w:r>
          </w:p>
        </w:tc>
      </w:tr>
    </w:tbl>
    <w:p w14:paraId="23B041B7" w14:textId="77777777" w:rsidR="003203A1" w:rsidRPr="00C821EB" w:rsidRDefault="00D66A40" w:rsidP="003203A1">
      <w:pPr>
        <w:spacing w:after="0" w:line="240" w:lineRule="auto"/>
        <w:rPr>
          <w:b/>
          <w:bCs/>
        </w:rPr>
      </w:pPr>
      <w:r>
        <w:rPr>
          <w:b/>
        </w:rPr>
        <w:br w:type="page"/>
      </w:r>
      <w:r w:rsidR="003203A1" w:rsidRPr="00C821EB">
        <w:rPr>
          <w:b/>
          <w:bCs/>
        </w:rPr>
        <w:lastRenderedPageBreak/>
        <w:t>National Disability Insurance Agency</w:t>
      </w:r>
    </w:p>
    <w:p w14:paraId="3BD5D755"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353E42AC" w14:textId="15B2A728" w:rsidR="00520333" w:rsidRPr="003203A1" w:rsidRDefault="00520333" w:rsidP="00520333">
      <w:pPr>
        <w:pStyle w:val="PolicytextDept"/>
        <w:pBdr>
          <w:top w:val="none" w:sz="0" w:space="0" w:color="auto"/>
          <w:left w:val="none" w:sz="0" w:space="0" w:color="auto"/>
          <w:bottom w:val="none" w:sz="0" w:space="0" w:color="auto"/>
          <w:right w:val="none" w:sz="0" w:space="0" w:color="auto"/>
        </w:pBdr>
        <w:rPr>
          <w:b/>
        </w:rPr>
      </w:pPr>
      <w:r w:rsidRPr="003203A1">
        <w:rPr>
          <w:b/>
        </w:rPr>
        <w:t>Early Childhood Costs</w:t>
      </w:r>
    </w:p>
    <w:p w14:paraId="3090977A" w14:textId="77777777" w:rsidR="00520333" w:rsidRPr="003203A1" w:rsidRDefault="00520333" w:rsidP="0047225D">
      <w:pPr>
        <w:pStyle w:val="PolicytextDept"/>
        <w:pBdr>
          <w:top w:val="none" w:sz="0" w:space="0" w:color="auto"/>
          <w:left w:val="none" w:sz="0" w:space="0" w:color="auto"/>
          <w:bottom w:val="none" w:sz="0" w:space="0" w:color="auto"/>
          <w:right w:val="none" w:sz="0" w:space="0" w:color="auto"/>
        </w:pBdr>
        <w:spacing w:after="0"/>
      </w:pPr>
      <w:r w:rsidRPr="003203A1">
        <w:t xml:space="preserve">This reflects the costs incurred by the Agency of engaging early childhood partners to provide supports to children younger than 9 who have a disability or significantly impaired development. </w:t>
      </w:r>
    </w:p>
    <w:p w14:paraId="1DC64733" w14:textId="77777777" w:rsidR="00520333" w:rsidRPr="003203A1" w:rsidRDefault="00520333" w:rsidP="00520333">
      <w:pPr>
        <w:pStyle w:val="PolicytextDept"/>
        <w:pBdr>
          <w:top w:val="none" w:sz="0" w:space="0" w:color="auto"/>
          <w:left w:val="none" w:sz="0" w:space="0" w:color="auto"/>
          <w:bottom w:val="none" w:sz="0" w:space="0" w:color="auto"/>
          <w:right w:val="none" w:sz="0" w:space="0" w:color="auto"/>
        </w:pBdr>
        <w:rPr>
          <w:b/>
        </w:rPr>
      </w:pPr>
      <w:r w:rsidRPr="003203A1">
        <w:rPr>
          <w:b/>
          <w:bCs w:val="0"/>
        </w:rPr>
        <w:t>Exceptionally Complex Support Needs costs</w:t>
      </w:r>
      <w:r w:rsidRPr="003203A1">
        <w:rPr>
          <w:b/>
        </w:rPr>
        <w:t xml:space="preserve"> </w:t>
      </w:r>
    </w:p>
    <w:p w14:paraId="5AA62F84" w14:textId="77777777" w:rsidR="00520333" w:rsidRPr="003203A1" w:rsidRDefault="00520333" w:rsidP="0047225D">
      <w:pPr>
        <w:pStyle w:val="PolicytextDept"/>
        <w:pBdr>
          <w:top w:val="none" w:sz="0" w:space="0" w:color="auto"/>
          <w:left w:val="none" w:sz="0" w:space="0" w:color="auto"/>
          <w:bottom w:val="none" w:sz="0" w:space="0" w:color="auto"/>
          <w:right w:val="none" w:sz="0" w:space="0" w:color="auto"/>
        </w:pBdr>
        <w:spacing w:after="0"/>
      </w:pPr>
      <w:r w:rsidRPr="003203A1">
        <w:t>The Exceptionally Complex Support Needs (ECSN) program was a 2 year program that delivered sector capability and development workshops and related services. The ECSN program completed in 2021–22, however, payments were finalised in 2022–23.</w:t>
      </w:r>
    </w:p>
    <w:p w14:paraId="3479B970" w14:textId="77777777" w:rsidR="00520333" w:rsidRPr="003203A1" w:rsidRDefault="00520333" w:rsidP="00520333">
      <w:pPr>
        <w:pStyle w:val="PolicytextDept"/>
        <w:pBdr>
          <w:top w:val="none" w:sz="0" w:space="0" w:color="auto"/>
          <w:left w:val="none" w:sz="0" w:space="0" w:color="auto"/>
          <w:bottom w:val="none" w:sz="0" w:space="0" w:color="auto"/>
          <w:right w:val="none" w:sz="0" w:space="0" w:color="auto"/>
        </w:pBdr>
        <w:rPr>
          <w:b/>
        </w:rPr>
      </w:pPr>
      <w:r w:rsidRPr="003203A1">
        <w:rPr>
          <w:b/>
        </w:rPr>
        <w:t xml:space="preserve">Local Area Coordination Costs </w:t>
      </w:r>
    </w:p>
    <w:p w14:paraId="3CCBD966" w14:textId="77777777" w:rsidR="00520333" w:rsidRPr="003203A1" w:rsidRDefault="00520333" w:rsidP="00520333">
      <w:pPr>
        <w:pStyle w:val="PolicytextDept"/>
        <w:pBdr>
          <w:top w:val="none" w:sz="0" w:space="0" w:color="auto"/>
          <w:left w:val="none" w:sz="0" w:space="0" w:color="auto"/>
          <w:bottom w:val="none" w:sz="0" w:space="0" w:color="auto"/>
          <w:right w:val="none" w:sz="0" w:space="0" w:color="auto"/>
        </w:pBdr>
      </w:pPr>
      <w:r w:rsidRPr="003203A1">
        <w:t xml:space="preserve">This reflects the costs incurred in funding local area coordination services. </w:t>
      </w:r>
    </w:p>
    <w:p w14:paraId="7360047B" w14:textId="77777777" w:rsidR="00520333" w:rsidRPr="003203A1" w:rsidRDefault="00520333" w:rsidP="00520333">
      <w:pPr>
        <w:pStyle w:val="PolicytextDept"/>
        <w:pBdr>
          <w:top w:val="none" w:sz="0" w:space="0" w:color="auto"/>
          <w:left w:val="none" w:sz="0" w:space="0" w:color="auto"/>
          <w:bottom w:val="none" w:sz="0" w:space="0" w:color="auto"/>
          <w:right w:val="none" w:sz="0" w:space="0" w:color="auto"/>
        </w:pBdr>
        <w:spacing w:after="0" w:line="240" w:lineRule="auto"/>
      </w:pPr>
      <w:r w:rsidRPr="003203A1">
        <w:t>Local Area Coordinators deliver the following services:</w:t>
      </w:r>
    </w:p>
    <w:p w14:paraId="4598C823" w14:textId="77777777" w:rsidR="00520333" w:rsidRPr="003203A1" w:rsidRDefault="00520333" w:rsidP="00520333">
      <w:pPr>
        <w:pStyle w:val="PolicytextDept"/>
        <w:numPr>
          <w:ilvl w:val="0"/>
          <w:numId w:val="32"/>
        </w:numPr>
        <w:pBdr>
          <w:top w:val="none" w:sz="0" w:space="0" w:color="auto"/>
          <w:left w:val="none" w:sz="0" w:space="0" w:color="auto"/>
          <w:bottom w:val="none" w:sz="0" w:space="0" w:color="auto"/>
          <w:right w:val="none" w:sz="0" w:space="0" w:color="auto"/>
        </w:pBdr>
        <w:spacing w:after="0" w:line="240" w:lineRule="auto"/>
      </w:pPr>
      <w:r w:rsidRPr="003203A1">
        <w:t>provision of support and community awareness to prospective participants and local communities to engage with the Scheme;</w:t>
      </w:r>
    </w:p>
    <w:p w14:paraId="1142BE76" w14:textId="77777777" w:rsidR="00520333" w:rsidRPr="003203A1" w:rsidRDefault="00520333" w:rsidP="00520333">
      <w:pPr>
        <w:pStyle w:val="PolicytextDept"/>
        <w:numPr>
          <w:ilvl w:val="0"/>
          <w:numId w:val="32"/>
        </w:numPr>
        <w:pBdr>
          <w:top w:val="none" w:sz="0" w:space="0" w:color="auto"/>
          <w:left w:val="none" w:sz="0" w:space="0" w:color="auto"/>
          <w:bottom w:val="none" w:sz="0" w:space="0" w:color="auto"/>
          <w:right w:val="none" w:sz="0" w:space="0" w:color="auto"/>
        </w:pBdr>
        <w:spacing w:after="0" w:line="240" w:lineRule="auto"/>
      </w:pPr>
      <w:r w:rsidRPr="003203A1">
        <w:t>support Scheme participants with the implementation of their plans; and</w:t>
      </w:r>
    </w:p>
    <w:p w14:paraId="48915CE1" w14:textId="77777777" w:rsidR="00520333" w:rsidRPr="003203A1" w:rsidRDefault="00520333" w:rsidP="00520333">
      <w:pPr>
        <w:pStyle w:val="PolicytextDept"/>
        <w:numPr>
          <w:ilvl w:val="0"/>
          <w:numId w:val="32"/>
        </w:numPr>
        <w:pBdr>
          <w:top w:val="none" w:sz="0" w:space="0" w:color="auto"/>
          <w:left w:val="none" w:sz="0" w:space="0" w:color="auto"/>
          <w:bottom w:val="none" w:sz="0" w:space="0" w:color="auto"/>
          <w:right w:val="none" w:sz="0" w:space="0" w:color="auto"/>
        </w:pBdr>
        <w:spacing w:after="0" w:line="240" w:lineRule="auto"/>
      </w:pPr>
      <w:r w:rsidRPr="003203A1">
        <w:t>support Scheme participants with full scheme planning and plan reviews.</w:t>
      </w:r>
    </w:p>
    <w:p w14:paraId="0BA4FD6E" w14:textId="77777777" w:rsidR="00520333" w:rsidRPr="003203A1" w:rsidRDefault="00520333" w:rsidP="00520333">
      <w:pPr>
        <w:spacing w:line="240" w:lineRule="auto"/>
        <w:rPr>
          <w:rFonts w:cs="Arial"/>
          <w:sz w:val="18"/>
          <w:szCs w:val="18"/>
        </w:rPr>
      </w:pPr>
    </w:p>
    <w:p w14:paraId="539B28B2" w14:textId="77777777" w:rsidR="00520333" w:rsidRPr="003203A1" w:rsidRDefault="00520333" w:rsidP="00520333">
      <w:pPr>
        <w:pStyle w:val="PolicyheadingDept"/>
        <w:pBdr>
          <w:left w:val="single" w:sz="4" w:space="4" w:color="800080"/>
          <w:right w:val="single" w:sz="4" w:space="4" w:color="800080"/>
        </w:pBdr>
      </w:pPr>
      <w:r w:rsidRPr="003203A1">
        <w:t>Accounting Policy</w:t>
      </w:r>
    </w:p>
    <w:p w14:paraId="0275164D" w14:textId="77777777" w:rsidR="00520333" w:rsidRPr="003203A1" w:rsidRDefault="00520333" w:rsidP="00520333">
      <w:pPr>
        <w:pStyle w:val="PolicytextDept"/>
        <w:pBdr>
          <w:left w:val="single" w:sz="4" w:space="4" w:color="800080"/>
          <w:right w:val="single" w:sz="4" w:space="4" w:color="800080"/>
        </w:pBdr>
      </w:pPr>
      <w:r w:rsidRPr="003203A1">
        <w:t>The costs associated with community partnerships are recognised in accordance with contractual arrangements.</w:t>
      </w: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5F0B4922" w14:textId="77777777" w:rsidTr="005E5E0C">
        <w:trPr>
          <w:trHeight w:val="253"/>
        </w:trPr>
        <w:tc>
          <w:tcPr>
            <w:tcW w:w="6351" w:type="dxa"/>
            <w:tcBorders>
              <w:top w:val="nil"/>
              <w:left w:val="nil"/>
              <w:bottom w:val="nil"/>
              <w:right w:val="nil"/>
            </w:tcBorders>
            <w:shd w:val="clear" w:color="FFFFFF" w:fill="FFFFFF"/>
            <w:noWrap/>
            <w:vAlign w:val="bottom"/>
            <w:hideMark/>
          </w:tcPr>
          <w:p w14:paraId="60E52F15" w14:textId="77777777" w:rsidR="00520333" w:rsidRPr="003203A1" w:rsidRDefault="00520333" w:rsidP="005E5E0C">
            <w:pPr>
              <w:spacing w:after="0"/>
              <w:rPr>
                <w:rFonts w:cs="Arial"/>
                <w:sz w:val="18"/>
                <w:szCs w:val="18"/>
              </w:rPr>
            </w:pPr>
            <w:bookmarkStart w:id="154" w:name="Note_PAETABLE1" w:colFirst="0" w:colLast="0"/>
            <w:r w:rsidRPr="003203A1">
              <w:rPr>
                <w:rFonts w:cs="Arial"/>
                <w:sz w:val="18"/>
                <w:szCs w:val="18"/>
              </w:rPr>
              <w:t> </w:t>
            </w:r>
          </w:p>
        </w:tc>
        <w:tc>
          <w:tcPr>
            <w:tcW w:w="1259" w:type="dxa"/>
            <w:tcBorders>
              <w:top w:val="nil"/>
              <w:left w:val="nil"/>
              <w:bottom w:val="nil"/>
              <w:right w:val="nil"/>
            </w:tcBorders>
            <w:shd w:val="clear" w:color="FFFFFF" w:fill="FFFFFF"/>
            <w:noWrap/>
            <w:vAlign w:val="bottom"/>
            <w:hideMark/>
          </w:tcPr>
          <w:p w14:paraId="534C31CA" w14:textId="77777777" w:rsidR="00520333" w:rsidRPr="003203A1" w:rsidRDefault="00520333" w:rsidP="005E5E0C">
            <w:pPr>
              <w:spacing w:after="0"/>
              <w:jc w:val="right"/>
              <w:rPr>
                <w:rFonts w:cs="Arial"/>
                <w:b/>
                <w:bCs/>
                <w:sz w:val="18"/>
                <w:szCs w:val="18"/>
              </w:rPr>
            </w:pPr>
            <w:r w:rsidRPr="003203A1">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2D1EF836"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182503B1" w14:textId="77777777" w:rsidR="00520333" w:rsidRPr="003203A1" w:rsidRDefault="00520333" w:rsidP="005E5E0C">
            <w:pPr>
              <w:spacing w:after="0"/>
              <w:jc w:val="right"/>
              <w:rPr>
                <w:rFonts w:cs="Arial"/>
                <w:sz w:val="18"/>
                <w:szCs w:val="18"/>
              </w:rPr>
            </w:pPr>
            <w:r w:rsidRPr="003203A1">
              <w:rPr>
                <w:rFonts w:cs="Arial"/>
                <w:sz w:val="18"/>
                <w:szCs w:val="18"/>
              </w:rPr>
              <w:t>2023</w:t>
            </w:r>
          </w:p>
        </w:tc>
      </w:tr>
      <w:bookmarkEnd w:id="154"/>
      <w:tr w:rsidR="00520333" w:rsidRPr="003203A1" w14:paraId="3FAB38C7" w14:textId="77777777" w:rsidTr="005E5E0C">
        <w:trPr>
          <w:trHeight w:val="253"/>
        </w:trPr>
        <w:tc>
          <w:tcPr>
            <w:tcW w:w="6351" w:type="dxa"/>
            <w:tcBorders>
              <w:top w:val="nil"/>
              <w:left w:val="nil"/>
              <w:bottom w:val="nil"/>
              <w:right w:val="nil"/>
            </w:tcBorders>
            <w:shd w:val="clear" w:color="FFFFFF" w:fill="FFFFFF"/>
            <w:noWrap/>
            <w:vAlign w:val="bottom"/>
            <w:hideMark/>
          </w:tcPr>
          <w:p w14:paraId="4F018128" w14:textId="77777777" w:rsidR="00520333" w:rsidRPr="003203A1" w:rsidRDefault="00520333" w:rsidP="005E5E0C">
            <w:pPr>
              <w:spacing w:after="0"/>
              <w:rPr>
                <w:rFonts w:cs="Arial"/>
                <w:sz w:val="18"/>
                <w:szCs w:val="18"/>
              </w:rPr>
            </w:pPr>
            <w:r w:rsidRPr="003203A1">
              <w:rPr>
                <w:rFonts w:cs="Arial"/>
                <w:sz w:val="18"/>
                <w:szCs w:val="18"/>
              </w:rPr>
              <w:t> </w:t>
            </w:r>
          </w:p>
        </w:tc>
        <w:tc>
          <w:tcPr>
            <w:tcW w:w="1259" w:type="dxa"/>
            <w:tcBorders>
              <w:top w:val="nil"/>
              <w:left w:val="nil"/>
              <w:bottom w:val="nil"/>
              <w:right w:val="nil"/>
            </w:tcBorders>
            <w:shd w:val="clear" w:color="FFFFFF" w:fill="FFFFFF"/>
            <w:noWrap/>
            <w:vAlign w:val="bottom"/>
            <w:hideMark/>
          </w:tcPr>
          <w:p w14:paraId="07C4B347" w14:textId="77777777" w:rsidR="00520333" w:rsidRPr="003203A1" w:rsidRDefault="00520333" w:rsidP="005E5E0C">
            <w:pPr>
              <w:spacing w:after="0"/>
              <w:jc w:val="right"/>
              <w:rPr>
                <w:rFonts w:cs="Arial"/>
                <w:b/>
                <w:bCs/>
                <w:sz w:val="18"/>
                <w:szCs w:val="18"/>
              </w:rPr>
            </w:pPr>
            <w:r w:rsidRPr="003203A1">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201E52CF"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65B8286" w14:textId="77777777" w:rsidR="00520333" w:rsidRPr="003203A1" w:rsidRDefault="00520333" w:rsidP="005E5E0C">
            <w:pPr>
              <w:spacing w:after="0"/>
              <w:jc w:val="right"/>
              <w:rPr>
                <w:rFonts w:cs="Arial"/>
                <w:sz w:val="18"/>
                <w:szCs w:val="18"/>
              </w:rPr>
            </w:pPr>
            <w:r w:rsidRPr="003203A1">
              <w:rPr>
                <w:rFonts w:cs="Arial"/>
                <w:sz w:val="18"/>
                <w:szCs w:val="18"/>
              </w:rPr>
              <w:t>$'000</w:t>
            </w:r>
          </w:p>
        </w:tc>
      </w:tr>
      <w:tr w:rsidR="00520333" w:rsidRPr="003203A1" w14:paraId="2EA9BAB4" w14:textId="77777777" w:rsidTr="005E5E0C">
        <w:trPr>
          <w:trHeight w:val="260"/>
        </w:trPr>
        <w:tc>
          <w:tcPr>
            <w:tcW w:w="6351" w:type="dxa"/>
            <w:tcBorders>
              <w:top w:val="nil"/>
              <w:left w:val="nil"/>
              <w:bottom w:val="nil"/>
              <w:right w:val="nil"/>
            </w:tcBorders>
            <w:shd w:val="clear" w:color="FFFFFF" w:fill="FFFFFF"/>
            <w:noWrap/>
            <w:vAlign w:val="bottom"/>
            <w:hideMark/>
          </w:tcPr>
          <w:p w14:paraId="26AE0BED" w14:textId="77777777" w:rsidR="00520333" w:rsidRPr="003203A1" w:rsidRDefault="00520333" w:rsidP="005E5E0C">
            <w:pPr>
              <w:spacing w:after="0"/>
              <w:rPr>
                <w:rFonts w:cs="Arial"/>
                <w:b/>
                <w:bCs/>
                <w:sz w:val="18"/>
                <w:szCs w:val="18"/>
                <w:u w:val="single"/>
              </w:rPr>
            </w:pPr>
            <w:r w:rsidRPr="003203A1">
              <w:rPr>
                <w:rFonts w:cs="Arial"/>
                <w:b/>
                <w:bCs/>
                <w:sz w:val="18"/>
                <w:szCs w:val="18"/>
                <w:u w:val="single"/>
              </w:rPr>
              <w:t>Note 1.1G: Participant plan expenses</w:t>
            </w:r>
          </w:p>
        </w:tc>
        <w:tc>
          <w:tcPr>
            <w:tcW w:w="1259" w:type="dxa"/>
            <w:tcBorders>
              <w:top w:val="nil"/>
              <w:left w:val="nil"/>
              <w:bottom w:val="nil"/>
              <w:right w:val="nil"/>
            </w:tcBorders>
            <w:shd w:val="clear" w:color="FFFFFF" w:fill="FFFFFF"/>
            <w:noWrap/>
            <w:vAlign w:val="bottom"/>
            <w:hideMark/>
          </w:tcPr>
          <w:p w14:paraId="7E0C5092"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397BEA33"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61D4756D"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48E05AE0" w14:textId="77777777" w:rsidTr="005E5E0C">
        <w:trPr>
          <w:trHeight w:val="253"/>
        </w:trPr>
        <w:tc>
          <w:tcPr>
            <w:tcW w:w="6351" w:type="dxa"/>
            <w:tcBorders>
              <w:top w:val="nil"/>
              <w:left w:val="nil"/>
              <w:bottom w:val="nil"/>
              <w:right w:val="nil"/>
            </w:tcBorders>
            <w:shd w:val="clear" w:color="FFFFFF" w:fill="FFFFFF"/>
            <w:vAlign w:val="bottom"/>
            <w:hideMark/>
          </w:tcPr>
          <w:p w14:paraId="406C58A4" w14:textId="77777777" w:rsidR="00520333" w:rsidRPr="003203A1" w:rsidRDefault="00520333" w:rsidP="005E5E0C">
            <w:pPr>
              <w:spacing w:after="0"/>
              <w:rPr>
                <w:rFonts w:cs="Arial"/>
                <w:sz w:val="18"/>
                <w:szCs w:val="18"/>
              </w:rPr>
            </w:pPr>
            <w:r w:rsidRPr="003203A1">
              <w:rPr>
                <w:rFonts w:cs="Arial"/>
                <w:sz w:val="18"/>
                <w:szCs w:val="18"/>
              </w:rPr>
              <w:t>Claims received from participants and providers</w:t>
            </w:r>
          </w:p>
        </w:tc>
        <w:tc>
          <w:tcPr>
            <w:tcW w:w="1259" w:type="dxa"/>
            <w:tcBorders>
              <w:top w:val="nil"/>
              <w:left w:val="nil"/>
              <w:bottom w:val="nil"/>
              <w:right w:val="nil"/>
            </w:tcBorders>
            <w:shd w:val="clear" w:color="FFFFFF" w:fill="FFFFFF"/>
            <w:noWrap/>
            <w:vAlign w:val="bottom"/>
            <w:hideMark/>
          </w:tcPr>
          <w:p w14:paraId="17916FD6" w14:textId="77777777" w:rsidR="00520333" w:rsidRPr="003203A1" w:rsidRDefault="00520333" w:rsidP="005E5E0C">
            <w:pPr>
              <w:spacing w:after="0"/>
              <w:jc w:val="right"/>
              <w:rPr>
                <w:rFonts w:cs="Arial"/>
                <w:b/>
                <w:bCs/>
                <w:sz w:val="18"/>
                <w:szCs w:val="18"/>
              </w:rPr>
            </w:pPr>
            <w:r w:rsidRPr="003203A1">
              <w:rPr>
                <w:rFonts w:cs="Arial"/>
                <w:b/>
                <w:bCs/>
                <w:sz w:val="18"/>
                <w:szCs w:val="18"/>
              </w:rPr>
              <w:t>40,775,754</w:t>
            </w:r>
          </w:p>
        </w:tc>
        <w:tc>
          <w:tcPr>
            <w:tcW w:w="236" w:type="dxa"/>
            <w:tcBorders>
              <w:top w:val="nil"/>
              <w:left w:val="nil"/>
              <w:bottom w:val="nil"/>
              <w:right w:val="nil"/>
            </w:tcBorders>
            <w:shd w:val="clear" w:color="FFFFFF" w:fill="FFFFFF"/>
            <w:noWrap/>
            <w:vAlign w:val="bottom"/>
            <w:hideMark/>
          </w:tcPr>
          <w:p w14:paraId="417C1991"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50EDABB0" w14:textId="77777777" w:rsidR="00520333" w:rsidRPr="003203A1" w:rsidRDefault="00520333" w:rsidP="005E5E0C">
            <w:pPr>
              <w:spacing w:after="0"/>
              <w:jc w:val="right"/>
              <w:rPr>
                <w:rFonts w:cs="Arial"/>
                <w:sz w:val="18"/>
                <w:szCs w:val="18"/>
              </w:rPr>
            </w:pPr>
            <w:r w:rsidRPr="003203A1">
              <w:rPr>
                <w:rFonts w:cs="Arial"/>
                <w:sz w:val="18"/>
                <w:szCs w:val="18"/>
              </w:rPr>
              <w:t>34,133,839</w:t>
            </w:r>
          </w:p>
        </w:tc>
      </w:tr>
      <w:tr w:rsidR="00520333" w:rsidRPr="003203A1" w14:paraId="5FB19A9D" w14:textId="77777777" w:rsidTr="005E5E0C">
        <w:trPr>
          <w:trHeight w:val="253"/>
        </w:trPr>
        <w:tc>
          <w:tcPr>
            <w:tcW w:w="6351" w:type="dxa"/>
            <w:tcBorders>
              <w:top w:val="nil"/>
              <w:left w:val="nil"/>
              <w:bottom w:val="nil"/>
              <w:right w:val="nil"/>
            </w:tcBorders>
            <w:shd w:val="clear" w:color="FFFFFF" w:fill="FFFFFF"/>
            <w:vAlign w:val="bottom"/>
            <w:hideMark/>
          </w:tcPr>
          <w:p w14:paraId="620B1858" w14:textId="77777777" w:rsidR="00520333" w:rsidRPr="003203A1" w:rsidRDefault="00520333" w:rsidP="005E5E0C">
            <w:pPr>
              <w:spacing w:after="0"/>
              <w:rPr>
                <w:rFonts w:cs="Arial"/>
                <w:sz w:val="18"/>
                <w:szCs w:val="18"/>
              </w:rPr>
            </w:pPr>
            <w:r w:rsidRPr="003203A1">
              <w:rPr>
                <w:rFonts w:cs="Arial"/>
                <w:sz w:val="18"/>
                <w:szCs w:val="18"/>
              </w:rPr>
              <w:t>Cost of services received in-kind</w:t>
            </w:r>
          </w:p>
        </w:tc>
        <w:tc>
          <w:tcPr>
            <w:tcW w:w="1259" w:type="dxa"/>
            <w:tcBorders>
              <w:top w:val="nil"/>
              <w:left w:val="nil"/>
              <w:bottom w:val="nil"/>
              <w:right w:val="nil"/>
            </w:tcBorders>
            <w:shd w:val="clear" w:color="FFFFFF" w:fill="FFFFFF"/>
            <w:noWrap/>
            <w:vAlign w:val="bottom"/>
            <w:hideMark/>
          </w:tcPr>
          <w:p w14:paraId="5EB1C10F" w14:textId="77777777" w:rsidR="00520333" w:rsidRPr="003203A1" w:rsidRDefault="00520333" w:rsidP="005E5E0C">
            <w:pPr>
              <w:spacing w:after="0"/>
              <w:jc w:val="right"/>
              <w:rPr>
                <w:rFonts w:cs="Arial"/>
                <w:b/>
                <w:bCs/>
                <w:sz w:val="18"/>
                <w:szCs w:val="18"/>
              </w:rPr>
            </w:pPr>
            <w:r w:rsidRPr="003203A1">
              <w:rPr>
                <w:rFonts w:cs="Arial"/>
                <w:b/>
                <w:bCs/>
                <w:sz w:val="18"/>
                <w:szCs w:val="18"/>
              </w:rPr>
              <w:t>952,388</w:t>
            </w:r>
          </w:p>
        </w:tc>
        <w:tc>
          <w:tcPr>
            <w:tcW w:w="236" w:type="dxa"/>
            <w:tcBorders>
              <w:top w:val="nil"/>
              <w:left w:val="nil"/>
              <w:bottom w:val="nil"/>
              <w:right w:val="nil"/>
            </w:tcBorders>
            <w:shd w:val="clear" w:color="FFFFFF" w:fill="FFFFFF"/>
            <w:noWrap/>
            <w:vAlign w:val="bottom"/>
            <w:hideMark/>
          </w:tcPr>
          <w:p w14:paraId="6448352A"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412C687F" w14:textId="77777777" w:rsidR="00520333" w:rsidRPr="003203A1" w:rsidRDefault="00520333" w:rsidP="005E5E0C">
            <w:pPr>
              <w:spacing w:after="0"/>
              <w:jc w:val="right"/>
              <w:rPr>
                <w:rFonts w:cs="Arial"/>
                <w:sz w:val="18"/>
                <w:szCs w:val="18"/>
              </w:rPr>
            </w:pPr>
            <w:r w:rsidRPr="003203A1">
              <w:rPr>
                <w:rFonts w:cs="Arial"/>
                <w:sz w:val="18"/>
                <w:szCs w:val="18"/>
              </w:rPr>
              <w:t>1,088,142</w:t>
            </w:r>
          </w:p>
        </w:tc>
      </w:tr>
      <w:tr w:rsidR="00520333" w:rsidRPr="003203A1" w14:paraId="75B255A0" w14:textId="77777777" w:rsidTr="005E5E0C">
        <w:trPr>
          <w:trHeight w:val="253"/>
        </w:trPr>
        <w:tc>
          <w:tcPr>
            <w:tcW w:w="6351" w:type="dxa"/>
            <w:tcBorders>
              <w:top w:val="nil"/>
              <w:left w:val="nil"/>
              <w:bottom w:val="nil"/>
              <w:right w:val="nil"/>
            </w:tcBorders>
            <w:shd w:val="clear" w:color="FFFFFF" w:fill="FFFFFF"/>
            <w:vAlign w:val="bottom"/>
            <w:hideMark/>
          </w:tcPr>
          <w:p w14:paraId="3B856801" w14:textId="77777777" w:rsidR="00520333" w:rsidRPr="003203A1" w:rsidRDefault="00520333" w:rsidP="005E5E0C">
            <w:pPr>
              <w:spacing w:after="0"/>
              <w:rPr>
                <w:rFonts w:cs="Arial"/>
                <w:sz w:val="18"/>
                <w:szCs w:val="18"/>
              </w:rPr>
            </w:pPr>
            <w:r w:rsidRPr="003203A1">
              <w:rPr>
                <w:rFonts w:cs="Arial"/>
                <w:sz w:val="18"/>
                <w:szCs w:val="18"/>
              </w:rPr>
              <w:t xml:space="preserve">Other changes to participant plan provisions </w:t>
            </w:r>
          </w:p>
        </w:tc>
        <w:tc>
          <w:tcPr>
            <w:tcW w:w="1259" w:type="dxa"/>
            <w:tcBorders>
              <w:top w:val="nil"/>
              <w:left w:val="nil"/>
              <w:bottom w:val="nil"/>
              <w:right w:val="nil"/>
            </w:tcBorders>
            <w:shd w:val="clear" w:color="FFFFFF" w:fill="FFFFFF"/>
            <w:noWrap/>
            <w:vAlign w:val="bottom"/>
            <w:hideMark/>
          </w:tcPr>
          <w:p w14:paraId="07F3C895" w14:textId="77777777" w:rsidR="00520333" w:rsidRPr="003203A1" w:rsidRDefault="00520333" w:rsidP="005E5E0C">
            <w:pPr>
              <w:spacing w:after="0"/>
              <w:jc w:val="right"/>
              <w:rPr>
                <w:rFonts w:cs="Arial"/>
                <w:b/>
                <w:bCs/>
                <w:sz w:val="18"/>
                <w:szCs w:val="18"/>
              </w:rPr>
            </w:pPr>
            <w:r w:rsidRPr="003203A1">
              <w:rPr>
                <w:rFonts w:cs="Arial"/>
                <w:b/>
                <w:bCs/>
                <w:sz w:val="18"/>
                <w:szCs w:val="18"/>
              </w:rPr>
              <w:t>117,515</w:t>
            </w:r>
          </w:p>
        </w:tc>
        <w:tc>
          <w:tcPr>
            <w:tcW w:w="236" w:type="dxa"/>
            <w:tcBorders>
              <w:top w:val="nil"/>
              <w:left w:val="nil"/>
              <w:bottom w:val="nil"/>
              <w:right w:val="nil"/>
            </w:tcBorders>
            <w:shd w:val="clear" w:color="FFFFFF" w:fill="FFFFFF"/>
            <w:noWrap/>
            <w:vAlign w:val="bottom"/>
            <w:hideMark/>
          </w:tcPr>
          <w:p w14:paraId="2E62A3EB"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19373328" w14:textId="77777777" w:rsidR="00520333" w:rsidRPr="003203A1" w:rsidRDefault="00520333" w:rsidP="005E5E0C">
            <w:pPr>
              <w:spacing w:after="0"/>
              <w:jc w:val="right"/>
              <w:rPr>
                <w:rFonts w:cs="Arial"/>
                <w:sz w:val="18"/>
                <w:szCs w:val="18"/>
              </w:rPr>
            </w:pPr>
            <w:r w:rsidRPr="003203A1">
              <w:rPr>
                <w:rFonts w:cs="Arial"/>
                <w:sz w:val="18"/>
                <w:szCs w:val="18"/>
              </w:rPr>
              <w:t>(28,554)</w:t>
            </w:r>
          </w:p>
        </w:tc>
      </w:tr>
      <w:tr w:rsidR="00520333" w:rsidRPr="003203A1" w14:paraId="7F31C9DB" w14:textId="77777777" w:rsidTr="005E5E0C">
        <w:trPr>
          <w:trHeight w:val="253"/>
        </w:trPr>
        <w:tc>
          <w:tcPr>
            <w:tcW w:w="6351" w:type="dxa"/>
            <w:tcBorders>
              <w:top w:val="nil"/>
              <w:left w:val="nil"/>
              <w:bottom w:val="nil"/>
              <w:right w:val="nil"/>
            </w:tcBorders>
            <w:shd w:val="clear" w:color="FFFFFF" w:fill="FFFFFF"/>
            <w:vAlign w:val="bottom"/>
            <w:hideMark/>
          </w:tcPr>
          <w:p w14:paraId="558BE1FF" w14:textId="77777777" w:rsidR="00520333" w:rsidRPr="003203A1" w:rsidRDefault="00520333" w:rsidP="005E5E0C">
            <w:pPr>
              <w:spacing w:after="0"/>
              <w:rPr>
                <w:rFonts w:cs="Arial"/>
                <w:b/>
                <w:bCs/>
                <w:sz w:val="18"/>
                <w:szCs w:val="18"/>
              </w:rPr>
            </w:pPr>
            <w:r w:rsidRPr="003203A1">
              <w:rPr>
                <w:rFonts w:cs="Arial"/>
                <w:b/>
                <w:bCs/>
                <w:sz w:val="18"/>
                <w:szCs w:val="18"/>
              </w:rPr>
              <w:t>Total participant plan expenses</w:t>
            </w:r>
          </w:p>
        </w:tc>
        <w:tc>
          <w:tcPr>
            <w:tcW w:w="1259" w:type="dxa"/>
            <w:tcBorders>
              <w:top w:val="single" w:sz="4" w:space="0" w:color="auto"/>
              <w:left w:val="nil"/>
              <w:bottom w:val="single" w:sz="4" w:space="0" w:color="auto"/>
              <w:right w:val="nil"/>
            </w:tcBorders>
            <w:shd w:val="clear" w:color="FFFFFF" w:fill="FFFFFF"/>
            <w:noWrap/>
            <w:vAlign w:val="bottom"/>
            <w:hideMark/>
          </w:tcPr>
          <w:p w14:paraId="7269CBAD" w14:textId="77777777" w:rsidR="00520333" w:rsidRPr="003203A1" w:rsidRDefault="00520333" w:rsidP="005E5E0C">
            <w:pPr>
              <w:spacing w:after="0"/>
              <w:jc w:val="right"/>
              <w:rPr>
                <w:rFonts w:cs="Arial"/>
                <w:b/>
                <w:bCs/>
                <w:sz w:val="18"/>
                <w:szCs w:val="18"/>
              </w:rPr>
            </w:pPr>
            <w:r w:rsidRPr="003203A1">
              <w:rPr>
                <w:rFonts w:cs="Arial"/>
                <w:b/>
                <w:bCs/>
                <w:sz w:val="18"/>
                <w:szCs w:val="18"/>
              </w:rPr>
              <w:t>41,845,657</w:t>
            </w:r>
          </w:p>
        </w:tc>
        <w:tc>
          <w:tcPr>
            <w:tcW w:w="236" w:type="dxa"/>
            <w:tcBorders>
              <w:top w:val="nil"/>
              <w:left w:val="nil"/>
              <w:bottom w:val="nil"/>
              <w:right w:val="nil"/>
            </w:tcBorders>
            <w:shd w:val="clear" w:color="FFFFFF" w:fill="FFFFFF"/>
            <w:noWrap/>
            <w:vAlign w:val="bottom"/>
            <w:hideMark/>
          </w:tcPr>
          <w:p w14:paraId="5FB79618"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21060670" w14:textId="77777777" w:rsidR="00520333" w:rsidRPr="003203A1" w:rsidRDefault="00520333" w:rsidP="005E5E0C">
            <w:pPr>
              <w:spacing w:after="0"/>
              <w:jc w:val="right"/>
              <w:rPr>
                <w:rFonts w:cs="Arial"/>
                <w:sz w:val="18"/>
                <w:szCs w:val="18"/>
              </w:rPr>
            </w:pPr>
            <w:r w:rsidRPr="003203A1">
              <w:rPr>
                <w:rFonts w:cs="Arial"/>
                <w:sz w:val="18"/>
                <w:szCs w:val="18"/>
              </w:rPr>
              <w:t>35,193,427</w:t>
            </w:r>
          </w:p>
        </w:tc>
      </w:tr>
    </w:tbl>
    <w:p w14:paraId="3419C83A" w14:textId="77777777" w:rsidR="00520333" w:rsidRPr="003203A1" w:rsidRDefault="00520333" w:rsidP="00520333">
      <w:pPr>
        <w:spacing w:line="240" w:lineRule="auto"/>
        <w:rPr>
          <w:rFonts w:cs="Arial"/>
          <w:sz w:val="18"/>
          <w:szCs w:val="18"/>
        </w:rPr>
      </w:pPr>
      <w:bookmarkStart w:id="155" w:name="OLE_LINK13"/>
      <w:bookmarkStart w:id="156" w:name="OLE_LINK12"/>
    </w:p>
    <w:p w14:paraId="5C2321AD" w14:textId="77777777" w:rsidR="00520333" w:rsidRPr="003203A1" w:rsidRDefault="00520333" w:rsidP="00520333">
      <w:pPr>
        <w:pStyle w:val="PolicyheadingDept"/>
        <w:pBdr>
          <w:top w:val="single" w:sz="4" w:space="0" w:color="800080"/>
          <w:left w:val="single" w:sz="4" w:space="4" w:color="800080"/>
          <w:right w:val="single" w:sz="4" w:space="4" w:color="800080"/>
        </w:pBdr>
      </w:pPr>
      <w:r w:rsidRPr="003203A1">
        <w:t>Accounting Policy</w:t>
      </w:r>
    </w:p>
    <w:p w14:paraId="4ACFC410" w14:textId="77777777" w:rsidR="00520333" w:rsidRPr="003203A1" w:rsidRDefault="00520333" w:rsidP="00520333">
      <w:pPr>
        <w:pStyle w:val="PolicyheadingDept"/>
        <w:pBdr>
          <w:top w:val="single" w:sz="4" w:space="0" w:color="800080"/>
          <w:left w:val="single" w:sz="4" w:space="4" w:color="800080"/>
          <w:right w:val="single" w:sz="4" w:space="4" w:color="800080"/>
        </w:pBdr>
        <w:rPr>
          <w:b w:val="0"/>
        </w:rPr>
      </w:pPr>
      <w:r w:rsidRPr="003203A1">
        <w:rPr>
          <w:b w:val="0"/>
        </w:rPr>
        <w:t>The costs associated with participant plan expenses are recognised as and when the Agency receives claims from participants and providers. Accounting policies for expenses resulting from adjustment to the participant plan provision are contained in Section 2.6 – Provisions.</w:t>
      </w:r>
    </w:p>
    <w:p w14:paraId="1FA167F7" w14:textId="77777777" w:rsidR="00520333" w:rsidRPr="003203A1" w:rsidRDefault="00520333" w:rsidP="00520333">
      <w:pPr>
        <w:pStyle w:val="PolicytextDept"/>
        <w:pBdr>
          <w:top w:val="none" w:sz="0" w:space="0" w:color="auto"/>
          <w:left w:val="none" w:sz="0" w:space="0" w:color="auto"/>
          <w:bottom w:val="none" w:sz="0" w:space="0" w:color="auto"/>
          <w:right w:val="none" w:sz="0" w:space="0" w:color="auto"/>
        </w:pBdr>
        <w:rPr>
          <w:b/>
        </w:rPr>
      </w:pPr>
      <w:bookmarkStart w:id="157" w:name="_Hlk111208298"/>
      <w:r w:rsidRPr="003203A1">
        <w:rPr>
          <w:b/>
        </w:rPr>
        <w:t>Participant plan expenses</w:t>
      </w:r>
    </w:p>
    <w:p w14:paraId="0E1E3385" w14:textId="73776FD7" w:rsidR="00520333" w:rsidRPr="003203A1" w:rsidRDefault="00520333" w:rsidP="0047225D">
      <w:pPr>
        <w:spacing w:after="0"/>
        <w:rPr>
          <w:rFonts w:cs="Arial"/>
          <w:bCs/>
          <w:sz w:val="18"/>
          <w:szCs w:val="18"/>
        </w:rPr>
      </w:pPr>
      <w:bookmarkStart w:id="158" w:name="_Hlk176947070"/>
      <w:r w:rsidRPr="003203A1">
        <w:rPr>
          <w:rFonts w:cs="Arial"/>
          <w:bCs/>
          <w:sz w:val="18"/>
          <w:szCs w:val="18"/>
        </w:rPr>
        <w:t>The Agency makes payments to registered providers and participants with self-managed plans for supports delivered in line with a participant’s approved plan. Registered providers (for plan- and Agency-Managed plans) and self-managing participants can access NDIS portals to submit payment claims for delivered supports.</w:t>
      </w:r>
      <w:r w:rsidR="00681953">
        <w:rPr>
          <w:rFonts w:cs="Arial"/>
          <w:bCs/>
          <w:sz w:val="18"/>
          <w:szCs w:val="18"/>
        </w:rPr>
        <w:t xml:space="preserve"> </w:t>
      </w:r>
      <w:r w:rsidRPr="003203A1">
        <w:rPr>
          <w:rFonts w:cs="Arial"/>
          <w:bCs/>
          <w:sz w:val="18"/>
          <w:szCs w:val="18"/>
        </w:rPr>
        <w:t>Self-lodgement of claims from providers and participants can lead to payments that are inconsistent with Agency guidance, even where no deliberate fraud is intended by the claimant. To mitigate this risk and to assess the potential financial impact, the Agency maintains an assurance testing program, with monthly reviews completed throughout the corresponding financial year. The methodology for calculating and reporting errors will be periodically reviewed.</w:t>
      </w:r>
      <w:bookmarkEnd w:id="158"/>
    </w:p>
    <w:p w14:paraId="37AB1F0D" w14:textId="77777777" w:rsidR="00520333" w:rsidRPr="003203A1" w:rsidRDefault="00520333" w:rsidP="0047225D">
      <w:pPr>
        <w:spacing w:after="0"/>
        <w:rPr>
          <w:rFonts w:cs="Arial"/>
          <w:bCs/>
          <w:sz w:val="18"/>
          <w:szCs w:val="18"/>
        </w:rPr>
      </w:pPr>
      <w:bookmarkStart w:id="159" w:name="_Hlk176947138"/>
      <w:r w:rsidRPr="003203A1">
        <w:rPr>
          <w:rFonts w:cs="Arial"/>
          <w:bCs/>
          <w:sz w:val="18"/>
          <w:szCs w:val="18"/>
        </w:rPr>
        <w:t xml:space="preserve">Errors identified in the review process can be either critical (having a potential financial impact) or non-critical (having no direct financial impact e.g. keying errors like incomplete ABN, provider name or date of service etc). All critical errors are subject to further validation, with recovery action, where required and considered to be economical, undertaken in accordance with the Agency’s Debt Management Procedures. The outcomes of this testing are extrapolated to indicate an annualised potential financial impact. </w:t>
      </w:r>
    </w:p>
    <w:p w14:paraId="3AD3163B" w14:textId="77777777" w:rsidR="00520333" w:rsidRPr="003203A1" w:rsidRDefault="00520333" w:rsidP="0047225D">
      <w:pPr>
        <w:spacing w:after="0"/>
        <w:rPr>
          <w:rFonts w:cs="Arial"/>
          <w:bCs/>
          <w:sz w:val="18"/>
          <w:szCs w:val="18"/>
        </w:rPr>
      </w:pPr>
      <w:r w:rsidRPr="003203A1">
        <w:rPr>
          <w:rFonts w:cs="Arial"/>
          <w:bCs/>
          <w:sz w:val="18"/>
          <w:szCs w:val="18"/>
        </w:rPr>
        <w:t xml:space="preserve">For </w:t>
      </w:r>
      <w:r w:rsidRPr="003203A1">
        <w:rPr>
          <w:rFonts w:cs="Arial"/>
          <w:bCs/>
          <w:sz w:val="18"/>
          <w:szCs w:val="18"/>
        </w:rPr>
        <w:fldChar w:fldCharType="begin"/>
      </w:r>
      <w:r w:rsidRPr="003203A1">
        <w:rPr>
          <w:rFonts w:cs="Arial"/>
          <w:bCs/>
          <w:sz w:val="18"/>
          <w:szCs w:val="18"/>
        </w:rPr>
        <w:instrText xml:space="preserve"> DOCPROPERTY  prYear  \* MERGEFORMAT </w:instrText>
      </w:r>
      <w:r w:rsidRPr="003203A1">
        <w:rPr>
          <w:rFonts w:cs="Arial"/>
          <w:bCs/>
          <w:sz w:val="18"/>
          <w:szCs w:val="18"/>
        </w:rPr>
        <w:fldChar w:fldCharType="separate"/>
      </w:r>
      <w:r w:rsidRPr="003203A1">
        <w:rPr>
          <w:rFonts w:cs="Arial"/>
          <w:bCs/>
          <w:sz w:val="18"/>
          <w:szCs w:val="18"/>
        </w:rPr>
        <w:t>2023</w:t>
      </w:r>
      <w:r w:rsidRPr="003203A1">
        <w:rPr>
          <w:rFonts w:cs="Arial"/>
          <w:bCs/>
          <w:sz w:val="18"/>
          <w:szCs w:val="18"/>
        </w:rPr>
        <w:fldChar w:fldCharType="end"/>
      </w:r>
      <w:r w:rsidRPr="003203A1">
        <w:rPr>
          <w:rFonts w:cs="Arial"/>
          <w:bCs/>
          <w:sz w:val="18"/>
          <w:szCs w:val="18"/>
        </w:rPr>
        <w:t xml:space="preserve">–24, the estimated potential financial impact of the provider (plan- and Agency-managed) critical error rates was assessed as being $1,688.2m (4.7% of total provider payments) compared to $1,174.3m (4.0% of total provider payments) in 2022–23. </w:t>
      </w:r>
    </w:p>
    <w:p w14:paraId="71BBA30C" w14:textId="466AF480" w:rsidR="003203A1" w:rsidRDefault="00520333" w:rsidP="003203A1">
      <w:pPr>
        <w:spacing w:after="0"/>
        <w:rPr>
          <w:rFonts w:cs="Arial"/>
          <w:bCs/>
          <w:sz w:val="18"/>
          <w:szCs w:val="18"/>
        </w:rPr>
      </w:pPr>
      <w:r w:rsidRPr="003203A1">
        <w:rPr>
          <w:rFonts w:cs="Arial"/>
          <w:bCs/>
          <w:sz w:val="18"/>
          <w:szCs w:val="18"/>
        </w:rPr>
        <w:t>The estimated potential financial impact of the participant self-managed plan critical error rates was assessed as being $312.6m (6.7% of total self-managed participant payments) compared to $228.2m (5.4% of total self-managed participant payments) in 2022–23. </w:t>
      </w:r>
      <w:r w:rsidR="003203A1">
        <w:rPr>
          <w:rFonts w:cs="Arial"/>
          <w:bCs/>
          <w:sz w:val="18"/>
          <w:szCs w:val="18"/>
        </w:rPr>
        <w:br w:type="page"/>
      </w:r>
    </w:p>
    <w:p w14:paraId="465EA870" w14:textId="77777777" w:rsidR="003203A1" w:rsidRPr="00C821EB" w:rsidRDefault="003203A1" w:rsidP="003203A1">
      <w:pPr>
        <w:spacing w:after="0" w:line="240" w:lineRule="auto"/>
        <w:rPr>
          <w:b/>
          <w:bCs/>
        </w:rPr>
      </w:pPr>
      <w:r w:rsidRPr="00C821EB">
        <w:rPr>
          <w:b/>
          <w:bCs/>
        </w:rPr>
        <w:lastRenderedPageBreak/>
        <w:t>National Disability Insurance Agency</w:t>
      </w:r>
    </w:p>
    <w:p w14:paraId="3870AE80"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1AF3E535" w14:textId="105D98CD" w:rsidR="00520333" w:rsidRPr="003203A1" w:rsidRDefault="00520333" w:rsidP="0047225D">
      <w:pPr>
        <w:spacing w:after="0"/>
        <w:rPr>
          <w:rFonts w:cs="Arial"/>
          <w:bCs/>
          <w:sz w:val="18"/>
          <w:szCs w:val="18"/>
        </w:rPr>
      </w:pPr>
      <w:r w:rsidRPr="003203A1">
        <w:rPr>
          <w:rFonts w:cs="Arial"/>
          <w:bCs/>
          <w:sz w:val="18"/>
          <w:szCs w:val="18"/>
        </w:rPr>
        <w:t>For provider (plan- and Agency-managed) and self-managed payments, the primary factor driving the increase in estimated error value is the increase in the number of errors found together with the proportional increase in the average error value over the sample group applied against the total value of payments made by the Agency in 2023–24.</w:t>
      </w:r>
      <w:bookmarkEnd w:id="159"/>
    </w:p>
    <w:p w14:paraId="19ACEB76" w14:textId="77777777" w:rsidR="00520333" w:rsidRPr="003203A1" w:rsidRDefault="00520333" w:rsidP="003203A1">
      <w:pPr>
        <w:pStyle w:val="SubHeading"/>
        <w:shd w:val="clear" w:color="auto" w:fill="000000" w:themeFill="accent6"/>
        <w:ind w:right="-285"/>
        <w:rPr>
          <w:sz w:val="18"/>
          <w:szCs w:val="18"/>
        </w:rPr>
      </w:pPr>
      <w:bookmarkStart w:id="160" w:name="_Toc443469524"/>
      <w:bookmarkStart w:id="161" w:name="_Toc444065773"/>
      <w:bookmarkStart w:id="162" w:name="_Toc444077334"/>
      <w:bookmarkStart w:id="163" w:name="_Toc447030537"/>
      <w:bookmarkStart w:id="164" w:name="_Toc447030689"/>
      <w:bookmarkStart w:id="165" w:name="_Toc447030782"/>
      <w:bookmarkStart w:id="166" w:name="_Toc65742845"/>
      <w:bookmarkStart w:id="167" w:name="_Toc173417292"/>
      <w:bookmarkEnd w:id="155"/>
      <w:bookmarkEnd w:id="156"/>
      <w:bookmarkEnd w:id="157"/>
      <w:r w:rsidRPr="003203A1">
        <w:rPr>
          <w:sz w:val="18"/>
          <w:szCs w:val="18"/>
        </w:rPr>
        <w:t>Own-Source Revenue and Gains</w:t>
      </w:r>
      <w:bookmarkEnd w:id="160"/>
      <w:bookmarkEnd w:id="161"/>
      <w:bookmarkEnd w:id="162"/>
      <w:bookmarkEnd w:id="163"/>
      <w:bookmarkEnd w:id="164"/>
      <w:bookmarkEnd w:id="165"/>
      <w:bookmarkEnd w:id="166"/>
      <w:bookmarkEnd w:id="167"/>
    </w:p>
    <w:p w14:paraId="19D1D31B" w14:textId="77777777" w:rsidR="00520333" w:rsidRPr="003203A1" w:rsidRDefault="00520333" w:rsidP="00520333">
      <w:pPr>
        <w:rPr>
          <w:rFonts w:cs="Arial"/>
          <w:sz w:val="18"/>
          <w:szCs w:val="18"/>
        </w:rPr>
      </w:pPr>
    </w:p>
    <w:tbl>
      <w:tblPr>
        <w:tblW w:w="9371" w:type="dxa"/>
        <w:tblLayout w:type="fixed"/>
        <w:tblLook w:val="04A0" w:firstRow="1" w:lastRow="0" w:firstColumn="1" w:lastColumn="0" w:noHBand="0" w:noVBand="1"/>
      </w:tblPr>
      <w:tblGrid>
        <w:gridCol w:w="6545"/>
        <w:gridCol w:w="1317"/>
        <w:gridCol w:w="243"/>
        <w:gridCol w:w="1266"/>
      </w:tblGrid>
      <w:tr w:rsidR="00520333" w:rsidRPr="003203A1" w14:paraId="1704844D" w14:textId="77777777" w:rsidTr="005E5E0C">
        <w:trPr>
          <w:trHeight w:val="254"/>
        </w:trPr>
        <w:tc>
          <w:tcPr>
            <w:tcW w:w="6545" w:type="dxa"/>
            <w:tcBorders>
              <w:top w:val="nil"/>
              <w:left w:val="nil"/>
              <w:bottom w:val="nil"/>
              <w:right w:val="nil"/>
            </w:tcBorders>
            <w:shd w:val="clear" w:color="FFFFFF" w:fill="FFFFFF"/>
            <w:vAlign w:val="bottom"/>
            <w:hideMark/>
          </w:tcPr>
          <w:p w14:paraId="219C5FFE" w14:textId="77777777" w:rsidR="00520333" w:rsidRPr="003203A1" w:rsidRDefault="00520333" w:rsidP="005E5E0C">
            <w:pPr>
              <w:spacing w:after="0"/>
              <w:rPr>
                <w:rFonts w:cs="Arial"/>
                <w:b/>
                <w:bCs/>
                <w:sz w:val="18"/>
                <w:szCs w:val="18"/>
              </w:rPr>
            </w:pPr>
            <w:r w:rsidRPr="003203A1">
              <w:rPr>
                <w:rFonts w:cs="Arial"/>
                <w:b/>
                <w:bCs/>
                <w:sz w:val="18"/>
                <w:szCs w:val="18"/>
              </w:rPr>
              <w:t>OWN SOURCE REVENUE</w:t>
            </w:r>
          </w:p>
        </w:tc>
        <w:tc>
          <w:tcPr>
            <w:tcW w:w="1317" w:type="dxa"/>
            <w:tcBorders>
              <w:top w:val="nil"/>
              <w:left w:val="nil"/>
              <w:bottom w:val="nil"/>
              <w:right w:val="nil"/>
            </w:tcBorders>
            <w:shd w:val="clear" w:color="FFFFFF" w:fill="FFFFFF"/>
            <w:noWrap/>
            <w:vAlign w:val="bottom"/>
            <w:hideMark/>
          </w:tcPr>
          <w:p w14:paraId="071B5B0F" w14:textId="77777777" w:rsidR="00520333" w:rsidRPr="003203A1" w:rsidRDefault="00520333" w:rsidP="005E5E0C">
            <w:pPr>
              <w:spacing w:after="0"/>
              <w:jc w:val="right"/>
              <w:rPr>
                <w:rFonts w:cs="Arial"/>
                <w:b/>
                <w:bCs/>
                <w:sz w:val="18"/>
                <w:szCs w:val="18"/>
              </w:rPr>
            </w:pPr>
            <w:r w:rsidRPr="003203A1">
              <w:rPr>
                <w:rFonts w:cs="Arial"/>
                <w:b/>
                <w:bCs/>
                <w:sz w:val="18"/>
                <w:szCs w:val="18"/>
              </w:rPr>
              <w:t>2024</w:t>
            </w:r>
          </w:p>
        </w:tc>
        <w:tc>
          <w:tcPr>
            <w:tcW w:w="243" w:type="dxa"/>
            <w:tcBorders>
              <w:top w:val="nil"/>
              <w:left w:val="nil"/>
              <w:bottom w:val="nil"/>
              <w:right w:val="nil"/>
            </w:tcBorders>
            <w:shd w:val="clear" w:color="FFFFFF" w:fill="FFFFFF"/>
            <w:noWrap/>
            <w:vAlign w:val="bottom"/>
            <w:hideMark/>
          </w:tcPr>
          <w:p w14:paraId="3F810260"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nil"/>
              <w:left w:val="nil"/>
              <w:bottom w:val="nil"/>
              <w:right w:val="nil"/>
            </w:tcBorders>
            <w:shd w:val="clear" w:color="FFFFFF" w:fill="FFFFFF"/>
            <w:noWrap/>
            <w:vAlign w:val="bottom"/>
            <w:hideMark/>
          </w:tcPr>
          <w:p w14:paraId="5344F1FE" w14:textId="77777777" w:rsidR="00520333" w:rsidRPr="003203A1" w:rsidRDefault="00520333" w:rsidP="005E5E0C">
            <w:pPr>
              <w:spacing w:after="0"/>
              <w:jc w:val="right"/>
              <w:rPr>
                <w:rFonts w:cs="Arial"/>
                <w:sz w:val="18"/>
                <w:szCs w:val="18"/>
              </w:rPr>
            </w:pPr>
            <w:r w:rsidRPr="003203A1">
              <w:rPr>
                <w:rFonts w:cs="Arial"/>
                <w:sz w:val="18"/>
                <w:szCs w:val="18"/>
              </w:rPr>
              <w:t>2023</w:t>
            </w:r>
          </w:p>
        </w:tc>
      </w:tr>
      <w:tr w:rsidR="00520333" w:rsidRPr="003203A1" w14:paraId="0CFB8664" w14:textId="77777777" w:rsidTr="005E5E0C">
        <w:trPr>
          <w:trHeight w:val="254"/>
        </w:trPr>
        <w:tc>
          <w:tcPr>
            <w:tcW w:w="6545" w:type="dxa"/>
            <w:tcBorders>
              <w:top w:val="nil"/>
              <w:left w:val="nil"/>
              <w:bottom w:val="nil"/>
              <w:right w:val="nil"/>
            </w:tcBorders>
            <w:shd w:val="clear" w:color="FFFFFF" w:fill="FFFFFF"/>
            <w:vAlign w:val="bottom"/>
            <w:hideMark/>
          </w:tcPr>
          <w:p w14:paraId="23544E73" w14:textId="77777777" w:rsidR="00520333" w:rsidRPr="003203A1" w:rsidRDefault="00520333" w:rsidP="005E5E0C">
            <w:pPr>
              <w:spacing w:after="0"/>
              <w:rPr>
                <w:rFonts w:cs="Arial"/>
                <w:b/>
                <w:bCs/>
                <w:sz w:val="18"/>
                <w:szCs w:val="18"/>
              </w:rPr>
            </w:pPr>
            <w:r w:rsidRPr="003203A1">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74524866" w14:textId="77777777" w:rsidR="00520333" w:rsidRPr="003203A1" w:rsidRDefault="00520333" w:rsidP="005E5E0C">
            <w:pPr>
              <w:spacing w:after="0"/>
              <w:jc w:val="right"/>
              <w:rPr>
                <w:rFonts w:cs="Arial"/>
                <w:b/>
                <w:bCs/>
                <w:sz w:val="18"/>
                <w:szCs w:val="18"/>
              </w:rPr>
            </w:pPr>
            <w:r w:rsidRPr="003203A1">
              <w:rPr>
                <w:rFonts w:cs="Arial"/>
                <w:b/>
                <w:bCs/>
                <w:sz w:val="18"/>
                <w:szCs w:val="18"/>
              </w:rPr>
              <w:t>$'000</w:t>
            </w:r>
          </w:p>
        </w:tc>
        <w:tc>
          <w:tcPr>
            <w:tcW w:w="243" w:type="dxa"/>
            <w:tcBorders>
              <w:top w:val="nil"/>
              <w:left w:val="nil"/>
              <w:bottom w:val="nil"/>
              <w:right w:val="nil"/>
            </w:tcBorders>
            <w:shd w:val="clear" w:color="FFFFFF" w:fill="FFFFFF"/>
            <w:noWrap/>
            <w:vAlign w:val="bottom"/>
            <w:hideMark/>
          </w:tcPr>
          <w:p w14:paraId="13B05ADB"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nil"/>
              <w:left w:val="nil"/>
              <w:bottom w:val="nil"/>
              <w:right w:val="nil"/>
            </w:tcBorders>
            <w:shd w:val="clear" w:color="FFFFFF" w:fill="FFFFFF"/>
            <w:noWrap/>
            <w:vAlign w:val="bottom"/>
            <w:hideMark/>
          </w:tcPr>
          <w:p w14:paraId="6F9A4950" w14:textId="77777777" w:rsidR="00520333" w:rsidRPr="003203A1" w:rsidRDefault="00520333" w:rsidP="005E5E0C">
            <w:pPr>
              <w:spacing w:after="0"/>
              <w:jc w:val="right"/>
              <w:rPr>
                <w:rFonts w:cs="Arial"/>
                <w:sz w:val="18"/>
                <w:szCs w:val="18"/>
              </w:rPr>
            </w:pPr>
            <w:r w:rsidRPr="003203A1">
              <w:rPr>
                <w:rFonts w:cs="Arial"/>
                <w:sz w:val="18"/>
                <w:szCs w:val="18"/>
              </w:rPr>
              <w:t>$'000</w:t>
            </w:r>
          </w:p>
        </w:tc>
      </w:tr>
      <w:tr w:rsidR="00520333" w:rsidRPr="003203A1" w14:paraId="7F526C6B" w14:textId="77777777" w:rsidTr="005E5E0C">
        <w:trPr>
          <w:trHeight w:val="264"/>
        </w:trPr>
        <w:tc>
          <w:tcPr>
            <w:tcW w:w="6545" w:type="dxa"/>
            <w:tcBorders>
              <w:top w:val="nil"/>
              <w:left w:val="nil"/>
              <w:bottom w:val="nil"/>
              <w:right w:val="nil"/>
            </w:tcBorders>
            <w:shd w:val="clear" w:color="FFFFFF" w:fill="FFFFFF"/>
            <w:noWrap/>
            <w:vAlign w:val="bottom"/>
            <w:hideMark/>
          </w:tcPr>
          <w:p w14:paraId="285F556A" w14:textId="77777777" w:rsidR="00520333" w:rsidRPr="003203A1" w:rsidRDefault="00520333" w:rsidP="005E5E0C">
            <w:pPr>
              <w:spacing w:after="0"/>
              <w:rPr>
                <w:rFonts w:cs="Arial"/>
                <w:b/>
                <w:bCs/>
                <w:sz w:val="18"/>
                <w:szCs w:val="18"/>
                <w:u w:val="single"/>
              </w:rPr>
            </w:pPr>
            <w:r w:rsidRPr="003203A1">
              <w:rPr>
                <w:rFonts w:cs="Arial"/>
                <w:b/>
                <w:bCs/>
                <w:sz w:val="18"/>
                <w:szCs w:val="18"/>
                <w:u w:val="single"/>
              </w:rPr>
              <w:t>Note 1.2A: Rendering of services</w:t>
            </w:r>
          </w:p>
        </w:tc>
        <w:tc>
          <w:tcPr>
            <w:tcW w:w="1317" w:type="dxa"/>
            <w:tcBorders>
              <w:top w:val="nil"/>
              <w:left w:val="nil"/>
              <w:bottom w:val="nil"/>
              <w:right w:val="nil"/>
            </w:tcBorders>
            <w:shd w:val="clear" w:color="FFFFFF" w:fill="FFFFFF"/>
            <w:noWrap/>
            <w:vAlign w:val="bottom"/>
            <w:hideMark/>
          </w:tcPr>
          <w:p w14:paraId="6C5C87FD"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43" w:type="dxa"/>
            <w:tcBorders>
              <w:top w:val="nil"/>
              <w:left w:val="nil"/>
              <w:bottom w:val="nil"/>
              <w:right w:val="nil"/>
            </w:tcBorders>
            <w:shd w:val="clear" w:color="FFFFFF" w:fill="FFFFFF"/>
            <w:noWrap/>
            <w:vAlign w:val="bottom"/>
            <w:hideMark/>
          </w:tcPr>
          <w:p w14:paraId="34D9F5DD"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nil"/>
              <w:left w:val="nil"/>
              <w:bottom w:val="nil"/>
              <w:right w:val="nil"/>
            </w:tcBorders>
            <w:shd w:val="clear" w:color="FFFFFF" w:fill="FFFFFF"/>
            <w:noWrap/>
            <w:vAlign w:val="bottom"/>
            <w:hideMark/>
          </w:tcPr>
          <w:p w14:paraId="28B9E9FE"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12F30D60" w14:textId="77777777" w:rsidTr="005E5E0C">
        <w:trPr>
          <w:trHeight w:val="264"/>
        </w:trPr>
        <w:tc>
          <w:tcPr>
            <w:tcW w:w="6545" w:type="dxa"/>
            <w:tcBorders>
              <w:top w:val="nil"/>
              <w:left w:val="nil"/>
              <w:bottom w:val="nil"/>
              <w:right w:val="nil"/>
            </w:tcBorders>
            <w:shd w:val="clear" w:color="FFFFFF" w:fill="FFFFFF"/>
            <w:noWrap/>
            <w:vAlign w:val="bottom"/>
            <w:hideMark/>
          </w:tcPr>
          <w:p w14:paraId="18163916" w14:textId="77777777" w:rsidR="00520333" w:rsidRPr="003203A1" w:rsidRDefault="00520333" w:rsidP="005E5E0C">
            <w:pPr>
              <w:spacing w:after="0"/>
              <w:ind w:firstLineChars="100" w:firstLine="181"/>
              <w:rPr>
                <w:rFonts w:cs="Arial"/>
                <w:b/>
                <w:bCs/>
                <w:sz w:val="18"/>
                <w:szCs w:val="18"/>
              </w:rPr>
            </w:pPr>
            <w:r w:rsidRPr="003203A1">
              <w:rPr>
                <w:rFonts w:cs="Arial"/>
                <w:b/>
                <w:bCs/>
                <w:sz w:val="18"/>
                <w:szCs w:val="18"/>
              </w:rPr>
              <w:t xml:space="preserve">Rendering of services in connection with: </w:t>
            </w:r>
          </w:p>
        </w:tc>
        <w:tc>
          <w:tcPr>
            <w:tcW w:w="1317" w:type="dxa"/>
            <w:tcBorders>
              <w:top w:val="nil"/>
              <w:left w:val="nil"/>
              <w:bottom w:val="nil"/>
              <w:right w:val="nil"/>
            </w:tcBorders>
            <w:shd w:val="clear" w:color="FFFFFF" w:fill="FFFFFF"/>
            <w:noWrap/>
            <w:vAlign w:val="bottom"/>
            <w:hideMark/>
          </w:tcPr>
          <w:p w14:paraId="2798D058"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43" w:type="dxa"/>
            <w:tcBorders>
              <w:top w:val="nil"/>
              <w:left w:val="nil"/>
              <w:bottom w:val="nil"/>
              <w:right w:val="nil"/>
            </w:tcBorders>
            <w:shd w:val="clear" w:color="FFFFFF" w:fill="FFFFFF"/>
            <w:noWrap/>
            <w:vAlign w:val="bottom"/>
            <w:hideMark/>
          </w:tcPr>
          <w:p w14:paraId="2C7D8128"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nil"/>
              <w:left w:val="nil"/>
              <w:bottom w:val="nil"/>
              <w:right w:val="nil"/>
            </w:tcBorders>
            <w:shd w:val="clear" w:color="FFFFFF" w:fill="FFFFFF"/>
            <w:noWrap/>
            <w:vAlign w:val="bottom"/>
            <w:hideMark/>
          </w:tcPr>
          <w:p w14:paraId="65D0B66B"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5A0F7C26" w14:textId="77777777" w:rsidTr="005E5E0C">
        <w:trPr>
          <w:trHeight w:val="254"/>
        </w:trPr>
        <w:tc>
          <w:tcPr>
            <w:tcW w:w="6545" w:type="dxa"/>
            <w:tcBorders>
              <w:top w:val="nil"/>
              <w:left w:val="nil"/>
              <w:bottom w:val="nil"/>
              <w:right w:val="nil"/>
            </w:tcBorders>
            <w:shd w:val="clear" w:color="FFFFFF" w:fill="FFFFFF"/>
            <w:vAlign w:val="bottom"/>
            <w:hideMark/>
          </w:tcPr>
          <w:p w14:paraId="1154E1F0" w14:textId="77777777" w:rsidR="00520333" w:rsidRPr="003203A1" w:rsidRDefault="00520333" w:rsidP="005E5E0C">
            <w:pPr>
              <w:spacing w:after="0"/>
              <w:ind w:firstLineChars="200" w:firstLine="360"/>
              <w:rPr>
                <w:rFonts w:cs="Arial"/>
                <w:sz w:val="18"/>
                <w:szCs w:val="18"/>
              </w:rPr>
            </w:pPr>
            <w:r w:rsidRPr="003203A1">
              <w:rPr>
                <w:rFonts w:cs="Arial"/>
                <w:sz w:val="18"/>
                <w:szCs w:val="18"/>
              </w:rPr>
              <w:t>Related parties - contributions from Department of Social Services (DSS)</w:t>
            </w:r>
          </w:p>
        </w:tc>
        <w:tc>
          <w:tcPr>
            <w:tcW w:w="1317" w:type="dxa"/>
            <w:tcBorders>
              <w:top w:val="nil"/>
              <w:left w:val="nil"/>
              <w:bottom w:val="nil"/>
              <w:right w:val="nil"/>
            </w:tcBorders>
            <w:shd w:val="clear" w:color="FFFFFF" w:fill="FFFFFF"/>
            <w:noWrap/>
            <w:vAlign w:val="bottom"/>
            <w:hideMark/>
          </w:tcPr>
          <w:p w14:paraId="006C614C" w14:textId="77777777" w:rsidR="00520333" w:rsidRPr="003203A1" w:rsidRDefault="00520333" w:rsidP="005E5E0C">
            <w:pPr>
              <w:spacing w:after="0"/>
              <w:jc w:val="right"/>
              <w:rPr>
                <w:rFonts w:cs="Arial"/>
                <w:b/>
                <w:bCs/>
                <w:sz w:val="18"/>
                <w:szCs w:val="18"/>
              </w:rPr>
            </w:pPr>
            <w:r w:rsidRPr="003203A1">
              <w:rPr>
                <w:rFonts w:cs="Arial"/>
                <w:b/>
                <w:bCs/>
                <w:sz w:val="18"/>
                <w:szCs w:val="18"/>
              </w:rPr>
              <w:t>30,279,923</w:t>
            </w:r>
          </w:p>
        </w:tc>
        <w:tc>
          <w:tcPr>
            <w:tcW w:w="243" w:type="dxa"/>
            <w:tcBorders>
              <w:top w:val="nil"/>
              <w:left w:val="nil"/>
              <w:bottom w:val="nil"/>
              <w:right w:val="nil"/>
            </w:tcBorders>
            <w:shd w:val="clear" w:color="FFFFFF" w:fill="FFFFFF"/>
            <w:noWrap/>
            <w:vAlign w:val="bottom"/>
            <w:hideMark/>
          </w:tcPr>
          <w:p w14:paraId="58DD616C"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nil"/>
              <w:left w:val="nil"/>
              <w:bottom w:val="nil"/>
              <w:right w:val="nil"/>
            </w:tcBorders>
            <w:shd w:val="clear" w:color="FFFFFF" w:fill="FFFFFF"/>
            <w:noWrap/>
            <w:vAlign w:val="bottom"/>
            <w:hideMark/>
          </w:tcPr>
          <w:p w14:paraId="3FEF4AA5" w14:textId="77777777" w:rsidR="00520333" w:rsidRPr="003203A1" w:rsidRDefault="00520333" w:rsidP="005E5E0C">
            <w:pPr>
              <w:spacing w:after="0"/>
              <w:jc w:val="right"/>
              <w:rPr>
                <w:rFonts w:cs="Arial"/>
                <w:sz w:val="18"/>
                <w:szCs w:val="18"/>
              </w:rPr>
            </w:pPr>
            <w:r w:rsidRPr="003203A1">
              <w:rPr>
                <w:rFonts w:cs="Arial"/>
                <w:sz w:val="18"/>
                <w:szCs w:val="18"/>
              </w:rPr>
              <w:t>23,635,070</w:t>
            </w:r>
          </w:p>
        </w:tc>
      </w:tr>
      <w:tr w:rsidR="00520333" w:rsidRPr="003203A1" w14:paraId="780F1635" w14:textId="77777777" w:rsidTr="005E5E0C">
        <w:trPr>
          <w:trHeight w:val="254"/>
        </w:trPr>
        <w:tc>
          <w:tcPr>
            <w:tcW w:w="6545" w:type="dxa"/>
            <w:tcBorders>
              <w:top w:val="nil"/>
              <w:left w:val="nil"/>
              <w:bottom w:val="nil"/>
              <w:right w:val="nil"/>
            </w:tcBorders>
            <w:shd w:val="clear" w:color="FFFFFF" w:fill="FFFFFF"/>
            <w:vAlign w:val="bottom"/>
            <w:hideMark/>
          </w:tcPr>
          <w:p w14:paraId="1F1AA056" w14:textId="77777777" w:rsidR="00520333" w:rsidRPr="003203A1" w:rsidRDefault="00520333" w:rsidP="005E5E0C">
            <w:pPr>
              <w:spacing w:after="0"/>
              <w:ind w:firstLineChars="200" w:firstLine="360"/>
              <w:rPr>
                <w:rFonts w:cs="Arial"/>
                <w:sz w:val="18"/>
                <w:szCs w:val="18"/>
              </w:rPr>
            </w:pPr>
            <w:r w:rsidRPr="003203A1">
              <w:rPr>
                <w:rFonts w:cs="Arial"/>
                <w:sz w:val="18"/>
                <w:szCs w:val="18"/>
              </w:rPr>
              <w:t>External parties - contributions from state and territory governments</w:t>
            </w:r>
          </w:p>
        </w:tc>
        <w:tc>
          <w:tcPr>
            <w:tcW w:w="1317" w:type="dxa"/>
            <w:tcBorders>
              <w:top w:val="nil"/>
              <w:left w:val="nil"/>
              <w:bottom w:val="nil"/>
              <w:right w:val="nil"/>
            </w:tcBorders>
            <w:shd w:val="clear" w:color="FFFFFF" w:fill="FFFFFF"/>
            <w:noWrap/>
            <w:vAlign w:val="bottom"/>
            <w:hideMark/>
          </w:tcPr>
          <w:p w14:paraId="5B85D79C" w14:textId="77777777" w:rsidR="00520333" w:rsidRPr="003203A1" w:rsidRDefault="00520333" w:rsidP="005E5E0C">
            <w:pPr>
              <w:spacing w:after="0"/>
              <w:jc w:val="right"/>
              <w:rPr>
                <w:rFonts w:cs="Arial"/>
                <w:b/>
                <w:bCs/>
                <w:sz w:val="18"/>
                <w:szCs w:val="18"/>
              </w:rPr>
            </w:pPr>
            <w:r w:rsidRPr="003203A1">
              <w:rPr>
                <w:rFonts w:cs="Arial"/>
                <w:b/>
                <w:bCs/>
                <w:sz w:val="18"/>
                <w:szCs w:val="18"/>
              </w:rPr>
              <w:t>11,149,138</w:t>
            </w:r>
          </w:p>
        </w:tc>
        <w:tc>
          <w:tcPr>
            <w:tcW w:w="243" w:type="dxa"/>
            <w:tcBorders>
              <w:top w:val="nil"/>
              <w:left w:val="nil"/>
              <w:bottom w:val="nil"/>
              <w:right w:val="nil"/>
            </w:tcBorders>
            <w:shd w:val="clear" w:color="FFFFFF" w:fill="FFFFFF"/>
            <w:noWrap/>
            <w:vAlign w:val="bottom"/>
            <w:hideMark/>
          </w:tcPr>
          <w:p w14:paraId="38AD69BE"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nil"/>
              <w:left w:val="nil"/>
              <w:bottom w:val="nil"/>
              <w:right w:val="nil"/>
            </w:tcBorders>
            <w:shd w:val="clear" w:color="FFFFFF" w:fill="FFFFFF"/>
            <w:noWrap/>
            <w:vAlign w:val="bottom"/>
            <w:hideMark/>
          </w:tcPr>
          <w:p w14:paraId="6FBE7157" w14:textId="77777777" w:rsidR="00520333" w:rsidRPr="003203A1" w:rsidRDefault="00520333" w:rsidP="005E5E0C">
            <w:pPr>
              <w:spacing w:after="0"/>
              <w:jc w:val="right"/>
              <w:rPr>
                <w:rFonts w:cs="Arial"/>
                <w:sz w:val="18"/>
                <w:szCs w:val="18"/>
              </w:rPr>
            </w:pPr>
            <w:r w:rsidRPr="003203A1">
              <w:rPr>
                <w:rFonts w:cs="Arial"/>
                <w:sz w:val="18"/>
                <w:szCs w:val="18"/>
              </w:rPr>
              <w:t>10,476,771</w:t>
            </w:r>
          </w:p>
        </w:tc>
      </w:tr>
      <w:tr w:rsidR="00520333" w:rsidRPr="003203A1" w14:paraId="5CC790DA" w14:textId="77777777" w:rsidTr="005E5E0C">
        <w:trPr>
          <w:trHeight w:val="254"/>
        </w:trPr>
        <w:tc>
          <w:tcPr>
            <w:tcW w:w="6545" w:type="dxa"/>
            <w:tcBorders>
              <w:top w:val="nil"/>
              <w:left w:val="nil"/>
              <w:bottom w:val="nil"/>
              <w:right w:val="nil"/>
            </w:tcBorders>
            <w:shd w:val="clear" w:color="FFFFFF" w:fill="FFFFFF"/>
            <w:vAlign w:val="bottom"/>
            <w:hideMark/>
          </w:tcPr>
          <w:p w14:paraId="75D3D5FA" w14:textId="77777777" w:rsidR="00520333" w:rsidRPr="003203A1" w:rsidRDefault="00520333" w:rsidP="005E5E0C">
            <w:pPr>
              <w:spacing w:after="0"/>
              <w:rPr>
                <w:rFonts w:cs="Arial"/>
                <w:b/>
                <w:bCs/>
                <w:sz w:val="18"/>
                <w:szCs w:val="18"/>
              </w:rPr>
            </w:pPr>
            <w:r w:rsidRPr="003203A1">
              <w:rPr>
                <w:rFonts w:cs="Arial"/>
                <w:b/>
                <w:bCs/>
                <w:sz w:val="18"/>
                <w:szCs w:val="18"/>
              </w:rPr>
              <w:t>Total revenue from rendering of services</w:t>
            </w:r>
          </w:p>
        </w:tc>
        <w:tc>
          <w:tcPr>
            <w:tcW w:w="1317" w:type="dxa"/>
            <w:tcBorders>
              <w:top w:val="single" w:sz="4" w:space="0" w:color="auto"/>
              <w:left w:val="nil"/>
              <w:bottom w:val="single" w:sz="4" w:space="0" w:color="auto"/>
              <w:right w:val="nil"/>
            </w:tcBorders>
            <w:shd w:val="clear" w:color="FFFFFF" w:fill="FFFFFF"/>
            <w:noWrap/>
            <w:vAlign w:val="bottom"/>
            <w:hideMark/>
          </w:tcPr>
          <w:p w14:paraId="5AC4D938" w14:textId="77777777" w:rsidR="00520333" w:rsidRPr="003203A1" w:rsidRDefault="00520333" w:rsidP="005E5E0C">
            <w:pPr>
              <w:spacing w:after="0"/>
              <w:jc w:val="right"/>
              <w:rPr>
                <w:rFonts w:cs="Arial"/>
                <w:b/>
                <w:bCs/>
                <w:sz w:val="18"/>
                <w:szCs w:val="18"/>
              </w:rPr>
            </w:pPr>
            <w:r w:rsidRPr="003203A1">
              <w:rPr>
                <w:rFonts w:cs="Arial"/>
                <w:b/>
                <w:bCs/>
                <w:sz w:val="18"/>
                <w:szCs w:val="18"/>
              </w:rPr>
              <w:t>41,429,061</w:t>
            </w:r>
          </w:p>
        </w:tc>
        <w:tc>
          <w:tcPr>
            <w:tcW w:w="243" w:type="dxa"/>
            <w:tcBorders>
              <w:top w:val="nil"/>
              <w:left w:val="nil"/>
              <w:bottom w:val="nil"/>
              <w:right w:val="nil"/>
            </w:tcBorders>
            <w:shd w:val="clear" w:color="FFFFFF" w:fill="FFFFFF"/>
            <w:noWrap/>
            <w:vAlign w:val="bottom"/>
            <w:hideMark/>
          </w:tcPr>
          <w:p w14:paraId="4CCE2DDB" w14:textId="77777777" w:rsidR="00520333" w:rsidRPr="003203A1" w:rsidRDefault="00520333" w:rsidP="005E5E0C">
            <w:pPr>
              <w:spacing w:after="0"/>
              <w:rPr>
                <w:rFonts w:cs="Arial"/>
                <w:sz w:val="18"/>
                <w:szCs w:val="18"/>
              </w:rPr>
            </w:pPr>
            <w:r w:rsidRPr="003203A1">
              <w:rPr>
                <w:rFonts w:cs="Arial"/>
                <w:sz w:val="18"/>
                <w:szCs w:val="18"/>
              </w:rPr>
              <w:t> </w:t>
            </w:r>
          </w:p>
        </w:tc>
        <w:tc>
          <w:tcPr>
            <w:tcW w:w="1266" w:type="dxa"/>
            <w:tcBorders>
              <w:top w:val="single" w:sz="4" w:space="0" w:color="auto"/>
              <w:left w:val="nil"/>
              <w:bottom w:val="single" w:sz="4" w:space="0" w:color="auto"/>
              <w:right w:val="nil"/>
            </w:tcBorders>
            <w:shd w:val="clear" w:color="FFFFFF" w:fill="FFFFFF"/>
            <w:noWrap/>
            <w:vAlign w:val="bottom"/>
            <w:hideMark/>
          </w:tcPr>
          <w:p w14:paraId="1CC215B5" w14:textId="77777777" w:rsidR="00520333" w:rsidRPr="003203A1" w:rsidRDefault="00520333" w:rsidP="005E5E0C">
            <w:pPr>
              <w:spacing w:after="0"/>
              <w:jc w:val="right"/>
              <w:rPr>
                <w:rFonts w:cs="Arial"/>
                <w:sz w:val="18"/>
                <w:szCs w:val="18"/>
              </w:rPr>
            </w:pPr>
            <w:r w:rsidRPr="003203A1">
              <w:rPr>
                <w:rFonts w:cs="Arial"/>
                <w:sz w:val="18"/>
                <w:szCs w:val="18"/>
              </w:rPr>
              <w:t>34,111,841</w:t>
            </w:r>
          </w:p>
        </w:tc>
      </w:tr>
    </w:tbl>
    <w:p w14:paraId="6F0CDBB3" w14:textId="77777777" w:rsidR="00520333" w:rsidRPr="003203A1" w:rsidRDefault="00520333" w:rsidP="00520333">
      <w:pPr>
        <w:spacing w:line="240" w:lineRule="auto"/>
        <w:rPr>
          <w:rFonts w:cs="Arial"/>
          <w:sz w:val="18"/>
          <w:szCs w:val="18"/>
        </w:rPr>
      </w:pPr>
    </w:p>
    <w:p w14:paraId="5B55606E" w14:textId="77777777" w:rsidR="00520333" w:rsidRPr="003203A1" w:rsidRDefault="00520333" w:rsidP="00520333">
      <w:pPr>
        <w:pStyle w:val="PolicytextDept"/>
        <w:pBdr>
          <w:top w:val="single" w:sz="4" w:space="0" w:color="800080"/>
          <w:left w:val="single" w:sz="4" w:space="4" w:color="800080"/>
          <w:right w:val="single" w:sz="4" w:space="4" w:color="800080"/>
        </w:pBdr>
        <w:rPr>
          <w:b/>
        </w:rPr>
      </w:pPr>
      <w:bookmarkStart w:id="168" w:name="_Hlk109999023"/>
      <w:r w:rsidRPr="003203A1">
        <w:rPr>
          <w:b/>
        </w:rPr>
        <w:t>Accounting Policy</w:t>
      </w:r>
    </w:p>
    <w:bookmarkEnd w:id="168"/>
    <w:p w14:paraId="75614648" w14:textId="77777777" w:rsidR="00520333" w:rsidRPr="003203A1" w:rsidRDefault="00520333" w:rsidP="00520333">
      <w:pPr>
        <w:pStyle w:val="PolicytextDept"/>
        <w:pBdr>
          <w:top w:val="single" w:sz="4" w:space="0" w:color="800080"/>
          <w:left w:val="single" w:sz="4" w:space="4" w:color="800080"/>
          <w:right w:val="single" w:sz="4" w:space="4" w:color="800080"/>
        </w:pBdr>
      </w:pPr>
      <w:r w:rsidRPr="003203A1">
        <w:t>Payments to the Agency from the Commonwealth, state and territory governments are recognised as revenue when they become payable to the Agency under the relevant signed agreement. These include payments outlined in the bilateral agreements for the funding of the Scheme. Payments received in advance and any outstanding offsets to be deducted from future period receipts are treated as unearned revenue (refer note 2.4).</w:t>
      </w:r>
    </w:p>
    <w:p w14:paraId="2FD22EB2" w14:textId="77777777" w:rsidR="00520333" w:rsidRPr="003203A1" w:rsidRDefault="00520333" w:rsidP="00520333">
      <w:pPr>
        <w:pStyle w:val="PolicytextDept"/>
        <w:pBdr>
          <w:top w:val="single" w:sz="4" w:space="0" w:color="800080"/>
          <w:left w:val="single" w:sz="4" w:space="4" w:color="800080"/>
          <w:right w:val="single" w:sz="4" w:space="4" w:color="800080"/>
        </w:pBdr>
      </w:pPr>
      <w:r w:rsidRPr="003203A1">
        <w:t>The transaction price for the Scheme contributions is the total amount payable by the jurisdictions to fund the Scheme under their bilateral agreements. The bilateral agreements have annual performance obligations.</w:t>
      </w:r>
    </w:p>
    <w:p w14:paraId="2D5623EE" w14:textId="480A8DA1" w:rsidR="00520333" w:rsidRPr="003203A1" w:rsidRDefault="00520333" w:rsidP="00520333">
      <w:pPr>
        <w:pStyle w:val="PolicytextDept"/>
        <w:pBdr>
          <w:top w:val="single" w:sz="4" w:space="0" w:color="800080"/>
          <w:left w:val="single" w:sz="4" w:space="4" w:color="800080"/>
          <w:right w:val="single" w:sz="4" w:space="4" w:color="800080"/>
        </w:pBdr>
        <w:rPr>
          <w:highlight w:val="yellow"/>
        </w:rPr>
      </w:pPr>
      <w:r w:rsidRPr="003203A1">
        <w:t>Total contributions revenue from state and territories governments comprises cash and non-cash components. Non-cash contributions (i.e. In-kind) are reported as non-cash revenue in Note 1.2D Other gains. In-Kind contributions reduce the total cash contributions payable by state and territory governments to the Scheme under the bilateral agreements.</w:t>
      </w:r>
      <w:r w:rsidRPr="003203A1">
        <w:tab/>
        <w:t xml:space="preserve"> </w:t>
      </w: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4848FB1E" w14:textId="77777777" w:rsidTr="005E5E0C">
        <w:trPr>
          <w:trHeight w:val="260"/>
        </w:trPr>
        <w:tc>
          <w:tcPr>
            <w:tcW w:w="6351" w:type="dxa"/>
            <w:tcBorders>
              <w:top w:val="nil"/>
              <w:left w:val="nil"/>
              <w:bottom w:val="nil"/>
              <w:right w:val="nil"/>
            </w:tcBorders>
            <w:shd w:val="clear" w:color="FFFFFF" w:fill="FFFFFF"/>
            <w:noWrap/>
            <w:vAlign w:val="bottom"/>
            <w:hideMark/>
          </w:tcPr>
          <w:p w14:paraId="5CAD1CF4" w14:textId="77777777" w:rsidR="00520333" w:rsidRPr="003203A1" w:rsidRDefault="00520333" w:rsidP="005E5E0C">
            <w:pPr>
              <w:spacing w:after="0"/>
              <w:rPr>
                <w:rFonts w:cs="Arial"/>
                <w:b/>
                <w:bCs/>
                <w:sz w:val="18"/>
                <w:szCs w:val="18"/>
                <w:u w:val="single"/>
              </w:rPr>
            </w:pPr>
            <w:bookmarkStart w:id="169" w:name="Note_RRVTABLE1" w:colFirst="0" w:colLast="0"/>
            <w:r w:rsidRPr="003203A1">
              <w:rPr>
                <w:rFonts w:cs="Arial"/>
                <w:b/>
                <w:bCs/>
                <w:sz w:val="18"/>
                <w:szCs w:val="18"/>
                <w:u w:val="single"/>
              </w:rPr>
              <w:t>Note 1.2B: Rental Income</w:t>
            </w:r>
          </w:p>
        </w:tc>
        <w:tc>
          <w:tcPr>
            <w:tcW w:w="1259" w:type="dxa"/>
            <w:tcBorders>
              <w:top w:val="nil"/>
              <w:left w:val="nil"/>
              <w:bottom w:val="nil"/>
              <w:right w:val="nil"/>
            </w:tcBorders>
            <w:shd w:val="clear" w:color="FFFFFF" w:fill="FFFFFF"/>
            <w:vAlign w:val="bottom"/>
            <w:hideMark/>
          </w:tcPr>
          <w:p w14:paraId="783C9F05"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8AD6F9D"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vAlign w:val="bottom"/>
            <w:hideMark/>
          </w:tcPr>
          <w:p w14:paraId="409FA9FC" w14:textId="77777777" w:rsidR="00520333" w:rsidRPr="003203A1" w:rsidRDefault="00520333" w:rsidP="005E5E0C">
            <w:pPr>
              <w:spacing w:after="0"/>
              <w:jc w:val="right"/>
              <w:rPr>
                <w:rFonts w:cs="Arial"/>
                <w:sz w:val="18"/>
                <w:szCs w:val="18"/>
              </w:rPr>
            </w:pPr>
            <w:r w:rsidRPr="003203A1">
              <w:rPr>
                <w:rFonts w:cs="Arial"/>
                <w:sz w:val="18"/>
                <w:szCs w:val="18"/>
              </w:rPr>
              <w:t> </w:t>
            </w:r>
          </w:p>
        </w:tc>
      </w:tr>
      <w:bookmarkEnd w:id="169"/>
      <w:tr w:rsidR="00520333" w:rsidRPr="003203A1" w14:paraId="3A41649B" w14:textId="77777777" w:rsidTr="005E5E0C">
        <w:trPr>
          <w:trHeight w:val="260"/>
        </w:trPr>
        <w:tc>
          <w:tcPr>
            <w:tcW w:w="6351" w:type="dxa"/>
            <w:tcBorders>
              <w:top w:val="nil"/>
              <w:left w:val="nil"/>
              <w:bottom w:val="nil"/>
              <w:right w:val="nil"/>
            </w:tcBorders>
            <w:shd w:val="clear" w:color="FFFFFF" w:fill="FFFFFF"/>
            <w:vAlign w:val="bottom"/>
            <w:hideMark/>
          </w:tcPr>
          <w:p w14:paraId="32D68E2F" w14:textId="77777777" w:rsidR="00520333" w:rsidRPr="003203A1" w:rsidRDefault="00520333" w:rsidP="005E5E0C">
            <w:pPr>
              <w:spacing w:after="0"/>
              <w:rPr>
                <w:rFonts w:cs="Arial"/>
                <w:b/>
                <w:bCs/>
                <w:sz w:val="18"/>
                <w:szCs w:val="18"/>
              </w:rPr>
            </w:pPr>
            <w:r w:rsidRPr="003203A1">
              <w:rPr>
                <w:rFonts w:cs="Arial"/>
                <w:b/>
                <w:bCs/>
                <w:sz w:val="18"/>
                <w:szCs w:val="18"/>
              </w:rPr>
              <w:t>Operating lease:</w:t>
            </w:r>
          </w:p>
        </w:tc>
        <w:tc>
          <w:tcPr>
            <w:tcW w:w="1259" w:type="dxa"/>
            <w:tcBorders>
              <w:top w:val="nil"/>
              <w:left w:val="nil"/>
              <w:bottom w:val="nil"/>
              <w:right w:val="nil"/>
            </w:tcBorders>
            <w:shd w:val="clear" w:color="FFFFFF" w:fill="FFFFFF"/>
            <w:noWrap/>
            <w:vAlign w:val="bottom"/>
            <w:hideMark/>
          </w:tcPr>
          <w:p w14:paraId="6C196435"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5263BDE"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6D37BCE"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204424E0" w14:textId="77777777" w:rsidTr="005E5E0C">
        <w:trPr>
          <w:trHeight w:val="250"/>
        </w:trPr>
        <w:tc>
          <w:tcPr>
            <w:tcW w:w="6351" w:type="dxa"/>
            <w:tcBorders>
              <w:top w:val="nil"/>
              <w:left w:val="nil"/>
              <w:bottom w:val="nil"/>
              <w:right w:val="nil"/>
            </w:tcBorders>
            <w:shd w:val="clear" w:color="FFFFFF" w:fill="FFFFFF"/>
            <w:vAlign w:val="bottom"/>
            <w:hideMark/>
          </w:tcPr>
          <w:p w14:paraId="79BD4ED2" w14:textId="77777777" w:rsidR="00520333" w:rsidRPr="003203A1" w:rsidRDefault="00520333" w:rsidP="005E5E0C">
            <w:pPr>
              <w:spacing w:after="0"/>
              <w:ind w:firstLineChars="100" w:firstLine="180"/>
              <w:rPr>
                <w:rFonts w:cs="Arial"/>
                <w:sz w:val="18"/>
                <w:szCs w:val="18"/>
              </w:rPr>
            </w:pPr>
            <w:r w:rsidRPr="003203A1">
              <w:rPr>
                <w:rFonts w:cs="Arial"/>
                <w:sz w:val="18"/>
                <w:szCs w:val="18"/>
              </w:rPr>
              <w:t>Subleasing right-of-use assets</w:t>
            </w:r>
          </w:p>
        </w:tc>
        <w:tc>
          <w:tcPr>
            <w:tcW w:w="1259" w:type="dxa"/>
            <w:tcBorders>
              <w:top w:val="nil"/>
              <w:left w:val="nil"/>
              <w:bottom w:val="nil"/>
              <w:right w:val="nil"/>
            </w:tcBorders>
            <w:shd w:val="clear" w:color="FFFFFF" w:fill="FFFFFF"/>
            <w:noWrap/>
            <w:vAlign w:val="bottom"/>
            <w:hideMark/>
          </w:tcPr>
          <w:p w14:paraId="6E85B730" w14:textId="77777777" w:rsidR="00520333" w:rsidRPr="003203A1" w:rsidRDefault="00520333" w:rsidP="005E5E0C">
            <w:pPr>
              <w:spacing w:after="0"/>
              <w:jc w:val="right"/>
              <w:rPr>
                <w:rFonts w:cs="Arial"/>
                <w:b/>
                <w:bCs/>
                <w:sz w:val="18"/>
                <w:szCs w:val="18"/>
              </w:rPr>
            </w:pPr>
            <w:r w:rsidRPr="003203A1">
              <w:rPr>
                <w:rFonts w:cs="Arial"/>
                <w:b/>
                <w:bCs/>
                <w:sz w:val="18"/>
                <w:szCs w:val="18"/>
              </w:rPr>
              <w:t>478</w:t>
            </w:r>
          </w:p>
        </w:tc>
        <w:tc>
          <w:tcPr>
            <w:tcW w:w="236" w:type="dxa"/>
            <w:tcBorders>
              <w:top w:val="nil"/>
              <w:left w:val="nil"/>
              <w:bottom w:val="nil"/>
              <w:right w:val="nil"/>
            </w:tcBorders>
            <w:shd w:val="clear" w:color="FFFFFF" w:fill="FFFFFF"/>
            <w:noWrap/>
            <w:vAlign w:val="bottom"/>
            <w:hideMark/>
          </w:tcPr>
          <w:p w14:paraId="1AD191AB"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74CE0FE1" w14:textId="77777777" w:rsidR="00520333" w:rsidRPr="003203A1" w:rsidRDefault="00520333" w:rsidP="005E5E0C">
            <w:pPr>
              <w:spacing w:after="0"/>
              <w:jc w:val="right"/>
              <w:rPr>
                <w:rFonts w:cs="Arial"/>
                <w:sz w:val="18"/>
                <w:szCs w:val="18"/>
              </w:rPr>
            </w:pPr>
            <w:r w:rsidRPr="003203A1">
              <w:rPr>
                <w:rFonts w:cs="Arial"/>
                <w:sz w:val="18"/>
                <w:szCs w:val="18"/>
              </w:rPr>
              <w:t>704</w:t>
            </w:r>
          </w:p>
        </w:tc>
      </w:tr>
      <w:tr w:rsidR="00520333" w:rsidRPr="003203A1" w14:paraId="2E420938" w14:textId="77777777" w:rsidTr="005E5E0C">
        <w:trPr>
          <w:trHeight w:val="260"/>
        </w:trPr>
        <w:tc>
          <w:tcPr>
            <w:tcW w:w="6351" w:type="dxa"/>
            <w:tcBorders>
              <w:top w:val="nil"/>
              <w:left w:val="nil"/>
              <w:bottom w:val="nil"/>
              <w:right w:val="nil"/>
            </w:tcBorders>
            <w:shd w:val="clear" w:color="FFFFFF" w:fill="FFFFFF"/>
            <w:vAlign w:val="bottom"/>
            <w:hideMark/>
          </w:tcPr>
          <w:p w14:paraId="71475BD8" w14:textId="77777777" w:rsidR="00520333" w:rsidRPr="003203A1" w:rsidRDefault="00520333" w:rsidP="005E5E0C">
            <w:pPr>
              <w:spacing w:after="0"/>
              <w:rPr>
                <w:rFonts w:cs="Arial"/>
                <w:b/>
                <w:bCs/>
                <w:sz w:val="18"/>
                <w:szCs w:val="18"/>
              </w:rPr>
            </w:pPr>
            <w:r w:rsidRPr="003203A1">
              <w:rPr>
                <w:rFonts w:cs="Arial"/>
                <w:b/>
                <w:bCs/>
                <w:sz w:val="18"/>
                <w:szCs w:val="18"/>
              </w:rPr>
              <w:t>Total rental income</w:t>
            </w:r>
          </w:p>
        </w:tc>
        <w:tc>
          <w:tcPr>
            <w:tcW w:w="1259" w:type="dxa"/>
            <w:tcBorders>
              <w:top w:val="single" w:sz="4" w:space="0" w:color="auto"/>
              <w:left w:val="nil"/>
              <w:bottom w:val="single" w:sz="4" w:space="0" w:color="auto"/>
              <w:right w:val="nil"/>
            </w:tcBorders>
            <w:shd w:val="clear" w:color="FFFFFF" w:fill="FFFFFF"/>
            <w:noWrap/>
            <w:vAlign w:val="bottom"/>
            <w:hideMark/>
          </w:tcPr>
          <w:p w14:paraId="599B6FB1" w14:textId="77777777" w:rsidR="00520333" w:rsidRPr="003203A1" w:rsidRDefault="00520333" w:rsidP="005E5E0C">
            <w:pPr>
              <w:spacing w:after="0"/>
              <w:jc w:val="right"/>
              <w:rPr>
                <w:rFonts w:cs="Arial"/>
                <w:b/>
                <w:bCs/>
                <w:sz w:val="18"/>
                <w:szCs w:val="18"/>
              </w:rPr>
            </w:pPr>
            <w:r w:rsidRPr="003203A1">
              <w:rPr>
                <w:rFonts w:cs="Arial"/>
                <w:b/>
                <w:bCs/>
                <w:sz w:val="18"/>
                <w:szCs w:val="18"/>
              </w:rPr>
              <w:t>478</w:t>
            </w:r>
          </w:p>
        </w:tc>
        <w:tc>
          <w:tcPr>
            <w:tcW w:w="236" w:type="dxa"/>
            <w:tcBorders>
              <w:top w:val="nil"/>
              <w:left w:val="nil"/>
              <w:bottom w:val="nil"/>
              <w:right w:val="nil"/>
            </w:tcBorders>
            <w:shd w:val="clear" w:color="FFFFFF" w:fill="FFFFFF"/>
            <w:noWrap/>
            <w:vAlign w:val="bottom"/>
            <w:hideMark/>
          </w:tcPr>
          <w:p w14:paraId="3B18CDD1"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419C8FB6" w14:textId="77777777" w:rsidR="00520333" w:rsidRPr="003203A1" w:rsidRDefault="00520333" w:rsidP="005E5E0C">
            <w:pPr>
              <w:spacing w:after="0"/>
              <w:jc w:val="right"/>
              <w:rPr>
                <w:rFonts w:cs="Arial"/>
                <w:sz w:val="18"/>
                <w:szCs w:val="18"/>
              </w:rPr>
            </w:pPr>
            <w:r w:rsidRPr="003203A1">
              <w:rPr>
                <w:rFonts w:cs="Arial"/>
                <w:sz w:val="18"/>
                <w:szCs w:val="18"/>
              </w:rPr>
              <w:t>704</w:t>
            </w:r>
          </w:p>
        </w:tc>
      </w:tr>
    </w:tbl>
    <w:p w14:paraId="3668637D" w14:textId="77777777" w:rsidR="00520333" w:rsidRPr="003203A1" w:rsidRDefault="00520333" w:rsidP="00520333">
      <w:pPr>
        <w:spacing w:line="240" w:lineRule="auto"/>
        <w:rPr>
          <w:rFonts w:cs="Arial"/>
          <w:sz w:val="18"/>
          <w:szCs w:val="18"/>
          <w:vertAlign w:val="superscript"/>
        </w:rPr>
      </w:pPr>
    </w:p>
    <w:p w14:paraId="5DBD8A73" w14:textId="77777777" w:rsidR="00520333" w:rsidRPr="003203A1" w:rsidRDefault="00520333" w:rsidP="00520333">
      <w:pPr>
        <w:rPr>
          <w:rFonts w:cs="Arial"/>
          <w:sz w:val="18"/>
          <w:szCs w:val="18"/>
        </w:rPr>
      </w:pPr>
      <w:r w:rsidRPr="003203A1">
        <w:rPr>
          <w:rFonts w:cs="Arial"/>
          <w:b/>
          <w:bCs/>
          <w:sz w:val="18"/>
          <w:szCs w:val="18"/>
        </w:rPr>
        <w:t>Operating Leases</w:t>
      </w:r>
    </w:p>
    <w:p w14:paraId="4B754806" w14:textId="77777777" w:rsidR="00520333" w:rsidRPr="003203A1" w:rsidRDefault="00520333" w:rsidP="00520333">
      <w:pPr>
        <w:spacing w:line="240" w:lineRule="auto"/>
        <w:rPr>
          <w:rFonts w:cs="Arial"/>
          <w:sz w:val="18"/>
          <w:szCs w:val="18"/>
          <w:vertAlign w:val="superscript"/>
        </w:rPr>
      </w:pPr>
      <w:r w:rsidRPr="003203A1">
        <w:rPr>
          <w:rFonts w:cs="Arial"/>
          <w:sz w:val="18"/>
          <w:szCs w:val="18"/>
        </w:rPr>
        <w:t>The NDIA entered into agreements with DSS, the Department of Health and Aged Care and the National Indigenous Australians Agency to occupy some of the NDIA’s properties. The NDIA retains the rights and risks in underlying assets associated with these leases. There are established risk management processes and a governance structure for escalation of issues. As the sublet arrangements are Commonwealth entity to Commonwealth entity, the risk was deemed to be low and could be facilitated through the existing relationship with these entities.</w:t>
      </w: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5F51F83E" w14:textId="77777777" w:rsidTr="005E5E0C">
        <w:trPr>
          <w:trHeight w:val="250"/>
        </w:trPr>
        <w:tc>
          <w:tcPr>
            <w:tcW w:w="6351" w:type="dxa"/>
            <w:tcBorders>
              <w:top w:val="nil"/>
              <w:left w:val="nil"/>
              <w:bottom w:val="nil"/>
              <w:right w:val="nil"/>
            </w:tcBorders>
            <w:shd w:val="clear" w:color="FFFFFF" w:fill="FFFFFF"/>
            <w:vAlign w:val="bottom"/>
            <w:hideMark/>
          </w:tcPr>
          <w:p w14:paraId="0A0B73FD" w14:textId="77777777" w:rsidR="00520333" w:rsidRPr="003203A1" w:rsidRDefault="00520333" w:rsidP="005E5E0C">
            <w:pPr>
              <w:spacing w:after="0"/>
              <w:rPr>
                <w:rFonts w:cs="Arial"/>
                <w:b/>
                <w:bCs/>
                <w:sz w:val="18"/>
                <w:szCs w:val="18"/>
              </w:rPr>
            </w:pPr>
            <w:bookmarkStart w:id="170" w:name="Note_RRVTABLE2" w:colFirst="0" w:colLast="0"/>
            <w:r w:rsidRPr="003203A1">
              <w:rPr>
                <w:rFonts w:cs="Arial"/>
                <w:b/>
                <w:bCs/>
                <w:sz w:val="18"/>
                <w:szCs w:val="18"/>
              </w:rPr>
              <w:t>Maturity analysis of operating lease receivables</w:t>
            </w:r>
          </w:p>
        </w:tc>
        <w:tc>
          <w:tcPr>
            <w:tcW w:w="1259" w:type="dxa"/>
            <w:tcBorders>
              <w:top w:val="nil"/>
              <w:left w:val="nil"/>
              <w:bottom w:val="nil"/>
              <w:right w:val="nil"/>
            </w:tcBorders>
            <w:shd w:val="clear" w:color="FFFFFF" w:fill="FFFFFF"/>
            <w:noWrap/>
            <w:vAlign w:val="bottom"/>
            <w:hideMark/>
          </w:tcPr>
          <w:p w14:paraId="746D5E17"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22BF8681"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897B6F1" w14:textId="77777777" w:rsidR="00520333" w:rsidRPr="003203A1" w:rsidRDefault="00520333" w:rsidP="005E5E0C">
            <w:pPr>
              <w:spacing w:after="0"/>
              <w:rPr>
                <w:rFonts w:cs="Arial"/>
                <w:sz w:val="18"/>
                <w:szCs w:val="18"/>
              </w:rPr>
            </w:pPr>
            <w:r w:rsidRPr="003203A1">
              <w:rPr>
                <w:rFonts w:cs="Arial"/>
                <w:sz w:val="18"/>
                <w:szCs w:val="18"/>
              </w:rPr>
              <w:t> </w:t>
            </w:r>
          </w:p>
        </w:tc>
      </w:tr>
      <w:bookmarkEnd w:id="170"/>
      <w:tr w:rsidR="00520333" w:rsidRPr="003203A1" w14:paraId="4EA387FA" w14:textId="77777777" w:rsidTr="005E5E0C">
        <w:trPr>
          <w:trHeight w:val="250"/>
        </w:trPr>
        <w:tc>
          <w:tcPr>
            <w:tcW w:w="6351" w:type="dxa"/>
            <w:tcBorders>
              <w:top w:val="nil"/>
              <w:left w:val="nil"/>
              <w:bottom w:val="nil"/>
              <w:right w:val="nil"/>
            </w:tcBorders>
            <w:shd w:val="clear" w:color="FFFFFF" w:fill="FFFFFF"/>
            <w:vAlign w:val="bottom"/>
            <w:hideMark/>
          </w:tcPr>
          <w:p w14:paraId="66AD414E" w14:textId="77777777" w:rsidR="00520333" w:rsidRPr="003203A1" w:rsidRDefault="00520333" w:rsidP="005E5E0C">
            <w:pPr>
              <w:spacing w:after="0"/>
              <w:ind w:firstLineChars="100" w:firstLine="180"/>
              <w:rPr>
                <w:rFonts w:cs="Arial"/>
                <w:sz w:val="18"/>
                <w:szCs w:val="18"/>
              </w:rPr>
            </w:pPr>
            <w:r w:rsidRPr="003203A1">
              <w:rPr>
                <w:rFonts w:cs="Arial"/>
                <w:sz w:val="18"/>
                <w:szCs w:val="18"/>
              </w:rPr>
              <w:t>Within one year</w:t>
            </w:r>
          </w:p>
        </w:tc>
        <w:tc>
          <w:tcPr>
            <w:tcW w:w="1259" w:type="dxa"/>
            <w:tcBorders>
              <w:top w:val="nil"/>
              <w:left w:val="nil"/>
              <w:bottom w:val="nil"/>
              <w:right w:val="nil"/>
            </w:tcBorders>
            <w:shd w:val="clear" w:color="FFFFFF" w:fill="FFFFFF"/>
            <w:noWrap/>
            <w:vAlign w:val="bottom"/>
            <w:hideMark/>
          </w:tcPr>
          <w:p w14:paraId="1FAF44EC" w14:textId="77777777" w:rsidR="00520333" w:rsidRPr="003203A1" w:rsidRDefault="00520333" w:rsidP="005E5E0C">
            <w:pPr>
              <w:spacing w:after="0"/>
              <w:jc w:val="right"/>
              <w:rPr>
                <w:rFonts w:cs="Arial"/>
                <w:b/>
                <w:bCs/>
                <w:sz w:val="18"/>
                <w:szCs w:val="18"/>
              </w:rPr>
            </w:pPr>
            <w:r w:rsidRPr="003203A1">
              <w:rPr>
                <w:rFonts w:cs="Arial"/>
                <w:b/>
                <w:bCs/>
                <w:sz w:val="18"/>
                <w:szCs w:val="18"/>
              </w:rPr>
              <w:t>468</w:t>
            </w:r>
          </w:p>
        </w:tc>
        <w:tc>
          <w:tcPr>
            <w:tcW w:w="236" w:type="dxa"/>
            <w:tcBorders>
              <w:top w:val="nil"/>
              <w:left w:val="nil"/>
              <w:bottom w:val="nil"/>
              <w:right w:val="nil"/>
            </w:tcBorders>
            <w:shd w:val="clear" w:color="FFFFFF" w:fill="FFFFFF"/>
            <w:noWrap/>
            <w:vAlign w:val="bottom"/>
            <w:hideMark/>
          </w:tcPr>
          <w:p w14:paraId="21F3E7AE"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50BBECD" w14:textId="77777777" w:rsidR="00520333" w:rsidRPr="003203A1" w:rsidRDefault="00520333" w:rsidP="005E5E0C">
            <w:pPr>
              <w:spacing w:after="0"/>
              <w:jc w:val="right"/>
              <w:rPr>
                <w:rFonts w:cs="Arial"/>
                <w:sz w:val="18"/>
                <w:szCs w:val="18"/>
              </w:rPr>
            </w:pPr>
            <w:r w:rsidRPr="003203A1">
              <w:rPr>
                <w:rFonts w:cs="Arial"/>
                <w:sz w:val="18"/>
                <w:szCs w:val="18"/>
              </w:rPr>
              <w:t>558</w:t>
            </w:r>
          </w:p>
        </w:tc>
      </w:tr>
      <w:tr w:rsidR="00520333" w:rsidRPr="003203A1" w14:paraId="6C3C275A" w14:textId="77777777" w:rsidTr="005E5E0C">
        <w:trPr>
          <w:trHeight w:val="250"/>
        </w:trPr>
        <w:tc>
          <w:tcPr>
            <w:tcW w:w="6351" w:type="dxa"/>
            <w:tcBorders>
              <w:top w:val="nil"/>
              <w:left w:val="nil"/>
              <w:bottom w:val="nil"/>
              <w:right w:val="nil"/>
            </w:tcBorders>
            <w:shd w:val="clear" w:color="FFFFFF" w:fill="FFFFFF"/>
            <w:vAlign w:val="bottom"/>
            <w:hideMark/>
          </w:tcPr>
          <w:p w14:paraId="72A462ED" w14:textId="77777777" w:rsidR="00520333" w:rsidRPr="003203A1" w:rsidRDefault="00520333" w:rsidP="005E5E0C">
            <w:pPr>
              <w:spacing w:after="0"/>
              <w:ind w:firstLineChars="100" w:firstLine="180"/>
              <w:rPr>
                <w:rFonts w:cs="Arial"/>
                <w:sz w:val="18"/>
                <w:szCs w:val="18"/>
              </w:rPr>
            </w:pPr>
            <w:r w:rsidRPr="003203A1">
              <w:rPr>
                <w:rFonts w:cs="Arial"/>
                <w:sz w:val="18"/>
                <w:szCs w:val="18"/>
              </w:rPr>
              <w:t>One to two years</w:t>
            </w:r>
          </w:p>
        </w:tc>
        <w:tc>
          <w:tcPr>
            <w:tcW w:w="1259" w:type="dxa"/>
            <w:tcBorders>
              <w:top w:val="nil"/>
              <w:left w:val="nil"/>
              <w:bottom w:val="nil"/>
              <w:right w:val="nil"/>
            </w:tcBorders>
            <w:shd w:val="clear" w:color="FFFFFF" w:fill="FFFFFF"/>
            <w:noWrap/>
            <w:vAlign w:val="bottom"/>
            <w:hideMark/>
          </w:tcPr>
          <w:p w14:paraId="27740786" w14:textId="77777777" w:rsidR="00520333" w:rsidRPr="003203A1" w:rsidRDefault="00520333" w:rsidP="005E5E0C">
            <w:pPr>
              <w:spacing w:after="0"/>
              <w:jc w:val="right"/>
              <w:rPr>
                <w:rFonts w:cs="Arial"/>
                <w:b/>
                <w:bCs/>
                <w:sz w:val="18"/>
                <w:szCs w:val="18"/>
              </w:rPr>
            </w:pPr>
            <w:r w:rsidRPr="003203A1">
              <w:rPr>
                <w:rFonts w:cs="Arial"/>
                <w:b/>
                <w:bCs/>
                <w:sz w:val="18"/>
                <w:szCs w:val="18"/>
              </w:rPr>
              <w:t>257</w:t>
            </w:r>
          </w:p>
        </w:tc>
        <w:tc>
          <w:tcPr>
            <w:tcW w:w="236" w:type="dxa"/>
            <w:tcBorders>
              <w:top w:val="nil"/>
              <w:left w:val="nil"/>
              <w:bottom w:val="nil"/>
              <w:right w:val="nil"/>
            </w:tcBorders>
            <w:shd w:val="clear" w:color="FFFFFF" w:fill="FFFFFF"/>
            <w:noWrap/>
            <w:vAlign w:val="bottom"/>
            <w:hideMark/>
          </w:tcPr>
          <w:p w14:paraId="29516909"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33375171" w14:textId="77777777" w:rsidR="00520333" w:rsidRPr="003203A1" w:rsidRDefault="00520333" w:rsidP="005E5E0C">
            <w:pPr>
              <w:spacing w:after="0"/>
              <w:jc w:val="right"/>
              <w:rPr>
                <w:rFonts w:cs="Arial"/>
                <w:sz w:val="18"/>
                <w:szCs w:val="18"/>
              </w:rPr>
            </w:pPr>
            <w:r w:rsidRPr="003203A1">
              <w:rPr>
                <w:rFonts w:cs="Arial"/>
                <w:sz w:val="18"/>
                <w:szCs w:val="18"/>
              </w:rPr>
              <w:t>235</w:t>
            </w:r>
          </w:p>
        </w:tc>
      </w:tr>
      <w:tr w:rsidR="00520333" w:rsidRPr="003203A1" w14:paraId="7026953B" w14:textId="77777777" w:rsidTr="005E5E0C">
        <w:trPr>
          <w:trHeight w:val="250"/>
        </w:trPr>
        <w:tc>
          <w:tcPr>
            <w:tcW w:w="6351" w:type="dxa"/>
            <w:tcBorders>
              <w:top w:val="nil"/>
              <w:left w:val="nil"/>
              <w:bottom w:val="nil"/>
              <w:right w:val="nil"/>
            </w:tcBorders>
            <w:shd w:val="clear" w:color="FFFFFF" w:fill="FFFFFF"/>
            <w:vAlign w:val="bottom"/>
            <w:hideMark/>
          </w:tcPr>
          <w:p w14:paraId="5ABE9696" w14:textId="77777777" w:rsidR="00520333" w:rsidRPr="003203A1" w:rsidRDefault="00520333" w:rsidP="005E5E0C">
            <w:pPr>
              <w:spacing w:after="0"/>
              <w:ind w:firstLineChars="100" w:firstLine="180"/>
              <w:rPr>
                <w:rFonts w:cs="Arial"/>
                <w:sz w:val="18"/>
                <w:szCs w:val="18"/>
              </w:rPr>
            </w:pPr>
            <w:r w:rsidRPr="003203A1">
              <w:rPr>
                <w:rFonts w:cs="Arial"/>
                <w:sz w:val="18"/>
                <w:szCs w:val="18"/>
              </w:rPr>
              <w:t>Two to three years</w:t>
            </w:r>
          </w:p>
        </w:tc>
        <w:tc>
          <w:tcPr>
            <w:tcW w:w="1259" w:type="dxa"/>
            <w:tcBorders>
              <w:top w:val="nil"/>
              <w:left w:val="nil"/>
              <w:bottom w:val="nil"/>
              <w:right w:val="nil"/>
            </w:tcBorders>
            <w:shd w:val="clear" w:color="FFFFFF" w:fill="FFFFFF"/>
            <w:noWrap/>
            <w:vAlign w:val="bottom"/>
            <w:hideMark/>
          </w:tcPr>
          <w:p w14:paraId="5CA3F219" w14:textId="77777777" w:rsidR="00520333" w:rsidRPr="003203A1" w:rsidRDefault="00520333" w:rsidP="005E5E0C">
            <w:pPr>
              <w:spacing w:after="0"/>
              <w:jc w:val="right"/>
              <w:rPr>
                <w:rFonts w:cs="Arial"/>
                <w:b/>
                <w:bCs/>
                <w:sz w:val="18"/>
                <w:szCs w:val="18"/>
              </w:rPr>
            </w:pPr>
            <w:r w:rsidRPr="003203A1">
              <w:rPr>
                <w:rFonts w:cs="Arial"/>
                <w:b/>
                <w:bCs/>
                <w:sz w:val="18"/>
                <w:szCs w:val="18"/>
              </w:rPr>
              <w:t xml:space="preserve"> -</w:t>
            </w:r>
          </w:p>
        </w:tc>
        <w:tc>
          <w:tcPr>
            <w:tcW w:w="236" w:type="dxa"/>
            <w:tcBorders>
              <w:top w:val="nil"/>
              <w:left w:val="nil"/>
              <w:bottom w:val="nil"/>
              <w:right w:val="nil"/>
            </w:tcBorders>
            <w:shd w:val="clear" w:color="FFFFFF" w:fill="FFFFFF"/>
            <w:noWrap/>
            <w:vAlign w:val="bottom"/>
            <w:hideMark/>
          </w:tcPr>
          <w:p w14:paraId="188BA1B8"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3FC7D441" w14:textId="77777777" w:rsidR="00520333" w:rsidRPr="003203A1" w:rsidRDefault="00520333" w:rsidP="005E5E0C">
            <w:pPr>
              <w:spacing w:after="0"/>
              <w:jc w:val="right"/>
              <w:rPr>
                <w:rFonts w:cs="Arial"/>
                <w:sz w:val="18"/>
                <w:szCs w:val="18"/>
              </w:rPr>
            </w:pPr>
            <w:r w:rsidRPr="003203A1">
              <w:rPr>
                <w:rFonts w:cs="Arial"/>
                <w:sz w:val="18"/>
                <w:szCs w:val="18"/>
              </w:rPr>
              <w:t>167</w:t>
            </w:r>
          </w:p>
        </w:tc>
      </w:tr>
      <w:tr w:rsidR="00520333" w:rsidRPr="003203A1" w14:paraId="323FAE5D" w14:textId="77777777" w:rsidTr="005E5E0C">
        <w:trPr>
          <w:trHeight w:val="250"/>
        </w:trPr>
        <w:tc>
          <w:tcPr>
            <w:tcW w:w="6351" w:type="dxa"/>
            <w:tcBorders>
              <w:top w:val="nil"/>
              <w:left w:val="nil"/>
              <w:bottom w:val="nil"/>
              <w:right w:val="nil"/>
            </w:tcBorders>
            <w:shd w:val="clear" w:color="FFFFFF" w:fill="FFFFFF"/>
            <w:vAlign w:val="bottom"/>
            <w:hideMark/>
          </w:tcPr>
          <w:p w14:paraId="1337ED8D" w14:textId="77777777" w:rsidR="00520333" w:rsidRPr="003203A1" w:rsidRDefault="00520333" w:rsidP="005E5E0C">
            <w:pPr>
              <w:spacing w:after="0"/>
              <w:ind w:firstLineChars="100" w:firstLine="180"/>
              <w:rPr>
                <w:rFonts w:cs="Arial"/>
                <w:sz w:val="18"/>
                <w:szCs w:val="18"/>
              </w:rPr>
            </w:pPr>
            <w:r w:rsidRPr="003203A1">
              <w:rPr>
                <w:rFonts w:cs="Arial"/>
                <w:sz w:val="18"/>
                <w:szCs w:val="18"/>
              </w:rPr>
              <w:t>Three to four years</w:t>
            </w:r>
          </w:p>
        </w:tc>
        <w:tc>
          <w:tcPr>
            <w:tcW w:w="1259" w:type="dxa"/>
            <w:tcBorders>
              <w:top w:val="nil"/>
              <w:left w:val="nil"/>
              <w:bottom w:val="nil"/>
              <w:right w:val="nil"/>
            </w:tcBorders>
            <w:shd w:val="clear" w:color="FFFFFF" w:fill="FFFFFF"/>
            <w:noWrap/>
            <w:vAlign w:val="bottom"/>
            <w:hideMark/>
          </w:tcPr>
          <w:p w14:paraId="63A0EA1A" w14:textId="77777777" w:rsidR="00520333" w:rsidRPr="003203A1" w:rsidRDefault="00520333" w:rsidP="005E5E0C">
            <w:pPr>
              <w:spacing w:after="0"/>
              <w:jc w:val="right"/>
              <w:rPr>
                <w:rFonts w:cs="Arial"/>
                <w:b/>
                <w:bCs/>
                <w:sz w:val="18"/>
                <w:szCs w:val="18"/>
              </w:rPr>
            </w:pPr>
            <w:r w:rsidRPr="003203A1">
              <w:rPr>
                <w:rFonts w:cs="Arial"/>
                <w:b/>
                <w:bCs/>
                <w:sz w:val="18"/>
                <w:szCs w:val="18"/>
              </w:rPr>
              <w:t xml:space="preserve"> -</w:t>
            </w:r>
          </w:p>
        </w:tc>
        <w:tc>
          <w:tcPr>
            <w:tcW w:w="236" w:type="dxa"/>
            <w:tcBorders>
              <w:top w:val="nil"/>
              <w:left w:val="nil"/>
              <w:bottom w:val="nil"/>
              <w:right w:val="nil"/>
            </w:tcBorders>
            <w:shd w:val="clear" w:color="FFFFFF" w:fill="FFFFFF"/>
            <w:noWrap/>
            <w:vAlign w:val="bottom"/>
            <w:hideMark/>
          </w:tcPr>
          <w:p w14:paraId="2F41C3E8"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09057AAB" w14:textId="77777777" w:rsidR="00520333" w:rsidRPr="003203A1" w:rsidRDefault="00520333" w:rsidP="005E5E0C">
            <w:pPr>
              <w:spacing w:after="0"/>
              <w:jc w:val="right"/>
              <w:rPr>
                <w:rFonts w:cs="Arial"/>
                <w:sz w:val="18"/>
                <w:szCs w:val="18"/>
              </w:rPr>
            </w:pPr>
            <w:r w:rsidRPr="003203A1">
              <w:rPr>
                <w:rFonts w:cs="Arial"/>
                <w:sz w:val="18"/>
                <w:szCs w:val="18"/>
              </w:rPr>
              <w:t>70</w:t>
            </w:r>
          </w:p>
        </w:tc>
      </w:tr>
      <w:tr w:rsidR="00520333" w:rsidRPr="003203A1" w14:paraId="1D9F33B5" w14:textId="77777777" w:rsidTr="005E5E0C">
        <w:trPr>
          <w:trHeight w:val="250"/>
        </w:trPr>
        <w:tc>
          <w:tcPr>
            <w:tcW w:w="6351" w:type="dxa"/>
            <w:tcBorders>
              <w:top w:val="nil"/>
              <w:left w:val="nil"/>
              <w:bottom w:val="nil"/>
              <w:right w:val="nil"/>
            </w:tcBorders>
            <w:shd w:val="clear" w:color="FFFFFF" w:fill="FFFFFF"/>
            <w:vAlign w:val="bottom"/>
            <w:hideMark/>
          </w:tcPr>
          <w:p w14:paraId="5011011F" w14:textId="77777777" w:rsidR="00520333" w:rsidRPr="003203A1" w:rsidRDefault="00520333" w:rsidP="005E5E0C">
            <w:pPr>
              <w:spacing w:after="0"/>
              <w:rPr>
                <w:rFonts w:cs="Arial"/>
                <w:b/>
                <w:bCs/>
                <w:sz w:val="18"/>
                <w:szCs w:val="18"/>
              </w:rPr>
            </w:pPr>
            <w:r w:rsidRPr="003203A1">
              <w:rPr>
                <w:rFonts w:cs="Arial"/>
                <w:b/>
                <w:bCs/>
                <w:sz w:val="18"/>
                <w:szCs w:val="18"/>
              </w:rPr>
              <w:t>Total undiscounted lease payments receivable</w:t>
            </w:r>
          </w:p>
        </w:tc>
        <w:tc>
          <w:tcPr>
            <w:tcW w:w="1259" w:type="dxa"/>
            <w:tcBorders>
              <w:top w:val="single" w:sz="4" w:space="0" w:color="auto"/>
              <w:left w:val="nil"/>
              <w:bottom w:val="single" w:sz="4" w:space="0" w:color="auto"/>
              <w:right w:val="nil"/>
            </w:tcBorders>
            <w:shd w:val="clear" w:color="FFFFFF" w:fill="FFFFFF"/>
            <w:noWrap/>
            <w:vAlign w:val="bottom"/>
            <w:hideMark/>
          </w:tcPr>
          <w:p w14:paraId="3764EC36" w14:textId="77777777" w:rsidR="00520333" w:rsidRPr="003203A1" w:rsidRDefault="00520333" w:rsidP="005E5E0C">
            <w:pPr>
              <w:spacing w:after="0"/>
              <w:jc w:val="right"/>
              <w:rPr>
                <w:rFonts w:cs="Arial"/>
                <w:b/>
                <w:bCs/>
                <w:sz w:val="18"/>
                <w:szCs w:val="18"/>
              </w:rPr>
            </w:pPr>
            <w:r w:rsidRPr="003203A1">
              <w:rPr>
                <w:rFonts w:cs="Arial"/>
                <w:b/>
                <w:bCs/>
                <w:sz w:val="18"/>
                <w:szCs w:val="18"/>
              </w:rPr>
              <w:t>725</w:t>
            </w:r>
          </w:p>
        </w:tc>
        <w:tc>
          <w:tcPr>
            <w:tcW w:w="236" w:type="dxa"/>
            <w:tcBorders>
              <w:top w:val="nil"/>
              <w:left w:val="nil"/>
              <w:bottom w:val="nil"/>
              <w:right w:val="nil"/>
            </w:tcBorders>
            <w:shd w:val="clear" w:color="FFFFFF" w:fill="FFFFFF"/>
            <w:noWrap/>
            <w:vAlign w:val="bottom"/>
            <w:hideMark/>
          </w:tcPr>
          <w:p w14:paraId="35C6A750"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210D7DC8" w14:textId="77777777" w:rsidR="00520333" w:rsidRPr="003203A1" w:rsidRDefault="00520333" w:rsidP="005E5E0C">
            <w:pPr>
              <w:spacing w:after="0"/>
              <w:jc w:val="right"/>
              <w:rPr>
                <w:rFonts w:cs="Arial"/>
                <w:sz w:val="18"/>
                <w:szCs w:val="18"/>
              </w:rPr>
            </w:pPr>
            <w:r w:rsidRPr="003203A1">
              <w:rPr>
                <w:rFonts w:cs="Arial"/>
                <w:sz w:val="18"/>
                <w:szCs w:val="18"/>
              </w:rPr>
              <w:t>1,030</w:t>
            </w:r>
          </w:p>
        </w:tc>
      </w:tr>
    </w:tbl>
    <w:p w14:paraId="7F8F5641" w14:textId="77777777" w:rsidR="00520333" w:rsidRPr="003203A1" w:rsidRDefault="00520333" w:rsidP="00520333">
      <w:pPr>
        <w:spacing w:before="60"/>
        <w:rPr>
          <w:rFonts w:cs="Arial"/>
          <w:sz w:val="18"/>
          <w:szCs w:val="18"/>
        </w:rPr>
      </w:pPr>
      <w:r w:rsidRPr="003203A1">
        <w:rPr>
          <w:rFonts w:cs="Arial"/>
          <w:sz w:val="18"/>
          <w:szCs w:val="18"/>
        </w:rPr>
        <w:t>The above lease disclosures should be read in conjunction with the accompanying notes 1.1B, 1.1D, 2.2A &amp; 2.5.</w:t>
      </w:r>
    </w:p>
    <w:p w14:paraId="38ED01F6" w14:textId="55E327DC" w:rsidR="003203A1" w:rsidRDefault="003203A1">
      <w:pPr>
        <w:spacing w:after="0" w:line="240" w:lineRule="auto"/>
        <w:rPr>
          <w:rFonts w:cs="Arial"/>
          <w:sz w:val="18"/>
          <w:szCs w:val="18"/>
        </w:rPr>
      </w:pPr>
      <w:r>
        <w:rPr>
          <w:rFonts w:cs="Arial"/>
          <w:sz w:val="18"/>
          <w:szCs w:val="18"/>
        </w:rPr>
        <w:br w:type="page"/>
      </w:r>
    </w:p>
    <w:p w14:paraId="05ABA2FD" w14:textId="77777777" w:rsidR="003203A1" w:rsidRPr="00C821EB" w:rsidRDefault="003203A1" w:rsidP="003203A1">
      <w:pPr>
        <w:spacing w:after="0" w:line="240" w:lineRule="auto"/>
        <w:rPr>
          <w:b/>
          <w:bCs/>
        </w:rPr>
      </w:pPr>
      <w:r w:rsidRPr="00C821EB">
        <w:rPr>
          <w:b/>
          <w:bCs/>
        </w:rPr>
        <w:lastRenderedPageBreak/>
        <w:t>National Disability Insurance Agency</w:t>
      </w:r>
    </w:p>
    <w:p w14:paraId="24986E79" w14:textId="77777777" w:rsidR="003203A1" w:rsidRPr="00C821EB" w:rsidRDefault="003203A1" w:rsidP="003203A1">
      <w:pPr>
        <w:pBdr>
          <w:bottom w:val="single" w:sz="8" w:space="1" w:color="auto"/>
        </w:pBdr>
        <w:rPr>
          <w:b/>
          <w:bCs/>
        </w:rPr>
      </w:pPr>
      <w:r w:rsidRPr="00C821EB">
        <w:rPr>
          <w:b/>
          <w:bCs/>
        </w:rPr>
        <w:t>NOTES TO AND FORMING PART OF THE FINANCIAL STATEMENTS</w:t>
      </w: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0A1ED758" w14:textId="77777777" w:rsidTr="005E5E0C">
        <w:trPr>
          <w:trHeight w:val="260"/>
        </w:trPr>
        <w:tc>
          <w:tcPr>
            <w:tcW w:w="6351" w:type="dxa"/>
            <w:tcBorders>
              <w:top w:val="nil"/>
              <w:left w:val="nil"/>
              <w:bottom w:val="nil"/>
              <w:right w:val="nil"/>
            </w:tcBorders>
            <w:shd w:val="clear" w:color="FFFFFF" w:fill="FFFFFF"/>
            <w:noWrap/>
            <w:vAlign w:val="bottom"/>
            <w:hideMark/>
          </w:tcPr>
          <w:p w14:paraId="77710811" w14:textId="77777777" w:rsidR="00520333" w:rsidRPr="003203A1" w:rsidRDefault="00520333" w:rsidP="005E5E0C">
            <w:pPr>
              <w:spacing w:after="0"/>
              <w:rPr>
                <w:rFonts w:cs="Arial"/>
                <w:sz w:val="18"/>
                <w:szCs w:val="18"/>
              </w:rPr>
            </w:pPr>
            <w:bookmarkStart w:id="171" w:name="Note_ORVTABLE1" w:colFirst="0" w:colLast="0"/>
            <w:r w:rsidRPr="003203A1">
              <w:rPr>
                <w:rFonts w:cs="Arial"/>
                <w:sz w:val="18"/>
                <w:szCs w:val="18"/>
              </w:rPr>
              <w:t> </w:t>
            </w:r>
          </w:p>
        </w:tc>
        <w:tc>
          <w:tcPr>
            <w:tcW w:w="1259" w:type="dxa"/>
            <w:tcBorders>
              <w:top w:val="nil"/>
              <w:left w:val="nil"/>
              <w:bottom w:val="nil"/>
              <w:right w:val="nil"/>
            </w:tcBorders>
            <w:shd w:val="clear" w:color="FFFFFF" w:fill="FFFFFF"/>
            <w:vAlign w:val="bottom"/>
            <w:hideMark/>
          </w:tcPr>
          <w:p w14:paraId="464F5BE0" w14:textId="77777777" w:rsidR="00520333" w:rsidRPr="003203A1" w:rsidRDefault="00520333" w:rsidP="005E5E0C">
            <w:pPr>
              <w:spacing w:after="0"/>
              <w:jc w:val="right"/>
              <w:rPr>
                <w:rFonts w:cs="Arial"/>
                <w:b/>
                <w:bCs/>
                <w:sz w:val="18"/>
                <w:szCs w:val="18"/>
              </w:rPr>
            </w:pPr>
            <w:r w:rsidRPr="003203A1">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6D848932"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vAlign w:val="bottom"/>
            <w:hideMark/>
          </w:tcPr>
          <w:p w14:paraId="109047CA" w14:textId="77777777" w:rsidR="00520333" w:rsidRPr="003203A1" w:rsidRDefault="00520333" w:rsidP="005E5E0C">
            <w:pPr>
              <w:spacing w:after="0"/>
              <w:jc w:val="right"/>
              <w:rPr>
                <w:rFonts w:cs="Arial"/>
                <w:sz w:val="18"/>
                <w:szCs w:val="18"/>
              </w:rPr>
            </w:pPr>
            <w:r w:rsidRPr="003203A1">
              <w:rPr>
                <w:rFonts w:cs="Arial"/>
                <w:sz w:val="18"/>
                <w:szCs w:val="18"/>
              </w:rPr>
              <w:t>2023</w:t>
            </w:r>
          </w:p>
        </w:tc>
      </w:tr>
      <w:bookmarkEnd w:id="171"/>
      <w:tr w:rsidR="00520333" w:rsidRPr="003203A1" w14:paraId="5710CB5A" w14:textId="77777777" w:rsidTr="005E5E0C">
        <w:trPr>
          <w:trHeight w:val="250"/>
        </w:trPr>
        <w:tc>
          <w:tcPr>
            <w:tcW w:w="6351" w:type="dxa"/>
            <w:tcBorders>
              <w:top w:val="nil"/>
              <w:left w:val="nil"/>
              <w:bottom w:val="nil"/>
              <w:right w:val="nil"/>
            </w:tcBorders>
            <w:shd w:val="clear" w:color="FFFFFF" w:fill="FFFFFF"/>
            <w:noWrap/>
            <w:vAlign w:val="bottom"/>
            <w:hideMark/>
          </w:tcPr>
          <w:p w14:paraId="5C37FEF8" w14:textId="77777777" w:rsidR="00520333" w:rsidRPr="003203A1" w:rsidRDefault="00520333" w:rsidP="005E5E0C">
            <w:pPr>
              <w:spacing w:after="0"/>
              <w:rPr>
                <w:rFonts w:cs="Arial"/>
                <w:sz w:val="18"/>
                <w:szCs w:val="18"/>
              </w:rPr>
            </w:pPr>
            <w:r w:rsidRPr="003203A1">
              <w:rPr>
                <w:rFonts w:cs="Arial"/>
                <w:sz w:val="18"/>
                <w:szCs w:val="18"/>
              </w:rPr>
              <w:t> </w:t>
            </w:r>
          </w:p>
        </w:tc>
        <w:tc>
          <w:tcPr>
            <w:tcW w:w="1259" w:type="dxa"/>
            <w:tcBorders>
              <w:top w:val="nil"/>
              <w:left w:val="nil"/>
              <w:bottom w:val="nil"/>
              <w:right w:val="nil"/>
            </w:tcBorders>
            <w:shd w:val="clear" w:color="FFFFFF" w:fill="FFFFFF"/>
            <w:vAlign w:val="bottom"/>
            <w:hideMark/>
          </w:tcPr>
          <w:p w14:paraId="6B3D4C2E" w14:textId="77777777" w:rsidR="00520333" w:rsidRPr="003203A1" w:rsidRDefault="00520333" w:rsidP="005E5E0C">
            <w:pPr>
              <w:spacing w:after="0"/>
              <w:jc w:val="right"/>
              <w:rPr>
                <w:rFonts w:cs="Arial"/>
                <w:b/>
                <w:bCs/>
                <w:sz w:val="18"/>
                <w:szCs w:val="18"/>
              </w:rPr>
            </w:pPr>
            <w:r w:rsidRPr="003203A1">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29A0639E"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vAlign w:val="bottom"/>
            <w:hideMark/>
          </w:tcPr>
          <w:p w14:paraId="091A7540" w14:textId="77777777" w:rsidR="00520333" w:rsidRPr="003203A1" w:rsidRDefault="00520333" w:rsidP="005E5E0C">
            <w:pPr>
              <w:spacing w:after="0"/>
              <w:jc w:val="right"/>
              <w:rPr>
                <w:rFonts w:cs="Arial"/>
                <w:sz w:val="18"/>
                <w:szCs w:val="18"/>
              </w:rPr>
            </w:pPr>
            <w:r w:rsidRPr="003203A1">
              <w:rPr>
                <w:rFonts w:cs="Arial"/>
                <w:sz w:val="18"/>
                <w:szCs w:val="18"/>
              </w:rPr>
              <w:t>$'000</w:t>
            </w:r>
          </w:p>
        </w:tc>
      </w:tr>
      <w:tr w:rsidR="00520333" w:rsidRPr="003203A1" w14:paraId="15F1D9AC" w14:textId="77777777" w:rsidTr="005E5E0C">
        <w:trPr>
          <w:trHeight w:val="250"/>
        </w:trPr>
        <w:tc>
          <w:tcPr>
            <w:tcW w:w="6351" w:type="dxa"/>
            <w:tcBorders>
              <w:top w:val="nil"/>
              <w:left w:val="nil"/>
              <w:bottom w:val="nil"/>
              <w:right w:val="nil"/>
            </w:tcBorders>
            <w:shd w:val="clear" w:color="FFFFFF" w:fill="FFFFFF"/>
            <w:noWrap/>
            <w:vAlign w:val="bottom"/>
            <w:hideMark/>
          </w:tcPr>
          <w:p w14:paraId="3A5610E4" w14:textId="77777777" w:rsidR="00520333" w:rsidRPr="003203A1" w:rsidRDefault="00520333" w:rsidP="005E5E0C">
            <w:pPr>
              <w:spacing w:after="0"/>
              <w:rPr>
                <w:rFonts w:cs="Arial"/>
                <w:b/>
                <w:bCs/>
                <w:sz w:val="18"/>
                <w:szCs w:val="18"/>
                <w:u w:val="single"/>
              </w:rPr>
            </w:pPr>
            <w:r w:rsidRPr="003203A1">
              <w:rPr>
                <w:rFonts w:cs="Arial"/>
                <w:b/>
                <w:bCs/>
                <w:sz w:val="18"/>
                <w:szCs w:val="18"/>
                <w:u w:val="single"/>
              </w:rPr>
              <w:t>Note 1.2C: Other revenue</w:t>
            </w:r>
          </w:p>
        </w:tc>
        <w:tc>
          <w:tcPr>
            <w:tcW w:w="1259" w:type="dxa"/>
            <w:tcBorders>
              <w:top w:val="nil"/>
              <w:left w:val="nil"/>
              <w:bottom w:val="nil"/>
              <w:right w:val="nil"/>
            </w:tcBorders>
            <w:shd w:val="clear" w:color="FFFFFF" w:fill="FFFFFF"/>
            <w:noWrap/>
            <w:vAlign w:val="bottom"/>
            <w:hideMark/>
          </w:tcPr>
          <w:p w14:paraId="12D2C276" w14:textId="77777777" w:rsidR="00520333" w:rsidRPr="003203A1" w:rsidRDefault="00520333" w:rsidP="005E5E0C">
            <w:pPr>
              <w:spacing w:after="0"/>
              <w:jc w:val="right"/>
              <w:rPr>
                <w:rFonts w:cs="Arial"/>
                <w:b/>
                <w:bCs/>
                <w:sz w:val="18"/>
                <w:szCs w:val="18"/>
              </w:rPr>
            </w:pPr>
            <w:r w:rsidRPr="003203A1">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A7AF538"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1A1E42B5" w14:textId="77777777" w:rsidR="00520333" w:rsidRPr="003203A1" w:rsidRDefault="00520333" w:rsidP="005E5E0C">
            <w:pPr>
              <w:spacing w:after="0"/>
              <w:jc w:val="right"/>
              <w:rPr>
                <w:rFonts w:cs="Arial"/>
                <w:sz w:val="18"/>
                <w:szCs w:val="18"/>
              </w:rPr>
            </w:pPr>
            <w:r w:rsidRPr="003203A1">
              <w:rPr>
                <w:rFonts w:cs="Arial"/>
                <w:sz w:val="18"/>
                <w:szCs w:val="18"/>
              </w:rPr>
              <w:t> </w:t>
            </w:r>
          </w:p>
        </w:tc>
      </w:tr>
      <w:tr w:rsidR="00520333" w:rsidRPr="003203A1" w14:paraId="1A9E14FD" w14:textId="77777777" w:rsidTr="005E5E0C">
        <w:trPr>
          <w:trHeight w:val="250"/>
        </w:trPr>
        <w:tc>
          <w:tcPr>
            <w:tcW w:w="6351" w:type="dxa"/>
            <w:tcBorders>
              <w:top w:val="nil"/>
              <w:left w:val="nil"/>
              <w:bottom w:val="nil"/>
              <w:right w:val="nil"/>
            </w:tcBorders>
            <w:shd w:val="clear" w:color="FFFFFF" w:fill="FFFFFF"/>
            <w:vAlign w:val="bottom"/>
            <w:hideMark/>
          </w:tcPr>
          <w:p w14:paraId="7A384CA2" w14:textId="77777777" w:rsidR="00520333" w:rsidRPr="003203A1" w:rsidRDefault="00520333" w:rsidP="005E5E0C">
            <w:pPr>
              <w:spacing w:after="0"/>
              <w:rPr>
                <w:rFonts w:cs="Arial"/>
                <w:sz w:val="18"/>
                <w:szCs w:val="18"/>
              </w:rPr>
            </w:pPr>
            <w:r w:rsidRPr="003203A1">
              <w:rPr>
                <w:rFonts w:cs="Arial"/>
                <w:sz w:val="18"/>
                <w:szCs w:val="18"/>
              </w:rPr>
              <w:t>Compensation receipts</w:t>
            </w:r>
          </w:p>
        </w:tc>
        <w:tc>
          <w:tcPr>
            <w:tcW w:w="1259" w:type="dxa"/>
            <w:tcBorders>
              <w:top w:val="nil"/>
              <w:left w:val="nil"/>
              <w:bottom w:val="nil"/>
              <w:right w:val="nil"/>
            </w:tcBorders>
            <w:shd w:val="clear" w:color="FFFFFF" w:fill="FFFFFF"/>
            <w:noWrap/>
            <w:vAlign w:val="bottom"/>
            <w:hideMark/>
          </w:tcPr>
          <w:p w14:paraId="5CE0E90C" w14:textId="77777777" w:rsidR="00520333" w:rsidRPr="003203A1" w:rsidRDefault="00520333" w:rsidP="005E5E0C">
            <w:pPr>
              <w:spacing w:after="0"/>
              <w:jc w:val="right"/>
              <w:rPr>
                <w:rFonts w:cs="Arial"/>
                <w:b/>
                <w:bCs/>
                <w:sz w:val="18"/>
                <w:szCs w:val="18"/>
              </w:rPr>
            </w:pPr>
            <w:r w:rsidRPr="003203A1">
              <w:rPr>
                <w:rFonts w:cs="Arial"/>
                <w:b/>
                <w:bCs/>
                <w:sz w:val="18"/>
                <w:szCs w:val="18"/>
              </w:rPr>
              <w:t>48,140</w:t>
            </w:r>
          </w:p>
        </w:tc>
        <w:tc>
          <w:tcPr>
            <w:tcW w:w="236" w:type="dxa"/>
            <w:tcBorders>
              <w:top w:val="nil"/>
              <w:left w:val="nil"/>
              <w:bottom w:val="nil"/>
              <w:right w:val="nil"/>
            </w:tcBorders>
            <w:shd w:val="clear" w:color="FFFFFF" w:fill="FFFFFF"/>
            <w:noWrap/>
            <w:vAlign w:val="bottom"/>
            <w:hideMark/>
          </w:tcPr>
          <w:p w14:paraId="3B59577D"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6D7E1FFD" w14:textId="77777777" w:rsidR="00520333" w:rsidRPr="003203A1" w:rsidRDefault="00520333" w:rsidP="005E5E0C">
            <w:pPr>
              <w:spacing w:after="0"/>
              <w:jc w:val="right"/>
              <w:rPr>
                <w:rFonts w:cs="Arial"/>
                <w:sz w:val="18"/>
                <w:szCs w:val="18"/>
              </w:rPr>
            </w:pPr>
            <w:r w:rsidRPr="003203A1">
              <w:rPr>
                <w:rFonts w:cs="Arial"/>
                <w:sz w:val="18"/>
                <w:szCs w:val="18"/>
              </w:rPr>
              <w:t>29,132</w:t>
            </w:r>
          </w:p>
        </w:tc>
      </w:tr>
      <w:tr w:rsidR="00520333" w:rsidRPr="003203A1" w14:paraId="27A3B459" w14:textId="77777777" w:rsidTr="005E5E0C">
        <w:trPr>
          <w:trHeight w:val="250"/>
        </w:trPr>
        <w:tc>
          <w:tcPr>
            <w:tcW w:w="6351" w:type="dxa"/>
            <w:tcBorders>
              <w:top w:val="nil"/>
              <w:left w:val="nil"/>
              <w:bottom w:val="nil"/>
              <w:right w:val="nil"/>
            </w:tcBorders>
            <w:shd w:val="clear" w:color="FFFFFF" w:fill="FFFFFF"/>
            <w:vAlign w:val="bottom"/>
            <w:hideMark/>
          </w:tcPr>
          <w:p w14:paraId="3D97ECED" w14:textId="77777777" w:rsidR="00520333" w:rsidRPr="003203A1" w:rsidRDefault="00520333" w:rsidP="005E5E0C">
            <w:pPr>
              <w:spacing w:after="0"/>
              <w:rPr>
                <w:rFonts w:cs="Arial"/>
                <w:sz w:val="18"/>
                <w:szCs w:val="18"/>
              </w:rPr>
            </w:pPr>
            <w:r w:rsidRPr="003203A1">
              <w:rPr>
                <w:rFonts w:cs="Arial"/>
                <w:sz w:val="18"/>
                <w:szCs w:val="18"/>
              </w:rPr>
              <w:t>Cost recoveries</w:t>
            </w:r>
          </w:p>
        </w:tc>
        <w:tc>
          <w:tcPr>
            <w:tcW w:w="1259" w:type="dxa"/>
            <w:tcBorders>
              <w:top w:val="nil"/>
              <w:left w:val="nil"/>
              <w:bottom w:val="nil"/>
              <w:right w:val="nil"/>
            </w:tcBorders>
            <w:shd w:val="clear" w:color="FFFFFF" w:fill="FFFFFF"/>
            <w:noWrap/>
            <w:vAlign w:val="bottom"/>
            <w:hideMark/>
          </w:tcPr>
          <w:p w14:paraId="086910B9" w14:textId="77777777" w:rsidR="00520333" w:rsidRPr="003203A1" w:rsidRDefault="00520333" w:rsidP="005E5E0C">
            <w:pPr>
              <w:spacing w:after="0"/>
              <w:jc w:val="right"/>
              <w:rPr>
                <w:rFonts w:cs="Arial"/>
                <w:b/>
                <w:bCs/>
                <w:sz w:val="18"/>
                <w:szCs w:val="18"/>
              </w:rPr>
            </w:pPr>
            <w:r w:rsidRPr="003203A1">
              <w:rPr>
                <w:rFonts w:cs="Arial"/>
                <w:b/>
                <w:bCs/>
                <w:sz w:val="18"/>
                <w:szCs w:val="18"/>
              </w:rPr>
              <w:t>6</w:t>
            </w:r>
          </w:p>
        </w:tc>
        <w:tc>
          <w:tcPr>
            <w:tcW w:w="236" w:type="dxa"/>
            <w:tcBorders>
              <w:top w:val="nil"/>
              <w:left w:val="nil"/>
              <w:bottom w:val="nil"/>
              <w:right w:val="nil"/>
            </w:tcBorders>
            <w:shd w:val="clear" w:color="FFFFFF" w:fill="FFFFFF"/>
            <w:noWrap/>
            <w:vAlign w:val="bottom"/>
            <w:hideMark/>
          </w:tcPr>
          <w:p w14:paraId="41B34DC4"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16BB39C3" w14:textId="77777777" w:rsidR="00520333" w:rsidRPr="003203A1" w:rsidRDefault="00520333" w:rsidP="005E5E0C">
            <w:pPr>
              <w:spacing w:after="0"/>
              <w:jc w:val="right"/>
              <w:rPr>
                <w:rFonts w:cs="Arial"/>
                <w:sz w:val="18"/>
                <w:szCs w:val="18"/>
              </w:rPr>
            </w:pPr>
            <w:r w:rsidRPr="003203A1">
              <w:rPr>
                <w:rFonts w:cs="Arial"/>
                <w:sz w:val="18"/>
                <w:szCs w:val="18"/>
              </w:rPr>
              <w:t>13</w:t>
            </w:r>
          </w:p>
        </w:tc>
      </w:tr>
      <w:tr w:rsidR="00520333" w:rsidRPr="003203A1" w14:paraId="45D42B4E" w14:textId="77777777" w:rsidTr="005E5E0C">
        <w:trPr>
          <w:trHeight w:val="250"/>
        </w:trPr>
        <w:tc>
          <w:tcPr>
            <w:tcW w:w="6351" w:type="dxa"/>
            <w:tcBorders>
              <w:top w:val="nil"/>
              <w:left w:val="nil"/>
              <w:bottom w:val="nil"/>
              <w:right w:val="nil"/>
            </w:tcBorders>
            <w:shd w:val="clear" w:color="FFFFFF" w:fill="FFFFFF"/>
            <w:vAlign w:val="bottom"/>
            <w:hideMark/>
          </w:tcPr>
          <w:p w14:paraId="4E4A9140" w14:textId="77777777" w:rsidR="00520333" w:rsidRPr="003203A1" w:rsidRDefault="00520333" w:rsidP="005E5E0C">
            <w:pPr>
              <w:spacing w:after="0"/>
              <w:rPr>
                <w:rFonts w:cs="Arial"/>
                <w:sz w:val="18"/>
                <w:szCs w:val="18"/>
              </w:rPr>
            </w:pPr>
            <w:r w:rsidRPr="003203A1">
              <w:rPr>
                <w:rFonts w:cs="Arial"/>
                <w:sz w:val="18"/>
                <w:szCs w:val="18"/>
              </w:rPr>
              <w:t>NDIS Trial Blended Payments Model</w:t>
            </w:r>
          </w:p>
        </w:tc>
        <w:tc>
          <w:tcPr>
            <w:tcW w:w="1259" w:type="dxa"/>
            <w:tcBorders>
              <w:top w:val="nil"/>
              <w:left w:val="nil"/>
              <w:bottom w:val="nil"/>
              <w:right w:val="nil"/>
            </w:tcBorders>
            <w:shd w:val="clear" w:color="FFFFFF" w:fill="FFFFFF"/>
            <w:noWrap/>
            <w:vAlign w:val="bottom"/>
            <w:hideMark/>
          </w:tcPr>
          <w:p w14:paraId="1DB312B4" w14:textId="77777777" w:rsidR="00520333" w:rsidRPr="003203A1" w:rsidRDefault="00520333" w:rsidP="005E5E0C">
            <w:pPr>
              <w:spacing w:after="0"/>
              <w:jc w:val="right"/>
              <w:rPr>
                <w:rFonts w:cs="Arial"/>
                <w:b/>
                <w:bCs/>
                <w:sz w:val="18"/>
                <w:szCs w:val="18"/>
              </w:rPr>
            </w:pPr>
            <w:r w:rsidRPr="003203A1">
              <w:rPr>
                <w:rFonts w:cs="Arial"/>
                <w:b/>
                <w:bCs/>
                <w:sz w:val="18"/>
                <w:szCs w:val="18"/>
              </w:rPr>
              <w:t>512</w:t>
            </w:r>
          </w:p>
        </w:tc>
        <w:tc>
          <w:tcPr>
            <w:tcW w:w="236" w:type="dxa"/>
            <w:tcBorders>
              <w:top w:val="nil"/>
              <w:left w:val="nil"/>
              <w:bottom w:val="nil"/>
              <w:right w:val="nil"/>
            </w:tcBorders>
            <w:shd w:val="clear" w:color="FFFFFF" w:fill="FFFFFF"/>
            <w:noWrap/>
            <w:vAlign w:val="bottom"/>
            <w:hideMark/>
          </w:tcPr>
          <w:p w14:paraId="79E13DAE"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5108488D" w14:textId="77777777" w:rsidR="00520333" w:rsidRPr="003203A1" w:rsidRDefault="00520333" w:rsidP="005E5E0C">
            <w:pPr>
              <w:spacing w:after="0"/>
              <w:jc w:val="right"/>
              <w:rPr>
                <w:rFonts w:cs="Arial"/>
                <w:sz w:val="18"/>
                <w:szCs w:val="18"/>
              </w:rPr>
            </w:pPr>
            <w:r w:rsidRPr="003203A1">
              <w:rPr>
                <w:rFonts w:cs="Arial"/>
                <w:sz w:val="18"/>
                <w:szCs w:val="18"/>
              </w:rPr>
              <w:t>-</w:t>
            </w:r>
          </w:p>
        </w:tc>
      </w:tr>
      <w:tr w:rsidR="00520333" w:rsidRPr="003203A1" w14:paraId="3B975491" w14:textId="77777777" w:rsidTr="005E5E0C">
        <w:trPr>
          <w:trHeight w:val="250"/>
        </w:trPr>
        <w:tc>
          <w:tcPr>
            <w:tcW w:w="6351" w:type="dxa"/>
            <w:tcBorders>
              <w:top w:val="nil"/>
              <w:left w:val="nil"/>
              <w:bottom w:val="nil"/>
              <w:right w:val="nil"/>
            </w:tcBorders>
            <w:shd w:val="clear" w:color="FFFFFF" w:fill="FFFFFF"/>
            <w:vAlign w:val="bottom"/>
            <w:hideMark/>
          </w:tcPr>
          <w:p w14:paraId="778E2041" w14:textId="77777777" w:rsidR="00520333" w:rsidRPr="003203A1" w:rsidRDefault="00520333" w:rsidP="005E5E0C">
            <w:pPr>
              <w:spacing w:after="0"/>
              <w:rPr>
                <w:rFonts w:cs="Arial"/>
                <w:sz w:val="18"/>
                <w:szCs w:val="18"/>
              </w:rPr>
            </w:pPr>
            <w:r w:rsidRPr="003203A1">
              <w:rPr>
                <w:rFonts w:cs="Arial"/>
                <w:sz w:val="18"/>
                <w:szCs w:val="18"/>
              </w:rPr>
              <w:t xml:space="preserve">Other miscellaneous revenue </w:t>
            </w:r>
          </w:p>
        </w:tc>
        <w:tc>
          <w:tcPr>
            <w:tcW w:w="1259" w:type="dxa"/>
            <w:tcBorders>
              <w:top w:val="nil"/>
              <w:left w:val="nil"/>
              <w:bottom w:val="nil"/>
              <w:right w:val="nil"/>
            </w:tcBorders>
            <w:shd w:val="clear" w:color="FFFFFF" w:fill="FFFFFF"/>
            <w:noWrap/>
            <w:vAlign w:val="bottom"/>
            <w:hideMark/>
          </w:tcPr>
          <w:p w14:paraId="22786469" w14:textId="77777777" w:rsidR="00520333" w:rsidRPr="003203A1" w:rsidRDefault="00520333" w:rsidP="005E5E0C">
            <w:pPr>
              <w:spacing w:after="0"/>
              <w:jc w:val="right"/>
              <w:rPr>
                <w:rFonts w:cs="Arial"/>
                <w:b/>
                <w:bCs/>
                <w:sz w:val="18"/>
                <w:szCs w:val="18"/>
              </w:rPr>
            </w:pPr>
            <w:r w:rsidRPr="003203A1">
              <w:rPr>
                <w:rFonts w:cs="Arial"/>
                <w:b/>
                <w:bCs/>
                <w:sz w:val="18"/>
                <w:szCs w:val="18"/>
              </w:rPr>
              <w:t>134</w:t>
            </w:r>
          </w:p>
        </w:tc>
        <w:tc>
          <w:tcPr>
            <w:tcW w:w="236" w:type="dxa"/>
            <w:tcBorders>
              <w:top w:val="nil"/>
              <w:left w:val="nil"/>
              <w:bottom w:val="nil"/>
              <w:right w:val="nil"/>
            </w:tcBorders>
            <w:shd w:val="clear" w:color="FFFFFF" w:fill="FFFFFF"/>
            <w:noWrap/>
            <w:vAlign w:val="bottom"/>
            <w:hideMark/>
          </w:tcPr>
          <w:p w14:paraId="7FB0E14A"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3FBFC939" w14:textId="77777777" w:rsidR="00520333" w:rsidRPr="003203A1" w:rsidRDefault="00520333" w:rsidP="005E5E0C">
            <w:pPr>
              <w:spacing w:after="0"/>
              <w:jc w:val="right"/>
              <w:rPr>
                <w:rFonts w:cs="Arial"/>
                <w:sz w:val="18"/>
                <w:szCs w:val="18"/>
              </w:rPr>
            </w:pPr>
            <w:r w:rsidRPr="003203A1">
              <w:rPr>
                <w:rFonts w:cs="Arial"/>
                <w:sz w:val="18"/>
                <w:szCs w:val="18"/>
              </w:rPr>
              <w:t>275</w:t>
            </w:r>
          </w:p>
        </w:tc>
      </w:tr>
      <w:tr w:rsidR="00520333" w:rsidRPr="003203A1" w14:paraId="535A4DCF" w14:textId="77777777" w:rsidTr="005E5E0C">
        <w:trPr>
          <w:trHeight w:val="250"/>
        </w:trPr>
        <w:tc>
          <w:tcPr>
            <w:tcW w:w="6351" w:type="dxa"/>
            <w:tcBorders>
              <w:top w:val="nil"/>
              <w:left w:val="nil"/>
              <w:bottom w:val="nil"/>
              <w:right w:val="nil"/>
            </w:tcBorders>
            <w:shd w:val="clear" w:color="FFFFFF" w:fill="FFFFFF"/>
            <w:vAlign w:val="bottom"/>
            <w:hideMark/>
          </w:tcPr>
          <w:p w14:paraId="379415BE" w14:textId="77777777" w:rsidR="00520333" w:rsidRPr="003203A1" w:rsidRDefault="00520333" w:rsidP="005E5E0C">
            <w:pPr>
              <w:spacing w:after="0"/>
              <w:rPr>
                <w:rFonts w:cs="Arial"/>
                <w:b/>
                <w:bCs/>
                <w:sz w:val="18"/>
                <w:szCs w:val="18"/>
              </w:rPr>
            </w:pPr>
            <w:r w:rsidRPr="003203A1">
              <w:rPr>
                <w:rFonts w:cs="Arial"/>
                <w:b/>
                <w:bCs/>
                <w:sz w:val="18"/>
                <w:szCs w:val="18"/>
              </w:rPr>
              <w:t>Total other revenue</w:t>
            </w:r>
          </w:p>
        </w:tc>
        <w:tc>
          <w:tcPr>
            <w:tcW w:w="1259" w:type="dxa"/>
            <w:tcBorders>
              <w:top w:val="single" w:sz="4" w:space="0" w:color="auto"/>
              <w:left w:val="nil"/>
              <w:bottom w:val="single" w:sz="4" w:space="0" w:color="auto"/>
              <w:right w:val="nil"/>
            </w:tcBorders>
            <w:shd w:val="clear" w:color="FFFFFF" w:fill="FFFFFF"/>
            <w:noWrap/>
            <w:vAlign w:val="bottom"/>
            <w:hideMark/>
          </w:tcPr>
          <w:p w14:paraId="4712F669" w14:textId="77777777" w:rsidR="00520333" w:rsidRPr="003203A1" w:rsidRDefault="00520333" w:rsidP="005E5E0C">
            <w:pPr>
              <w:spacing w:after="0"/>
              <w:jc w:val="right"/>
              <w:rPr>
                <w:rFonts w:cs="Arial"/>
                <w:b/>
                <w:bCs/>
                <w:sz w:val="18"/>
                <w:szCs w:val="18"/>
              </w:rPr>
            </w:pPr>
            <w:r w:rsidRPr="003203A1">
              <w:rPr>
                <w:rFonts w:cs="Arial"/>
                <w:b/>
                <w:bCs/>
                <w:sz w:val="18"/>
                <w:szCs w:val="18"/>
              </w:rPr>
              <w:t>48,792</w:t>
            </w:r>
          </w:p>
        </w:tc>
        <w:tc>
          <w:tcPr>
            <w:tcW w:w="236" w:type="dxa"/>
            <w:tcBorders>
              <w:top w:val="nil"/>
              <w:left w:val="nil"/>
              <w:bottom w:val="nil"/>
              <w:right w:val="nil"/>
            </w:tcBorders>
            <w:shd w:val="clear" w:color="FFFFFF" w:fill="FFFFFF"/>
            <w:noWrap/>
            <w:vAlign w:val="bottom"/>
            <w:hideMark/>
          </w:tcPr>
          <w:p w14:paraId="3D83F28F"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09FD3EAE" w14:textId="77777777" w:rsidR="00520333" w:rsidRPr="003203A1" w:rsidRDefault="00520333" w:rsidP="005E5E0C">
            <w:pPr>
              <w:spacing w:after="0"/>
              <w:jc w:val="right"/>
              <w:rPr>
                <w:rFonts w:cs="Arial"/>
                <w:sz w:val="18"/>
                <w:szCs w:val="18"/>
              </w:rPr>
            </w:pPr>
            <w:r w:rsidRPr="003203A1">
              <w:rPr>
                <w:rFonts w:cs="Arial"/>
                <w:sz w:val="18"/>
                <w:szCs w:val="18"/>
              </w:rPr>
              <w:t>29,420</w:t>
            </w:r>
          </w:p>
        </w:tc>
      </w:tr>
    </w:tbl>
    <w:p w14:paraId="4A67EBAB" w14:textId="77777777" w:rsidR="00520333" w:rsidRPr="003203A1" w:rsidRDefault="00520333" w:rsidP="00520333">
      <w:pPr>
        <w:pStyle w:val="ContinuedNotesHeading-Level1"/>
        <w:rPr>
          <w:rFonts w:cs="Arial"/>
          <w:sz w:val="18"/>
          <w:szCs w:val="18"/>
        </w:rPr>
      </w:pPr>
    </w:p>
    <w:p w14:paraId="0FC8E76D" w14:textId="77777777" w:rsidR="00520333" w:rsidRPr="003203A1" w:rsidRDefault="00520333" w:rsidP="00520333">
      <w:pPr>
        <w:pStyle w:val="PolicytextDept"/>
        <w:pBdr>
          <w:left w:val="single" w:sz="4" w:space="4" w:color="800080"/>
          <w:right w:val="single" w:sz="4" w:space="4" w:color="800080"/>
        </w:pBdr>
        <w:rPr>
          <w:b/>
          <w:bCs w:val="0"/>
          <w:iCs/>
        </w:rPr>
      </w:pPr>
      <w:r w:rsidRPr="003203A1">
        <w:rPr>
          <w:b/>
          <w:bCs w:val="0"/>
          <w:iCs/>
        </w:rPr>
        <w:t>Accounting Policy</w:t>
      </w:r>
    </w:p>
    <w:p w14:paraId="2962EE15" w14:textId="77777777" w:rsidR="00520333" w:rsidRPr="003203A1" w:rsidRDefault="00520333" w:rsidP="00520333">
      <w:pPr>
        <w:pStyle w:val="PolicytextDept"/>
        <w:pBdr>
          <w:left w:val="single" w:sz="4" w:space="4" w:color="800080"/>
          <w:right w:val="single" w:sz="4" w:space="4" w:color="800080"/>
        </w:pBdr>
        <w:rPr>
          <w:i/>
          <w:u w:val="single"/>
        </w:rPr>
      </w:pPr>
      <w:r w:rsidRPr="003203A1">
        <w:rPr>
          <w:i/>
          <w:u w:val="single"/>
        </w:rPr>
        <w:t>Compensation</w:t>
      </w:r>
    </w:p>
    <w:p w14:paraId="535458EB" w14:textId="77777777" w:rsidR="00520333" w:rsidRPr="003203A1" w:rsidRDefault="00520333" w:rsidP="00520333">
      <w:pPr>
        <w:pStyle w:val="PolicytextDept"/>
        <w:pBdr>
          <w:left w:val="single" w:sz="4" w:space="4" w:color="800080"/>
          <w:right w:val="single" w:sz="4" w:space="4" w:color="800080"/>
        </w:pBdr>
      </w:pPr>
      <w:r w:rsidRPr="003203A1">
        <w:t xml:space="preserve">The Agency has powers set out in the NDIS Act and the NDIS Compensation Rules to recover compensation settlements that have been made to participants in certain circumstances. This legislation and its interaction with general compensation law is highly complex. As a result, the Agency’s entitlement to, and the value of, compensation revenue cannot be reliably determined until the circumstances of each case are fully analysed. The legislation also provides the Agency with the option to apply a compensation reduction amount (CRA) to participant plans in lieu of recovering the compensation in a lump sum. Where the Agency elects to apply a CRA to a participant’s plan, a lower level of supports will be provided to the participant in future periods, resulting in a reduction in future participant plan expenses, rather than the recognition of compensation revenue. </w:t>
      </w:r>
    </w:p>
    <w:p w14:paraId="65E41F89" w14:textId="77777777" w:rsidR="00520333" w:rsidRPr="003203A1" w:rsidRDefault="00520333" w:rsidP="00520333">
      <w:pPr>
        <w:pStyle w:val="PolicytextDept"/>
        <w:pBdr>
          <w:left w:val="single" w:sz="4" w:space="4" w:color="800080"/>
          <w:right w:val="single" w:sz="4" w:space="4" w:color="800080"/>
        </w:pBdr>
      </w:pPr>
      <w:r w:rsidRPr="003203A1">
        <w:t xml:space="preserve">Compensation revenue is therefore recognised when the delegate determines that a specified debt recovery amount is appropriate. </w:t>
      </w:r>
    </w:p>
    <w:p w14:paraId="7B9AC7BF" w14:textId="77777777" w:rsidR="00520333" w:rsidRPr="003203A1" w:rsidRDefault="00520333" w:rsidP="00520333">
      <w:pPr>
        <w:pStyle w:val="PolicytextDept"/>
        <w:pBdr>
          <w:left w:val="single" w:sz="4" w:space="4" w:color="800080"/>
          <w:right w:val="single" w:sz="4" w:space="4" w:color="800080"/>
        </w:pBdr>
      </w:pPr>
      <w:r w:rsidRPr="003203A1">
        <w:t>From time to time, some compensation debt recovery amounts are subject to the reviewable decisions under section 100 of the NDIS Act and which result in partial or full refunds of the compensation receipts. If a refund is related to compensation receipts initially raised in a previous financial year, the amount is reported in Note 1.1E: Write-down and impairment of other assets, instead of a reversal of compensation receipts in Note 1.2C: Other Revenue.</w:t>
      </w:r>
    </w:p>
    <w:p w14:paraId="7BEDE9B0" w14:textId="77777777" w:rsidR="00520333" w:rsidRPr="003203A1" w:rsidRDefault="00520333" w:rsidP="00520333">
      <w:pPr>
        <w:pStyle w:val="PolicytextDept"/>
        <w:pBdr>
          <w:left w:val="single" w:sz="4" w:space="4" w:color="800080"/>
          <w:right w:val="single" w:sz="4" w:space="4" w:color="800080"/>
        </w:pBdr>
      </w:pPr>
      <w:r w:rsidRPr="003203A1">
        <w:t>Further discussion on the recognition and valuation of compensation recoveries is included in Section 4 Managing Uncertainties.</w:t>
      </w:r>
    </w:p>
    <w:p w14:paraId="712AF627" w14:textId="77777777" w:rsidR="00520333" w:rsidRPr="003203A1" w:rsidRDefault="00520333" w:rsidP="00520333">
      <w:pPr>
        <w:pStyle w:val="PolicytextDept"/>
        <w:pBdr>
          <w:left w:val="single" w:sz="4" w:space="4" w:color="800080"/>
          <w:right w:val="single" w:sz="4" w:space="4" w:color="800080"/>
        </w:pBdr>
      </w:pP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567709B1" w14:textId="77777777" w:rsidTr="005E5E0C">
        <w:trPr>
          <w:trHeight w:val="253"/>
        </w:trPr>
        <w:tc>
          <w:tcPr>
            <w:tcW w:w="6351" w:type="dxa"/>
            <w:tcBorders>
              <w:top w:val="nil"/>
              <w:left w:val="nil"/>
              <w:bottom w:val="nil"/>
              <w:right w:val="nil"/>
            </w:tcBorders>
            <w:shd w:val="clear" w:color="FFFFFF" w:fill="FFFFFF"/>
            <w:noWrap/>
            <w:vAlign w:val="bottom"/>
            <w:hideMark/>
          </w:tcPr>
          <w:p w14:paraId="183221B1" w14:textId="77777777" w:rsidR="00520333" w:rsidRPr="003203A1" w:rsidRDefault="00520333" w:rsidP="005E5E0C">
            <w:pPr>
              <w:spacing w:after="0"/>
              <w:rPr>
                <w:rFonts w:cs="Arial"/>
                <w:b/>
                <w:bCs/>
                <w:sz w:val="18"/>
                <w:szCs w:val="18"/>
                <w:u w:val="single"/>
              </w:rPr>
            </w:pPr>
            <w:bookmarkStart w:id="172" w:name="Note_RFCTABLE1" w:colFirst="0" w:colLast="0"/>
            <w:r w:rsidRPr="003203A1">
              <w:rPr>
                <w:rFonts w:cs="Arial"/>
                <w:b/>
                <w:bCs/>
                <w:sz w:val="18"/>
                <w:szCs w:val="18"/>
                <w:u w:val="single"/>
              </w:rPr>
              <w:t>Note 1.2D: Other gains</w:t>
            </w:r>
          </w:p>
        </w:tc>
        <w:tc>
          <w:tcPr>
            <w:tcW w:w="1259" w:type="dxa"/>
            <w:tcBorders>
              <w:top w:val="nil"/>
              <w:left w:val="nil"/>
              <w:bottom w:val="nil"/>
              <w:right w:val="nil"/>
            </w:tcBorders>
            <w:shd w:val="clear" w:color="FFFFFF" w:fill="FFFFFF"/>
            <w:noWrap/>
            <w:vAlign w:val="bottom"/>
            <w:hideMark/>
          </w:tcPr>
          <w:p w14:paraId="56434FF4"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6F5F1682"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DEF7562" w14:textId="77777777" w:rsidR="00520333" w:rsidRPr="003203A1" w:rsidRDefault="00520333" w:rsidP="005E5E0C">
            <w:pPr>
              <w:spacing w:after="0"/>
              <w:rPr>
                <w:rFonts w:cs="Arial"/>
                <w:sz w:val="18"/>
                <w:szCs w:val="18"/>
              </w:rPr>
            </w:pPr>
            <w:r w:rsidRPr="003203A1">
              <w:rPr>
                <w:rFonts w:cs="Arial"/>
                <w:sz w:val="18"/>
                <w:szCs w:val="18"/>
              </w:rPr>
              <w:t> </w:t>
            </w:r>
          </w:p>
        </w:tc>
      </w:tr>
      <w:bookmarkEnd w:id="172"/>
      <w:tr w:rsidR="00520333" w:rsidRPr="003203A1" w14:paraId="4B0AFE8E" w14:textId="77777777" w:rsidTr="005E5E0C">
        <w:trPr>
          <w:trHeight w:val="255"/>
        </w:trPr>
        <w:tc>
          <w:tcPr>
            <w:tcW w:w="6351" w:type="dxa"/>
            <w:tcBorders>
              <w:top w:val="nil"/>
              <w:left w:val="nil"/>
              <w:bottom w:val="nil"/>
              <w:right w:val="nil"/>
            </w:tcBorders>
            <w:shd w:val="clear" w:color="FFFFFF" w:fill="FFFFFF"/>
            <w:hideMark/>
          </w:tcPr>
          <w:p w14:paraId="2FBBA404" w14:textId="77777777" w:rsidR="00520333" w:rsidRPr="003203A1" w:rsidRDefault="00520333" w:rsidP="005E5E0C">
            <w:pPr>
              <w:spacing w:after="0"/>
              <w:rPr>
                <w:rFonts w:cs="Arial"/>
                <w:sz w:val="18"/>
                <w:szCs w:val="18"/>
              </w:rPr>
            </w:pPr>
            <w:r w:rsidRPr="003203A1">
              <w:rPr>
                <w:rFonts w:cs="Arial"/>
                <w:sz w:val="18"/>
                <w:szCs w:val="18"/>
              </w:rPr>
              <w:t>Reversal/write back of provisions</w:t>
            </w:r>
          </w:p>
        </w:tc>
        <w:tc>
          <w:tcPr>
            <w:tcW w:w="1259" w:type="dxa"/>
            <w:tcBorders>
              <w:top w:val="nil"/>
              <w:left w:val="nil"/>
              <w:bottom w:val="nil"/>
              <w:right w:val="nil"/>
            </w:tcBorders>
            <w:shd w:val="clear" w:color="FFFFFF" w:fill="FFFFFF"/>
            <w:noWrap/>
            <w:vAlign w:val="bottom"/>
            <w:hideMark/>
          </w:tcPr>
          <w:p w14:paraId="4C9009B0" w14:textId="77777777" w:rsidR="00520333" w:rsidRPr="003203A1" w:rsidRDefault="00520333" w:rsidP="005E5E0C">
            <w:pPr>
              <w:spacing w:after="0"/>
              <w:jc w:val="right"/>
              <w:rPr>
                <w:rFonts w:cs="Arial"/>
                <w:b/>
                <w:bCs/>
                <w:sz w:val="18"/>
                <w:szCs w:val="18"/>
              </w:rPr>
            </w:pPr>
            <w:r w:rsidRPr="003203A1">
              <w:rPr>
                <w:rFonts w:cs="Arial"/>
                <w:b/>
                <w:bCs/>
                <w:sz w:val="18"/>
                <w:szCs w:val="18"/>
              </w:rPr>
              <w:t>227</w:t>
            </w:r>
          </w:p>
        </w:tc>
        <w:tc>
          <w:tcPr>
            <w:tcW w:w="236" w:type="dxa"/>
            <w:tcBorders>
              <w:top w:val="nil"/>
              <w:left w:val="nil"/>
              <w:bottom w:val="nil"/>
              <w:right w:val="nil"/>
            </w:tcBorders>
            <w:shd w:val="clear" w:color="FFFFFF" w:fill="FFFFFF"/>
            <w:noWrap/>
            <w:vAlign w:val="bottom"/>
            <w:hideMark/>
          </w:tcPr>
          <w:p w14:paraId="4CD095C7"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790EE242" w14:textId="77777777" w:rsidR="00520333" w:rsidRPr="003203A1" w:rsidRDefault="00520333" w:rsidP="005E5E0C">
            <w:pPr>
              <w:spacing w:after="0"/>
              <w:jc w:val="right"/>
              <w:rPr>
                <w:rFonts w:cs="Arial"/>
                <w:sz w:val="18"/>
                <w:szCs w:val="18"/>
              </w:rPr>
            </w:pPr>
            <w:r w:rsidRPr="003203A1">
              <w:rPr>
                <w:rFonts w:cs="Arial"/>
                <w:sz w:val="18"/>
                <w:szCs w:val="18"/>
              </w:rPr>
              <w:t>1,001</w:t>
            </w:r>
          </w:p>
        </w:tc>
      </w:tr>
      <w:tr w:rsidR="00520333" w:rsidRPr="003203A1" w14:paraId="21032FE8" w14:textId="77777777" w:rsidTr="005E5E0C">
        <w:trPr>
          <w:trHeight w:val="253"/>
        </w:trPr>
        <w:tc>
          <w:tcPr>
            <w:tcW w:w="6351" w:type="dxa"/>
            <w:tcBorders>
              <w:top w:val="nil"/>
              <w:left w:val="nil"/>
              <w:bottom w:val="nil"/>
              <w:right w:val="nil"/>
            </w:tcBorders>
            <w:shd w:val="clear" w:color="FFFFFF" w:fill="FFFFFF"/>
            <w:hideMark/>
          </w:tcPr>
          <w:p w14:paraId="7FD45BBC" w14:textId="77777777" w:rsidR="00520333" w:rsidRPr="003203A1" w:rsidRDefault="00520333" w:rsidP="005E5E0C">
            <w:pPr>
              <w:spacing w:after="0"/>
              <w:rPr>
                <w:rFonts w:cs="Arial"/>
                <w:sz w:val="18"/>
                <w:szCs w:val="18"/>
              </w:rPr>
            </w:pPr>
            <w:r w:rsidRPr="003203A1">
              <w:rPr>
                <w:rFonts w:cs="Arial"/>
                <w:sz w:val="18"/>
                <w:szCs w:val="18"/>
              </w:rPr>
              <w:t>External parties - Contributions in-kind from state and territory governments</w:t>
            </w:r>
          </w:p>
        </w:tc>
        <w:tc>
          <w:tcPr>
            <w:tcW w:w="1259" w:type="dxa"/>
            <w:tcBorders>
              <w:top w:val="nil"/>
              <w:left w:val="nil"/>
              <w:bottom w:val="nil"/>
              <w:right w:val="nil"/>
            </w:tcBorders>
            <w:shd w:val="clear" w:color="FFFFFF" w:fill="FFFFFF"/>
            <w:noWrap/>
            <w:vAlign w:val="bottom"/>
            <w:hideMark/>
          </w:tcPr>
          <w:p w14:paraId="10D02673" w14:textId="77777777" w:rsidR="00520333" w:rsidRPr="003203A1" w:rsidRDefault="00520333" w:rsidP="005E5E0C">
            <w:pPr>
              <w:spacing w:after="0"/>
              <w:jc w:val="right"/>
              <w:rPr>
                <w:rFonts w:cs="Arial"/>
                <w:b/>
                <w:bCs/>
                <w:sz w:val="18"/>
                <w:szCs w:val="18"/>
              </w:rPr>
            </w:pPr>
            <w:r w:rsidRPr="003203A1">
              <w:rPr>
                <w:rFonts w:cs="Arial"/>
                <w:b/>
                <w:bCs/>
                <w:sz w:val="18"/>
                <w:szCs w:val="18"/>
              </w:rPr>
              <w:t>952,388</w:t>
            </w:r>
          </w:p>
        </w:tc>
        <w:tc>
          <w:tcPr>
            <w:tcW w:w="236" w:type="dxa"/>
            <w:tcBorders>
              <w:top w:val="nil"/>
              <w:left w:val="nil"/>
              <w:bottom w:val="nil"/>
              <w:right w:val="nil"/>
            </w:tcBorders>
            <w:shd w:val="clear" w:color="FFFFFF" w:fill="FFFFFF"/>
            <w:noWrap/>
            <w:vAlign w:val="bottom"/>
            <w:hideMark/>
          </w:tcPr>
          <w:p w14:paraId="1C5FB3AA"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1E7C48D7" w14:textId="77777777" w:rsidR="00520333" w:rsidRPr="003203A1" w:rsidRDefault="00520333" w:rsidP="005E5E0C">
            <w:pPr>
              <w:spacing w:after="0"/>
              <w:jc w:val="right"/>
              <w:rPr>
                <w:rFonts w:cs="Arial"/>
                <w:sz w:val="18"/>
                <w:szCs w:val="18"/>
              </w:rPr>
            </w:pPr>
            <w:r w:rsidRPr="003203A1">
              <w:rPr>
                <w:rFonts w:cs="Arial"/>
                <w:sz w:val="18"/>
                <w:szCs w:val="18"/>
              </w:rPr>
              <w:t>1,088,187</w:t>
            </w:r>
          </w:p>
        </w:tc>
      </w:tr>
      <w:tr w:rsidR="00520333" w:rsidRPr="003203A1" w14:paraId="3ADB4C95" w14:textId="77777777" w:rsidTr="005E5E0C">
        <w:trPr>
          <w:trHeight w:val="250"/>
        </w:trPr>
        <w:tc>
          <w:tcPr>
            <w:tcW w:w="6351" w:type="dxa"/>
            <w:tcBorders>
              <w:top w:val="nil"/>
              <w:left w:val="nil"/>
              <w:bottom w:val="nil"/>
              <w:right w:val="nil"/>
            </w:tcBorders>
            <w:shd w:val="clear" w:color="FFFFFF" w:fill="FFFFFF"/>
            <w:hideMark/>
          </w:tcPr>
          <w:p w14:paraId="12519BEB" w14:textId="77777777" w:rsidR="00520333" w:rsidRPr="003203A1" w:rsidRDefault="00520333" w:rsidP="005E5E0C">
            <w:pPr>
              <w:spacing w:after="0"/>
              <w:rPr>
                <w:rFonts w:cs="Arial"/>
                <w:sz w:val="18"/>
                <w:szCs w:val="18"/>
              </w:rPr>
            </w:pPr>
            <w:r w:rsidRPr="003203A1">
              <w:rPr>
                <w:rFonts w:cs="Arial"/>
                <w:sz w:val="18"/>
                <w:szCs w:val="18"/>
              </w:rPr>
              <w:t>Reversal of impairment losses</w:t>
            </w:r>
          </w:p>
        </w:tc>
        <w:tc>
          <w:tcPr>
            <w:tcW w:w="1259" w:type="dxa"/>
            <w:tcBorders>
              <w:top w:val="nil"/>
              <w:left w:val="nil"/>
              <w:bottom w:val="nil"/>
              <w:right w:val="nil"/>
            </w:tcBorders>
            <w:shd w:val="clear" w:color="FFFFFF" w:fill="FFFFFF"/>
            <w:noWrap/>
            <w:vAlign w:val="bottom"/>
            <w:hideMark/>
          </w:tcPr>
          <w:p w14:paraId="5FD74888" w14:textId="77777777" w:rsidR="00520333" w:rsidRPr="003203A1" w:rsidRDefault="00520333" w:rsidP="005E5E0C">
            <w:pPr>
              <w:spacing w:after="0"/>
              <w:jc w:val="right"/>
              <w:rPr>
                <w:rFonts w:cs="Arial"/>
                <w:b/>
                <w:bCs/>
                <w:sz w:val="18"/>
                <w:szCs w:val="18"/>
              </w:rPr>
            </w:pPr>
            <w:r w:rsidRPr="003203A1">
              <w:rPr>
                <w:rFonts w:cs="Arial"/>
                <w:b/>
                <w:bCs/>
                <w:sz w:val="18"/>
                <w:szCs w:val="18"/>
              </w:rPr>
              <w:t>489</w:t>
            </w:r>
          </w:p>
        </w:tc>
        <w:tc>
          <w:tcPr>
            <w:tcW w:w="236" w:type="dxa"/>
            <w:tcBorders>
              <w:top w:val="nil"/>
              <w:left w:val="nil"/>
              <w:bottom w:val="nil"/>
              <w:right w:val="nil"/>
            </w:tcBorders>
            <w:shd w:val="clear" w:color="FFFFFF" w:fill="FFFFFF"/>
            <w:noWrap/>
            <w:vAlign w:val="bottom"/>
            <w:hideMark/>
          </w:tcPr>
          <w:p w14:paraId="61067228"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F563FD2" w14:textId="77777777" w:rsidR="00520333" w:rsidRPr="003203A1" w:rsidRDefault="00520333" w:rsidP="005E5E0C">
            <w:pPr>
              <w:spacing w:after="0"/>
              <w:jc w:val="right"/>
              <w:rPr>
                <w:rFonts w:cs="Arial"/>
                <w:sz w:val="18"/>
                <w:szCs w:val="18"/>
              </w:rPr>
            </w:pPr>
            <w:r w:rsidRPr="003203A1">
              <w:rPr>
                <w:rFonts w:cs="Arial"/>
                <w:sz w:val="18"/>
                <w:szCs w:val="18"/>
              </w:rPr>
              <w:t>793</w:t>
            </w:r>
          </w:p>
        </w:tc>
      </w:tr>
      <w:tr w:rsidR="00520333" w:rsidRPr="003203A1" w14:paraId="57C90E24" w14:textId="77777777" w:rsidTr="005E5E0C">
        <w:trPr>
          <w:trHeight w:val="250"/>
        </w:trPr>
        <w:tc>
          <w:tcPr>
            <w:tcW w:w="6351" w:type="dxa"/>
            <w:tcBorders>
              <w:top w:val="nil"/>
              <w:left w:val="nil"/>
              <w:bottom w:val="nil"/>
              <w:right w:val="nil"/>
            </w:tcBorders>
            <w:shd w:val="clear" w:color="FFFFFF" w:fill="FFFFFF"/>
            <w:hideMark/>
          </w:tcPr>
          <w:p w14:paraId="0A15BC2F" w14:textId="77777777" w:rsidR="00520333" w:rsidRPr="003203A1" w:rsidRDefault="00520333" w:rsidP="005E5E0C">
            <w:pPr>
              <w:spacing w:after="0"/>
              <w:rPr>
                <w:rFonts w:cs="Arial"/>
                <w:sz w:val="18"/>
                <w:szCs w:val="18"/>
              </w:rPr>
            </w:pPr>
            <w:r w:rsidRPr="003203A1">
              <w:rPr>
                <w:rFonts w:cs="Arial"/>
                <w:sz w:val="18"/>
                <w:szCs w:val="18"/>
              </w:rPr>
              <w:t>Scheme payment cancellations</w:t>
            </w:r>
          </w:p>
        </w:tc>
        <w:tc>
          <w:tcPr>
            <w:tcW w:w="1259" w:type="dxa"/>
            <w:tcBorders>
              <w:top w:val="nil"/>
              <w:left w:val="nil"/>
              <w:bottom w:val="nil"/>
              <w:right w:val="nil"/>
            </w:tcBorders>
            <w:shd w:val="clear" w:color="FFFFFF" w:fill="FFFFFF"/>
            <w:noWrap/>
            <w:vAlign w:val="bottom"/>
            <w:hideMark/>
          </w:tcPr>
          <w:p w14:paraId="7EE1188F" w14:textId="77777777" w:rsidR="00520333" w:rsidRPr="003203A1" w:rsidRDefault="00520333" w:rsidP="005E5E0C">
            <w:pPr>
              <w:spacing w:after="0"/>
              <w:jc w:val="right"/>
              <w:rPr>
                <w:rFonts w:cs="Arial"/>
                <w:b/>
                <w:bCs/>
                <w:sz w:val="18"/>
                <w:szCs w:val="18"/>
              </w:rPr>
            </w:pPr>
            <w:r w:rsidRPr="003203A1">
              <w:rPr>
                <w:rFonts w:cs="Arial"/>
                <w:b/>
                <w:bCs/>
                <w:sz w:val="18"/>
                <w:szCs w:val="18"/>
              </w:rPr>
              <w:t>126,789</w:t>
            </w:r>
          </w:p>
        </w:tc>
        <w:tc>
          <w:tcPr>
            <w:tcW w:w="236" w:type="dxa"/>
            <w:tcBorders>
              <w:top w:val="nil"/>
              <w:left w:val="nil"/>
              <w:bottom w:val="nil"/>
              <w:right w:val="nil"/>
            </w:tcBorders>
            <w:shd w:val="clear" w:color="FFFFFF" w:fill="FFFFFF"/>
            <w:noWrap/>
            <w:vAlign w:val="bottom"/>
            <w:hideMark/>
          </w:tcPr>
          <w:p w14:paraId="1C781CB7"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6F24836" w14:textId="77777777" w:rsidR="00520333" w:rsidRPr="003203A1" w:rsidRDefault="00520333" w:rsidP="005E5E0C">
            <w:pPr>
              <w:spacing w:after="0"/>
              <w:jc w:val="right"/>
              <w:rPr>
                <w:rFonts w:cs="Arial"/>
                <w:sz w:val="18"/>
                <w:szCs w:val="18"/>
              </w:rPr>
            </w:pPr>
            <w:r w:rsidRPr="003203A1">
              <w:rPr>
                <w:rFonts w:cs="Arial"/>
                <w:sz w:val="18"/>
                <w:szCs w:val="18"/>
              </w:rPr>
              <w:t>108,135</w:t>
            </w:r>
          </w:p>
        </w:tc>
      </w:tr>
      <w:tr w:rsidR="00520333" w:rsidRPr="003203A1" w14:paraId="1F71DB52" w14:textId="77777777" w:rsidTr="005E5E0C">
        <w:trPr>
          <w:trHeight w:val="255"/>
        </w:trPr>
        <w:tc>
          <w:tcPr>
            <w:tcW w:w="6351" w:type="dxa"/>
            <w:tcBorders>
              <w:top w:val="nil"/>
              <w:left w:val="nil"/>
              <w:bottom w:val="nil"/>
              <w:right w:val="nil"/>
            </w:tcBorders>
            <w:shd w:val="clear" w:color="FFFFFF" w:fill="FFFFFF"/>
            <w:hideMark/>
          </w:tcPr>
          <w:p w14:paraId="573062B4" w14:textId="77777777" w:rsidR="00520333" w:rsidRPr="003203A1" w:rsidRDefault="00520333" w:rsidP="005E5E0C">
            <w:pPr>
              <w:spacing w:after="0"/>
              <w:rPr>
                <w:rFonts w:cs="Arial"/>
                <w:sz w:val="18"/>
                <w:szCs w:val="18"/>
              </w:rPr>
            </w:pPr>
            <w:r w:rsidRPr="003203A1">
              <w:rPr>
                <w:rFonts w:cs="Arial"/>
                <w:sz w:val="18"/>
                <w:szCs w:val="18"/>
              </w:rPr>
              <w:t>Other</w:t>
            </w:r>
          </w:p>
        </w:tc>
        <w:tc>
          <w:tcPr>
            <w:tcW w:w="1259" w:type="dxa"/>
            <w:tcBorders>
              <w:top w:val="nil"/>
              <w:left w:val="nil"/>
              <w:bottom w:val="nil"/>
              <w:right w:val="nil"/>
            </w:tcBorders>
            <w:shd w:val="clear" w:color="FFFFFF" w:fill="FFFFFF"/>
            <w:noWrap/>
            <w:vAlign w:val="bottom"/>
            <w:hideMark/>
          </w:tcPr>
          <w:p w14:paraId="7647753E" w14:textId="77777777" w:rsidR="00520333" w:rsidRPr="003203A1" w:rsidRDefault="00520333" w:rsidP="005E5E0C">
            <w:pPr>
              <w:spacing w:after="0"/>
              <w:jc w:val="right"/>
              <w:rPr>
                <w:rFonts w:cs="Arial"/>
                <w:b/>
                <w:bCs/>
                <w:sz w:val="18"/>
                <w:szCs w:val="18"/>
              </w:rPr>
            </w:pPr>
            <w:r w:rsidRPr="003203A1">
              <w:rPr>
                <w:rFonts w:cs="Arial"/>
                <w:b/>
                <w:bCs/>
                <w:sz w:val="18"/>
                <w:szCs w:val="18"/>
              </w:rPr>
              <w:t>25</w:t>
            </w:r>
          </w:p>
        </w:tc>
        <w:tc>
          <w:tcPr>
            <w:tcW w:w="236" w:type="dxa"/>
            <w:tcBorders>
              <w:top w:val="nil"/>
              <w:left w:val="nil"/>
              <w:bottom w:val="nil"/>
              <w:right w:val="nil"/>
            </w:tcBorders>
            <w:shd w:val="clear" w:color="FFFFFF" w:fill="FFFFFF"/>
            <w:noWrap/>
            <w:vAlign w:val="bottom"/>
            <w:hideMark/>
          </w:tcPr>
          <w:p w14:paraId="2E69D445"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D012193" w14:textId="77777777" w:rsidR="00520333" w:rsidRPr="003203A1" w:rsidRDefault="00520333" w:rsidP="005E5E0C">
            <w:pPr>
              <w:spacing w:after="0"/>
              <w:jc w:val="right"/>
              <w:rPr>
                <w:rFonts w:cs="Arial"/>
                <w:sz w:val="18"/>
                <w:szCs w:val="18"/>
              </w:rPr>
            </w:pPr>
            <w:r w:rsidRPr="003203A1">
              <w:rPr>
                <w:rFonts w:cs="Arial"/>
                <w:sz w:val="18"/>
                <w:szCs w:val="18"/>
              </w:rPr>
              <w:t>201</w:t>
            </w:r>
          </w:p>
        </w:tc>
      </w:tr>
      <w:tr w:rsidR="00520333" w:rsidRPr="003203A1" w14:paraId="3A18DEFC" w14:textId="77777777" w:rsidTr="005E5E0C">
        <w:trPr>
          <w:trHeight w:val="253"/>
        </w:trPr>
        <w:tc>
          <w:tcPr>
            <w:tcW w:w="6351" w:type="dxa"/>
            <w:tcBorders>
              <w:top w:val="nil"/>
              <w:left w:val="nil"/>
              <w:bottom w:val="nil"/>
              <w:right w:val="nil"/>
            </w:tcBorders>
            <w:shd w:val="clear" w:color="FFFFFF" w:fill="FFFFFF"/>
            <w:vAlign w:val="bottom"/>
            <w:hideMark/>
          </w:tcPr>
          <w:p w14:paraId="6DF7A73D" w14:textId="77777777" w:rsidR="00520333" w:rsidRPr="003203A1" w:rsidRDefault="00520333" w:rsidP="005E5E0C">
            <w:pPr>
              <w:spacing w:after="0"/>
              <w:rPr>
                <w:rFonts w:cs="Arial"/>
                <w:b/>
                <w:bCs/>
                <w:sz w:val="18"/>
                <w:szCs w:val="18"/>
              </w:rPr>
            </w:pPr>
            <w:r w:rsidRPr="003203A1">
              <w:rPr>
                <w:rFonts w:cs="Arial"/>
                <w:b/>
                <w:bCs/>
                <w:sz w:val="18"/>
                <w:szCs w:val="18"/>
              </w:rPr>
              <w:t>Total gains</w:t>
            </w:r>
          </w:p>
        </w:tc>
        <w:tc>
          <w:tcPr>
            <w:tcW w:w="1259" w:type="dxa"/>
            <w:tcBorders>
              <w:top w:val="single" w:sz="4" w:space="0" w:color="auto"/>
              <w:left w:val="nil"/>
              <w:bottom w:val="single" w:sz="4" w:space="0" w:color="auto"/>
              <w:right w:val="nil"/>
            </w:tcBorders>
            <w:shd w:val="clear" w:color="FFFFFF" w:fill="FFFFFF"/>
            <w:noWrap/>
            <w:vAlign w:val="bottom"/>
            <w:hideMark/>
          </w:tcPr>
          <w:p w14:paraId="50D7AFD1" w14:textId="77777777" w:rsidR="00520333" w:rsidRPr="003203A1" w:rsidRDefault="00520333" w:rsidP="005E5E0C">
            <w:pPr>
              <w:spacing w:after="0"/>
              <w:jc w:val="right"/>
              <w:rPr>
                <w:rFonts w:cs="Arial"/>
                <w:b/>
                <w:bCs/>
                <w:sz w:val="18"/>
                <w:szCs w:val="18"/>
              </w:rPr>
            </w:pPr>
            <w:r w:rsidRPr="003203A1">
              <w:rPr>
                <w:rFonts w:cs="Arial"/>
                <w:b/>
                <w:bCs/>
                <w:sz w:val="18"/>
                <w:szCs w:val="18"/>
              </w:rPr>
              <w:t>1,079,918</w:t>
            </w:r>
          </w:p>
        </w:tc>
        <w:tc>
          <w:tcPr>
            <w:tcW w:w="236" w:type="dxa"/>
            <w:tcBorders>
              <w:top w:val="nil"/>
              <w:left w:val="nil"/>
              <w:bottom w:val="nil"/>
              <w:right w:val="nil"/>
            </w:tcBorders>
            <w:shd w:val="clear" w:color="FFFFFF" w:fill="FFFFFF"/>
            <w:noWrap/>
            <w:vAlign w:val="bottom"/>
            <w:hideMark/>
          </w:tcPr>
          <w:p w14:paraId="7D80CB0D"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50FAA1AA" w14:textId="77777777" w:rsidR="00520333" w:rsidRPr="003203A1" w:rsidRDefault="00520333" w:rsidP="005E5E0C">
            <w:pPr>
              <w:spacing w:after="0"/>
              <w:jc w:val="right"/>
              <w:rPr>
                <w:rFonts w:cs="Arial"/>
                <w:sz w:val="18"/>
                <w:szCs w:val="18"/>
              </w:rPr>
            </w:pPr>
            <w:r w:rsidRPr="003203A1">
              <w:rPr>
                <w:rFonts w:cs="Arial"/>
                <w:sz w:val="18"/>
                <w:szCs w:val="18"/>
              </w:rPr>
              <w:t>1,198,317</w:t>
            </w:r>
          </w:p>
        </w:tc>
      </w:tr>
    </w:tbl>
    <w:p w14:paraId="672F366C" w14:textId="77777777" w:rsidR="00520333" w:rsidRPr="003203A1" w:rsidRDefault="00520333" w:rsidP="00520333">
      <w:pPr>
        <w:rPr>
          <w:rFonts w:cs="Arial"/>
          <w:sz w:val="18"/>
          <w:szCs w:val="18"/>
          <w:vertAlign w:val="superscript"/>
        </w:rPr>
      </w:pPr>
    </w:p>
    <w:p w14:paraId="1947B503" w14:textId="77777777" w:rsidR="00520333" w:rsidRPr="003203A1" w:rsidRDefault="00520333" w:rsidP="00520333">
      <w:pPr>
        <w:pBdr>
          <w:top w:val="single" w:sz="4" w:space="1" w:color="800080"/>
          <w:left w:val="single" w:sz="4" w:space="4" w:color="800080"/>
          <w:bottom w:val="single" w:sz="4" w:space="0" w:color="800080"/>
          <w:right w:val="single" w:sz="4" w:space="4" w:color="800080"/>
        </w:pBdr>
        <w:spacing w:after="120" w:line="120" w:lineRule="atLeast"/>
        <w:rPr>
          <w:rFonts w:cs="Arial"/>
          <w:b/>
          <w:bCs/>
          <w:sz w:val="18"/>
          <w:szCs w:val="18"/>
        </w:rPr>
      </w:pPr>
      <w:r w:rsidRPr="003203A1">
        <w:rPr>
          <w:rFonts w:cs="Arial"/>
          <w:b/>
          <w:bCs/>
          <w:sz w:val="18"/>
          <w:szCs w:val="18"/>
        </w:rPr>
        <w:t>Accounting Policy</w:t>
      </w:r>
    </w:p>
    <w:p w14:paraId="6EF7FD84" w14:textId="77777777" w:rsidR="00520333" w:rsidRPr="003203A1" w:rsidRDefault="00520333" w:rsidP="00520333">
      <w:pPr>
        <w:pStyle w:val="PolicytextDept"/>
        <w:pBdr>
          <w:left w:val="single" w:sz="4" w:space="4" w:color="800080"/>
          <w:bottom w:val="single" w:sz="4" w:space="0" w:color="800080"/>
          <w:right w:val="single" w:sz="4" w:space="4" w:color="800080"/>
        </w:pBdr>
        <w:rPr>
          <w:i/>
          <w:u w:val="single"/>
        </w:rPr>
      </w:pPr>
      <w:r w:rsidRPr="003203A1">
        <w:rPr>
          <w:i/>
          <w:u w:val="single"/>
        </w:rPr>
        <w:t xml:space="preserve">Contributions in-kind from state and territory governments </w:t>
      </w:r>
    </w:p>
    <w:p w14:paraId="3AC5B175" w14:textId="77777777" w:rsidR="00520333" w:rsidRPr="003203A1" w:rsidRDefault="00520333" w:rsidP="00520333">
      <w:pPr>
        <w:pStyle w:val="PolicytextDept"/>
        <w:pBdr>
          <w:left w:val="single" w:sz="4" w:space="4" w:color="800080"/>
          <w:bottom w:val="single" w:sz="4" w:space="0" w:color="800080"/>
          <w:right w:val="single" w:sz="4" w:space="4" w:color="800080"/>
        </w:pBdr>
      </w:pPr>
      <w:r w:rsidRPr="003203A1">
        <w:t>Contributions in-kind from state and territory governments are termed volunteer services under Australian Accounting Standards as they are received free of charge. Volunteer services are recognised as own-source income when, and only when, a fair value can be reliably determined, and the services would have been purchased if they had not been contributed. Use of these services is recognised as an expense. Volunteer services are recorded as either revenue or gains depending on their nature.</w:t>
      </w:r>
    </w:p>
    <w:p w14:paraId="4D359CC3" w14:textId="7792D55A" w:rsidR="00520333" w:rsidRPr="003203A1" w:rsidRDefault="00520333" w:rsidP="00520333">
      <w:pPr>
        <w:pStyle w:val="PolicytextDept"/>
        <w:pBdr>
          <w:left w:val="single" w:sz="4" w:space="4" w:color="800080"/>
          <w:bottom w:val="single" w:sz="4" w:space="0" w:color="800080"/>
          <w:right w:val="single" w:sz="4" w:space="4" w:color="800080"/>
        </w:pBdr>
      </w:pPr>
      <w:r w:rsidRPr="003203A1">
        <w:t>Prior to the commencement of the Scheme, each state and territory government had committed to provide (directly or by engaging service providers) agreed items such as disability services, health services, family support, education, employment, transport and/or housing to people with a disability. The on-going provision of these agreed services on behalf of the Agency is regarded as an in-kind contribution under Australian Accounting Standards and is accounted for as income from the contribution of services at the date when the services are provided. The fair value of these contributions is the unit cost provided by the jurisdiction which is based on the value the jurisdiction has paid under its funding arrangements with the provider.</w:t>
      </w:r>
    </w:p>
    <w:p w14:paraId="1CCBB4B7" w14:textId="0BEC6FD8" w:rsidR="003203A1" w:rsidRDefault="003203A1">
      <w:pPr>
        <w:spacing w:after="0" w:line="240" w:lineRule="auto"/>
        <w:rPr>
          <w:rFonts w:cs="Arial"/>
          <w:b/>
          <w:bCs/>
          <w:sz w:val="18"/>
          <w:szCs w:val="18"/>
        </w:rPr>
      </w:pPr>
      <w:r>
        <w:rPr>
          <w:rFonts w:cs="Arial"/>
          <w:b/>
          <w:bCs/>
          <w:sz w:val="18"/>
          <w:szCs w:val="18"/>
        </w:rPr>
        <w:br w:type="page"/>
      </w:r>
    </w:p>
    <w:p w14:paraId="01E3EAA4" w14:textId="77777777" w:rsidR="003203A1" w:rsidRPr="00C821EB" w:rsidRDefault="003203A1" w:rsidP="003203A1">
      <w:pPr>
        <w:spacing w:after="0" w:line="240" w:lineRule="auto"/>
        <w:rPr>
          <w:b/>
          <w:bCs/>
        </w:rPr>
      </w:pPr>
      <w:r w:rsidRPr="00C821EB">
        <w:rPr>
          <w:b/>
          <w:bCs/>
        </w:rPr>
        <w:lastRenderedPageBreak/>
        <w:t>National Disability Insurance Agency</w:t>
      </w:r>
    </w:p>
    <w:p w14:paraId="1FAD37AC"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4DE09C15" w14:textId="77777777" w:rsidR="00520333" w:rsidRPr="003203A1" w:rsidRDefault="00520333" w:rsidP="00520333">
      <w:pPr>
        <w:pStyle w:val="PolicytextDept"/>
        <w:pBdr>
          <w:left w:val="single" w:sz="4" w:space="4" w:color="800080"/>
          <w:bottom w:val="single" w:sz="4" w:space="0" w:color="800080"/>
          <w:right w:val="single" w:sz="4" w:space="4" w:color="800080"/>
        </w:pBdr>
        <w:rPr>
          <w:bCs w:val="0"/>
        </w:rPr>
      </w:pPr>
      <w:r w:rsidRPr="003203A1">
        <w:rPr>
          <w:bCs w:val="0"/>
        </w:rPr>
        <w:t>Total contributions revenue from state and territories governments comprises cash and non-cash components. Cash contributions are reported as revenue in Note 1.2A Rendering of services. Total cash received from state and territories governments is reduced (i.e., off-set) by the total value of In-Kind contributions under the bilateral agreements.</w:t>
      </w:r>
    </w:p>
    <w:p w14:paraId="3CD0B609" w14:textId="77777777" w:rsidR="00520333" w:rsidRPr="003203A1" w:rsidRDefault="00520333" w:rsidP="00520333">
      <w:pPr>
        <w:pStyle w:val="PolicytextDept"/>
        <w:pBdr>
          <w:left w:val="single" w:sz="4" w:space="4" w:color="800080"/>
          <w:bottom w:val="single" w:sz="4" w:space="0" w:color="800080"/>
          <w:right w:val="single" w:sz="4" w:space="4" w:color="800080"/>
        </w:pBdr>
        <w:rPr>
          <w:b/>
        </w:rPr>
      </w:pPr>
      <w:r w:rsidRPr="003203A1">
        <w:rPr>
          <w:b/>
        </w:rPr>
        <w:t>Key judgements and estimates</w:t>
      </w:r>
    </w:p>
    <w:p w14:paraId="2DE43A08" w14:textId="77777777" w:rsidR="00520333" w:rsidRPr="003203A1" w:rsidRDefault="00520333" w:rsidP="00520333">
      <w:pPr>
        <w:pStyle w:val="PolicytextDept"/>
        <w:pBdr>
          <w:left w:val="single" w:sz="4" w:space="4" w:color="800080"/>
          <w:bottom w:val="single" w:sz="4" w:space="0" w:color="800080"/>
          <w:right w:val="single" w:sz="4" w:space="4" w:color="800080"/>
        </w:pBdr>
        <w:rPr>
          <w:i/>
          <w:u w:val="single"/>
        </w:rPr>
      </w:pPr>
      <w:r w:rsidRPr="003203A1">
        <w:rPr>
          <w:i/>
          <w:u w:val="single"/>
        </w:rPr>
        <w:t>Contributions in-kind from state and territory governments</w:t>
      </w:r>
    </w:p>
    <w:p w14:paraId="279318AE" w14:textId="77777777" w:rsidR="00520333" w:rsidRPr="003203A1" w:rsidRDefault="00520333" w:rsidP="00520333">
      <w:pPr>
        <w:pStyle w:val="PolicytextDept"/>
        <w:pBdr>
          <w:left w:val="single" w:sz="4" w:space="4" w:color="800080"/>
          <w:bottom w:val="single" w:sz="4" w:space="0" w:color="800080"/>
          <w:right w:val="single" w:sz="4" w:space="4" w:color="800080"/>
        </w:pBdr>
      </w:pPr>
      <w:r w:rsidRPr="003203A1">
        <w:t>The Agency records income in relation to non-cash or in-kind contributions from state and territory governments at the time when the services are provided to participants. In some cases, the Agency may not have been formally notified that the state or territory government has provided or funded a contribution to a participant. In this circumstance, the Agency makes an estimate of the amount of in-kind contributions provided to participants during the period but not yet notified to the Agency. These estimates are based on the latest available evidence of in-kind supports provided to participants by the state and territory governments.</w:t>
      </w:r>
    </w:p>
    <w:p w14:paraId="51268189" w14:textId="77777777" w:rsidR="00520333" w:rsidRPr="003203A1" w:rsidRDefault="00520333" w:rsidP="00520333">
      <w:pPr>
        <w:pStyle w:val="PolicyheadingDept"/>
        <w:pBdr>
          <w:left w:val="single" w:sz="4" w:space="4" w:color="800080"/>
          <w:right w:val="single" w:sz="4" w:space="4" w:color="800080"/>
        </w:pBdr>
      </w:pPr>
      <w:r w:rsidRPr="003203A1">
        <w:t>Accounting Policy</w:t>
      </w:r>
    </w:p>
    <w:p w14:paraId="4D4432B2" w14:textId="77777777" w:rsidR="00520333" w:rsidRPr="003203A1" w:rsidRDefault="00520333" w:rsidP="00520333">
      <w:pPr>
        <w:pStyle w:val="PolicytextDept"/>
        <w:pBdr>
          <w:left w:val="single" w:sz="4" w:space="4" w:color="800080"/>
          <w:right w:val="single" w:sz="4" w:space="4" w:color="800080"/>
        </w:pBdr>
        <w:rPr>
          <w:i/>
          <w:iCs/>
          <w:u w:val="single"/>
        </w:rPr>
      </w:pPr>
      <w:r w:rsidRPr="003203A1">
        <w:rPr>
          <w:i/>
          <w:iCs/>
          <w:u w:val="single"/>
        </w:rPr>
        <w:t xml:space="preserve">Revenue from Government </w:t>
      </w:r>
    </w:p>
    <w:p w14:paraId="4C59ACE8" w14:textId="77777777" w:rsidR="00520333" w:rsidRPr="003203A1" w:rsidRDefault="00520333" w:rsidP="00520333">
      <w:pPr>
        <w:pStyle w:val="PolicytextDept"/>
        <w:pBdr>
          <w:left w:val="single" w:sz="4" w:space="4" w:color="800080"/>
          <w:right w:val="single" w:sz="4" w:space="4" w:color="800080"/>
        </w:pBdr>
        <w:rPr>
          <w:iCs/>
        </w:rPr>
      </w:pPr>
      <w:r w:rsidRPr="003203A1">
        <w:rPr>
          <w:iCs/>
        </w:rPr>
        <w:t xml:space="preserve">Funding received from DSS (received by the Agency as a corporate Commonwealth entity payment item) is recognised as Revenue from Government unless the funding is in the nature of an equity injection or a loan. </w:t>
      </w:r>
    </w:p>
    <w:p w14:paraId="274B1CBF" w14:textId="77777777" w:rsidR="00520333" w:rsidRPr="003203A1" w:rsidRDefault="00520333" w:rsidP="00520333">
      <w:pPr>
        <w:pStyle w:val="PolicytextDept"/>
        <w:pBdr>
          <w:left w:val="single" w:sz="4" w:space="4" w:color="800080"/>
          <w:right w:val="single" w:sz="4" w:space="4" w:color="800080"/>
        </w:pBdr>
        <w:rPr>
          <w:iCs/>
        </w:rPr>
      </w:pPr>
      <w:r w:rsidRPr="003203A1">
        <w:rPr>
          <w:iCs/>
        </w:rPr>
        <w:t>Revenue from Government should be read in conjunction with the Statement of Comprehensive Income Budget Variances Commentary.</w:t>
      </w:r>
    </w:p>
    <w:p w14:paraId="079A8469" w14:textId="77777777" w:rsidR="00520333" w:rsidRDefault="00520333" w:rsidP="00520333">
      <w:pPr>
        <w:spacing w:line="240" w:lineRule="auto"/>
      </w:pPr>
      <w:r>
        <w:br w:type="page"/>
      </w:r>
    </w:p>
    <w:p w14:paraId="09C36FEA" w14:textId="77777777" w:rsidR="003203A1" w:rsidRPr="00C821EB" w:rsidRDefault="003203A1" w:rsidP="003203A1">
      <w:pPr>
        <w:spacing w:after="0" w:line="240" w:lineRule="auto"/>
        <w:rPr>
          <w:b/>
          <w:bCs/>
        </w:rPr>
      </w:pPr>
      <w:bookmarkStart w:id="173" w:name="_Toc65742846"/>
      <w:bookmarkStart w:id="174" w:name="_Toc173417293"/>
      <w:r w:rsidRPr="00C821EB">
        <w:rPr>
          <w:b/>
          <w:bCs/>
        </w:rPr>
        <w:lastRenderedPageBreak/>
        <w:t>National Disability Insurance Agency</w:t>
      </w:r>
    </w:p>
    <w:p w14:paraId="29A929B1"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4DD66C63" w14:textId="77BCB04E" w:rsidR="00520333" w:rsidRDefault="00520333" w:rsidP="00520333">
      <w:pPr>
        <w:pStyle w:val="SectionHeading"/>
        <w:numPr>
          <w:ilvl w:val="0"/>
          <w:numId w:val="30"/>
        </w:numPr>
      </w:pPr>
      <w:r>
        <w:t xml:space="preserve">Financial </w:t>
      </w:r>
      <w:r w:rsidRPr="009E424E">
        <w:t>Position</w:t>
      </w:r>
      <w:bookmarkEnd w:id="173"/>
      <w:bookmarkEnd w:id="174"/>
    </w:p>
    <w:p w14:paraId="3608ED4E" w14:textId="77777777" w:rsidR="00520333" w:rsidRPr="001657B7" w:rsidRDefault="00520333" w:rsidP="00520333">
      <w:pPr>
        <w:pStyle w:val="SectionHeadingDescription"/>
      </w:pPr>
      <w:r w:rsidRPr="00BE05B2">
        <w:t>This section analyses the</w:t>
      </w:r>
      <w:r>
        <w:t xml:space="preserve"> Agency’s </w:t>
      </w:r>
      <w:r w:rsidRPr="00BE05B2">
        <w:t xml:space="preserve">assets used to </w:t>
      </w:r>
      <w:r>
        <w:t>conduct its operations</w:t>
      </w:r>
      <w:r w:rsidRPr="00BE05B2">
        <w:t xml:space="preserve"> and the operating liabilities incurred as a result.</w:t>
      </w:r>
    </w:p>
    <w:p w14:paraId="0F848CED" w14:textId="77777777" w:rsidR="00520333" w:rsidRDefault="00520333" w:rsidP="00520333">
      <w:pPr>
        <w:pStyle w:val="SectionHeadingDescription"/>
      </w:pPr>
      <w:r>
        <w:t>Buildings</w:t>
      </w:r>
      <w:r w:rsidRPr="0061061F">
        <w:t xml:space="preserve"> and plant and equipment</w:t>
      </w:r>
      <w:r>
        <w:t>, other than right-of-use buildings and vehicles,</w:t>
      </w:r>
      <w:r w:rsidRPr="0061061F">
        <w:t xml:space="preserve"> are carried at fair value in accordance with AASB 13 </w:t>
      </w:r>
      <w:r w:rsidRPr="0061061F">
        <w:rPr>
          <w:i/>
        </w:rPr>
        <w:t>Fair Value Measurement.</w:t>
      </w:r>
      <w:r w:rsidRPr="0061061F">
        <w:t xml:space="preserve"> The remaining assets and liabilities disclosed in the statement of financial position do not apply the fair value hierarchy.</w:t>
      </w:r>
    </w:p>
    <w:p w14:paraId="6B1F0D6D" w14:textId="77777777" w:rsidR="00520333" w:rsidRDefault="00520333" w:rsidP="00520333">
      <w:pPr>
        <w:pStyle w:val="SectionHeadingDescription"/>
      </w:pPr>
    </w:p>
    <w:p w14:paraId="21530AAE" w14:textId="77777777" w:rsidR="00520333" w:rsidRPr="00B06A1E" w:rsidRDefault="00520333" w:rsidP="00520333">
      <w:pPr>
        <w:pStyle w:val="SectionHeadingDescription"/>
      </w:pPr>
      <w:r w:rsidRPr="00BE05B2">
        <w:t xml:space="preserve">Employee related information is disclosed in </w:t>
      </w:r>
      <w:r>
        <w:t>Section 3.</w:t>
      </w:r>
      <w:r w:rsidRPr="00BE05B2">
        <w:t xml:space="preserve"> </w:t>
      </w:r>
      <w:r>
        <w:t>People and Relationships</w:t>
      </w:r>
      <w:r w:rsidRPr="00BE05B2">
        <w:t>.</w:t>
      </w:r>
    </w:p>
    <w:p w14:paraId="09CD8743" w14:textId="77777777" w:rsidR="00520333" w:rsidRPr="00FF78A0" w:rsidRDefault="00520333" w:rsidP="003203A1">
      <w:pPr>
        <w:pStyle w:val="SubHeading"/>
        <w:shd w:val="clear" w:color="auto" w:fill="000000" w:themeFill="accent6"/>
      </w:pPr>
      <w:bookmarkStart w:id="175" w:name="_Toc65742847"/>
      <w:bookmarkStart w:id="176" w:name="_Toc173417294"/>
      <w:r>
        <w:t>Financial Assets</w:t>
      </w:r>
      <w:bookmarkEnd w:id="175"/>
      <w:bookmarkEnd w:id="176"/>
    </w:p>
    <w:tbl>
      <w:tblPr>
        <w:tblW w:w="9087" w:type="dxa"/>
        <w:tblLayout w:type="fixed"/>
        <w:tblLook w:val="04A0" w:firstRow="1" w:lastRow="0" w:firstColumn="1" w:lastColumn="0" w:noHBand="0" w:noVBand="1"/>
      </w:tblPr>
      <w:tblGrid>
        <w:gridCol w:w="6351"/>
        <w:gridCol w:w="1259"/>
        <w:gridCol w:w="236"/>
        <w:gridCol w:w="1241"/>
      </w:tblGrid>
      <w:tr w:rsidR="00520333" w:rsidRPr="003203A1" w14:paraId="0401C1C6" w14:textId="77777777" w:rsidTr="005E5E0C">
        <w:trPr>
          <w:trHeight w:val="250"/>
        </w:trPr>
        <w:tc>
          <w:tcPr>
            <w:tcW w:w="6351" w:type="dxa"/>
            <w:tcBorders>
              <w:top w:val="nil"/>
              <w:left w:val="nil"/>
              <w:bottom w:val="nil"/>
              <w:right w:val="nil"/>
            </w:tcBorders>
            <w:shd w:val="clear" w:color="FFFFFF" w:fill="FFFFFF"/>
            <w:noWrap/>
            <w:vAlign w:val="bottom"/>
            <w:hideMark/>
          </w:tcPr>
          <w:p w14:paraId="2CCAC4D9" w14:textId="77777777" w:rsidR="00520333" w:rsidRPr="003203A1" w:rsidRDefault="00520333" w:rsidP="005E5E0C">
            <w:pPr>
              <w:spacing w:after="0"/>
              <w:rPr>
                <w:rFonts w:cs="Arial"/>
                <w:sz w:val="18"/>
                <w:szCs w:val="18"/>
              </w:rPr>
            </w:pPr>
            <w:bookmarkStart w:id="177" w:name="Note_CSHTABLE1" w:colFirst="0" w:colLast="0"/>
            <w:r w:rsidRPr="003203A1">
              <w:rPr>
                <w:rFonts w:cs="Arial"/>
                <w:sz w:val="18"/>
                <w:szCs w:val="18"/>
              </w:rPr>
              <w:t> </w:t>
            </w:r>
          </w:p>
        </w:tc>
        <w:tc>
          <w:tcPr>
            <w:tcW w:w="1259" w:type="dxa"/>
            <w:tcBorders>
              <w:top w:val="nil"/>
              <w:left w:val="nil"/>
              <w:bottom w:val="nil"/>
              <w:right w:val="nil"/>
            </w:tcBorders>
            <w:shd w:val="clear" w:color="FFFFFF" w:fill="FFFFFF"/>
            <w:noWrap/>
            <w:vAlign w:val="bottom"/>
            <w:hideMark/>
          </w:tcPr>
          <w:p w14:paraId="79EE7273" w14:textId="77777777" w:rsidR="00520333" w:rsidRPr="003203A1" w:rsidRDefault="00520333" w:rsidP="005E5E0C">
            <w:pPr>
              <w:spacing w:after="0"/>
              <w:jc w:val="right"/>
              <w:rPr>
                <w:rFonts w:cs="Arial"/>
                <w:b/>
                <w:bCs/>
                <w:sz w:val="18"/>
                <w:szCs w:val="18"/>
              </w:rPr>
            </w:pPr>
            <w:r w:rsidRPr="003203A1">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4BA999C4"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47CD4F0" w14:textId="77777777" w:rsidR="00520333" w:rsidRPr="003203A1" w:rsidRDefault="00520333" w:rsidP="005E5E0C">
            <w:pPr>
              <w:spacing w:after="0"/>
              <w:jc w:val="right"/>
              <w:rPr>
                <w:rFonts w:cs="Arial"/>
                <w:sz w:val="18"/>
                <w:szCs w:val="18"/>
              </w:rPr>
            </w:pPr>
            <w:r w:rsidRPr="003203A1">
              <w:rPr>
                <w:rFonts w:cs="Arial"/>
                <w:sz w:val="18"/>
                <w:szCs w:val="18"/>
              </w:rPr>
              <w:t>2023</w:t>
            </w:r>
          </w:p>
        </w:tc>
      </w:tr>
      <w:bookmarkEnd w:id="177"/>
      <w:tr w:rsidR="00520333" w:rsidRPr="003203A1" w14:paraId="4E9825AE" w14:textId="77777777" w:rsidTr="005E5E0C">
        <w:trPr>
          <w:trHeight w:val="260"/>
        </w:trPr>
        <w:tc>
          <w:tcPr>
            <w:tcW w:w="6351" w:type="dxa"/>
            <w:tcBorders>
              <w:top w:val="nil"/>
              <w:left w:val="nil"/>
              <w:bottom w:val="nil"/>
              <w:right w:val="nil"/>
            </w:tcBorders>
            <w:shd w:val="clear" w:color="FFFFFF" w:fill="FFFFFF"/>
            <w:noWrap/>
            <w:vAlign w:val="bottom"/>
            <w:hideMark/>
          </w:tcPr>
          <w:p w14:paraId="52738073" w14:textId="77777777" w:rsidR="00520333" w:rsidRPr="003203A1" w:rsidRDefault="00520333" w:rsidP="005E5E0C">
            <w:pPr>
              <w:spacing w:after="0"/>
              <w:rPr>
                <w:rFonts w:cs="Arial"/>
                <w:sz w:val="18"/>
                <w:szCs w:val="18"/>
              </w:rPr>
            </w:pPr>
            <w:r w:rsidRPr="003203A1">
              <w:rPr>
                <w:rFonts w:cs="Arial"/>
                <w:sz w:val="18"/>
                <w:szCs w:val="18"/>
              </w:rPr>
              <w:t> </w:t>
            </w:r>
          </w:p>
        </w:tc>
        <w:tc>
          <w:tcPr>
            <w:tcW w:w="1259" w:type="dxa"/>
            <w:tcBorders>
              <w:top w:val="nil"/>
              <w:left w:val="nil"/>
              <w:bottom w:val="nil"/>
              <w:right w:val="nil"/>
            </w:tcBorders>
            <w:shd w:val="clear" w:color="FFFFFF" w:fill="FFFFFF"/>
            <w:noWrap/>
            <w:vAlign w:val="bottom"/>
            <w:hideMark/>
          </w:tcPr>
          <w:p w14:paraId="3413AC78" w14:textId="77777777" w:rsidR="00520333" w:rsidRPr="003203A1" w:rsidRDefault="00520333" w:rsidP="005E5E0C">
            <w:pPr>
              <w:spacing w:after="0"/>
              <w:jc w:val="right"/>
              <w:rPr>
                <w:rFonts w:cs="Arial"/>
                <w:b/>
                <w:bCs/>
                <w:sz w:val="18"/>
                <w:szCs w:val="18"/>
              </w:rPr>
            </w:pPr>
            <w:r w:rsidRPr="003203A1">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71CC58A0"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770D495" w14:textId="77777777" w:rsidR="00520333" w:rsidRPr="003203A1" w:rsidRDefault="00520333" w:rsidP="005E5E0C">
            <w:pPr>
              <w:spacing w:after="0"/>
              <w:jc w:val="right"/>
              <w:rPr>
                <w:rFonts w:cs="Arial"/>
                <w:sz w:val="18"/>
                <w:szCs w:val="18"/>
              </w:rPr>
            </w:pPr>
            <w:r w:rsidRPr="003203A1">
              <w:rPr>
                <w:rFonts w:cs="Arial"/>
                <w:sz w:val="18"/>
                <w:szCs w:val="18"/>
              </w:rPr>
              <w:t>$'000</w:t>
            </w:r>
          </w:p>
        </w:tc>
      </w:tr>
      <w:tr w:rsidR="00520333" w:rsidRPr="003203A1" w14:paraId="72017B04" w14:textId="77777777" w:rsidTr="005E5E0C">
        <w:trPr>
          <w:trHeight w:val="260"/>
        </w:trPr>
        <w:tc>
          <w:tcPr>
            <w:tcW w:w="6351" w:type="dxa"/>
            <w:tcBorders>
              <w:top w:val="nil"/>
              <w:left w:val="nil"/>
              <w:bottom w:val="nil"/>
              <w:right w:val="nil"/>
            </w:tcBorders>
            <w:shd w:val="clear" w:color="FFFFFF" w:fill="FFFFFF"/>
            <w:noWrap/>
            <w:vAlign w:val="bottom"/>
            <w:hideMark/>
          </w:tcPr>
          <w:p w14:paraId="3DEA5DFA" w14:textId="77777777" w:rsidR="00520333" w:rsidRPr="003203A1" w:rsidRDefault="00520333" w:rsidP="005E5E0C">
            <w:pPr>
              <w:spacing w:after="0"/>
              <w:rPr>
                <w:rFonts w:cs="Arial"/>
                <w:b/>
                <w:bCs/>
                <w:sz w:val="18"/>
                <w:szCs w:val="18"/>
                <w:u w:val="single"/>
              </w:rPr>
            </w:pPr>
            <w:r w:rsidRPr="003203A1">
              <w:rPr>
                <w:rFonts w:cs="Arial"/>
                <w:b/>
                <w:bCs/>
                <w:sz w:val="18"/>
                <w:szCs w:val="18"/>
                <w:u w:val="single"/>
              </w:rPr>
              <w:t>Note 2.1A: Cash and cash equivalents</w:t>
            </w:r>
          </w:p>
        </w:tc>
        <w:tc>
          <w:tcPr>
            <w:tcW w:w="1259" w:type="dxa"/>
            <w:tcBorders>
              <w:top w:val="nil"/>
              <w:left w:val="nil"/>
              <w:bottom w:val="nil"/>
              <w:right w:val="nil"/>
            </w:tcBorders>
            <w:shd w:val="clear" w:color="FFFFFF" w:fill="FFFFFF"/>
            <w:noWrap/>
            <w:vAlign w:val="bottom"/>
            <w:hideMark/>
          </w:tcPr>
          <w:p w14:paraId="63240A86"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78B49430"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2A5E9A7"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35D80FDC" w14:textId="77777777" w:rsidTr="005E5E0C">
        <w:trPr>
          <w:trHeight w:val="250"/>
        </w:trPr>
        <w:tc>
          <w:tcPr>
            <w:tcW w:w="6351" w:type="dxa"/>
            <w:tcBorders>
              <w:top w:val="nil"/>
              <w:left w:val="nil"/>
              <w:bottom w:val="nil"/>
              <w:right w:val="nil"/>
            </w:tcBorders>
            <w:shd w:val="clear" w:color="FFFFFF" w:fill="FFFFFF"/>
            <w:vAlign w:val="bottom"/>
            <w:hideMark/>
          </w:tcPr>
          <w:p w14:paraId="3DD93001" w14:textId="77777777" w:rsidR="00520333" w:rsidRPr="003203A1" w:rsidRDefault="00520333" w:rsidP="005E5E0C">
            <w:pPr>
              <w:spacing w:after="0"/>
              <w:rPr>
                <w:rFonts w:cs="Arial"/>
                <w:sz w:val="18"/>
                <w:szCs w:val="18"/>
              </w:rPr>
            </w:pPr>
            <w:r w:rsidRPr="003203A1">
              <w:rPr>
                <w:rFonts w:cs="Arial"/>
                <w:sz w:val="18"/>
                <w:szCs w:val="18"/>
              </w:rPr>
              <w:t>Cash on hand</w:t>
            </w:r>
          </w:p>
        </w:tc>
        <w:tc>
          <w:tcPr>
            <w:tcW w:w="1259" w:type="dxa"/>
            <w:tcBorders>
              <w:top w:val="nil"/>
              <w:left w:val="nil"/>
              <w:bottom w:val="nil"/>
              <w:right w:val="nil"/>
            </w:tcBorders>
            <w:shd w:val="clear" w:color="FFFFFF" w:fill="FFFFFF"/>
            <w:noWrap/>
            <w:vAlign w:val="bottom"/>
            <w:hideMark/>
          </w:tcPr>
          <w:p w14:paraId="50137167" w14:textId="77777777" w:rsidR="00520333" w:rsidRPr="003203A1" w:rsidRDefault="00520333" w:rsidP="005E5E0C">
            <w:pPr>
              <w:spacing w:after="0"/>
              <w:jc w:val="right"/>
              <w:rPr>
                <w:rFonts w:cs="Arial"/>
                <w:b/>
                <w:bCs/>
                <w:sz w:val="18"/>
                <w:szCs w:val="18"/>
              </w:rPr>
            </w:pPr>
            <w:r w:rsidRPr="003203A1">
              <w:rPr>
                <w:rFonts w:cs="Arial"/>
                <w:b/>
                <w:bCs/>
                <w:sz w:val="18"/>
                <w:szCs w:val="18"/>
              </w:rPr>
              <w:t>5,659,548</w:t>
            </w:r>
          </w:p>
        </w:tc>
        <w:tc>
          <w:tcPr>
            <w:tcW w:w="236" w:type="dxa"/>
            <w:tcBorders>
              <w:top w:val="nil"/>
              <w:left w:val="nil"/>
              <w:bottom w:val="nil"/>
              <w:right w:val="nil"/>
            </w:tcBorders>
            <w:shd w:val="clear" w:color="FFFFFF" w:fill="FFFFFF"/>
            <w:noWrap/>
            <w:vAlign w:val="bottom"/>
            <w:hideMark/>
          </w:tcPr>
          <w:p w14:paraId="14F24A7F"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E20A7F4" w14:textId="77777777" w:rsidR="00520333" w:rsidRPr="003203A1" w:rsidRDefault="00520333" w:rsidP="005E5E0C">
            <w:pPr>
              <w:spacing w:after="0"/>
              <w:jc w:val="right"/>
              <w:rPr>
                <w:rFonts w:cs="Arial"/>
                <w:sz w:val="18"/>
                <w:szCs w:val="18"/>
              </w:rPr>
            </w:pPr>
            <w:r w:rsidRPr="003203A1">
              <w:rPr>
                <w:rFonts w:cs="Arial"/>
                <w:sz w:val="18"/>
                <w:szCs w:val="18"/>
              </w:rPr>
              <w:t>2,729,779</w:t>
            </w:r>
          </w:p>
        </w:tc>
      </w:tr>
      <w:tr w:rsidR="00520333" w:rsidRPr="003203A1" w14:paraId="04D291E6" w14:textId="77777777" w:rsidTr="005E5E0C">
        <w:trPr>
          <w:trHeight w:val="250"/>
        </w:trPr>
        <w:tc>
          <w:tcPr>
            <w:tcW w:w="6351" w:type="dxa"/>
            <w:tcBorders>
              <w:top w:val="nil"/>
              <w:left w:val="nil"/>
              <w:bottom w:val="nil"/>
              <w:right w:val="nil"/>
            </w:tcBorders>
            <w:shd w:val="clear" w:color="FFFFFF" w:fill="FFFFFF"/>
            <w:vAlign w:val="bottom"/>
            <w:hideMark/>
          </w:tcPr>
          <w:p w14:paraId="3CE54B0E" w14:textId="77777777" w:rsidR="00520333" w:rsidRPr="003203A1" w:rsidRDefault="00520333" w:rsidP="005E5E0C">
            <w:pPr>
              <w:spacing w:after="0"/>
              <w:rPr>
                <w:rFonts w:cs="Arial"/>
                <w:b/>
                <w:bCs/>
                <w:sz w:val="18"/>
                <w:szCs w:val="18"/>
              </w:rPr>
            </w:pPr>
            <w:r w:rsidRPr="003203A1">
              <w:rPr>
                <w:rFonts w:cs="Arial"/>
                <w:b/>
                <w:bCs/>
                <w:sz w:val="18"/>
                <w:szCs w:val="18"/>
              </w:rPr>
              <w:t>Total cash and cash equivalents</w:t>
            </w:r>
          </w:p>
        </w:tc>
        <w:tc>
          <w:tcPr>
            <w:tcW w:w="1259" w:type="dxa"/>
            <w:tcBorders>
              <w:top w:val="single" w:sz="4" w:space="0" w:color="auto"/>
              <w:left w:val="nil"/>
              <w:bottom w:val="single" w:sz="4" w:space="0" w:color="auto"/>
              <w:right w:val="nil"/>
            </w:tcBorders>
            <w:shd w:val="clear" w:color="FFFFFF" w:fill="FFFFFF"/>
            <w:noWrap/>
            <w:vAlign w:val="bottom"/>
            <w:hideMark/>
          </w:tcPr>
          <w:p w14:paraId="437D33A6" w14:textId="77777777" w:rsidR="00520333" w:rsidRPr="003203A1" w:rsidRDefault="00520333" w:rsidP="005E5E0C">
            <w:pPr>
              <w:spacing w:after="0"/>
              <w:jc w:val="right"/>
              <w:rPr>
                <w:rFonts w:cs="Arial"/>
                <w:b/>
                <w:bCs/>
                <w:sz w:val="18"/>
                <w:szCs w:val="18"/>
              </w:rPr>
            </w:pPr>
            <w:r w:rsidRPr="003203A1">
              <w:rPr>
                <w:rFonts w:cs="Arial"/>
                <w:b/>
                <w:bCs/>
                <w:sz w:val="18"/>
                <w:szCs w:val="18"/>
              </w:rPr>
              <w:t>5,659,548</w:t>
            </w:r>
          </w:p>
        </w:tc>
        <w:tc>
          <w:tcPr>
            <w:tcW w:w="236" w:type="dxa"/>
            <w:tcBorders>
              <w:top w:val="nil"/>
              <w:left w:val="nil"/>
              <w:bottom w:val="nil"/>
              <w:right w:val="nil"/>
            </w:tcBorders>
            <w:shd w:val="clear" w:color="FFFFFF" w:fill="FFFFFF"/>
            <w:noWrap/>
            <w:vAlign w:val="bottom"/>
            <w:hideMark/>
          </w:tcPr>
          <w:p w14:paraId="35333FCC"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0A233C72" w14:textId="77777777" w:rsidR="00520333" w:rsidRPr="003203A1" w:rsidRDefault="00520333" w:rsidP="005E5E0C">
            <w:pPr>
              <w:spacing w:after="0"/>
              <w:jc w:val="right"/>
              <w:rPr>
                <w:rFonts w:cs="Arial"/>
                <w:sz w:val="18"/>
                <w:szCs w:val="18"/>
              </w:rPr>
            </w:pPr>
            <w:r w:rsidRPr="003203A1">
              <w:rPr>
                <w:rFonts w:cs="Arial"/>
                <w:sz w:val="18"/>
                <w:szCs w:val="18"/>
              </w:rPr>
              <w:t>2,729,779</w:t>
            </w:r>
          </w:p>
        </w:tc>
      </w:tr>
    </w:tbl>
    <w:p w14:paraId="1D33C5AD" w14:textId="77777777" w:rsidR="00520333" w:rsidRPr="003203A1" w:rsidRDefault="00520333" w:rsidP="00520333">
      <w:pPr>
        <w:rPr>
          <w:rFonts w:cs="Arial"/>
          <w:sz w:val="18"/>
          <w:szCs w:val="18"/>
        </w:rPr>
      </w:pPr>
    </w:p>
    <w:p w14:paraId="66333C43" w14:textId="77777777" w:rsidR="00520333" w:rsidRPr="003203A1" w:rsidRDefault="00520333" w:rsidP="00520333">
      <w:pPr>
        <w:pStyle w:val="PolicytextDept"/>
        <w:pBdr>
          <w:left w:val="single" w:sz="4" w:space="4" w:color="800080"/>
          <w:right w:val="single" w:sz="4" w:space="4" w:color="800080"/>
        </w:pBdr>
        <w:rPr>
          <w:b/>
        </w:rPr>
      </w:pPr>
      <w:r w:rsidRPr="003203A1">
        <w:rPr>
          <w:b/>
        </w:rPr>
        <w:t>Accounting Policy</w:t>
      </w:r>
    </w:p>
    <w:p w14:paraId="569BBBF1" w14:textId="77777777" w:rsidR="00520333" w:rsidRPr="003203A1" w:rsidRDefault="00520333" w:rsidP="00520333">
      <w:pPr>
        <w:pStyle w:val="PolicytextDept"/>
        <w:pBdr>
          <w:left w:val="single" w:sz="4" w:space="4" w:color="800080"/>
          <w:right w:val="single" w:sz="4" w:space="4" w:color="800080"/>
        </w:pBdr>
      </w:pPr>
      <w:r w:rsidRPr="003203A1">
        <w:t>Cash is recognised at its nominal amount. This includes cash on hand and term deposits in bank accounts with an original maturity of three months or less that are readily convertible to cash and subject to insignificant risk of changes in value. Term deposits with an original maturity greater than three months are included in Note 2.1C.</w:t>
      </w:r>
    </w:p>
    <w:tbl>
      <w:tblPr>
        <w:tblW w:w="9087" w:type="dxa"/>
        <w:tblLayout w:type="fixed"/>
        <w:tblLook w:val="04A0" w:firstRow="1" w:lastRow="0" w:firstColumn="1" w:lastColumn="0" w:noHBand="0" w:noVBand="1"/>
      </w:tblPr>
      <w:tblGrid>
        <w:gridCol w:w="6351"/>
        <w:gridCol w:w="1259"/>
        <w:gridCol w:w="236"/>
        <w:gridCol w:w="1241"/>
      </w:tblGrid>
      <w:tr w:rsidR="00520333" w:rsidRPr="003203A1" w14:paraId="34DADFE7" w14:textId="77777777" w:rsidTr="005E5E0C">
        <w:trPr>
          <w:trHeight w:val="260"/>
        </w:trPr>
        <w:tc>
          <w:tcPr>
            <w:tcW w:w="6351" w:type="dxa"/>
            <w:tcBorders>
              <w:top w:val="nil"/>
              <w:left w:val="nil"/>
              <w:bottom w:val="nil"/>
              <w:right w:val="nil"/>
            </w:tcBorders>
            <w:shd w:val="clear" w:color="FFFFFF" w:fill="FFFFFF"/>
            <w:noWrap/>
            <w:vAlign w:val="bottom"/>
            <w:hideMark/>
          </w:tcPr>
          <w:p w14:paraId="2F85F214" w14:textId="77777777" w:rsidR="00520333" w:rsidRPr="003203A1" w:rsidRDefault="00520333" w:rsidP="005E5E0C">
            <w:pPr>
              <w:spacing w:after="0"/>
              <w:rPr>
                <w:rFonts w:cs="Arial"/>
                <w:b/>
                <w:bCs/>
                <w:sz w:val="18"/>
                <w:szCs w:val="18"/>
                <w:u w:val="single"/>
              </w:rPr>
            </w:pPr>
            <w:bookmarkStart w:id="178" w:name="Note_RECTABLE1" w:colFirst="0" w:colLast="0"/>
            <w:r w:rsidRPr="003203A1">
              <w:rPr>
                <w:rFonts w:cs="Arial"/>
                <w:b/>
                <w:bCs/>
                <w:sz w:val="18"/>
                <w:szCs w:val="18"/>
                <w:u w:val="single"/>
              </w:rPr>
              <w:t>Note 2.1B: Trade and other receivables</w:t>
            </w:r>
          </w:p>
        </w:tc>
        <w:tc>
          <w:tcPr>
            <w:tcW w:w="1259" w:type="dxa"/>
            <w:tcBorders>
              <w:top w:val="nil"/>
              <w:left w:val="nil"/>
              <w:bottom w:val="nil"/>
              <w:right w:val="nil"/>
            </w:tcBorders>
            <w:shd w:val="clear" w:color="FFFFFF" w:fill="FFFFFF"/>
            <w:noWrap/>
            <w:vAlign w:val="bottom"/>
            <w:hideMark/>
          </w:tcPr>
          <w:p w14:paraId="40A4C7D3"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0C92CC56"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76B5BB2F" w14:textId="77777777" w:rsidR="00520333" w:rsidRPr="003203A1" w:rsidRDefault="00520333" w:rsidP="005E5E0C">
            <w:pPr>
              <w:spacing w:after="0"/>
              <w:rPr>
                <w:rFonts w:cs="Arial"/>
                <w:sz w:val="18"/>
                <w:szCs w:val="18"/>
              </w:rPr>
            </w:pPr>
            <w:r w:rsidRPr="003203A1">
              <w:rPr>
                <w:rFonts w:cs="Arial"/>
                <w:sz w:val="18"/>
                <w:szCs w:val="18"/>
              </w:rPr>
              <w:t> </w:t>
            </w:r>
          </w:p>
        </w:tc>
      </w:tr>
      <w:bookmarkEnd w:id="178"/>
      <w:tr w:rsidR="00520333" w:rsidRPr="003203A1" w14:paraId="392B84FC" w14:textId="77777777" w:rsidTr="005E5E0C">
        <w:trPr>
          <w:trHeight w:val="260"/>
        </w:trPr>
        <w:tc>
          <w:tcPr>
            <w:tcW w:w="6351" w:type="dxa"/>
            <w:tcBorders>
              <w:top w:val="nil"/>
              <w:left w:val="nil"/>
              <w:bottom w:val="nil"/>
              <w:right w:val="nil"/>
            </w:tcBorders>
            <w:shd w:val="clear" w:color="FFFFFF" w:fill="FFFFFF"/>
            <w:vAlign w:val="bottom"/>
            <w:hideMark/>
          </w:tcPr>
          <w:p w14:paraId="4BCC7510" w14:textId="77777777" w:rsidR="00520333" w:rsidRPr="003203A1" w:rsidRDefault="00520333" w:rsidP="005E5E0C">
            <w:pPr>
              <w:spacing w:after="0"/>
              <w:rPr>
                <w:rFonts w:cs="Arial"/>
                <w:b/>
                <w:bCs/>
                <w:sz w:val="18"/>
                <w:szCs w:val="18"/>
              </w:rPr>
            </w:pPr>
            <w:r w:rsidRPr="003203A1">
              <w:rPr>
                <w:rFonts w:cs="Arial"/>
                <w:b/>
                <w:bCs/>
                <w:sz w:val="18"/>
                <w:szCs w:val="18"/>
              </w:rPr>
              <w:t>Goods and services receivables</w:t>
            </w:r>
          </w:p>
        </w:tc>
        <w:tc>
          <w:tcPr>
            <w:tcW w:w="1259" w:type="dxa"/>
            <w:tcBorders>
              <w:top w:val="nil"/>
              <w:left w:val="nil"/>
              <w:bottom w:val="nil"/>
              <w:right w:val="nil"/>
            </w:tcBorders>
            <w:shd w:val="clear" w:color="FFFFFF" w:fill="FFFFFF"/>
            <w:noWrap/>
            <w:vAlign w:val="bottom"/>
            <w:hideMark/>
          </w:tcPr>
          <w:p w14:paraId="7DB3BFF9"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73D8B980"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5C51620D"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41EF8413" w14:textId="77777777" w:rsidTr="005E5E0C">
        <w:trPr>
          <w:trHeight w:val="268"/>
        </w:trPr>
        <w:tc>
          <w:tcPr>
            <w:tcW w:w="6351" w:type="dxa"/>
            <w:tcBorders>
              <w:top w:val="nil"/>
              <w:left w:val="nil"/>
              <w:bottom w:val="nil"/>
              <w:right w:val="nil"/>
            </w:tcBorders>
            <w:shd w:val="clear" w:color="FFFFFF" w:fill="FFFFFF"/>
            <w:noWrap/>
            <w:vAlign w:val="bottom"/>
            <w:hideMark/>
          </w:tcPr>
          <w:p w14:paraId="55997F7A" w14:textId="77777777" w:rsidR="00520333" w:rsidRPr="003203A1" w:rsidRDefault="00520333" w:rsidP="005E5E0C">
            <w:pPr>
              <w:spacing w:after="0"/>
              <w:ind w:firstLineChars="100" w:firstLine="180"/>
              <w:rPr>
                <w:rFonts w:cs="Arial"/>
                <w:sz w:val="18"/>
                <w:szCs w:val="18"/>
              </w:rPr>
            </w:pPr>
            <w:r w:rsidRPr="003203A1">
              <w:rPr>
                <w:rFonts w:cs="Arial"/>
                <w:sz w:val="18"/>
                <w:szCs w:val="18"/>
              </w:rPr>
              <w:t>Goods and services receivables</w:t>
            </w:r>
          </w:p>
        </w:tc>
        <w:tc>
          <w:tcPr>
            <w:tcW w:w="1259" w:type="dxa"/>
            <w:tcBorders>
              <w:top w:val="nil"/>
              <w:left w:val="nil"/>
              <w:bottom w:val="single" w:sz="4" w:space="0" w:color="auto"/>
              <w:right w:val="nil"/>
            </w:tcBorders>
            <w:shd w:val="clear" w:color="FFFFFF" w:fill="FFFFFF"/>
            <w:noWrap/>
            <w:vAlign w:val="bottom"/>
            <w:hideMark/>
          </w:tcPr>
          <w:p w14:paraId="7CBC538B" w14:textId="77777777" w:rsidR="00520333" w:rsidRPr="003203A1" w:rsidRDefault="00520333" w:rsidP="005E5E0C">
            <w:pPr>
              <w:spacing w:after="0"/>
              <w:jc w:val="right"/>
              <w:rPr>
                <w:rFonts w:cs="Arial"/>
                <w:b/>
                <w:bCs/>
                <w:sz w:val="18"/>
                <w:szCs w:val="18"/>
              </w:rPr>
            </w:pPr>
            <w:r w:rsidRPr="003203A1">
              <w:rPr>
                <w:rFonts w:cs="Arial"/>
                <w:b/>
                <w:bCs/>
                <w:sz w:val="18"/>
                <w:szCs w:val="18"/>
              </w:rPr>
              <w:t>107,550</w:t>
            </w:r>
          </w:p>
        </w:tc>
        <w:tc>
          <w:tcPr>
            <w:tcW w:w="236" w:type="dxa"/>
            <w:tcBorders>
              <w:top w:val="nil"/>
              <w:left w:val="nil"/>
              <w:bottom w:val="nil"/>
              <w:right w:val="nil"/>
            </w:tcBorders>
            <w:shd w:val="clear" w:color="FFFFFF" w:fill="FFFFFF"/>
            <w:noWrap/>
            <w:vAlign w:val="bottom"/>
            <w:hideMark/>
          </w:tcPr>
          <w:p w14:paraId="5FDDEEBC"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single" w:sz="4" w:space="0" w:color="auto"/>
              <w:right w:val="nil"/>
            </w:tcBorders>
            <w:shd w:val="clear" w:color="FFFFFF" w:fill="FFFFFF"/>
            <w:noWrap/>
            <w:vAlign w:val="bottom"/>
            <w:hideMark/>
          </w:tcPr>
          <w:p w14:paraId="601C8A39" w14:textId="77777777" w:rsidR="00520333" w:rsidRPr="003203A1" w:rsidRDefault="00520333" w:rsidP="005E5E0C">
            <w:pPr>
              <w:spacing w:after="0"/>
              <w:jc w:val="right"/>
              <w:rPr>
                <w:rFonts w:cs="Arial"/>
                <w:sz w:val="18"/>
                <w:szCs w:val="18"/>
              </w:rPr>
            </w:pPr>
            <w:r w:rsidRPr="003203A1">
              <w:rPr>
                <w:rFonts w:cs="Arial"/>
                <w:sz w:val="18"/>
                <w:szCs w:val="18"/>
              </w:rPr>
              <w:t>76,734</w:t>
            </w:r>
          </w:p>
        </w:tc>
      </w:tr>
      <w:tr w:rsidR="00520333" w:rsidRPr="003203A1" w14:paraId="78E3B4B3" w14:textId="77777777" w:rsidTr="005E5E0C">
        <w:trPr>
          <w:trHeight w:val="268"/>
        </w:trPr>
        <w:tc>
          <w:tcPr>
            <w:tcW w:w="6351" w:type="dxa"/>
            <w:tcBorders>
              <w:top w:val="nil"/>
              <w:left w:val="nil"/>
              <w:bottom w:val="nil"/>
              <w:right w:val="nil"/>
            </w:tcBorders>
            <w:shd w:val="clear" w:color="FFFFFF" w:fill="FFFFFF"/>
            <w:vAlign w:val="bottom"/>
            <w:hideMark/>
          </w:tcPr>
          <w:p w14:paraId="1CAA9ECD" w14:textId="77777777" w:rsidR="00520333" w:rsidRPr="003203A1" w:rsidRDefault="00520333" w:rsidP="005E5E0C">
            <w:pPr>
              <w:spacing w:after="0"/>
              <w:rPr>
                <w:rFonts w:cs="Arial"/>
                <w:b/>
                <w:bCs/>
                <w:sz w:val="18"/>
                <w:szCs w:val="18"/>
              </w:rPr>
            </w:pPr>
            <w:r w:rsidRPr="003203A1">
              <w:rPr>
                <w:rFonts w:cs="Arial"/>
                <w:b/>
                <w:bCs/>
                <w:sz w:val="18"/>
                <w:szCs w:val="18"/>
              </w:rPr>
              <w:t>Total goods and services receivables</w:t>
            </w:r>
          </w:p>
        </w:tc>
        <w:tc>
          <w:tcPr>
            <w:tcW w:w="1259" w:type="dxa"/>
            <w:tcBorders>
              <w:top w:val="single" w:sz="4" w:space="0" w:color="auto"/>
              <w:left w:val="nil"/>
              <w:bottom w:val="single" w:sz="4" w:space="0" w:color="auto"/>
              <w:right w:val="nil"/>
            </w:tcBorders>
            <w:shd w:val="clear" w:color="FFFFFF" w:fill="FFFFFF"/>
            <w:noWrap/>
            <w:vAlign w:val="bottom"/>
            <w:hideMark/>
          </w:tcPr>
          <w:p w14:paraId="589AE667" w14:textId="77777777" w:rsidR="00520333" w:rsidRPr="003203A1" w:rsidRDefault="00520333" w:rsidP="005E5E0C">
            <w:pPr>
              <w:spacing w:after="0"/>
              <w:jc w:val="right"/>
              <w:rPr>
                <w:rFonts w:cs="Arial"/>
                <w:b/>
                <w:bCs/>
                <w:sz w:val="18"/>
                <w:szCs w:val="18"/>
              </w:rPr>
            </w:pPr>
            <w:r w:rsidRPr="003203A1">
              <w:rPr>
                <w:rFonts w:cs="Arial"/>
                <w:b/>
                <w:bCs/>
                <w:sz w:val="18"/>
                <w:szCs w:val="18"/>
              </w:rPr>
              <w:t>107,550</w:t>
            </w:r>
          </w:p>
        </w:tc>
        <w:tc>
          <w:tcPr>
            <w:tcW w:w="236" w:type="dxa"/>
            <w:tcBorders>
              <w:top w:val="nil"/>
              <w:left w:val="nil"/>
              <w:bottom w:val="nil"/>
              <w:right w:val="nil"/>
            </w:tcBorders>
            <w:shd w:val="clear" w:color="FFFFFF" w:fill="FFFFFF"/>
            <w:noWrap/>
            <w:vAlign w:val="bottom"/>
            <w:hideMark/>
          </w:tcPr>
          <w:p w14:paraId="4985E5A5"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30C7B7D2" w14:textId="77777777" w:rsidR="00520333" w:rsidRPr="003203A1" w:rsidRDefault="00520333" w:rsidP="005E5E0C">
            <w:pPr>
              <w:spacing w:after="0"/>
              <w:jc w:val="right"/>
              <w:rPr>
                <w:rFonts w:cs="Arial"/>
                <w:sz w:val="18"/>
                <w:szCs w:val="18"/>
              </w:rPr>
            </w:pPr>
            <w:r w:rsidRPr="003203A1">
              <w:rPr>
                <w:rFonts w:cs="Arial"/>
                <w:sz w:val="18"/>
                <w:szCs w:val="18"/>
              </w:rPr>
              <w:t>76,734</w:t>
            </w:r>
          </w:p>
        </w:tc>
      </w:tr>
      <w:tr w:rsidR="00520333" w:rsidRPr="003203A1" w14:paraId="2E19E50F" w14:textId="77777777" w:rsidTr="005E5E0C">
        <w:trPr>
          <w:trHeight w:val="250"/>
        </w:trPr>
        <w:tc>
          <w:tcPr>
            <w:tcW w:w="6351" w:type="dxa"/>
            <w:tcBorders>
              <w:top w:val="nil"/>
              <w:left w:val="nil"/>
              <w:bottom w:val="nil"/>
              <w:right w:val="nil"/>
            </w:tcBorders>
            <w:shd w:val="clear" w:color="FFFFFF" w:fill="FFFFFF"/>
            <w:vAlign w:val="bottom"/>
            <w:hideMark/>
          </w:tcPr>
          <w:p w14:paraId="529826D2" w14:textId="77777777" w:rsidR="00520333" w:rsidRPr="003203A1" w:rsidRDefault="00520333" w:rsidP="005E5E0C">
            <w:pPr>
              <w:spacing w:after="0"/>
              <w:rPr>
                <w:rFonts w:cs="Arial"/>
                <w:b/>
                <w:bCs/>
                <w:sz w:val="18"/>
                <w:szCs w:val="18"/>
              </w:rPr>
            </w:pPr>
            <w:r w:rsidRPr="003203A1">
              <w:rPr>
                <w:rFonts w:cs="Arial"/>
                <w:b/>
                <w:bCs/>
                <w:sz w:val="18"/>
                <w:szCs w:val="18"/>
              </w:rPr>
              <w:t>Other receivables</w:t>
            </w:r>
          </w:p>
        </w:tc>
        <w:tc>
          <w:tcPr>
            <w:tcW w:w="1259" w:type="dxa"/>
            <w:tcBorders>
              <w:top w:val="nil"/>
              <w:left w:val="nil"/>
              <w:bottom w:val="nil"/>
              <w:right w:val="nil"/>
            </w:tcBorders>
            <w:shd w:val="clear" w:color="FFFFFF" w:fill="FFFFFF"/>
            <w:noWrap/>
            <w:vAlign w:val="bottom"/>
            <w:hideMark/>
          </w:tcPr>
          <w:p w14:paraId="3216206E"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15E6E325"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55A4CB58"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24FD685F" w14:textId="77777777" w:rsidTr="005E5E0C">
        <w:trPr>
          <w:trHeight w:val="253"/>
        </w:trPr>
        <w:tc>
          <w:tcPr>
            <w:tcW w:w="6351" w:type="dxa"/>
            <w:tcBorders>
              <w:top w:val="nil"/>
              <w:left w:val="nil"/>
              <w:bottom w:val="nil"/>
              <w:right w:val="nil"/>
            </w:tcBorders>
            <w:shd w:val="clear" w:color="FFFFFF" w:fill="FFFFFF"/>
            <w:noWrap/>
            <w:vAlign w:val="bottom"/>
            <w:hideMark/>
          </w:tcPr>
          <w:p w14:paraId="32752E1E" w14:textId="77777777" w:rsidR="00520333" w:rsidRPr="003203A1" w:rsidRDefault="00520333" w:rsidP="005E5E0C">
            <w:pPr>
              <w:spacing w:after="0"/>
              <w:ind w:firstLineChars="100" w:firstLine="180"/>
              <w:rPr>
                <w:rFonts w:cs="Arial"/>
                <w:sz w:val="18"/>
                <w:szCs w:val="18"/>
              </w:rPr>
            </w:pPr>
            <w:r w:rsidRPr="003203A1">
              <w:rPr>
                <w:rFonts w:cs="Arial"/>
                <w:sz w:val="18"/>
                <w:szCs w:val="18"/>
              </w:rPr>
              <w:t>GST receivable from the Australian Taxation Office</w:t>
            </w:r>
          </w:p>
        </w:tc>
        <w:tc>
          <w:tcPr>
            <w:tcW w:w="1259" w:type="dxa"/>
            <w:tcBorders>
              <w:top w:val="nil"/>
              <w:left w:val="nil"/>
              <w:bottom w:val="nil"/>
              <w:right w:val="nil"/>
            </w:tcBorders>
            <w:shd w:val="clear" w:color="FFFFFF" w:fill="FFFFFF"/>
            <w:noWrap/>
            <w:vAlign w:val="bottom"/>
            <w:hideMark/>
          </w:tcPr>
          <w:p w14:paraId="5476FB2E" w14:textId="77777777" w:rsidR="00520333" w:rsidRPr="003203A1" w:rsidRDefault="00520333" w:rsidP="005E5E0C">
            <w:pPr>
              <w:spacing w:after="0"/>
              <w:jc w:val="right"/>
              <w:rPr>
                <w:rFonts w:cs="Arial"/>
                <w:b/>
                <w:bCs/>
                <w:sz w:val="18"/>
                <w:szCs w:val="18"/>
              </w:rPr>
            </w:pPr>
            <w:r w:rsidRPr="003203A1">
              <w:rPr>
                <w:rFonts w:cs="Arial"/>
                <w:b/>
                <w:bCs/>
                <w:sz w:val="18"/>
                <w:szCs w:val="18"/>
              </w:rPr>
              <w:t>11,931</w:t>
            </w:r>
          </w:p>
        </w:tc>
        <w:tc>
          <w:tcPr>
            <w:tcW w:w="236" w:type="dxa"/>
            <w:tcBorders>
              <w:top w:val="nil"/>
              <w:left w:val="nil"/>
              <w:bottom w:val="nil"/>
              <w:right w:val="nil"/>
            </w:tcBorders>
            <w:shd w:val="clear" w:color="FFFFFF" w:fill="FFFFFF"/>
            <w:noWrap/>
            <w:vAlign w:val="bottom"/>
            <w:hideMark/>
          </w:tcPr>
          <w:p w14:paraId="738EFC15"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F69B2CE" w14:textId="77777777" w:rsidR="00520333" w:rsidRPr="003203A1" w:rsidRDefault="00520333" w:rsidP="005E5E0C">
            <w:pPr>
              <w:spacing w:after="0"/>
              <w:jc w:val="right"/>
              <w:rPr>
                <w:rFonts w:cs="Arial"/>
                <w:sz w:val="18"/>
                <w:szCs w:val="18"/>
              </w:rPr>
            </w:pPr>
            <w:r w:rsidRPr="003203A1">
              <w:rPr>
                <w:rFonts w:cs="Arial"/>
                <w:sz w:val="18"/>
                <w:szCs w:val="18"/>
              </w:rPr>
              <w:t>12,659</w:t>
            </w:r>
          </w:p>
        </w:tc>
      </w:tr>
      <w:tr w:rsidR="00520333" w:rsidRPr="003203A1" w14:paraId="2D593821" w14:textId="77777777" w:rsidTr="005E5E0C">
        <w:trPr>
          <w:trHeight w:val="270"/>
        </w:trPr>
        <w:tc>
          <w:tcPr>
            <w:tcW w:w="6351" w:type="dxa"/>
            <w:tcBorders>
              <w:top w:val="nil"/>
              <w:left w:val="nil"/>
              <w:bottom w:val="nil"/>
              <w:right w:val="nil"/>
            </w:tcBorders>
            <w:shd w:val="clear" w:color="FFFFFF" w:fill="FFFFFF"/>
            <w:noWrap/>
            <w:vAlign w:val="bottom"/>
            <w:hideMark/>
          </w:tcPr>
          <w:p w14:paraId="2899CEB1" w14:textId="77777777" w:rsidR="00520333" w:rsidRPr="003203A1" w:rsidRDefault="00520333" w:rsidP="005E5E0C">
            <w:pPr>
              <w:spacing w:after="0"/>
              <w:ind w:firstLineChars="100" w:firstLine="180"/>
              <w:rPr>
                <w:rFonts w:cs="Arial"/>
                <w:sz w:val="18"/>
                <w:szCs w:val="18"/>
              </w:rPr>
            </w:pPr>
            <w:r w:rsidRPr="003203A1">
              <w:rPr>
                <w:rFonts w:cs="Arial"/>
                <w:sz w:val="18"/>
                <w:szCs w:val="18"/>
              </w:rPr>
              <w:t>Pandemic plan provider receivables</w:t>
            </w:r>
            <w:r w:rsidRPr="003203A1">
              <w:rPr>
                <w:rFonts w:cs="Arial"/>
                <w:sz w:val="18"/>
                <w:szCs w:val="18"/>
                <w:vertAlign w:val="superscript"/>
              </w:rPr>
              <w:t>1</w:t>
            </w:r>
          </w:p>
        </w:tc>
        <w:tc>
          <w:tcPr>
            <w:tcW w:w="1259" w:type="dxa"/>
            <w:tcBorders>
              <w:top w:val="nil"/>
              <w:left w:val="nil"/>
              <w:bottom w:val="nil"/>
              <w:right w:val="nil"/>
            </w:tcBorders>
            <w:shd w:val="clear" w:color="FFFFFF" w:fill="FFFFFF"/>
            <w:noWrap/>
            <w:vAlign w:val="bottom"/>
            <w:hideMark/>
          </w:tcPr>
          <w:p w14:paraId="2F9B2F66" w14:textId="77777777" w:rsidR="00520333" w:rsidRPr="003203A1" w:rsidRDefault="00520333" w:rsidP="005E5E0C">
            <w:pPr>
              <w:spacing w:after="0"/>
              <w:jc w:val="right"/>
              <w:rPr>
                <w:rFonts w:cs="Arial"/>
                <w:b/>
                <w:bCs/>
                <w:sz w:val="18"/>
                <w:szCs w:val="18"/>
              </w:rPr>
            </w:pPr>
            <w:r w:rsidRPr="003203A1">
              <w:rPr>
                <w:rFonts w:cs="Arial"/>
                <w:b/>
                <w:bCs/>
                <w:sz w:val="18"/>
                <w:szCs w:val="18"/>
              </w:rPr>
              <w:t>349</w:t>
            </w:r>
          </w:p>
        </w:tc>
        <w:tc>
          <w:tcPr>
            <w:tcW w:w="236" w:type="dxa"/>
            <w:tcBorders>
              <w:top w:val="nil"/>
              <w:left w:val="nil"/>
              <w:bottom w:val="nil"/>
              <w:right w:val="nil"/>
            </w:tcBorders>
            <w:shd w:val="clear" w:color="FFFFFF" w:fill="FFFFFF"/>
            <w:noWrap/>
            <w:vAlign w:val="bottom"/>
            <w:hideMark/>
          </w:tcPr>
          <w:p w14:paraId="6F762063"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1C568FB" w14:textId="77777777" w:rsidR="00520333" w:rsidRPr="003203A1" w:rsidRDefault="00520333" w:rsidP="005E5E0C">
            <w:pPr>
              <w:spacing w:after="0"/>
              <w:jc w:val="right"/>
              <w:rPr>
                <w:rFonts w:cs="Arial"/>
                <w:sz w:val="18"/>
                <w:szCs w:val="18"/>
              </w:rPr>
            </w:pPr>
            <w:r w:rsidRPr="003203A1">
              <w:rPr>
                <w:rFonts w:cs="Arial"/>
                <w:sz w:val="18"/>
                <w:szCs w:val="18"/>
              </w:rPr>
              <w:t>489</w:t>
            </w:r>
          </w:p>
        </w:tc>
      </w:tr>
      <w:tr w:rsidR="00520333" w:rsidRPr="003203A1" w14:paraId="3A97AA3E" w14:textId="77777777" w:rsidTr="005E5E0C">
        <w:trPr>
          <w:trHeight w:val="268"/>
        </w:trPr>
        <w:tc>
          <w:tcPr>
            <w:tcW w:w="6351" w:type="dxa"/>
            <w:tcBorders>
              <w:top w:val="nil"/>
              <w:left w:val="nil"/>
              <w:bottom w:val="nil"/>
              <w:right w:val="nil"/>
            </w:tcBorders>
            <w:shd w:val="clear" w:color="FFFFFF" w:fill="FFFFFF"/>
            <w:noWrap/>
            <w:vAlign w:val="bottom"/>
            <w:hideMark/>
          </w:tcPr>
          <w:p w14:paraId="52CB26C0" w14:textId="77777777" w:rsidR="00520333" w:rsidRPr="003203A1" w:rsidRDefault="00520333" w:rsidP="005E5E0C">
            <w:pPr>
              <w:spacing w:after="0"/>
              <w:ind w:firstLineChars="100" w:firstLine="180"/>
              <w:rPr>
                <w:rFonts w:cs="Arial"/>
                <w:sz w:val="18"/>
                <w:szCs w:val="18"/>
              </w:rPr>
            </w:pPr>
            <w:r w:rsidRPr="003203A1">
              <w:rPr>
                <w:rFonts w:cs="Arial"/>
                <w:sz w:val="18"/>
                <w:szCs w:val="18"/>
              </w:rPr>
              <w:t>Participant and other provider receivables</w:t>
            </w:r>
          </w:p>
        </w:tc>
        <w:tc>
          <w:tcPr>
            <w:tcW w:w="1259" w:type="dxa"/>
            <w:tcBorders>
              <w:top w:val="nil"/>
              <w:left w:val="nil"/>
              <w:bottom w:val="nil"/>
              <w:right w:val="nil"/>
            </w:tcBorders>
            <w:shd w:val="clear" w:color="FFFFFF" w:fill="FFFFFF"/>
            <w:noWrap/>
            <w:vAlign w:val="bottom"/>
            <w:hideMark/>
          </w:tcPr>
          <w:p w14:paraId="569A68A5" w14:textId="77777777" w:rsidR="00520333" w:rsidRPr="003203A1" w:rsidRDefault="00520333" w:rsidP="005E5E0C">
            <w:pPr>
              <w:spacing w:after="0"/>
              <w:jc w:val="right"/>
              <w:rPr>
                <w:rFonts w:cs="Arial"/>
                <w:b/>
                <w:bCs/>
                <w:sz w:val="18"/>
                <w:szCs w:val="18"/>
              </w:rPr>
            </w:pPr>
            <w:r w:rsidRPr="003203A1">
              <w:rPr>
                <w:rFonts w:cs="Arial"/>
                <w:b/>
                <w:bCs/>
                <w:sz w:val="18"/>
                <w:szCs w:val="18"/>
              </w:rPr>
              <w:t>75,649</w:t>
            </w:r>
          </w:p>
        </w:tc>
        <w:tc>
          <w:tcPr>
            <w:tcW w:w="236" w:type="dxa"/>
            <w:tcBorders>
              <w:top w:val="nil"/>
              <w:left w:val="nil"/>
              <w:bottom w:val="nil"/>
              <w:right w:val="nil"/>
            </w:tcBorders>
            <w:shd w:val="clear" w:color="FFFFFF" w:fill="FFFFFF"/>
            <w:noWrap/>
            <w:vAlign w:val="bottom"/>
            <w:hideMark/>
          </w:tcPr>
          <w:p w14:paraId="7CAD540F"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07EC6A7" w14:textId="77777777" w:rsidR="00520333" w:rsidRPr="003203A1" w:rsidRDefault="00520333" w:rsidP="005E5E0C">
            <w:pPr>
              <w:spacing w:after="0"/>
              <w:jc w:val="right"/>
              <w:rPr>
                <w:rFonts w:cs="Arial"/>
                <w:sz w:val="18"/>
                <w:szCs w:val="18"/>
              </w:rPr>
            </w:pPr>
            <w:r w:rsidRPr="003203A1">
              <w:rPr>
                <w:rFonts w:cs="Arial"/>
                <w:sz w:val="18"/>
                <w:szCs w:val="18"/>
              </w:rPr>
              <w:t>59,573</w:t>
            </w:r>
          </w:p>
        </w:tc>
      </w:tr>
      <w:tr w:rsidR="00520333" w:rsidRPr="003203A1" w14:paraId="14931CA4" w14:textId="77777777" w:rsidTr="005E5E0C">
        <w:trPr>
          <w:trHeight w:val="250"/>
        </w:trPr>
        <w:tc>
          <w:tcPr>
            <w:tcW w:w="6351" w:type="dxa"/>
            <w:tcBorders>
              <w:top w:val="nil"/>
              <w:left w:val="nil"/>
              <w:bottom w:val="nil"/>
              <w:right w:val="nil"/>
            </w:tcBorders>
            <w:shd w:val="clear" w:color="FFFFFF" w:fill="FFFFFF"/>
            <w:noWrap/>
            <w:vAlign w:val="bottom"/>
            <w:hideMark/>
          </w:tcPr>
          <w:p w14:paraId="676AE17D" w14:textId="77777777" w:rsidR="00520333" w:rsidRPr="003203A1" w:rsidRDefault="00520333" w:rsidP="005E5E0C">
            <w:pPr>
              <w:spacing w:after="0"/>
              <w:ind w:firstLineChars="100" w:firstLine="180"/>
              <w:rPr>
                <w:rFonts w:cs="Arial"/>
                <w:sz w:val="18"/>
                <w:szCs w:val="18"/>
              </w:rPr>
            </w:pPr>
            <w:r w:rsidRPr="003203A1">
              <w:rPr>
                <w:rFonts w:cs="Arial"/>
                <w:sz w:val="18"/>
                <w:szCs w:val="18"/>
              </w:rPr>
              <w:t>Other</w:t>
            </w:r>
          </w:p>
        </w:tc>
        <w:tc>
          <w:tcPr>
            <w:tcW w:w="1259" w:type="dxa"/>
            <w:tcBorders>
              <w:top w:val="nil"/>
              <w:left w:val="nil"/>
              <w:bottom w:val="nil"/>
              <w:right w:val="nil"/>
            </w:tcBorders>
            <w:shd w:val="clear" w:color="FFFFFF" w:fill="FFFFFF"/>
            <w:noWrap/>
            <w:vAlign w:val="bottom"/>
            <w:hideMark/>
          </w:tcPr>
          <w:p w14:paraId="0A5977DE" w14:textId="77777777" w:rsidR="00520333" w:rsidRPr="003203A1" w:rsidRDefault="00520333" w:rsidP="005E5E0C">
            <w:pPr>
              <w:spacing w:after="0"/>
              <w:jc w:val="right"/>
              <w:rPr>
                <w:rFonts w:cs="Arial"/>
                <w:b/>
                <w:bCs/>
                <w:sz w:val="18"/>
                <w:szCs w:val="18"/>
              </w:rPr>
            </w:pPr>
            <w:r w:rsidRPr="003203A1">
              <w:rPr>
                <w:rFonts w:cs="Arial"/>
                <w:b/>
                <w:bCs/>
                <w:sz w:val="18"/>
                <w:szCs w:val="18"/>
              </w:rPr>
              <w:t>22,937</w:t>
            </w:r>
          </w:p>
        </w:tc>
        <w:tc>
          <w:tcPr>
            <w:tcW w:w="236" w:type="dxa"/>
            <w:tcBorders>
              <w:top w:val="nil"/>
              <w:left w:val="nil"/>
              <w:bottom w:val="nil"/>
              <w:right w:val="nil"/>
            </w:tcBorders>
            <w:shd w:val="clear" w:color="FFFFFF" w:fill="FFFFFF"/>
            <w:noWrap/>
            <w:vAlign w:val="bottom"/>
            <w:hideMark/>
          </w:tcPr>
          <w:p w14:paraId="25583201"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4383063D" w14:textId="77777777" w:rsidR="00520333" w:rsidRPr="003203A1" w:rsidRDefault="00520333" w:rsidP="005E5E0C">
            <w:pPr>
              <w:spacing w:after="0"/>
              <w:jc w:val="right"/>
              <w:rPr>
                <w:rFonts w:cs="Arial"/>
                <w:sz w:val="18"/>
                <w:szCs w:val="18"/>
              </w:rPr>
            </w:pPr>
            <w:r w:rsidRPr="003203A1">
              <w:rPr>
                <w:rFonts w:cs="Arial"/>
                <w:sz w:val="18"/>
                <w:szCs w:val="18"/>
              </w:rPr>
              <w:t>41,012</w:t>
            </w:r>
          </w:p>
        </w:tc>
      </w:tr>
      <w:tr w:rsidR="00520333" w:rsidRPr="003203A1" w14:paraId="6C081D2F" w14:textId="77777777" w:rsidTr="005E5E0C">
        <w:trPr>
          <w:trHeight w:val="250"/>
        </w:trPr>
        <w:tc>
          <w:tcPr>
            <w:tcW w:w="6351" w:type="dxa"/>
            <w:tcBorders>
              <w:top w:val="nil"/>
              <w:left w:val="nil"/>
              <w:bottom w:val="nil"/>
              <w:right w:val="nil"/>
            </w:tcBorders>
            <w:shd w:val="clear" w:color="FFFFFF" w:fill="FFFFFF"/>
            <w:vAlign w:val="bottom"/>
            <w:hideMark/>
          </w:tcPr>
          <w:p w14:paraId="6ABE882E" w14:textId="77777777" w:rsidR="00520333" w:rsidRPr="003203A1" w:rsidRDefault="00520333" w:rsidP="005E5E0C">
            <w:pPr>
              <w:spacing w:after="0"/>
              <w:rPr>
                <w:rFonts w:cs="Arial"/>
                <w:b/>
                <w:bCs/>
                <w:sz w:val="18"/>
                <w:szCs w:val="18"/>
              </w:rPr>
            </w:pPr>
            <w:r w:rsidRPr="003203A1">
              <w:rPr>
                <w:rFonts w:cs="Arial"/>
                <w:b/>
                <w:bCs/>
                <w:sz w:val="18"/>
                <w:szCs w:val="18"/>
              </w:rPr>
              <w:t>Total other receivables</w:t>
            </w:r>
          </w:p>
        </w:tc>
        <w:tc>
          <w:tcPr>
            <w:tcW w:w="1259" w:type="dxa"/>
            <w:tcBorders>
              <w:top w:val="single" w:sz="4" w:space="0" w:color="auto"/>
              <w:left w:val="nil"/>
              <w:bottom w:val="single" w:sz="4" w:space="0" w:color="auto"/>
              <w:right w:val="nil"/>
            </w:tcBorders>
            <w:shd w:val="clear" w:color="FFFFFF" w:fill="FFFFFF"/>
            <w:noWrap/>
            <w:vAlign w:val="bottom"/>
            <w:hideMark/>
          </w:tcPr>
          <w:p w14:paraId="2A7B4D4A" w14:textId="77777777" w:rsidR="00520333" w:rsidRPr="003203A1" w:rsidRDefault="00520333" w:rsidP="005E5E0C">
            <w:pPr>
              <w:spacing w:after="0"/>
              <w:jc w:val="right"/>
              <w:rPr>
                <w:rFonts w:cs="Arial"/>
                <w:b/>
                <w:bCs/>
                <w:sz w:val="18"/>
                <w:szCs w:val="18"/>
              </w:rPr>
            </w:pPr>
            <w:r w:rsidRPr="003203A1">
              <w:rPr>
                <w:rFonts w:cs="Arial"/>
                <w:b/>
                <w:bCs/>
                <w:sz w:val="18"/>
                <w:szCs w:val="18"/>
              </w:rPr>
              <w:t>110,866</w:t>
            </w:r>
          </w:p>
        </w:tc>
        <w:tc>
          <w:tcPr>
            <w:tcW w:w="236" w:type="dxa"/>
            <w:tcBorders>
              <w:top w:val="nil"/>
              <w:left w:val="nil"/>
              <w:bottom w:val="nil"/>
              <w:right w:val="nil"/>
            </w:tcBorders>
            <w:shd w:val="clear" w:color="FFFFFF" w:fill="FFFFFF"/>
            <w:noWrap/>
            <w:vAlign w:val="bottom"/>
            <w:hideMark/>
          </w:tcPr>
          <w:p w14:paraId="5750DE08"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5462C40E" w14:textId="77777777" w:rsidR="00520333" w:rsidRPr="003203A1" w:rsidRDefault="00520333" w:rsidP="005E5E0C">
            <w:pPr>
              <w:spacing w:after="0"/>
              <w:jc w:val="right"/>
              <w:rPr>
                <w:rFonts w:cs="Arial"/>
                <w:sz w:val="18"/>
                <w:szCs w:val="18"/>
              </w:rPr>
            </w:pPr>
            <w:r w:rsidRPr="003203A1">
              <w:rPr>
                <w:rFonts w:cs="Arial"/>
                <w:sz w:val="18"/>
                <w:szCs w:val="18"/>
              </w:rPr>
              <w:t>113,733</w:t>
            </w:r>
          </w:p>
        </w:tc>
      </w:tr>
      <w:tr w:rsidR="00520333" w:rsidRPr="003203A1" w14:paraId="3BA61094" w14:textId="77777777" w:rsidTr="005E5E0C">
        <w:trPr>
          <w:trHeight w:val="250"/>
        </w:trPr>
        <w:tc>
          <w:tcPr>
            <w:tcW w:w="6351" w:type="dxa"/>
            <w:tcBorders>
              <w:top w:val="nil"/>
              <w:left w:val="nil"/>
              <w:bottom w:val="nil"/>
              <w:right w:val="nil"/>
            </w:tcBorders>
            <w:shd w:val="clear" w:color="FFFFFF" w:fill="FFFFFF"/>
            <w:vAlign w:val="bottom"/>
            <w:hideMark/>
          </w:tcPr>
          <w:p w14:paraId="0E547496" w14:textId="77777777" w:rsidR="00520333" w:rsidRPr="003203A1" w:rsidRDefault="00520333" w:rsidP="005E5E0C">
            <w:pPr>
              <w:spacing w:after="0"/>
              <w:rPr>
                <w:rFonts w:cs="Arial"/>
                <w:b/>
                <w:bCs/>
                <w:sz w:val="18"/>
                <w:szCs w:val="18"/>
              </w:rPr>
            </w:pPr>
            <w:r w:rsidRPr="003203A1">
              <w:rPr>
                <w:rFonts w:cs="Arial"/>
                <w:b/>
                <w:bCs/>
                <w:sz w:val="18"/>
                <w:szCs w:val="18"/>
              </w:rPr>
              <w:t>Total trade and other receivables (gross)</w:t>
            </w:r>
          </w:p>
        </w:tc>
        <w:tc>
          <w:tcPr>
            <w:tcW w:w="1259" w:type="dxa"/>
            <w:tcBorders>
              <w:top w:val="nil"/>
              <w:left w:val="nil"/>
              <w:bottom w:val="single" w:sz="4" w:space="0" w:color="auto"/>
              <w:right w:val="nil"/>
            </w:tcBorders>
            <w:shd w:val="clear" w:color="FFFFFF" w:fill="FFFFFF"/>
            <w:noWrap/>
            <w:vAlign w:val="bottom"/>
            <w:hideMark/>
          </w:tcPr>
          <w:p w14:paraId="5909502B" w14:textId="77777777" w:rsidR="00520333" w:rsidRPr="003203A1" w:rsidRDefault="00520333" w:rsidP="005E5E0C">
            <w:pPr>
              <w:spacing w:after="0"/>
              <w:jc w:val="right"/>
              <w:rPr>
                <w:rFonts w:cs="Arial"/>
                <w:b/>
                <w:bCs/>
                <w:sz w:val="18"/>
                <w:szCs w:val="18"/>
              </w:rPr>
            </w:pPr>
            <w:r w:rsidRPr="003203A1">
              <w:rPr>
                <w:rFonts w:cs="Arial"/>
                <w:b/>
                <w:bCs/>
                <w:sz w:val="18"/>
                <w:szCs w:val="18"/>
              </w:rPr>
              <w:t>218,416</w:t>
            </w:r>
          </w:p>
        </w:tc>
        <w:tc>
          <w:tcPr>
            <w:tcW w:w="236" w:type="dxa"/>
            <w:tcBorders>
              <w:top w:val="nil"/>
              <w:left w:val="nil"/>
              <w:bottom w:val="nil"/>
              <w:right w:val="nil"/>
            </w:tcBorders>
            <w:shd w:val="clear" w:color="FFFFFF" w:fill="FFFFFF"/>
            <w:noWrap/>
            <w:vAlign w:val="bottom"/>
            <w:hideMark/>
          </w:tcPr>
          <w:p w14:paraId="55556BDE"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single" w:sz="4" w:space="0" w:color="auto"/>
              <w:right w:val="nil"/>
            </w:tcBorders>
            <w:shd w:val="clear" w:color="FFFFFF" w:fill="FFFFFF"/>
            <w:noWrap/>
            <w:vAlign w:val="bottom"/>
            <w:hideMark/>
          </w:tcPr>
          <w:p w14:paraId="49181337" w14:textId="77777777" w:rsidR="00520333" w:rsidRPr="003203A1" w:rsidRDefault="00520333" w:rsidP="005E5E0C">
            <w:pPr>
              <w:spacing w:after="0"/>
              <w:jc w:val="right"/>
              <w:rPr>
                <w:rFonts w:cs="Arial"/>
                <w:sz w:val="18"/>
                <w:szCs w:val="18"/>
              </w:rPr>
            </w:pPr>
            <w:r w:rsidRPr="003203A1">
              <w:rPr>
                <w:rFonts w:cs="Arial"/>
                <w:sz w:val="18"/>
                <w:szCs w:val="18"/>
              </w:rPr>
              <w:t>190,467</w:t>
            </w:r>
          </w:p>
        </w:tc>
      </w:tr>
      <w:tr w:rsidR="00520333" w:rsidRPr="003203A1" w14:paraId="651FDA06" w14:textId="77777777" w:rsidTr="005E5E0C">
        <w:trPr>
          <w:trHeight w:val="250"/>
        </w:trPr>
        <w:tc>
          <w:tcPr>
            <w:tcW w:w="6351" w:type="dxa"/>
            <w:tcBorders>
              <w:top w:val="nil"/>
              <w:left w:val="nil"/>
              <w:bottom w:val="nil"/>
              <w:right w:val="nil"/>
            </w:tcBorders>
            <w:shd w:val="clear" w:color="FFFFFF" w:fill="FFFFFF"/>
            <w:noWrap/>
            <w:vAlign w:val="bottom"/>
            <w:hideMark/>
          </w:tcPr>
          <w:p w14:paraId="6CD6D14F" w14:textId="77777777" w:rsidR="00520333" w:rsidRPr="003203A1" w:rsidRDefault="00520333" w:rsidP="005E5E0C">
            <w:pPr>
              <w:spacing w:after="0"/>
              <w:rPr>
                <w:rFonts w:cs="Arial"/>
                <w:sz w:val="18"/>
                <w:szCs w:val="18"/>
              </w:rPr>
            </w:pPr>
            <w:r w:rsidRPr="003203A1">
              <w:rPr>
                <w:rFonts w:cs="Arial"/>
                <w:sz w:val="18"/>
                <w:szCs w:val="18"/>
              </w:rPr>
              <w:t> </w:t>
            </w:r>
          </w:p>
        </w:tc>
        <w:tc>
          <w:tcPr>
            <w:tcW w:w="1259" w:type="dxa"/>
            <w:tcBorders>
              <w:top w:val="nil"/>
              <w:left w:val="nil"/>
              <w:bottom w:val="nil"/>
              <w:right w:val="nil"/>
            </w:tcBorders>
            <w:shd w:val="clear" w:color="FFFFFF" w:fill="FFFFFF"/>
            <w:noWrap/>
            <w:vAlign w:val="bottom"/>
            <w:hideMark/>
          </w:tcPr>
          <w:p w14:paraId="0828B1D9"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1C3B85E9"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328CF856"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2FF2E546" w14:textId="77777777" w:rsidTr="005E5E0C">
        <w:trPr>
          <w:trHeight w:val="270"/>
        </w:trPr>
        <w:tc>
          <w:tcPr>
            <w:tcW w:w="6351" w:type="dxa"/>
            <w:tcBorders>
              <w:top w:val="nil"/>
              <w:left w:val="nil"/>
              <w:bottom w:val="nil"/>
              <w:right w:val="nil"/>
            </w:tcBorders>
            <w:shd w:val="clear" w:color="FFFFFF" w:fill="FFFFFF"/>
            <w:vAlign w:val="bottom"/>
            <w:hideMark/>
          </w:tcPr>
          <w:p w14:paraId="11FC0FC5" w14:textId="77777777" w:rsidR="00520333" w:rsidRPr="003203A1" w:rsidRDefault="00520333" w:rsidP="005E5E0C">
            <w:pPr>
              <w:spacing w:after="0"/>
              <w:rPr>
                <w:rFonts w:cs="Arial"/>
                <w:b/>
                <w:bCs/>
                <w:sz w:val="18"/>
                <w:szCs w:val="18"/>
              </w:rPr>
            </w:pPr>
            <w:r w:rsidRPr="003203A1">
              <w:rPr>
                <w:rFonts w:cs="Arial"/>
                <w:b/>
                <w:bCs/>
                <w:sz w:val="18"/>
                <w:szCs w:val="18"/>
              </w:rPr>
              <w:t>Less expected credit loss allowance</w:t>
            </w:r>
            <w:r w:rsidRPr="003203A1">
              <w:rPr>
                <w:rFonts w:cs="Arial"/>
                <w:b/>
                <w:bCs/>
                <w:sz w:val="18"/>
                <w:szCs w:val="18"/>
                <w:vertAlign w:val="superscript"/>
              </w:rPr>
              <w:t>2</w:t>
            </w:r>
          </w:p>
        </w:tc>
        <w:tc>
          <w:tcPr>
            <w:tcW w:w="1259" w:type="dxa"/>
            <w:tcBorders>
              <w:top w:val="nil"/>
              <w:left w:val="nil"/>
              <w:bottom w:val="nil"/>
              <w:right w:val="nil"/>
            </w:tcBorders>
            <w:shd w:val="clear" w:color="FFFFFF" w:fill="FFFFFF"/>
            <w:noWrap/>
            <w:vAlign w:val="bottom"/>
            <w:hideMark/>
          </w:tcPr>
          <w:p w14:paraId="0DF5A826" w14:textId="77777777" w:rsidR="00520333" w:rsidRPr="003203A1" w:rsidRDefault="00520333" w:rsidP="005E5E0C">
            <w:pPr>
              <w:spacing w:after="0"/>
              <w:rPr>
                <w:rFonts w:cs="Arial"/>
                <w:sz w:val="18"/>
                <w:szCs w:val="18"/>
              </w:rPr>
            </w:pPr>
            <w:r w:rsidRPr="003203A1">
              <w:rPr>
                <w:rFonts w:cs="Arial"/>
                <w:sz w:val="18"/>
                <w:szCs w:val="18"/>
              </w:rPr>
              <w:t> </w:t>
            </w:r>
          </w:p>
        </w:tc>
        <w:tc>
          <w:tcPr>
            <w:tcW w:w="236" w:type="dxa"/>
            <w:tcBorders>
              <w:top w:val="nil"/>
              <w:left w:val="nil"/>
              <w:bottom w:val="nil"/>
              <w:right w:val="nil"/>
            </w:tcBorders>
            <w:shd w:val="clear" w:color="FFFFFF" w:fill="FFFFFF"/>
            <w:noWrap/>
            <w:vAlign w:val="bottom"/>
            <w:hideMark/>
          </w:tcPr>
          <w:p w14:paraId="24407A65"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58A43E32" w14:textId="77777777" w:rsidR="00520333" w:rsidRPr="003203A1" w:rsidRDefault="00520333" w:rsidP="005E5E0C">
            <w:pPr>
              <w:spacing w:after="0"/>
              <w:rPr>
                <w:rFonts w:cs="Arial"/>
                <w:sz w:val="18"/>
                <w:szCs w:val="18"/>
              </w:rPr>
            </w:pPr>
            <w:r w:rsidRPr="003203A1">
              <w:rPr>
                <w:rFonts w:cs="Arial"/>
                <w:sz w:val="18"/>
                <w:szCs w:val="18"/>
              </w:rPr>
              <w:t> </w:t>
            </w:r>
          </w:p>
        </w:tc>
      </w:tr>
      <w:tr w:rsidR="00520333" w:rsidRPr="003203A1" w14:paraId="30A991DB" w14:textId="77777777" w:rsidTr="005E5E0C">
        <w:trPr>
          <w:trHeight w:val="250"/>
        </w:trPr>
        <w:tc>
          <w:tcPr>
            <w:tcW w:w="6351" w:type="dxa"/>
            <w:tcBorders>
              <w:top w:val="nil"/>
              <w:left w:val="nil"/>
              <w:bottom w:val="nil"/>
              <w:right w:val="nil"/>
            </w:tcBorders>
            <w:shd w:val="clear" w:color="FFFFFF" w:fill="FFFFFF"/>
            <w:noWrap/>
            <w:vAlign w:val="bottom"/>
            <w:hideMark/>
          </w:tcPr>
          <w:p w14:paraId="1452717E" w14:textId="77777777" w:rsidR="00520333" w:rsidRPr="003203A1" w:rsidRDefault="00520333" w:rsidP="005E5E0C">
            <w:pPr>
              <w:spacing w:after="0"/>
              <w:ind w:firstLineChars="100" w:firstLine="180"/>
              <w:rPr>
                <w:rFonts w:cs="Arial"/>
                <w:sz w:val="18"/>
                <w:szCs w:val="18"/>
              </w:rPr>
            </w:pPr>
            <w:r w:rsidRPr="003203A1">
              <w:rPr>
                <w:rFonts w:cs="Arial"/>
                <w:sz w:val="18"/>
                <w:szCs w:val="18"/>
              </w:rPr>
              <w:t>Goods and services receivables</w:t>
            </w:r>
          </w:p>
        </w:tc>
        <w:tc>
          <w:tcPr>
            <w:tcW w:w="1259" w:type="dxa"/>
            <w:tcBorders>
              <w:top w:val="nil"/>
              <w:left w:val="nil"/>
              <w:bottom w:val="nil"/>
              <w:right w:val="nil"/>
            </w:tcBorders>
            <w:shd w:val="clear" w:color="FFFFFF" w:fill="FFFFFF"/>
            <w:noWrap/>
            <w:vAlign w:val="bottom"/>
            <w:hideMark/>
          </w:tcPr>
          <w:p w14:paraId="39D8B80E" w14:textId="77777777" w:rsidR="00520333" w:rsidRPr="003203A1" w:rsidRDefault="00520333" w:rsidP="005E5E0C">
            <w:pPr>
              <w:spacing w:after="0"/>
              <w:jc w:val="right"/>
              <w:rPr>
                <w:rFonts w:cs="Arial"/>
                <w:b/>
                <w:bCs/>
                <w:sz w:val="18"/>
                <w:szCs w:val="18"/>
              </w:rPr>
            </w:pPr>
            <w:r w:rsidRPr="003203A1">
              <w:rPr>
                <w:rFonts w:cs="Arial"/>
                <w:b/>
                <w:bCs/>
                <w:sz w:val="18"/>
                <w:szCs w:val="18"/>
              </w:rPr>
              <w:t>98,757</w:t>
            </w:r>
          </w:p>
        </w:tc>
        <w:tc>
          <w:tcPr>
            <w:tcW w:w="236" w:type="dxa"/>
            <w:tcBorders>
              <w:top w:val="nil"/>
              <w:left w:val="nil"/>
              <w:bottom w:val="nil"/>
              <w:right w:val="nil"/>
            </w:tcBorders>
            <w:shd w:val="clear" w:color="FFFFFF" w:fill="FFFFFF"/>
            <w:noWrap/>
            <w:vAlign w:val="bottom"/>
            <w:hideMark/>
          </w:tcPr>
          <w:p w14:paraId="4A19BD4A"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587F8F4E" w14:textId="77777777" w:rsidR="00520333" w:rsidRPr="003203A1" w:rsidRDefault="00520333" w:rsidP="005E5E0C">
            <w:pPr>
              <w:spacing w:after="0"/>
              <w:jc w:val="right"/>
              <w:rPr>
                <w:rFonts w:cs="Arial"/>
                <w:sz w:val="18"/>
                <w:szCs w:val="18"/>
              </w:rPr>
            </w:pPr>
            <w:r w:rsidRPr="003203A1">
              <w:rPr>
                <w:rFonts w:cs="Arial"/>
                <w:sz w:val="18"/>
                <w:szCs w:val="18"/>
              </w:rPr>
              <w:t>62,818</w:t>
            </w:r>
          </w:p>
        </w:tc>
      </w:tr>
      <w:tr w:rsidR="00520333" w:rsidRPr="003203A1" w14:paraId="604E6FBB" w14:textId="77777777" w:rsidTr="005E5E0C">
        <w:trPr>
          <w:trHeight w:val="250"/>
        </w:trPr>
        <w:tc>
          <w:tcPr>
            <w:tcW w:w="6351" w:type="dxa"/>
            <w:tcBorders>
              <w:top w:val="nil"/>
              <w:left w:val="nil"/>
              <w:bottom w:val="nil"/>
              <w:right w:val="nil"/>
            </w:tcBorders>
            <w:shd w:val="clear" w:color="FFFFFF" w:fill="FFFFFF"/>
            <w:noWrap/>
            <w:vAlign w:val="bottom"/>
            <w:hideMark/>
          </w:tcPr>
          <w:p w14:paraId="744D5553" w14:textId="77777777" w:rsidR="00520333" w:rsidRPr="003203A1" w:rsidRDefault="00520333" w:rsidP="005E5E0C">
            <w:pPr>
              <w:spacing w:after="0"/>
              <w:ind w:firstLineChars="100" w:firstLine="180"/>
              <w:rPr>
                <w:rFonts w:cs="Arial"/>
                <w:sz w:val="18"/>
                <w:szCs w:val="18"/>
              </w:rPr>
            </w:pPr>
            <w:r w:rsidRPr="003203A1">
              <w:rPr>
                <w:rFonts w:cs="Arial"/>
                <w:sz w:val="18"/>
                <w:szCs w:val="18"/>
              </w:rPr>
              <w:t>Participant and other provider receivables</w:t>
            </w:r>
          </w:p>
        </w:tc>
        <w:tc>
          <w:tcPr>
            <w:tcW w:w="1259" w:type="dxa"/>
            <w:tcBorders>
              <w:top w:val="nil"/>
              <w:left w:val="nil"/>
              <w:bottom w:val="nil"/>
              <w:right w:val="nil"/>
            </w:tcBorders>
            <w:shd w:val="clear" w:color="FFFFFF" w:fill="FFFFFF"/>
            <w:noWrap/>
            <w:vAlign w:val="bottom"/>
            <w:hideMark/>
          </w:tcPr>
          <w:p w14:paraId="55CF3807" w14:textId="77777777" w:rsidR="00520333" w:rsidRPr="003203A1" w:rsidRDefault="00520333" w:rsidP="005E5E0C">
            <w:pPr>
              <w:spacing w:after="0"/>
              <w:jc w:val="right"/>
              <w:rPr>
                <w:rFonts w:cs="Arial"/>
                <w:b/>
                <w:bCs/>
                <w:sz w:val="18"/>
                <w:szCs w:val="18"/>
              </w:rPr>
            </w:pPr>
            <w:r w:rsidRPr="003203A1">
              <w:rPr>
                <w:rFonts w:cs="Arial"/>
                <w:b/>
                <w:bCs/>
                <w:sz w:val="18"/>
                <w:szCs w:val="18"/>
              </w:rPr>
              <w:t>19,113</w:t>
            </w:r>
          </w:p>
        </w:tc>
        <w:tc>
          <w:tcPr>
            <w:tcW w:w="236" w:type="dxa"/>
            <w:tcBorders>
              <w:top w:val="nil"/>
              <w:left w:val="nil"/>
              <w:bottom w:val="nil"/>
              <w:right w:val="nil"/>
            </w:tcBorders>
            <w:shd w:val="clear" w:color="FFFFFF" w:fill="FFFFFF"/>
            <w:noWrap/>
            <w:vAlign w:val="bottom"/>
            <w:hideMark/>
          </w:tcPr>
          <w:p w14:paraId="09A54D85"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259BAD27" w14:textId="77777777" w:rsidR="00520333" w:rsidRPr="003203A1" w:rsidRDefault="00520333" w:rsidP="005E5E0C">
            <w:pPr>
              <w:spacing w:after="0"/>
              <w:jc w:val="right"/>
              <w:rPr>
                <w:rFonts w:cs="Arial"/>
                <w:sz w:val="18"/>
                <w:szCs w:val="18"/>
              </w:rPr>
            </w:pPr>
            <w:r w:rsidRPr="003203A1">
              <w:rPr>
                <w:rFonts w:cs="Arial"/>
                <w:sz w:val="18"/>
                <w:szCs w:val="18"/>
              </w:rPr>
              <w:t>13,312</w:t>
            </w:r>
          </w:p>
        </w:tc>
      </w:tr>
      <w:tr w:rsidR="00520333" w:rsidRPr="003203A1" w14:paraId="401CFBE9" w14:textId="77777777" w:rsidTr="005E5E0C">
        <w:trPr>
          <w:trHeight w:val="268"/>
        </w:trPr>
        <w:tc>
          <w:tcPr>
            <w:tcW w:w="6351" w:type="dxa"/>
            <w:tcBorders>
              <w:top w:val="nil"/>
              <w:left w:val="nil"/>
              <w:bottom w:val="nil"/>
              <w:right w:val="nil"/>
            </w:tcBorders>
            <w:shd w:val="clear" w:color="FFFFFF" w:fill="FFFFFF"/>
            <w:noWrap/>
            <w:vAlign w:val="bottom"/>
            <w:hideMark/>
          </w:tcPr>
          <w:p w14:paraId="3C214C79" w14:textId="77777777" w:rsidR="00520333" w:rsidRPr="003203A1" w:rsidRDefault="00520333" w:rsidP="005E5E0C">
            <w:pPr>
              <w:spacing w:after="0"/>
              <w:ind w:firstLineChars="100" w:firstLine="180"/>
              <w:rPr>
                <w:rFonts w:cs="Arial"/>
                <w:sz w:val="18"/>
                <w:szCs w:val="18"/>
              </w:rPr>
            </w:pPr>
            <w:r w:rsidRPr="003203A1">
              <w:rPr>
                <w:rFonts w:cs="Arial"/>
                <w:sz w:val="18"/>
                <w:szCs w:val="18"/>
              </w:rPr>
              <w:t>Other receivables</w:t>
            </w:r>
          </w:p>
        </w:tc>
        <w:tc>
          <w:tcPr>
            <w:tcW w:w="1259" w:type="dxa"/>
            <w:tcBorders>
              <w:top w:val="nil"/>
              <w:left w:val="nil"/>
              <w:bottom w:val="nil"/>
              <w:right w:val="nil"/>
            </w:tcBorders>
            <w:shd w:val="clear" w:color="FFFFFF" w:fill="FFFFFF"/>
            <w:noWrap/>
            <w:vAlign w:val="bottom"/>
            <w:hideMark/>
          </w:tcPr>
          <w:p w14:paraId="647F9B3E" w14:textId="77777777" w:rsidR="00520333" w:rsidRPr="003203A1" w:rsidRDefault="00520333" w:rsidP="005E5E0C">
            <w:pPr>
              <w:spacing w:after="0"/>
              <w:jc w:val="right"/>
              <w:rPr>
                <w:rFonts w:cs="Arial"/>
                <w:b/>
                <w:bCs/>
                <w:sz w:val="18"/>
                <w:szCs w:val="18"/>
              </w:rPr>
            </w:pPr>
            <w:r w:rsidRPr="003203A1">
              <w:rPr>
                <w:rFonts w:cs="Arial"/>
                <w:b/>
                <w:bCs/>
                <w:sz w:val="18"/>
                <w:szCs w:val="18"/>
              </w:rPr>
              <w:t>203</w:t>
            </w:r>
          </w:p>
        </w:tc>
        <w:tc>
          <w:tcPr>
            <w:tcW w:w="236" w:type="dxa"/>
            <w:tcBorders>
              <w:top w:val="nil"/>
              <w:left w:val="nil"/>
              <w:bottom w:val="nil"/>
              <w:right w:val="nil"/>
            </w:tcBorders>
            <w:shd w:val="clear" w:color="FFFFFF" w:fill="FFFFFF"/>
            <w:noWrap/>
            <w:vAlign w:val="bottom"/>
            <w:hideMark/>
          </w:tcPr>
          <w:p w14:paraId="0E7378D6"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7EEF5F03" w14:textId="77777777" w:rsidR="00520333" w:rsidRPr="003203A1" w:rsidRDefault="00520333" w:rsidP="005E5E0C">
            <w:pPr>
              <w:spacing w:after="0"/>
              <w:jc w:val="right"/>
              <w:rPr>
                <w:rFonts w:cs="Arial"/>
                <w:sz w:val="18"/>
                <w:szCs w:val="18"/>
              </w:rPr>
            </w:pPr>
            <w:r w:rsidRPr="003203A1">
              <w:rPr>
                <w:rFonts w:cs="Arial"/>
                <w:sz w:val="18"/>
                <w:szCs w:val="18"/>
              </w:rPr>
              <w:t>189</w:t>
            </w:r>
          </w:p>
        </w:tc>
      </w:tr>
      <w:tr w:rsidR="00520333" w:rsidRPr="003203A1" w14:paraId="323C5529" w14:textId="77777777" w:rsidTr="005E5E0C">
        <w:trPr>
          <w:trHeight w:val="270"/>
        </w:trPr>
        <w:tc>
          <w:tcPr>
            <w:tcW w:w="6351" w:type="dxa"/>
            <w:tcBorders>
              <w:top w:val="nil"/>
              <w:left w:val="nil"/>
              <w:bottom w:val="nil"/>
              <w:right w:val="nil"/>
            </w:tcBorders>
            <w:shd w:val="clear" w:color="FFFFFF" w:fill="FFFFFF"/>
            <w:noWrap/>
            <w:vAlign w:val="bottom"/>
            <w:hideMark/>
          </w:tcPr>
          <w:p w14:paraId="32F9035F" w14:textId="77777777" w:rsidR="00520333" w:rsidRPr="003203A1" w:rsidRDefault="00520333" w:rsidP="005E5E0C">
            <w:pPr>
              <w:spacing w:after="0"/>
              <w:ind w:firstLineChars="100" w:firstLine="180"/>
              <w:rPr>
                <w:rFonts w:cs="Arial"/>
                <w:sz w:val="18"/>
                <w:szCs w:val="18"/>
              </w:rPr>
            </w:pPr>
            <w:r w:rsidRPr="003203A1">
              <w:rPr>
                <w:rFonts w:cs="Arial"/>
                <w:sz w:val="18"/>
                <w:szCs w:val="18"/>
              </w:rPr>
              <w:t>Pandemic plan provider receivables</w:t>
            </w:r>
            <w:r w:rsidRPr="003203A1">
              <w:rPr>
                <w:rFonts w:cs="Arial"/>
                <w:sz w:val="18"/>
                <w:szCs w:val="18"/>
                <w:vertAlign w:val="superscript"/>
              </w:rPr>
              <w:t>1</w:t>
            </w:r>
          </w:p>
        </w:tc>
        <w:tc>
          <w:tcPr>
            <w:tcW w:w="1259" w:type="dxa"/>
            <w:tcBorders>
              <w:top w:val="nil"/>
              <w:left w:val="nil"/>
              <w:bottom w:val="nil"/>
              <w:right w:val="nil"/>
            </w:tcBorders>
            <w:shd w:val="clear" w:color="FFFFFF" w:fill="FFFFFF"/>
            <w:noWrap/>
            <w:vAlign w:val="bottom"/>
            <w:hideMark/>
          </w:tcPr>
          <w:p w14:paraId="1603124E" w14:textId="77777777" w:rsidR="00520333" w:rsidRPr="003203A1" w:rsidRDefault="00520333" w:rsidP="005E5E0C">
            <w:pPr>
              <w:spacing w:after="0"/>
              <w:jc w:val="right"/>
              <w:rPr>
                <w:rFonts w:cs="Arial"/>
                <w:b/>
                <w:bCs/>
                <w:sz w:val="18"/>
                <w:szCs w:val="18"/>
              </w:rPr>
            </w:pPr>
            <w:r w:rsidRPr="003203A1">
              <w:rPr>
                <w:rFonts w:cs="Arial"/>
                <w:b/>
                <w:bCs/>
                <w:sz w:val="18"/>
                <w:szCs w:val="18"/>
              </w:rPr>
              <w:t>349</w:t>
            </w:r>
          </w:p>
        </w:tc>
        <w:tc>
          <w:tcPr>
            <w:tcW w:w="236" w:type="dxa"/>
            <w:tcBorders>
              <w:top w:val="nil"/>
              <w:left w:val="nil"/>
              <w:bottom w:val="nil"/>
              <w:right w:val="nil"/>
            </w:tcBorders>
            <w:shd w:val="clear" w:color="FFFFFF" w:fill="FFFFFF"/>
            <w:noWrap/>
            <w:vAlign w:val="bottom"/>
            <w:hideMark/>
          </w:tcPr>
          <w:p w14:paraId="0EE1F60F"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nil"/>
              <w:right w:val="nil"/>
            </w:tcBorders>
            <w:shd w:val="clear" w:color="FFFFFF" w:fill="FFFFFF"/>
            <w:noWrap/>
            <w:vAlign w:val="bottom"/>
            <w:hideMark/>
          </w:tcPr>
          <w:p w14:paraId="0DA94803" w14:textId="77777777" w:rsidR="00520333" w:rsidRPr="003203A1" w:rsidRDefault="00520333" w:rsidP="005E5E0C">
            <w:pPr>
              <w:spacing w:after="0"/>
              <w:jc w:val="right"/>
              <w:rPr>
                <w:rFonts w:cs="Arial"/>
                <w:sz w:val="18"/>
                <w:szCs w:val="18"/>
              </w:rPr>
            </w:pPr>
            <w:r w:rsidRPr="003203A1">
              <w:rPr>
                <w:rFonts w:cs="Arial"/>
                <w:sz w:val="18"/>
                <w:szCs w:val="18"/>
              </w:rPr>
              <w:t>489</w:t>
            </w:r>
          </w:p>
        </w:tc>
      </w:tr>
      <w:tr w:rsidR="00520333" w:rsidRPr="003203A1" w14:paraId="43982D03" w14:textId="77777777" w:rsidTr="005E5E0C">
        <w:trPr>
          <w:trHeight w:val="250"/>
        </w:trPr>
        <w:tc>
          <w:tcPr>
            <w:tcW w:w="6351" w:type="dxa"/>
            <w:tcBorders>
              <w:top w:val="nil"/>
              <w:left w:val="nil"/>
              <w:bottom w:val="nil"/>
              <w:right w:val="nil"/>
            </w:tcBorders>
            <w:shd w:val="clear" w:color="FFFFFF" w:fill="FFFFFF"/>
            <w:vAlign w:val="bottom"/>
            <w:hideMark/>
          </w:tcPr>
          <w:p w14:paraId="4F9BD6F7" w14:textId="77777777" w:rsidR="00520333" w:rsidRPr="003203A1" w:rsidRDefault="00520333" w:rsidP="005E5E0C">
            <w:pPr>
              <w:spacing w:after="0"/>
              <w:rPr>
                <w:rFonts w:cs="Arial"/>
                <w:b/>
                <w:bCs/>
                <w:sz w:val="18"/>
                <w:szCs w:val="18"/>
              </w:rPr>
            </w:pPr>
            <w:r w:rsidRPr="003203A1">
              <w:rPr>
                <w:rFonts w:cs="Arial"/>
                <w:b/>
                <w:bCs/>
                <w:sz w:val="18"/>
                <w:szCs w:val="18"/>
              </w:rPr>
              <w:t>Total expected credit loss allowance</w:t>
            </w:r>
          </w:p>
        </w:tc>
        <w:tc>
          <w:tcPr>
            <w:tcW w:w="1259" w:type="dxa"/>
            <w:tcBorders>
              <w:top w:val="single" w:sz="4" w:space="0" w:color="auto"/>
              <w:left w:val="nil"/>
              <w:bottom w:val="single" w:sz="4" w:space="0" w:color="auto"/>
              <w:right w:val="nil"/>
            </w:tcBorders>
            <w:shd w:val="clear" w:color="FFFFFF" w:fill="FFFFFF"/>
            <w:noWrap/>
            <w:vAlign w:val="bottom"/>
            <w:hideMark/>
          </w:tcPr>
          <w:p w14:paraId="2892B01A" w14:textId="77777777" w:rsidR="00520333" w:rsidRPr="003203A1" w:rsidRDefault="00520333" w:rsidP="005E5E0C">
            <w:pPr>
              <w:spacing w:after="0"/>
              <w:jc w:val="right"/>
              <w:rPr>
                <w:rFonts w:cs="Arial"/>
                <w:b/>
                <w:bCs/>
                <w:sz w:val="18"/>
                <w:szCs w:val="18"/>
              </w:rPr>
            </w:pPr>
            <w:r w:rsidRPr="003203A1">
              <w:rPr>
                <w:rFonts w:cs="Arial"/>
                <w:b/>
                <w:bCs/>
                <w:sz w:val="18"/>
                <w:szCs w:val="18"/>
              </w:rPr>
              <w:t>118,422</w:t>
            </w:r>
          </w:p>
        </w:tc>
        <w:tc>
          <w:tcPr>
            <w:tcW w:w="236" w:type="dxa"/>
            <w:tcBorders>
              <w:top w:val="nil"/>
              <w:left w:val="nil"/>
              <w:bottom w:val="nil"/>
              <w:right w:val="nil"/>
            </w:tcBorders>
            <w:shd w:val="clear" w:color="FFFFFF" w:fill="FFFFFF"/>
            <w:noWrap/>
            <w:vAlign w:val="bottom"/>
            <w:hideMark/>
          </w:tcPr>
          <w:p w14:paraId="1E7A9E47"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6116D28C" w14:textId="77777777" w:rsidR="00520333" w:rsidRPr="003203A1" w:rsidRDefault="00520333" w:rsidP="005E5E0C">
            <w:pPr>
              <w:spacing w:after="0"/>
              <w:jc w:val="right"/>
              <w:rPr>
                <w:rFonts w:cs="Arial"/>
                <w:sz w:val="18"/>
                <w:szCs w:val="18"/>
              </w:rPr>
            </w:pPr>
            <w:r w:rsidRPr="003203A1">
              <w:rPr>
                <w:rFonts w:cs="Arial"/>
                <w:sz w:val="18"/>
                <w:szCs w:val="18"/>
              </w:rPr>
              <w:t>76,808</w:t>
            </w:r>
          </w:p>
        </w:tc>
      </w:tr>
      <w:tr w:rsidR="00520333" w:rsidRPr="003203A1" w14:paraId="7CB1BFD9" w14:textId="77777777" w:rsidTr="005E5E0C">
        <w:trPr>
          <w:trHeight w:val="260"/>
        </w:trPr>
        <w:tc>
          <w:tcPr>
            <w:tcW w:w="6351" w:type="dxa"/>
            <w:tcBorders>
              <w:top w:val="nil"/>
              <w:left w:val="nil"/>
              <w:bottom w:val="nil"/>
              <w:right w:val="nil"/>
            </w:tcBorders>
            <w:shd w:val="clear" w:color="FFFFFF" w:fill="FFFFFF"/>
            <w:vAlign w:val="bottom"/>
            <w:hideMark/>
          </w:tcPr>
          <w:p w14:paraId="40039200" w14:textId="77777777" w:rsidR="00520333" w:rsidRPr="003203A1" w:rsidRDefault="00520333" w:rsidP="005E5E0C">
            <w:pPr>
              <w:spacing w:after="0"/>
              <w:rPr>
                <w:rFonts w:cs="Arial"/>
                <w:b/>
                <w:bCs/>
                <w:sz w:val="18"/>
                <w:szCs w:val="18"/>
              </w:rPr>
            </w:pPr>
            <w:r w:rsidRPr="003203A1">
              <w:rPr>
                <w:rFonts w:cs="Arial"/>
                <w:b/>
                <w:bCs/>
                <w:sz w:val="18"/>
                <w:szCs w:val="18"/>
              </w:rPr>
              <w:t>Total trade and other receivables (net)</w:t>
            </w:r>
          </w:p>
        </w:tc>
        <w:tc>
          <w:tcPr>
            <w:tcW w:w="1259" w:type="dxa"/>
            <w:tcBorders>
              <w:top w:val="nil"/>
              <w:left w:val="nil"/>
              <w:bottom w:val="single" w:sz="4" w:space="0" w:color="auto"/>
              <w:right w:val="nil"/>
            </w:tcBorders>
            <w:shd w:val="clear" w:color="FFFFFF" w:fill="FFFFFF"/>
            <w:noWrap/>
            <w:vAlign w:val="bottom"/>
            <w:hideMark/>
          </w:tcPr>
          <w:p w14:paraId="6404CF88" w14:textId="77777777" w:rsidR="00520333" w:rsidRPr="003203A1" w:rsidRDefault="00520333" w:rsidP="005E5E0C">
            <w:pPr>
              <w:spacing w:after="0"/>
              <w:jc w:val="right"/>
              <w:rPr>
                <w:rFonts w:cs="Arial"/>
                <w:b/>
                <w:bCs/>
                <w:sz w:val="18"/>
                <w:szCs w:val="18"/>
              </w:rPr>
            </w:pPr>
            <w:r w:rsidRPr="003203A1">
              <w:rPr>
                <w:rFonts w:cs="Arial"/>
                <w:b/>
                <w:bCs/>
                <w:sz w:val="18"/>
                <w:szCs w:val="18"/>
              </w:rPr>
              <w:t>99,994</w:t>
            </w:r>
          </w:p>
        </w:tc>
        <w:tc>
          <w:tcPr>
            <w:tcW w:w="236" w:type="dxa"/>
            <w:tcBorders>
              <w:top w:val="nil"/>
              <w:left w:val="nil"/>
              <w:bottom w:val="nil"/>
              <w:right w:val="nil"/>
            </w:tcBorders>
            <w:shd w:val="clear" w:color="FFFFFF" w:fill="FFFFFF"/>
            <w:noWrap/>
            <w:vAlign w:val="bottom"/>
            <w:hideMark/>
          </w:tcPr>
          <w:p w14:paraId="279A83D4" w14:textId="77777777" w:rsidR="00520333" w:rsidRPr="003203A1" w:rsidRDefault="00520333" w:rsidP="005E5E0C">
            <w:pPr>
              <w:spacing w:after="0"/>
              <w:rPr>
                <w:rFonts w:cs="Arial"/>
                <w:sz w:val="18"/>
                <w:szCs w:val="18"/>
              </w:rPr>
            </w:pPr>
            <w:r w:rsidRPr="003203A1">
              <w:rPr>
                <w:rFonts w:cs="Arial"/>
                <w:sz w:val="18"/>
                <w:szCs w:val="18"/>
              </w:rPr>
              <w:t> </w:t>
            </w:r>
          </w:p>
        </w:tc>
        <w:tc>
          <w:tcPr>
            <w:tcW w:w="1241" w:type="dxa"/>
            <w:tcBorders>
              <w:top w:val="nil"/>
              <w:left w:val="nil"/>
              <w:bottom w:val="single" w:sz="4" w:space="0" w:color="auto"/>
              <w:right w:val="nil"/>
            </w:tcBorders>
            <w:shd w:val="clear" w:color="FFFFFF" w:fill="FFFFFF"/>
            <w:noWrap/>
            <w:vAlign w:val="bottom"/>
            <w:hideMark/>
          </w:tcPr>
          <w:p w14:paraId="6DC0134F" w14:textId="77777777" w:rsidR="00520333" w:rsidRPr="003203A1" w:rsidRDefault="00520333" w:rsidP="005E5E0C">
            <w:pPr>
              <w:spacing w:after="0"/>
              <w:jc w:val="right"/>
              <w:rPr>
                <w:rFonts w:cs="Arial"/>
                <w:sz w:val="18"/>
                <w:szCs w:val="18"/>
              </w:rPr>
            </w:pPr>
            <w:r w:rsidRPr="003203A1">
              <w:rPr>
                <w:rFonts w:cs="Arial"/>
                <w:sz w:val="18"/>
                <w:szCs w:val="18"/>
              </w:rPr>
              <w:t>113,659</w:t>
            </w:r>
          </w:p>
        </w:tc>
      </w:tr>
    </w:tbl>
    <w:p w14:paraId="4A19D54D" w14:textId="77777777" w:rsidR="00520333" w:rsidRPr="003203A1" w:rsidRDefault="00520333" w:rsidP="00520333">
      <w:pPr>
        <w:spacing w:before="60" w:line="240" w:lineRule="auto"/>
        <w:rPr>
          <w:rFonts w:cs="Arial"/>
          <w:sz w:val="18"/>
          <w:szCs w:val="18"/>
        </w:rPr>
      </w:pPr>
      <w:bookmarkStart w:id="179" w:name="OLE_LINK2"/>
    </w:p>
    <w:p w14:paraId="5C18D359" w14:textId="77777777" w:rsidR="00520333" w:rsidRPr="003203A1" w:rsidRDefault="00520333" w:rsidP="00520333">
      <w:pPr>
        <w:spacing w:before="60" w:line="240" w:lineRule="auto"/>
        <w:rPr>
          <w:rFonts w:cs="Arial"/>
          <w:sz w:val="18"/>
          <w:szCs w:val="18"/>
        </w:rPr>
      </w:pPr>
      <w:r w:rsidRPr="003203A1">
        <w:rPr>
          <w:rFonts w:cs="Arial"/>
          <w:sz w:val="18"/>
          <w:szCs w:val="18"/>
        </w:rPr>
        <w:t xml:space="preserve">During </w:t>
      </w:r>
      <w:r w:rsidRPr="003203A1">
        <w:rPr>
          <w:rFonts w:cs="Arial"/>
          <w:sz w:val="18"/>
          <w:szCs w:val="18"/>
        </w:rPr>
        <w:fldChar w:fldCharType="begin"/>
      </w:r>
      <w:r w:rsidRPr="003203A1">
        <w:rPr>
          <w:rFonts w:cs="Arial"/>
          <w:sz w:val="18"/>
          <w:szCs w:val="18"/>
        </w:rPr>
        <w:instrText xml:space="preserve"> DOCPROPERTY  prYear  \* MERGEFORMAT </w:instrText>
      </w:r>
      <w:r w:rsidRPr="003203A1">
        <w:rPr>
          <w:rFonts w:cs="Arial"/>
          <w:sz w:val="18"/>
          <w:szCs w:val="18"/>
        </w:rPr>
        <w:fldChar w:fldCharType="separate"/>
      </w:r>
      <w:r w:rsidRPr="003203A1">
        <w:rPr>
          <w:rFonts w:cs="Arial"/>
          <w:sz w:val="18"/>
          <w:szCs w:val="18"/>
        </w:rPr>
        <w:t>2023</w:t>
      </w:r>
      <w:r w:rsidRPr="003203A1">
        <w:rPr>
          <w:rFonts w:cs="Arial"/>
          <w:sz w:val="18"/>
          <w:szCs w:val="18"/>
        </w:rPr>
        <w:fldChar w:fldCharType="end"/>
      </w:r>
      <w:r w:rsidRPr="003203A1">
        <w:rPr>
          <w:rFonts w:cs="Arial"/>
          <w:sz w:val="18"/>
          <w:szCs w:val="18"/>
        </w:rPr>
        <w:t>-</w:t>
      </w:r>
      <w:r w:rsidRPr="003203A1">
        <w:rPr>
          <w:rFonts w:cs="Arial"/>
          <w:sz w:val="18"/>
          <w:szCs w:val="18"/>
        </w:rPr>
        <w:fldChar w:fldCharType="begin"/>
      </w:r>
      <w:r w:rsidRPr="003203A1">
        <w:rPr>
          <w:rFonts w:cs="Arial"/>
          <w:sz w:val="18"/>
          <w:szCs w:val="18"/>
        </w:rPr>
        <w:instrText xml:space="preserve"> DOCPROPERTY  crYear  \* MERGEFORMAT </w:instrText>
      </w:r>
      <w:r w:rsidRPr="003203A1">
        <w:rPr>
          <w:rFonts w:cs="Arial"/>
          <w:sz w:val="18"/>
          <w:szCs w:val="18"/>
        </w:rPr>
        <w:fldChar w:fldCharType="separate"/>
      </w:r>
      <w:r w:rsidRPr="003203A1">
        <w:rPr>
          <w:rFonts w:cs="Arial"/>
          <w:sz w:val="18"/>
          <w:szCs w:val="18"/>
        </w:rPr>
        <w:t>2024</w:t>
      </w:r>
      <w:r w:rsidRPr="003203A1">
        <w:rPr>
          <w:rFonts w:cs="Arial"/>
          <w:sz w:val="18"/>
          <w:szCs w:val="18"/>
        </w:rPr>
        <w:fldChar w:fldCharType="end"/>
      </w:r>
      <w:r w:rsidRPr="003203A1">
        <w:rPr>
          <w:rFonts w:cs="Arial"/>
          <w:sz w:val="18"/>
          <w:szCs w:val="18"/>
        </w:rPr>
        <w:t xml:space="preserve"> credit terms for goods and services were within 28 days (</w:t>
      </w:r>
      <w:r w:rsidRPr="003203A1">
        <w:rPr>
          <w:rFonts w:cs="Arial"/>
          <w:sz w:val="18"/>
          <w:szCs w:val="18"/>
        </w:rPr>
        <w:fldChar w:fldCharType="begin"/>
      </w:r>
      <w:r w:rsidRPr="003203A1">
        <w:rPr>
          <w:rFonts w:cs="Arial"/>
          <w:sz w:val="18"/>
          <w:szCs w:val="18"/>
        </w:rPr>
        <w:instrText xml:space="preserve"> DOCPROPERTY  prYear  \* MERGEFORMAT </w:instrText>
      </w:r>
      <w:r w:rsidRPr="003203A1">
        <w:rPr>
          <w:rFonts w:cs="Arial"/>
          <w:sz w:val="18"/>
          <w:szCs w:val="18"/>
        </w:rPr>
        <w:fldChar w:fldCharType="separate"/>
      </w:r>
      <w:r w:rsidRPr="003203A1">
        <w:rPr>
          <w:rFonts w:cs="Arial"/>
          <w:sz w:val="18"/>
          <w:szCs w:val="18"/>
        </w:rPr>
        <w:t>2023</w:t>
      </w:r>
      <w:r w:rsidRPr="003203A1">
        <w:rPr>
          <w:rFonts w:cs="Arial"/>
          <w:sz w:val="18"/>
          <w:szCs w:val="18"/>
        </w:rPr>
        <w:fldChar w:fldCharType="end"/>
      </w:r>
      <w:r w:rsidRPr="003203A1">
        <w:rPr>
          <w:rFonts w:cs="Arial"/>
          <w:sz w:val="18"/>
          <w:szCs w:val="18"/>
        </w:rPr>
        <w:t>: 28 days).</w:t>
      </w:r>
    </w:p>
    <w:p w14:paraId="3F70D825" w14:textId="77777777" w:rsidR="00520333" w:rsidRPr="003203A1" w:rsidRDefault="00520333" w:rsidP="003203A1">
      <w:pPr>
        <w:spacing w:before="60" w:after="120" w:line="240" w:lineRule="auto"/>
        <w:ind w:left="142" w:hanging="142"/>
        <w:rPr>
          <w:rFonts w:cs="Arial"/>
          <w:sz w:val="18"/>
          <w:szCs w:val="18"/>
        </w:rPr>
      </w:pPr>
      <w:r w:rsidRPr="003203A1">
        <w:rPr>
          <w:rFonts w:cs="Arial"/>
          <w:sz w:val="18"/>
          <w:szCs w:val="18"/>
          <w:vertAlign w:val="superscript"/>
        </w:rPr>
        <w:t>1</w:t>
      </w:r>
      <w:r w:rsidRPr="003203A1">
        <w:rPr>
          <w:rFonts w:cs="Arial"/>
          <w:sz w:val="18"/>
          <w:szCs w:val="18"/>
        </w:rPr>
        <w:t xml:space="preserve"> Pandemic plan provider receivables represent optional advances made by the Agency to eligible registered providers to assist with cash flow and continuity of supports during the COVID-19 pandemic. </w:t>
      </w:r>
    </w:p>
    <w:p w14:paraId="6720E2F9" w14:textId="77777777" w:rsidR="00520333" w:rsidRPr="003203A1" w:rsidRDefault="00520333" w:rsidP="003203A1">
      <w:pPr>
        <w:spacing w:before="60" w:after="120" w:line="240" w:lineRule="auto"/>
        <w:ind w:left="142" w:hanging="142"/>
        <w:rPr>
          <w:rFonts w:cs="Arial"/>
          <w:sz w:val="18"/>
          <w:szCs w:val="18"/>
        </w:rPr>
      </w:pPr>
      <w:r w:rsidRPr="003203A1">
        <w:rPr>
          <w:rFonts w:cs="Arial"/>
          <w:sz w:val="18"/>
          <w:szCs w:val="18"/>
          <w:vertAlign w:val="superscript"/>
        </w:rPr>
        <w:t>2</w:t>
      </w:r>
      <w:r w:rsidRPr="003203A1">
        <w:rPr>
          <w:rFonts w:cs="Arial"/>
          <w:sz w:val="18"/>
          <w:szCs w:val="18"/>
        </w:rPr>
        <w:t xml:space="preserve"> Refer to the Impairment of financial assets section as part of the Accounting Policy Note 4.2. </w:t>
      </w:r>
    </w:p>
    <w:p w14:paraId="73B05AFF" w14:textId="77777777" w:rsidR="00520333" w:rsidRDefault="00520333" w:rsidP="00520333">
      <w:pPr>
        <w:spacing w:line="240" w:lineRule="auto"/>
        <w:rPr>
          <w:rFonts w:cs="Arial"/>
          <w:sz w:val="18"/>
          <w:szCs w:val="18"/>
        </w:rPr>
      </w:pPr>
      <w:r>
        <w:rPr>
          <w:rFonts w:cs="Arial"/>
          <w:sz w:val="18"/>
          <w:szCs w:val="18"/>
        </w:rPr>
        <w:br w:type="page"/>
      </w:r>
    </w:p>
    <w:p w14:paraId="55E7A77A" w14:textId="77777777" w:rsidR="003203A1" w:rsidRPr="00C821EB" w:rsidRDefault="003203A1" w:rsidP="003203A1">
      <w:pPr>
        <w:spacing w:after="0" w:line="240" w:lineRule="auto"/>
        <w:rPr>
          <w:b/>
          <w:bCs/>
        </w:rPr>
      </w:pPr>
      <w:r w:rsidRPr="00C821EB">
        <w:rPr>
          <w:b/>
          <w:bCs/>
        </w:rPr>
        <w:lastRenderedPageBreak/>
        <w:t>National Disability Insurance Agency</w:t>
      </w:r>
    </w:p>
    <w:p w14:paraId="3310D33B" w14:textId="77777777" w:rsidR="003203A1" w:rsidRPr="00C821EB" w:rsidRDefault="003203A1" w:rsidP="003203A1">
      <w:pPr>
        <w:pBdr>
          <w:bottom w:val="single" w:sz="8" w:space="1" w:color="auto"/>
        </w:pBdr>
        <w:rPr>
          <w:b/>
          <w:bCs/>
        </w:rPr>
      </w:pPr>
      <w:r w:rsidRPr="00C821EB">
        <w:rPr>
          <w:b/>
          <w:bCs/>
        </w:rPr>
        <w:t>NOTES TO AND FORMING PART OF THE FINANCIAL STATEMENTS</w:t>
      </w:r>
    </w:p>
    <w:p w14:paraId="00490CAB" w14:textId="77777777" w:rsidR="003203A1" w:rsidRDefault="003203A1" w:rsidP="003203A1">
      <w:pPr>
        <w:pStyle w:val="PolicytextDept"/>
        <w:pBdr>
          <w:top w:val="none" w:sz="0" w:space="0" w:color="auto"/>
          <w:left w:val="none" w:sz="0" w:space="0" w:color="auto"/>
          <w:bottom w:val="none" w:sz="0" w:space="0" w:color="auto"/>
          <w:right w:val="none" w:sz="0" w:space="0" w:color="auto"/>
        </w:pBdr>
        <w:rPr>
          <w:b/>
        </w:rPr>
      </w:pPr>
    </w:p>
    <w:p w14:paraId="4F9FE218" w14:textId="59B1424B" w:rsidR="00520333" w:rsidRDefault="00520333" w:rsidP="003203A1">
      <w:pPr>
        <w:pStyle w:val="PolicytextDept"/>
        <w:pBdr>
          <w:left w:val="single" w:sz="4" w:space="4" w:color="800080"/>
          <w:right w:val="single" w:sz="4" w:space="4" w:color="800080"/>
        </w:pBdr>
        <w:rPr>
          <w:b/>
        </w:rPr>
      </w:pPr>
      <w:r w:rsidRPr="00F47522">
        <w:rPr>
          <w:b/>
        </w:rPr>
        <w:t xml:space="preserve">Accounting </w:t>
      </w:r>
      <w:r w:rsidRPr="00BB78CC">
        <w:rPr>
          <w:b/>
        </w:rPr>
        <w:t xml:space="preserve">Policy </w:t>
      </w:r>
    </w:p>
    <w:p w14:paraId="43B19D7E" w14:textId="77777777" w:rsidR="00520333" w:rsidRPr="00C13812" w:rsidRDefault="00520333" w:rsidP="003203A1">
      <w:pPr>
        <w:pStyle w:val="PolicytextDept"/>
        <w:pBdr>
          <w:left w:val="single" w:sz="4" w:space="4" w:color="800080"/>
          <w:right w:val="single" w:sz="4" w:space="4" w:color="800080"/>
        </w:pBdr>
        <w:rPr>
          <w:iCs/>
          <w:lang w:eastAsia="en-AU"/>
        </w:rPr>
      </w:pPr>
      <w:r w:rsidRPr="000C7ED6">
        <w:rPr>
          <w:iCs/>
          <w:lang w:eastAsia="en-AU"/>
        </w:rPr>
        <w:t xml:space="preserve">Receivables for goods and services, which have </w:t>
      </w:r>
      <w:r>
        <w:rPr>
          <w:iCs/>
          <w:lang w:eastAsia="en-AU"/>
        </w:rPr>
        <w:t xml:space="preserve">28 </w:t>
      </w:r>
      <w:r w:rsidRPr="000C7ED6">
        <w:rPr>
          <w:iCs/>
          <w:lang w:eastAsia="en-AU"/>
        </w:rPr>
        <w:t xml:space="preserve">day terms, are recognised at the nominal amounts due less any </w:t>
      </w:r>
      <w:r w:rsidRPr="00BF7155">
        <w:rPr>
          <w:iCs/>
          <w:lang w:eastAsia="en-AU"/>
        </w:rPr>
        <w:t xml:space="preserve">expected credit loss </w:t>
      </w:r>
      <w:r>
        <w:rPr>
          <w:iCs/>
          <w:lang w:eastAsia="en-AU"/>
        </w:rPr>
        <w:t xml:space="preserve">allowance </w:t>
      </w:r>
      <w:r w:rsidRPr="000C7ED6">
        <w:rPr>
          <w:iCs/>
          <w:lang w:eastAsia="en-AU"/>
        </w:rPr>
        <w:t>account. Collectability of debts is reviewed at end of the reporting period. Allowances are made when collectability of the debt is no longer probable.</w:t>
      </w:r>
    </w:p>
    <w:tbl>
      <w:tblPr>
        <w:tblW w:w="9087" w:type="dxa"/>
        <w:tblLayout w:type="fixed"/>
        <w:tblLook w:val="04A0" w:firstRow="1" w:lastRow="0" w:firstColumn="1" w:lastColumn="0" w:noHBand="0" w:noVBand="1"/>
      </w:tblPr>
      <w:tblGrid>
        <w:gridCol w:w="6351"/>
        <w:gridCol w:w="1259"/>
        <w:gridCol w:w="236"/>
        <w:gridCol w:w="1241"/>
      </w:tblGrid>
      <w:tr w:rsidR="00520333" w14:paraId="2CFA951F" w14:textId="77777777" w:rsidTr="005E5E0C">
        <w:trPr>
          <w:trHeight w:val="250"/>
        </w:trPr>
        <w:tc>
          <w:tcPr>
            <w:tcW w:w="6351" w:type="dxa"/>
            <w:tcBorders>
              <w:top w:val="nil"/>
              <w:left w:val="nil"/>
              <w:bottom w:val="nil"/>
              <w:right w:val="nil"/>
            </w:tcBorders>
            <w:shd w:val="clear" w:color="FFFFFF" w:fill="FFFFFF"/>
            <w:noWrap/>
            <w:vAlign w:val="bottom"/>
            <w:hideMark/>
          </w:tcPr>
          <w:p w14:paraId="0FF3BE66" w14:textId="77777777" w:rsidR="00520333" w:rsidRPr="00283706" w:rsidRDefault="00520333" w:rsidP="005E5E0C">
            <w:pPr>
              <w:rPr>
                <w:rFonts w:cs="Arial"/>
                <w:b/>
                <w:bCs/>
                <w:sz w:val="18"/>
                <w:szCs w:val="18"/>
                <w:u w:val="single"/>
              </w:rPr>
            </w:pPr>
            <w:bookmarkStart w:id="180" w:name="Note_OFATABLE1" w:colFirst="0" w:colLast="0"/>
          </w:p>
          <w:p w14:paraId="14DBF772" w14:textId="77777777" w:rsidR="00520333" w:rsidRDefault="00520333" w:rsidP="005E5E0C">
            <w:pPr>
              <w:rPr>
                <w:rFonts w:cs="Arial"/>
                <w:b/>
                <w:bCs/>
                <w:sz w:val="18"/>
                <w:szCs w:val="18"/>
                <w:u w:val="single"/>
              </w:rPr>
            </w:pPr>
            <w:r w:rsidRPr="00B53863">
              <w:rPr>
                <w:rFonts w:cs="Arial"/>
                <w:b/>
                <w:bCs/>
                <w:sz w:val="18"/>
                <w:szCs w:val="18"/>
                <w:u w:val="single"/>
              </w:rPr>
              <w:t>Note 2.1C: Other financial</w:t>
            </w:r>
            <w:r>
              <w:rPr>
                <w:rFonts w:cs="Arial"/>
                <w:b/>
                <w:bCs/>
                <w:sz w:val="18"/>
                <w:szCs w:val="18"/>
                <w:u w:val="single"/>
              </w:rPr>
              <w:t xml:space="preserve"> assets</w:t>
            </w:r>
          </w:p>
        </w:tc>
        <w:tc>
          <w:tcPr>
            <w:tcW w:w="1259" w:type="dxa"/>
            <w:tcBorders>
              <w:top w:val="nil"/>
              <w:left w:val="nil"/>
              <w:bottom w:val="nil"/>
              <w:right w:val="nil"/>
            </w:tcBorders>
            <w:shd w:val="clear" w:color="FFFFFF" w:fill="FFFFFF"/>
            <w:noWrap/>
            <w:vAlign w:val="bottom"/>
            <w:hideMark/>
          </w:tcPr>
          <w:p w14:paraId="55B08038" w14:textId="77777777" w:rsidR="00520333" w:rsidRDefault="00520333" w:rsidP="005E5E0C">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F33B9D6" w14:textId="77777777" w:rsidR="00520333" w:rsidRDefault="00520333" w:rsidP="005E5E0C">
            <w:pPr>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2E6D2A40" w14:textId="77777777" w:rsidR="00520333" w:rsidRDefault="00520333" w:rsidP="005E5E0C">
            <w:pPr>
              <w:rPr>
                <w:rFonts w:cs="Arial"/>
                <w:sz w:val="18"/>
                <w:szCs w:val="18"/>
              </w:rPr>
            </w:pPr>
            <w:r>
              <w:rPr>
                <w:rFonts w:cs="Arial"/>
                <w:sz w:val="18"/>
                <w:szCs w:val="18"/>
              </w:rPr>
              <w:t> </w:t>
            </w:r>
          </w:p>
        </w:tc>
      </w:tr>
    </w:tbl>
    <w:bookmarkEnd w:id="179"/>
    <w:bookmarkEnd w:id="180"/>
    <w:p w14:paraId="24377EC2" w14:textId="77777777" w:rsidR="00520333" w:rsidRDefault="00520333" w:rsidP="00520333">
      <w:pPr>
        <w:pStyle w:val="PolicytextDept"/>
        <w:pBdr>
          <w:left w:val="single" w:sz="4" w:space="4" w:color="800080"/>
          <w:right w:val="single" w:sz="4" w:space="4" w:color="800080"/>
        </w:pBdr>
        <w:rPr>
          <w:b/>
        </w:rPr>
      </w:pPr>
      <w:r w:rsidRPr="00F47522">
        <w:rPr>
          <w:b/>
        </w:rPr>
        <w:t xml:space="preserve">Accounting </w:t>
      </w:r>
      <w:r w:rsidRPr="00BB78CC">
        <w:rPr>
          <w:b/>
        </w:rPr>
        <w:t xml:space="preserve">Policy </w:t>
      </w:r>
    </w:p>
    <w:p w14:paraId="0006B0AC" w14:textId="77777777" w:rsidR="00520333" w:rsidRPr="00C13812" w:rsidRDefault="00520333" w:rsidP="00520333">
      <w:pPr>
        <w:pStyle w:val="PolicytextDept"/>
        <w:pBdr>
          <w:left w:val="single" w:sz="4" w:space="4" w:color="800080"/>
          <w:right w:val="single" w:sz="4" w:space="4" w:color="800080"/>
        </w:pBdr>
        <w:rPr>
          <w:iCs/>
          <w:lang w:eastAsia="en-AU"/>
        </w:rPr>
      </w:pPr>
      <w:r w:rsidRPr="00C13812">
        <w:rPr>
          <w:iCs/>
          <w:lang w:eastAsia="en-AU"/>
        </w:rPr>
        <w:t>Term deposits with an original maturity of three months or less are classified as cash and cash equivalents and are included in Note 2.1A.</w:t>
      </w:r>
    </w:p>
    <w:p w14:paraId="1BB461F2" w14:textId="77777777" w:rsidR="00520333" w:rsidRPr="00BB78CC" w:rsidRDefault="00520333" w:rsidP="00520333">
      <w:pPr>
        <w:spacing w:line="240" w:lineRule="auto"/>
        <w:rPr>
          <w:rFonts w:cs="Arial"/>
          <w:sz w:val="18"/>
          <w:szCs w:val="18"/>
        </w:rPr>
      </w:pPr>
    </w:p>
    <w:p w14:paraId="721E41E0" w14:textId="30D51437" w:rsidR="008E7ACA" w:rsidRDefault="008E7ACA" w:rsidP="00520333">
      <w:pPr>
        <w:pStyle w:val="PolicytextDept"/>
        <w:pBdr>
          <w:left w:val="single" w:sz="4" w:space="4" w:color="800080"/>
          <w:right w:val="single" w:sz="4" w:space="4" w:color="800080"/>
        </w:pBdr>
        <w:rPr>
          <w:lang w:eastAsia="en-AU"/>
        </w:rPr>
      </w:pPr>
      <w:r>
        <w:rPr>
          <w:lang w:eastAsia="en-AU"/>
        </w:rPr>
        <w:br w:type="page"/>
      </w:r>
    </w:p>
    <w:p w14:paraId="79755FDD" w14:textId="77777777" w:rsidR="00520333" w:rsidRDefault="00520333" w:rsidP="00520333">
      <w:pPr>
        <w:pStyle w:val="PolicytextDept"/>
        <w:pBdr>
          <w:left w:val="single" w:sz="4" w:space="4" w:color="800080"/>
          <w:right w:val="single" w:sz="4" w:space="4" w:color="800080"/>
        </w:pBdr>
        <w:rPr>
          <w:lang w:eastAsia="en-AU"/>
        </w:rPr>
        <w:sectPr w:rsidR="00520333" w:rsidSect="00BC1253">
          <w:footerReference w:type="default" r:id="rId59"/>
          <w:pgSz w:w="11906" w:h="16838" w:code="9"/>
          <w:pgMar w:top="1361" w:right="1361" w:bottom="1361" w:left="1361" w:header="561" w:footer="374" w:gutter="0"/>
          <w:cols w:space="708"/>
          <w:docGrid w:linePitch="360"/>
        </w:sectPr>
      </w:pPr>
    </w:p>
    <w:p w14:paraId="185B6836" w14:textId="77777777" w:rsidR="003203A1" w:rsidRPr="003203A1" w:rsidRDefault="003203A1" w:rsidP="003203A1">
      <w:pPr>
        <w:spacing w:after="0" w:line="240" w:lineRule="auto"/>
        <w:rPr>
          <w:b/>
          <w:bCs/>
        </w:rPr>
      </w:pPr>
      <w:bookmarkStart w:id="181" w:name="_Toc443469530"/>
      <w:bookmarkStart w:id="182" w:name="_Toc443577404"/>
      <w:bookmarkStart w:id="183" w:name="_Toc445194082"/>
      <w:bookmarkStart w:id="184" w:name="_Toc447030540"/>
      <w:bookmarkStart w:id="185" w:name="_Toc447030692"/>
      <w:bookmarkStart w:id="186" w:name="_Toc447030785"/>
      <w:bookmarkStart w:id="187" w:name="_Toc65742848"/>
      <w:bookmarkStart w:id="188" w:name="_Toc173417295"/>
      <w:r w:rsidRPr="003203A1">
        <w:rPr>
          <w:b/>
          <w:bCs/>
        </w:rPr>
        <w:lastRenderedPageBreak/>
        <w:t>National Disability Insurance Agency</w:t>
      </w:r>
    </w:p>
    <w:p w14:paraId="05B9A5D4" w14:textId="77777777" w:rsidR="003203A1" w:rsidRPr="003203A1" w:rsidRDefault="003203A1" w:rsidP="003203A1">
      <w:pPr>
        <w:pBdr>
          <w:bottom w:val="single" w:sz="8" w:space="1" w:color="auto"/>
        </w:pBdr>
        <w:rPr>
          <w:b/>
          <w:bCs/>
        </w:rPr>
      </w:pPr>
      <w:r w:rsidRPr="003203A1">
        <w:rPr>
          <w:b/>
          <w:bCs/>
        </w:rPr>
        <w:t>NOTES TO AND FORMING PART OF THE FINANCIAL STATEMENTS</w:t>
      </w:r>
    </w:p>
    <w:p w14:paraId="0DD2285D" w14:textId="77777777" w:rsidR="00520333" w:rsidRDefault="00520333" w:rsidP="003203A1">
      <w:pPr>
        <w:pStyle w:val="SubHeading"/>
        <w:shd w:val="clear" w:color="auto" w:fill="000000" w:themeFill="accent6"/>
        <w:ind w:right="-567"/>
      </w:pPr>
      <w:r w:rsidRPr="005D6360">
        <w:t>Non-Financial Assets</w:t>
      </w:r>
      <w:bookmarkEnd w:id="181"/>
      <w:bookmarkEnd w:id="182"/>
      <w:bookmarkEnd w:id="183"/>
      <w:bookmarkEnd w:id="184"/>
      <w:bookmarkEnd w:id="185"/>
      <w:bookmarkEnd w:id="186"/>
      <w:bookmarkEnd w:id="187"/>
      <w:bookmarkEnd w:id="188"/>
    </w:p>
    <w:tbl>
      <w:tblPr>
        <w:tblW w:w="9637" w:type="dxa"/>
        <w:tblLayout w:type="fixed"/>
        <w:tblCellMar>
          <w:left w:w="57" w:type="dxa"/>
          <w:right w:w="57" w:type="dxa"/>
        </w:tblCellMar>
        <w:tblLook w:val="04A0" w:firstRow="1" w:lastRow="0" w:firstColumn="1" w:lastColumn="0" w:noHBand="0" w:noVBand="1"/>
      </w:tblPr>
      <w:tblGrid>
        <w:gridCol w:w="5283"/>
        <w:gridCol w:w="1596"/>
        <w:gridCol w:w="1380"/>
        <w:gridCol w:w="1378"/>
      </w:tblGrid>
      <w:tr w:rsidR="00520333" w14:paraId="3FD60E27" w14:textId="77777777" w:rsidTr="005E5E0C">
        <w:trPr>
          <w:trHeight w:val="495"/>
        </w:trPr>
        <w:tc>
          <w:tcPr>
            <w:tcW w:w="9637" w:type="dxa"/>
            <w:gridSpan w:val="4"/>
            <w:tcBorders>
              <w:top w:val="nil"/>
              <w:left w:val="nil"/>
              <w:bottom w:val="nil"/>
              <w:right w:val="nil"/>
            </w:tcBorders>
            <w:shd w:val="clear" w:color="FFFFFF" w:fill="FFFFFF"/>
            <w:vAlign w:val="bottom"/>
            <w:hideMark/>
          </w:tcPr>
          <w:p w14:paraId="5263202C" w14:textId="77777777" w:rsidR="00520333" w:rsidRDefault="00520333" w:rsidP="005E5E0C">
            <w:pPr>
              <w:spacing w:after="0"/>
              <w:rPr>
                <w:rFonts w:cs="Arial"/>
                <w:b/>
                <w:bCs/>
                <w:sz w:val="18"/>
                <w:szCs w:val="18"/>
                <w:u w:val="single"/>
              </w:rPr>
            </w:pPr>
            <w:bookmarkStart w:id="189" w:name="Note_MTATABLE1" w:colFirst="0" w:colLast="0"/>
            <w:r>
              <w:rPr>
                <w:rFonts w:cs="Arial"/>
                <w:b/>
                <w:bCs/>
                <w:sz w:val="18"/>
                <w:szCs w:val="18"/>
                <w:u w:val="single"/>
              </w:rPr>
              <w:t>Note 2.2A: Reconciliation of the opening and closing balances of Buildings and Plant and equipment 2024</w:t>
            </w:r>
          </w:p>
        </w:tc>
      </w:tr>
      <w:bookmarkEnd w:id="189"/>
      <w:tr w:rsidR="00520333" w14:paraId="00789AEF" w14:textId="77777777" w:rsidTr="005E5E0C">
        <w:trPr>
          <w:trHeight w:val="250"/>
        </w:trPr>
        <w:tc>
          <w:tcPr>
            <w:tcW w:w="5283" w:type="dxa"/>
            <w:tcBorders>
              <w:top w:val="nil"/>
              <w:left w:val="nil"/>
              <w:bottom w:val="nil"/>
              <w:right w:val="nil"/>
            </w:tcBorders>
            <w:shd w:val="clear" w:color="FFFFFF" w:fill="FFFFFF"/>
            <w:noWrap/>
            <w:vAlign w:val="bottom"/>
            <w:hideMark/>
          </w:tcPr>
          <w:p w14:paraId="11E9C3AA" w14:textId="77777777" w:rsidR="00520333" w:rsidRDefault="00520333" w:rsidP="005E5E0C">
            <w:pPr>
              <w:spacing w:after="0"/>
              <w:rPr>
                <w:rFonts w:cs="Arial"/>
                <w:sz w:val="18"/>
                <w:szCs w:val="18"/>
              </w:rPr>
            </w:pPr>
            <w:r>
              <w:rPr>
                <w:rFonts w:cs="Arial"/>
                <w:sz w:val="18"/>
                <w:szCs w:val="18"/>
              </w:rPr>
              <w:t> </w:t>
            </w:r>
          </w:p>
        </w:tc>
        <w:tc>
          <w:tcPr>
            <w:tcW w:w="1596" w:type="dxa"/>
            <w:tcBorders>
              <w:top w:val="nil"/>
              <w:left w:val="nil"/>
              <w:bottom w:val="nil"/>
              <w:right w:val="nil"/>
            </w:tcBorders>
            <w:shd w:val="clear" w:color="FFFFFF" w:fill="FFFFFF"/>
            <w:noWrap/>
            <w:vAlign w:val="bottom"/>
            <w:hideMark/>
          </w:tcPr>
          <w:p w14:paraId="50040DE6" w14:textId="77777777" w:rsidR="00520333" w:rsidRDefault="00520333" w:rsidP="005E5E0C">
            <w:pPr>
              <w:spacing w:after="0"/>
              <w:rPr>
                <w:rFonts w:cs="Arial"/>
                <w:sz w:val="18"/>
                <w:szCs w:val="18"/>
              </w:rPr>
            </w:pPr>
            <w:r>
              <w:rPr>
                <w:rFonts w:cs="Arial"/>
                <w:sz w:val="18"/>
                <w:szCs w:val="18"/>
              </w:rPr>
              <w:t> </w:t>
            </w:r>
          </w:p>
        </w:tc>
        <w:tc>
          <w:tcPr>
            <w:tcW w:w="1380" w:type="dxa"/>
            <w:tcBorders>
              <w:top w:val="nil"/>
              <w:left w:val="nil"/>
              <w:bottom w:val="nil"/>
              <w:right w:val="nil"/>
            </w:tcBorders>
            <w:shd w:val="clear" w:color="FFFFFF" w:fill="FFFFFF"/>
            <w:noWrap/>
            <w:vAlign w:val="bottom"/>
            <w:hideMark/>
          </w:tcPr>
          <w:p w14:paraId="469612C9" w14:textId="77777777" w:rsidR="00520333" w:rsidRDefault="00520333" w:rsidP="005E5E0C">
            <w:pPr>
              <w:spacing w:after="0"/>
              <w:rPr>
                <w:rFonts w:cs="Arial"/>
                <w:sz w:val="18"/>
                <w:szCs w:val="18"/>
              </w:rPr>
            </w:pPr>
            <w:r>
              <w:rPr>
                <w:rFonts w:cs="Arial"/>
                <w:sz w:val="18"/>
                <w:szCs w:val="18"/>
              </w:rPr>
              <w:t> </w:t>
            </w:r>
          </w:p>
        </w:tc>
        <w:tc>
          <w:tcPr>
            <w:tcW w:w="1378" w:type="dxa"/>
            <w:tcBorders>
              <w:top w:val="nil"/>
              <w:left w:val="nil"/>
              <w:bottom w:val="nil"/>
              <w:right w:val="nil"/>
            </w:tcBorders>
            <w:shd w:val="clear" w:color="FFFFFF" w:fill="FFFFFF"/>
            <w:noWrap/>
            <w:vAlign w:val="bottom"/>
            <w:hideMark/>
          </w:tcPr>
          <w:p w14:paraId="065B87E2" w14:textId="77777777" w:rsidR="00520333" w:rsidRDefault="00520333" w:rsidP="005E5E0C">
            <w:pPr>
              <w:spacing w:after="0"/>
              <w:rPr>
                <w:rFonts w:cs="Arial"/>
                <w:sz w:val="18"/>
                <w:szCs w:val="18"/>
              </w:rPr>
            </w:pPr>
            <w:r>
              <w:rPr>
                <w:rFonts w:cs="Arial"/>
                <w:sz w:val="18"/>
                <w:szCs w:val="18"/>
              </w:rPr>
              <w:t> </w:t>
            </w:r>
          </w:p>
        </w:tc>
      </w:tr>
      <w:tr w:rsidR="00520333" w14:paraId="4709C83B" w14:textId="77777777" w:rsidTr="005E5E0C">
        <w:trPr>
          <w:trHeight w:val="493"/>
        </w:trPr>
        <w:tc>
          <w:tcPr>
            <w:tcW w:w="5283" w:type="dxa"/>
            <w:tcBorders>
              <w:top w:val="single" w:sz="4" w:space="0" w:color="auto"/>
              <w:left w:val="nil"/>
              <w:bottom w:val="nil"/>
              <w:right w:val="nil"/>
            </w:tcBorders>
            <w:shd w:val="clear" w:color="FFFFFF" w:fill="FFFFFF"/>
            <w:noWrap/>
            <w:vAlign w:val="bottom"/>
            <w:hideMark/>
          </w:tcPr>
          <w:p w14:paraId="2DDC6E49" w14:textId="77777777" w:rsidR="00520333" w:rsidRDefault="00520333" w:rsidP="005E5E0C">
            <w:pPr>
              <w:spacing w:after="0"/>
              <w:rPr>
                <w:rFonts w:cs="Arial"/>
                <w:sz w:val="18"/>
                <w:szCs w:val="18"/>
              </w:rPr>
            </w:pPr>
            <w:r>
              <w:rPr>
                <w:rFonts w:cs="Arial"/>
                <w:sz w:val="18"/>
                <w:szCs w:val="18"/>
              </w:rPr>
              <w:t> </w:t>
            </w:r>
          </w:p>
        </w:tc>
        <w:tc>
          <w:tcPr>
            <w:tcW w:w="1596" w:type="dxa"/>
            <w:tcBorders>
              <w:top w:val="single" w:sz="4" w:space="0" w:color="auto"/>
              <w:left w:val="nil"/>
              <w:bottom w:val="nil"/>
              <w:right w:val="nil"/>
            </w:tcBorders>
            <w:shd w:val="clear" w:color="FFFFFF" w:fill="FFFFFF"/>
            <w:vAlign w:val="bottom"/>
            <w:hideMark/>
          </w:tcPr>
          <w:p w14:paraId="7C7FA77B" w14:textId="77777777" w:rsidR="00520333" w:rsidRDefault="00520333" w:rsidP="005E5E0C">
            <w:pPr>
              <w:spacing w:after="0"/>
              <w:jc w:val="right"/>
              <w:rPr>
                <w:rFonts w:cs="Arial"/>
                <w:b/>
                <w:bCs/>
                <w:sz w:val="18"/>
                <w:szCs w:val="18"/>
              </w:rPr>
            </w:pPr>
            <w:r>
              <w:rPr>
                <w:rFonts w:cs="Arial"/>
                <w:b/>
                <w:bCs/>
                <w:sz w:val="18"/>
                <w:szCs w:val="18"/>
              </w:rPr>
              <w:t xml:space="preserve">Buildings </w:t>
            </w:r>
          </w:p>
        </w:tc>
        <w:tc>
          <w:tcPr>
            <w:tcW w:w="1380" w:type="dxa"/>
            <w:tcBorders>
              <w:top w:val="single" w:sz="4" w:space="0" w:color="auto"/>
              <w:left w:val="nil"/>
              <w:bottom w:val="nil"/>
              <w:right w:val="nil"/>
            </w:tcBorders>
            <w:shd w:val="clear" w:color="FFFFFF" w:fill="FFFFFF"/>
            <w:hideMark/>
          </w:tcPr>
          <w:p w14:paraId="48491188" w14:textId="77777777" w:rsidR="00520333" w:rsidRDefault="00520333" w:rsidP="005E5E0C">
            <w:pPr>
              <w:spacing w:after="0"/>
              <w:jc w:val="right"/>
              <w:rPr>
                <w:rFonts w:cs="Arial"/>
                <w:b/>
                <w:bCs/>
                <w:sz w:val="18"/>
                <w:szCs w:val="18"/>
              </w:rPr>
            </w:pPr>
            <w:r>
              <w:rPr>
                <w:rFonts w:cs="Arial"/>
                <w:b/>
                <w:bCs/>
                <w:sz w:val="18"/>
                <w:szCs w:val="18"/>
              </w:rPr>
              <w:t>Plant and equipment</w:t>
            </w:r>
          </w:p>
        </w:tc>
        <w:tc>
          <w:tcPr>
            <w:tcW w:w="1378" w:type="dxa"/>
            <w:tcBorders>
              <w:top w:val="single" w:sz="4" w:space="0" w:color="auto"/>
              <w:left w:val="nil"/>
              <w:bottom w:val="nil"/>
              <w:right w:val="nil"/>
            </w:tcBorders>
            <w:shd w:val="clear" w:color="FFFFFF" w:fill="FFFFFF"/>
            <w:vAlign w:val="bottom"/>
            <w:hideMark/>
          </w:tcPr>
          <w:p w14:paraId="36326998" w14:textId="77777777" w:rsidR="00520333" w:rsidRDefault="00520333" w:rsidP="005E5E0C">
            <w:pPr>
              <w:spacing w:after="0"/>
              <w:jc w:val="right"/>
              <w:rPr>
                <w:rFonts w:cs="Arial"/>
                <w:b/>
                <w:bCs/>
                <w:sz w:val="18"/>
                <w:szCs w:val="18"/>
              </w:rPr>
            </w:pPr>
            <w:r>
              <w:rPr>
                <w:rFonts w:cs="Arial"/>
                <w:b/>
                <w:bCs/>
                <w:sz w:val="18"/>
                <w:szCs w:val="18"/>
              </w:rPr>
              <w:t>Total</w:t>
            </w:r>
          </w:p>
        </w:tc>
      </w:tr>
      <w:tr w:rsidR="00520333" w14:paraId="6FA2E92D" w14:textId="77777777" w:rsidTr="005E5E0C">
        <w:trPr>
          <w:trHeight w:val="250"/>
        </w:trPr>
        <w:tc>
          <w:tcPr>
            <w:tcW w:w="5283" w:type="dxa"/>
            <w:tcBorders>
              <w:top w:val="nil"/>
              <w:left w:val="nil"/>
              <w:bottom w:val="single" w:sz="4" w:space="0" w:color="auto"/>
              <w:right w:val="nil"/>
            </w:tcBorders>
            <w:shd w:val="clear" w:color="FFFFFF" w:fill="FFFFFF"/>
            <w:noWrap/>
            <w:vAlign w:val="bottom"/>
            <w:hideMark/>
          </w:tcPr>
          <w:p w14:paraId="5D535B5F" w14:textId="77777777" w:rsidR="00520333" w:rsidRDefault="00520333" w:rsidP="005E5E0C">
            <w:pPr>
              <w:spacing w:after="0"/>
              <w:rPr>
                <w:rFonts w:cs="Arial"/>
                <w:sz w:val="18"/>
                <w:szCs w:val="18"/>
              </w:rPr>
            </w:pPr>
            <w:r>
              <w:rPr>
                <w:rFonts w:cs="Arial"/>
                <w:sz w:val="18"/>
                <w:szCs w:val="18"/>
              </w:rPr>
              <w:t> </w:t>
            </w:r>
          </w:p>
        </w:tc>
        <w:tc>
          <w:tcPr>
            <w:tcW w:w="1596" w:type="dxa"/>
            <w:tcBorders>
              <w:top w:val="nil"/>
              <w:left w:val="nil"/>
              <w:bottom w:val="single" w:sz="4" w:space="0" w:color="auto"/>
              <w:right w:val="nil"/>
            </w:tcBorders>
            <w:shd w:val="clear" w:color="FFFFFF" w:fill="FFFFFF"/>
            <w:vAlign w:val="bottom"/>
            <w:hideMark/>
          </w:tcPr>
          <w:p w14:paraId="61E5207B" w14:textId="77777777" w:rsidR="00520333" w:rsidRDefault="00520333" w:rsidP="005E5E0C">
            <w:pPr>
              <w:spacing w:after="0"/>
              <w:jc w:val="right"/>
              <w:rPr>
                <w:rFonts w:cs="Arial"/>
                <w:b/>
                <w:bCs/>
                <w:sz w:val="18"/>
                <w:szCs w:val="18"/>
              </w:rPr>
            </w:pPr>
            <w:r>
              <w:rPr>
                <w:rFonts w:cs="Arial"/>
                <w:b/>
                <w:bCs/>
                <w:sz w:val="18"/>
                <w:szCs w:val="18"/>
              </w:rPr>
              <w:t>$’000</w:t>
            </w:r>
          </w:p>
        </w:tc>
        <w:tc>
          <w:tcPr>
            <w:tcW w:w="1380" w:type="dxa"/>
            <w:tcBorders>
              <w:top w:val="nil"/>
              <w:left w:val="nil"/>
              <w:bottom w:val="single" w:sz="4" w:space="0" w:color="auto"/>
              <w:right w:val="nil"/>
            </w:tcBorders>
            <w:shd w:val="clear" w:color="FFFFFF" w:fill="FFFFFF"/>
            <w:vAlign w:val="bottom"/>
            <w:hideMark/>
          </w:tcPr>
          <w:p w14:paraId="2E1BE7C6" w14:textId="77777777" w:rsidR="00520333" w:rsidRDefault="00520333" w:rsidP="005E5E0C">
            <w:pPr>
              <w:spacing w:after="0"/>
              <w:jc w:val="right"/>
              <w:rPr>
                <w:rFonts w:cs="Arial"/>
                <w:b/>
                <w:bCs/>
                <w:sz w:val="18"/>
                <w:szCs w:val="18"/>
              </w:rPr>
            </w:pPr>
            <w:r>
              <w:rPr>
                <w:rFonts w:cs="Arial"/>
                <w:b/>
                <w:bCs/>
                <w:sz w:val="18"/>
                <w:szCs w:val="18"/>
              </w:rPr>
              <w:t>$’000</w:t>
            </w:r>
          </w:p>
        </w:tc>
        <w:tc>
          <w:tcPr>
            <w:tcW w:w="1378" w:type="dxa"/>
            <w:tcBorders>
              <w:top w:val="nil"/>
              <w:left w:val="nil"/>
              <w:bottom w:val="single" w:sz="4" w:space="0" w:color="auto"/>
              <w:right w:val="nil"/>
            </w:tcBorders>
            <w:shd w:val="clear" w:color="FFFFFF" w:fill="FFFFFF"/>
            <w:vAlign w:val="bottom"/>
            <w:hideMark/>
          </w:tcPr>
          <w:p w14:paraId="7F976FA4" w14:textId="77777777" w:rsidR="00520333" w:rsidRDefault="00520333" w:rsidP="005E5E0C">
            <w:pPr>
              <w:spacing w:after="0"/>
              <w:jc w:val="right"/>
              <w:rPr>
                <w:rFonts w:cs="Arial"/>
                <w:b/>
                <w:bCs/>
                <w:sz w:val="18"/>
                <w:szCs w:val="18"/>
              </w:rPr>
            </w:pPr>
            <w:r>
              <w:rPr>
                <w:rFonts w:cs="Arial"/>
                <w:b/>
                <w:bCs/>
                <w:sz w:val="18"/>
                <w:szCs w:val="18"/>
              </w:rPr>
              <w:t>$’000</w:t>
            </w:r>
          </w:p>
        </w:tc>
      </w:tr>
      <w:tr w:rsidR="00520333" w14:paraId="134C00BE" w14:textId="77777777" w:rsidTr="005E5E0C">
        <w:trPr>
          <w:trHeight w:val="250"/>
        </w:trPr>
        <w:tc>
          <w:tcPr>
            <w:tcW w:w="5283" w:type="dxa"/>
            <w:tcBorders>
              <w:top w:val="nil"/>
              <w:left w:val="nil"/>
              <w:bottom w:val="nil"/>
              <w:right w:val="nil"/>
            </w:tcBorders>
            <w:shd w:val="clear" w:color="FFFFFF" w:fill="FFFFFF"/>
            <w:vAlign w:val="bottom"/>
            <w:hideMark/>
          </w:tcPr>
          <w:p w14:paraId="57D85443" w14:textId="77777777" w:rsidR="00520333" w:rsidRDefault="00520333" w:rsidP="005E5E0C">
            <w:pPr>
              <w:spacing w:after="0"/>
              <w:rPr>
                <w:rFonts w:cs="Arial"/>
                <w:b/>
                <w:bCs/>
                <w:sz w:val="18"/>
                <w:szCs w:val="18"/>
              </w:rPr>
            </w:pPr>
            <w:r>
              <w:rPr>
                <w:rFonts w:cs="Arial"/>
                <w:b/>
                <w:bCs/>
                <w:sz w:val="18"/>
                <w:szCs w:val="18"/>
              </w:rPr>
              <w:t>As at 1 July 2023</w:t>
            </w:r>
          </w:p>
        </w:tc>
        <w:tc>
          <w:tcPr>
            <w:tcW w:w="1596" w:type="dxa"/>
            <w:tcBorders>
              <w:top w:val="nil"/>
              <w:left w:val="nil"/>
              <w:bottom w:val="nil"/>
              <w:right w:val="nil"/>
            </w:tcBorders>
            <w:shd w:val="clear" w:color="FFFFFF" w:fill="FFFFFF"/>
            <w:noWrap/>
            <w:vAlign w:val="bottom"/>
            <w:hideMark/>
          </w:tcPr>
          <w:p w14:paraId="2125845B" w14:textId="77777777" w:rsidR="00520333" w:rsidRDefault="00520333" w:rsidP="005E5E0C">
            <w:pPr>
              <w:spacing w:after="0"/>
              <w:rPr>
                <w:rFonts w:cs="Arial"/>
                <w:sz w:val="18"/>
                <w:szCs w:val="18"/>
              </w:rPr>
            </w:pPr>
            <w:r>
              <w:rPr>
                <w:rFonts w:cs="Arial"/>
                <w:sz w:val="18"/>
                <w:szCs w:val="18"/>
              </w:rPr>
              <w:t> </w:t>
            </w:r>
          </w:p>
        </w:tc>
        <w:tc>
          <w:tcPr>
            <w:tcW w:w="1380" w:type="dxa"/>
            <w:tcBorders>
              <w:top w:val="nil"/>
              <w:left w:val="nil"/>
              <w:bottom w:val="nil"/>
              <w:right w:val="nil"/>
            </w:tcBorders>
            <w:shd w:val="clear" w:color="FFFFFF" w:fill="FFFFFF"/>
            <w:noWrap/>
            <w:vAlign w:val="bottom"/>
            <w:hideMark/>
          </w:tcPr>
          <w:p w14:paraId="37534DC2" w14:textId="77777777" w:rsidR="00520333" w:rsidRDefault="00520333" w:rsidP="005E5E0C">
            <w:pPr>
              <w:spacing w:after="0"/>
              <w:rPr>
                <w:rFonts w:cs="Arial"/>
                <w:sz w:val="18"/>
                <w:szCs w:val="18"/>
              </w:rPr>
            </w:pPr>
            <w:r>
              <w:rPr>
                <w:rFonts w:cs="Arial"/>
                <w:sz w:val="18"/>
                <w:szCs w:val="18"/>
              </w:rPr>
              <w:t> </w:t>
            </w:r>
          </w:p>
        </w:tc>
        <w:tc>
          <w:tcPr>
            <w:tcW w:w="1378" w:type="dxa"/>
            <w:tcBorders>
              <w:top w:val="nil"/>
              <w:left w:val="nil"/>
              <w:bottom w:val="nil"/>
              <w:right w:val="nil"/>
            </w:tcBorders>
            <w:shd w:val="clear" w:color="FFFFFF" w:fill="FFFFFF"/>
            <w:noWrap/>
            <w:vAlign w:val="bottom"/>
            <w:hideMark/>
          </w:tcPr>
          <w:p w14:paraId="11DAD5E2" w14:textId="77777777" w:rsidR="00520333" w:rsidRDefault="00520333" w:rsidP="005E5E0C">
            <w:pPr>
              <w:spacing w:after="0"/>
              <w:rPr>
                <w:rFonts w:cs="Arial"/>
                <w:sz w:val="18"/>
                <w:szCs w:val="18"/>
              </w:rPr>
            </w:pPr>
            <w:r>
              <w:rPr>
                <w:rFonts w:cs="Arial"/>
                <w:sz w:val="18"/>
                <w:szCs w:val="18"/>
              </w:rPr>
              <w:t> </w:t>
            </w:r>
          </w:p>
        </w:tc>
      </w:tr>
      <w:tr w:rsidR="00520333" w14:paraId="68E79D56" w14:textId="77777777" w:rsidTr="005E5E0C">
        <w:trPr>
          <w:trHeight w:val="250"/>
        </w:trPr>
        <w:tc>
          <w:tcPr>
            <w:tcW w:w="5283" w:type="dxa"/>
            <w:tcBorders>
              <w:top w:val="nil"/>
              <w:left w:val="nil"/>
              <w:bottom w:val="nil"/>
              <w:right w:val="nil"/>
            </w:tcBorders>
            <w:shd w:val="clear" w:color="FFFFFF" w:fill="FFFFFF"/>
            <w:vAlign w:val="bottom"/>
            <w:hideMark/>
          </w:tcPr>
          <w:p w14:paraId="65C530FE" w14:textId="77777777" w:rsidR="00520333" w:rsidRDefault="00520333" w:rsidP="005E5E0C">
            <w:pPr>
              <w:spacing w:after="0"/>
              <w:rPr>
                <w:rFonts w:cs="Arial"/>
                <w:sz w:val="18"/>
                <w:szCs w:val="18"/>
              </w:rPr>
            </w:pPr>
            <w:r>
              <w:rPr>
                <w:rFonts w:cs="Arial"/>
                <w:sz w:val="18"/>
                <w:szCs w:val="18"/>
              </w:rPr>
              <w:t>Gross book value</w:t>
            </w:r>
          </w:p>
        </w:tc>
        <w:tc>
          <w:tcPr>
            <w:tcW w:w="1596" w:type="dxa"/>
            <w:tcBorders>
              <w:top w:val="nil"/>
              <w:left w:val="nil"/>
              <w:bottom w:val="nil"/>
              <w:right w:val="nil"/>
            </w:tcBorders>
            <w:shd w:val="clear" w:color="FFFFFF" w:fill="FFFFFF"/>
            <w:noWrap/>
            <w:vAlign w:val="bottom"/>
            <w:hideMark/>
          </w:tcPr>
          <w:p w14:paraId="58F57469" w14:textId="77777777" w:rsidR="00520333" w:rsidRDefault="00520333" w:rsidP="005E5E0C">
            <w:pPr>
              <w:spacing w:after="0"/>
              <w:jc w:val="right"/>
              <w:rPr>
                <w:rFonts w:cs="Arial"/>
                <w:b/>
                <w:bCs/>
                <w:sz w:val="18"/>
                <w:szCs w:val="18"/>
              </w:rPr>
            </w:pPr>
            <w:r>
              <w:rPr>
                <w:rFonts w:cs="Arial"/>
                <w:b/>
                <w:bCs/>
                <w:sz w:val="18"/>
                <w:szCs w:val="18"/>
              </w:rPr>
              <w:t>373,620</w:t>
            </w:r>
          </w:p>
        </w:tc>
        <w:tc>
          <w:tcPr>
            <w:tcW w:w="1380" w:type="dxa"/>
            <w:tcBorders>
              <w:top w:val="nil"/>
              <w:left w:val="nil"/>
              <w:bottom w:val="nil"/>
              <w:right w:val="nil"/>
            </w:tcBorders>
            <w:shd w:val="clear" w:color="FFFFFF" w:fill="FFFFFF"/>
            <w:noWrap/>
            <w:vAlign w:val="bottom"/>
            <w:hideMark/>
          </w:tcPr>
          <w:p w14:paraId="5B7FCED0" w14:textId="77777777" w:rsidR="00520333" w:rsidRDefault="00520333" w:rsidP="005E5E0C">
            <w:pPr>
              <w:spacing w:after="0"/>
              <w:jc w:val="right"/>
              <w:rPr>
                <w:rFonts w:cs="Arial"/>
                <w:b/>
                <w:bCs/>
                <w:sz w:val="18"/>
                <w:szCs w:val="18"/>
              </w:rPr>
            </w:pPr>
            <w:r>
              <w:rPr>
                <w:rFonts w:cs="Arial"/>
                <w:b/>
                <w:bCs/>
                <w:sz w:val="18"/>
                <w:szCs w:val="18"/>
              </w:rPr>
              <w:t>17,601</w:t>
            </w:r>
          </w:p>
        </w:tc>
        <w:tc>
          <w:tcPr>
            <w:tcW w:w="1378" w:type="dxa"/>
            <w:tcBorders>
              <w:top w:val="nil"/>
              <w:left w:val="nil"/>
              <w:bottom w:val="nil"/>
              <w:right w:val="nil"/>
            </w:tcBorders>
            <w:shd w:val="clear" w:color="FFFFFF" w:fill="FFFFFF"/>
            <w:noWrap/>
            <w:vAlign w:val="bottom"/>
            <w:hideMark/>
          </w:tcPr>
          <w:p w14:paraId="512DE644" w14:textId="77777777" w:rsidR="00520333" w:rsidRDefault="00520333" w:rsidP="005E5E0C">
            <w:pPr>
              <w:spacing w:after="0"/>
              <w:jc w:val="right"/>
              <w:rPr>
                <w:rFonts w:cs="Arial"/>
                <w:b/>
                <w:bCs/>
                <w:sz w:val="18"/>
                <w:szCs w:val="18"/>
              </w:rPr>
            </w:pPr>
            <w:r>
              <w:rPr>
                <w:rFonts w:cs="Arial"/>
                <w:b/>
                <w:bCs/>
                <w:sz w:val="18"/>
                <w:szCs w:val="18"/>
              </w:rPr>
              <w:t>391,221</w:t>
            </w:r>
          </w:p>
        </w:tc>
      </w:tr>
      <w:tr w:rsidR="00520333" w14:paraId="22D4FBB4" w14:textId="77777777" w:rsidTr="005E5E0C">
        <w:trPr>
          <w:trHeight w:val="250"/>
        </w:trPr>
        <w:tc>
          <w:tcPr>
            <w:tcW w:w="5283" w:type="dxa"/>
            <w:tcBorders>
              <w:top w:val="nil"/>
              <w:left w:val="nil"/>
              <w:bottom w:val="nil"/>
              <w:right w:val="nil"/>
            </w:tcBorders>
            <w:shd w:val="clear" w:color="FFFFFF" w:fill="FFFFFF"/>
            <w:vAlign w:val="bottom"/>
            <w:hideMark/>
          </w:tcPr>
          <w:p w14:paraId="188BD5E5" w14:textId="77777777" w:rsidR="00520333" w:rsidRDefault="00520333" w:rsidP="005E5E0C">
            <w:pPr>
              <w:spacing w:after="0"/>
              <w:rPr>
                <w:rFonts w:cs="Arial"/>
                <w:sz w:val="18"/>
                <w:szCs w:val="18"/>
              </w:rPr>
            </w:pPr>
            <w:r>
              <w:rPr>
                <w:rFonts w:cs="Arial"/>
                <w:sz w:val="18"/>
                <w:szCs w:val="18"/>
              </w:rPr>
              <w:t>Accumulated depreciation and impairment</w:t>
            </w:r>
          </w:p>
        </w:tc>
        <w:tc>
          <w:tcPr>
            <w:tcW w:w="1596" w:type="dxa"/>
            <w:tcBorders>
              <w:top w:val="nil"/>
              <w:left w:val="nil"/>
              <w:bottom w:val="nil"/>
              <w:right w:val="nil"/>
            </w:tcBorders>
            <w:shd w:val="clear" w:color="FFFFFF" w:fill="FFFFFF"/>
            <w:noWrap/>
            <w:vAlign w:val="bottom"/>
            <w:hideMark/>
          </w:tcPr>
          <w:p w14:paraId="47996A03" w14:textId="77777777" w:rsidR="00520333" w:rsidRDefault="00520333" w:rsidP="005E5E0C">
            <w:pPr>
              <w:spacing w:after="0"/>
              <w:jc w:val="right"/>
              <w:rPr>
                <w:rFonts w:cs="Arial"/>
                <w:b/>
                <w:bCs/>
                <w:sz w:val="18"/>
                <w:szCs w:val="18"/>
              </w:rPr>
            </w:pPr>
            <w:r>
              <w:rPr>
                <w:rFonts w:cs="Arial"/>
                <w:b/>
                <w:bCs/>
                <w:sz w:val="18"/>
                <w:szCs w:val="18"/>
              </w:rPr>
              <w:t>(149,807)</w:t>
            </w:r>
          </w:p>
        </w:tc>
        <w:tc>
          <w:tcPr>
            <w:tcW w:w="1380" w:type="dxa"/>
            <w:tcBorders>
              <w:top w:val="nil"/>
              <w:left w:val="nil"/>
              <w:bottom w:val="nil"/>
              <w:right w:val="nil"/>
            </w:tcBorders>
            <w:shd w:val="clear" w:color="FFFFFF" w:fill="FFFFFF"/>
            <w:noWrap/>
            <w:vAlign w:val="bottom"/>
            <w:hideMark/>
          </w:tcPr>
          <w:p w14:paraId="6384DB4A" w14:textId="77777777" w:rsidR="00520333" w:rsidRDefault="00520333" w:rsidP="005E5E0C">
            <w:pPr>
              <w:spacing w:after="0"/>
              <w:jc w:val="right"/>
              <w:rPr>
                <w:rFonts w:cs="Arial"/>
                <w:b/>
                <w:bCs/>
                <w:sz w:val="18"/>
                <w:szCs w:val="18"/>
              </w:rPr>
            </w:pPr>
            <w:r>
              <w:rPr>
                <w:rFonts w:cs="Arial"/>
                <w:b/>
                <w:bCs/>
                <w:sz w:val="18"/>
                <w:szCs w:val="18"/>
              </w:rPr>
              <w:t>(8,553)</w:t>
            </w:r>
          </w:p>
        </w:tc>
        <w:tc>
          <w:tcPr>
            <w:tcW w:w="1378" w:type="dxa"/>
            <w:tcBorders>
              <w:top w:val="nil"/>
              <w:left w:val="nil"/>
              <w:bottom w:val="nil"/>
              <w:right w:val="nil"/>
            </w:tcBorders>
            <w:shd w:val="clear" w:color="FFFFFF" w:fill="FFFFFF"/>
            <w:noWrap/>
            <w:vAlign w:val="bottom"/>
            <w:hideMark/>
          </w:tcPr>
          <w:p w14:paraId="7ADD9CCA" w14:textId="77777777" w:rsidR="00520333" w:rsidRDefault="00520333" w:rsidP="005E5E0C">
            <w:pPr>
              <w:spacing w:after="0"/>
              <w:jc w:val="right"/>
              <w:rPr>
                <w:rFonts w:cs="Arial"/>
                <w:b/>
                <w:bCs/>
                <w:sz w:val="18"/>
                <w:szCs w:val="18"/>
              </w:rPr>
            </w:pPr>
            <w:r>
              <w:rPr>
                <w:rFonts w:cs="Arial"/>
                <w:b/>
                <w:bCs/>
                <w:sz w:val="18"/>
                <w:szCs w:val="18"/>
              </w:rPr>
              <w:t>(158,360)</w:t>
            </w:r>
          </w:p>
        </w:tc>
      </w:tr>
      <w:tr w:rsidR="00520333" w14:paraId="030CBBFC" w14:textId="77777777" w:rsidTr="005E5E0C">
        <w:trPr>
          <w:trHeight w:val="250"/>
        </w:trPr>
        <w:tc>
          <w:tcPr>
            <w:tcW w:w="5283" w:type="dxa"/>
            <w:tcBorders>
              <w:top w:val="single" w:sz="4" w:space="0" w:color="auto"/>
              <w:left w:val="nil"/>
              <w:bottom w:val="single" w:sz="4" w:space="0" w:color="auto"/>
              <w:right w:val="nil"/>
            </w:tcBorders>
            <w:shd w:val="clear" w:color="FFFFFF" w:fill="FFFFFF"/>
            <w:vAlign w:val="bottom"/>
            <w:hideMark/>
          </w:tcPr>
          <w:p w14:paraId="5FC8E7DA" w14:textId="77777777" w:rsidR="00520333" w:rsidRDefault="00520333" w:rsidP="005E5E0C">
            <w:pPr>
              <w:spacing w:after="0"/>
              <w:rPr>
                <w:rFonts w:cs="Arial"/>
                <w:b/>
                <w:bCs/>
                <w:sz w:val="18"/>
                <w:szCs w:val="18"/>
              </w:rPr>
            </w:pPr>
            <w:r>
              <w:rPr>
                <w:rFonts w:cs="Arial"/>
                <w:b/>
                <w:bCs/>
                <w:sz w:val="18"/>
                <w:szCs w:val="18"/>
              </w:rPr>
              <w:t>Net book value as at 1 July 2023</w:t>
            </w:r>
          </w:p>
        </w:tc>
        <w:tc>
          <w:tcPr>
            <w:tcW w:w="1596" w:type="dxa"/>
            <w:tcBorders>
              <w:top w:val="single" w:sz="4" w:space="0" w:color="auto"/>
              <w:left w:val="nil"/>
              <w:bottom w:val="single" w:sz="4" w:space="0" w:color="auto"/>
              <w:right w:val="nil"/>
            </w:tcBorders>
            <w:shd w:val="clear" w:color="FFFFFF" w:fill="FFFFFF"/>
            <w:noWrap/>
            <w:vAlign w:val="bottom"/>
            <w:hideMark/>
          </w:tcPr>
          <w:p w14:paraId="397390A1" w14:textId="77777777" w:rsidR="00520333" w:rsidRDefault="00520333" w:rsidP="005E5E0C">
            <w:pPr>
              <w:spacing w:after="0"/>
              <w:jc w:val="right"/>
              <w:rPr>
                <w:rFonts w:cs="Arial"/>
                <w:b/>
                <w:bCs/>
                <w:sz w:val="18"/>
                <w:szCs w:val="18"/>
              </w:rPr>
            </w:pPr>
            <w:r>
              <w:rPr>
                <w:rFonts w:cs="Arial"/>
                <w:b/>
                <w:bCs/>
                <w:sz w:val="18"/>
                <w:szCs w:val="18"/>
              </w:rPr>
              <w:t>223,813</w:t>
            </w:r>
          </w:p>
        </w:tc>
        <w:tc>
          <w:tcPr>
            <w:tcW w:w="1380" w:type="dxa"/>
            <w:tcBorders>
              <w:top w:val="single" w:sz="4" w:space="0" w:color="auto"/>
              <w:left w:val="nil"/>
              <w:bottom w:val="single" w:sz="4" w:space="0" w:color="auto"/>
              <w:right w:val="nil"/>
            </w:tcBorders>
            <w:shd w:val="clear" w:color="FFFFFF" w:fill="FFFFFF"/>
            <w:noWrap/>
            <w:vAlign w:val="bottom"/>
            <w:hideMark/>
          </w:tcPr>
          <w:p w14:paraId="218042B0" w14:textId="77777777" w:rsidR="00520333" w:rsidRDefault="00520333" w:rsidP="005E5E0C">
            <w:pPr>
              <w:spacing w:after="0"/>
              <w:jc w:val="right"/>
              <w:rPr>
                <w:rFonts w:cs="Arial"/>
                <w:b/>
                <w:bCs/>
                <w:sz w:val="18"/>
                <w:szCs w:val="18"/>
              </w:rPr>
            </w:pPr>
            <w:r>
              <w:rPr>
                <w:rFonts w:cs="Arial"/>
                <w:b/>
                <w:bCs/>
                <w:sz w:val="18"/>
                <w:szCs w:val="18"/>
              </w:rPr>
              <w:t>9,048</w:t>
            </w:r>
          </w:p>
        </w:tc>
        <w:tc>
          <w:tcPr>
            <w:tcW w:w="1378" w:type="dxa"/>
            <w:tcBorders>
              <w:top w:val="single" w:sz="4" w:space="0" w:color="auto"/>
              <w:left w:val="nil"/>
              <w:bottom w:val="single" w:sz="4" w:space="0" w:color="auto"/>
              <w:right w:val="nil"/>
            </w:tcBorders>
            <w:shd w:val="clear" w:color="FFFFFF" w:fill="FFFFFF"/>
            <w:noWrap/>
            <w:vAlign w:val="bottom"/>
            <w:hideMark/>
          </w:tcPr>
          <w:p w14:paraId="508B1761" w14:textId="77777777" w:rsidR="00520333" w:rsidRDefault="00520333" w:rsidP="005E5E0C">
            <w:pPr>
              <w:spacing w:after="0"/>
              <w:jc w:val="right"/>
              <w:rPr>
                <w:rFonts w:cs="Arial"/>
                <w:b/>
                <w:bCs/>
                <w:sz w:val="18"/>
                <w:szCs w:val="18"/>
              </w:rPr>
            </w:pPr>
            <w:r>
              <w:rPr>
                <w:rFonts w:cs="Arial"/>
                <w:b/>
                <w:bCs/>
                <w:sz w:val="18"/>
                <w:szCs w:val="18"/>
              </w:rPr>
              <w:t>232,861</w:t>
            </w:r>
          </w:p>
        </w:tc>
      </w:tr>
      <w:tr w:rsidR="00520333" w14:paraId="24984893" w14:textId="77777777" w:rsidTr="005E5E0C">
        <w:trPr>
          <w:trHeight w:val="250"/>
        </w:trPr>
        <w:tc>
          <w:tcPr>
            <w:tcW w:w="5283" w:type="dxa"/>
            <w:tcBorders>
              <w:top w:val="nil"/>
              <w:left w:val="nil"/>
              <w:bottom w:val="nil"/>
              <w:right w:val="nil"/>
            </w:tcBorders>
            <w:shd w:val="clear" w:color="FFFFFF" w:fill="FFFFFF"/>
            <w:noWrap/>
            <w:vAlign w:val="bottom"/>
            <w:hideMark/>
          </w:tcPr>
          <w:p w14:paraId="1A945A90" w14:textId="77777777" w:rsidR="00520333" w:rsidRDefault="00520333" w:rsidP="005E5E0C">
            <w:pPr>
              <w:spacing w:after="0"/>
              <w:rPr>
                <w:rFonts w:cs="Arial"/>
                <w:b/>
                <w:bCs/>
                <w:sz w:val="18"/>
                <w:szCs w:val="18"/>
              </w:rPr>
            </w:pPr>
            <w:r>
              <w:rPr>
                <w:rFonts w:cs="Arial"/>
                <w:b/>
                <w:bCs/>
                <w:sz w:val="18"/>
                <w:szCs w:val="18"/>
              </w:rPr>
              <w:t> </w:t>
            </w:r>
          </w:p>
        </w:tc>
        <w:tc>
          <w:tcPr>
            <w:tcW w:w="1596" w:type="dxa"/>
            <w:tcBorders>
              <w:top w:val="nil"/>
              <w:left w:val="nil"/>
              <w:bottom w:val="nil"/>
              <w:right w:val="nil"/>
            </w:tcBorders>
            <w:shd w:val="clear" w:color="FFFFFF" w:fill="FFFFFF"/>
            <w:noWrap/>
            <w:vAlign w:val="bottom"/>
            <w:hideMark/>
          </w:tcPr>
          <w:p w14:paraId="4862F9A4" w14:textId="77777777" w:rsidR="00520333" w:rsidRDefault="00520333" w:rsidP="005E5E0C">
            <w:pPr>
              <w:spacing w:after="0"/>
              <w:jc w:val="right"/>
              <w:rPr>
                <w:rFonts w:cs="Arial"/>
                <w:b/>
                <w:bCs/>
                <w:sz w:val="18"/>
                <w:szCs w:val="18"/>
              </w:rPr>
            </w:pPr>
            <w:r>
              <w:rPr>
                <w:rFonts w:cs="Arial"/>
                <w:b/>
                <w:bCs/>
                <w:sz w:val="18"/>
                <w:szCs w:val="18"/>
              </w:rPr>
              <w:t> </w:t>
            </w:r>
          </w:p>
        </w:tc>
        <w:tc>
          <w:tcPr>
            <w:tcW w:w="1380" w:type="dxa"/>
            <w:tcBorders>
              <w:top w:val="nil"/>
              <w:left w:val="nil"/>
              <w:bottom w:val="nil"/>
              <w:right w:val="nil"/>
            </w:tcBorders>
            <w:shd w:val="clear" w:color="FFFFFF" w:fill="FFFFFF"/>
            <w:noWrap/>
            <w:vAlign w:val="bottom"/>
            <w:hideMark/>
          </w:tcPr>
          <w:p w14:paraId="180FE352" w14:textId="77777777" w:rsidR="00520333" w:rsidRDefault="00520333" w:rsidP="005E5E0C">
            <w:pPr>
              <w:spacing w:after="0"/>
              <w:jc w:val="right"/>
              <w:rPr>
                <w:rFonts w:cs="Arial"/>
                <w:b/>
                <w:bCs/>
                <w:sz w:val="18"/>
                <w:szCs w:val="18"/>
              </w:rPr>
            </w:pPr>
            <w:r>
              <w:rPr>
                <w:rFonts w:cs="Arial"/>
                <w:b/>
                <w:bCs/>
                <w:sz w:val="18"/>
                <w:szCs w:val="18"/>
              </w:rPr>
              <w:t> </w:t>
            </w:r>
          </w:p>
        </w:tc>
        <w:tc>
          <w:tcPr>
            <w:tcW w:w="1378" w:type="dxa"/>
            <w:tcBorders>
              <w:top w:val="nil"/>
              <w:left w:val="nil"/>
              <w:bottom w:val="nil"/>
              <w:right w:val="nil"/>
            </w:tcBorders>
            <w:shd w:val="clear" w:color="FFFFFF" w:fill="FFFFFF"/>
            <w:noWrap/>
            <w:vAlign w:val="bottom"/>
            <w:hideMark/>
          </w:tcPr>
          <w:p w14:paraId="349072FE" w14:textId="77777777" w:rsidR="00520333" w:rsidRDefault="00520333" w:rsidP="005E5E0C">
            <w:pPr>
              <w:spacing w:after="0"/>
              <w:jc w:val="right"/>
              <w:rPr>
                <w:rFonts w:cs="Arial"/>
                <w:b/>
                <w:bCs/>
                <w:sz w:val="18"/>
                <w:szCs w:val="18"/>
              </w:rPr>
            </w:pPr>
            <w:r>
              <w:rPr>
                <w:rFonts w:cs="Arial"/>
                <w:b/>
                <w:bCs/>
                <w:sz w:val="18"/>
                <w:szCs w:val="18"/>
              </w:rPr>
              <w:t> </w:t>
            </w:r>
          </w:p>
        </w:tc>
      </w:tr>
      <w:tr w:rsidR="00520333" w14:paraId="1911EE71" w14:textId="77777777" w:rsidTr="005E5E0C">
        <w:trPr>
          <w:trHeight w:val="250"/>
        </w:trPr>
        <w:tc>
          <w:tcPr>
            <w:tcW w:w="5283" w:type="dxa"/>
            <w:tcBorders>
              <w:top w:val="nil"/>
              <w:left w:val="nil"/>
              <w:bottom w:val="nil"/>
              <w:right w:val="nil"/>
            </w:tcBorders>
            <w:shd w:val="clear" w:color="FFFFFF" w:fill="FFFFFF"/>
            <w:vAlign w:val="bottom"/>
            <w:hideMark/>
          </w:tcPr>
          <w:p w14:paraId="01250221" w14:textId="77777777" w:rsidR="00520333" w:rsidRDefault="00520333" w:rsidP="005E5E0C">
            <w:pPr>
              <w:spacing w:after="0"/>
              <w:rPr>
                <w:rFonts w:cs="Arial"/>
                <w:sz w:val="18"/>
                <w:szCs w:val="18"/>
              </w:rPr>
            </w:pPr>
            <w:r>
              <w:rPr>
                <w:rFonts w:cs="Arial"/>
                <w:sz w:val="18"/>
                <w:szCs w:val="18"/>
              </w:rPr>
              <w:t>Additions</w:t>
            </w:r>
          </w:p>
        </w:tc>
        <w:tc>
          <w:tcPr>
            <w:tcW w:w="1596" w:type="dxa"/>
            <w:tcBorders>
              <w:top w:val="nil"/>
              <w:left w:val="nil"/>
              <w:bottom w:val="nil"/>
              <w:right w:val="nil"/>
            </w:tcBorders>
            <w:shd w:val="clear" w:color="FFFFFF" w:fill="FFFFFF"/>
            <w:noWrap/>
            <w:vAlign w:val="bottom"/>
            <w:hideMark/>
          </w:tcPr>
          <w:p w14:paraId="03CF4D7C" w14:textId="77777777" w:rsidR="00520333" w:rsidRDefault="00520333" w:rsidP="005E5E0C">
            <w:pPr>
              <w:spacing w:after="0"/>
              <w:jc w:val="right"/>
              <w:rPr>
                <w:rFonts w:cs="Arial"/>
                <w:b/>
                <w:bCs/>
                <w:sz w:val="18"/>
                <w:szCs w:val="18"/>
              </w:rPr>
            </w:pPr>
            <w:r>
              <w:rPr>
                <w:rFonts w:cs="Arial"/>
                <w:b/>
                <w:bCs/>
                <w:sz w:val="18"/>
                <w:szCs w:val="18"/>
              </w:rPr>
              <w:t> </w:t>
            </w:r>
          </w:p>
        </w:tc>
        <w:tc>
          <w:tcPr>
            <w:tcW w:w="1380" w:type="dxa"/>
            <w:tcBorders>
              <w:top w:val="nil"/>
              <w:left w:val="nil"/>
              <w:bottom w:val="nil"/>
              <w:right w:val="nil"/>
            </w:tcBorders>
            <w:shd w:val="clear" w:color="FFFFFF" w:fill="FFFFFF"/>
            <w:noWrap/>
            <w:vAlign w:val="bottom"/>
            <w:hideMark/>
          </w:tcPr>
          <w:p w14:paraId="42DC48F1" w14:textId="77777777" w:rsidR="00520333" w:rsidRDefault="00520333" w:rsidP="005E5E0C">
            <w:pPr>
              <w:spacing w:after="0"/>
              <w:jc w:val="right"/>
              <w:rPr>
                <w:rFonts w:cs="Arial"/>
                <w:b/>
                <w:bCs/>
                <w:sz w:val="18"/>
                <w:szCs w:val="18"/>
              </w:rPr>
            </w:pPr>
            <w:r>
              <w:rPr>
                <w:rFonts w:cs="Arial"/>
                <w:b/>
                <w:bCs/>
                <w:sz w:val="18"/>
                <w:szCs w:val="18"/>
              </w:rPr>
              <w:t> </w:t>
            </w:r>
          </w:p>
        </w:tc>
        <w:tc>
          <w:tcPr>
            <w:tcW w:w="1378" w:type="dxa"/>
            <w:tcBorders>
              <w:top w:val="nil"/>
              <w:left w:val="nil"/>
              <w:bottom w:val="nil"/>
              <w:right w:val="nil"/>
            </w:tcBorders>
            <w:shd w:val="clear" w:color="FFFFFF" w:fill="FFFFFF"/>
            <w:noWrap/>
            <w:vAlign w:val="bottom"/>
            <w:hideMark/>
          </w:tcPr>
          <w:p w14:paraId="17E7220C" w14:textId="77777777" w:rsidR="00520333" w:rsidRDefault="00520333" w:rsidP="005E5E0C">
            <w:pPr>
              <w:spacing w:after="0"/>
              <w:jc w:val="right"/>
              <w:rPr>
                <w:rFonts w:cs="Arial"/>
                <w:b/>
                <w:bCs/>
                <w:sz w:val="18"/>
                <w:szCs w:val="18"/>
              </w:rPr>
            </w:pPr>
            <w:r>
              <w:rPr>
                <w:rFonts w:cs="Arial"/>
                <w:b/>
                <w:bCs/>
                <w:sz w:val="18"/>
                <w:szCs w:val="18"/>
              </w:rPr>
              <w:t> </w:t>
            </w:r>
          </w:p>
        </w:tc>
      </w:tr>
      <w:tr w:rsidR="00520333" w14:paraId="5A29A764" w14:textId="77777777" w:rsidTr="005E5E0C">
        <w:trPr>
          <w:trHeight w:val="250"/>
        </w:trPr>
        <w:tc>
          <w:tcPr>
            <w:tcW w:w="5283" w:type="dxa"/>
            <w:tcBorders>
              <w:top w:val="nil"/>
              <w:left w:val="nil"/>
              <w:bottom w:val="nil"/>
              <w:right w:val="nil"/>
            </w:tcBorders>
            <w:shd w:val="clear" w:color="FFFFFF" w:fill="FFFFFF"/>
            <w:noWrap/>
            <w:vAlign w:val="bottom"/>
            <w:hideMark/>
          </w:tcPr>
          <w:p w14:paraId="5FF534D9" w14:textId="77777777" w:rsidR="00520333" w:rsidRDefault="00520333" w:rsidP="005E5E0C">
            <w:pPr>
              <w:spacing w:after="0"/>
              <w:ind w:leftChars="100" w:left="240"/>
              <w:rPr>
                <w:rFonts w:cs="Arial"/>
                <w:sz w:val="18"/>
                <w:szCs w:val="18"/>
              </w:rPr>
            </w:pPr>
            <w:r>
              <w:rPr>
                <w:rFonts w:cs="Arial"/>
                <w:sz w:val="18"/>
                <w:szCs w:val="18"/>
              </w:rPr>
              <w:t>Purchases</w:t>
            </w:r>
          </w:p>
        </w:tc>
        <w:tc>
          <w:tcPr>
            <w:tcW w:w="1596" w:type="dxa"/>
            <w:tcBorders>
              <w:top w:val="nil"/>
              <w:left w:val="nil"/>
              <w:bottom w:val="nil"/>
              <w:right w:val="nil"/>
            </w:tcBorders>
            <w:shd w:val="clear" w:color="FFFFFF" w:fill="FFFFFF"/>
            <w:noWrap/>
            <w:vAlign w:val="bottom"/>
            <w:hideMark/>
          </w:tcPr>
          <w:p w14:paraId="5CF953D4" w14:textId="77777777" w:rsidR="00520333" w:rsidRDefault="00520333" w:rsidP="005E5E0C">
            <w:pPr>
              <w:spacing w:after="0"/>
              <w:jc w:val="right"/>
              <w:rPr>
                <w:rFonts w:cs="Arial"/>
                <w:b/>
                <w:bCs/>
                <w:sz w:val="18"/>
                <w:szCs w:val="18"/>
              </w:rPr>
            </w:pPr>
            <w:r>
              <w:rPr>
                <w:rFonts w:cs="Arial"/>
                <w:b/>
                <w:bCs/>
                <w:sz w:val="18"/>
                <w:szCs w:val="18"/>
              </w:rPr>
              <w:t>19,572</w:t>
            </w:r>
          </w:p>
        </w:tc>
        <w:tc>
          <w:tcPr>
            <w:tcW w:w="1380" w:type="dxa"/>
            <w:tcBorders>
              <w:top w:val="nil"/>
              <w:left w:val="nil"/>
              <w:bottom w:val="nil"/>
              <w:right w:val="nil"/>
            </w:tcBorders>
            <w:shd w:val="clear" w:color="FFFFFF" w:fill="FFFFFF"/>
            <w:noWrap/>
            <w:vAlign w:val="bottom"/>
            <w:hideMark/>
          </w:tcPr>
          <w:p w14:paraId="6411D48A" w14:textId="77777777" w:rsidR="00520333" w:rsidRDefault="00520333" w:rsidP="005E5E0C">
            <w:pPr>
              <w:spacing w:after="0"/>
              <w:jc w:val="right"/>
              <w:rPr>
                <w:rFonts w:cs="Arial"/>
                <w:b/>
                <w:bCs/>
                <w:sz w:val="18"/>
                <w:szCs w:val="18"/>
              </w:rPr>
            </w:pPr>
            <w:r>
              <w:rPr>
                <w:rFonts w:cs="Arial"/>
                <w:b/>
                <w:bCs/>
                <w:sz w:val="18"/>
                <w:szCs w:val="18"/>
              </w:rPr>
              <w:t>5,671</w:t>
            </w:r>
          </w:p>
        </w:tc>
        <w:tc>
          <w:tcPr>
            <w:tcW w:w="1378" w:type="dxa"/>
            <w:tcBorders>
              <w:top w:val="nil"/>
              <w:left w:val="nil"/>
              <w:bottom w:val="nil"/>
              <w:right w:val="nil"/>
            </w:tcBorders>
            <w:shd w:val="clear" w:color="FFFFFF" w:fill="FFFFFF"/>
            <w:noWrap/>
            <w:vAlign w:val="bottom"/>
            <w:hideMark/>
          </w:tcPr>
          <w:p w14:paraId="1B139AE3" w14:textId="77777777" w:rsidR="00520333" w:rsidRDefault="00520333" w:rsidP="005E5E0C">
            <w:pPr>
              <w:spacing w:after="0"/>
              <w:jc w:val="right"/>
              <w:rPr>
                <w:rFonts w:cs="Arial"/>
                <w:b/>
                <w:bCs/>
                <w:sz w:val="18"/>
                <w:szCs w:val="18"/>
              </w:rPr>
            </w:pPr>
            <w:r>
              <w:rPr>
                <w:rFonts w:cs="Arial"/>
                <w:b/>
                <w:bCs/>
                <w:sz w:val="18"/>
                <w:szCs w:val="18"/>
              </w:rPr>
              <w:t>25,243</w:t>
            </w:r>
          </w:p>
        </w:tc>
      </w:tr>
      <w:tr w:rsidR="00520333" w14:paraId="03F4624E" w14:textId="77777777" w:rsidTr="005E5E0C">
        <w:trPr>
          <w:trHeight w:val="250"/>
        </w:trPr>
        <w:tc>
          <w:tcPr>
            <w:tcW w:w="5283" w:type="dxa"/>
            <w:tcBorders>
              <w:top w:val="nil"/>
              <w:left w:val="nil"/>
              <w:bottom w:val="nil"/>
              <w:right w:val="nil"/>
            </w:tcBorders>
            <w:shd w:val="clear" w:color="FFFFFF" w:fill="FFFFFF"/>
            <w:noWrap/>
            <w:vAlign w:val="bottom"/>
            <w:hideMark/>
          </w:tcPr>
          <w:p w14:paraId="0B0798A0" w14:textId="77777777" w:rsidR="00520333" w:rsidRDefault="00520333" w:rsidP="005E5E0C">
            <w:pPr>
              <w:spacing w:after="0"/>
              <w:ind w:leftChars="100" w:left="240"/>
              <w:rPr>
                <w:rFonts w:cs="Arial"/>
                <w:sz w:val="18"/>
                <w:szCs w:val="18"/>
              </w:rPr>
            </w:pPr>
            <w:r>
              <w:rPr>
                <w:rFonts w:cs="Arial"/>
                <w:sz w:val="18"/>
                <w:szCs w:val="18"/>
              </w:rPr>
              <w:t>Right-of-use assets</w:t>
            </w:r>
          </w:p>
        </w:tc>
        <w:tc>
          <w:tcPr>
            <w:tcW w:w="1596" w:type="dxa"/>
            <w:tcBorders>
              <w:top w:val="nil"/>
              <w:left w:val="nil"/>
              <w:bottom w:val="nil"/>
              <w:right w:val="nil"/>
            </w:tcBorders>
            <w:shd w:val="clear" w:color="FFFFFF" w:fill="FFFFFF"/>
            <w:noWrap/>
            <w:vAlign w:val="bottom"/>
            <w:hideMark/>
          </w:tcPr>
          <w:p w14:paraId="3D76D7D0" w14:textId="77777777" w:rsidR="00520333" w:rsidRDefault="00520333" w:rsidP="005E5E0C">
            <w:pPr>
              <w:spacing w:after="0"/>
              <w:jc w:val="right"/>
              <w:rPr>
                <w:rFonts w:cs="Arial"/>
                <w:b/>
                <w:bCs/>
                <w:sz w:val="18"/>
                <w:szCs w:val="18"/>
              </w:rPr>
            </w:pPr>
            <w:r>
              <w:rPr>
                <w:rFonts w:cs="Arial"/>
                <w:b/>
                <w:bCs/>
                <w:sz w:val="18"/>
                <w:szCs w:val="18"/>
              </w:rPr>
              <w:t>45,202</w:t>
            </w:r>
          </w:p>
        </w:tc>
        <w:tc>
          <w:tcPr>
            <w:tcW w:w="1380" w:type="dxa"/>
            <w:tcBorders>
              <w:top w:val="nil"/>
              <w:left w:val="nil"/>
              <w:bottom w:val="nil"/>
              <w:right w:val="nil"/>
            </w:tcBorders>
            <w:shd w:val="clear" w:color="FFFFFF" w:fill="FFFFFF"/>
            <w:noWrap/>
            <w:vAlign w:val="bottom"/>
            <w:hideMark/>
          </w:tcPr>
          <w:p w14:paraId="13422E6B" w14:textId="77777777" w:rsidR="00520333" w:rsidRDefault="00520333" w:rsidP="005E5E0C">
            <w:pPr>
              <w:spacing w:after="0"/>
              <w:jc w:val="right"/>
              <w:rPr>
                <w:rFonts w:cs="Arial"/>
                <w:b/>
                <w:bCs/>
                <w:sz w:val="18"/>
                <w:szCs w:val="18"/>
              </w:rPr>
            </w:pPr>
            <w:r>
              <w:rPr>
                <w:rFonts w:cs="Arial"/>
                <w:b/>
                <w:bCs/>
                <w:sz w:val="18"/>
                <w:szCs w:val="18"/>
              </w:rPr>
              <w:t>1,127</w:t>
            </w:r>
          </w:p>
        </w:tc>
        <w:tc>
          <w:tcPr>
            <w:tcW w:w="1378" w:type="dxa"/>
            <w:tcBorders>
              <w:top w:val="nil"/>
              <w:left w:val="nil"/>
              <w:bottom w:val="nil"/>
              <w:right w:val="nil"/>
            </w:tcBorders>
            <w:shd w:val="clear" w:color="FFFFFF" w:fill="FFFFFF"/>
            <w:noWrap/>
            <w:vAlign w:val="bottom"/>
            <w:hideMark/>
          </w:tcPr>
          <w:p w14:paraId="6CFB68E7" w14:textId="77777777" w:rsidR="00520333" w:rsidRDefault="00520333" w:rsidP="005E5E0C">
            <w:pPr>
              <w:spacing w:after="0"/>
              <w:jc w:val="right"/>
              <w:rPr>
                <w:rFonts w:cs="Arial"/>
                <w:b/>
                <w:bCs/>
                <w:sz w:val="18"/>
                <w:szCs w:val="18"/>
              </w:rPr>
            </w:pPr>
            <w:r>
              <w:rPr>
                <w:rFonts w:cs="Arial"/>
                <w:b/>
                <w:bCs/>
                <w:sz w:val="18"/>
                <w:szCs w:val="18"/>
              </w:rPr>
              <w:t>46,329</w:t>
            </w:r>
          </w:p>
        </w:tc>
      </w:tr>
      <w:tr w:rsidR="00520333" w14:paraId="5D4FEF79" w14:textId="77777777" w:rsidTr="005E5E0C">
        <w:trPr>
          <w:trHeight w:val="250"/>
        </w:trPr>
        <w:tc>
          <w:tcPr>
            <w:tcW w:w="5283" w:type="dxa"/>
            <w:tcBorders>
              <w:top w:val="nil"/>
              <w:left w:val="nil"/>
              <w:bottom w:val="nil"/>
              <w:right w:val="nil"/>
            </w:tcBorders>
            <w:shd w:val="clear" w:color="FFFFFF" w:fill="FFFFFF"/>
            <w:vAlign w:val="bottom"/>
            <w:hideMark/>
          </w:tcPr>
          <w:p w14:paraId="516BEB87" w14:textId="77777777" w:rsidR="00520333" w:rsidRDefault="00520333" w:rsidP="005E5E0C">
            <w:pPr>
              <w:spacing w:after="0"/>
              <w:rPr>
                <w:rFonts w:cs="Arial"/>
                <w:sz w:val="18"/>
                <w:szCs w:val="18"/>
              </w:rPr>
            </w:pPr>
            <w:r>
              <w:rPr>
                <w:rFonts w:cs="Arial"/>
                <w:sz w:val="18"/>
                <w:szCs w:val="18"/>
              </w:rPr>
              <w:t>Depreciation expense</w:t>
            </w:r>
          </w:p>
        </w:tc>
        <w:tc>
          <w:tcPr>
            <w:tcW w:w="1596" w:type="dxa"/>
            <w:tcBorders>
              <w:top w:val="nil"/>
              <w:left w:val="nil"/>
              <w:bottom w:val="nil"/>
              <w:right w:val="nil"/>
            </w:tcBorders>
            <w:shd w:val="clear" w:color="FFFFFF" w:fill="FFFFFF"/>
            <w:noWrap/>
            <w:vAlign w:val="bottom"/>
            <w:hideMark/>
          </w:tcPr>
          <w:p w14:paraId="343785CA" w14:textId="77777777" w:rsidR="00520333" w:rsidRDefault="00520333" w:rsidP="005E5E0C">
            <w:pPr>
              <w:spacing w:after="0"/>
              <w:jc w:val="right"/>
              <w:rPr>
                <w:rFonts w:cs="Arial"/>
                <w:b/>
                <w:bCs/>
                <w:sz w:val="18"/>
                <w:szCs w:val="18"/>
              </w:rPr>
            </w:pPr>
            <w:r>
              <w:rPr>
                <w:rFonts w:cs="Arial"/>
                <w:b/>
                <w:bCs/>
                <w:sz w:val="18"/>
                <w:szCs w:val="18"/>
              </w:rPr>
              <w:t>(20,875)</w:t>
            </w:r>
          </w:p>
        </w:tc>
        <w:tc>
          <w:tcPr>
            <w:tcW w:w="1380" w:type="dxa"/>
            <w:tcBorders>
              <w:top w:val="nil"/>
              <w:left w:val="nil"/>
              <w:bottom w:val="nil"/>
              <w:right w:val="nil"/>
            </w:tcBorders>
            <w:shd w:val="clear" w:color="FFFFFF" w:fill="FFFFFF"/>
            <w:noWrap/>
            <w:vAlign w:val="bottom"/>
            <w:hideMark/>
          </w:tcPr>
          <w:p w14:paraId="511477DD" w14:textId="77777777" w:rsidR="00520333" w:rsidRDefault="00520333" w:rsidP="005E5E0C">
            <w:pPr>
              <w:spacing w:after="0"/>
              <w:jc w:val="right"/>
              <w:rPr>
                <w:rFonts w:cs="Arial"/>
                <w:b/>
                <w:bCs/>
                <w:sz w:val="18"/>
                <w:szCs w:val="18"/>
              </w:rPr>
            </w:pPr>
            <w:r>
              <w:rPr>
                <w:rFonts w:cs="Arial"/>
                <w:b/>
                <w:bCs/>
                <w:sz w:val="18"/>
                <w:szCs w:val="18"/>
              </w:rPr>
              <w:t>(6,271)</w:t>
            </w:r>
          </w:p>
        </w:tc>
        <w:tc>
          <w:tcPr>
            <w:tcW w:w="1378" w:type="dxa"/>
            <w:tcBorders>
              <w:top w:val="nil"/>
              <w:left w:val="nil"/>
              <w:bottom w:val="nil"/>
              <w:right w:val="nil"/>
            </w:tcBorders>
            <w:shd w:val="clear" w:color="FFFFFF" w:fill="FFFFFF"/>
            <w:noWrap/>
            <w:vAlign w:val="bottom"/>
            <w:hideMark/>
          </w:tcPr>
          <w:p w14:paraId="19473F31" w14:textId="77777777" w:rsidR="00520333" w:rsidRDefault="00520333" w:rsidP="005E5E0C">
            <w:pPr>
              <w:spacing w:after="0"/>
              <w:jc w:val="right"/>
              <w:rPr>
                <w:rFonts w:cs="Arial"/>
                <w:b/>
                <w:bCs/>
                <w:sz w:val="18"/>
                <w:szCs w:val="18"/>
              </w:rPr>
            </w:pPr>
            <w:r>
              <w:rPr>
                <w:rFonts w:cs="Arial"/>
                <w:b/>
                <w:bCs/>
                <w:sz w:val="18"/>
                <w:szCs w:val="18"/>
              </w:rPr>
              <w:t>(27,146)</w:t>
            </w:r>
          </w:p>
        </w:tc>
      </w:tr>
      <w:tr w:rsidR="00520333" w14:paraId="74FDDF3C" w14:textId="77777777" w:rsidTr="005E5E0C">
        <w:trPr>
          <w:trHeight w:val="250"/>
        </w:trPr>
        <w:tc>
          <w:tcPr>
            <w:tcW w:w="5283" w:type="dxa"/>
            <w:tcBorders>
              <w:top w:val="nil"/>
              <w:left w:val="nil"/>
              <w:bottom w:val="nil"/>
              <w:right w:val="nil"/>
            </w:tcBorders>
            <w:shd w:val="clear" w:color="FFFFFF" w:fill="FFFFFF"/>
            <w:vAlign w:val="bottom"/>
            <w:hideMark/>
          </w:tcPr>
          <w:p w14:paraId="5EA2E965" w14:textId="77777777" w:rsidR="00520333" w:rsidRDefault="00520333" w:rsidP="005E5E0C">
            <w:pPr>
              <w:spacing w:after="0"/>
              <w:rPr>
                <w:rFonts w:cs="Arial"/>
                <w:sz w:val="18"/>
                <w:szCs w:val="18"/>
              </w:rPr>
            </w:pPr>
            <w:r>
              <w:rPr>
                <w:rFonts w:cs="Arial"/>
                <w:sz w:val="18"/>
                <w:szCs w:val="18"/>
              </w:rPr>
              <w:t>ROU Depreciation expense</w:t>
            </w:r>
          </w:p>
        </w:tc>
        <w:tc>
          <w:tcPr>
            <w:tcW w:w="1596" w:type="dxa"/>
            <w:tcBorders>
              <w:top w:val="nil"/>
              <w:left w:val="nil"/>
              <w:bottom w:val="nil"/>
              <w:right w:val="nil"/>
            </w:tcBorders>
            <w:shd w:val="clear" w:color="FFFFFF" w:fill="FFFFFF"/>
            <w:noWrap/>
            <w:vAlign w:val="bottom"/>
            <w:hideMark/>
          </w:tcPr>
          <w:p w14:paraId="2AE0ABDF" w14:textId="77777777" w:rsidR="00520333" w:rsidRDefault="00520333" w:rsidP="005E5E0C">
            <w:pPr>
              <w:spacing w:after="0"/>
              <w:jc w:val="right"/>
              <w:rPr>
                <w:rFonts w:cs="Arial"/>
                <w:b/>
                <w:bCs/>
                <w:sz w:val="18"/>
                <w:szCs w:val="18"/>
              </w:rPr>
            </w:pPr>
            <w:r>
              <w:rPr>
                <w:rFonts w:cs="Arial"/>
                <w:b/>
                <w:bCs/>
                <w:sz w:val="18"/>
                <w:szCs w:val="18"/>
              </w:rPr>
              <w:t>(34,668)</w:t>
            </w:r>
          </w:p>
        </w:tc>
        <w:tc>
          <w:tcPr>
            <w:tcW w:w="1380" w:type="dxa"/>
            <w:tcBorders>
              <w:top w:val="nil"/>
              <w:left w:val="nil"/>
              <w:bottom w:val="nil"/>
              <w:right w:val="nil"/>
            </w:tcBorders>
            <w:shd w:val="clear" w:color="FFFFFF" w:fill="FFFFFF"/>
            <w:noWrap/>
            <w:vAlign w:val="bottom"/>
            <w:hideMark/>
          </w:tcPr>
          <w:p w14:paraId="082E5E3C" w14:textId="77777777" w:rsidR="00520333" w:rsidRDefault="00520333" w:rsidP="005E5E0C">
            <w:pPr>
              <w:spacing w:after="0"/>
              <w:jc w:val="right"/>
              <w:rPr>
                <w:rFonts w:cs="Arial"/>
                <w:b/>
                <w:bCs/>
                <w:sz w:val="18"/>
                <w:szCs w:val="18"/>
              </w:rPr>
            </w:pPr>
            <w:r>
              <w:rPr>
                <w:rFonts w:cs="Arial"/>
                <w:b/>
                <w:bCs/>
                <w:sz w:val="18"/>
                <w:szCs w:val="18"/>
              </w:rPr>
              <w:t>(453)</w:t>
            </w:r>
          </w:p>
        </w:tc>
        <w:tc>
          <w:tcPr>
            <w:tcW w:w="1378" w:type="dxa"/>
            <w:tcBorders>
              <w:top w:val="nil"/>
              <w:left w:val="nil"/>
              <w:bottom w:val="nil"/>
              <w:right w:val="nil"/>
            </w:tcBorders>
            <w:shd w:val="clear" w:color="FFFFFF" w:fill="FFFFFF"/>
            <w:noWrap/>
            <w:vAlign w:val="bottom"/>
            <w:hideMark/>
          </w:tcPr>
          <w:p w14:paraId="75E1DD90" w14:textId="77777777" w:rsidR="00520333" w:rsidRDefault="00520333" w:rsidP="005E5E0C">
            <w:pPr>
              <w:spacing w:after="0"/>
              <w:jc w:val="right"/>
              <w:rPr>
                <w:rFonts w:cs="Arial"/>
                <w:b/>
                <w:bCs/>
                <w:sz w:val="18"/>
                <w:szCs w:val="18"/>
              </w:rPr>
            </w:pPr>
            <w:r>
              <w:rPr>
                <w:rFonts w:cs="Arial"/>
                <w:b/>
                <w:bCs/>
                <w:sz w:val="18"/>
                <w:szCs w:val="18"/>
              </w:rPr>
              <w:t>(35,121)</w:t>
            </w:r>
          </w:p>
        </w:tc>
      </w:tr>
      <w:tr w:rsidR="00520333" w14:paraId="4084F9FF" w14:textId="77777777" w:rsidTr="005E5E0C">
        <w:trPr>
          <w:trHeight w:val="250"/>
        </w:trPr>
        <w:tc>
          <w:tcPr>
            <w:tcW w:w="5283" w:type="dxa"/>
            <w:tcBorders>
              <w:top w:val="nil"/>
              <w:left w:val="nil"/>
              <w:bottom w:val="nil"/>
              <w:right w:val="nil"/>
            </w:tcBorders>
            <w:shd w:val="clear" w:color="FFFFFF" w:fill="FFFFFF"/>
            <w:vAlign w:val="bottom"/>
            <w:hideMark/>
          </w:tcPr>
          <w:p w14:paraId="4A69FFCD" w14:textId="77777777" w:rsidR="00520333" w:rsidRDefault="00520333" w:rsidP="005E5E0C">
            <w:pPr>
              <w:spacing w:after="0"/>
              <w:rPr>
                <w:rFonts w:cs="Arial"/>
                <w:sz w:val="18"/>
                <w:szCs w:val="18"/>
              </w:rPr>
            </w:pPr>
            <w:r>
              <w:rPr>
                <w:rFonts w:cs="Arial"/>
                <w:sz w:val="18"/>
                <w:szCs w:val="18"/>
              </w:rPr>
              <w:t>Revaluations in other comprehensive income</w:t>
            </w:r>
          </w:p>
        </w:tc>
        <w:tc>
          <w:tcPr>
            <w:tcW w:w="1596" w:type="dxa"/>
            <w:tcBorders>
              <w:top w:val="nil"/>
              <w:left w:val="nil"/>
              <w:bottom w:val="nil"/>
              <w:right w:val="nil"/>
            </w:tcBorders>
            <w:shd w:val="clear" w:color="FFFFFF" w:fill="FFFFFF"/>
            <w:noWrap/>
            <w:vAlign w:val="bottom"/>
            <w:hideMark/>
          </w:tcPr>
          <w:p w14:paraId="5F8730D0" w14:textId="77777777" w:rsidR="00520333" w:rsidRDefault="00520333" w:rsidP="005E5E0C">
            <w:pPr>
              <w:spacing w:after="0"/>
              <w:jc w:val="right"/>
              <w:rPr>
                <w:rFonts w:cs="Arial"/>
                <w:b/>
                <w:bCs/>
                <w:sz w:val="18"/>
                <w:szCs w:val="18"/>
              </w:rPr>
            </w:pPr>
            <w:r>
              <w:rPr>
                <w:rFonts w:cs="Arial"/>
                <w:b/>
                <w:bCs/>
                <w:sz w:val="18"/>
                <w:szCs w:val="18"/>
              </w:rPr>
              <w:t>8,552</w:t>
            </w:r>
          </w:p>
        </w:tc>
        <w:tc>
          <w:tcPr>
            <w:tcW w:w="1380" w:type="dxa"/>
            <w:tcBorders>
              <w:top w:val="nil"/>
              <w:left w:val="nil"/>
              <w:bottom w:val="nil"/>
              <w:right w:val="nil"/>
            </w:tcBorders>
            <w:shd w:val="clear" w:color="FFFFFF" w:fill="FFFFFF"/>
            <w:noWrap/>
            <w:vAlign w:val="bottom"/>
            <w:hideMark/>
          </w:tcPr>
          <w:p w14:paraId="6068977E" w14:textId="77777777" w:rsidR="00520333" w:rsidRDefault="00520333" w:rsidP="005E5E0C">
            <w:pPr>
              <w:spacing w:after="0"/>
              <w:jc w:val="right"/>
              <w:rPr>
                <w:rFonts w:cs="Arial"/>
                <w:b/>
                <w:bCs/>
                <w:sz w:val="18"/>
                <w:szCs w:val="18"/>
              </w:rPr>
            </w:pPr>
            <w:r>
              <w:rPr>
                <w:rFonts w:cs="Arial"/>
                <w:b/>
                <w:bCs/>
                <w:sz w:val="18"/>
                <w:szCs w:val="18"/>
              </w:rPr>
              <w:t>-</w:t>
            </w:r>
          </w:p>
        </w:tc>
        <w:tc>
          <w:tcPr>
            <w:tcW w:w="1378" w:type="dxa"/>
            <w:tcBorders>
              <w:top w:val="nil"/>
              <w:left w:val="nil"/>
              <w:bottom w:val="nil"/>
              <w:right w:val="nil"/>
            </w:tcBorders>
            <w:shd w:val="clear" w:color="FFFFFF" w:fill="FFFFFF"/>
            <w:noWrap/>
            <w:vAlign w:val="bottom"/>
            <w:hideMark/>
          </w:tcPr>
          <w:p w14:paraId="2788A740" w14:textId="77777777" w:rsidR="00520333" w:rsidRDefault="00520333" w:rsidP="005E5E0C">
            <w:pPr>
              <w:spacing w:after="0"/>
              <w:jc w:val="right"/>
              <w:rPr>
                <w:rFonts w:cs="Arial"/>
                <w:b/>
                <w:bCs/>
                <w:sz w:val="18"/>
                <w:szCs w:val="18"/>
              </w:rPr>
            </w:pPr>
            <w:r>
              <w:rPr>
                <w:rFonts w:cs="Arial"/>
                <w:b/>
                <w:bCs/>
                <w:sz w:val="18"/>
                <w:szCs w:val="18"/>
              </w:rPr>
              <w:t>8,552</w:t>
            </w:r>
          </w:p>
        </w:tc>
      </w:tr>
      <w:tr w:rsidR="00520333" w14:paraId="1A18EFDF" w14:textId="77777777" w:rsidTr="005E5E0C">
        <w:trPr>
          <w:trHeight w:val="250"/>
        </w:trPr>
        <w:tc>
          <w:tcPr>
            <w:tcW w:w="5283" w:type="dxa"/>
            <w:tcBorders>
              <w:top w:val="nil"/>
              <w:left w:val="nil"/>
              <w:bottom w:val="nil"/>
              <w:right w:val="nil"/>
            </w:tcBorders>
            <w:shd w:val="clear" w:color="FFFFFF" w:fill="FFFFFF"/>
            <w:noWrap/>
            <w:vAlign w:val="bottom"/>
            <w:hideMark/>
          </w:tcPr>
          <w:p w14:paraId="48778ADF" w14:textId="77777777" w:rsidR="00520333" w:rsidRDefault="00520333" w:rsidP="005E5E0C">
            <w:pPr>
              <w:spacing w:after="0"/>
              <w:rPr>
                <w:rFonts w:cs="Arial"/>
                <w:sz w:val="18"/>
                <w:szCs w:val="18"/>
              </w:rPr>
            </w:pPr>
            <w:r>
              <w:rPr>
                <w:rFonts w:cs="Arial"/>
                <w:sz w:val="18"/>
                <w:szCs w:val="18"/>
              </w:rPr>
              <w:t>Other movements on right-of-use assets</w:t>
            </w:r>
          </w:p>
        </w:tc>
        <w:tc>
          <w:tcPr>
            <w:tcW w:w="1596" w:type="dxa"/>
            <w:tcBorders>
              <w:top w:val="nil"/>
              <w:left w:val="nil"/>
              <w:bottom w:val="nil"/>
              <w:right w:val="nil"/>
            </w:tcBorders>
            <w:shd w:val="clear" w:color="FFFFFF" w:fill="FFFFFF"/>
            <w:noWrap/>
            <w:vAlign w:val="bottom"/>
            <w:hideMark/>
          </w:tcPr>
          <w:p w14:paraId="2D1761AF" w14:textId="77777777" w:rsidR="00520333" w:rsidRDefault="00520333" w:rsidP="005E5E0C">
            <w:pPr>
              <w:spacing w:after="0"/>
              <w:jc w:val="right"/>
              <w:rPr>
                <w:rFonts w:cs="Arial"/>
                <w:b/>
                <w:bCs/>
                <w:sz w:val="18"/>
                <w:szCs w:val="18"/>
              </w:rPr>
            </w:pPr>
            <w:r>
              <w:rPr>
                <w:rFonts w:cs="Arial"/>
                <w:b/>
                <w:bCs/>
                <w:sz w:val="18"/>
                <w:szCs w:val="18"/>
              </w:rPr>
              <w:t>(3,704)</w:t>
            </w:r>
          </w:p>
        </w:tc>
        <w:tc>
          <w:tcPr>
            <w:tcW w:w="1380" w:type="dxa"/>
            <w:tcBorders>
              <w:top w:val="nil"/>
              <w:left w:val="nil"/>
              <w:bottom w:val="nil"/>
              <w:right w:val="nil"/>
            </w:tcBorders>
            <w:shd w:val="clear" w:color="FFFFFF" w:fill="FFFFFF"/>
            <w:noWrap/>
            <w:vAlign w:val="bottom"/>
            <w:hideMark/>
          </w:tcPr>
          <w:p w14:paraId="750B33CA" w14:textId="77777777" w:rsidR="00520333" w:rsidRDefault="00520333" w:rsidP="005E5E0C">
            <w:pPr>
              <w:spacing w:after="0"/>
              <w:jc w:val="right"/>
              <w:rPr>
                <w:rFonts w:cs="Arial"/>
                <w:b/>
                <w:bCs/>
                <w:sz w:val="18"/>
                <w:szCs w:val="18"/>
              </w:rPr>
            </w:pPr>
            <w:r>
              <w:rPr>
                <w:rFonts w:cs="Arial"/>
                <w:b/>
                <w:bCs/>
                <w:sz w:val="18"/>
                <w:szCs w:val="18"/>
              </w:rPr>
              <w:t>242</w:t>
            </w:r>
          </w:p>
        </w:tc>
        <w:tc>
          <w:tcPr>
            <w:tcW w:w="1378" w:type="dxa"/>
            <w:tcBorders>
              <w:top w:val="nil"/>
              <w:left w:val="nil"/>
              <w:bottom w:val="nil"/>
              <w:right w:val="nil"/>
            </w:tcBorders>
            <w:shd w:val="clear" w:color="FFFFFF" w:fill="FFFFFF"/>
            <w:noWrap/>
            <w:vAlign w:val="bottom"/>
            <w:hideMark/>
          </w:tcPr>
          <w:p w14:paraId="49CEB595" w14:textId="77777777" w:rsidR="00520333" w:rsidRDefault="00520333" w:rsidP="005E5E0C">
            <w:pPr>
              <w:spacing w:after="0"/>
              <w:jc w:val="right"/>
              <w:rPr>
                <w:rFonts w:cs="Arial"/>
                <w:b/>
                <w:bCs/>
                <w:sz w:val="18"/>
                <w:szCs w:val="18"/>
              </w:rPr>
            </w:pPr>
            <w:r>
              <w:rPr>
                <w:rFonts w:cs="Arial"/>
                <w:b/>
                <w:bCs/>
                <w:sz w:val="18"/>
                <w:szCs w:val="18"/>
              </w:rPr>
              <w:t>(3,462)</w:t>
            </w:r>
          </w:p>
        </w:tc>
      </w:tr>
      <w:tr w:rsidR="00520333" w14:paraId="1F4A737A" w14:textId="77777777" w:rsidTr="005E5E0C">
        <w:trPr>
          <w:trHeight w:val="250"/>
        </w:trPr>
        <w:tc>
          <w:tcPr>
            <w:tcW w:w="5283" w:type="dxa"/>
            <w:tcBorders>
              <w:top w:val="single" w:sz="4" w:space="0" w:color="auto"/>
              <w:left w:val="nil"/>
              <w:bottom w:val="single" w:sz="4" w:space="0" w:color="auto"/>
              <w:right w:val="nil"/>
            </w:tcBorders>
            <w:shd w:val="clear" w:color="FFFFFF" w:fill="FFFFFF"/>
            <w:vAlign w:val="bottom"/>
            <w:hideMark/>
          </w:tcPr>
          <w:p w14:paraId="49B6F037" w14:textId="77777777" w:rsidR="00520333" w:rsidRDefault="00520333" w:rsidP="005E5E0C">
            <w:pPr>
              <w:spacing w:after="0"/>
              <w:rPr>
                <w:rFonts w:cs="Arial"/>
                <w:b/>
                <w:bCs/>
                <w:sz w:val="18"/>
                <w:szCs w:val="18"/>
              </w:rPr>
            </w:pPr>
            <w:r>
              <w:rPr>
                <w:rFonts w:cs="Arial"/>
                <w:b/>
                <w:bCs/>
                <w:sz w:val="18"/>
                <w:szCs w:val="18"/>
              </w:rPr>
              <w:t>Net book value 30 June 2024</w:t>
            </w:r>
          </w:p>
        </w:tc>
        <w:tc>
          <w:tcPr>
            <w:tcW w:w="1596" w:type="dxa"/>
            <w:tcBorders>
              <w:top w:val="single" w:sz="4" w:space="0" w:color="auto"/>
              <w:left w:val="nil"/>
              <w:bottom w:val="single" w:sz="4" w:space="0" w:color="auto"/>
              <w:right w:val="nil"/>
            </w:tcBorders>
            <w:shd w:val="clear" w:color="FFFFFF" w:fill="FFFFFF"/>
            <w:noWrap/>
            <w:vAlign w:val="bottom"/>
            <w:hideMark/>
          </w:tcPr>
          <w:p w14:paraId="0A2A3C49" w14:textId="77777777" w:rsidR="00520333" w:rsidRDefault="00520333" w:rsidP="005E5E0C">
            <w:pPr>
              <w:spacing w:after="0"/>
              <w:jc w:val="right"/>
              <w:rPr>
                <w:rFonts w:cs="Arial"/>
                <w:b/>
                <w:bCs/>
                <w:sz w:val="18"/>
                <w:szCs w:val="18"/>
              </w:rPr>
            </w:pPr>
            <w:r>
              <w:rPr>
                <w:rFonts w:cs="Arial"/>
                <w:b/>
                <w:bCs/>
                <w:sz w:val="18"/>
                <w:szCs w:val="18"/>
              </w:rPr>
              <w:t>237,892</w:t>
            </w:r>
          </w:p>
        </w:tc>
        <w:tc>
          <w:tcPr>
            <w:tcW w:w="1380" w:type="dxa"/>
            <w:tcBorders>
              <w:top w:val="single" w:sz="4" w:space="0" w:color="auto"/>
              <w:left w:val="nil"/>
              <w:bottom w:val="single" w:sz="4" w:space="0" w:color="auto"/>
              <w:right w:val="nil"/>
            </w:tcBorders>
            <w:shd w:val="clear" w:color="FFFFFF" w:fill="FFFFFF"/>
            <w:noWrap/>
            <w:vAlign w:val="bottom"/>
            <w:hideMark/>
          </w:tcPr>
          <w:p w14:paraId="115768E1" w14:textId="77777777" w:rsidR="00520333" w:rsidRDefault="00520333" w:rsidP="005E5E0C">
            <w:pPr>
              <w:spacing w:after="0"/>
              <w:jc w:val="right"/>
              <w:rPr>
                <w:rFonts w:cs="Arial"/>
                <w:b/>
                <w:bCs/>
                <w:sz w:val="18"/>
                <w:szCs w:val="18"/>
              </w:rPr>
            </w:pPr>
            <w:r>
              <w:rPr>
                <w:rFonts w:cs="Arial"/>
                <w:b/>
                <w:bCs/>
                <w:sz w:val="18"/>
                <w:szCs w:val="18"/>
              </w:rPr>
              <w:t>9,364</w:t>
            </w:r>
          </w:p>
        </w:tc>
        <w:tc>
          <w:tcPr>
            <w:tcW w:w="1378" w:type="dxa"/>
            <w:tcBorders>
              <w:top w:val="single" w:sz="4" w:space="0" w:color="auto"/>
              <w:left w:val="nil"/>
              <w:bottom w:val="single" w:sz="4" w:space="0" w:color="auto"/>
              <w:right w:val="nil"/>
            </w:tcBorders>
            <w:shd w:val="clear" w:color="FFFFFF" w:fill="FFFFFF"/>
            <w:noWrap/>
            <w:vAlign w:val="bottom"/>
            <w:hideMark/>
          </w:tcPr>
          <w:p w14:paraId="615F4798" w14:textId="77777777" w:rsidR="00520333" w:rsidRDefault="00520333" w:rsidP="005E5E0C">
            <w:pPr>
              <w:spacing w:after="0"/>
              <w:jc w:val="right"/>
              <w:rPr>
                <w:rFonts w:cs="Arial"/>
                <w:b/>
                <w:bCs/>
                <w:sz w:val="18"/>
                <w:szCs w:val="18"/>
              </w:rPr>
            </w:pPr>
            <w:r>
              <w:rPr>
                <w:rFonts w:cs="Arial"/>
                <w:b/>
                <w:bCs/>
                <w:sz w:val="18"/>
                <w:szCs w:val="18"/>
              </w:rPr>
              <w:t>247,256</w:t>
            </w:r>
          </w:p>
        </w:tc>
      </w:tr>
      <w:tr w:rsidR="00520333" w14:paraId="3D5AE2A1" w14:textId="77777777" w:rsidTr="005E5E0C">
        <w:trPr>
          <w:trHeight w:val="250"/>
        </w:trPr>
        <w:tc>
          <w:tcPr>
            <w:tcW w:w="5283" w:type="dxa"/>
            <w:tcBorders>
              <w:top w:val="nil"/>
              <w:left w:val="nil"/>
              <w:bottom w:val="nil"/>
              <w:right w:val="nil"/>
            </w:tcBorders>
            <w:shd w:val="clear" w:color="FFFFFF" w:fill="FFFFFF"/>
            <w:noWrap/>
            <w:vAlign w:val="bottom"/>
            <w:hideMark/>
          </w:tcPr>
          <w:p w14:paraId="063CE052" w14:textId="77777777" w:rsidR="00520333" w:rsidRDefault="00520333" w:rsidP="005E5E0C">
            <w:pPr>
              <w:spacing w:after="0"/>
              <w:rPr>
                <w:rFonts w:cs="Arial"/>
                <w:b/>
                <w:bCs/>
                <w:sz w:val="18"/>
                <w:szCs w:val="18"/>
              </w:rPr>
            </w:pPr>
            <w:r>
              <w:rPr>
                <w:rFonts w:cs="Arial"/>
                <w:b/>
                <w:bCs/>
                <w:sz w:val="18"/>
                <w:szCs w:val="18"/>
              </w:rPr>
              <w:t> </w:t>
            </w:r>
          </w:p>
        </w:tc>
        <w:tc>
          <w:tcPr>
            <w:tcW w:w="1596" w:type="dxa"/>
            <w:tcBorders>
              <w:top w:val="nil"/>
              <w:left w:val="nil"/>
              <w:bottom w:val="nil"/>
              <w:right w:val="nil"/>
            </w:tcBorders>
            <w:shd w:val="clear" w:color="FFFFFF" w:fill="FFFFFF"/>
            <w:noWrap/>
            <w:vAlign w:val="bottom"/>
            <w:hideMark/>
          </w:tcPr>
          <w:p w14:paraId="68766AD3" w14:textId="77777777" w:rsidR="00520333" w:rsidRDefault="00520333" w:rsidP="005E5E0C">
            <w:pPr>
              <w:spacing w:after="0"/>
              <w:rPr>
                <w:rFonts w:cs="Arial"/>
                <w:b/>
                <w:bCs/>
                <w:sz w:val="18"/>
                <w:szCs w:val="18"/>
              </w:rPr>
            </w:pPr>
            <w:r>
              <w:rPr>
                <w:rFonts w:cs="Arial"/>
                <w:b/>
                <w:bCs/>
                <w:sz w:val="18"/>
                <w:szCs w:val="18"/>
              </w:rPr>
              <w:t> </w:t>
            </w:r>
          </w:p>
        </w:tc>
        <w:tc>
          <w:tcPr>
            <w:tcW w:w="1380" w:type="dxa"/>
            <w:tcBorders>
              <w:top w:val="nil"/>
              <w:left w:val="nil"/>
              <w:bottom w:val="nil"/>
              <w:right w:val="nil"/>
            </w:tcBorders>
            <w:shd w:val="clear" w:color="FFFFFF" w:fill="FFFFFF"/>
            <w:noWrap/>
            <w:vAlign w:val="bottom"/>
            <w:hideMark/>
          </w:tcPr>
          <w:p w14:paraId="21ED13F8" w14:textId="77777777" w:rsidR="00520333" w:rsidRDefault="00520333" w:rsidP="005E5E0C">
            <w:pPr>
              <w:spacing w:after="0"/>
              <w:rPr>
                <w:rFonts w:cs="Arial"/>
                <w:b/>
                <w:bCs/>
                <w:sz w:val="18"/>
                <w:szCs w:val="18"/>
              </w:rPr>
            </w:pPr>
            <w:r>
              <w:rPr>
                <w:rFonts w:cs="Arial"/>
                <w:b/>
                <w:bCs/>
                <w:sz w:val="18"/>
                <w:szCs w:val="18"/>
              </w:rPr>
              <w:t> </w:t>
            </w:r>
          </w:p>
        </w:tc>
        <w:tc>
          <w:tcPr>
            <w:tcW w:w="1378" w:type="dxa"/>
            <w:tcBorders>
              <w:top w:val="nil"/>
              <w:left w:val="nil"/>
              <w:bottom w:val="nil"/>
              <w:right w:val="nil"/>
            </w:tcBorders>
            <w:shd w:val="clear" w:color="FFFFFF" w:fill="FFFFFF"/>
            <w:noWrap/>
            <w:vAlign w:val="bottom"/>
            <w:hideMark/>
          </w:tcPr>
          <w:p w14:paraId="1F23D97A" w14:textId="77777777" w:rsidR="00520333" w:rsidRDefault="00520333" w:rsidP="005E5E0C">
            <w:pPr>
              <w:spacing w:after="0"/>
              <w:rPr>
                <w:rFonts w:cs="Arial"/>
                <w:b/>
                <w:bCs/>
                <w:sz w:val="18"/>
                <w:szCs w:val="18"/>
              </w:rPr>
            </w:pPr>
            <w:r>
              <w:rPr>
                <w:rFonts w:cs="Arial"/>
                <w:b/>
                <w:bCs/>
                <w:sz w:val="18"/>
                <w:szCs w:val="18"/>
              </w:rPr>
              <w:t> </w:t>
            </w:r>
          </w:p>
        </w:tc>
      </w:tr>
      <w:tr w:rsidR="00520333" w14:paraId="617F4598" w14:textId="77777777" w:rsidTr="005E5E0C">
        <w:trPr>
          <w:trHeight w:val="250"/>
        </w:trPr>
        <w:tc>
          <w:tcPr>
            <w:tcW w:w="5283" w:type="dxa"/>
            <w:tcBorders>
              <w:top w:val="nil"/>
              <w:left w:val="nil"/>
              <w:bottom w:val="nil"/>
              <w:right w:val="nil"/>
            </w:tcBorders>
            <w:shd w:val="clear" w:color="FFFFFF" w:fill="FFFFFF"/>
            <w:vAlign w:val="bottom"/>
            <w:hideMark/>
          </w:tcPr>
          <w:p w14:paraId="62B51500" w14:textId="77777777" w:rsidR="00520333" w:rsidRDefault="00520333" w:rsidP="005E5E0C">
            <w:pPr>
              <w:spacing w:after="0"/>
              <w:rPr>
                <w:rFonts w:cs="Arial"/>
                <w:b/>
                <w:bCs/>
                <w:sz w:val="18"/>
                <w:szCs w:val="18"/>
              </w:rPr>
            </w:pPr>
            <w:r>
              <w:rPr>
                <w:rFonts w:cs="Arial"/>
                <w:b/>
                <w:bCs/>
                <w:sz w:val="18"/>
                <w:szCs w:val="18"/>
              </w:rPr>
              <w:t>Net book value as at 30 June 2024 represented by:</w:t>
            </w:r>
          </w:p>
        </w:tc>
        <w:tc>
          <w:tcPr>
            <w:tcW w:w="1596" w:type="dxa"/>
            <w:tcBorders>
              <w:top w:val="nil"/>
              <w:left w:val="nil"/>
              <w:bottom w:val="nil"/>
              <w:right w:val="nil"/>
            </w:tcBorders>
            <w:shd w:val="clear" w:color="FFFFFF" w:fill="FFFFFF"/>
            <w:noWrap/>
            <w:vAlign w:val="bottom"/>
            <w:hideMark/>
          </w:tcPr>
          <w:p w14:paraId="57F38B06" w14:textId="77777777" w:rsidR="00520333" w:rsidRDefault="00520333" w:rsidP="005E5E0C">
            <w:pPr>
              <w:spacing w:after="0"/>
              <w:rPr>
                <w:rFonts w:cs="Arial"/>
                <w:b/>
                <w:bCs/>
                <w:sz w:val="18"/>
                <w:szCs w:val="18"/>
              </w:rPr>
            </w:pPr>
            <w:r>
              <w:rPr>
                <w:rFonts w:cs="Arial"/>
                <w:b/>
                <w:bCs/>
                <w:sz w:val="18"/>
                <w:szCs w:val="18"/>
              </w:rPr>
              <w:t> </w:t>
            </w:r>
          </w:p>
        </w:tc>
        <w:tc>
          <w:tcPr>
            <w:tcW w:w="1380" w:type="dxa"/>
            <w:tcBorders>
              <w:top w:val="nil"/>
              <w:left w:val="nil"/>
              <w:bottom w:val="nil"/>
              <w:right w:val="nil"/>
            </w:tcBorders>
            <w:shd w:val="clear" w:color="FFFFFF" w:fill="FFFFFF"/>
            <w:noWrap/>
            <w:vAlign w:val="bottom"/>
            <w:hideMark/>
          </w:tcPr>
          <w:p w14:paraId="35293FD8" w14:textId="77777777" w:rsidR="00520333" w:rsidRDefault="00520333" w:rsidP="005E5E0C">
            <w:pPr>
              <w:spacing w:after="0"/>
              <w:rPr>
                <w:rFonts w:cs="Arial"/>
                <w:b/>
                <w:bCs/>
                <w:sz w:val="18"/>
                <w:szCs w:val="18"/>
              </w:rPr>
            </w:pPr>
            <w:r>
              <w:rPr>
                <w:rFonts w:cs="Arial"/>
                <w:b/>
                <w:bCs/>
                <w:sz w:val="18"/>
                <w:szCs w:val="18"/>
              </w:rPr>
              <w:t> </w:t>
            </w:r>
          </w:p>
        </w:tc>
        <w:tc>
          <w:tcPr>
            <w:tcW w:w="1378" w:type="dxa"/>
            <w:tcBorders>
              <w:top w:val="nil"/>
              <w:left w:val="nil"/>
              <w:bottom w:val="nil"/>
              <w:right w:val="nil"/>
            </w:tcBorders>
            <w:shd w:val="clear" w:color="FFFFFF" w:fill="FFFFFF"/>
            <w:noWrap/>
            <w:vAlign w:val="bottom"/>
            <w:hideMark/>
          </w:tcPr>
          <w:p w14:paraId="0A831312" w14:textId="77777777" w:rsidR="00520333" w:rsidRDefault="00520333" w:rsidP="005E5E0C">
            <w:pPr>
              <w:spacing w:after="0"/>
              <w:rPr>
                <w:rFonts w:cs="Arial"/>
                <w:b/>
                <w:bCs/>
                <w:sz w:val="18"/>
                <w:szCs w:val="18"/>
              </w:rPr>
            </w:pPr>
            <w:r>
              <w:rPr>
                <w:rFonts w:cs="Arial"/>
                <w:b/>
                <w:bCs/>
                <w:sz w:val="18"/>
                <w:szCs w:val="18"/>
              </w:rPr>
              <w:t> </w:t>
            </w:r>
          </w:p>
        </w:tc>
      </w:tr>
      <w:tr w:rsidR="00520333" w14:paraId="79F151F8" w14:textId="77777777" w:rsidTr="005E5E0C">
        <w:trPr>
          <w:trHeight w:val="250"/>
        </w:trPr>
        <w:tc>
          <w:tcPr>
            <w:tcW w:w="5283" w:type="dxa"/>
            <w:tcBorders>
              <w:top w:val="nil"/>
              <w:left w:val="nil"/>
              <w:bottom w:val="nil"/>
              <w:right w:val="nil"/>
            </w:tcBorders>
            <w:shd w:val="clear" w:color="FFFFFF" w:fill="FFFFFF"/>
            <w:vAlign w:val="bottom"/>
            <w:hideMark/>
          </w:tcPr>
          <w:p w14:paraId="6A9DD0ED" w14:textId="77777777" w:rsidR="00520333" w:rsidRDefault="00520333" w:rsidP="005E5E0C">
            <w:pPr>
              <w:spacing w:after="0"/>
              <w:rPr>
                <w:rFonts w:cs="Arial"/>
                <w:sz w:val="18"/>
                <w:szCs w:val="18"/>
              </w:rPr>
            </w:pPr>
            <w:r>
              <w:rPr>
                <w:rFonts w:cs="Arial"/>
                <w:sz w:val="18"/>
                <w:szCs w:val="18"/>
              </w:rPr>
              <w:t>Gross book value</w:t>
            </w:r>
          </w:p>
        </w:tc>
        <w:tc>
          <w:tcPr>
            <w:tcW w:w="1596" w:type="dxa"/>
            <w:tcBorders>
              <w:top w:val="nil"/>
              <w:left w:val="nil"/>
              <w:bottom w:val="nil"/>
              <w:right w:val="nil"/>
            </w:tcBorders>
            <w:shd w:val="clear" w:color="FFFFFF" w:fill="FFFFFF"/>
            <w:noWrap/>
            <w:vAlign w:val="bottom"/>
            <w:hideMark/>
          </w:tcPr>
          <w:p w14:paraId="436505D7" w14:textId="77777777" w:rsidR="00520333" w:rsidRDefault="00520333" w:rsidP="005E5E0C">
            <w:pPr>
              <w:spacing w:after="0"/>
              <w:jc w:val="right"/>
              <w:rPr>
                <w:rFonts w:cs="Arial"/>
                <w:b/>
                <w:bCs/>
                <w:sz w:val="18"/>
                <w:szCs w:val="18"/>
              </w:rPr>
            </w:pPr>
            <w:r>
              <w:rPr>
                <w:rFonts w:cs="Arial"/>
                <w:b/>
                <w:bCs/>
                <w:sz w:val="18"/>
                <w:szCs w:val="18"/>
              </w:rPr>
              <w:t>425,803</w:t>
            </w:r>
          </w:p>
        </w:tc>
        <w:tc>
          <w:tcPr>
            <w:tcW w:w="1380" w:type="dxa"/>
            <w:tcBorders>
              <w:top w:val="nil"/>
              <w:left w:val="nil"/>
              <w:bottom w:val="nil"/>
              <w:right w:val="nil"/>
            </w:tcBorders>
            <w:shd w:val="clear" w:color="FFFFFF" w:fill="FFFFFF"/>
            <w:noWrap/>
            <w:vAlign w:val="bottom"/>
            <w:hideMark/>
          </w:tcPr>
          <w:p w14:paraId="159DD89B" w14:textId="77777777" w:rsidR="00520333" w:rsidRDefault="00520333" w:rsidP="005E5E0C">
            <w:pPr>
              <w:spacing w:after="0"/>
              <w:jc w:val="right"/>
              <w:rPr>
                <w:rFonts w:cs="Arial"/>
                <w:b/>
                <w:bCs/>
                <w:sz w:val="18"/>
                <w:szCs w:val="18"/>
              </w:rPr>
            </w:pPr>
            <w:r>
              <w:rPr>
                <w:rFonts w:cs="Arial"/>
                <w:b/>
                <w:bCs/>
                <w:sz w:val="18"/>
                <w:szCs w:val="18"/>
              </w:rPr>
              <w:t>24,627</w:t>
            </w:r>
          </w:p>
        </w:tc>
        <w:tc>
          <w:tcPr>
            <w:tcW w:w="1378" w:type="dxa"/>
            <w:tcBorders>
              <w:top w:val="nil"/>
              <w:left w:val="nil"/>
              <w:bottom w:val="nil"/>
              <w:right w:val="nil"/>
            </w:tcBorders>
            <w:shd w:val="clear" w:color="FFFFFF" w:fill="FFFFFF"/>
            <w:noWrap/>
            <w:vAlign w:val="bottom"/>
            <w:hideMark/>
          </w:tcPr>
          <w:p w14:paraId="638B816E" w14:textId="77777777" w:rsidR="00520333" w:rsidRDefault="00520333" w:rsidP="005E5E0C">
            <w:pPr>
              <w:spacing w:after="0"/>
              <w:jc w:val="right"/>
              <w:rPr>
                <w:rFonts w:cs="Arial"/>
                <w:b/>
                <w:bCs/>
                <w:sz w:val="18"/>
                <w:szCs w:val="18"/>
              </w:rPr>
            </w:pPr>
            <w:r>
              <w:rPr>
                <w:rFonts w:cs="Arial"/>
                <w:b/>
                <w:bCs/>
                <w:sz w:val="18"/>
                <w:szCs w:val="18"/>
              </w:rPr>
              <w:t>450,430</w:t>
            </w:r>
          </w:p>
        </w:tc>
      </w:tr>
      <w:tr w:rsidR="00520333" w14:paraId="2411E25A" w14:textId="77777777" w:rsidTr="005E5E0C">
        <w:trPr>
          <w:trHeight w:val="250"/>
        </w:trPr>
        <w:tc>
          <w:tcPr>
            <w:tcW w:w="5283" w:type="dxa"/>
            <w:tcBorders>
              <w:top w:val="nil"/>
              <w:left w:val="nil"/>
              <w:bottom w:val="nil"/>
              <w:right w:val="nil"/>
            </w:tcBorders>
            <w:shd w:val="clear" w:color="FFFFFF" w:fill="FFFFFF"/>
            <w:vAlign w:val="bottom"/>
            <w:hideMark/>
          </w:tcPr>
          <w:p w14:paraId="39E27E58" w14:textId="77777777" w:rsidR="00520333" w:rsidRDefault="00520333" w:rsidP="005E5E0C">
            <w:pPr>
              <w:spacing w:after="0"/>
              <w:rPr>
                <w:rFonts w:cs="Arial"/>
                <w:sz w:val="18"/>
                <w:szCs w:val="18"/>
              </w:rPr>
            </w:pPr>
            <w:r>
              <w:rPr>
                <w:rFonts w:cs="Arial"/>
                <w:sz w:val="18"/>
                <w:szCs w:val="18"/>
              </w:rPr>
              <w:t>Accumulated depreciation and impairment</w:t>
            </w:r>
          </w:p>
        </w:tc>
        <w:tc>
          <w:tcPr>
            <w:tcW w:w="1596" w:type="dxa"/>
            <w:tcBorders>
              <w:top w:val="nil"/>
              <w:left w:val="nil"/>
              <w:bottom w:val="nil"/>
              <w:right w:val="nil"/>
            </w:tcBorders>
            <w:shd w:val="clear" w:color="FFFFFF" w:fill="FFFFFF"/>
            <w:noWrap/>
            <w:vAlign w:val="bottom"/>
            <w:hideMark/>
          </w:tcPr>
          <w:p w14:paraId="4115DB7F" w14:textId="77777777" w:rsidR="00520333" w:rsidRDefault="00520333" w:rsidP="005E5E0C">
            <w:pPr>
              <w:spacing w:after="0"/>
              <w:jc w:val="right"/>
              <w:rPr>
                <w:rFonts w:cs="Arial"/>
                <w:b/>
                <w:bCs/>
                <w:sz w:val="18"/>
                <w:szCs w:val="18"/>
              </w:rPr>
            </w:pPr>
            <w:r>
              <w:rPr>
                <w:rFonts w:cs="Arial"/>
                <w:b/>
                <w:bCs/>
                <w:sz w:val="18"/>
                <w:szCs w:val="18"/>
              </w:rPr>
              <w:t>(187,911)</w:t>
            </w:r>
          </w:p>
        </w:tc>
        <w:tc>
          <w:tcPr>
            <w:tcW w:w="1380" w:type="dxa"/>
            <w:tcBorders>
              <w:top w:val="nil"/>
              <w:left w:val="nil"/>
              <w:bottom w:val="nil"/>
              <w:right w:val="nil"/>
            </w:tcBorders>
            <w:shd w:val="clear" w:color="auto" w:fill="auto"/>
            <w:noWrap/>
            <w:vAlign w:val="bottom"/>
            <w:hideMark/>
          </w:tcPr>
          <w:p w14:paraId="7E9275B1" w14:textId="77777777" w:rsidR="00520333" w:rsidRDefault="00520333" w:rsidP="005E5E0C">
            <w:pPr>
              <w:spacing w:after="0"/>
              <w:jc w:val="right"/>
              <w:rPr>
                <w:rFonts w:cs="Arial"/>
                <w:b/>
                <w:bCs/>
                <w:sz w:val="18"/>
                <w:szCs w:val="18"/>
              </w:rPr>
            </w:pPr>
            <w:r>
              <w:rPr>
                <w:rFonts w:cs="Arial"/>
                <w:b/>
                <w:bCs/>
                <w:sz w:val="18"/>
                <w:szCs w:val="18"/>
              </w:rPr>
              <w:t>(15,263)</w:t>
            </w:r>
          </w:p>
        </w:tc>
        <w:tc>
          <w:tcPr>
            <w:tcW w:w="1378" w:type="dxa"/>
            <w:tcBorders>
              <w:top w:val="nil"/>
              <w:left w:val="nil"/>
              <w:bottom w:val="nil"/>
              <w:right w:val="nil"/>
            </w:tcBorders>
            <w:shd w:val="clear" w:color="FFFFFF" w:fill="FFFFFF"/>
            <w:noWrap/>
            <w:vAlign w:val="bottom"/>
            <w:hideMark/>
          </w:tcPr>
          <w:p w14:paraId="53BA1058" w14:textId="77777777" w:rsidR="00520333" w:rsidRDefault="00520333" w:rsidP="005E5E0C">
            <w:pPr>
              <w:spacing w:after="0"/>
              <w:jc w:val="right"/>
              <w:rPr>
                <w:rFonts w:cs="Arial"/>
                <w:b/>
                <w:bCs/>
                <w:sz w:val="18"/>
                <w:szCs w:val="18"/>
              </w:rPr>
            </w:pPr>
            <w:r>
              <w:rPr>
                <w:rFonts w:cs="Arial"/>
                <w:b/>
                <w:bCs/>
                <w:sz w:val="18"/>
                <w:szCs w:val="18"/>
              </w:rPr>
              <w:t>(203,174)</w:t>
            </w:r>
          </w:p>
        </w:tc>
      </w:tr>
      <w:tr w:rsidR="00520333" w14:paraId="351828B8" w14:textId="77777777" w:rsidTr="005E5E0C">
        <w:trPr>
          <w:trHeight w:val="250"/>
        </w:trPr>
        <w:tc>
          <w:tcPr>
            <w:tcW w:w="5283" w:type="dxa"/>
            <w:tcBorders>
              <w:top w:val="single" w:sz="4" w:space="0" w:color="auto"/>
              <w:left w:val="nil"/>
              <w:bottom w:val="single" w:sz="4" w:space="0" w:color="auto"/>
              <w:right w:val="nil"/>
            </w:tcBorders>
            <w:shd w:val="clear" w:color="FFFFFF" w:fill="FFFFFF"/>
            <w:noWrap/>
            <w:vAlign w:val="bottom"/>
            <w:hideMark/>
          </w:tcPr>
          <w:p w14:paraId="5D255D20" w14:textId="77777777" w:rsidR="00520333" w:rsidRDefault="00520333" w:rsidP="005E5E0C">
            <w:pPr>
              <w:spacing w:after="0"/>
              <w:rPr>
                <w:rFonts w:cs="Arial"/>
                <w:b/>
                <w:bCs/>
                <w:sz w:val="18"/>
                <w:szCs w:val="18"/>
              </w:rPr>
            </w:pPr>
            <w:r>
              <w:rPr>
                <w:rFonts w:cs="Arial"/>
                <w:b/>
                <w:bCs/>
                <w:sz w:val="18"/>
                <w:szCs w:val="18"/>
              </w:rPr>
              <w:t>Carrying amount as at 30 June 2024</w:t>
            </w:r>
          </w:p>
        </w:tc>
        <w:tc>
          <w:tcPr>
            <w:tcW w:w="1596" w:type="dxa"/>
            <w:tcBorders>
              <w:top w:val="single" w:sz="4" w:space="0" w:color="auto"/>
              <w:left w:val="nil"/>
              <w:bottom w:val="single" w:sz="4" w:space="0" w:color="auto"/>
              <w:right w:val="nil"/>
            </w:tcBorders>
            <w:shd w:val="clear" w:color="FFFFFF" w:fill="FFFFFF"/>
            <w:noWrap/>
            <w:vAlign w:val="bottom"/>
            <w:hideMark/>
          </w:tcPr>
          <w:p w14:paraId="7D728AEF" w14:textId="77777777" w:rsidR="00520333" w:rsidRDefault="00520333" w:rsidP="005E5E0C">
            <w:pPr>
              <w:spacing w:after="0"/>
              <w:jc w:val="right"/>
              <w:rPr>
                <w:rFonts w:cs="Arial"/>
                <w:b/>
                <w:bCs/>
                <w:sz w:val="18"/>
                <w:szCs w:val="18"/>
              </w:rPr>
            </w:pPr>
            <w:r>
              <w:rPr>
                <w:rFonts w:cs="Arial"/>
                <w:b/>
                <w:bCs/>
                <w:sz w:val="18"/>
                <w:szCs w:val="18"/>
              </w:rPr>
              <w:t>237,892</w:t>
            </w:r>
          </w:p>
        </w:tc>
        <w:tc>
          <w:tcPr>
            <w:tcW w:w="1380" w:type="dxa"/>
            <w:tcBorders>
              <w:top w:val="single" w:sz="4" w:space="0" w:color="auto"/>
              <w:left w:val="nil"/>
              <w:bottom w:val="single" w:sz="4" w:space="0" w:color="auto"/>
              <w:right w:val="nil"/>
            </w:tcBorders>
            <w:shd w:val="clear" w:color="FFFFFF" w:fill="FFFFFF"/>
            <w:noWrap/>
            <w:vAlign w:val="bottom"/>
            <w:hideMark/>
          </w:tcPr>
          <w:p w14:paraId="2E48EBC3" w14:textId="77777777" w:rsidR="00520333" w:rsidRDefault="00520333" w:rsidP="005E5E0C">
            <w:pPr>
              <w:spacing w:after="0"/>
              <w:jc w:val="right"/>
              <w:rPr>
                <w:rFonts w:cs="Arial"/>
                <w:b/>
                <w:bCs/>
                <w:sz w:val="18"/>
                <w:szCs w:val="18"/>
              </w:rPr>
            </w:pPr>
            <w:r>
              <w:rPr>
                <w:rFonts w:cs="Arial"/>
                <w:b/>
                <w:bCs/>
                <w:sz w:val="18"/>
                <w:szCs w:val="18"/>
              </w:rPr>
              <w:t>9,364</w:t>
            </w:r>
          </w:p>
        </w:tc>
        <w:tc>
          <w:tcPr>
            <w:tcW w:w="1378" w:type="dxa"/>
            <w:tcBorders>
              <w:top w:val="single" w:sz="4" w:space="0" w:color="auto"/>
              <w:left w:val="nil"/>
              <w:bottom w:val="single" w:sz="4" w:space="0" w:color="auto"/>
              <w:right w:val="nil"/>
            </w:tcBorders>
            <w:shd w:val="clear" w:color="FFFFFF" w:fill="FFFFFF"/>
            <w:noWrap/>
            <w:vAlign w:val="bottom"/>
            <w:hideMark/>
          </w:tcPr>
          <w:p w14:paraId="3E8951E9" w14:textId="77777777" w:rsidR="00520333" w:rsidRDefault="00520333" w:rsidP="005E5E0C">
            <w:pPr>
              <w:spacing w:after="0"/>
              <w:jc w:val="right"/>
              <w:rPr>
                <w:rFonts w:cs="Arial"/>
                <w:b/>
                <w:bCs/>
                <w:sz w:val="18"/>
                <w:szCs w:val="18"/>
              </w:rPr>
            </w:pPr>
            <w:r>
              <w:rPr>
                <w:rFonts w:cs="Arial"/>
                <w:b/>
                <w:bCs/>
                <w:sz w:val="18"/>
                <w:szCs w:val="18"/>
              </w:rPr>
              <w:t>247,256</w:t>
            </w:r>
          </w:p>
        </w:tc>
      </w:tr>
      <w:tr w:rsidR="00520333" w14:paraId="50A440BF" w14:textId="77777777" w:rsidTr="005E5E0C">
        <w:trPr>
          <w:trHeight w:val="250"/>
        </w:trPr>
        <w:tc>
          <w:tcPr>
            <w:tcW w:w="5283" w:type="dxa"/>
            <w:tcBorders>
              <w:top w:val="nil"/>
              <w:left w:val="nil"/>
              <w:bottom w:val="nil"/>
              <w:right w:val="nil"/>
            </w:tcBorders>
            <w:shd w:val="clear" w:color="FFFFFF" w:fill="FFFFFF"/>
            <w:noWrap/>
            <w:vAlign w:val="bottom"/>
            <w:hideMark/>
          </w:tcPr>
          <w:p w14:paraId="7ADEE2D9" w14:textId="77777777" w:rsidR="00520333" w:rsidRDefault="00520333" w:rsidP="005E5E0C">
            <w:pPr>
              <w:spacing w:after="0"/>
              <w:rPr>
                <w:rFonts w:cs="Arial"/>
                <w:sz w:val="18"/>
                <w:szCs w:val="18"/>
              </w:rPr>
            </w:pPr>
            <w:r>
              <w:rPr>
                <w:rFonts w:cs="Arial"/>
                <w:sz w:val="18"/>
                <w:szCs w:val="18"/>
              </w:rPr>
              <w:t> </w:t>
            </w:r>
          </w:p>
        </w:tc>
        <w:tc>
          <w:tcPr>
            <w:tcW w:w="1596" w:type="dxa"/>
            <w:tcBorders>
              <w:top w:val="nil"/>
              <w:left w:val="nil"/>
              <w:bottom w:val="nil"/>
              <w:right w:val="nil"/>
            </w:tcBorders>
            <w:shd w:val="clear" w:color="FFFFFF" w:fill="FFFFFF"/>
            <w:noWrap/>
            <w:vAlign w:val="bottom"/>
            <w:hideMark/>
          </w:tcPr>
          <w:p w14:paraId="53B18E06" w14:textId="77777777" w:rsidR="00520333" w:rsidRDefault="00520333" w:rsidP="005E5E0C">
            <w:pPr>
              <w:spacing w:after="0"/>
              <w:rPr>
                <w:rFonts w:cs="Arial"/>
                <w:sz w:val="18"/>
                <w:szCs w:val="18"/>
              </w:rPr>
            </w:pPr>
            <w:r>
              <w:rPr>
                <w:rFonts w:cs="Arial"/>
                <w:sz w:val="18"/>
                <w:szCs w:val="18"/>
              </w:rPr>
              <w:t> </w:t>
            </w:r>
          </w:p>
        </w:tc>
        <w:tc>
          <w:tcPr>
            <w:tcW w:w="1380" w:type="dxa"/>
            <w:tcBorders>
              <w:top w:val="nil"/>
              <w:left w:val="nil"/>
              <w:bottom w:val="nil"/>
              <w:right w:val="nil"/>
            </w:tcBorders>
            <w:shd w:val="clear" w:color="FFFFFF" w:fill="FFFFFF"/>
            <w:noWrap/>
            <w:vAlign w:val="bottom"/>
            <w:hideMark/>
          </w:tcPr>
          <w:p w14:paraId="5DA26B4C" w14:textId="77777777" w:rsidR="00520333" w:rsidRDefault="00520333" w:rsidP="005E5E0C">
            <w:pPr>
              <w:spacing w:after="0"/>
              <w:rPr>
                <w:rFonts w:cs="Arial"/>
                <w:sz w:val="18"/>
                <w:szCs w:val="18"/>
              </w:rPr>
            </w:pPr>
            <w:r>
              <w:rPr>
                <w:rFonts w:cs="Arial"/>
                <w:sz w:val="18"/>
                <w:szCs w:val="18"/>
              </w:rPr>
              <w:t> </w:t>
            </w:r>
          </w:p>
        </w:tc>
        <w:tc>
          <w:tcPr>
            <w:tcW w:w="1378" w:type="dxa"/>
            <w:tcBorders>
              <w:top w:val="nil"/>
              <w:left w:val="nil"/>
              <w:bottom w:val="nil"/>
              <w:right w:val="nil"/>
            </w:tcBorders>
            <w:shd w:val="clear" w:color="FFFFFF" w:fill="FFFFFF"/>
            <w:noWrap/>
            <w:vAlign w:val="bottom"/>
            <w:hideMark/>
          </w:tcPr>
          <w:p w14:paraId="3AFB2AC3" w14:textId="77777777" w:rsidR="00520333" w:rsidRDefault="00520333" w:rsidP="005E5E0C">
            <w:pPr>
              <w:spacing w:after="0"/>
              <w:rPr>
                <w:rFonts w:cs="Arial"/>
                <w:sz w:val="18"/>
                <w:szCs w:val="18"/>
              </w:rPr>
            </w:pPr>
            <w:r>
              <w:rPr>
                <w:rFonts w:cs="Arial"/>
                <w:sz w:val="18"/>
                <w:szCs w:val="18"/>
              </w:rPr>
              <w:t> </w:t>
            </w:r>
          </w:p>
        </w:tc>
      </w:tr>
      <w:tr w:rsidR="00520333" w14:paraId="35B65CB8" w14:textId="77777777" w:rsidTr="005E5E0C">
        <w:trPr>
          <w:trHeight w:val="270"/>
        </w:trPr>
        <w:tc>
          <w:tcPr>
            <w:tcW w:w="5283" w:type="dxa"/>
            <w:tcBorders>
              <w:top w:val="single" w:sz="4" w:space="0" w:color="auto"/>
              <w:left w:val="nil"/>
              <w:bottom w:val="single" w:sz="4" w:space="0" w:color="auto"/>
              <w:right w:val="nil"/>
            </w:tcBorders>
            <w:shd w:val="clear" w:color="FFFFFF" w:fill="FFFFFF"/>
            <w:hideMark/>
          </w:tcPr>
          <w:p w14:paraId="4854CB49" w14:textId="77777777" w:rsidR="00520333" w:rsidRDefault="00520333" w:rsidP="005E5E0C">
            <w:pPr>
              <w:spacing w:after="0"/>
              <w:rPr>
                <w:rFonts w:cs="Arial"/>
                <w:b/>
                <w:bCs/>
                <w:sz w:val="18"/>
                <w:szCs w:val="18"/>
              </w:rPr>
            </w:pPr>
            <w:r>
              <w:rPr>
                <w:rFonts w:cs="Arial"/>
                <w:b/>
                <w:bCs/>
                <w:sz w:val="18"/>
                <w:szCs w:val="18"/>
              </w:rPr>
              <w:t>Carrying amount of right-of-use assets as at 30 June 2024</w:t>
            </w:r>
          </w:p>
        </w:tc>
        <w:tc>
          <w:tcPr>
            <w:tcW w:w="1596" w:type="dxa"/>
            <w:tcBorders>
              <w:top w:val="single" w:sz="4" w:space="0" w:color="auto"/>
              <w:left w:val="nil"/>
              <w:bottom w:val="single" w:sz="4" w:space="0" w:color="auto"/>
              <w:right w:val="nil"/>
            </w:tcBorders>
            <w:shd w:val="clear" w:color="FFFFFF" w:fill="FFFFFF"/>
            <w:noWrap/>
            <w:hideMark/>
          </w:tcPr>
          <w:p w14:paraId="78077892" w14:textId="77777777" w:rsidR="00520333" w:rsidRDefault="00520333" w:rsidP="005E5E0C">
            <w:pPr>
              <w:spacing w:after="0"/>
              <w:jc w:val="right"/>
              <w:rPr>
                <w:rFonts w:cs="Arial"/>
                <w:b/>
                <w:bCs/>
                <w:sz w:val="18"/>
                <w:szCs w:val="18"/>
              </w:rPr>
            </w:pPr>
            <w:r>
              <w:rPr>
                <w:rFonts w:cs="Arial"/>
                <w:b/>
                <w:bCs/>
                <w:sz w:val="18"/>
                <w:szCs w:val="18"/>
              </w:rPr>
              <w:t>140,409</w:t>
            </w:r>
          </w:p>
        </w:tc>
        <w:tc>
          <w:tcPr>
            <w:tcW w:w="1380" w:type="dxa"/>
            <w:tcBorders>
              <w:top w:val="single" w:sz="4" w:space="0" w:color="auto"/>
              <w:left w:val="nil"/>
              <w:bottom w:val="single" w:sz="4" w:space="0" w:color="auto"/>
              <w:right w:val="nil"/>
            </w:tcBorders>
            <w:shd w:val="clear" w:color="FFFFFF" w:fill="FFFFFF"/>
            <w:noWrap/>
            <w:hideMark/>
          </w:tcPr>
          <w:p w14:paraId="51A97D10" w14:textId="77777777" w:rsidR="00520333" w:rsidRDefault="00520333" w:rsidP="005E5E0C">
            <w:pPr>
              <w:spacing w:after="0"/>
              <w:jc w:val="right"/>
              <w:rPr>
                <w:rFonts w:cs="Arial"/>
                <w:b/>
                <w:bCs/>
                <w:sz w:val="18"/>
                <w:szCs w:val="18"/>
              </w:rPr>
            </w:pPr>
            <w:r>
              <w:rPr>
                <w:rFonts w:cs="Arial"/>
                <w:b/>
                <w:bCs/>
                <w:sz w:val="18"/>
                <w:szCs w:val="18"/>
              </w:rPr>
              <w:t>1,047</w:t>
            </w:r>
          </w:p>
        </w:tc>
        <w:tc>
          <w:tcPr>
            <w:tcW w:w="1378" w:type="dxa"/>
            <w:tcBorders>
              <w:top w:val="single" w:sz="4" w:space="0" w:color="auto"/>
              <w:left w:val="nil"/>
              <w:bottom w:val="single" w:sz="4" w:space="0" w:color="auto"/>
              <w:right w:val="nil"/>
            </w:tcBorders>
            <w:shd w:val="clear" w:color="FFFFFF" w:fill="FFFFFF"/>
            <w:noWrap/>
            <w:hideMark/>
          </w:tcPr>
          <w:p w14:paraId="6E2FAABF" w14:textId="77777777" w:rsidR="00520333" w:rsidRDefault="00520333" w:rsidP="005E5E0C">
            <w:pPr>
              <w:spacing w:after="0"/>
              <w:jc w:val="right"/>
              <w:rPr>
                <w:rFonts w:cs="Arial"/>
                <w:b/>
                <w:bCs/>
                <w:sz w:val="18"/>
                <w:szCs w:val="18"/>
              </w:rPr>
            </w:pPr>
            <w:r>
              <w:rPr>
                <w:rFonts w:cs="Arial"/>
                <w:b/>
                <w:bCs/>
                <w:sz w:val="18"/>
                <w:szCs w:val="18"/>
              </w:rPr>
              <w:t>141,456</w:t>
            </w:r>
          </w:p>
        </w:tc>
      </w:tr>
    </w:tbl>
    <w:p w14:paraId="300FD816" w14:textId="77777777" w:rsidR="00520333" w:rsidRDefault="00520333" w:rsidP="00520333">
      <w:pPr>
        <w:spacing w:line="240" w:lineRule="auto"/>
        <w:rPr>
          <w:rFonts w:cs="Arial"/>
          <w:sz w:val="18"/>
          <w:szCs w:val="18"/>
        </w:rPr>
      </w:pPr>
    </w:p>
    <w:p w14:paraId="6AE18447" w14:textId="77777777" w:rsidR="00520333" w:rsidRPr="0027501A" w:rsidRDefault="00520333" w:rsidP="00520333">
      <w:pPr>
        <w:spacing w:line="240" w:lineRule="auto"/>
        <w:ind w:left="142"/>
        <w:rPr>
          <w:rFonts w:cs="Arial"/>
          <w:sz w:val="18"/>
          <w:szCs w:val="18"/>
        </w:rPr>
      </w:pPr>
      <w:r w:rsidRPr="007348B7">
        <w:rPr>
          <w:rFonts w:cs="Arial"/>
          <w:sz w:val="18"/>
          <w:szCs w:val="18"/>
        </w:rPr>
        <w:t xml:space="preserve">All items of buildings and plant and equipment were assessed for indications of impairment as at 30 June </w:t>
      </w:r>
      <w:r w:rsidRPr="007348B7">
        <w:rPr>
          <w:rFonts w:cs="Arial"/>
          <w:sz w:val="18"/>
          <w:szCs w:val="18"/>
        </w:rPr>
        <w:fldChar w:fldCharType="begin"/>
      </w:r>
      <w:r w:rsidRPr="007348B7">
        <w:rPr>
          <w:rFonts w:cs="Arial"/>
          <w:sz w:val="18"/>
          <w:szCs w:val="18"/>
        </w:rPr>
        <w:instrText xml:space="preserve"> DOCPROPERTY  crYear  \* MERGEFORMAT </w:instrText>
      </w:r>
      <w:r w:rsidRPr="007348B7">
        <w:rPr>
          <w:rFonts w:cs="Arial"/>
          <w:sz w:val="18"/>
          <w:szCs w:val="18"/>
        </w:rPr>
        <w:fldChar w:fldCharType="separate"/>
      </w:r>
      <w:r>
        <w:rPr>
          <w:rFonts w:cs="Arial"/>
          <w:sz w:val="18"/>
          <w:szCs w:val="18"/>
        </w:rPr>
        <w:t>2024</w:t>
      </w:r>
      <w:r w:rsidRPr="007348B7">
        <w:rPr>
          <w:rFonts w:cs="Arial"/>
          <w:sz w:val="18"/>
          <w:szCs w:val="18"/>
        </w:rPr>
        <w:fldChar w:fldCharType="end"/>
      </w:r>
      <w:r w:rsidRPr="007348B7">
        <w:rPr>
          <w:rFonts w:cs="Arial"/>
          <w:sz w:val="18"/>
          <w:szCs w:val="18"/>
        </w:rPr>
        <w:t xml:space="preserve"> and no </w:t>
      </w:r>
      <w:r w:rsidRPr="0027501A">
        <w:rPr>
          <w:rFonts w:cs="Arial"/>
          <w:sz w:val="18"/>
          <w:szCs w:val="18"/>
        </w:rPr>
        <w:t>indicators of impairment were found.</w:t>
      </w:r>
    </w:p>
    <w:p w14:paraId="689C9226" w14:textId="77777777" w:rsidR="00520333" w:rsidRPr="0027501A" w:rsidRDefault="00520333" w:rsidP="00520333">
      <w:pPr>
        <w:spacing w:line="240" w:lineRule="auto"/>
        <w:ind w:left="142"/>
        <w:rPr>
          <w:rFonts w:cs="Arial"/>
          <w:sz w:val="18"/>
          <w:szCs w:val="18"/>
        </w:rPr>
      </w:pPr>
      <w:r w:rsidRPr="0027501A">
        <w:rPr>
          <w:rFonts w:cs="Arial"/>
          <w:sz w:val="18"/>
          <w:szCs w:val="18"/>
        </w:rPr>
        <w:t>No buildings or plant and equipment are expected to be sold or disposed of within the next 12 months.</w:t>
      </w:r>
    </w:p>
    <w:p w14:paraId="599FAD78" w14:textId="77777777" w:rsidR="00520333" w:rsidRPr="0027501A" w:rsidRDefault="00520333" w:rsidP="00520333">
      <w:pPr>
        <w:spacing w:line="240" w:lineRule="auto"/>
        <w:ind w:left="142"/>
        <w:rPr>
          <w:rFonts w:cs="Arial"/>
          <w:sz w:val="18"/>
          <w:szCs w:val="18"/>
        </w:rPr>
      </w:pPr>
      <w:r w:rsidRPr="0027501A">
        <w:rPr>
          <w:rFonts w:cs="Arial"/>
          <w:sz w:val="18"/>
          <w:szCs w:val="18"/>
        </w:rPr>
        <w:t>Buildings and plant and equipment, other than right-of-use assets, are measured at their estimated fair value in the financial statements and are classified as level 3 assets.</w:t>
      </w:r>
    </w:p>
    <w:p w14:paraId="5DCEC37C" w14:textId="77777777" w:rsidR="00520333" w:rsidRDefault="00520333" w:rsidP="00520333">
      <w:pPr>
        <w:spacing w:line="240" w:lineRule="auto"/>
        <w:ind w:left="142"/>
        <w:rPr>
          <w:rFonts w:cs="Arial"/>
          <w:sz w:val="18"/>
          <w:szCs w:val="18"/>
        </w:rPr>
      </w:pPr>
      <w:r w:rsidRPr="0027501A">
        <w:rPr>
          <w:rFonts w:cs="Arial"/>
          <w:sz w:val="18"/>
          <w:szCs w:val="18"/>
        </w:rPr>
        <w:t xml:space="preserve">The Agency had contractual commitment for the acquisition of property, plant, equipment and intangible assets </w:t>
      </w:r>
      <w:r w:rsidRPr="00CC7F99">
        <w:rPr>
          <w:rFonts w:cs="Arial"/>
          <w:sz w:val="18"/>
          <w:szCs w:val="18"/>
        </w:rPr>
        <w:t xml:space="preserve">as at </w:t>
      </w:r>
      <w:r>
        <w:rPr>
          <w:rFonts w:cs="Arial"/>
          <w:sz w:val="18"/>
          <w:szCs w:val="18"/>
        </w:rPr>
        <w:fldChar w:fldCharType="begin"/>
      </w:r>
      <w:r>
        <w:rPr>
          <w:rFonts w:cs="Arial"/>
          <w:sz w:val="18"/>
          <w:szCs w:val="18"/>
        </w:rPr>
        <w:instrText xml:space="preserve"> DOCPROPERTY  pEnd  \* MERGEFORMAT </w:instrText>
      </w:r>
      <w:r>
        <w:rPr>
          <w:rFonts w:cs="Arial"/>
          <w:sz w:val="18"/>
          <w:szCs w:val="18"/>
        </w:rPr>
        <w:fldChar w:fldCharType="separate"/>
      </w:r>
      <w:r>
        <w:rPr>
          <w:rFonts w:cs="Arial"/>
          <w:sz w:val="18"/>
          <w:szCs w:val="18"/>
        </w:rPr>
        <w:t>30 June</w:t>
      </w:r>
      <w:r>
        <w:rPr>
          <w:rFonts w:cs="Arial"/>
          <w:sz w:val="18"/>
          <w:szCs w:val="18"/>
        </w:rPr>
        <w:fldChar w:fldCharType="end"/>
      </w:r>
      <w:r>
        <w:rPr>
          <w:rFonts w:cs="Arial"/>
          <w:sz w:val="18"/>
          <w:szCs w:val="18"/>
        </w:rPr>
        <w:t xml:space="preserve"> </w:t>
      </w:r>
      <w:r w:rsidRPr="00CC7F99">
        <w:rPr>
          <w:rFonts w:cs="Arial"/>
          <w:sz w:val="18"/>
          <w:szCs w:val="18"/>
        </w:rPr>
        <w:fldChar w:fldCharType="begin"/>
      </w:r>
      <w:r w:rsidRPr="00CC7F99">
        <w:rPr>
          <w:rFonts w:cs="Arial"/>
          <w:sz w:val="18"/>
          <w:szCs w:val="18"/>
        </w:rPr>
        <w:instrText xml:space="preserve"> DOCPROPERTY  crYear  \* MERGEFORMAT </w:instrText>
      </w:r>
      <w:r w:rsidRPr="00CC7F99">
        <w:rPr>
          <w:rFonts w:cs="Arial"/>
          <w:sz w:val="18"/>
          <w:szCs w:val="18"/>
        </w:rPr>
        <w:fldChar w:fldCharType="separate"/>
      </w:r>
      <w:r>
        <w:rPr>
          <w:rFonts w:cs="Arial"/>
          <w:sz w:val="18"/>
          <w:szCs w:val="18"/>
        </w:rPr>
        <w:t>2024</w:t>
      </w:r>
      <w:r w:rsidRPr="00CC7F99">
        <w:rPr>
          <w:rFonts w:cs="Arial"/>
          <w:sz w:val="18"/>
          <w:szCs w:val="18"/>
        </w:rPr>
        <w:fldChar w:fldCharType="end"/>
      </w:r>
      <w:r>
        <w:rPr>
          <w:rFonts w:cs="Arial"/>
          <w:sz w:val="18"/>
          <w:szCs w:val="18"/>
        </w:rPr>
        <w:t xml:space="preserve"> </w:t>
      </w:r>
      <w:r w:rsidRPr="0027501A">
        <w:rPr>
          <w:rFonts w:cs="Arial"/>
          <w:sz w:val="18"/>
          <w:szCs w:val="18"/>
        </w:rPr>
        <w:t xml:space="preserve">of </w:t>
      </w:r>
      <w:r w:rsidRPr="0061624C">
        <w:rPr>
          <w:rFonts w:cs="Arial"/>
          <w:sz w:val="18"/>
          <w:szCs w:val="18"/>
        </w:rPr>
        <w:t>$</w:t>
      </w:r>
      <w:r>
        <w:rPr>
          <w:rFonts w:cs="Arial"/>
          <w:sz w:val="18"/>
          <w:szCs w:val="18"/>
        </w:rPr>
        <w:t>1.83m (</w:t>
      </w:r>
      <w:r>
        <w:rPr>
          <w:rFonts w:cs="Arial"/>
          <w:sz w:val="18"/>
          <w:szCs w:val="18"/>
        </w:rPr>
        <w:fldChar w:fldCharType="begin"/>
      </w:r>
      <w:r>
        <w:rPr>
          <w:rFonts w:cs="Arial"/>
          <w:sz w:val="18"/>
          <w:szCs w:val="18"/>
        </w:rPr>
        <w:instrText xml:space="preserve"> DOCPROPERTY  prYear  \* MERGEFORMAT </w:instrText>
      </w:r>
      <w:r>
        <w:rPr>
          <w:rFonts w:cs="Arial"/>
          <w:sz w:val="18"/>
          <w:szCs w:val="18"/>
        </w:rPr>
        <w:fldChar w:fldCharType="separate"/>
      </w:r>
      <w:r>
        <w:rPr>
          <w:rFonts w:cs="Arial"/>
          <w:sz w:val="18"/>
          <w:szCs w:val="18"/>
        </w:rPr>
        <w:t>2023</w:t>
      </w:r>
      <w:r>
        <w:rPr>
          <w:rFonts w:cs="Arial"/>
          <w:sz w:val="18"/>
          <w:szCs w:val="18"/>
        </w:rPr>
        <w:fldChar w:fldCharType="end"/>
      </w:r>
      <w:r>
        <w:rPr>
          <w:rFonts w:cs="Arial"/>
          <w:sz w:val="18"/>
          <w:szCs w:val="18"/>
        </w:rPr>
        <w:t>: $14.5m)</w:t>
      </w:r>
      <w:r w:rsidRPr="00CC7F99">
        <w:rPr>
          <w:rFonts w:cs="Arial"/>
          <w:sz w:val="18"/>
          <w:szCs w:val="18"/>
        </w:rPr>
        <w:t>.</w:t>
      </w:r>
      <w:r>
        <w:rPr>
          <w:rFonts w:cs="Arial"/>
          <w:sz w:val="18"/>
          <w:szCs w:val="18"/>
        </w:rPr>
        <w:t xml:space="preserve"> </w:t>
      </w:r>
    </w:p>
    <w:p w14:paraId="602E65A7" w14:textId="77777777" w:rsidR="00520333" w:rsidRDefault="00520333" w:rsidP="00520333">
      <w:pPr>
        <w:spacing w:line="240" w:lineRule="auto"/>
        <w:ind w:left="142"/>
        <w:rPr>
          <w:rFonts w:cs="Arial"/>
          <w:sz w:val="18"/>
          <w:szCs w:val="18"/>
        </w:rPr>
      </w:pPr>
      <w:r w:rsidRPr="00195AD5">
        <w:rPr>
          <w:rFonts w:cs="Arial"/>
          <w:sz w:val="18"/>
          <w:szCs w:val="18"/>
        </w:rPr>
        <w:t xml:space="preserve">All revaluations were conducted in accordance with the revaluation policy stated in the Accounting Policy section below. </w:t>
      </w:r>
      <w:r w:rsidRPr="008016CA">
        <w:rPr>
          <w:rFonts w:cs="Arial"/>
          <w:sz w:val="18"/>
          <w:szCs w:val="18"/>
        </w:rPr>
        <w:t xml:space="preserve">The fair value measurements of the Agency’s leasehold improvements as at 30 June </w:t>
      </w:r>
      <w:r w:rsidRPr="008016CA">
        <w:rPr>
          <w:rFonts w:cs="Arial"/>
          <w:sz w:val="18"/>
          <w:szCs w:val="18"/>
        </w:rPr>
        <w:fldChar w:fldCharType="begin"/>
      </w:r>
      <w:r w:rsidRPr="008016CA">
        <w:rPr>
          <w:rFonts w:cs="Arial"/>
          <w:sz w:val="18"/>
          <w:szCs w:val="18"/>
        </w:rPr>
        <w:instrText xml:space="preserve"> DOCPROPERTY  crYear  \* MERGEFORMAT </w:instrText>
      </w:r>
      <w:r w:rsidRPr="008016CA">
        <w:rPr>
          <w:rFonts w:cs="Arial"/>
          <w:sz w:val="18"/>
          <w:szCs w:val="18"/>
        </w:rPr>
        <w:fldChar w:fldCharType="separate"/>
      </w:r>
      <w:r w:rsidRPr="008016CA">
        <w:rPr>
          <w:rFonts w:cs="Arial"/>
          <w:sz w:val="18"/>
          <w:szCs w:val="18"/>
        </w:rPr>
        <w:t>2024</w:t>
      </w:r>
      <w:r w:rsidRPr="008016CA">
        <w:rPr>
          <w:rFonts w:cs="Arial"/>
          <w:sz w:val="18"/>
          <w:szCs w:val="18"/>
        </w:rPr>
        <w:fldChar w:fldCharType="end"/>
      </w:r>
      <w:r w:rsidRPr="008016CA">
        <w:rPr>
          <w:rFonts w:cs="Arial"/>
          <w:sz w:val="18"/>
          <w:szCs w:val="18"/>
        </w:rPr>
        <w:t xml:space="preserve"> were reassessed by Jones Lang LaSalle (JLL), independent valuers. JLL have appropriate qualifications and experience in the fair value measurement of similar assets in the Government sector.</w:t>
      </w:r>
      <w:r w:rsidRPr="00195AD5">
        <w:rPr>
          <w:rFonts w:cs="Arial"/>
          <w:sz w:val="18"/>
          <w:szCs w:val="18"/>
        </w:rPr>
        <w:t xml:space="preserve"> </w:t>
      </w:r>
      <w:r>
        <w:rPr>
          <w:rFonts w:cs="Arial"/>
          <w:sz w:val="18"/>
          <w:szCs w:val="18"/>
        </w:rPr>
        <w:br w:type="page"/>
      </w:r>
    </w:p>
    <w:p w14:paraId="27AA1E3A" w14:textId="77777777" w:rsidR="00CF200A" w:rsidRDefault="00CF200A" w:rsidP="00C82242">
      <w:pPr>
        <w:autoSpaceDE w:val="0"/>
        <w:autoSpaceDN w:val="0"/>
        <w:adjustRightInd w:val="0"/>
        <w:spacing w:after="0" w:line="240" w:lineRule="auto"/>
        <w:rPr>
          <w:rFonts w:cs="Arial"/>
          <w:b/>
          <w:sz w:val="18"/>
          <w:szCs w:val="18"/>
          <w:lang w:eastAsia="en-AU"/>
        </w:rPr>
        <w:sectPr w:rsidR="00CF200A" w:rsidSect="00B040FE">
          <w:type w:val="continuous"/>
          <w:pgSz w:w="11906" w:h="16838" w:code="9"/>
          <w:pgMar w:top="1134" w:right="1700" w:bottom="1134" w:left="1134" w:header="958" w:footer="737" w:gutter="0"/>
          <w:cols w:space="708"/>
          <w:docGrid w:linePitch="360"/>
        </w:sectPr>
      </w:pPr>
    </w:p>
    <w:p w14:paraId="0A3C512F" w14:textId="77777777" w:rsidR="003203A1" w:rsidRPr="003203A1" w:rsidRDefault="003203A1" w:rsidP="003203A1">
      <w:pPr>
        <w:spacing w:after="0" w:line="240" w:lineRule="auto"/>
        <w:rPr>
          <w:b/>
          <w:bCs/>
        </w:rPr>
      </w:pPr>
      <w:r w:rsidRPr="003203A1">
        <w:rPr>
          <w:b/>
          <w:bCs/>
        </w:rPr>
        <w:lastRenderedPageBreak/>
        <w:t>National Disability Insurance Agency</w:t>
      </w:r>
    </w:p>
    <w:p w14:paraId="5EA7DD88" w14:textId="77777777" w:rsidR="003203A1" w:rsidRDefault="003203A1" w:rsidP="003203A1">
      <w:pPr>
        <w:pBdr>
          <w:bottom w:val="single" w:sz="8" w:space="1" w:color="auto"/>
        </w:pBdr>
        <w:rPr>
          <w:b/>
          <w:bCs/>
        </w:rPr>
        <w:sectPr w:rsidR="003203A1" w:rsidSect="003203A1">
          <w:type w:val="continuous"/>
          <w:pgSz w:w="11906" w:h="16838" w:code="9"/>
          <w:pgMar w:top="1134" w:right="1700" w:bottom="1134" w:left="1134" w:header="958" w:footer="737" w:gutter="0"/>
          <w:cols w:space="708"/>
          <w:docGrid w:linePitch="360"/>
        </w:sectPr>
      </w:pPr>
      <w:r w:rsidRPr="003203A1">
        <w:rPr>
          <w:b/>
          <w:bCs/>
        </w:rPr>
        <w:t>NOTES TO AND FORMING PART OF THE FINANCIAL STATEMENTS</w:t>
      </w:r>
    </w:p>
    <w:p w14:paraId="1CBAF87D" w14:textId="77777777" w:rsidR="00C82242" w:rsidRPr="00C82242" w:rsidRDefault="00C82242" w:rsidP="00C82242">
      <w:pPr>
        <w:autoSpaceDE w:val="0"/>
        <w:autoSpaceDN w:val="0"/>
        <w:adjustRightInd w:val="0"/>
        <w:spacing w:after="0" w:line="240" w:lineRule="auto"/>
        <w:rPr>
          <w:rFonts w:cs="Arial"/>
          <w:b/>
          <w:bCs/>
          <w:sz w:val="18"/>
          <w:szCs w:val="18"/>
          <w:lang w:eastAsia="en-US"/>
        </w:rPr>
      </w:pPr>
      <w:r w:rsidRPr="00C82242">
        <w:rPr>
          <w:rFonts w:cs="Arial"/>
          <w:noProof/>
          <w:sz w:val="18"/>
          <w:szCs w:val="18"/>
          <w:lang w:eastAsia="en-AU"/>
        </w:rPr>
        <mc:AlternateContent>
          <mc:Choice Requires="wps">
            <w:drawing>
              <wp:anchor distT="0" distB="0" distL="114300" distR="114300" simplePos="0" relativeHeight="251658240" behindDoc="0" locked="0" layoutInCell="1" allowOverlap="1" wp14:anchorId="43BAC5CB" wp14:editId="3A1E153D">
                <wp:simplePos x="0" y="0"/>
                <wp:positionH relativeFrom="column">
                  <wp:posOffset>-87630</wp:posOffset>
                </wp:positionH>
                <wp:positionV relativeFrom="paragraph">
                  <wp:posOffset>-64135</wp:posOffset>
                </wp:positionV>
                <wp:extent cx="6305909" cy="8374380"/>
                <wp:effectExtent l="0" t="0" r="19050" b="2667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909" cy="8374380"/>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88B5129" id="Rectangle 2" o:spid="_x0000_s1026" alt="&quot;&quot;" style="position:absolute;margin-left:-6.9pt;margin-top:-5.05pt;width:496.55pt;height:6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" filled="f" strokecolor="purple"/>
            </w:pict>
          </mc:Fallback>
        </mc:AlternateContent>
      </w:r>
      <w:r w:rsidRPr="00C82242">
        <w:rPr>
          <w:rFonts w:cs="Arial"/>
          <w:b/>
          <w:sz w:val="18"/>
          <w:szCs w:val="18"/>
          <w:lang w:eastAsia="en-AU"/>
        </w:rPr>
        <w:t>A</w:t>
      </w:r>
      <w:r w:rsidRPr="00C82242">
        <w:rPr>
          <w:rFonts w:cs="Arial"/>
          <w:b/>
          <w:bCs/>
          <w:sz w:val="18"/>
          <w:szCs w:val="18"/>
          <w:lang w:eastAsia="en-US"/>
        </w:rPr>
        <w:t>ccounting Policy</w:t>
      </w:r>
    </w:p>
    <w:p w14:paraId="4BDB85B0" w14:textId="77777777" w:rsidR="00C82242" w:rsidRPr="00C82242" w:rsidRDefault="00C82242" w:rsidP="00C82242">
      <w:pPr>
        <w:spacing w:after="0" w:line="240" w:lineRule="auto"/>
        <w:rPr>
          <w:rFonts w:cs="Arial"/>
          <w:sz w:val="18"/>
          <w:szCs w:val="18"/>
          <w:lang w:eastAsia="en-US"/>
        </w:rPr>
      </w:pPr>
    </w:p>
    <w:p w14:paraId="25BD6DDB" w14:textId="32B0F79F" w:rsidR="00C82242" w:rsidRPr="00C82242" w:rsidRDefault="00C82242" w:rsidP="0047225D">
      <w:pPr>
        <w:spacing w:after="60" w:line="240" w:lineRule="auto"/>
        <w:jc w:val="both"/>
        <w:rPr>
          <w:rFonts w:cs="Arial"/>
          <w:sz w:val="18"/>
          <w:szCs w:val="18"/>
          <w:lang w:eastAsia="en-US"/>
        </w:rPr>
      </w:pPr>
      <w:r w:rsidRPr="00C82242">
        <w:rPr>
          <w:rFonts w:cs="Arial"/>
          <w:sz w:val="18"/>
          <w:szCs w:val="18"/>
          <w:lang w:eastAsia="en-US"/>
        </w:rPr>
        <w:t>Assets are recorded at cost on acquisition except as stated below. The cost of acquisition includes the fair value of assets transferred in exchange and liabilities undertaken. Non-financial assets are initially measured at their fair value plus transaction costs where appropriate.</w:t>
      </w:r>
    </w:p>
    <w:p w14:paraId="0DA54D1F" w14:textId="18B20606" w:rsidR="00C82242" w:rsidRPr="00C82242" w:rsidRDefault="00C82242" w:rsidP="0047225D">
      <w:pPr>
        <w:spacing w:after="60" w:line="240" w:lineRule="auto"/>
        <w:jc w:val="both"/>
        <w:rPr>
          <w:rFonts w:cs="Arial"/>
          <w:sz w:val="18"/>
          <w:szCs w:val="18"/>
          <w:lang w:eastAsia="en-US"/>
        </w:rPr>
      </w:pPr>
      <w:r w:rsidRPr="00C82242">
        <w:rPr>
          <w:rFonts w:cs="Arial"/>
          <w:sz w:val="18"/>
          <w:szCs w:val="18"/>
          <w:lang w:eastAsia="en-US"/>
        </w:rPr>
        <w:t xml:space="preserve">Assets acquired at no cost, or for nominal consideration, are initially recognised as assets and income at their fair value at the date of acquisition. </w:t>
      </w:r>
    </w:p>
    <w:p w14:paraId="198C5ABB" w14:textId="77777777" w:rsidR="00C82242" w:rsidRPr="00C82242" w:rsidRDefault="00C82242" w:rsidP="0047225D">
      <w:pPr>
        <w:spacing w:after="60" w:line="240" w:lineRule="auto"/>
        <w:jc w:val="both"/>
        <w:rPr>
          <w:rFonts w:cs="Arial"/>
          <w:i/>
          <w:iCs/>
          <w:sz w:val="18"/>
          <w:szCs w:val="18"/>
          <w:u w:val="single"/>
          <w:lang w:eastAsia="en-AU"/>
        </w:rPr>
      </w:pPr>
      <w:r w:rsidRPr="00C82242">
        <w:rPr>
          <w:rFonts w:cs="Arial"/>
          <w:i/>
          <w:iCs/>
          <w:sz w:val="18"/>
          <w:szCs w:val="18"/>
          <w:u w:val="single"/>
          <w:lang w:eastAsia="en-AU"/>
        </w:rPr>
        <w:t>Asset recognition threshold</w:t>
      </w:r>
    </w:p>
    <w:p w14:paraId="5B5DE626" w14:textId="57B42EFD" w:rsidR="00C82242" w:rsidRPr="00C82242" w:rsidRDefault="00C82242" w:rsidP="0047225D">
      <w:pPr>
        <w:spacing w:after="60" w:line="240" w:lineRule="auto"/>
        <w:jc w:val="both"/>
        <w:rPr>
          <w:rFonts w:cs="Arial"/>
          <w:sz w:val="18"/>
          <w:szCs w:val="18"/>
          <w:lang w:eastAsia="en-AU"/>
        </w:rPr>
      </w:pPr>
      <w:r w:rsidRPr="00C82242">
        <w:rPr>
          <w:rFonts w:cs="Arial"/>
          <w:sz w:val="18"/>
          <w:szCs w:val="18"/>
          <w:lang w:eastAsia="en-AU"/>
        </w:rPr>
        <w:t>Purchases</w:t>
      </w:r>
      <w:r w:rsidRPr="00C82242">
        <w:rPr>
          <w:rFonts w:cs="Arial"/>
          <w:sz w:val="21"/>
          <w:szCs w:val="21"/>
          <w:lang w:eastAsia="en-US"/>
        </w:rPr>
        <w:t xml:space="preserve"> </w:t>
      </w:r>
      <w:r w:rsidRPr="00C82242">
        <w:rPr>
          <w:rFonts w:cs="Arial"/>
          <w:sz w:val="18"/>
          <w:szCs w:val="18"/>
          <w:lang w:eastAsia="en-AU"/>
        </w:rPr>
        <w:t>of leasehold improvements, plant and equipment are recognised initially at cost in the Statement of Financial Position, except for leased Right-of-Use (ROU) assets and purchases costing less than $100,000 which are expensed in the year of acquisition (other than where they form part of a group of similar items which are significant in total). Significant in total is defined as a value equal to or greater than $100,000 for similar items acquired or expected to be acquired over the length of an acquisition project.</w:t>
      </w:r>
    </w:p>
    <w:p w14:paraId="0BAFC9C1" w14:textId="77E2A157" w:rsidR="00C82242" w:rsidRPr="00C82242" w:rsidRDefault="00C82242" w:rsidP="0047225D">
      <w:pPr>
        <w:spacing w:after="60" w:line="240" w:lineRule="auto"/>
        <w:jc w:val="both"/>
        <w:rPr>
          <w:rFonts w:cs="Arial"/>
          <w:sz w:val="18"/>
          <w:szCs w:val="18"/>
          <w:lang w:eastAsia="en-AU"/>
        </w:rPr>
      </w:pPr>
      <w:r w:rsidRPr="00C82242">
        <w:rPr>
          <w:rFonts w:cs="Arial"/>
          <w:sz w:val="18"/>
          <w:szCs w:val="18"/>
          <w:lang w:eastAsia="en-AU"/>
        </w:rPr>
        <w:t xml:space="preserve">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w:t>
      </w:r>
    </w:p>
    <w:p w14:paraId="71DBA63C" w14:textId="77777777" w:rsidR="00C82242" w:rsidRPr="00C82242" w:rsidRDefault="00C82242" w:rsidP="0047225D">
      <w:pPr>
        <w:spacing w:after="60" w:line="240" w:lineRule="auto"/>
        <w:jc w:val="both"/>
        <w:rPr>
          <w:rFonts w:cs="Arial"/>
          <w:i/>
          <w:iCs/>
          <w:sz w:val="18"/>
          <w:szCs w:val="18"/>
          <w:u w:val="single"/>
          <w:lang w:eastAsia="en-AU"/>
        </w:rPr>
      </w:pPr>
      <w:r w:rsidRPr="00C82242">
        <w:rPr>
          <w:rFonts w:cs="Arial"/>
          <w:i/>
          <w:iCs/>
          <w:sz w:val="18"/>
          <w:szCs w:val="18"/>
          <w:u w:val="single"/>
          <w:lang w:eastAsia="en-AU"/>
        </w:rPr>
        <w:t>Leased Right-of-Use Assets</w:t>
      </w:r>
    </w:p>
    <w:p w14:paraId="1D825C08" w14:textId="68A41596" w:rsidR="00C82242" w:rsidRPr="00C82242" w:rsidRDefault="00C82242" w:rsidP="0047225D">
      <w:pPr>
        <w:spacing w:after="60" w:line="240" w:lineRule="auto"/>
        <w:jc w:val="both"/>
        <w:rPr>
          <w:rFonts w:cs="Arial"/>
          <w:sz w:val="18"/>
          <w:szCs w:val="18"/>
          <w:highlight w:val="yellow"/>
          <w:lang w:eastAsia="en-AU"/>
        </w:rPr>
      </w:pPr>
      <w:r w:rsidRPr="00C82242">
        <w:rPr>
          <w:rFonts w:cs="Arial"/>
          <w:sz w:val="18"/>
          <w:szCs w:val="18"/>
          <w:lang w:eastAsia="en-AU"/>
        </w:rPr>
        <w:t>Purchases of leased ROU assets are capitalised at the commencement date of the lease and comprise the initial lease liability amount, including an estimate of any ‘make good’ provision in the lease, initial direct costs incurred when entering into the lease less any lease incentives received. These assets are accounted for by the Agency as separate asset classes to the corresponding assets owned outright but are included in the same column as where the corresponding underlying assets would be presented if they were owned.</w:t>
      </w:r>
    </w:p>
    <w:p w14:paraId="0C10F119" w14:textId="0481E1D4" w:rsidR="00C82242" w:rsidRPr="0047225D" w:rsidRDefault="00C82242" w:rsidP="0047225D">
      <w:pPr>
        <w:spacing w:after="60" w:line="240" w:lineRule="auto"/>
        <w:jc w:val="both"/>
        <w:rPr>
          <w:rFonts w:cs="Arial"/>
          <w:sz w:val="18"/>
          <w:szCs w:val="18"/>
          <w:lang w:eastAsia="en-AU"/>
        </w:rPr>
      </w:pPr>
      <w:r w:rsidRPr="00C82242">
        <w:rPr>
          <w:rFonts w:cs="Arial"/>
          <w:sz w:val="18"/>
          <w:szCs w:val="18"/>
          <w:lang w:eastAsia="en-AU"/>
        </w:rPr>
        <w:t xml:space="preserve">On initial adoption of </w:t>
      </w:r>
      <w:r w:rsidRPr="00C82242">
        <w:rPr>
          <w:rFonts w:cs="Arial"/>
          <w:i/>
          <w:iCs/>
          <w:sz w:val="18"/>
          <w:szCs w:val="18"/>
          <w:lang w:eastAsia="en-AU"/>
        </w:rPr>
        <w:t>AASB 16</w:t>
      </w:r>
      <w:r w:rsidRPr="00C82242">
        <w:rPr>
          <w:rFonts w:cs="Arial"/>
          <w:sz w:val="18"/>
          <w:szCs w:val="18"/>
          <w:lang w:eastAsia="en-AU"/>
        </w:rPr>
        <w:t xml:space="preserve"> </w:t>
      </w:r>
      <w:r w:rsidRPr="00C82242">
        <w:rPr>
          <w:rFonts w:cs="Arial"/>
          <w:i/>
          <w:iCs/>
          <w:sz w:val="18"/>
          <w:szCs w:val="18"/>
          <w:lang w:eastAsia="en-AU"/>
        </w:rPr>
        <w:t>Leases</w:t>
      </w:r>
      <w:r w:rsidRPr="00C82242">
        <w:rPr>
          <w:rFonts w:cs="Arial"/>
          <w:sz w:val="18"/>
          <w:szCs w:val="18"/>
          <w:lang w:eastAsia="en-AU"/>
        </w:rPr>
        <w:t>, the Agency has adjusted the ROU assets at the date of initial application by the amount of any provision for onerous leases recognised immediately before the date of initial application. Following initial application, an impairment review is undertaken for any ROU lease asset that shows indicators of impairment and an impairment loss is recognised against any ROU lease asset that is impaired. Leased ROU assets continue to be measured at cost after initial recognition in Commonwealth Agency, General Government Sector and Whole of Government financial statements.</w:t>
      </w:r>
    </w:p>
    <w:p w14:paraId="00FDF8BE" w14:textId="77777777" w:rsidR="00C82242" w:rsidRPr="00C82242" w:rsidRDefault="00C82242" w:rsidP="0047225D">
      <w:pPr>
        <w:spacing w:after="60" w:line="240" w:lineRule="auto"/>
        <w:jc w:val="both"/>
        <w:rPr>
          <w:rFonts w:cs="Arial"/>
          <w:i/>
          <w:iCs/>
          <w:sz w:val="18"/>
          <w:szCs w:val="18"/>
          <w:u w:val="single"/>
          <w:lang w:eastAsia="en-AU"/>
        </w:rPr>
      </w:pPr>
      <w:r w:rsidRPr="00C82242">
        <w:rPr>
          <w:rFonts w:cs="Arial"/>
          <w:i/>
          <w:iCs/>
          <w:sz w:val="18"/>
          <w:szCs w:val="18"/>
          <w:u w:val="single"/>
          <w:lang w:eastAsia="en-AU"/>
        </w:rPr>
        <w:t>Revaluations</w:t>
      </w:r>
    </w:p>
    <w:p w14:paraId="6698231A" w14:textId="49278970" w:rsidR="00C82242" w:rsidRPr="00C82242" w:rsidRDefault="00C82242" w:rsidP="0047225D">
      <w:pPr>
        <w:spacing w:after="60" w:line="240" w:lineRule="auto"/>
        <w:jc w:val="both"/>
        <w:rPr>
          <w:rFonts w:cs="Arial"/>
          <w:sz w:val="18"/>
          <w:szCs w:val="18"/>
          <w:lang w:eastAsia="en-AU"/>
        </w:rPr>
      </w:pPr>
      <w:r w:rsidRPr="00C82242">
        <w:rPr>
          <w:rFonts w:cs="Arial"/>
          <w:sz w:val="18"/>
          <w:szCs w:val="18"/>
          <w:lang w:eastAsia="en-AU"/>
        </w:rPr>
        <w:t xml:space="preserve">Following initial recognition at cost, items of leasehold improvements, plant, and equipment (excluding ROU assets) are carried at fair value (or an amount not materially different from fair value) </w:t>
      </w:r>
      <w:r w:rsidRPr="00C82242">
        <w:rPr>
          <w:rFonts w:cs="Arial"/>
          <w:sz w:val="18"/>
          <w:szCs w:val="18"/>
          <w:lang w:eastAsia="en-AU"/>
        </w:rPr>
        <w:t>less accumulated depreciation and accumulated impairment losses. Valuations are conducted with sufficient frequency to ensure that the carrying value of items does not differ materially from their fair value at each reporting date.</w:t>
      </w:r>
      <w:r w:rsidRPr="00C82242">
        <w:rPr>
          <w:rFonts w:ascii="Times New Roman" w:hAnsi="Times New Roman"/>
          <w:sz w:val="22"/>
          <w:szCs w:val="22"/>
          <w:lang w:eastAsia="en-US"/>
        </w:rPr>
        <w:t xml:space="preserve"> </w:t>
      </w:r>
      <w:r w:rsidRPr="00C82242">
        <w:rPr>
          <w:rFonts w:cs="Arial"/>
          <w:sz w:val="18"/>
          <w:szCs w:val="18"/>
          <w:lang w:eastAsia="en-AU"/>
        </w:rPr>
        <w:t>The regularity of independent valuations depended on the volatility of movements in market values for the relevant assets.</w:t>
      </w:r>
    </w:p>
    <w:p w14:paraId="6971290D" w14:textId="7B0009FA" w:rsidR="00C82242" w:rsidRPr="00C82242" w:rsidRDefault="00C82242" w:rsidP="0047225D">
      <w:pPr>
        <w:spacing w:after="60" w:line="240" w:lineRule="auto"/>
        <w:jc w:val="both"/>
        <w:rPr>
          <w:rFonts w:cs="Arial"/>
          <w:sz w:val="18"/>
          <w:szCs w:val="18"/>
          <w:lang w:eastAsia="en-AU"/>
        </w:rPr>
      </w:pPr>
      <w:r w:rsidRPr="00C82242">
        <w:rPr>
          <w:rFonts w:cs="Arial"/>
          <w:sz w:val="18"/>
          <w:szCs w:val="18"/>
          <w:lang w:eastAsia="en-AU"/>
        </w:rPr>
        <w:t xml:space="preserve">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14:paraId="0E952B3A" w14:textId="5C922324" w:rsidR="00C82242" w:rsidRPr="0047225D" w:rsidRDefault="00C82242" w:rsidP="0047225D">
      <w:pPr>
        <w:spacing w:after="60" w:line="240" w:lineRule="auto"/>
        <w:jc w:val="both"/>
        <w:rPr>
          <w:rFonts w:cs="Arial"/>
          <w:sz w:val="18"/>
          <w:szCs w:val="18"/>
          <w:lang w:eastAsia="en-AU"/>
        </w:rPr>
      </w:pPr>
      <w:r w:rsidRPr="00C82242">
        <w:rPr>
          <w:rFonts w:cs="Arial"/>
          <w:sz w:val="18"/>
          <w:szCs w:val="18"/>
          <w:lang w:eastAsia="en-AU"/>
        </w:rPr>
        <w:t xml:space="preserve">Any accumulated depreciation as at the revaluation date is eliminated against the gross carrying amount of the asset and the asset is restated to the revalued amount. </w:t>
      </w:r>
    </w:p>
    <w:p w14:paraId="0BA81861" w14:textId="77777777" w:rsidR="00C82242" w:rsidRPr="00C82242" w:rsidRDefault="00C82242" w:rsidP="0047225D">
      <w:pPr>
        <w:spacing w:after="60" w:line="240" w:lineRule="auto"/>
        <w:rPr>
          <w:rFonts w:cs="Arial"/>
          <w:i/>
          <w:iCs/>
          <w:sz w:val="18"/>
          <w:szCs w:val="18"/>
          <w:u w:val="single"/>
          <w:lang w:eastAsia="en-AU"/>
        </w:rPr>
      </w:pPr>
      <w:r w:rsidRPr="00C82242">
        <w:rPr>
          <w:rFonts w:cs="Arial"/>
          <w:i/>
          <w:iCs/>
          <w:sz w:val="18"/>
          <w:szCs w:val="18"/>
          <w:u w:val="single"/>
          <w:lang w:eastAsia="en-AU"/>
        </w:rPr>
        <w:t>Depreciation</w:t>
      </w:r>
    </w:p>
    <w:p w14:paraId="4ABBFF94" w14:textId="77777777" w:rsidR="00C82242" w:rsidRPr="00C82242" w:rsidRDefault="00C82242" w:rsidP="0047225D">
      <w:pPr>
        <w:autoSpaceDE w:val="0"/>
        <w:autoSpaceDN w:val="0"/>
        <w:adjustRightInd w:val="0"/>
        <w:spacing w:after="60" w:line="240" w:lineRule="auto"/>
        <w:jc w:val="both"/>
        <w:rPr>
          <w:rFonts w:cs="Arial"/>
          <w:sz w:val="18"/>
          <w:szCs w:val="18"/>
          <w:lang w:eastAsia="en-AU"/>
        </w:rPr>
      </w:pPr>
      <w:r w:rsidRPr="00C82242">
        <w:rPr>
          <w:rFonts w:cs="Arial"/>
          <w:sz w:val="18"/>
          <w:szCs w:val="18"/>
          <w:lang w:eastAsia="en-US"/>
        </w:rPr>
        <w:t>Depreciable leasehold improvements, plant, and equipment assets (other than leasehold improvements under construction) are written off to their estimated residual values over their estimated useful lives using the straight-line method of depreciation. The estimated useful lives, residual values and depreciation methods are reviewed at the end of each reporting period, with the effect of any changes in estimates accounted for on a prospective basis. The table below outlines the d</w:t>
      </w:r>
      <w:r w:rsidRPr="00C82242">
        <w:rPr>
          <w:rFonts w:cs="Arial"/>
          <w:sz w:val="18"/>
          <w:szCs w:val="18"/>
          <w:lang w:eastAsia="en-AU"/>
        </w:rPr>
        <w:t>epreciation rates applying to each class of depreciable asset based on the following useful lives:</w:t>
      </w:r>
    </w:p>
    <w:tbl>
      <w:tblPr>
        <w:tblStyle w:val="LightShading10"/>
        <w:tblW w:w="4627" w:type="dxa"/>
        <w:tblLayout w:type="fixed"/>
        <w:tblLook w:val="04A0" w:firstRow="1" w:lastRow="0" w:firstColumn="1" w:lastColumn="0" w:noHBand="0" w:noVBand="1"/>
      </w:tblPr>
      <w:tblGrid>
        <w:gridCol w:w="2094"/>
        <w:gridCol w:w="1285"/>
        <w:gridCol w:w="1248"/>
      </w:tblGrid>
      <w:tr w:rsidR="00C82242" w:rsidRPr="00C82242" w14:paraId="1EB6B59B" w14:textId="77777777" w:rsidTr="005E5E0C">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94" w:type="dxa"/>
            <w:tcBorders>
              <w:bottom w:val="nil"/>
            </w:tcBorders>
            <w:shd w:val="clear" w:color="auto" w:fill="auto"/>
          </w:tcPr>
          <w:p w14:paraId="647DC5B4" w14:textId="77777777" w:rsidR="00C82242" w:rsidRPr="00C82242" w:rsidRDefault="00C82242" w:rsidP="00D9533E">
            <w:pPr>
              <w:spacing w:after="0" w:line="260" w:lineRule="atLeast"/>
              <w:rPr>
                <w:rFonts w:cs="Arial"/>
                <w:sz w:val="18"/>
                <w:szCs w:val="18"/>
                <w:lang w:eastAsia="en-AU"/>
              </w:rPr>
            </w:pPr>
            <w:r w:rsidRPr="00C82242">
              <w:rPr>
                <w:rFonts w:eastAsia="Calibri" w:cs="Arial"/>
                <w:sz w:val="18"/>
                <w:szCs w:val="18"/>
                <w:lang w:eastAsia="en-AU"/>
              </w:rPr>
              <w:t>Asset class</w:t>
            </w:r>
          </w:p>
        </w:tc>
        <w:tc>
          <w:tcPr>
            <w:tcW w:w="2533" w:type="dxa"/>
            <w:gridSpan w:val="2"/>
            <w:tcBorders>
              <w:bottom w:val="single" w:sz="8" w:space="0" w:color="auto"/>
            </w:tcBorders>
            <w:shd w:val="clear" w:color="auto" w:fill="auto"/>
          </w:tcPr>
          <w:p w14:paraId="48166893" w14:textId="77777777" w:rsidR="00C82242" w:rsidRPr="00C82242" w:rsidRDefault="00C82242" w:rsidP="00D9533E">
            <w:pPr>
              <w:spacing w:after="0" w:line="260" w:lineRule="atLeast"/>
              <w:jc w:val="center"/>
              <w:cnfStyle w:val="100000000000" w:firstRow="1" w:lastRow="0" w:firstColumn="0" w:lastColumn="0" w:oddVBand="0" w:evenVBand="0" w:oddHBand="0" w:evenHBand="0" w:firstRowFirstColumn="0" w:firstRowLastColumn="0" w:lastRowFirstColumn="0" w:lastRowLastColumn="0"/>
              <w:rPr>
                <w:rFonts w:eastAsia="Calibri" w:cs="Arial"/>
                <w:sz w:val="18"/>
                <w:szCs w:val="18"/>
                <w:lang w:eastAsia="en-AU"/>
              </w:rPr>
            </w:pPr>
            <w:r w:rsidRPr="00C82242">
              <w:rPr>
                <w:rFonts w:eastAsia="Calibri" w:cs="Arial"/>
                <w:sz w:val="18"/>
                <w:szCs w:val="18"/>
                <w:lang w:eastAsia="en-AU"/>
              </w:rPr>
              <w:t>Useful life</w:t>
            </w:r>
          </w:p>
        </w:tc>
      </w:tr>
      <w:tr w:rsidR="00C82242" w:rsidRPr="00C82242" w14:paraId="0DF73C34" w14:textId="77777777" w:rsidTr="005E5E0C">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94" w:type="dxa"/>
            <w:tcBorders>
              <w:top w:val="nil"/>
              <w:bottom w:val="single" w:sz="8" w:space="0" w:color="auto"/>
            </w:tcBorders>
            <w:shd w:val="clear" w:color="auto" w:fill="auto"/>
          </w:tcPr>
          <w:p w14:paraId="6261CBDB" w14:textId="77777777" w:rsidR="00C82242" w:rsidRPr="00C82242" w:rsidRDefault="00C82242" w:rsidP="00D9533E">
            <w:pPr>
              <w:spacing w:after="0" w:line="260" w:lineRule="atLeast"/>
              <w:rPr>
                <w:rFonts w:eastAsia="Calibri" w:cs="Arial"/>
                <w:sz w:val="18"/>
                <w:szCs w:val="18"/>
                <w:lang w:eastAsia="en-AU"/>
              </w:rPr>
            </w:pPr>
          </w:p>
        </w:tc>
        <w:tc>
          <w:tcPr>
            <w:tcW w:w="1285" w:type="dxa"/>
            <w:tcBorders>
              <w:top w:val="single" w:sz="8" w:space="0" w:color="auto"/>
              <w:bottom w:val="single" w:sz="8" w:space="0" w:color="auto"/>
            </w:tcBorders>
            <w:shd w:val="clear" w:color="auto" w:fill="auto"/>
          </w:tcPr>
          <w:p w14:paraId="5CD67483" w14:textId="77777777" w:rsidR="00C82242" w:rsidRPr="00C82242" w:rsidRDefault="00C82242" w:rsidP="00D9533E">
            <w:pPr>
              <w:spacing w:after="0" w:line="260" w:lineRule="atLeast"/>
              <w:cnfStyle w:val="000000100000" w:firstRow="0" w:lastRow="0" w:firstColumn="0" w:lastColumn="0" w:oddVBand="0" w:evenVBand="0" w:oddHBand="1" w:evenHBand="0" w:firstRowFirstColumn="0" w:firstRowLastColumn="0" w:lastRowFirstColumn="0" w:lastRowLastColumn="0"/>
              <w:rPr>
                <w:rFonts w:eastAsia="Calibri" w:cs="Arial"/>
                <w:b/>
                <w:bCs/>
                <w:sz w:val="18"/>
                <w:szCs w:val="18"/>
                <w:lang w:eastAsia="en-AU"/>
              </w:rPr>
            </w:pPr>
            <w:r w:rsidRPr="00C82242">
              <w:rPr>
                <w:rFonts w:eastAsia="Calibri" w:cs="Arial"/>
                <w:b/>
                <w:bCs/>
                <w:sz w:val="18"/>
                <w:szCs w:val="18"/>
                <w:lang w:eastAsia="en-AU"/>
              </w:rPr>
              <w:t>2023-24</w:t>
            </w:r>
          </w:p>
        </w:tc>
        <w:tc>
          <w:tcPr>
            <w:tcW w:w="1248" w:type="dxa"/>
            <w:tcBorders>
              <w:top w:val="single" w:sz="8" w:space="0" w:color="auto"/>
              <w:bottom w:val="single" w:sz="8" w:space="0" w:color="auto"/>
            </w:tcBorders>
            <w:shd w:val="clear" w:color="auto" w:fill="auto"/>
          </w:tcPr>
          <w:p w14:paraId="2A40AB45" w14:textId="77777777" w:rsidR="00C82242" w:rsidRPr="00C82242" w:rsidRDefault="00C82242" w:rsidP="00D9533E">
            <w:pPr>
              <w:spacing w:after="0" w:line="260" w:lineRule="atLeast"/>
              <w:cnfStyle w:val="000000100000" w:firstRow="0" w:lastRow="0" w:firstColumn="0" w:lastColumn="0" w:oddVBand="0" w:evenVBand="0" w:oddHBand="1" w:evenHBand="0" w:firstRowFirstColumn="0" w:firstRowLastColumn="0" w:lastRowFirstColumn="0" w:lastRowLastColumn="0"/>
              <w:rPr>
                <w:rFonts w:eastAsia="Calibri" w:cs="Arial"/>
                <w:sz w:val="18"/>
                <w:szCs w:val="18"/>
                <w:lang w:eastAsia="en-AU"/>
              </w:rPr>
            </w:pPr>
            <w:r w:rsidRPr="00C82242">
              <w:rPr>
                <w:rFonts w:eastAsia="Calibri" w:cs="Arial"/>
                <w:sz w:val="18"/>
                <w:szCs w:val="18"/>
                <w:lang w:eastAsia="en-AU"/>
              </w:rPr>
              <w:t>2022-23</w:t>
            </w:r>
          </w:p>
        </w:tc>
      </w:tr>
      <w:tr w:rsidR="00C82242" w:rsidRPr="00C82242" w14:paraId="6A25A10E" w14:textId="77777777" w:rsidTr="005E5E0C">
        <w:trPr>
          <w:trHeight w:val="236"/>
        </w:trPr>
        <w:tc>
          <w:tcPr>
            <w:cnfStyle w:val="001000000000" w:firstRow="0" w:lastRow="0" w:firstColumn="1" w:lastColumn="0" w:oddVBand="0" w:evenVBand="0" w:oddHBand="0" w:evenHBand="0" w:firstRowFirstColumn="0" w:firstRowLastColumn="0" w:lastRowFirstColumn="0" w:lastRowLastColumn="0"/>
            <w:tcW w:w="2094" w:type="dxa"/>
            <w:tcBorders>
              <w:top w:val="single" w:sz="8" w:space="0" w:color="auto"/>
            </w:tcBorders>
            <w:shd w:val="clear" w:color="auto" w:fill="auto"/>
          </w:tcPr>
          <w:p w14:paraId="60CD4AF7" w14:textId="77777777" w:rsidR="00C82242" w:rsidRPr="00C82242" w:rsidRDefault="00C82242" w:rsidP="0047225D">
            <w:pPr>
              <w:spacing w:after="0" w:line="260" w:lineRule="atLeast"/>
              <w:rPr>
                <w:rFonts w:eastAsia="Calibri" w:cs="Arial"/>
                <w:sz w:val="18"/>
                <w:szCs w:val="18"/>
                <w:lang w:eastAsia="en-AU"/>
              </w:rPr>
            </w:pPr>
            <w:r w:rsidRPr="00C82242">
              <w:rPr>
                <w:rFonts w:eastAsia="Calibri" w:cs="Arial"/>
                <w:sz w:val="18"/>
                <w:szCs w:val="18"/>
                <w:lang w:eastAsia="en-AU"/>
              </w:rPr>
              <w:t>Plant and equipment</w:t>
            </w:r>
          </w:p>
        </w:tc>
        <w:tc>
          <w:tcPr>
            <w:tcW w:w="1285" w:type="dxa"/>
            <w:tcBorders>
              <w:top w:val="single" w:sz="8" w:space="0" w:color="auto"/>
            </w:tcBorders>
            <w:shd w:val="clear" w:color="auto" w:fill="auto"/>
          </w:tcPr>
          <w:p w14:paraId="3EC1C8C9" w14:textId="77777777" w:rsidR="00C82242" w:rsidRPr="00C82242" w:rsidRDefault="00C82242" w:rsidP="0047225D">
            <w:pPr>
              <w:spacing w:after="0" w:line="260" w:lineRule="atLeast"/>
              <w:cnfStyle w:val="000000000000" w:firstRow="0" w:lastRow="0" w:firstColumn="0" w:lastColumn="0" w:oddVBand="0" w:evenVBand="0" w:oddHBand="0" w:evenHBand="0" w:firstRowFirstColumn="0" w:firstRowLastColumn="0" w:lastRowFirstColumn="0" w:lastRowLastColumn="0"/>
              <w:rPr>
                <w:rFonts w:eastAsia="Calibri" w:cs="Arial"/>
                <w:b/>
                <w:bCs/>
                <w:sz w:val="18"/>
                <w:szCs w:val="18"/>
                <w:lang w:eastAsia="en-AU"/>
              </w:rPr>
            </w:pPr>
            <w:r w:rsidRPr="00C82242">
              <w:rPr>
                <w:rFonts w:eastAsia="Calibri" w:cs="Arial"/>
                <w:b/>
                <w:bCs/>
                <w:sz w:val="18"/>
                <w:szCs w:val="18"/>
                <w:lang w:eastAsia="en-AU"/>
              </w:rPr>
              <w:t>3 to 10 years</w:t>
            </w:r>
          </w:p>
        </w:tc>
        <w:tc>
          <w:tcPr>
            <w:tcW w:w="1248" w:type="dxa"/>
            <w:tcBorders>
              <w:top w:val="single" w:sz="8" w:space="0" w:color="auto"/>
            </w:tcBorders>
            <w:shd w:val="clear" w:color="auto" w:fill="auto"/>
          </w:tcPr>
          <w:p w14:paraId="2B40A5CE" w14:textId="77777777" w:rsidR="00C82242" w:rsidRPr="00C82242" w:rsidRDefault="00C82242" w:rsidP="0047225D">
            <w:pPr>
              <w:spacing w:after="0" w:line="260" w:lineRule="atLeast"/>
              <w:cnfStyle w:val="000000000000" w:firstRow="0" w:lastRow="0" w:firstColumn="0" w:lastColumn="0" w:oddVBand="0" w:evenVBand="0" w:oddHBand="0" w:evenHBand="0" w:firstRowFirstColumn="0" w:firstRowLastColumn="0" w:lastRowFirstColumn="0" w:lastRowLastColumn="0"/>
              <w:rPr>
                <w:rFonts w:eastAsia="Calibri" w:cs="Arial"/>
                <w:bCs/>
                <w:sz w:val="18"/>
                <w:szCs w:val="18"/>
                <w:lang w:eastAsia="en-AU"/>
              </w:rPr>
            </w:pPr>
            <w:r w:rsidRPr="00C82242">
              <w:rPr>
                <w:rFonts w:eastAsia="Calibri" w:cs="Arial"/>
                <w:bCs/>
                <w:sz w:val="18"/>
                <w:szCs w:val="18"/>
                <w:lang w:eastAsia="en-AU"/>
              </w:rPr>
              <w:t>3 to 10 years</w:t>
            </w:r>
          </w:p>
        </w:tc>
      </w:tr>
      <w:tr w:rsidR="00C82242" w:rsidRPr="00C82242" w14:paraId="057DE7CC" w14:textId="77777777" w:rsidTr="005E5E0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14:paraId="40A09264" w14:textId="77777777" w:rsidR="00C82242" w:rsidRPr="00C82242" w:rsidRDefault="00C82242" w:rsidP="00D9533E">
            <w:pPr>
              <w:spacing w:after="0" w:line="260" w:lineRule="atLeast"/>
              <w:rPr>
                <w:rFonts w:eastAsia="Calibri" w:cs="Arial"/>
                <w:sz w:val="18"/>
                <w:szCs w:val="18"/>
                <w:lang w:eastAsia="en-AU"/>
              </w:rPr>
            </w:pPr>
            <w:r w:rsidRPr="00C82242">
              <w:rPr>
                <w:rFonts w:eastAsia="Calibri" w:cs="Arial"/>
                <w:sz w:val="18"/>
                <w:szCs w:val="18"/>
                <w:lang w:eastAsia="en-AU"/>
              </w:rPr>
              <w:t>Buildings</w:t>
            </w:r>
          </w:p>
        </w:tc>
        <w:tc>
          <w:tcPr>
            <w:tcW w:w="1285" w:type="dxa"/>
            <w:shd w:val="clear" w:color="auto" w:fill="auto"/>
          </w:tcPr>
          <w:p w14:paraId="4FC7ACA9" w14:textId="362F5CC2" w:rsidR="00C82242" w:rsidRPr="00C82242" w:rsidRDefault="00C82242" w:rsidP="0035041B">
            <w:pPr>
              <w:autoSpaceDE w:val="0"/>
              <w:autoSpaceDN w:val="0"/>
              <w:adjustRightInd w:val="0"/>
              <w:spacing w:after="0" w:line="260" w:lineRule="atLeast"/>
              <w:contextualSpacing/>
              <w:cnfStyle w:val="000000100000" w:firstRow="0" w:lastRow="0" w:firstColumn="0" w:lastColumn="0" w:oddVBand="0" w:evenVBand="0" w:oddHBand="1" w:evenHBand="0" w:firstRowFirstColumn="0" w:firstRowLastColumn="0" w:lastRowFirstColumn="0" w:lastRowLastColumn="0"/>
              <w:rPr>
                <w:rFonts w:eastAsia="Calibri" w:cs="Arial"/>
                <w:b/>
                <w:bCs/>
                <w:sz w:val="18"/>
                <w:szCs w:val="18"/>
                <w:lang w:eastAsia="en-AU"/>
              </w:rPr>
            </w:pPr>
            <w:r w:rsidRPr="00C82242">
              <w:rPr>
                <w:rFonts w:eastAsia="Calibri" w:cs="Arial"/>
                <w:b/>
                <w:bCs/>
                <w:sz w:val="18"/>
                <w:szCs w:val="18"/>
                <w:lang w:eastAsia="en-AU"/>
              </w:rPr>
              <w:t>Term of lease</w:t>
            </w:r>
          </w:p>
        </w:tc>
        <w:tc>
          <w:tcPr>
            <w:tcW w:w="1248" w:type="dxa"/>
            <w:shd w:val="clear" w:color="auto" w:fill="auto"/>
          </w:tcPr>
          <w:p w14:paraId="3A37B094" w14:textId="77777777" w:rsidR="00C82242" w:rsidRPr="00C82242" w:rsidRDefault="00C82242" w:rsidP="00D9533E">
            <w:pPr>
              <w:autoSpaceDE w:val="0"/>
              <w:autoSpaceDN w:val="0"/>
              <w:adjustRightInd w:val="0"/>
              <w:spacing w:after="0" w:line="260" w:lineRule="atLeast"/>
              <w:contextualSpacing/>
              <w:cnfStyle w:val="000000100000" w:firstRow="0" w:lastRow="0" w:firstColumn="0" w:lastColumn="0" w:oddVBand="0" w:evenVBand="0" w:oddHBand="1" w:evenHBand="0" w:firstRowFirstColumn="0" w:firstRowLastColumn="0" w:lastRowFirstColumn="0" w:lastRowLastColumn="0"/>
              <w:rPr>
                <w:rFonts w:eastAsia="Calibri" w:cs="Arial"/>
                <w:bCs/>
                <w:sz w:val="18"/>
                <w:szCs w:val="18"/>
                <w:lang w:eastAsia="en-AU"/>
              </w:rPr>
            </w:pPr>
            <w:r w:rsidRPr="00C82242">
              <w:rPr>
                <w:rFonts w:eastAsia="Calibri" w:cs="Arial"/>
                <w:bCs/>
                <w:sz w:val="18"/>
                <w:szCs w:val="18"/>
                <w:lang w:eastAsia="en-AU"/>
              </w:rPr>
              <w:t>Term of lease</w:t>
            </w:r>
          </w:p>
        </w:tc>
      </w:tr>
    </w:tbl>
    <w:p w14:paraId="4A324245" w14:textId="77777777" w:rsidR="00C82242" w:rsidRPr="00C82242" w:rsidRDefault="00C82242" w:rsidP="00C82242">
      <w:pPr>
        <w:spacing w:after="0" w:line="240" w:lineRule="auto"/>
        <w:rPr>
          <w:rFonts w:cs="Arial"/>
          <w:sz w:val="18"/>
          <w:szCs w:val="18"/>
          <w:lang w:eastAsia="en-US"/>
        </w:rPr>
      </w:pPr>
    </w:p>
    <w:p w14:paraId="7BEF0ED7" w14:textId="2BB48A64" w:rsidR="00C82242" w:rsidRPr="00C82242" w:rsidRDefault="00C82242" w:rsidP="0047225D">
      <w:pPr>
        <w:spacing w:after="60" w:line="240" w:lineRule="auto"/>
        <w:rPr>
          <w:rFonts w:cs="Arial"/>
          <w:sz w:val="18"/>
          <w:szCs w:val="18"/>
          <w:lang w:eastAsia="en-US"/>
        </w:rPr>
      </w:pPr>
      <w:r w:rsidRPr="00C82242">
        <w:rPr>
          <w:rFonts w:cs="Arial"/>
          <w:sz w:val="18"/>
          <w:szCs w:val="18"/>
          <w:lang w:eastAsia="en-US"/>
        </w:rPr>
        <w:t>The depreciation rates for ROU assets are based on the life of the lease term, including options to extend where it is expected that these will be exercised.</w:t>
      </w:r>
    </w:p>
    <w:p w14:paraId="1D194E63" w14:textId="77777777" w:rsidR="00C82242" w:rsidRPr="00C82242" w:rsidRDefault="00C82242" w:rsidP="0047225D">
      <w:pPr>
        <w:spacing w:after="60" w:line="240" w:lineRule="auto"/>
        <w:rPr>
          <w:rFonts w:cs="Arial"/>
          <w:i/>
          <w:iCs/>
          <w:sz w:val="18"/>
          <w:szCs w:val="18"/>
          <w:u w:val="single"/>
          <w:lang w:eastAsia="en-AU"/>
        </w:rPr>
      </w:pPr>
      <w:r w:rsidRPr="00C82242">
        <w:rPr>
          <w:rFonts w:cs="Arial"/>
          <w:i/>
          <w:iCs/>
          <w:sz w:val="18"/>
          <w:szCs w:val="18"/>
          <w:u w:val="single"/>
          <w:lang w:eastAsia="en-AU"/>
        </w:rPr>
        <w:t>Impairment</w:t>
      </w:r>
    </w:p>
    <w:p w14:paraId="6EE0DE3D" w14:textId="77777777" w:rsidR="00C82242" w:rsidRPr="00C82242" w:rsidRDefault="00C82242" w:rsidP="00133885">
      <w:pPr>
        <w:spacing w:after="120" w:line="240" w:lineRule="auto"/>
        <w:jc w:val="both"/>
        <w:rPr>
          <w:rFonts w:cs="Arial"/>
          <w:sz w:val="18"/>
          <w:szCs w:val="18"/>
          <w:lang w:eastAsia="en-AU"/>
        </w:rPr>
      </w:pPr>
      <w:r w:rsidRPr="00C82242">
        <w:rPr>
          <w:rFonts w:cs="Arial"/>
          <w:sz w:val="18"/>
          <w:szCs w:val="18"/>
          <w:lang w:eastAsia="en-AU"/>
        </w:rPr>
        <w:t xml:space="preserve">All assets are assessed for impairment annually. 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Agency were deprived of the asset, its value in use is taken to be its depreciated replacement cost. </w:t>
      </w:r>
    </w:p>
    <w:p w14:paraId="44566EBD" w14:textId="77777777" w:rsidR="00CF200A" w:rsidRDefault="00CF200A" w:rsidP="00B040FE">
      <w:pPr>
        <w:spacing w:line="240" w:lineRule="auto"/>
        <w:ind w:left="142"/>
        <w:rPr>
          <w:rFonts w:cs="Arial"/>
          <w:sz w:val="18"/>
          <w:szCs w:val="18"/>
        </w:rPr>
        <w:sectPr w:rsidR="00CF200A" w:rsidSect="0047225D">
          <w:type w:val="continuous"/>
          <w:pgSz w:w="11906" w:h="16838" w:code="9"/>
          <w:pgMar w:top="1134" w:right="1700" w:bottom="1134" w:left="1134" w:header="958" w:footer="737" w:gutter="0"/>
          <w:cols w:num="2" w:space="708"/>
          <w:docGrid w:linePitch="360"/>
        </w:sectPr>
      </w:pPr>
    </w:p>
    <w:p w14:paraId="5436B1A3" w14:textId="77777777" w:rsidR="000D1B3E" w:rsidRPr="003203A1" w:rsidRDefault="000D1B3E" w:rsidP="000D1B3E">
      <w:pPr>
        <w:spacing w:after="0" w:line="240" w:lineRule="auto"/>
        <w:rPr>
          <w:b/>
          <w:bCs/>
        </w:rPr>
      </w:pPr>
      <w:r w:rsidRPr="003203A1">
        <w:rPr>
          <w:b/>
          <w:bCs/>
        </w:rPr>
        <w:lastRenderedPageBreak/>
        <w:t>National Disability Insurance Agency</w:t>
      </w:r>
    </w:p>
    <w:p w14:paraId="2643C081" w14:textId="77777777" w:rsidR="000D1B3E" w:rsidRDefault="000D1B3E" w:rsidP="000D1B3E">
      <w:pPr>
        <w:pBdr>
          <w:bottom w:val="single" w:sz="8" w:space="1" w:color="auto"/>
        </w:pBdr>
        <w:rPr>
          <w:b/>
          <w:bCs/>
        </w:rPr>
      </w:pPr>
      <w:r w:rsidRPr="003203A1">
        <w:rPr>
          <w:b/>
          <w:bCs/>
        </w:rPr>
        <w:t>NOTES TO AND FORMING PART OF THE FINANCIAL STATEMENTS</w:t>
      </w:r>
    </w:p>
    <w:p w14:paraId="0FAD6428" w14:textId="77777777" w:rsidR="000D1B3E" w:rsidRDefault="000D1B3E" w:rsidP="000D1B3E">
      <w:pPr>
        <w:pBdr>
          <w:bottom w:val="single" w:sz="8" w:space="1" w:color="auto"/>
        </w:pBdr>
        <w:rPr>
          <w:b/>
          <w:bCs/>
        </w:rPr>
        <w:sectPr w:rsidR="000D1B3E" w:rsidSect="000D1B3E">
          <w:type w:val="continuous"/>
          <w:pgSz w:w="11906" w:h="16838" w:code="9"/>
          <w:pgMar w:top="1670" w:right="1134" w:bottom="1134" w:left="1134" w:header="958" w:footer="737" w:gutter="0"/>
          <w:cols w:space="708"/>
          <w:docGrid w:linePitch="360"/>
        </w:sectPr>
      </w:pPr>
    </w:p>
    <w:p w14:paraId="2F4D657A" w14:textId="55A49EC2" w:rsidR="00F21D8B" w:rsidRPr="00F21D8B" w:rsidRDefault="00F21D8B" w:rsidP="00F21D8B">
      <w:pPr>
        <w:spacing w:after="0" w:line="240" w:lineRule="auto"/>
        <w:jc w:val="both"/>
        <w:rPr>
          <w:rFonts w:cs="Arial"/>
          <w:i/>
          <w:iCs/>
          <w:sz w:val="18"/>
          <w:szCs w:val="18"/>
          <w:u w:val="single"/>
          <w:lang w:eastAsia="en-AU"/>
        </w:rPr>
      </w:pPr>
      <w:r w:rsidRPr="00F21D8B">
        <w:rPr>
          <w:rFonts w:cs="Arial"/>
          <w:noProof/>
          <w:sz w:val="18"/>
          <w:szCs w:val="18"/>
          <w:lang w:eastAsia="en-AU"/>
        </w:rPr>
        <mc:AlternateContent>
          <mc:Choice Requires="wps">
            <w:drawing>
              <wp:anchor distT="0" distB="0" distL="114300" distR="114300" simplePos="0" relativeHeight="251658241" behindDoc="0" locked="0" layoutInCell="1" allowOverlap="1" wp14:anchorId="3D4D9CF5" wp14:editId="2F218693">
                <wp:simplePos x="0" y="0"/>
                <wp:positionH relativeFrom="margin">
                  <wp:posOffset>-159822</wp:posOffset>
                </wp:positionH>
                <wp:positionV relativeFrom="paragraph">
                  <wp:posOffset>-79463</wp:posOffset>
                </wp:positionV>
                <wp:extent cx="6383547" cy="5232694"/>
                <wp:effectExtent l="0" t="0" r="17780" b="2540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547" cy="5232694"/>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C96D1F6" id="Rectangle 3" o:spid="_x0000_s1026" alt="&quot;&quot;" style="position:absolute;margin-left:-12.6pt;margin-top:-6.25pt;width:502.65pt;height:41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" filled="f" strokecolor="purple">
                <w10:wrap anchorx="margin"/>
              </v:rect>
            </w:pict>
          </mc:Fallback>
        </mc:AlternateContent>
      </w:r>
      <w:r w:rsidRPr="00F21D8B">
        <w:rPr>
          <w:rFonts w:cs="Arial"/>
          <w:i/>
          <w:iCs/>
          <w:sz w:val="18"/>
          <w:szCs w:val="18"/>
          <w:u w:val="single"/>
          <w:lang w:eastAsia="en-AU"/>
        </w:rPr>
        <w:t>Fair Value</w:t>
      </w:r>
    </w:p>
    <w:p w14:paraId="473AD5A2" w14:textId="77777777" w:rsidR="00F21D8B" w:rsidRPr="00F21D8B" w:rsidRDefault="00F21D8B" w:rsidP="0047225D">
      <w:pPr>
        <w:spacing w:after="60" w:line="240" w:lineRule="auto"/>
        <w:jc w:val="both"/>
        <w:rPr>
          <w:rFonts w:cs="Arial"/>
          <w:iCs/>
          <w:sz w:val="18"/>
          <w:szCs w:val="18"/>
          <w:lang w:eastAsia="en-AU"/>
        </w:rPr>
      </w:pPr>
      <w:r w:rsidRPr="00F21D8B">
        <w:rPr>
          <w:rFonts w:cs="Arial"/>
          <w:iCs/>
          <w:sz w:val="18"/>
          <w:szCs w:val="18"/>
          <w:lang w:eastAsia="en-AU"/>
        </w:rPr>
        <w:t>All leasehold improvements and plant and equipment are measured at their estimated fair value in the Statement of Financial Position. All leasehold improvements and plant and equipment, other than ROU plant and equipment and computing equipment, held by the Agency are categorised under Level 3 in accordance with the hierarchy listed in AASB 13.</w:t>
      </w:r>
    </w:p>
    <w:p w14:paraId="40944375" w14:textId="77777777" w:rsidR="00F21D8B" w:rsidRPr="00F21D8B" w:rsidRDefault="00F21D8B" w:rsidP="0047225D">
      <w:pPr>
        <w:spacing w:after="60" w:line="240" w:lineRule="auto"/>
        <w:jc w:val="both"/>
        <w:rPr>
          <w:rFonts w:cs="Arial"/>
          <w:iCs/>
          <w:sz w:val="18"/>
          <w:szCs w:val="18"/>
          <w:lang w:eastAsia="en-AU"/>
        </w:rPr>
      </w:pPr>
      <w:r w:rsidRPr="00F21D8B">
        <w:rPr>
          <w:rFonts w:cs="Arial"/>
          <w:iCs/>
          <w:sz w:val="18"/>
          <w:szCs w:val="18"/>
          <w:lang w:eastAsia="en-AU"/>
        </w:rPr>
        <w:t>Level 3 measurements use inputs to estimate fair value where there are no observable market prices for the assets being valued. The future economic benefits of the Agency’s leasehold improvements and plant and equipment are not primarily dependent on their ability to generate cash flows. The Agency has not disclosed quantitative information about the significant unobservable inputs for the level 3 measurements in these classes.</w:t>
      </w:r>
    </w:p>
    <w:p w14:paraId="1EABF55A" w14:textId="77777777" w:rsidR="00F21D8B" w:rsidRPr="00F21D8B" w:rsidRDefault="00F21D8B" w:rsidP="0047225D">
      <w:pPr>
        <w:spacing w:after="60" w:line="240" w:lineRule="auto"/>
        <w:jc w:val="both"/>
        <w:rPr>
          <w:rFonts w:cs="Arial"/>
          <w:iCs/>
          <w:sz w:val="18"/>
          <w:szCs w:val="18"/>
          <w:lang w:eastAsia="en-AU"/>
        </w:rPr>
      </w:pPr>
      <w:r w:rsidRPr="00F21D8B">
        <w:rPr>
          <w:rFonts w:cs="Arial"/>
          <w:sz w:val="18"/>
          <w:szCs w:val="18"/>
          <w:lang w:eastAsia="en-AU"/>
        </w:rPr>
        <w:t xml:space="preserve">Computing equipment are categorised under level 1 </w:t>
      </w:r>
      <w:r w:rsidRPr="00F21D8B">
        <w:rPr>
          <w:rFonts w:cs="Arial"/>
          <w:iCs/>
          <w:sz w:val="18"/>
          <w:szCs w:val="18"/>
          <w:lang w:eastAsia="en-AU"/>
        </w:rPr>
        <w:t>in accordance with the hierarchy listed in AASB 13.</w:t>
      </w:r>
    </w:p>
    <w:p w14:paraId="2A1CBC59" w14:textId="77777777" w:rsidR="00F21D8B" w:rsidRPr="00F21D8B" w:rsidRDefault="00F21D8B" w:rsidP="0047225D">
      <w:pPr>
        <w:spacing w:after="60" w:line="240" w:lineRule="auto"/>
        <w:jc w:val="both"/>
        <w:rPr>
          <w:rFonts w:cs="Arial"/>
          <w:sz w:val="18"/>
          <w:szCs w:val="18"/>
          <w:lang w:eastAsia="en-AU"/>
        </w:rPr>
      </w:pPr>
      <w:r w:rsidRPr="00F21D8B">
        <w:rPr>
          <w:rFonts w:cs="Arial"/>
          <w:sz w:val="18"/>
          <w:szCs w:val="18"/>
          <w:lang w:eastAsia="en-AU"/>
        </w:rPr>
        <w:t>Level 1 measurements use quoted prices (unadjusted) in active markets for identical assets or liabilities that the entity can access at the measurement date.</w:t>
      </w:r>
    </w:p>
    <w:p w14:paraId="606EC889" w14:textId="77777777" w:rsidR="00F21D8B" w:rsidRPr="00F21D8B" w:rsidRDefault="00F21D8B" w:rsidP="0047225D">
      <w:pPr>
        <w:spacing w:after="60" w:line="240" w:lineRule="auto"/>
        <w:jc w:val="both"/>
        <w:rPr>
          <w:rFonts w:cs="Arial"/>
          <w:i/>
          <w:iCs/>
          <w:sz w:val="18"/>
          <w:szCs w:val="18"/>
          <w:u w:val="single"/>
          <w:lang w:eastAsia="en-AU"/>
        </w:rPr>
      </w:pPr>
      <w:r w:rsidRPr="00F21D8B">
        <w:rPr>
          <w:rFonts w:cs="Arial"/>
          <w:i/>
          <w:iCs/>
          <w:sz w:val="18"/>
          <w:szCs w:val="18"/>
          <w:u w:val="single"/>
          <w:lang w:eastAsia="en-AU"/>
        </w:rPr>
        <w:t>De-recognition</w:t>
      </w:r>
    </w:p>
    <w:p w14:paraId="272A4ADC" w14:textId="6032DD57" w:rsidR="00F21D8B" w:rsidRPr="00F21D8B" w:rsidRDefault="00F21D8B" w:rsidP="0047225D">
      <w:pPr>
        <w:autoSpaceDE w:val="0"/>
        <w:autoSpaceDN w:val="0"/>
        <w:adjustRightInd w:val="0"/>
        <w:spacing w:after="60" w:line="240" w:lineRule="auto"/>
        <w:jc w:val="both"/>
        <w:rPr>
          <w:rFonts w:cs="Arial"/>
          <w:sz w:val="18"/>
          <w:szCs w:val="18"/>
          <w:lang w:eastAsia="en-US"/>
        </w:rPr>
      </w:pPr>
      <w:r w:rsidRPr="00F21D8B">
        <w:rPr>
          <w:rFonts w:cs="Arial"/>
          <w:sz w:val="18"/>
          <w:szCs w:val="18"/>
          <w:lang w:eastAsia="en-US"/>
        </w:rPr>
        <w:t xml:space="preserve">An item of buildings or plant and equipment is derecognised upon disposal or when no further future economic benefits are expected from its use or its disposal. </w:t>
      </w:r>
    </w:p>
    <w:p w14:paraId="1C868EC0" w14:textId="77777777" w:rsidR="00F21D8B" w:rsidRPr="00F21D8B" w:rsidRDefault="00F21D8B" w:rsidP="0047225D">
      <w:pPr>
        <w:autoSpaceDE w:val="0"/>
        <w:autoSpaceDN w:val="0"/>
        <w:adjustRightInd w:val="0"/>
        <w:spacing w:after="60" w:line="240" w:lineRule="auto"/>
        <w:jc w:val="both"/>
        <w:rPr>
          <w:rFonts w:cs="Arial"/>
          <w:sz w:val="18"/>
          <w:szCs w:val="18"/>
          <w:lang w:eastAsia="en-US"/>
        </w:rPr>
      </w:pPr>
      <w:r w:rsidRPr="00F21D8B">
        <w:rPr>
          <w:rFonts w:cs="Arial"/>
          <w:sz w:val="18"/>
          <w:szCs w:val="18"/>
          <w:lang w:eastAsia="en-US"/>
        </w:rPr>
        <w:t xml:space="preserve">On de-recognition of a leased ROU asset, the Agency recognises any receipts on closure of the lease as a gain (unless </w:t>
      </w:r>
      <w:r w:rsidRPr="00F21D8B">
        <w:rPr>
          <w:rFonts w:cs="Arial"/>
          <w:i/>
          <w:iCs/>
          <w:sz w:val="18"/>
          <w:szCs w:val="18"/>
          <w:lang w:eastAsia="en-US"/>
        </w:rPr>
        <w:t xml:space="preserve">AASB 16 </w:t>
      </w:r>
      <w:r w:rsidRPr="00F21D8B">
        <w:rPr>
          <w:rFonts w:cs="Arial"/>
          <w:sz w:val="18"/>
          <w:szCs w:val="18"/>
          <w:lang w:eastAsia="en-US"/>
        </w:rPr>
        <w:t>requires otherwise on a sale and leaseback).</w:t>
      </w:r>
    </w:p>
    <w:p w14:paraId="30998A44" w14:textId="77777777" w:rsidR="00F21D8B" w:rsidRPr="00F21D8B" w:rsidRDefault="00F21D8B" w:rsidP="0047225D">
      <w:pPr>
        <w:autoSpaceDE w:val="0"/>
        <w:autoSpaceDN w:val="0"/>
        <w:adjustRightInd w:val="0"/>
        <w:spacing w:after="60" w:line="240" w:lineRule="auto"/>
        <w:jc w:val="both"/>
        <w:rPr>
          <w:rFonts w:cs="Arial"/>
          <w:b/>
          <w:bCs/>
          <w:sz w:val="18"/>
          <w:szCs w:val="18"/>
          <w:lang w:eastAsia="en-US"/>
        </w:rPr>
      </w:pPr>
      <w:r w:rsidRPr="00F21D8B">
        <w:rPr>
          <w:rFonts w:cs="Arial"/>
          <w:b/>
          <w:bCs/>
          <w:sz w:val="18"/>
          <w:szCs w:val="18"/>
          <w:lang w:eastAsia="en-US"/>
        </w:rPr>
        <w:t>Key judgements and estimates</w:t>
      </w:r>
    </w:p>
    <w:p w14:paraId="55A296BB" w14:textId="77777777" w:rsidR="00F21D8B" w:rsidRPr="00F21D8B" w:rsidRDefault="00F21D8B" w:rsidP="0047225D">
      <w:pPr>
        <w:autoSpaceDE w:val="0"/>
        <w:autoSpaceDN w:val="0"/>
        <w:adjustRightInd w:val="0"/>
        <w:spacing w:after="60" w:line="240" w:lineRule="auto"/>
        <w:jc w:val="both"/>
        <w:rPr>
          <w:rFonts w:cs="Arial"/>
          <w:sz w:val="18"/>
          <w:szCs w:val="18"/>
          <w:lang w:eastAsia="en-AU"/>
        </w:rPr>
      </w:pPr>
      <w:r w:rsidRPr="00F21D8B">
        <w:rPr>
          <w:rFonts w:cs="Arial"/>
          <w:sz w:val="18"/>
          <w:szCs w:val="18"/>
          <w:lang w:eastAsia="en-AU"/>
        </w:rPr>
        <w:t xml:space="preserve">The estimated fair value of leasehold improvements and plant and equipment (excluding ROU assets) is determined annually by an independent valuer using the </w:t>
      </w:r>
      <w:r w:rsidRPr="00F21D8B">
        <w:rPr>
          <w:rFonts w:cs="Arial"/>
          <w:sz w:val="18"/>
          <w:szCs w:val="18"/>
          <w:lang w:eastAsia="en-AU"/>
        </w:rPr>
        <w:t>Cost Approach as these assets do not generally transact with enough frequency or transparency to develop objective opinions of value. The valuation result provided by the independent valuer is subject to management assessment.</w:t>
      </w:r>
    </w:p>
    <w:p w14:paraId="39E7E213" w14:textId="77777777" w:rsidR="00F21D8B" w:rsidRPr="00F21D8B" w:rsidRDefault="00F21D8B" w:rsidP="0047225D">
      <w:pPr>
        <w:autoSpaceDE w:val="0"/>
        <w:autoSpaceDN w:val="0"/>
        <w:adjustRightInd w:val="0"/>
        <w:spacing w:after="60" w:line="240" w:lineRule="auto"/>
        <w:jc w:val="both"/>
        <w:rPr>
          <w:rFonts w:cs="Arial"/>
          <w:sz w:val="18"/>
          <w:szCs w:val="18"/>
          <w:lang w:eastAsia="en-AU"/>
        </w:rPr>
      </w:pPr>
      <w:r w:rsidRPr="00F21D8B">
        <w:rPr>
          <w:rFonts w:cs="Arial"/>
          <w:sz w:val="18"/>
          <w:szCs w:val="18"/>
          <w:lang w:eastAsia="en-AU"/>
        </w:rPr>
        <w:t>The Cost Approach seeks to estimate the amount required to replace the service capacity of an asset at its highest and best use and is determined as either the Replacement Cost of New Assets (RCN) or the Depreciated Replacement Cost (DRC).</w:t>
      </w:r>
    </w:p>
    <w:p w14:paraId="0C83B791" w14:textId="77777777" w:rsidR="00F21D8B" w:rsidRPr="00F21D8B" w:rsidRDefault="00F21D8B" w:rsidP="0047225D">
      <w:pPr>
        <w:autoSpaceDE w:val="0"/>
        <w:autoSpaceDN w:val="0"/>
        <w:adjustRightInd w:val="0"/>
        <w:spacing w:after="60" w:line="240" w:lineRule="auto"/>
        <w:jc w:val="both"/>
        <w:rPr>
          <w:rFonts w:cs="Arial"/>
          <w:sz w:val="18"/>
          <w:szCs w:val="18"/>
          <w:lang w:eastAsia="en-AU"/>
        </w:rPr>
      </w:pPr>
      <w:r w:rsidRPr="00F21D8B">
        <w:rPr>
          <w:rFonts w:cs="Arial"/>
          <w:sz w:val="18"/>
          <w:szCs w:val="18"/>
          <w:lang w:eastAsia="en-AU"/>
        </w:rPr>
        <w:t>Assets Under Construction are valued as RCN determined as the amount a market participant would pay to acquire or construct a new substitute asset of comparable utility and relevant to the asset’s location. Inputs including current local market prices for asset components such as materials and labour costs are utilised in determining RCN.</w:t>
      </w:r>
    </w:p>
    <w:p w14:paraId="2FD85309" w14:textId="77777777" w:rsidR="00F21D8B" w:rsidRPr="00F21D8B" w:rsidRDefault="00F21D8B" w:rsidP="0047225D">
      <w:pPr>
        <w:autoSpaceDE w:val="0"/>
        <w:autoSpaceDN w:val="0"/>
        <w:adjustRightInd w:val="0"/>
        <w:spacing w:after="60" w:line="240" w:lineRule="auto"/>
        <w:jc w:val="both"/>
        <w:rPr>
          <w:rFonts w:cs="Arial"/>
          <w:sz w:val="18"/>
          <w:szCs w:val="18"/>
          <w:lang w:eastAsia="en-AU"/>
        </w:rPr>
        <w:sectPr w:rsidR="00F21D8B" w:rsidRPr="00F21D8B" w:rsidSect="00F21D8B">
          <w:type w:val="continuous"/>
          <w:pgSz w:w="11906" w:h="16838" w:code="9"/>
          <w:pgMar w:top="1670" w:right="1134" w:bottom="1134" w:left="1134" w:header="958" w:footer="737" w:gutter="0"/>
          <w:cols w:num="2" w:space="708"/>
          <w:docGrid w:linePitch="360"/>
        </w:sectPr>
      </w:pPr>
      <w:r w:rsidRPr="00F21D8B">
        <w:rPr>
          <w:rFonts w:cs="Arial"/>
          <w:sz w:val="18"/>
          <w:szCs w:val="18"/>
          <w:lang w:eastAsia="en-AU"/>
        </w:rPr>
        <w:t>Leasehold improvements, plant, and equipment (excluding ROU assets) are valued using DRC. Under DRC the replacement costs of new assets are adjusted for physical depreciation and obsolescence such as physical deterioration, functional or technical obsolescence and conditions of the economic environment specific to the asset. For leasehold improvements, the consumed economic benefit/asset obsolescence deduction is generally determined based on the term of the associated lease. All useful life inputs are based on the lower of the tenancy lease term or economic life of the fit-out. If a fit-out installation date has occurred at a time other than the lease commencement date, the asset’s useful life will be based on the lesser of the remaining tenancy lease term or economic life of the fit-out.</w:t>
      </w:r>
    </w:p>
    <w:p w14:paraId="18F655FD" w14:textId="77777777" w:rsidR="00F21D8B" w:rsidRPr="00F21D8B" w:rsidRDefault="00F21D8B" w:rsidP="00F21D8B">
      <w:pPr>
        <w:spacing w:after="0" w:line="240" w:lineRule="auto"/>
        <w:jc w:val="both"/>
        <w:rPr>
          <w:rFonts w:cs="Arial"/>
          <w:sz w:val="18"/>
          <w:szCs w:val="18"/>
          <w:lang w:eastAsia="en-AU"/>
        </w:rPr>
        <w:sectPr w:rsidR="00F21D8B" w:rsidRPr="00F21D8B" w:rsidSect="00F21D8B">
          <w:type w:val="continuous"/>
          <w:pgSz w:w="11906" w:h="16838" w:code="9"/>
          <w:pgMar w:top="1670" w:right="1134" w:bottom="1134" w:left="1134" w:header="958" w:footer="737" w:gutter="0"/>
          <w:cols w:num="2" w:space="708"/>
          <w:docGrid w:linePitch="360"/>
        </w:sectPr>
      </w:pPr>
    </w:p>
    <w:p w14:paraId="60E55A01" w14:textId="77777777" w:rsidR="00B040FE" w:rsidRDefault="00B040FE" w:rsidP="00B040FE">
      <w:pPr>
        <w:spacing w:line="240" w:lineRule="auto"/>
        <w:ind w:left="142"/>
        <w:rPr>
          <w:rFonts w:cs="Arial"/>
          <w:sz w:val="18"/>
          <w:szCs w:val="18"/>
        </w:rPr>
      </w:pPr>
    </w:p>
    <w:tbl>
      <w:tblPr>
        <w:tblW w:w="9087" w:type="dxa"/>
        <w:tblLayout w:type="fixed"/>
        <w:tblLook w:val="04A0" w:firstRow="1" w:lastRow="0" w:firstColumn="1" w:lastColumn="0" w:noHBand="0" w:noVBand="1"/>
      </w:tblPr>
      <w:tblGrid>
        <w:gridCol w:w="6351"/>
        <w:gridCol w:w="1259"/>
        <w:gridCol w:w="236"/>
        <w:gridCol w:w="1241"/>
      </w:tblGrid>
      <w:tr w:rsidR="00E576FB" w14:paraId="4A21069A" w14:textId="77777777" w:rsidTr="005E5E0C">
        <w:trPr>
          <w:trHeight w:val="260"/>
        </w:trPr>
        <w:tc>
          <w:tcPr>
            <w:tcW w:w="6351" w:type="dxa"/>
            <w:tcBorders>
              <w:top w:val="nil"/>
              <w:left w:val="nil"/>
              <w:bottom w:val="nil"/>
              <w:right w:val="nil"/>
            </w:tcBorders>
            <w:shd w:val="clear" w:color="FFFFFF" w:fill="FFFFFF"/>
            <w:noWrap/>
            <w:vAlign w:val="bottom"/>
            <w:hideMark/>
          </w:tcPr>
          <w:p w14:paraId="7C2AE94D" w14:textId="57A2FEA4" w:rsidR="00E576FB" w:rsidRDefault="00E576FB" w:rsidP="005D0C23">
            <w:pPr>
              <w:spacing w:after="0"/>
              <w:rPr>
                <w:rFonts w:cs="Arial"/>
                <w:sz w:val="18"/>
                <w:szCs w:val="18"/>
              </w:rPr>
            </w:pPr>
            <w:bookmarkStart w:id="190" w:name="Note_ONATABLE1" w:colFirst="0" w:colLast="0"/>
          </w:p>
          <w:p w14:paraId="1A2EC415" w14:textId="7184719E" w:rsidR="005D0C23" w:rsidRDefault="005D0C23" w:rsidP="0047225D">
            <w:pPr>
              <w:spacing w:after="0"/>
              <w:rPr>
                <w:rFonts w:cs="Arial"/>
                <w:sz w:val="18"/>
                <w:szCs w:val="18"/>
              </w:rPr>
            </w:pPr>
          </w:p>
        </w:tc>
        <w:tc>
          <w:tcPr>
            <w:tcW w:w="1259" w:type="dxa"/>
            <w:tcBorders>
              <w:top w:val="nil"/>
              <w:left w:val="nil"/>
              <w:bottom w:val="nil"/>
              <w:right w:val="nil"/>
            </w:tcBorders>
            <w:shd w:val="clear" w:color="FFFFFF" w:fill="FFFFFF"/>
            <w:vAlign w:val="bottom"/>
            <w:hideMark/>
          </w:tcPr>
          <w:p w14:paraId="0F251F64" w14:textId="77777777" w:rsidR="00E576FB" w:rsidRDefault="00E576FB" w:rsidP="0047225D">
            <w:pPr>
              <w:spacing w:after="0"/>
              <w:jc w:val="right"/>
              <w:rPr>
                <w:rFonts w:cs="Arial"/>
                <w:b/>
                <w:bCs/>
                <w:sz w:val="18"/>
                <w:szCs w:val="18"/>
              </w:rPr>
            </w:pPr>
            <w:r>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1E31F6ED" w14:textId="77777777" w:rsidR="00E576FB" w:rsidRDefault="00E576FB"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7DDAB364" w14:textId="77777777" w:rsidR="00E576FB" w:rsidRDefault="00E576FB" w:rsidP="0047225D">
            <w:pPr>
              <w:spacing w:after="0"/>
              <w:jc w:val="right"/>
              <w:rPr>
                <w:rFonts w:cs="Arial"/>
                <w:sz w:val="18"/>
                <w:szCs w:val="18"/>
              </w:rPr>
            </w:pPr>
            <w:r>
              <w:rPr>
                <w:rFonts w:cs="Arial"/>
                <w:sz w:val="18"/>
                <w:szCs w:val="18"/>
              </w:rPr>
              <w:t>2023</w:t>
            </w:r>
          </w:p>
        </w:tc>
      </w:tr>
      <w:bookmarkEnd w:id="190"/>
      <w:tr w:rsidR="00E576FB" w14:paraId="1FE1A4DC" w14:textId="77777777" w:rsidTr="005E5E0C">
        <w:trPr>
          <w:trHeight w:val="260"/>
        </w:trPr>
        <w:tc>
          <w:tcPr>
            <w:tcW w:w="6351" w:type="dxa"/>
            <w:tcBorders>
              <w:top w:val="nil"/>
              <w:left w:val="nil"/>
              <w:bottom w:val="nil"/>
              <w:right w:val="nil"/>
            </w:tcBorders>
            <w:shd w:val="clear" w:color="FFFFFF" w:fill="FFFFFF"/>
            <w:noWrap/>
            <w:vAlign w:val="bottom"/>
            <w:hideMark/>
          </w:tcPr>
          <w:p w14:paraId="700724C6" w14:textId="77777777" w:rsidR="00E576FB" w:rsidRDefault="00E576FB" w:rsidP="0047225D">
            <w:pPr>
              <w:spacing w:after="0"/>
              <w:rPr>
                <w:rFonts w:cs="Arial"/>
                <w:sz w:val="18"/>
                <w:szCs w:val="18"/>
              </w:rPr>
            </w:pPr>
            <w:r>
              <w:rPr>
                <w:rFonts w:cs="Arial"/>
                <w:sz w:val="18"/>
                <w:szCs w:val="18"/>
              </w:rPr>
              <w:t> </w:t>
            </w:r>
          </w:p>
        </w:tc>
        <w:tc>
          <w:tcPr>
            <w:tcW w:w="1259" w:type="dxa"/>
            <w:tcBorders>
              <w:top w:val="nil"/>
              <w:left w:val="nil"/>
              <w:bottom w:val="nil"/>
              <w:right w:val="nil"/>
            </w:tcBorders>
            <w:shd w:val="clear" w:color="FFFFFF" w:fill="FFFFFF"/>
            <w:vAlign w:val="bottom"/>
            <w:hideMark/>
          </w:tcPr>
          <w:p w14:paraId="5D1AB02C" w14:textId="77777777" w:rsidR="00E576FB" w:rsidRDefault="00E576FB" w:rsidP="0047225D">
            <w:pPr>
              <w:spacing w:after="0"/>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63E565B8" w14:textId="77777777" w:rsidR="00E576FB" w:rsidRDefault="00E576FB"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727C2699" w14:textId="77777777" w:rsidR="00E576FB" w:rsidRDefault="00E576FB" w:rsidP="0047225D">
            <w:pPr>
              <w:spacing w:after="0"/>
              <w:jc w:val="right"/>
              <w:rPr>
                <w:rFonts w:cs="Arial"/>
                <w:sz w:val="18"/>
                <w:szCs w:val="18"/>
              </w:rPr>
            </w:pPr>
            <w:r>
              <w:rPr>
                <w:rFonts w:cs="Arial"/>
                <w:sz w:val="18"/>
                <w:szCs w:val="18"/>
              </w:rPr>
              <w:t>$'000</w:t>
            </w:r>
          </w:p>
        </w:tc>
      </w:tr>
      <w:tr w:rsidR="00E576FB" w14:paraId="4F414816" w14:textId="77777777" w:rsidTr="005E5E0C">
        <w:trPr>
          <w:trHeight w:val="260"/>
        </w:trPr>
        <w:tc>
          <w:tcPr>
            <w:tcW w:w="6351" w:type="dxa"/>
            <w:tcBorders>
              <w:top w:val="nil"/>
              <w:left w:val="nil"/>
              <w:bottom w:val="nil"/>
              <w:right w:val="nil"/>
            </w:tcBorders>
            <w:shd w:val="clear" w:color="FFFFFF" w:fill="FFFFFF"/>
            <w:noWrap/>
            <w:vAlign w:val="bottom"/>
            <w:hideMark/>
          </w:tcPr>
          <w:p w14:paraId="2E7E4757" w14:textId="77777777" w:rsidR="00E576FB" w:rsidRDefault="00E576FB" w:rsidP="0047225D">
            <w:pPr>
              <w:spacing w:after="0"/>
              <w:rPr>
                <w:rFonts w:cs="Arial"/>
                <w:b/>
                <w:bCs/>
                <w:sz w:val="18"/>
                <w:szCs w:val="18"/>
                <w:u w:val="single"/>
              </w:rPr>
            </w:pPr>
            <w:r>
              <w:rPr>
                <w:rFonts w:cs="Arial"/>
                <w:b/>
                <w:bCs/>
                <w:sz w:val="18"/>
                <w:szCs w:val="18"/>
                <w:u w:val="single"/>
              </w:rPr>
              <w:t>Note 2.2B: Other non-financial assets</w:t>
            </w:r>
          </w:p>
        </w:tc>
        <w:tc>
          <w:tcPr>
            <w:tcW w:w="1259" w:type="dxa"/>
            <w:tcBorders>
              <w:top w:val="nil"/>
              <w:left w:val="nil"/>
              <w:bottom w:val="nil"/>
              <w:right w:val="nil"/>
            </w:tcBorders>
            <w:shd w:val="clear" w:color="FFFFFF" w:fill="FFFFFF"/>
            <w:noWrap/>
            <w:vAlign w:val="bottom"/>
            <w:hideMark/>
          </w:tcPr>
          <w:p w14:paraId="3D83B005" w14:textId="77777777" w:rsidR="00E576FB" w:rsidRDefault="00E576FB"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0047A60" w14:textId="77777777" w:rsidR="00E576FB" w:rsidRDefault="00E576FB"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46D75E16" w14:textId="77777777" w:rsidR="00E576FB" w:rsidRDefault="00E576FB" w:rsidP="0047225D">
            <w:pPr>
              <w:spacing w:after="0"/>
              <w:rPr>
                <w:rFonts w:cs="Arial"/>
                <w:sz w:val="18"/>
                <w:szCs w:val="18"/>
              </w:rPr>
            </w:pPr>
            <w:r>
              <w:rPr>
                <w:rFonts w:cs="Arial"/>
                <w:sz w:val="18"/>
                <w:szCs w:val="18"/>
              </w:rPr>
              <w:t> </w:t>
            </w:r>
          </w:p>
        </w:tc>
      </w:tr>
      <w:tr w:rsidR="00E576FB" w14:paraId="768B0715" w14:textId="77777777" w:rsidTr="005E5E0C">
        <w:trPr>
          <w:trHeight w:val="270"/>
        </w:trPr>
        <w:tc>
          <w:tcPr>
            <w:tcW w:w="6351" w:type="dxa"/>
            <w:tcBorders>
              <w:top w:val="nil"/>
              <w:left w:val="nil"/>
              <w:bottom w:val="nil"/>
              <w:right w:val="nil"/>
            </w:tcBorders>
            <w:shd w:val="clear" w:color="FFFFFF" w:fill="FFFFFF"/>
            <w:noWrap/>
            <w:vAlign w:val="bottom"/>
            <w:hideMark/>
          </w:tcPr>
          <w:p w14:paraId="16775062" w14:textId="77777777" w:rsidR="00E576FB" w:rsidRDefault="00E576FB" w:rsidP="0047225D">
            <w:pPr>
              <w:spacing w:after="0"/>
              <w:rPr>
                <w:rFonts w:cs="Arial"/>
                <w:sz w:val="18"/>
                <w:szCs w:val="18"/>
              </w:rPr>
            </w:pPr>
            <w:r>
              <w:rPr>
                <w:rFonts w:cs="Arial"/>
                <w:sz w:val="18"/>
                <w:szCs w:val="18"/>
              </w:rPr>
              <w:t>Participant plan prepayments</w:t>
            </w:r>
            <w:r>
              <w:rPr>
                <w:rFonts w:cs="Arial"/>
                <w:sz w:val="18"/>
                <w:szCs w:val="18"/>
                <w:vertAlign w:val="superscript"/>
              </w:rPr>
              <w:t>1</w:t>
            </w:r>
          </w:p>
        </w:tc>
        <w:tc>
          <w:tcPr>
            <w:tcW w:w="1259" w:type="dxa"/>
            <w:tcBorders>
              <w:top w:val="nil"/>
              <w:left w:val="nil"/>
              <w:bottom w:val="nil"/>
              <w:right w:val="nil"/>
            </w:tcBorders>
            <w:shd w:val="clear" w:color="FFFFFF" w:fill="FFFFFF"/>
            <w:noWrap/>
            <w:vAlign w:val="bottom"/>
            <w:hideMark/>
          </w:tcPr>
          <w:p w14:paraId="7A5371A7" w14:textId="77777777" w:rsidR="00E576FB" w:rsidRDefault="00E576FB" w:rsidP="0047225D">
            <w:pPr>
              <w:spacing w:after="0"/>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6E3BFA64" w14:textId="77777777" w:rsidR="00E576FB" w:rsidRDefault="00E576FB"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0E01CFBC" w14:textId="77777777" w:rsidR="00E576FB" w:rsidRDefault="00E576FB" w:rsidP="0047225D">
            <w:pPr>
              <w:spacing w:after="0"/>
              <w:jc w:val="right"/>
              <w:rPr>
                <w:rFonts w:cs="Arial"/>
                <w:sz w:val="18"/>
                <w:szCs w:val="18"/>
              </w:rPr>
            </w:pPr>
            <w:r>
              <w:rPr>
                <w:rFonts w:cs="Arial"/>
                <w:sz w:val="18"/>
                <w:szCs w:val="18"/>
              </w:rPr>
              <w:t>3,165</w:t>
            </w:r>
          </w:p>
        </w:tc>
      </w:tr>
      <w:tr w:rsidR="00E576FB" w14:paraId="2EC19950" w14:textId="77777777" w:rsidTr="005E5E0C">
        <w:trPr>
          <w:trHeight w:val="250"/>
        </w:trPr>
        <w:tc>
          <w:tcPr>
            <w:tcW w:w="6351" w:type="dxa"/>
            <w:tcBorders>
              <w:top w:val="nil"/>
              <w:left w:val="nil"/>
              <w:bottom w:val="nil"/>
              <w:right w:val="nil"/>
            </w:tcBorders>
            <w:shd w:val="clear" w:color="FFFFFF" w:fill="FFFFFF"/>
            <w:noWrap/>
            <w:vAlign w:val="bottom"/>
            <w:hideMark/>
          </w:tcPr>
          <w:p w14:paraId="4E9B9BC7" w14:textId="77777777" w:rsidR="00E576FB" w:rsidRDefault="00E576FB" w:rsidP="0047225D">
            <w:pPr>
              <w:spacing w:after="0"/>
              <w:rPr>
                <w:rFonts w:cs="Arial"/>
                <w:sz w:val="18"/>
                <w:szCs w:val="18"/>
              </w:rPr>
            </w:pPr>
            <w:r>
              <w:rPr>
                <w:rFonts w:cs="Arial"/>
                <w:sz w:val="18"/>
                <w:szCs w:val="18"/>
              </w:rPr>
              <w:t>Other prepayments</w:t>
            </w:r>
          </w:p>
        </w:tc>
        <w:tc>
          <w:tcPr>
            <w:tcW w:w="1259" w:type="dxa"/>
            <w:tcBorders>
              <w:top w:val="nil"/>
              <w:left w:val="nil"/>
              <w:bottom w:val="nil"/>
              <w:right w:val="nil"/>
            </w:tcBorders>
            <w:shd w:val="clear" w:color="FFFFFF" w:fill="FFFFFF"/>
            <w:noWrap/>
            <w:vAlign w:val="bottom"/>
            <w:hideMark/>
          </w:tcPr>
          <w:p w14:paraId="42B3F18B" w14:textId="77777777" w:rsidR="00E576FB" w:rsidRDefault="00E576FB" w:rsidP="0047225D">
            <w:pPr>
              <w:spacing w:after="0"/>
              <w:jc w:val="right"/>
              <w:rPr>
                <w:rFonts w:cs="Arial"/>
                <w:b/>
                <w:bCs/>
                <w:sz w:val="18"/>
                <w:szCs w:val="18"/>
              </w:rPr>
            </w:pPr>
            <w:r>
              <w:rPr>
                <w:rFonts w:cs="Arial"/>
                <w:b/>
                <w:bCs/>
                <w:sz w:val="18"/>
                <w:szCs w:val="18"/>
              </w:rPr>
              <w:t>30,264</w:t>
            </w:r>
          </w:p>
        </w:tc>
        <w:tc>
          <w:tcPr>
            <w:tcW w:w="236" w:type="dxa"/>
            <w:tcBorders>
              <w:top w:val="nil"/>
              <w:left w:val="nil"/>
              <w:bottom w:val="nil"/>
              <w:right w:val="nil"/>
            </w:tcBorders>
            <w:shd w:val="clear" w:color="FFFFFF" w:fill="FFFFFF"/>
            <w:noWrap/>
            <w:vAlign w:val="bottom"/>
            <w:hideMark/>
          </w:tcPr>
          <w:p w14:paraId="0C462995" w14:textId="77777777" w:rsidR="00E576FB" w:rsidRDefault="00E576FB"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7AB5E290" w14:textId="77777777" w:rsidR="00E576FB" w:rsidRDefault="00E576FB" w:rsidP="0047225D">
            <w:pPr>
              <w:spacing w:after="0"/>
              <w:jc w:val="right"/>
              <w:rPr>
                <w:rFonts w:cs="Arial"/>
                <w:sz w:val="18"/>
                <w:szCs w:val="18"/>
              </w:rPr>
            </w:pPr>
            <w:r>
              <w:rPr>
                <w:rFonts w:cs="Arial"/>
                <w:sz w:val="18"/>
                <w:szCs w:val="18"/>
              </w:rPr>
              <w:t>23,454</w:t>
            </w:r>
          </w:p>
        </w:tc>
      </w:tr>
      <w:tr w:rsidR="00E576FB" w14:paraId="7B7F7EAF" w14:textId="77777777" w:rsidTr="005E5E0C">
        <w:trPr>
          <w:trHeight w:val="260"/>
        </w:trPr>
        <w:tc>
          <w:tcPr>
            <w:tcW w:w="6351" w:type="dxa"/>
            <w:tcBorders>
              <w:top w:val="nil"/>
              <w:left w:val="nil"/>
              <w:bottom w:val="nil"/>
              <w:right w:val="nil"/>
            </w:tcBorders>
            <w:shd w:val="clear" w:color="FFFFFF" w:fill="FFFFFF"/>
            <w:vAlign w:val="bottom"/>
            <w:hideMark/>
          </w:tcPr>
          <w:p w14:paraId="54235439" w14:textId="77777777" w:rsidR="00E576FB" w:rsidRDefault="00E576FB" w:rsidP="0047225D">
            <w:pPr>
              <w:spacing w:after="0"/>
              <w:rPr>
                <w:rFonts w:cs="Arial"/>
                <w:b/>
                <w:bCs/>
                <w:sz w:val="18"/>
                <w:szCs w:val="18"/>
              </w:rPr>
            </w:pPr>
            <w:r>
              <w:rPr>
                <w:rFonts w:cs="Arial"/>
                <w:b/>
                <w:bCs/>
                <w:sz w:val="18"/>
                <w:szCs w:val="18"/>
              </w:rPr>
              <w:t>Total other non-financial assets</w:t>
            </w:r>
          </w:p>
        </w:tc>
        <w:tc>
          <w:tcPr>
            <w:tcW w:w="1259" w:type="dxa"/>
            <w:tcBorders>
              <w:top w:val="single" w:sz="4" w:space="0" w:color="auto"/>
              <w:left w:val="nil"/>
              <w:bottom w:val="single" w:sz="4" w:space="0" w:color="auto"/>
              <w:right w:val="nil"/>
            </w:tcBorders>
            <w:shd w:val="clear" w:color="FFFFFF" w:fill="FFFFFF"/>
            <w:noWrap/>
            <w:vAlign w:val="bottom"/>
            <w:hideMark/>
          </w:tcPr>
          <w:p w14:paraId="6A62F774" w14:textId="77777777" w:rsidR="00E576FB" w:rsidRDefault="00E576FB" w:rsidP="0047225D">
            <w:pPr>
              <w:spacing w:after="0"/>
              <w:jc w:val="right"/>
              <w:rPr>
                <w:rFonts w:cs="Arial"/>
                <w:b/>
                <w:bCs/>
                <w:sz w:val="18"/>
                <w:szCs w:val="18"/>
              </w:rPr>
            </w:pPr>
            <w:r>
              <w:rPr>
                <w:rFonts w:cs="Arial"/>
                <w:b/>
                <w:bCs/>
                <w:sz w:val="18"/>
                <w:szCs w:val="18"/>
              </w:rPr>
              <w:t>30,264</w:t>
            </w:r>
          </w:p>
        </w:tc>
        <w:tc>
          <w:tcPr>
            <w:tcW w:w="236" w:type="dxa"/>
            <w:tcBorders>
              <w:top w:val="nil"/>
              <w:left w:val="nil"/>
              <w:bottom w:val="nil"/>
              <w:right w:val="nil"/>
            </w:tcBorders>
            <w:shd w:val="clear" w:color="FFFFFF" w:fill="FFFFFF"/>
            <w:noWrap/>
            <w:vAlign w:val="bottom"/>
            <w:hideMark/>
          </w:tcPr>
          <w:p w14:paraId="71BC1ACB" w14:textId="77777777" w:rsidR="00E576FB" w:rsidRDefault="00E576FB" w:rsidP="0047225D">
            <w:pPr>
              <w:spacing w:after="0"/>
              <w:rPr>
                <w:rFonts w:cs="Arial"/>
                <w:sz w:val="18"/>
                <w:szCs w:val="18"/>
              </w:rPr>
            </w:pPr>
            <w:r>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585CCF09" w14:textId="77777777" w:rsidR="00E576FB" w:rsidRDefault="00E576FB" w:rsidP="0047225D">
            <w:pPr>
              <w:spacing w:after="0"/>
              <w:jc w:val="right"/>
              <w:rPr>
                <w:rFonts w:cs="Arial"/>
                <w:sz w:val="18"/>
                <w:szCs w:val="18"/>
              </w:rPr>
            </w:pPr>
            <w:r>
              <w:rPr>
                <w:rFonts w:cs="Arial"/>
                <w:sz w:val="18"/>
                <w:szCs w:val="18"/>
              </w:rPr>
              <w:t>26,619</w:t>
            </w:r>
          </w:p>
        </w:tc>
      </w:tr>
    </w:tbl>
    <w:p w14:paraId="652BE76C" w14:textId="77777777" w:rsidR="00E576FB" w:rsidRDefault="00E576FB" w:rsidP="00E576FB">
      <w:pPr>
        <w:rPr>
          <w:rFonts w:eastAsiaTheme="minorEastAsia"/>
          <w:lang w:eastAsia="en-AU"/>
        </w:rPr>
      </w:pPr>
    </w:p>
    <w:p w14:paraId="605A1125" w14:textId="77777777" w:rsidR="00E576FB" w:rsidRDefault="00E576FB" w:rsidP="003203A1">
      <w:pPr>
        <w:pStyle w:val="ReferenceText"/>
      </w:pPr>
      <w:r w:rsidRPr="0027501A">
        <w:t>No indicators of impairment were found for other non-financial assets.</w:t>
      </w:r>
    </w:p>
    <w:p w14:paraId="018CB460" w14:textId="77777777" w:rsidR="00E576FB" w:rsidRDefault="00E576FB" w:rsidP="00E576FB">
      <w:pPr>
        <w:spacing w:before="60" w:line="240" w:lineRule="auto"/>
        <w:ind w:left="142" w:hanging="142"/>
        <w:rPr>
          <w:rFonts w:cs="Arial"/>
          <w:sz w:val="14"/>
          <w:szCs w:val="16"/>
        </w:rPr>
      </w:pPr>
      <w:r>
        <w:rPr>
          <w:rFonts w:cs="Arial"/>
          <w:sz w:val="16"/>
          <w:szCs w:val="18"/>
          <w:vertAlign w:val="superscript"/>
        </w:rPr>
        <w:t>1</w:t>
      </w:r>
      <w:r w:rsidRPr="00A30B5F">
        <w:rPr>
          <w:rFonts w:cs="Arial"/>
          <w:sz w:val="16"/>
          <w:szCs w:val="18"/>
        </w:rPr>
        <w:t xml:space="preserve"> </w:t>
      </w:r>
      <w:r w:rsidRPr="000E1853">
        <w:rPr>
          <w:rFonts w:cs="Arial"/>
          <w:sz w:val="14"/>
          <w:szCs w:val="16"/>
        </w:rPr>
        <w:t>Participant plan prepayments represent payments that have been made to providers in advance of supports being utilised by participants</w:t>
      </w:r>
      <w:r>
        <w:rPr>
          <w:rFonts w:cs="Arial"/>
          <w:sz w:val="14"/>
          <w:szCs w:val="16"/>
        </w:rPr>
        <w:t>.</w:t>
      </w:r>
    </w:p>
    <w:p w14:paraId="12984FE2" w14:textId="77777777" w:rsidR="000D1B3E" w:rsidRPr="003203A1" w:rsidRDefault="008D5303" w:rsidP="000D1B3E">
      <w:pPr>
        <w:spacing w:after="0" w:line="240" w:lineRule="auto"/>
        <w:rPr>
          <w:b/>
          <w:bCs/>
        </w:rPr>
      </w:pPr>
      <w:r>
        <w:rPr>
          <w:rFonts w:cs="Arial"/>
          <w:sz w:val="14"/>
          <w:szCs w:val="16"/>
        </w:rPr>
        <w:br w:type="page"/>
      </w:r>
      <w:r w:rsidR="000D1B3E" w:rsidRPr="003203A1">
        <w:rPr>
          <w:b/>
          <w:bCs/>
        </w:rPr>
        <w:lastRenderedPageBreak/>
        <w:t>National Disability Insurance Agency</w:t>
      </w:r>
    </w:p>
    <w:p w14:paraId="783D4373" w14:textId="77777777" w:rsidR="000D1B3E" w:rsidRDefault="000D1B3E" w:rsidP="000D1B3E">
      <w:pPr>
        <w:pBdr>
          <w:bottom w:val="single" w:sz="8" w:space="1" w:color="auto"/>
        </w:pBdr>
        <w:rPr>
          <w:b/>
          <w:bCs/>
        </w:rPr>
      </w:pPr>
      <w:r w:rsidRPr="003203A1">
        <w:rPr>
          <w:b/>
          <w:bCs/>
        </w:rPr>
        <w:t>NOTES TO AND FORMING PART OF THE FINANCIAL STATEMENTS</w:t>
      </w:r>
    </w:p>
    <w:p w14:paraId="61519560" w14:textId="77777777" w:rsidR="000D1B3E" w:rsidRDefault="000D1B3E" w:rsidP="000D1B3E">
      <w:pPr>
        <w:pBdr>
          <w:bottom w:val="single" w:sz="8" w:space="1" w:color="auto"/>
        </w:pBdr>
        <w:rPr>
          <w:b/>
          <w:bCs/>
        </w:rPr>
        <w:sectPr w:rsidR="000D1B3E" w:rsidSect="00BC1253">
          <w:type w:val="continuous"/>
          <w:pgSz w:w="11906" w:h="16838" w:code="9"/>
          <w:pgMar w:top="1361" w:right="1361" w:bottom="1361" w:left="1361" w:header="958" w:footer="737" w:gutter="0"/>
          <w:cols w:space="708"/>
          <w:docGrid w:linePitch="360"/>
        </w:sectPr>
      </w:pPr>
    </w:p>
    <w:p w14:paraId="2CF188A3" w14:textId="77777777" w:rsidR="00B040FE" w:rsidRPr="000D1B3E" w:rsidRDefault="00B040FE" w:rsidP="000D1B3E">
      <w:pPr>
        <w:pStyle w:val="SubHeading"/>
        <w:shd w:val="clear" w:color="auto" w:fill="000000" w:themeFill="accent6"/>
        <w:rPr>
          <w:sz w:val="18"/>
          <w:szCs w:val="18"/>
        </w:rPr>
      </w:pPr>
      <w:bookmarkStart w:id="191" w:name="_Toc65742849"/>
      <w:bookmarkStart w:id="192" w:name="_Toc173417296"/>
      <w:r w:rsidRPr="000D1B3E">
        <w:rPr>
          <w:sz w:val="18"/>
          <w:szCs w:val="18"/>
        </w:rPr>
        <w:t>Payables</w:t>
      </w:r>
      <w:bookmarkEnd w:id="191"/>
      <w:bookmarkEnd w:id="192"/>
    </w:p>
    <w:tbl>
      <w:tblPr>
        <w:tblW w:w="9087" w:type="dxa"/>
        <w:tblLayout w:type="fixed"/>
        <w:tblLook w:val="04A0" w:firstRow="1" w:lastRow="0" w:firstColumn="1" w:lastColumn="0" w:noHBand="0" w:noVBand="1"/>
      </w:tblPr>
      <w:tblGrid>
        <w:gridCol w:w="6351"/>
        <w:gridCol w:w="1259"/>
        <w:gridCol w:w="236"/>
        <w:gridCol w:w="1241"/>
      </w:tblGrid>
      <w:tr w:rsidR="00B040FE" w:rsidRPr="000D1B3E" w14:paraId="1FF6D1AC" w14:textId="77777777" w:rsidTr="005E5E0C">
        <w:trPr>
          <w:trHeight w:val="250"/>
        </w:trPr>
        <w:tc>
          <w:tcPr>
            <w:tcW w:w="6351" w:type="dxa"/>
            <w:tcBorders>
              <w:top w:val="nil"/>
              <w:left w:val="nil"/>
              <w:bottom w:val="nil"/>
              <w:right w:val="nil"/>
            </w:tcBorders>
            <w:shd w:val="clear" w:color="FFFFFF" w:fill="FFFFFF"/>
            <w:noWrap/>
            <w:vAlign w:val="bottom"/>
            <w:hideMark/>
          </w:tcPr>
          <w:p w14:paraId="49139594" w14:textId="77777777" w:rsidR="00B040FE" w:rsidRPr="000D1B3E" w:rsidRDefault="00B040FE" w:rsidP="0047225D">
            <w:pPr>
              <w:spacing w:after="0"/>
              <w:rPr>
                <w:rFonts w:cs="Arial"/>
                <w:sz w:val="18"/>
                <w:szCs w:val="18"/>
              </w:rPr>
            </w:pPr>
            <w:bookmarkStart w:id="193" w:name="Note_SPATABLE1" w:colFirst="0" w:colLast="0"/>
            <w:r w:rsidRPr="000D1B3E">
              <w:rPr>
                <w:rFonts w:cs="Arial"/>
                <w:sz w:val="18"/>
                <w:szCs w:val="18"/>
              </w:rPr>
              <w:t> </w:t>
            </w:r>
          </w:p>
        </w:tc>
        <w:tc>
          <w:tcPr>
            <w:tcW w:w="1259" w:type="dxa"/>
            <w:tcBorders>
              <w:top w:val="nil"/>
              <w:left w:val="nil"/>
              <w:bottom w:val="nil"/>
              <w:right w:val="nil"/>
            </w:tcBorders>
            <w:shd w:val="clear" w:color="FFFFFF" w:fill="FFFFFF"/>
            <w:noWrap/>
            <w:vAlign w:val="bottom"/>
            <w:hideMark/>
          </w:tcPr>
          <w:p w14:paraId="0F5E29BB" w14:textId="77777777" w:rsidR="00B040FE" w:rsidRPr="000D1B3E" w:rsidRDefault="00B040FE" w:rsidP="0047225D">
            <w:pPr>
              <w:spacing w:after="0"/>
              <w:jc w:val="right"/>
              <w:rPr>
                <w:rFonts w:cs="Arial"/>
                <w:b/>
                <w:bCs/>
                <w:sz w:val="18"/>
                <w:szCs w:val="18"/>
              </w:rPr>
            </w:pPr>
            <w:r w:rsidRPr="000D1B3E">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2A73B20B"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338211EF" w14:textId="77777777" w:rsidR="00B040FE" w:rsidRPr="000D1B3E" w:rsidRDefault="00B040FE" w:rsidP="0047225D">
            <w:pPr>
              <w:spacing w:after="0"/>
              <w:jc w:val="right"/>
              <w:rPr>
                <w:rFonts w:cs="Arial"/>
                <w:sz w:val="18"/>
                <w:szCs w:val="18"/>
              </w:rPr>
            </w:pPr>
            <w:r w:rsidRPr="000D1B3E">
              <w:rPr>
                <w:rFonts w:cs="Arial"/>
                <w:sz w:val="18"/>
                <w:szCs w:val="18"/>
              </w:rPr>
              <w:t>2023</w:t>
            </w:r>
          </w:p>
        </w:tc>
      </w:tr>
      <w:bookmarkEnd w:id="193"/>
      <w:tr w:rsidR="00B040FE" w:rsidRPr="000D1B3E" w14:paraId="5AD98CF2" w14:textId="77777777" w:rsidTr="005E5E0C">
        <w:trPr>
          <w:trHeight w:val="260"/>
        </w:trPr>
        <w:tc>
          <w:tcPr>
            <w:tcW w:w="6351" w:type="dxa"/>
            <w:tcBorders>
              <w:top w:val="nil"/>
              <w:left w:val="nil"/>
              <w:bottom w:val="nil"/>
              <w:right w:val="nil"/>
            </w:tcBorders>
            <w:shd w:val="clear" w:color="FFFFFF" w:fill="FFFFFF"/>
            <w:noWrap/>
            <w:vAlign w:val="bottom"/>
            <w:hideMark/>
          </w:tcPr>
          <w:p w14:paraId="5AD670C6" w14:textId="77777777" w:rsidR="00B040FE" w:rsidRPr="000D1B3E" w:rsidRDefault="00B040FE" w:rsidP="0047225D">
            <w:pPr>
              <w:spacing w:after="0"/>
              <w:rPr>
                <w:rFonts w:cs="Arial"/>
                <w:sz w:val="18"/>
                <w:szCs w:val="18"/>
              </w:rPr>
            </w:pPr>
            <w:r w:rsidRPr="000D1B3E">
              <w:rPr>
                <w:rFonts w:cs="Arial"/>
                <w:sz w:val="18"/>
                <w:szCs w:val="18"/>
              </w:rPr>
              <w:t> </w:t>
            </w:r>
          </w:p>
        </w:tc>
        <w:tc>
          <w:tcPr>
            <w:tcW w:w="1259" w:type="dxa"/>
            <w:tcBorders>
              <w:top w:val="nil"/>
              <w:left w:val="nil"/>
              <w:bottom w:val="nil"/>
              <w:right w:val="nil"/>
            </w:tcBorders>
            <w:shd w:val="clear" w:color="FFFFFF" w:fill="FFFFFF"/>
            <w:noWrap/>
            <w:vAlign w:val="bottom"/>
            <w:hideMark/>
          </w:tcPr>
          <w:p w14:paraId="6FB14C18" w14:textId="77777777" w:rsidR="00B040FE" w:rsidRPr="000D1B3E" w:rsidRDefault="00B040FE" w:rsidP="0047225D">
            <w:pPr>
              <w:spacing w:after="0"/>
              <w:jc w:val="right"/>
              <w:rPr>
                <w:rFonts w:cs="Arial"/>
                <w:b/>
                <w:bCs/>
                <w:sz w:val="18"/>
                <w:szCs w:val="18"/>
              </w:rPr>
            </w:pPr>
            <w:r w:rsidRPr="000D1B3E">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7FC131B2"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319C78F8" w14:textId="77777777" w:rsidR="00B040FE" w:rsidRPr="000D1B3E" w:rsidRDefault="00B040FE" w:rsidP="0047225D">
            <w:pPr>
              <w:spacing w:after="0"/>
              <w:jc w:val="right"/>
              <w:rPr>
                <w:rFonts w:cs="Arial"/>
                <w:sz w:val="18"/>
                <w:szCs w:val="18"/>
              </w:rPr>
            </w:pPr>
            <w:r w:rsidRPr="000D1B3E">
              <w:rPr>
                <w:rFonts w:cs="Arial"/>
                <w:sz w:val="18"/>
                <w:szCs w:val="18"/>
              </w:rPr>
              <w:t>$'000</w:t>
            </w:r>
          </w:p>
        </w:tc>
      </w:tr>
      <w:tr w:rsidR="00B040FE" w:rsidRPr="000D1B3E" w14:paraId="62E28FFA" w14:textId="77777777" w:rsidTr="005E5E0C">
        <w:trPr>
          <w:trHeight w:val="260"/>
        </w:trPr>
        <w:tc>
          <w:tcPr>
            <w:tcW w:w="6351" w:type="dxa"/>
            <w:tcBorders>
              <w:top w:val="nil"/>
              <w:left w:val="nil"/>
              <w:bottom w:val="nil"/>
              <w:right w:val="nil"/>
            </w:tcBorders>
            <w:shd w:val="clear" w:color="FFFFFF" w:fill="FFFFFF"/>
            <w:noWrap/>
            <w:vAlign w:val="bottom"/>
            <w:hideMark/>
          </w:tcPr>
          <w:p w14:paraId="67010B5C" w14:textId="77777777" w:rsidR="00B040FE" w:rsidRPr="000D1B3E" w:rsidRDefault="00B040FE" w:rsidP="0047225D">
            <w:pPr>
              <w:spacing w:after="0"/>
              <w:rPr>
                <w:rFonts w:cs="Arial"/>
                <w:b/>
                <w:bCs/>
                <w:sz w:val="18"/>
                <w:szCs w:val="18"/>
                <w:u w:val="single"/>
              </w:rPr>
            </w:pPr>
            <w:r w:rsidRPr="000D1B3E">
              <w:rPr>
                <w:rFonts w:cs="Arial"/>
                <w:b/>
                <w:bCs/>
                <w:sz w:val="18"/>
                <w:szCs w:val="18"/>
                <w:u w:val="single"/>
              </w:rPr>
              <w:t>Note 2.3A: Suppliers</w:t>
            </w:r>
          </w:p>
        </w:tc>
        <w:tc>
          <w:tcPr>
            <w:tcW w:w="1259" w:type="dxa"/>
            <w:tcBorders>
              <w:top w:val="nil"/>
              <w:left w:val="nil"/>
              <w:bottom w:val="nil"/>
              <w:right w:val="nil"/>
            </w:tcBorders>
            <w:shd w:val="clear" w:color="FFFFFF" w:fill="FFFFFF"/>
            <w:noWrap/>
            <w:vAlign w:val="bottom"/>
            <w:hideMark/>
          </w:tcPr>
          <w:p w14:paraId="2E1DB465" w14:textId="77777777" w:rsidR="00B040FE" w:rsidRPr="000D1B3E" w:rsidRDefault="00B040FE" w:rsidP="0047225D">
            <w:pPr>
              <w:spacing w:after="0"/>
              <w:rPr>
                <w:rFonts w:cs="Arial"/>
                <w:sz w:val="18"/>
                <w:szCs w:val="18"/>
              </w:rPr>
            </w:pPr>
            <w:r w:rsidRPr="000D1B3E">
              <w:rPr>
                <w:rFonts w:cs="Arial"/>
                <w:sz w:val="18"/>
                <w:szCs w:val="18"/>
              </w:rPr>
              <w:t> </w:t>
            </w:r>
          </w:p>
        </w:tc>
        <w:tc>
          <w:tcPr>
            <w:tcW w:w="236" w:type="dxa"/>
            <w:tcBorders>
              <w:top w:val="nil"/>
              <w:left w:val="nil"/>
              <w:bottom w:val="nil"/>
              <w:right w:val="nil"/>
            </w:tcBorders>
            <w:shd w:val="clear" w:color="FFFFFF" w:fill="FFFFFF"/>
            <w:noWrap/>
            <w:vAlign w:val="bottom"/>
            <w:hideMark/>
          </w:tcPr>
          <w:p w14:paraId="449E56B7"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09718406" w14:textId="77777777" w:rsidR="00B040FE" w:rsidRPr="000D1B3E" w:rsidRDefault="00B040FE" w:rsidP="0047225D">
            <w:pPr>
              <w:spacing w:after="0"/>
              <w:rPr>
                <w:rFonts w:cs="Arial"/>
                <w:b/>
                <w:bCs/>
                <w:sz w:val="18"/>
                <w:szCs w:val="18"/>
              </w:rPr>
            </w:pPr>
            <w:r w:rsidRPr="000D1B3E">
              <w:rPr>
                <w:rFonts w:cs="Arial"/>
                <w:b/>
                <w:bCs/>
                <w:sz w:val="18"/>
                <w:szCs w:val="18"/>
              </w:rPr>
              <w:t> </w:t>
            </w:r>
          </w:p>
        </w:tc>
      </w:tr>
      <w:tr w:rsidR="00B040FE" w:rsidRPr="000D1B3E" w14:paraId="7DB293A2" w14:textId="77777777" w:rsidTr="005E5E0C">
        <w:trPr>
          <w:trHeight w:val="250"/>
        </w:trPr>
        <w:tc>
          <w:tcPr>
            <w:tcW w:w="6351" w:type="dxa"/>
            <w:tcBorders>
              <w:top w:val="nil"/>
              <w:left w:val="nil"/>
              <w:bottom w:val="nil"/>
              <w:right w:val="nil"/>
            </w:tcBorders>
            <w:shd w:val="clear" w:color="FFFFFF" w:fill="FFFFFF"/>
            <w:vAlign w:val="bottom"/>
            <w:hideMark/>
          </w:tcPr>
          <w:p w14:paraId="28BA53B2" w14:textId="77777777" w:rsidR="00B040FE" w:rsidRPr="000D1B3E" w:rsidRDefault="00B040FE" w:rsidP="0047225D">
            <w:pPr>
              <w:spacing w:after="0"/>
              <w:rPr>
                <w:rFonts w:cs="Arial"/>
                <w:sz w:val="18"/>
                <w:szCs w:val="18"/>
              </w:rPr>
            </w:pPr>
            <w:r w:rsidRPr="000D1B3E">
              <w:rPr>
                <w:rFonts w:cs="Arial"/>
                <w:sz w:val="18"/>
                <w:szCs w:val="18"/>
              </w:rPr>
              <w:t>Trade creditors and accruals</w:t>
            </w:r>
          </w:p>
        </w:tc>
        <w:tc>
          <w:tcPr>
            <w:tcW w:w="1259" w:type="dxa"/>
            <w:tcBorders>
              <w:top w:val="nil"/>
              <w:left w:val="nil"/>
              <w:bottom w:val="nil"/>
              <w:right w:val="nil"/>
            </w:tcBorders>
            <w:shd w:val="clear" w:color="FFFFFF" w:fill="FFFFFF"/>
            <w:noWrap/>
            <w:vAlign w:val="bottom"/>
            <w:hideMark/>
          </w:tcPr>
          <w:p w14:paraId="0F29A065" w14:textId="77777777" w:rsidR="00B040FE" w:rsidRPr="000D1B3E" w:rsidRDefault="00B040FE" w:rsidP="0047225D">
            <w:pPr>
              <w:spacing w:after="0"/>
              <w:jc w:val="right"/>
              <w:rPr>
                <w:rFonts w:cs="Arial"/>
                <w:b/>
                <w:bCs/>
                <w:sz w:val="18"/>
                <w:szCs w:val="18"/>
              </w:rPr>
            </w:pPr>
            <w:r w:rsidRPr="000D1B3E">
              <w:rPr>
                <w:rFonts w:cs="Arial"/>
                <w:b/>
                <w:bCs/>
                <w:sz w:val="18"/>
                <w:szCs w:val="18"/>
              </w:rPr>
              <w:t>914,519</w:t>
            </w:r>
          </w:p>
        </w:tc>
        <w:tc>
          <w:tcPr>
            <w:tcW w:w="236" w:type="dxa"/>
            <w:tcBorders>
              <w:top w:val="nil"/>
              <w:left w:val="nil"/>
              <w:bottom w:val="nil"/>
              <w:right w:val="nil"/>
            </w:tcBorders>
            <w:shd w:val="clear" w:color="FFFFFF" w:fill="FFFFFF"/>
            <w:noWrap/>
            <w:vAlign w:val="bottom"/>
            <w:hideMark/>
          </w:tcPr>
          <w:p w14:paraId="4AFAF62B"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18C2A14C" w14:textId="77777777" w:rsidR="00B040FE" w:rsidRPr="000D1B3E" w:rsidRDefault="00B040FE" w:rsidP="0047225D">
            <w:pPr>
              <w:spacing w:after="0"/>
              <w:jc w:val="right"/>
              <w:rPr>
                <w:rFonts w:cs="Arial"/>
                <w:sz w:val="18"/>
                <w:szCs w:val="18"/>
              </w:rPr>
            </w:pPr>
            <w:r w:rsidRPr="000D1B3E">
              <w:rPr>
                <w:rFonts w:cs="Arial"/>
                <w:sz w:val="18"/>
                <w:szCs w:val="18"/>
              </w:rPr>
              <w:t>594,071</w:t>
            </w:r>
          </w:p>
        </w:tc>
      </w:tr>
      <w:tr w:rsidR="00B040FE" w:rsidRPr="000D1B3E" w14:paraId="6AFDA3EE" w14:textId="77777777" w:rsidTr="005E5E0C">
        <w:trPr>
          <w:trHeight w:val="250"/>
        </w:trPr>
        <w:tc>
          <w:tcPr>
            <w:tcW w:w="6351" w:type="dxa"/>
            <w:tcBorders>
              <w:top w:val="nil"/>
              <w:left w:val="nil"/>
              <w:bottom w:val="nil"/>
              <w:right w:val="nil"/>
            </w:tcBorders>
            <w:shd w:val="clear" w:color="FFFFFF" w:fill="FFFFFF"/>
            <w:vAlign w:val="bottom"/>
            <w:hideMark/>
          </w:tcPr>
          <w:p w14:paraId="46D6A271" w14:textId="77777777" w:rsidR="00B040FE" w:rsidRPr="000D1B3E" w:rsidRDefault="00B040FE" w:rsidP="0047225D">
            <w:pPr>
              <w:spacing w:after="0"/>
              <w:rPr>
                <w:rFonts w:cs="Arial"/>
                <w:b/>
                <w:bCs/>
                <w:sz w:val="18"/>
                <w:szCs w:val="18"/>
              </w:rPr>
            </w:pPr>
            <w:r w:rsidRPr="000D1B3E">
              <w:rPr>
                <w:rFonts w:cs="Arial"/>
                <w:b/>
                <w:bCs/>
                <w:sz w:val="18"/>
                <w:szCs w:val="18"/>
              </w:rPr>
              <w:t>Total suppliers</w:t>
            </w:r>
          </w:p>
        </w:tc>
        <w:tc>
          <w:tcPr>
            <w:tcW w:w="1259" w:type="dxa"/>
            <w:tcBorders>
              <w:top w:val="single" w:sz="4" w:space="0" w:color="auto"/>
              <w:left w:val="nil"/>
              <w:bottom w:val="single" w:sz="4" w:space="0" w:color="auto"/>
              <w:right w:val="nil"/>
            </w:tcBorders>
            <w:shd w:val="clear" w:color="FFFFFF" w:fill="FFFFFF"/>
            <w:noWrap/>
            <w:vAlign w:val="bottom"/>
            <w:hideMark/>
          </w:tcPr>
          <w:p w14:paraId="332294CE" w14:textId="77777777" w:rsidR="00B040FE" w:rsidRPr="000D1B3E" w:rsidRDefault="00B040FE" w:rsidP="0047225D">
            <w:pPr>
              <w:spacing w:after="0"/>
              <w:jc w:val="right"/>
              <w:rPr>
                <w:rFonts w:cs="Arial"/>
                <w:b/>
                <w:bCs/>
                <w:sz w:val="18"/>
                <w:szCs w:val="18"/>
              </w:rPr>
            </w:pPr>
            <w:r w:rsidRPr="000D1B3E">
              <w:rPr>
                <w:rFonts w:cs="Arial"/>
                <w:b/>
                <w:bCs/>
                <w:sz w:val="18"/>
                <w:szCs w:val="18"/>
              </w:rPr>
              <w:t>914,519</w:t>
            </w:r>
          </w:p>
        </w:tc>
        <w:tc>
          <w:tcPr>
            <w:tcW w:w="236" w:type="dxa"/>
            <w:tcBorders>
              <w:top w:val="nil"/>
              <w:left w:val="nil"/>
              <w:bottom w:val="nil"/>
              <w:right w:val="nil"/>
            </w:tcBorders>
            <w:shd w:val="clear" w:color="FFFFFF" w:fill="FFFFFF"/>
            <w:noWrap/>
            <w:vAlign w:val="bottom"/>
            <w:hideMark/>
          </w:tcPr>
          <w:p w14:paraId="50B36ED0"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0EAF0273" w14:textId="77777777" w:rsidR="00B040FE" w:rsidRPr="000D1B3E" w:rsidRDefault="00B040FE" w:rsidP="0047225D">
            <w:pPr>
              <w:spacing w:after="0"/>
              <w:jc w:val="right"/>
              <w:rPr>
                <w:rFonts w:cs="Arial"/>
                <w:sz w:val="18"/>
                <w:szCs w:val="18"/>
              </w:rPr>
            </w:pPr>
            <w:r w:rsidRPr="000D1B3E">
              <w:rPr>
                <w:rFonts w:cs="Arial"/>
                <w:sz w:val="18"/>
                <w:szCs w:val="18"/>
              </w:rPr>
              <w:t>594,071</w:t>
            </w:r>
          </w:p>
        </w:tc>
      </w:tr>
    </w:tbl>
    <w:p w14:paraId="13EB0FC0" w14:textId="77777777" w:rsidR="00B040FE" w:rsidRPr="000D1B3E" w:rsidRDefault="00B040FE" w:rsidP="000D1B3E">
      <w:pPr>
        <w:spacing w:before="240" w:line="240" w:lineRule="auto"/>
        <w:rPr>
          <w:rFonts w:cs="Arial"/>
          <w:sz w:val="18"/>
          <w:szCs w:val="18"/>
        </w:rPr>
      </w:pPr>
      <w:r w:rsidRPr="000D1B3E">
        <w:rPr>
          <w:rFonts w:cs="Arial"/>
          <w:sz w:val="18"/>
          <w:szCs w:val="18"/>
        </w:rPr>
        <w:t>Settlement is expected to be made for suppliers within 20 days (</w:t>
      </w:r>
      <w:r w:rsidRPr="000D1B3E">
        <w:rPr>
          <w:rFonts w:cs="Arial"/>
          <w:sz w:val="18"/>
          <w:szCs w:val="18"/>
        </w:rPr>
        <w:fldChar w:fldCharType="begin"/>
      </w:r>
      <w:r w:rsidRPr="000D1B3E">
        <w:rPr>
          <w:rFonts w:cs="Arial"/>
          <w:sz w:val="18"/>
          <w:szCs w:val="18"/>
        </w:rPr>
        <w:instrText xml:space="preserve"> DOCPROPERTY  prYear  \* MERGEFORMAT </w:instrText>
      </w:r>
      <w:r w:rsidRPr="000D1B3E">
        <w:rPr>
          <w:rFonts w:cs="Arial"/>
          <w:sz w:val="18"/>
          <w:szCs w:val="18"/>
        </w:rPr>
        <w:fldChar w:fldCharType="separate"/>
      </w:r>
      <w:r w:rsidRPr="000D1B3E">
        <w:rPr>
          <w:rFonts w:cs="Arial"/>
          <w:sz w:val="18"/>
          <w:szCs w:val="18"/>
        </w:rPr>
        <w:t>2023</w:t>
      </w:r>
      <w:r w:rsidRPr="000D1B3E">
        <w:rPr>
          <w:rFonts w:cs="Arial"/>
          <w:sz w:val="18"/>
          <w:szCs w:val="18"/>
        </w:rPr>
        <w:fldChar w:fldCharType="end"/>
      </w:r>
      <w:r w:rsidRPr="000D1B3E">
        <w:rPr>
          <w:rFonts w:cs="Arial"/>
          <w:sz w:val="18"/>
          <w:szCs w:val="18"/>
        </w:rPr>
        <w:t>: 20 days).</w:t>
      </w:r>
    </w:p>
    <w:tbl>
      <w:tblPr>
        <w:tblW w:w="9087" w:type="dxa"/>
        <w:tblLayout w:type="fixed"/>
        <w:tblLook w:val="04A0" w:firstRow="1" w:lastRow="0" w:firstColumn="1" w:lastColumn="0" w:noHBand="0" w:noVBand="1"/>
      </w:tblPr>
      <w:tblGrid>
        <w:gridCol w:w="6351"/>
        <w:gridCol w:w="1259"/>
        <w:gridCol w:w="236"/>
        <w:gridCol w:w="1241"/>
      </w:tblGrid>
      <w:tr w:rsidR="00B040FE" w:rsidRPr="000D1B3E" w14:paraId="30044EED" w14:textId="77777777" w:rsidTr="005E5E0C">
        <w:trPr>
          <w:trHeight w:val="260"/>
        </w:trPr>
        <w:tc>
          <w:tcPr>
            <w:tcW w:w="6351" w:type="dxa"/>
            <w:tcBorders>
              <w:top w:val="nil"/>
              <w:left w:val="nil"/>
              <w:bottom w:val="nil"/>
              <w:right w:val="nil"/>
            </w:tcBorders>
            <w:shd w:val="clear" w:color="FFFFFF" w:fill="FFFFFF"/>
            <w:noWrap/>
            <w:vAlign w:val="bottom"/>
            <w:hideMark/>
          </w:tcPr>
          <w:p w14:paraId="00CF5276" w14:textId="77777777" w:rsidR="00B040FE" w:rsidRPr="000D1B3E" w:rsidRDefault="00B040FE" w:rsidP="0047225D">
            <w:pPr>
              <w:spacing w:after="0"/>
              <w:rPr>
                <w:rFonts w:cs="Arial"/>
                <w:b/>
                <w:bCs/>
                <w:sz w:val="18"/>
                <w:szCs w:val="18"/>
                <w:u w:val="single"/>
              </w:rPr>
            </w:pPr>
            <w:bookmarkStart w:id="194" w:name="Note_OPBTABLE1" w:colFirst="0" w:colLast="0"/>
            <w:r w:rsidRPr="000D1B3E">
              <w:rPr>
                <w:rFonts w:cs="Arial"/>
                <w:b/>
                <w:bCs/>
                <w:sz w:val="18"/>
                <w:szCs w:val="18"/>
                <w:u w:val="single"/>
              </w:rPr>
              <w:t>Note 2.3B: Other payables</w:t>
            </w:r>
          </w:p>
        </w:tc>
        <w:tc>
          <w:tcPr>
            <w:tcW w:w="1259" w:type="dxa"/>
            <w:tcBorders>
              <w:top w:val="nil"/>
              <w:left w:val="nil"/>
              <w:bottom w:val="nil"/>
              <w:right w:val="nil"/>
            </w:tcBorders>
            <w:shd w:val="clear" w:color="FFFFFF" w:fill="FFFFFF"/>
            <w:noWrap/>
            <w:vAlign w:val="bottom"/>
            <w:hideMark/>
          </w:tcPr>
          <w:p w14:paraId="2C9B2407" w14:textId="77777777" w:rsidR="00B040FE" w:rsidRPr="000D1B3E" w:rsidRDefault="00B040FE" w:rsidP="0047225D">
            <w:pPr>
              <w:spacing w:after="0"/>
              <w:rPr>
                <w:rFonts w:cs="Arial"/>
                <w:sz w:val="18"/>
                <w:szCs w:val="18"/>
              </w:rPr>
            </w:pPr>
            <w:r w:rsidRPr="000D1B3E">
              <w:rPr>
                <w:rFonts w:cs="Arial"/>
                <w:sz w:val="18"/>
                <w:szCs w:val="18"/>
              </w:rPr>
              <w:t> </w:t>
            </w:r>
          </w:p>
        </w:tc>
        <w:tc>
          <w:tcPr>
            <w:tcW w:w="236" w:type="dxa"/>
            <w:tcBorders>
              <w:top w:val="nil"/>
              <w:left w:val="nil"/>
              <w:bottom w:val="nil"/>
              <w:right w:val="nil"/>
            </w:tcBorders>
            <w:shd w:val="clear" w:color="FFFFFF" w:fill="FFFFFF"/>
            <w:noWrap/>
            <w:vAlign w:val="bottom"/>
            <w:hideMark/>
          </w:tcPr>
          <w:p w14:paraId="56C1EBFF"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887779A" w14:textId="77777777" w:rsidR="00B040FE" w:rsidRPr="000D1B3E" w:rsidRDefault="00B040FE" w:rsidP="0047225D">
            <w:pPr>
              <w:spacing w:after="0"/>
              <w:rPr>
                <w:rFonts w:cs="Arial"/>
                <w:sz w:val="18"/>
                <w:szCs w:val="18"/>
              </w:rPr>
            </w:pPr>
            <w:r w:rsidRPr="000D1B3E">
              <w:rPr>
                <w:rFonts w:cs="Arial"/>
                <w:sz w:val="18"/>
                <w:szCs w:val="18"/>
              </w:rPr>
              <w:t> </w:t>
            </w:r>
          </w:p>
        </w:tc>
      </w:tr>
      <w:bookmarkEnd w:id="194"/>
      <w:tr w:rsidR="00B040FE" w:rsidRPr="000D1B3E" w14:paraId="141A5A78" w14:textId="77777777" w:rsidTr="005E5E0C">
        <w:trPr>
          <w:trHeight w:val="250"/>
        </w:trPr>
        <w:tc>
          <w:tcPr>
            <w:tcW w:w="6351" w:type="dxa"/>
            <w:tcBorders>
              <w:top w:val="nil"/>
              <w:left w:val="nil"/>
              <w:bottom w:val="nil"/>
              <w:right w:val="nil"/>
            </w:tcBorders>
            <w:shd w:val="clear" w:color="FFFFFF" w:fill="FFFFFF"/>
            <w:vAlign w:val="bottom"/>
            <w:hideMark/>
          </w:tcPr>
          <w:p w14:paraId="305496DE" w14:textId="77777777" w:rsidR="00B040FE" w:rsidRPr="000D1B3E" w:rsidRDefault="00B040FE" w:rsidP="0047225D">
            <w:pPr>
              <w:spacing w:after="0"/>
              <w:rPr>
                <w:rFonts w:cs="Arial"/>
                <w:sz w:val="18"/>
                <w:szCs w:val="18"/>
              </w:rPr>
            </w:pPr>
            <w:r w:rsidRPr="000D1B3E">
              <w:rPr>
                <w:rFonts w:cs="Arial"/>
                <w:sz w:val="18"/>
                <w:szCs w:val="18"/>
              </w:rPr>
              <w:t>Salaries and wages</w:t>
            </w:r>
          </w:p>
        </w:tc>
        <w:tc>
          <w:tcPr>
            <w:tcW w:w="1259" w:type="dxa"/>
            <w:tcBorders>
              <w:top w:val="nil"/>
              <w:left w:val="nil"/>
              <w:bottom w:val="nil"/>
              <w:right w:val="nil"/>
            </w:tcBorders>
            <w:shd w:val="clear" w:color="FFFFFF" w:fill="FFFFFF"/>
            <w:noWrap/>
            <w:vAlign w:val="bottom"/>
            <w:hideMark/>
          </w:tcPr>
          <w:p w14:paraId="382C820A" w14:textId="77777777" w:rsidR="00B040FE" w:rsidRPr="000D1B3E" w:rsidRDefault="00B040FE" w:rsidP="0047225D">
            <w:pPr>
              <w:spacing w:after="0"/>
              <w:jc w:val="right"/>
              <w:rPr>
                <w:rFonts w:cs="Arial"/>
                <w:b/>
                <w:bCs/>
                <w:sz w:val="18"/>
                <w:szCs w:val="18"/>
              </w:rPr>
            </w:pPr>
            <w:r w:rsidRPr="000D1B3E">
              <w:rPr>
                <w:rFonts w:cs="Arial"/>
                <w:b/>
                <w:bCs/>
                <w:sz w:val="18"/>
                <w:szCs w:val="18"/>
              </w:rPr>
              <w:t>18,024</w:t>
            </w:r>
          </w:p>
        </w:tc>
        <w:tc>
          <w:tcPr>
            <w:tcW w:w="236" w:type="dxa"/>
            <w:tcBorders>
              <w:top w:val="nil"/>
              <w:left w:val="nil"/>
              <w:bottom w:val="nil"/>
              <w:right w:val="nil"/>
            </w:tcBorders>
            <w:shd w:val="clear" w:color="FFFFFF" w:fill="FFFFFF"/>
            <w:noWrap/>
            <w:vAlign w:val="bottom"/>
            <w:hideMark/>
          </w:tcPr>
          <w:p w14:paraId="1E8586BD"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038EB09E" w14:textId="77777777" w:rsidR="00B040FE" w:rsidRPr="000D1B3E" w:rsidRDefault="00B040FE" w:rsidP="0047225D">
            <w:pPr>
              <w:spacing w:after="0"/>
              <w:jc w:val="right"/>
              <w:rPr>
                <w:rFonts w:cs="Arial"/>
                <w:sz w:val="18"/>
                <w:szCs w:val="18"/>
              </w:rPr>
            </w:pPr>
            <w:r w:rsidRPr="000D1B3E">
              <w:rPr>
                <w:rFonts w:cs="Arial"/>
                <w:sz w:val="18"/>
                <w:szCs w:val="18"/>
              </w:rPr>
              <w:t>12,133</w:t>
            </w:r>
          </w:p>
        </w:tc>
      </w:tr>
      <w:tr w:rsidR="00B040FE" w:rsidRPr="000D1B3E" w14:paraId="587EC867" w14:textId="77777777" w:rsidTr="005E5E0C">
        <w:trPr>
          <w:trHeight w:val="250"/>
        </w:trPr>
        <w:tc>
          <w:tcPr>
            <w:tcW w:w="6351" w:type="dxa"/>
            <w:tcBorders>
              <w:top w:val="nil"/>
              <w:left w:val="nil"/>
              <w:bottom w:val="nil"/>
              <w:right w:val="nil"/>
            </w:tcBorders>
            <w:shd w:val="clear" w:color="FFFFFF" w:fill="FFFFFF"/>
            <w:vAlign w:val="bottom"/>
            <w:hideMark/>
          </w:tcPr>
          <w:p w14:paraId="520D627E" w14:textId="77777777" w:rsidR="00B040FE" w:rsidRPr="000D1B3E" w:rsidRDefault="00B040FE" w:rsidP="0047225D">
            <w:pPr>
              <w:spacing w:after="0"/>
              <w:rPr>
                <w:rFonts w:cs="Arial"/>
                <w:sz w:val="18"/>
                <w:szCs w:val="18"/>
              </w:rPr>
            </w:pPr>
            <w:r w:rsidRPr="000D1B3E">
              <w:rPr>
                <w:rFonts w:cs="Arial"/>
                <w:sz w:val="18"/>
                <w:szCs w:val="18"/>
              </w:rPr>
              <w:t>Superannuation</w:t>
            </w:r>
          </w:p>
        </w:tc>
        <w:tc>
          <w:tcPr>
            <w:tcW w:w="1259" w:type="dxa"/>
            <w:tcBorders>
              <w:top w:val="nil"/>
              <w:left w:val="nil"/>
              <w:bottom w:val="nil"/>
              <w:right w:val="nil"/>
            </w:tcBorders>
            <w:shd w:val="clear" w:color="FFFFFF" w:fill="FFFFFF"/>
            <w:noWrap/>
            <w:vAlign w:val="bottom"/>
            <w:hideMark/>
          </w:tcPr>
          <w:p w14:paraId="66885EC0" w14:textId="77777777" w:rsidR="00B040FE" w:rsidRPr="000D1B3E" w:rsidRDefault="00B040FE" w:rsidP="0047225D">
            <w:pPr>
              <w:spacing w:after="0"/>
              <w:jc w:val="right"/>
              <w:rPr>
                <w:rFonts w:cs="Arial"/>
                <w:b/>
                <w:bCs/>
                <w:sz w:val="18"/>
                <w:szCs w:val="18"/>
              </w:rPr>
            </w:pPr>
            <w:r w:rsidRPr="000D1B3E">
              <w:rPr>
                <w:rFonts w:cs="Arial"/>
                <w:b/>
                <w:bCs/>
                <w:sz w:val="18"/>
                <w:szCs w:val="18"/>
              </w:rPr>
              <w:t>2,932</w:t>
            </w:r>
          </w:p>
        </w:tc>
        <w:tc>
          <w:tcPr>
            <w:tcW w:w="236" w:type="dxa"/>
            <w:tcBorders>
              <w:top w:val="nil"/>
              <w:left w:val="nil"/>
              <w:bottom w:val="nil"/>
              <w:right w:val="nil"/>
            </w:tcBorders>
            <w:shd w:val="clear" w:color="FFFFFF" w:fill="FFFFFF"/>
            <w:noWrap/>
            <w:vAlign w:val="bottom"/>
            <w:hideMark/>
          </w:tcPr>
          <w:p w14:paraId="18A7E9EF"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7CC624CD" w14:textId="77777777" w:rsidR="00B040FE" w:rsidRPr="000D1B3E" w:rsidRDefault="00B040FE" w:rsidP="0047225D">
            <w:pPr>
              <w:spacing w:after="0"/>
              <w:jc w:val="right"/>
              <w:rPr>
                <w:rFonts w:cs="Arial"/>
                <w:sz w:val="18"/>
                <w:szCs w:val="18"/>
              </w:rPr>
            </w:pPr>
            <w:r w:rsidRPr="000D1B3E">
              <w:rPr>
                <w:rFonts w:cs="Arial"/>
                <w:sz w:val="18"/>
                <w:szCs w:val="18"/>
              </w:rPr>
              <w:t>2,090</w:t>
            </w:r>
          </w:p>
        </w:tc>
      </w:tr>
      <w:tr w:rsidR="00B040FE" w:rsidRPr="000D1B3E" w14:paraId="6224261B" w14:textId="77777777" w:rsidTr="005E5E0C">
        <w:trPr>
          <w:trHeight w:val="250"/>
        </w:trPr>
        <w:tc>
          <w:tcPr>
            <w:tcW w:w="6351" w:type="dxa"/>
            <w:tcBorders>
              <w:top w:val="nil"/>
              <w:left w:val="nil"/>
              <w:bottom w:val="nil"/>
              <w:right w:val="nil"/>
            </w:tcBorders>
            <w:shd w:val="clear" w:color="FFFFFF" w:fill="FFFFFF"/>
            <w:vAlign w:val="bottom"/>
            <w:hideMark/>
          </w:tcPr>
          <w:p w14:paraId="12DB020B" w14:textId="77777777" w:rsidR="00B040FE" w:rsidRPr="000D1B3E" w:rsidRDefault="00B040FE" w:rsidP="0047225D">
            <w:pPr>
              <w:spacing w:after="0"/>
              <w:rPr>
                <w:rFonts w:cs="Arial"/>
                <w:sz w:val="18"/>
                <w:szCs w:val="18"/>
              </w:rPr>
            </w:pPr>
            <w:r w:rsidRPr="000D1B3E">
              <w:rPr>
                <w:rFonts w:cs="Arial"/>
                <w:sz w:val="18"/>
                <w:szCs w:val="18"/>
              </w:rPr>
              <w:t>Other</w:t>
            </w:r>
          </w:p>
        </w:tc>
        <w:tc>
          <w:tcPr>
            <w:tcW w:w="1259" w:type="dxa"/>
            <w:tcBorders>
              <w:top w:val="nil"/>
              <w:left w:val="nil"/>
              <w:bottom w:val="nil"/>
              <w:right w:val="nil"/>
            </w:tcBorders>
            <w:shd w:val="clear" w:color="FFFFFF" w:fill="FFFFFF"/>
            <w:noWrap/>
            <w:vAlign w:val="bottom"/>
            <w:hideMark/>
          </w:tcPr>
          <w:p w14:paraId="76EA25AD" w14:textId="77777777" w:rsidR="00B040FE" w:rsidRPr="000D1B3E" w:rsidRDefault="00B040FE" w:rsidP="0047225D">
            <w:pPr>
              <w:spacing w:after="0"/>
              <w:jc w:val="right"/>
              <w:rPr>
                <w:rFonts w:cs="Arial"/>
                <w:b/>
                <w:bCs/>
                <w:sz w:val="18"/>
                <w:szCs w:val="18"/>
              </w:rPr>
            </w:pPr>
            <w:r w:rsidRPr="000D1B3E">
              <w:rPr>
                <w:rFonts w:cs="Arial"/>
                <w:b/>
                <w:bCs/>
                <w:sz w:val="18"/>
                <w:szCs w:val="18"/>
              </w:rPr>
              <w:t>81</w:t>
            </w:r>
          </w:p>
        </w:tc>
        <w:tc>
          <w:tcPr>
            <w:tcW w:w="236" w:type="dxa"/>
            <w:tcBorders>
              <w:top w:val="nil"/>
              <w:left w:val="nil"/>
              <w:bottom w:val="nil"/>
              <w:right w:val="nil"/>
            </w:tcBorders>
            <w:shd w:val="clear" w:color="FFFFFF" w:fill="FFFFFF"/>
            <w:noWrap/>
            <w:vAlign w:val="bottom"/>
            <w:hideMark/>
          </w:tcPr>
          <w:p w14:paraId="0FB45B35"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151BAF63" w14:textId="77777777" w:rsidR="00B040FE" w:rsidRPr="000D1B3E" w:rsidRDefault="00B040FE" w:rsidP="0047225D">
            <w:pPr>
              <w:spacing w:after="0"/>
              <w:jc w:val="right"/>
              <w:rPr>
                <w:rFonts w:cs="Arial"/>
                <w:sz w:val="18"/>
                <w:szCs w:val="18"/>
              </w:rPr>
            </w:pPr>
            <w:r w:rsidRPr="000D1B3E">
              <w:rPr>
                <w:rFonts w:cs="Arial"/>
                <w:sz w:val="18"/>
                <w:szCs w:val="18"/>
              </w:rPr>
              <w:t>187</w:t>
            </w:r>
          </w:p>
        </w:tc>
      </w:tr>
      <w:tr w:rsidR="00B040FE" w:rsidRPr="000D1B3E" w14:paraId="3F02FC8D" w14:textId="77777777" w:rsidTr="005E5E0C">
        <w:trPr>
          <w:trHeight w:val="250"/>
        </w:trPr>
        <w:tc>
          <w:tcPr>
            <w:tcW w:w="6351" w:type="dxa"/>
            <w:tcBorders>
              <w:top w:val="nil"/>
              <w:left w:val="nil"/>
              <w:bottom w:val="nil"/>
              <w:right w:val="nil"/>
            </w:tcBorders>
            <w:shd w:val="clear" w:color="FFFFFF" w:fill="FFFFFF"/>
            <w:vAlign w:val="bottom"/>
            <w:hideMark/>
          </w:tcPr>
          <w:p w14:paraId="1FD6BC0B" w14:textId="77777777" w:rsidR="00B040FE" w:rsidRPr="000D1B3E" w:rsidRDefault="00B040FE" w:rsidP="0047225D">
            <w:pPr>
              <w:spacing w:after="0"/>
              <w:rPr>
                <w:rFonts w:cs="Arial"/>
                <w:b/>
                <w:bCs/>
                <w:sz w:val="18"/>
                <w:szCs w:val="18"/>
              </w:rPr>
            </w:pPr>
            <w:r w:rsidRPr="000D1B3E">
              <w:rPr>
                <w:rFonts w:cs="Arial"/>
                <w:b/>
                <w:bCs/>
                <w:sz w:val="18"/>
                <w:szCs w:val="18"/>
              </w:rPr>
              <w:t xml:space="preserve">Total other payables </w:t>
            </w:r>
          </w:p>
        </w:tc>
        <w:tc>
          <w:tcPr>
            <w:tcW w:w="1259" w:type="dxa"/>
            <w:tcBorders>
              <w:top w:val="single" w:sz="4" w:space="0" w:color="auto"/>
              <w:left w:val="nil"/>
              <w:bottom w:val="single" w:sz="4" w:space="0" w:color="auto"/>
              <w:right w:val="nil"/>
            </w:tcBorders>
            <w:shd w:val="clear" w:color="FFFFFF" w:fill="FFFFFF"/>
            <w:noWrap/>
            <w:vAlign w:val="bottom"/>
            <w:hideMark/>
          </w:tcPr>
          <w:p w14:paraId="0BF8AA7F" w14:textId="77777777" w:rsidR="00B040FE" w:rsidRPr="000D1B3E" w:rsidRDefault="00B040FE" w:rsidP="0047225D">
            <w:pPr>
              <w:spacing w:after="0"/>
              <w:jc w:val="right"/>
              <w:rPr>
                <w:rFonts w:cs="Arial"/>
                <w:b/>
                <w:bCs/>
                <w:sz w:val="18"/>
                <w:szCs w:val="18"/>
              </w:rPr>
            </w:pPr>
            <w:r w:rsidRPr="000D1B3E">
              <w:rPr>
                <w:rFonts w:cs="Arial"/>
                <w:b/>
                <w:bCs/>
                <w:sz w:val="18"/>
                <w:szCs w:val="18"/>
              </w:rPr>
              <w:t>21,037</w:t>
            </w:r>
          </w:p>
        </w:tc>
        <w:tc>
          <w:tcPr>
            <w:tcW w:w="236" w:type="dxa"/>
            <w:tcBorders>
              <w:top w:val="nil"/>
              <w:left w:val="nil"/>
              <w:bottom w:val="nil"/>
              <w:right w:val="nil"/>
            </w:tcBorders>
            <w:shd w:val="clear" w:color="FFFFFF" w:fill="FFFFFF"/>
            <w:noWrap/>
            <w:vAlign w:val="bottom"/>
            <w:hideMark/>
          </w:tcPr>
          <w:p w14:paraId="5DB17BF6"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7CED848C" w14:textId="77777777" w:rsidR="00B040FE" w:rsidRPr="000D1B3E" w:rsidRDefault="00B040FE" w:rsidP="0047225D">
            <w:pPr>
              <w:spacing w:after="0"/>
              <w:jc w:val="right"/>
              <w:rPr>
                <w:rFonts w:cs="Arial"/>
                <w:sz w:val="18"/>
                <w:szCs w:val="18"/>
              </w:rPr>
            </w:pPr>
            <w:r w:rsidRPr="000D1B3E">
              <w:rPr>
                <w:rFonts w:cs="Arial"/>
                <w:sz w:val="18"/>
                <w:szCs w:val="18"/>
              </w:rPr>
              <w:t>14,410</w:t>
            </w:r>
          </w:p>
        </w:tc>
      </w:tr>
    </w:tbl>
    <w:p w14:paraId="301664A1" w14:textId="77777777" w:rsidR="00B040FE" w:rsidRPr="000D1B3E" w:rsidRDefault="00B040FE" w:rsidP="000D1B3E">
      <w:pPr>
        <w:pStyle w:val="PolicytextDept"/>
        <w:pBdr>
          <w:left w:val="single" w:sz="4" w:space="4" w:color="800080"/>
          <w:right w:val="single" w:sz="4" w:space="4" w:color="800080"/>
        </w:pBdr>
        <w:spacing w:before="240"/>
        <w:rPr>
          <w:b/>
        </w:rPr>
      </w:pPr>
      <w:r w:rsidRPr="000D1B3E">
        <w:rPr>
          <w:b/>
        </w:rPr>
        <w:t>Accounting Policy</w:t>
      </w:r>
    </w:p>
    <w:p w14:paraId="661F3573" w14:textId="77777777" w:rsidR="00B040FE" w:rsidRPr="000D1B3E" w:rsidRDefault="00B040FE" w:rsidP="00B040FE">
      <w:pPr>
        <w:pStyle w:val="PolicytextDept"/>
        <w:pBdr>
          <w:left w:val="single" w:sz="4" w:space="4" w:color="800080"/>
          <w:right w:val="single" w:sz="4" w:space="4" w:color="800080"/>
        </w:pBdr>
        <w:rPr>
          <w:b/>
        </w:rPr>
      </w:pPr>
      <w:r w:rsidRPr="000D1B3E">
        <w:t>Financial liabilities, including supplier and other payables, are initially measured at fair value, net of transaction costs. These liabilities are subsequently measured at amortised cost using the effective interest method, with interest expense recognised on an effective yield basis.</w:t>
      </w:r>
      <w:r w:rsidRPr="000D1B3E">
        <w:rPr>
          <w:b/>
        </w:rPr>
        <w:t xml:space="preserve"> </w:t>
      </w:r>
    </w:p>
    <w:p w14:paraId="5652691F" w14:textId="77777777" w:rsidR="00B040FE" w:rsidRPr="000D1B3E" w:rsidRDefault="00B040FE" w:rsidP="00B040FE">
      <w:pPr>
        <w:pStyle w:val="PolicytextDept"/>
        <w:pBdr>
          <w:left w:val="single" w:sz="4" w:space="4" w:color="800080"/>
          <w:right w:val="single" w:sz="4" w:space="4" w:color="800080"/>
        </w:pBdr>
        <w:rPr>
          <w:bCs w:val="0"/>
        </w:rPr>
      </w:pPr>
      <w:r w:rsidRPr="000D1B3E">
        <w:rPr>
          <w:bCs w:val="0"/>
        </w:rPr>
        <w:t>Liabilities are recognised to the extent that the goods or services have been received (and irrespective of having been invoiced).</w:t>
      </w:r>
    </w:p>
    <w:p w14:paraId="3297BD21" w14:textId="77777777" w:rsidR="00B040FE" w:rsidRPr="000D1B3E" w:rsidRDefault="00B040FE" w:rsidP="00B040FE">
      <w:pPr>
        <w:pStyle w:val="PolicytextDept"/>
        <w:pBdr>
          <w:left w:val="single" w:sz="4" w:space="4" w:color="800080"/>
          <w:right w:val="single" w:sz="4" w:space="4" w:color="800080"/>
        </w:pBdr>
      </w:pPr>
      <w:r w:rsidRPr="000D1B3E">
        <w:t>Accounting policies for Salaries and wages and Superannuation are contained in Section 3. People and Relationships.</w:t>
      </w:r>
    </w:p>
    <w:p w14:paraId="544FBEC5" w14:textId="77777777" w:rsidR="00B040FE" w:rsidRPr="000D1B3E" w:rsidRDefault="00B040FE" w:rsidP="000D1B3E">
      <w:pPr>
        <w:pStyle w:val="SubHeading"/>
        <w:shd w:val="clear" w:color="auto" w:fill="000000" w:themeFill="accent6"/>
        <w:rPr>
          <w:sz w:val="18"/>
          <w:szCs w:val="18"/>
        </w:rPr>
      </w:pPr>
      <w:bookmarkStart w:id="195" w:name="_Toc65742850"/>
      <w:bookmarkStart w:id="196" w:name="_Toc173417297"/>
      <w:r w:rsidRPr="000D1B3E">
        <w:rPr>
          <w:sz w:val="18"/>
          <w:szCs w:val="18"/>
        </w:rPr>
        <w:t>Unearned Income</w:t>
      </w:r>
      <w:bookmarkEnd w:id="195"/>
      <w:bookmarkEnd w:id="196"/>
    </w:p>
    <w:p w14:paraId="125663D6" w14:textId="77777777" w:rsidR="00B040FE" w:rsidRPr="000D1B3E" w:rsidRDefault="00B040FE" w:rsidP="00B040FE">
      <w:pPr>
        <w:pStyle w:val="ContinuedNotesHeading-Level1"/>
        <w:rPr>
          <w:rFonts w:cs="Arial"/>
          <w:sz w:val="18"/>
          <w:szCs w:val="18"/>
        </w:rPr>
      </w:pPr>
    </w:p>
    <w:tbl>
      <w:tblPr>
        <w:tblW w:w="9087" w:type="dxa"/>
        <w:tblLayout w:type="fixed"/>
        <w:tblLook w:val="04A0" w:firstRow="1" w:lastRow="0" w:firstColumn="1" w:lastColumn="0" w:noHBand="0" w:noVBand="1"/>
      </w:tblPr>
      <w:tblGrid>
        <w:gridCol w:w="6351"/>
        <w:gridCol w:w="1259"/>
        <w:gridCol w:w="236"/>
        <w:gridCol w:w="1241"/>
      </w:tblGrid>
      <w:tr w:rsidR="00B040FE" w:rsidRPr="000D1B3E" w14:paraId="20FEFF89" w14:textId="77777777" w:rsidTr="005E5E0C">
        <w:trPr>
          <w:trHeight w:val="253"/>
        </w:trPr>
        <w:tc>
          <w:tcPr>
            <w:tcW w:w="6351" w:type="dxa"/>
            <w:tcBorders>
              <w:top w:val="nil"/>
              <w:left w:val="nil"/>
              <w:bottom w:val="nil"/>
              <w:right w:val="nil"/>
            </w:tcBorders>
            <w:shd w:val="clear" w:color="FFFFFF" w:fill="FFFFFF"/>
            <w:noWrap/>
            <w:vAlign w:val="bottom"/>
            <w:hideMark/>
          </w:tcPr>
          <w:p w14:paraId="1740D22D" w14:textId="77777777" w:rsidR="00B040FE" w:rsidRPr="000D1B3E" w:rsidRDefault="00B040FE" w:rsidP="0047225D">
            <w:pPr>
              <w:spacing w:after="0"/>
              <w:rPr>
                <w:rFonts w:cs="Arial"/>
                <w:b/>
                <w:bCs/>
                <w:sz w:val="18"/>
                <w:szCs w:val="18"/>
                <w:u w:val="single"/>
              </w:rPr>
            </w:pPr>
            <w:bookmarkStart w:id="197" w:name="Note_PPPTABLE1" w:colFirst="0" w:colLast="0"/>
            <w:r w:rsidRPr="000D1B3E">
              <w:rPr>
                <w:rFonts w:cs="Arial"/>
                <w:b/>
                <w:bCs/>
                <w:sz w:val="18"/>
                <w:szCs w:val="18"/>
                <w:u w:val="single"/>
              </w:rPr>
              <w:t>Note 2.4: Unearned revenue</w:t>
            </w:r>
          </w:p>
        </w:tc>
        <w:tc>
          <w:tcPr>
            <w:tcW w:w="1259" w:type="dxa"/>
            <w:tcBorders>
              <w:top w:val="nil"/>
              <w:left w:val="nil"/>
              <w:bottom w:val="nil"/>
              <w:right w:val="nil"/>
            </w:tcBorders>
            <w:shd w:val="clear" w:color="FFFFFF" w:fill="FFFFFF"/>
            <w:noWrap/>
            <w:vAlign w:val="bottom"/>
            <w:hideMark/>
          </w:tcPr>
          <w:p w14:paraId="2CCBBC20" w14:textId="77777777" w:rsidR="00B040FE" w:rsidRPr="000D1B3E" w:rsidRDefault="00B040FE" w:rsidP="0047225D">
            <w:pPr>
              <w:spacing w:after="0"/>
              <w:rPr>
                <w:rFonts w:cs="Arial"/>
                <w:sz w:val="18"/>
                <w:szCs w:val="18"/>
              </w:rPr>
            </w:pPr>
            <w:r w:rsidRPr="000D1B3E">
              <w:rPr>
                <w:rFonts w:cs="Arial"/>
                <w:sz w:val="18"/>
                <w:szCs w:val="18"/>
              </w:rPr>
              <w:t> </w:t>
            </w:r>
          </w:p>
        </w:tc>
        <w:tc>
          <w:tcPr>
            <w:tcW w:w="236" w:type="dxa"/>
            <w:tcBorders>
              <w:top w:val="nil"/>
              <w:left w:val="nil"/>
              <w:bottom w:val="nil"/>
              <w:right w:val="nil"/>
            </w:tcBorders>
            <w:shd w:val="clear" w:color="FFFFFF" w:fill="FFFFFF"/>
            <w:noWrap/>
            <w:vAlign w:val="bottom"/>
            <w:hideMark/>
          </w:tcPr>
          <w:p w14:paraId="1EFCDECF"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5FC741A" w14:textId="77777777" w:rsidR="00B040FE" w:rsidRPr="000D1B3E" w:rsidRDefault="00B040FE" w:rsidP="0047225D">
            <w:pPr>
              <w:spacing w:after="0"/>
              <w:rPr>
                <w:rFonts w:cs="Arial"/>
                <w:sz w:val="18"/>
                <w:szCs w:val="18"/>
              </w:rPr>
            </w:pPr>
            <w:r w:rsidRPr="000D1B3E">
              <w:rPr>
                <w:rFonts w:cs="Arial"/>
                <w:sz w:val="18"/>
                <w:szCs w:val="18"/>
              </w:rPr>
              <w:t> </w:t>
            </w:r>
          </w:p>
        </w:tc>
      </w:tr>
      <w:bookmarkEnd w:id="197"/>
      <w:tr w:rsidR="00B040FE" w:rsidRPr="000D1B3E" w14:paraId="18015719" w14:textId="77777777" w:rsidTr="005E5E0C">
        <w:trPr>
          <w:trHeight w:val="250"/>
        </w:trPr>
        <w:tc>
          <w:tcPr>
            <w:tcW w:w="6351" w:type="dxa"/>
            <w:tcBorders>
              <w:top w:val="nil"/>
              <w:left w:val="nil"/>
              <w:bottom w:val="nil"/>
              <w:right w:val="nil"/>
            </w:tcBorders>
            <w:shd w:val="clear" w:color="FFFFFF" w:fill="FFFFFF"/>
            <w:vAlign w:val="bottom"/>
            <w:hideMark/>
          </w:tcPr>
          <w:p w14:paraId="719DE86F" w14:textId="77777777" w:rsidR="00B040FE" w:rsidRPr="000D1B3E" w:rsidRDefault="00B040FE" w:rsidP="0047225D">
            <w:pPr>
              <w:spacing w:after="0"/>
              <w:rPr>
                <w:rFonts w:cs="Arial"/>
                <w:sz w:val="18"/>
                <w:szCs w:val="18"/>
              </w:rPr>
            </w:pPr>
            <w:r w:rsidRPr="000D1B3E">
              <w:rPr>
                <w:rFonts w:cs="Arial"/>
                <w:sz w:val="18"/>
                <w:szCs w:val="18"/>
              </w:rPr>
              <w:t>Revenue received in advance - external entities</w:t>
            </w:r>
          </w:p>
        </w:tc>
        <w:tc>
          <w:tcPr>
            <w:tcW w:w="1259" w:type="dxa"/>
            <w:tcBorders>
              <w:top w:val="nil"/>
              <w:left w:val="nil"/>
              <w:bottom w:val="nil"/>
              <w:right w:val="nil"/>
            </w:tcBorders>
            <w:shd w:val="clear" w:color="FFFFFF" w:fill="FFFFFF"/>
            <w:noWrap/>
            <w:vAlign w:val="bottom"/>
            <w:hideMark/>
          </w:tcPr>
          <w:p w14:paraId="51EAD6F8" w14:textId="77777777" w:rsidR="00B040FE" w:rsidRPr="000D1B3E" w:rsidRDefault="00B040FE" w:rsidP="0047225D">
            <w:pPr>
              <w:spacing w:after="0"/>
              <w:jc w:val="right"/>
              <w:rPr>
                <w:rFonts w:cs="Arial"/>
                <w:b/>
                <w:bCs/>
                <w:sz w:val="18"/>
                <w:szCs w:val="18"/>
              </w:rPr>
            </w:pPr>
            <w:r w:rsidRPr="000D1B3E">
              <w:rPr>
                <w:rFonts w:cs="Arial"/>
                <w:b/>
                <w:bCs/>
                <w:sz w:val="18"/>
                <w:szCs w:val="18"/>
              </w:rPr>
              <w:t>413,969</w:t>
            </w:r>
          </w:p>
        </w:tc>
        <w:tc>
          <w:tcPr>
            <w:tcW w:w="236" w:type="dxa"/>
            <w:tcBorders>
              <w:top w:val="nil"/>
              <w:left w:val="nil"/>
              <w:bottom w:val="nil"/>
              <w:right w:val="nil"/>
            </w:tcBorders>
            <w:shd w:val="clear" w:color="FFFFFF" w:fill="FFFFFF"/>
            <w:noWrap/>
            <w:vAlign w:val="bottom"/>
            <w:hideMark/>
          </w:tcPr>
          <w:p w14:paraId="3945D09F" w14:textId="77777777" w:rsidR="00B040FE" w:rsidRPr="000D1B3E" w:rsidRDefault="00B040FE" w:rsidP="0047225D">
            <w:pPr>
              <w:spacing w:after="0"/>
              <w:rPr>
                <w:rFonts w:cs="Arial"/>
                <w:b/>
                <w:bCs/>
                <w:sz w:val="18"/>
                <w:szCs w:val="18"/>
              </w:rPr>
            </w:pPr>
            <w:r w:rsidRPr="000D1B3E">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46612626" w14:textId="77777777" w:rsidR="00B040FE" w:rsidRPr="000D1B3E" w:rsidRDefault="00B040FE" w:rsidP="0047225D">
            <w:pPr>
              <w:spacing w:after="0"/>
              <w:jc w:val="right"/>
              <w:rPr>
                <w:rFonts w:cs="Arial"/>
                <w:sz w:val="18"/>
                <w:szCs w:val="18"/>
              </w:rPr>
            </w:pPr>
            <w:r w:rsidRPr="000D1B3E">
              <w:rPr>
                <w:rFonts w:cs="Arial"/>
                <w:sz w:val="18"/>
                <w:szCs w:val="18"/>
              </w:rPr>
              <w:t>506,442</w:t>
            </w:r>
          </w:p>
        </w:tc>
      </w:tr>
      <w:tr w:rsidR="00B040FE" w:rsidRPr="000D1B3E" w14:paraId="4A023BF0" w14:textId="77777777" w:rsidTr="005E5E0C">
        <w:trPr>
          <w:trHeight w:val="260"/>
        </w:trPr>
        <w:tc>
          <w:tcPr>
            <w:tcW w:w="6351" w:type="dxa"/>
            <w:tcBorders>
              <w:top w:val="nil"/>
              <w:left w:val="nil"/>
              <w:bottom w:val="nil"/>
              <w:right w:val="nil"/>
            </w:tcBorders>
            <w:shd w:val="clear" w:color="FFFFFF" w:fill="FFFFFF"/>
            <w:vAlign w:val="bottom"/>
            <w:hideMark/>
          </w:tcPr>
          <w:p w14:paraId="06772504" w14:textId="77777777" w:rsidR="00B040FE" w:rsidRPr="000D1B3E" w:rsidRDefault="00B040FE" w:rsidP="0047225D">
            <w:pPr>
              <w:spacing w:after="0"/>
              <w:rPr>
                <w:rFonts w:cs="Arial"/>
                <w:b/>
                <w:bCs/>
                <w:sz w:val="18"/>
                <w:szCs w:val="18"/>
              </w:rPr>
            </w:pPr>
            <w:r w:rsidRPr="000D1B3E">
              <w:rPr>
                <w:rFonts w:cs="Arial"/>
                <w:b/>
                <w:bCs/>
                <w:sz w:val="18"/>
                <w:szCs w:val="18"/>
              </w:rPr>
              <w:t>Total unearned revenue</w:t>
            </w:r>
          </w:p>
        </w:tc>
        <w:tc>
          <w:tcPr>
            <w:tcW w:w="1259" w:type="dxa"/>
            <w:tcBorders>
              <w:top w:val="single" w:sz="4" w:space="0" w:color="auto"/>
              <w:left w:val="nil"/>
              <w:bottom w:val="single" w:sz="4" w:space="0" w:color="auto"/>
              <w:right w:val="nil"/>
            </w:tcBorders>
            <w:shd w:val="clear" w:color="FFFFFF" w:fill="FFFFFF"/>
            <w:noWrap/>
            <w:vAlign w:val="bottom"/>
            <w:hideMark/>
          </w:tcPr>
          <w:p w14:paraId="23D3B025" w14:textId="77777777" w:rsidR="00B040FE" w:rsidRPr="000D1B3E" w:rsidRDefault="00B040FE" w:rsidP="0047225D">
            <w:pPr>
              <w:spacing w:after="0"/>
              <w:jc w:val="right"/>
              <w:rPr>
                <w:rFonts w:cs="Arial"/>
                <w:b/>
                <w:bCs/>
                <w:sz w:val="18"/>
                <w:szCs w:val="18"/>
              </w:rPr>
            </w:pPr>
            <w:r w:rsidRPr="000D1B3E">
              <w:rPr>
                <w:rFonts w:cs="Arial"/>
                <w:b/>
                <w:bCs/>
                <w:sz w:val="18"/>
                <w:szCs w:val="18"/>
              </w:rPr>
              <w:t>413,969</w:t>
            </w:r>
          </w:p>
        </w:tc>
        <w:tc>
          <w:tcPr>
            <w:tcW w:w="236" w:type="dxa"/>
            <w:tcBorders>
              <w:top w:val="nil"/>
              <w:left w:val="nil"/>
              <w:bottom w:val="nil"/>
              <w:right w:val="nil"/>
            </w:tcBorders>
            <w:shd w:val="clear" w:color="FFFFFF" w:fill="FFFFFF"/>
            <w:noWrap/>
            <w:vAlign w:val="bottom"/>
            <w:hideMark/>
          </w:tcPr>
          <w:p w14:paraId="0B193CEF"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624346DB" w14:textId="77777777" w:rsidR="00B040FE" w:rsidRPr="000D1B3E" w:rsidRDefault="00B040FE" w:rsidP="0047225D">
            <w:pPr>
              <w:spacing w:after="0"/>
              <w:jc w:val="right"/>
              <w:rPr>
                <w:rFonts w:cs="Arial"/>
                <w:sz w:val="18"/>
                <w:szCs w:val="18"/>
              </w:rPr>
            </w:pPr>
            <w:r w:rsidRPr="000D1B3E">
              <w:rPr>
                <w:rFonts w:cs="Arial"/>
                <w:sz w:val="18"/>
                <w:szCs w:val="18"/>
              </w:rPr>
              <w:t>506,442</w:t>
            </w:r>
          </w:p>
        </w:tc>
      </w:tr>
    </w:tbl>
    <w:p w14:paraId="52C2541B" w14:textId="77777777" w:rsidR="00B040FE" w:rsidRPr="000D1B3E" w:rsidRDefault="00B040FE" w:rsidP="00B040FE">
      <w:pPr>
        <w:pStyle w:val="ContinuedNotesHeading-Level1"/>
        <w:rPr>
          <w:rFonts w:cs="Arial"/>
          <w:sz w:val="18"/>
          <w:szCs w:val="18"/>
        </w:rPr>
      </w:pPr>
    </w:p>
    <w:p w14:paraId="04217B8F" w14:textId="77777777" w:rsidR="00B040FE" w:rsidRPr="000D1B3E" w:rsidRDefault="00B040FE" w:rsidP="00B040FE">
      <w:pPr>
        <w:pStyle w:val="PolicyheadingDept"/>
        <w:pBdr>
          <w:top w:val="single" w:sz="4" w:space="0" w:color="800080"/>
        </w:pBdr>
      </w:pPr>
      <w:r w:rsidRPr="000D1B3E">
        <w:t>Accounting Policy</w:t>
      </w:r>
    </w:p>
    <w:p w14:paraId="138DD812" w14:textId="77777777" w:rsidR="00B040FE" w:rsidRPr="000D1B3E" w:rsidRDefault="00B040FE" w:rsidP="00B040FE">
      <w:pPr>
        <w:pStyle w:val="PolicytextDept"/>
        <w:pBdr>
          <w:top w:val="single" w:sz="4" w:space="0" w:color="800080"/>
        </w:pBdr>
      </w:pPr>
      <w:r w:rsidRPr="000D1B3E">
        <w:t xml:space="preserve">Accounting policies for unearned income are contained in Note 1.2A Rendering of services. </w:t>
      </w:r>
    </w:p>
    <w:p w14:paraId="756EDC4D" w14:textId="77777777" w:rsidR="00B040FE" w:rsidRPr="000D1B3E" w:rsidRDefault="00B040FE" w:rsidP="000D1B3E">
      <w:pPr>
        <w:pStyle w:val="SubHeading"/>
        <w:shd w:val="clear" w:color="auto" w:fill="000000" w:themeFill="accent6"/>
        <w:rPr>
          <w:sz w:val="18"/>
          <w:szCs w:val="18"/>
        </w:rPr>
      </w:pPr>
      <w:bookmarkStart w:id="198" w:name="_Toc65742851"/>
      <w:bookmarkStart w:id="199" w:name="_Toc173417298"/>
      <w:r w:rsidRPr="000D1B3E">
        <w:rPr>
          <w:sz w:val="18"/>
          <w:szCs w:val="18"/>
        </w:rPr>
        <w:t>Interest Bearing Liabilities</w:t>
      </w:r>
      <w:bookmarkEnd w:id="198"/>
      <w:bookmarkEnd w:id="199"/>
    </w:p>
    <w:tbl>
      <w:tblPr>
        <w:tblW w:w="9087" w:type="dxa"/>
        <w:tblLayout w:type="fixed"/>
        <w:tblLook w:val="04A0" w:firstRow="1" w:lastRow="0" w:firstColumn="1" w:lastColumn="0" w:noHBand="0" w:noVBand="1"/>
      </w:tblPr>
      <w:tblGrid>
        <w:gridCol w:w="6351"/>
        <w:gridCol w:w="1259"/>
        <w:gridCol w:w="236"/>
        <w:gridCol w:w="1241"/>
      </w:tblGrid>
      <w:tr w:rsidR="00B040FE" w:rsidRPr="000D1B3E" w14:paraId="523B6FE9" w14:textId="77777777" w:rsidTr="005E5E0C">
        <w:trPr>
          <w:trHeight w:val="260"/>
        </w:trPr>
        <w:tc>
          <w:tcPr>
            <w:tcW w:w="6351" w:type="dxa"/>
            <w:tcBorders>
              <w:top w:val="nil"/>
              <w:left w:val="nil"/>
              <w:bottom w:val="nil"/>
              <w:right w:val="nil"/>
            </w:tcBorders>
            <w:shd w:val="clear" w:color="FFFFFF" w:fill="FFFFFF"/>
            <w:noWrap/>
            <w:vAlign w:val="bottom"/>
            <w:hideMark/>
          </w:tcPr>
          <w:p w14:paraId="39066A69" w14:textId="77777777" w:rsidR="00B040FE" w:rsidRPr="000D1B3E" w:rsidRDefault="00B040FE" w:rsidP="0047225D">
            <w:pPr>
              <w:spacing w:after="0"/>
              <w:rPr>
                <w:rFonts w:cs="Arial"/>
                <w:b/>
                <w:bCs/>
                <w:sz w:val="18"/>
                <w:szCs w:val="18"/>
                <w:u w:val="single"/>
              </w:rPr>
            </w:pPr>
            <w:bookmarkStart w:id="200" w:name="Note_LEATABLE1" w:colFirst="0" w:colLast="0"/>
            <w:r w:rsidRPr="000D1B3E">
              <w:rPr>
                <w:rFonts w:cs="Arial"/>
                <w:b/>
                <w:bCs/>
                <w:sz w:val="18"/>
                <w:szCs w:val="18"/>
                <w:u w:val="single"/>
              </w:rPr>
              <w:t>Note 2.5: Leases</w:t>
            </w:r>
          </w:p>
        </w:tc>
        <w:tc>
          <w:tcPr>
            <w:tcW w:w="1259" w:type="dxa"/>
            <w:tcBorders>
              <w:top w:val="nil"/>
              <w:left w:val="nil"/>
              <w:bottom w:val="nil"/>
              <w:right w:val="nil"/>
            </w:tcBorders>
            <w:shd w:val="clear" w:color="FFFFFF" w:fill="FFFFFF"/>
            <w:noWrap/>
            <w:vAlign w:val="bottom"/>
            <w:hideMark/>
          </w:tcPr>
          <w:p w14:paraId="462D2279" w14:textId="77777777" w:rsidR="00B040FE" w:rsidRPr="000D1B3E" w:rsidRDefault="00B040FE" w:rsidP="0047225D">
            <w:pPr>
              <w:spacing w:after="0"/>
              <w:rPr>
                <w:rFonts w:cs="Arial"/>
                <w:sz w:val="18"/>
                <w:szCs w:val="18"/>
              </w:rPr>
            </w:pPr>
            <w:r w:rsidRPr="000D1B3E">
              <w:rPr>
                <w:rFonts w:cs="Arial"/>
                <w:sz w:val="18"/>
                <w:szCs w:val="18"/>
              </w:rPr>
              <w:t> </w:t>
            </w:r>
          </w:p>
        </w:tc>
        <w:tc>
          <w:tcPr>
            <w:tcW w:w="236" w:type="dxa"/>
            <w:tcBorders>
              <w:top w:val="nil"/>
              <w:left w:val="nil"/>
              <w:bottom w:val="nil"/>
              <w:right w:val="nil"/>
            </w:tcBorders>
            <w:shd w:val="clear" w:color="FFFFFF" w:fill="FFFFFF"/>
            <w:noWrap/>
            <w:vAlign w:val="bottom"/>
            <w:hideMark/>
          </w:tcPr>
          <w:p w14:paraId="4C905E1D"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5977566D" w14:textId="77777777" w:rsidR="00B040FE" w:rsidRPr="000D1B3E" w:rsidRDefault="00B040FE" w:rsidP="0047225D">
            <w:pPr>
              <w:spacing w:after="0"/>
              <w:rPr>
                <w:rFonts w:cs="Arial"/>
                <w:sz w:val="18"/>
                <w:szCs w:val="18"/>
              </w:rPr>
            </w:pPr>
            <w:r w:rsidRPr="000D1B3E">
              <w:rPr>
                <w:rFonts w:cs="Arial"/>
                <w:sz w:val="18"/>
                <w:szCs w:val="18"/>
              </w:rPr>
              <w:t> </w:t>
            </w:r>
          </w:p>
        </w:tc>
      </w:tr>
      <w:bookmarkEnd w:id="200"/>
      <w:tr w:rsidR="00B040FE" w:rsidRPr="000D1B3E" w14:paraId="4A0D259B" w14:textId="77777777" w:rsidTr="005E5E0C">
        <w:trPr>
          <w:trHeight w:val="250"/>
        </w:trPr>
        <w:tc>
          <w:tcPr>
            <w:tcW w:w="6351" w:type="dxa"/>
            <w:tcBorders>
              <w:top w:val="nil"/>
              <w:left w:val="nil"/>
              <w:bottom w:val="nil"/>
              <w:right w:val="nil"/>
            </w:tcBorders>
            <w:shd w:val="clear" w:color="FFFFFF" w:fill="FFFFFF"/>
            <w:vAlign w:val="bottom"/>
            <w:hideMark/>
          </w:tcPr>
          <w:p w14:paraId="4D410F17" w14:textId="77777777" w:rsidR="00B040FE" w:rsidRPr="000D1B3E" w:rsidRDefault="00B040FE" w:rsidP="0047225D">
            <w:pPr>
              <w:spacing w:after="0"/>
              <w:rPr>
                <w:rFonts w:cs="Arial"/>
                <w:sz w:val="18"/>
                <w:szCs w:val="18"/>
              </w:rPr>
            </w:pPr>
            <w:r w:rsidRPr="000D1B3E">
              <w:rPr>
                <w:rFonts w:cs="Arial"/>
                <w:sz w:val="18"/>
                <w:szCs w:val="18"/>
              </w:rPr>
              <w:t>Lease liabilities</w:t>
            </w:r>
          </w:p>
        </w:tc>
        <w:tc>
          <w:tcPr>
            <w:tcW w:w="1259" w:type="dxa"/>
            <w:tcBorders>
              <w:top w:val="nil"/>
              <w:left w:val="nil"/>
              <w:bottom w:val="nil"/>
              <w:right w:val="nil"/>
            </w:tcBorders>
            <w:shd w:val="clear" w:color="FFFFFF" w:fill="FFFFFF"/>
            <w:noWrap/>
            <w:vAlign w:val="bottom"/>
            <w:hideMark/>
          </w:tcPr>
          <w:p w14:paraId="53ECD034" w14:textId="77777777" w:rsidR="00B040FE" w:rsidRPr="000D1B3E" w:rsidRDefault="00B040FE" w:rsidP="0047225D">
            <w:pPr>
              <w:spacing w:after="0"/>
              <w:rPr>
                <w:rFonts w:cs="Arial"/>
                <w:sz w:val="18"/>
                <w:szCs w:val="18"/>
              </w:rPr>
            </w:pPr>
            <w:r w:rsidRPr="000D1B3E">
              <w:rPr>
                <w:rFonts w:cs="Arial"/>
                <w:sz w:val="18"/>
                <w:szCs w:val="18"/>
              </w:rPr>
              <w:t> </w:t>
            </w:r>
          </w:p>
        </w:tc>
        <w:tc>
          <w:tcPr>
            <w:tcW w:w="236" w:type="dxa"/>
            <w:tcBorders>
              <w:top w:val="nil"/>
              <w:left w:val="nil"/>
              <w:bottom w:val="nil"/>
              <w:right w:val="nil"/>
            </w:tcBorders>
            <w:shd w:val="clear" w:color="FFFFFF" w:fill="FFFFFF"/>
            <w:noWrap/>
            <w:vAlign w:val="bottom"/>
            <w:hideMark/>
          </w:tcPr>
          <w:p w14:paraId="3EFC357B"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C9C7A4F" w14:textId="77777777" w:rsidR="00B040FE" w:rsidRPr="000D1B3E" w:rsidRDefault="00B040FE" w:rsidP="0047225D">
            <w:pPr>
              <w:spacing w:after="0"/>
              <w:rPr>
                <w:rFonts w:cs="Arial"/>
                <w:sz w:val="18"/>
                <w:szCs w:val="18"/>
              </w:rPr>
            </w:pPr>
            <w:r w:rsidRPr="000D1B3E">
              <w:rPr>
                <w:rFonts w:cs="Arial"/>
                <w:sz w:val="18"/>
                <w:szCs w:val="18"/>
              </w:rPr>
              <w:t> </w:t>
            </w:r>
          </w:p>
        </w:tc>
      </w:tr>
      <w:tr w:rsidR="00B040FE" w:rsidRPr="000D1B3E" w14:paraId="7B30A246" w14:textId="77777777" w:rsidTr="005E5E0C">
        <w:trPr>
          <w:trHeight w:val="250"/>
        </w:trPr>
        <w:tc>
          <w:tcPr>
            <w:tcW w:w="6351" w:type="dxa"/>
            <w:tcBorders>
              <w:top w:val="nil"/>
              <w:left w:val="nil"/>
              <w:bottom w:val="nil"/>
              <w:right w:val="nil"/>
            </w:tcBorders>
            <w:shd w:val="clear" w:color="FFFFFF" w:fill="FFFFFF"/>
            <w:noWrap/>
            <w:vAlign w:val="bottom"/>
            <w:hideMark/>
          </w:tcPr>
          <w:p w14:paraId="75687D5A" w14:textId="77777777" w:rsidR="00B040FE" w:rsidRPr="000D1B3E" w:rsidRDefault="00B040FE" w:rsidP="0047225D">
            <w:pPr>
              <w:spacing w:after="0"/>
              <w:ind w:firstLineChars="100" w:firstLine="180"/>
              <w:rPr>
                <w:rFonts w:cs="Arial"/>
                <w:sz w:val="18"/>
                <w:szCs w:val="18"/>
              </w:rPr>
            </w:pPr>
            <w:r w:rsidRPr="000D1B3E">
              <w:rPr>
                <w:rFonts w:cs="Arial"/>
                <w:sz w:val="18"/>
                <w:szCs w:val="18"/>
              </w:rPr>
              <w:t>Buildings</w:t>
            </w:r>
          </w:p>
        </w:tc>
        <w:tc>
          <w:tcPr>
            <w:tcW w:w="1259" w:type="dxa"/>
            <w:tcBorders>
              <w:top w:val="nil"/>
              <w:left w:val="nil"/>
              <w:bottom w:val="nil"/>
              <w:right w:val="nil"/>
            </w:tcBorders>
            <w:shd w:val="clear" w:color="FFFFFF" w:fill="FFFFFF"/>
            <w:noWrap/>
            <w:vAlign w:val="bottom"/>
            <w:hideMark/>
          </w:tcPr>
          <w:p w14:paraId="449DE1ED" w14:textId="77777777" w:rsidR="00B040FE" w:rsidRPr="000D1B3E" w:rsidRDefault="00B040FE" w:rsidP="0047225D">
            <w:pPr>
              <w:spacing w:after="0"/>
              <w:jc w:val="right"/>
              <w:rPr>
                <w:rFonts w:cs="Arial"/>
                <w:b/>
                <w:bCs/>
                <w:sz w:val="18"/>
                <w:szCs w:val="18"/>
              </w:rPr>
            </w:pPr>
            <w:r w:rsidRPr="000D1B3E">
              <w:rPr>
                <w:rFonts w:cs="Arial"/>
                <w:b/>
                <w:bCs/>
                <w:sz w:val="18"/>
                <w:szCs w:val="18"/>
              </w:rPr>
              <w:t>165,582</w:t>
            </w:r>
          </w:p>
        </w:tc>
        <w:tc>
          <w:tcPr>
            <w:tcW w:w="236" w:type="dxa"/>
            <w:tcBorders>
              <w:top w:val="nil"/>
              <w:left w:val="nil"/>
              <w:bottom w:val="nil"/>
              <w:right w:val="nil"/>
            </w:tcBorders>
            <w:shd w:val="clear" w:color="FFFFFF" w:fill="FFFFFF"/>
            <w:noWrap/>
            <w:vAlign w:val="bottom"/>
            <w:hideMark/>
          </w:tcPr>
          <w:p w14:paraId="77F1213A"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7894AFFE" w14:textId="77777777" w:rsidR="00B040FE" w:rsidRPr="000D1B3E" w:rsidRDefault="00B040FE" w:rsidP="0047225D">
            <w:pPr>
              <w:spacing w:after="0"/>
              <w:jc w:val="right"/>
              <w:rPr>
                <w:rFonts w:cs="Arial"/>
                <w:sz w:val="18"/>
                <w:szCs w:val="18"/>
              </w:rPr>
            </w:pPr>
            <w:r w:rsidRPr="000D1B3E">
              <w:rPr>
                <w:rFonts w:cs="Arial"/>
                <w:sz w:val="18"/>
                <w:szCs w:val="18"/>
              </w:rPr>
              <w:t>147,810</w:t>
            </w:r>
          </w:p>
        </w:tc>
      </w:tr>
      <w:tr w:rsidR="00B040FE" w:rsidRPr="000D1B3E" w14:paraId="3BEB9DD6" w14:textId="77777777" w:rsidTr="005E5E0C">
        <w:trPr>
          <w:trHeight w:val="250"/>
        </w:trPr>
        <w:tc>
          <w:tcPr>
            <w:tcW w:w="6351" w:type="dxa"/>
            <w:tcBorders>
              <w:top w:val="nil"/>
              <w:left w:val="nil"/>
              <w:bottom w:val="nil"/>
              <w:right w:val="nil"/>
            </w:tcBorders>
            <w:shd w:val="clear" w:color="FFFFFF" w:fill="FFFFFF"/>
            <w:noWrap/>
            <w:vAlign w:val="bottom"/>
            <w:hideMark/>
          </w:tcPr>
          <w:p w14:paraId="13CE5324" w14:textId="77777777" w:rsidR="00B040FE" w:rsidRPr="000D1B3E" w:rsidRDefault="00B040FE" w:rsidP="0047225D">
            <w:pPr>
              <w:spacing w:after="0"/>
              <w:ind w:firstLineChars="100" w:firstLine="180"/>
              <w:rPr>
                <w:rFonts w:cs="Arial"/>
                <w:sz w:val="18"/>
                <w:szCs w:val="18"/>
              </w:rPr>
            </w:pPr>
            <w:r w:rsidRPr="000D1B3E">
              <w:rPr>
                <w:rFonts w:cs="Arial"/>
                <w:sz w:val="18"/>
                <w:szCs w:val="18"/>
              </w:rPr>
              <w:t>Plant and equipment</w:t>
            </w:r>
          </w:p>
        </w:tc>
        <w:tc>
          <w:tcPr>
            <w:tcW w:w="1259" w:type="dxa"/>
            <w:tcBorders>
              <w:top w:val="nil"/>
              <w:left w:val="nil"/>
              <w:bottom w:val="nil"/>
              <w:right w:val="nil"/>
            </w:tcBorders>
            <w:shd w:val="clear" w:color="FFFFFF" w:fill="FFFFFF"/>
            <w:noWrap/>
            <w:vAlign w:val="bottom"/>
            <w:hideMark/>
          </w:tcPr>
          <w:p w14:paraId="6D583B5B" w14:textId="77777777" w:rsidR="00B040FE" w:rsidRPr="000D1B3E" w:rsidRDefault="00B040FE" w:rsidP="0047225D">
            <w:pPr>
              <w:spacing w:after="0"/>
              <w:jc w:val="right"/>
              <w:rPr>
                <w:rFonts w:cs="Arial"/>
                <w:b/>
                <w:bCs/>
                <w:sz w:val="18"/>
                <w:szCs w:val="18"/>
              </w:rPr>
            </w:pPr>
            <w:r w:rsidRPr="000D1B3E">
              <w:rPr>
                <w:rFonts w:cs="Arial"/>
                <w:b/>
                <w:bCs/>
                <w:sz w:val="18"/>
                <w:szCs w:val="18"/>
              </w:rPr>
              <w:t>1,077</w:t>
            </w:r>
          </w:p>
        </w:tc>
        <w:tc>
          <w:tcPr>
            <w:tcW w:w="236" w:type="dxa"/>
            <w:tcBorders>
              <w:top w:val="nil"/>
              <w:left w:val="nil"/>
              <w:bottom w:val="nil"/>
              <w:right w:val="nil"/>
            </w:tcBorders>
            <w:shd w:val="clear" w:color="FFFFFF" w:fill="FFFFFF"/>
            <w:noWrap/>
            <w:vAlign w:val="bottom"/>
            <w:hideMark/>
          </w:tcPr>
          <w:p w14:paraId="6CEA037F"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8951FA3" w14:textId="77777777" w:rsidR="00B040FE" w:rsidRPr="000D1B3E" w:rsidRDefault="00B040FE" w:rsidP="0047225D">
            <w:pPr>
              <w:spacing w:after="0"/>
              <w:jc w:val="right"/>
              <w:rPr>
                <w:rFonts w:cs="Arial"/>
                <w:sz w:val="18"/>
                <w:szCs w:val="18"/>
              </w:rPr>
            </w:pPr>
            <w:r w:rsidRPr="000D1B3E">
              <w:rPr>
                <w:rFonts w:cs="Arial"/>
                <w:sz w:val="18"/>
                <w:szCs w:val="18"/>
              </w:rPr>
              <w:t>144</w:t>
            </w:r>
          </w:p>
        </w:tc>
      </w:tr>
      <w:tr w:rsidR="00B040FE" w:rsidRPr="000D1B3E" w14:paraId="5CC60B44" w14:textId="77777777" w:rsidTr="005E5E0C">
        <w:trPr>
          <w:trHeight w:val="260"/>
        </w:trPr>
        <w:tc>
          <w:tcPr>
            <w:tcW w:w="6351" w:type="dxa"/>
            <w:tcBorders>
              <w:top w:val="nil"/>
              <w:left w:val="nil"/>
              <w:bottom w:val="nil"/>
              <w:right w:val="nil"/>
            </w:tcBorders>
            <w:shd w:val="clear" w:color="FFFFFF" w:fill="FFFFFF"/>
            <w:vAlign w:val="bottom"/>
            <w:hideMark/>
          </w:tcPr>
          <w:p w14:paraId="5912EA9D" w14:textId="77777777" w:rsidR="00B040FE" w:rsidRPr="000D1B3E" w:rsidRDefault="00B040FE" w:rsidP="0047225D">
            <w:pPr>
              <w:spacing w:after="0"/>
              <w:rPr>
                <w:rFonts w:cs="Arial"/>
                <w:b/>
                <w:bCs/>
                <w:sz w:val="18"/>
                <w:szCs w:val="18"/>
              </w:rPr>
            </w:pPr>
            <w:r w:rsidRPr="000D1B3E">
              <w:rPr>
                <w:rFonts w:cs="Arial"/>
                <w:b/>
                <w:bCs/>
                <w:sz w:val="18"/>
                <w:szCs w:val="18"/>
              </w:rPr>
              <w:t xml:space="preserve">Total leases </w:t>
            </w:r>
          </w:p>
        </w:tc>
        <w:tc>
          <w:tcPr>
            <w:tcW w:w="1259" w:type="dxa"/>
            <w:tcBorders>
              <w:top w:val="single" w:sz="4" w:space="0" w:color="auto"/>
              <w:left w:val="nil"/>
              <w:bottom w:val="single" w:sz="4" w:space="0" w:color="auto"/>
              <w:right w:val="nil"/>
            </w:tcBorders>
            <w:shd w:val="clear" w:color="FFFFFF" w:fill="FFFFFF"/>
            <w:noWrap/>
            <w:vAlign w:val="bottom"/>
            <w:hideMark/>
          </w:tcPr>
          <w:p w14:paraId="45BF7B00" w14:textId="77777777" w:rsidR="00B040FE" w:rsidRPr="000D1B3E" w:rsidRDefault="00B040FE" w:rsidP="0047225D">
            <w:pPr>
              <w:spacing w:after="0"/>
              <w:jc w:val="right"/>
              <w:rPr>
                <w:rFonts w:cs="Arial"/>
                <w:b/>
                <w:bCs/>
                <w:sz w:val="18"/>
                <w:szCs w:val="18"/>
              </w:rPr>
            </w:pPr>
            <w:r w:rsidRPr="000D1B3E">
              <w:rPr>
                <w:rFonts w:cs="Arial"/>
                <w:b/>
                <w:bCs/>
                <w:sz w:val="18"/>
                <w:szCs w:val="18"/>
              </w:rPr>
              <w:t>166,659</w:t>
            </w:r>
          </w:p>
        </w:tc>
        <w:tc>
          <w:tcPr>
            <w:tcW w:w="236" w:type="dxa"/>
            <w:tcBorders>
              <w:top w:val="nil"/>
              <w:left w:val="nil"/>
              <w:bottom w:val="nil"/>
              <w:right w:val="nil"/>
            </w:tcBorders>
            <w:shd w:val="clear" w:color="FFFFFF" w:fill="FFFFFF"/>
            <w:noWrap/>
            <w:vAlign w:val="bottom"/>
            <w:hideMark/>
          </w:tcPr>
          <w:p w14:paraId="5DDE9367"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3EC9BF8B" w14:textId="77777777" w:rsidR="00B040FE" w:rsidRPr="000D1B3E" w:rsidRDefault="00B040FE" w:rsidP="0047225D">
            <w:pPr>
              <w:spacing w:after="0"/>
              <w:jc w:val="right"/>
              <w:rPr>
                <w:rFonts w:cs="Arial"/>
                <w:sz w:val="18"/>
                <w:szCs w:val="18"/>
              </w:rPr>
            </w:pPr>
            <w:r w:rsidRPr="000D1B3E">
              <w:rPr>
                <w:rFonts w:cs="Arial"/>
                <w:sz w:val="18"/>
                <w:szCs w:val="18"/>
              </w:rPr>
              <w:t>147,954</w:t>
            </w:r>
          </w:p>
        </w:tc>
      </w:tr>
    </w:tbl>
    <w:p w14:paraId="34AB0C64" w14:textId="77777777" w:rsidR="00B040FE" w:rsidRPr="000D1B3E" w:rsidRDefault="00B040FE" w:rsidP="00B040FE">
      <w:pPr>
        <w:spacing w:line="240" w:lineRule="auto"/>
        <w:rPr>
          <w:rFonts w:cs="Arial"/>
          <w:sz w:val="18"/>
          <w:szCs w:val="18"/>
        </w:rPr>
      </w:pPr>
    </w:p>
    <w:tbl>
      <w:tblPr>
        <w:tblW w:w="9087" w:type="dxa"/>
        <w:tblLayout w:type="fixed"/>
        <w:tblLook w:val="04A0" w:firstRow="1" w:lastRow="0" w:firstColumn="1" w:lastColumn="0" w:noHBand="0" w:noVBand="1"/>
      </w:tblPr>
      <w:tblGrid>
        <w:gridCol w:w="6351"/>
        <w:gridCol w:w="1259"/>
        <w:gridCol w:w="236"/>
        <w:gridCol w:w="1241"/>
      </w:tblGrid>
      <w:tr w:rsidR="00B040FE" w:rsidRPr="000D1B3E" w14:paraId="415DCD22" w14:textId="77777777" w:rsidTr="005E5E0C">
        <w:trPr>
          <w:trHeight w:val="260"/>
        </w:trPr>
        <w:tc>
          <w:tcPr>
            <w:tcW w:w="6351" w:type="dxa"/>
            <w:tcBorders>
              <w:top w:val="nil"/>
              <w:left w:val="nil"/>
              <w:bottom w:val="nil"/>
              <w:right w:val="nil"/>
            </w:tcBorders>
            <w:shd w:val="clear" w:color="FFFFFF" w:fill="FFFFFF"/>
            <w:noWrap/>
            <w:vAlign w:val="bottom"/>
            <w:hideMark/>
          </w:tcPr>
          <w:p w14:paraId="21072641" w14:textId="77777777" w:rsidR="00B040FE" w:rsidRPr="000D1B3E" w:rsidRDefault="00B040FE" w:rsidP="0047225D">
            <w:pPr>
              <w:spacing w:after="0"/>
              <w:rPr>
                <w:rFonts w:cs="Arial"/>
                <w:b/>
                <w:bCs/>
                <w:sz w:val="18"/>
                <w:szCs w:val="18"/>
                <w:u w:val="single"/>
              </w:rPr>
            </w:pPr>
            <w:bookmarkStart w:id="201" w:name="Note_LEMTABLE1" w:colFirst="0" w:colLast="0"/>
            <w:r w:rsidRPr="000D1B3E">
              <w:rPr>
                <w:rFonts w:cs="Arial"/>
                <w:b/>
                <w:bCs/>
                <w:sz w:val="18"/>
                <w:szCs w:val="18"/>
                <w:u w:val="single"/>
              </w:rPr>
              <w:t>Note 2.5: Leases - Maturity</w:t>
            </w:r>
          </w:p>
        </w:tc>
        <w:tc>
          <w:tcPr>
            <w:tcW w:w="1259" w:type="dxa"/>
            <w:tcBorders>
              <w:top w:val="nil"/>
              <w:left w:val="nil"/>
              <w:bottom w:val="nil"/>
              <w:right w:val="nil"/>
            </w:tcBorders>
            <w:shd w:val="clear" w:color="FFFFFF" w:fill="FFFFFF"/>
            <w:noWrap/>
            <w:vAlign w:val="bottom"/>
            <w:hideMark/>
          </w:tcPr>
          <w:p w14:paraId="2A5361DB" w14:textId="77777777" w:rsidR="00B040FE" w:rsidRPr="000D1B3E" w:rsidRDefault="00B040FE" w:rsidP="0047225D">
            <w:pPr>
              <w:spacing w:after="0"/>
              <w:rPr>
                <w:rFonts w:cs="Arial"/>
                <w:sz w:val="18"/>
                <w:szCs w:val="18"/>
              </w:rPr>
            </w:pPr>
            <w:r w:rsidRPr="000D1B3E">
              <w:rPr>
                <w:rFonts w:cs="Arial"/>
                <w:sz w:val="18"/>
                <w:szCs w:val="18"/>
              </w:rPr>
              <w:t> </w:t>
            </w:r>
          </w:p>
        </w:tc>
        <w:tc>
          <w:tcPr>
            <w:tcW w:w="236" w:type="dxa"/>
            <w:tcBorders>
              <w:top w:val="nil"/>
              <w:left w:val="nil"/>
              <w:bottom w:val="nil"/>
              <w:right w:val="nil"/>
            </w:tcBorders>
            <w:shd w:val="clear" w:color="FFFFFF" w:fill="FFFFFF"/>
            <w:noWrap/>
            <w:vAlign w:val="bottom"/>
            <w:hideMark/>
          </w:tcPr>
          <w:p w14:paraId="5BDDEB05"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B8DFE33" w14:textId="77777777" w:rsidR="00B040FE" w:rsidRPr="000D1B3E" w:rsidRDefault="00B040FE" w:rsidP="0047225D">
            <w:pPr>
              <w:spacing w:after="0"/>
              <w:rPr>
                <w:rFonts w:cs="Arial"/>
                <w:sz w:val="18"/>
                <w:szCs w:val="18"/>
              </w:rPr>
            </w:pPr>
            <w:r w:rsidRPr="000D1B3E">
              <w:rPr>
                <w:rFonts w:cs="Arial"/>
                <w:sz w:val="18"/>
                <w:szCs w:val="18"/>
              </w:rPr>
              <w:t> </w:t>
            </w:r>
          </w:p>
        </w:tc>
      </w:tr>
      <w:bookmarkEnd w:id="201"/>
      <w:tr w:rsidR="00B040FE" w:rsidRPr="000D1B3E" w14:paraId="2A005C15" w14:textId="77777777" w:rsidTr="005E5E0C">
        <w:trPr>
          <w:trHeight w:val="250"/>
        </w:trPr>
        <w:tc>
          <w:tcPr>
            <w:tcW w:w="6351" w:type="dxa"/>
            <w:tcBorders>
              <w:top w:val="nil"/>
              <w:left w:val="nil"/>
              <w:bottom w:val="nil"/>
              <w:right w:val="nil"/>
            </w:tcBorders>
            <w:shd w:val="clear" w:color="FFFFFF" w:fill="FFFFFF"/>
            <w:vAlign w:val="bottom"/>
            <w:hideMark/>
          </w:tcPr>
          <w:p w14:paraId="46936CB0" w14:textId="77777777" w:rsidR="00B040FE" w:rsidRPr="000D1B3E" w:rsidRDefault="00B040FE" w:rsidP="0047225D">
            <w:pPr>
              <w:spacing w:after="0"/>
              <w:rPr>
                <w:rFonts w:cs="Arial"/>
                <w:b/>
                <w:bCs/>
                <w:sz w:val="18"/>
                <w:szCs w:val="18"/>
              </w:rPr>
            </w:pPr>
            <w:r w:rsidRPr="000D1B3E">
              <w:rPr>
                <w:rFonts w:cs="Arial"/>
                <w:b/>
                <w:bCs/>
                <w:sz w:val="18"/>
                <w:szCs w:val="18"/>
              </w:rPr>
              <w:t>Maturity analysis - contractual undiscounted cash flows</w:t>
            </w:r>
          </w:p>
        </w:tc>
        <w:tc>
          <w:tcPr>
            <w:tcW w:w="1259" w:type="dxa"/>
            <w:tcBorders>
              <w:top w:val="nil"/>
              <w:left w:val="nil"/>
              <w:bottom w:val="nil"/>
              <w:right w:val="nil"/>
            </w:tcBorders>
            <w:shd w:val="clear" w:color="FFFFFF" w:fill="FFFFFF"/>
            <w:noWrap/>
            <w:vAlign w:val="bottom"/>
            <w:hideMark/>
          </w:tcPr>
          <w:p w14:paraId="20BD85E3" w14:textId="77777777" w:rsidR="00B040FE" w:rsidRPr="000D1B3E" w:rsidRDefault="00B040FE" w:rsidP="0047225D">
            <w:pPr>
              <w:spacing w:after="0"/>
              <w:jc w:val="right"/>
              <w:rPr>
                <w:rFonts w:cs="Arial"/>
                <w:b/>
                <w:bCs/>
                <w:sz w:val="18"/>
                <w:szCs w:val="18"/>
              </w:rPr>
            </w:pPr>
            <w:r w:rsidRPr="000D1B3E">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1C62929"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4A25DF9D" w14:textId="77777777" w:rsidR="00B040FE" w:rsidRPr="000D1B3E" w:rsidRDefault="00B040FE" w:rsidP="0047225D">
            <w:pPr>
              <w:spacing w:after="0"/>
              <w:jc w:val="right"/>
              <w:rPr>
                <w:rFonts w:cs="Arial"/>
                <w:b/>
                <w:bCs/>
                <w:sz w:val="18"/>
                <w:szCs w:val="18"/>
              </w:rPr>
            </w:pPr>
            <w:r w:rsidRPr="000D1B3E">
              <w:rPr>
                <w:rFonts w:cs="Arial"/>
                <w:b/>
                <w:bCs/>
                <w:sz w:val="18"/>
                <w:szCs w:val="18"/>
              </w:rPr>
              <w:t> </w:t>
            </w:r>
          </w:p>
        </w:tc>
      </w:tr>
      <w:tr w:rsidR="00B040FE" w:rsidRPr="000D1B3E" w14:paraId="500C2700" w14:textId="77777777" w:rsidTr="005E5E0C">
        <w:trPr>
          <w:trHeight w:val="250"/>
        </w:trPr>
        <w:tc>
          <w:tcPr>
            <w:tcW w:w="6351" w:type="dxa"/>
            <w:tcBorders>
              <w:top w:val="nil"/>
              <w:left w:val="nil"/>
              <w:bottom w:val="nil"/>
              <w:right w:val="nil"/>
            </w:tcBorders>
            <w:shd w:val="clear" w:color="FFFFFF" w:fill="FFFFFF"/>
            <w:noWrap/>
            <w:vAlign w:val="bottom"/>
            <w:hideMark/>
          </w:tcPr>
          <w:p w14:paraId="6AD9677F" w14:textId="77777777" w:rsidR="00B040FE" w:rsidRPr="000D1B3E" w:rsidRDefault="00B040FE" w:rsidP="0047225D">
            <w:pPr>
              <w:spacing w:after="0"/>
              <w:ind w:firstLineChars="100" w:firstLine="180"/>
              <w:rPr>
                <w:rFonts w:cs="Arial"/>
                <w:sz w:val="18"/>
                <w:szCs w:val="18"/>
              </w:rPr>
            </w:pPr>
            <w:r w:rsidRPr="000D1B3E">
              <w:rPr>
                <w:rFonts w:cs="Arial"/>
                <w:sz w:val="18"/>
                <w:szCs w:val="18"/>
              </w:rPr>
              <w:t>Within 1 year</w:t>
            </w:r>
          </w:p>
        </w:tc>
        <w:tc>
          <w:tcPr>
            <w:tcW w:w="1259" w:type="dxa"/>
            <w:tcBorders>
              <w:top w:val="nil"/>
              <w:left w:val="nil"/>
              <w:bottom w:val="nil"/>
              <w:right w:val="nil"/>
            </w:tcBorders>
            <w:shd w:val="clear" w:color="FFFFFF" w:fill="FFFFFF"/>
            <w:noWrap/>
            <w:vAlign w:val="bottom"/>
            <w:hideMark/>
          </w:tcPr>
          <w:p w14:paraId="3164531F" w14:textId="77777777" w:rsidR="00B040FE" w:rsidRPr="000D1B3E" w:rsidRDefault="00B040FE" w:rsidP="0047225D">
            <w:pPr>
              <w:spacing w:after="0"/>
              <w:jc w:val="right"/>
              <w:rPr>
                <w:rFonts w:cs="Arial"/>
                <w:b/>
                <w:bCs/>
                <w:sz w:val="18"/>
                <w:szCs w:val="18"/>
              </w:rPr>
            </w:pPr>
            <w:r w:rsidRPr="000D1B3E">
              <w:rPr>
                <w:rFonts w:cs="Arial"/>
                <w:b/>
                <w:bCs/>
                <w:sz w:val="18"/>
                <w:szCs w:val="18"/>
              </w:rPr>
              <w:t>34,020</w:t>
            </w:r>
          </w:p>
        </w:tc>
        <w:tc>
          <w:tcPr>
            <w:tcW w:w="236" w:type="dxa"/>
            <w:tcBorders>
              <w:top w:val="nil"/>
              <w:left w:val="nil"/>
              <w:bottom w:val="nil"/>
              <w:right w:val="nil"/>
            </w:tcBorders>
            <w:shd w:val="clear" w:color="FFFFFF" w:fill="FFFFFF"/>
            <w:noWrap/>
            <w:vAlign w:val="bottom"/>
            <w:hideMark/>
          </w:tcPr>
          <w:p w14:paraId="70D599F6"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4D805A11" w14:textId="77777777" w:rsidR="00B040FE" w:rsidRPr="000D1B3E" w:rsidRDefault="00B040FE" w:rsidP="0047225D">
            <w:pPr>
              <w:spacing w:after="0"/>
              <w:jc w:val="right"/>
              <w:rPr>
                <w:rFonts w:cs="Arial"/>
                <w:sz w:val="18"/>
                <w:szCs w:val="18"/>
              </w:rPr>
            </w:pPr>
            <w:r w:rsidRPr="000D1B3E">
              <w:rPr>
                <w:rFonts w:cs="Arial"/>
                <w:sz w:val="18"/>
                <w:szCs w:val="18"/>
              </w:rPr>
              <w:t>31,595</w:t>
            </w:r>
          </w:p>
        </w:tc>
      </w:tr>
      <w:tr w:rsidR="00B040FE" w:rsidRPr="000D1B3E" w14:paraId="2F13CFE3" w14:textId="77777777" w:rsidTr="005E5E0C">
        <w:trPr>
          <w:trHeight w:val="250"/>
        </w:trPr>
        <w:tc>
          <w:tcPr>
            <w:tcW w:w="6351" w:type="dxa"/>
            <w:tcBorders>
              <w:top w:val="nil"/>
              <w:left w:val="nil"/>
              <w:bottom w:val="nil"/>
              <w:right w:val="nil"/>
            </w:tcBorders>
            <w:shd w:val="clear" w:color="FFFFFF" w:fill="FFFFFF"/>
            <w:noWrap/>
            <w:vAlign w:val="bottom"/>
            <w:hideMark/>
          </w:tcPr>
          <w:p w14:paraId="7D410942" w14:textId="77777777" w:rsidR="00B040FE" w:rsidRPr="000D1B3E" w:rsidRDefault="00B040FE" w:rsidP="0047225D">
            <w:pPr>
              <w:spacing w:after="0"/>
              <w:ind w:firstLineChars="100" w:firstLine="180"/>
              <w:rPr>
                <w:rFonts w:cs="Arial"/>
                <w:sz w:val="18"/>
                <w:szCs w:val="18"/>
              </w:rPr>
            </w:pPr>
            <w:r w:rsidRPr="000D1B3E">
              <w:rPr>
                <w:rFonts w:cs="Arial"/>
                <w:sz w:val="18"/>
                <w:szCs w:val="18"/>
              </w:rPr>
              <w:t>Between 1 to 5 years</w:t>
            </w:r>
          </w:p>
        </w:tc>
        <w:tc>
          <w:tcPr>
            <w:tcW w:w="1259" w:type="dxa"/>
            <w:tcBorders>
              <w:top w:val="nil"/>
              <w:left w:val="nil"/>
              <w:bottom w:val="nil"/>
              <w:right w:val="nil"/>
            </w:tcBorders>
            <w:shd w:val="clear" w:color="FFFFFF" w:fill="FFFFFF"/>
            <w:noWrap/>
            <w:vAlign w:val="bottom"/>
            <w:hideMark/>
          </w:tcPr>
          <w:p w14:paraId="430D1626" w14:textId="77777777" w:rsidR="00B040FE" w:rsidRPr="000D1B3E" w:rsidRDefault="00B040FE" w:rsidP="0047225D">
            <w:pPr>
              <w:spacing w:after="0"/>
              <w:jc w:val="right"/>
              <w:rPr>
                <w:rFonts w:cs="Arial"/>
                <w:b/>
                <w:bCs/>
                <w:sz w:val="18"/>
                <w:szCs w:val="18"/>
              </w:rPr>
            </w:pPr>
            <w:r w:rsidRPr="000D1B3E">
              <w:rPr>
                <w:rFonts w:cs="Arial"/>
                <w:b/>
                <w:bCs/>
                <w:sz w:val="18"/>
                <w:szCs w:val="18"/>
              </w:rPr>
              <w:t>96,170</w:t>
            </w:r>
          </w:p>
        </w:tc>
        <w:tc>
          <w:tcPr>
            <w:tcW w:w="236" w:type="dxa"/>
            <w:tcBorders>
              <w:top w:val="nil"/>
              <w:left w:val="nil"/>
              <w:bottom w:val="nil"/>
              <w:right w:val="nil"/>
            </w:tcBorders>
            <w:shd w:val="clear" w:color="FFFFFF" w:fill="FFFFFF"/>
            <w:noWrap/>
            <w:vAlign w:val="bottom"/>
            <w:hideMark/>
          </w:tcPr>
          <w:p w14:paraId="68177C4E"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808A7A2" w14:textId="77777777" w:rsidR="00B040FE" w:rsidRPr="000D1B3E" w:rsidRDefault="00B040FE" w:rsidP="0047225D">
            <w:pPr>
              <w:spacing w:after="0"/>
              <w:jc w:val="right"/>
              <w:rPr>
                <w:rFonts w:cs="Arial"/>
                <w:sz w:val="18"/>
                <w:szCs w:val="18"/>
              </w:rPr>
            </w:pPr>
            <w:r w:rsidRPr="000D1B3E">
              <w:rPr>
                <w:rFonts w:cs="Arial"/>
                <w:sz w:val="18"/>
                <w:szCs w:val="18"/>
              </w:rPr>
              <w:t>81,988</w:t>
            </w:r>
          </w:p>
        </w:tc>
      </w:tr>
      <w:tr w:rsidR="00B040FE" w:rsidRPr="000D1B3E" w14:paraId="35F226A1" w14:textId="77777777" w:rsidTr="005E5E0C">
        <w:trPr>
          <w:trHeight w:val="250"/>
        </w:trPr>
        <w:tc>
          <w:tcPr>
            <w:tcW w:w="6351" w:type="dxa"/>
            <w:tcBorders>
              <w:top w:val="nil"/>
              <w:left w:val="nil"/>
              <w:bottom w:val="nil"/>
              <w:right w:val="nil"/>
            </w:tcBorders>
            <w:shd w:val="clear" w:color="FFFFFF" w:fill="FFFFFF"/>
            <w:noWrap/>
            <w:vAlign w:val="bottom"/>
            <w:hideMark/>
          </w:tcPr>
          <w:p w14:paraId="261B0FBB" w14:textId="77777777" w:rsidR="00B040FE" w:rsidRPr="000D1B3E" w:rsidRDefault="00B040FE" w:rsidP="0047225D">
            <w:pPr>
              <w:spacing w:after="0"/>
              <w:ind w:firstLineChars="100" w:firstLine="180"/>
              <w:rPr>
                <w:rFonts w:cs="Arial"/>
                <w:sz w:val="18"/>
                <w:szCs w:val="18"/>
              </w:rPr>
            </w:pPr>
            <w:r w:rsidRPr="000D1B3E">
              <w:rPr>
                <w:rFonts w:cs="Arial"/>
                <w:sz w:val="18"/>
                <w:szCs w:val="18"/>
              </w:rPr>
              <w:t>More than 5 years</w:t>
            </w:r>
          </w:p>
        </w:tc>
        <w:tc>
          <w:tcPr>
            <w:tcW w:w="1259" w:type="dxa"/>
            <w:tcBorders>
              <w:top w:val="nil"/>
              <w:left w:val="nil"/>
              <w:bottom w:val="nil"/>
              <w:right w:val="nil"/>
            </w:tcBorders>
            <w:shd w:val="clear" w:color="FFFFFF" w:fill="FFFFFF"/>
            <w:noWrap/>
            <w:vAlign w:val="bottom"/>
            <w:hideMark/>
          </w:tcPr>
          <w:p w14:paraId="773751B8" w14:textId="77777777" w:rsidR="00B040FE" w:rsidRPr="000D1B3E" w:rsidRDefault="00B040FE" w:rsidP="0047225D">
            <w:pPr>
              <w:spacing w:after="0"/>
              <w:jc w:val="right"/>
              <w:rPr>
                <w:rFonts w:cs="Arial"/>
                <w:b/>
                <w:bCs/>
                <w:sz w:val="18"/>
                <w:szCs w:val="18"/>
              </w:rPr>
            </w:pPr>
            <w:r w:rsidRPr="000D1B3E">
              <w:rPr>
                <w:rFonts w:cs="Arial"/>
                <w:b/>
                <w:bCs/>
                <w:sz w:val="18"/>
                <w:szCs w:val="18"/>
              </w:rPr>
              <w:t>50,261</w:t>
            </w:r>
          </w:p>
        </w:tc>
        <w:tc>
          <w:tcPr>
            <w:tcW w:w="236" w:type="dxa"/>
            <w:tcBorders>
              <w:top w:val="nil"/>
              <w:left w:val="nil"/>
              <w:bottom w:val="nil"/>
              <w:right w:val="nil"/>
            </w:tcBorders>
            <w:shd w:val="clear" w:color="FFFFFF" w:fill="FFFFFF"/>
            <w:noWrap/>
            <w:vAlign w:val="bottom"/>
            <w:hideMark/>
          </w:tcPr>
          <w:p w14:paraId="2047096A"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nil"/>
              <w:left w:val="nil"/>
              <w:bottom w:val="nil"/>
              <w:right w:val="nil"/>
            </w:tcBorders>
            <w:shd w:val="clear" w:color="FFFFFF" w:fill="FFFFFF"/>
            <w:noWrap/>
            <w:vAlign w:val="bottom"/>
            <w:hideMark/>
          </w:tcPr>
          <w:p w14:paraId="6040EDDD" w14:textId="77777777" w:rsidR="00B040FE" w:rsidRPr="000D1B3E" w:rsidRDefault="00B040FE" w:rsidP="0047225D">
            <w:pPr>
              <w:spacing w:after="0"/>
              <w:jc w:val="right"/>
              <w:rPr>
                <w:rFonts w:cs="Arial"/>
                <w:sz w:val="18"/>
                <w:szCs w:val="18"/>
              </w:rPr>
            </w:pPr>
            <w:r w:rsidRPr="000D1B3E">
              <w:rPr>
                <w:rFonts w:cs="Arial"/>
                <w:sz w:val="18"/>
                <w:szCs w:val="18"/>
              </w:rPr>
              <w:t>40,530</w:t>
            </w:r>
          </w:p>
        </w:tc>
      </w:tr>
      <w:tr w:rsidR="00B040FE" w:rsidRPr="000D1B3E" w14:paraId="017131A7" w14:textId="77777777" w:rsidTr="005E5E0C">
        <w:trPr>
          <w:trHeight w:val="260"/>
        </w:trPr>
        <w:tc>
          <w:tcPr>
            <w:tcW w:w="6351" w:type="dxa"/>
            <w:tcBorders>
              <w:top w:val="nil"/>
              <w:left w:val="nil"/>
              <w:bottom w:val="nil"/>
              <w:right w:val="nil"/>
            </w:tcBorders>
            <w:shd w:val="clear" w:color="FFFFFF" w:fill="FFFFFF"/>
            <w:vAlign w:val="bottom"/>
            <w:hideMark/>
          </w:tcPr>
          <w:p w14:paraId="25C0C52F" w14:textId="77777777" w:rsidR="00B040FE" w:rsidRPr="000D1B3E" w:rsidRDefault="00B040FE" w:rsidP="0047225D">
            <w:pPr>
              <w:spacing w:after="0"/>
              <w:rPr>
                <w:rFonts w:cs="Arial"/>
                <w:b/>
                <w:bCs/>
                <w:sz w:val="18"/>
                <w:szCs w:val="18"/>
              </w:rPr>
            </w:pPr>
            <w:r w:rsidRPr="000D1B3E">
              <w:rPr>
                <w:rFonts w:cs="Arial"/>
                <w:b/>
                <w:bCs/>
                <w:sz w:val="18"/>
                <w:szCs w:val="18"/>
              </w:rPr>
              <w:t>Total leases</w:t>
            </w:r>
          </w:p>
        </w:tc>
        <w:tc>
          <w:tcPr>
            <w:tcW w:w="1259" w:type="dxa"/>
            <w:tcBorders>
              <w:top w:val="single" w:sz="4" w:space="0" w:color="auto"/>
              <w:left w:val="nil"/>
              <w:bottom w:val="single" w:sz="4" w:space="0" w:color="auto"/>
              <w:right w:val="nil"/>
            </w:tcBorders>
            <w:shd w:val="clear" w:color="FFFFFF" w:fill="FFFFFF"/>
            <w:noWrap/>
            <w:vAlign w:val="bottom"/>
            <w:hideMark/>
          </w:tcPr>
          <w:p w14:paraId="6F59559E" w14:textId="77777777" w:rsidR="00B040FE" w:rsidRPr="000D1B3E" w:rsidRDefault="00B040FE" w:rsidP="0047225D">
            <w:pPr>
              <w:spacing w:after="0"/>
              <w:jc w:val="right"/>
              <w:rPr>
                <w:rFonts w:cs="Arial"/>
                <w:b/>
                <w:bCs/>
                <w:sz w:val="18"/>
                <w:szCs w:val="18"/>
              </w:rPr>
            </w:pPr>
            <w:r w:rsidRPr="000D1B3E">
              <w:rPr>
                <w:rFonts w:cs="Arial"/>
                <w:b/>
                <w:bCs/>
                <w:sz w:val="18"/>
                <w:szCs w:val="18"/>
              </w:rPr>
              <w:t>180,451</w:t>
            </w:r>
          </w:p>
        </w:tc>
        <w:tc>
          <w:tcPr>
            <w:tcW w:w="236" w:type="dxa"/>
            <w:tcBorders>
              <w:top w:val="nil"/>
              <w:left w:val="nil"/>
              <w:bottom w:val="nil"/>
              <w:right w:val="nil"/>
            </w:tcBorders>
            <w:shd w:val="clear" w:color="FFFFFF" w:fill="FFFFFF"/>
            <w:noWrap/>
            <w:vAlign w:val="bottom"/>
            <w:hideMark/>
          </w:tcPr>
          <w:p w14:paraId="51367B6B" w14:textId="77777777" w:rsidR="00B040FE" w:rsidRPr="000D1B3E" w:rsidRDefault="00B040FE" w:rsidP="0047225D">
            <w:pPr>
              <w:spacing w:after="0"/>
              <w:rPr>
                <w:rFonts w:cs="Arial"/>
                <w:sz w:val="18"/>
                <w:szCs w:val="18"/>
              </w:rPr>
            </w:pPr>
            <w:r w:rsidRPr="000D1B3E">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32299CCD" w14:textId="77777777" w:rsidR="00B040FE" w:rsidRPr="000D1B3E" w:rsidRDefault="00B040FE" w:rsidP="0047225D">
            <w:pPr>
              <w:spacing w:after="0"/>
              <w:jc w:val="right"/>
              <w:rPr>
                <w:rFonts w:cs="Arial"/>
                <w:sz w:val="18"/>
                <w:szCs w:val="18"/>
              </w:rPr>
            </w:pPr>
            <w:r w:rsidRPr="000D1B3E">
              <w:rPr>
                <w:rFonts w:cs="Arial"/>
                <w:sz w:val="18"/>
                <w:szCs w:val="18"/>
              </w:rPr>
              <w:t>154,113</w:t>
            </w:r>
          </w:p>
        </w:tc>
      </w:tr>
    </w:tbl>
    <w:p w14:paraId="7166DCBB" w14:textId="10E3F4EA" w:rsidR="00B040FE" w:rsidRPr="000D1B3E" w:rsidRDefault="00B040FE" w:rsidP="000D1B3E">
      <w:pPr>
        <w:spacing w:before="240" w:line="240" w:lineRule="auto"/>
        <w:rPr>
          <w:rFonts w:cs="Arial"/>
          <w:sz w:val="18"/>
          <w:szCs w:val="18"/>
        </w:rPr>
      </w:pPr>
      <w:r w:rsidRPr="000D1B3E">
        <w:rPr>
          <w:rFonts w:cs="Arial"/>
          <w:sz w:val="18"/>
          <w:szCs w:val="18"/>
        </w:rPr>
        <w:t>The Agency, in its capacity, as lessee, has entered into leasing arrangements to meet its operational obligations.</w:t>
      </w:r>
      <w:r w:rsidR="00133885" w:rsidRPr="000D1B3E">
        <w:rPr>
          <w:rFonts w:cs="Arial"/>
          <w:sz w:val="18"/>
          <w:szCs w:val="18"/>
        </w:rPr>
        <w:t xml:space="preserve"> </w:t>
      </w:r>
      <w:r w:rsidRPr="000D1B3E">
        <w:rPr>
          <w:rFonts w:cs="Arial"/>
          <w:sz w:val="18"/>
          <w:szCs w:val="18"/>
        </w:rPr>
        <w:t>These leases are managed through an agreement with Services Australia and JLL under Whole of Government (WoG) arrangements. Each lease has terms and conditions specified in relation to when contingent rent is payable, variable lease payments, renewal or purchase options, annual percentage rent increase, escalation clauses and restrictions. These lease terms are set as per commercial market arrangements.</w:t>
      </w:r>
    </w:p>
    <w:p w14:paraId="3B2380EF" w14:textId="77777777" w:rsidR="000D1B3E" w:rsidRPr="003203A1" w:rsidRDefault="000D1B3E" w:rsidP="000D1B3E">
      <w:pPr>
        <w:spacing w:after="0" w:line="240" w:lineRule="auto"/>
        <w:rPr>
          <w:b/>
          <w:bCs/>
        </w:rPr>
      </w:pPr>
      <w:r w:rsidRPr="003203A1">
        <w:rPr>
          <w:b/>
          <w:bCs/>
        </w:rPr>
        <w:lastRenderedPageBreak/>
        <w:t>National Disability Insurance Agency</w:t>
      </w:r>
    </w:p>
    <w:p w14:paraId="5C1626C4" w14:textId="77777777" w:rsidR="000D1B3E" w:rsidRDefault="000D1B3E" w:rsidP="000D1B3E">
      <w:pPr>
        <w:pBdr>
          <w:bottom w:val="single" w:sz="8" w:space="1" w:color="auto"/>
        </w:pBdr>
        <w:rPr>
          <w:b/>
          <w:bCs/>
        </w:rPr>
      </w:pPr>
      <w:r w:rsidRPr="003203A1">
        <w:rPr>
          <w:b/>
          <w:bCs/>
        </w:rPr>
        <w:t>NOTES TO AND FORMING PART OF THE FINANCIAL STATEMENTS</w:t>
      </w:r>
    </w:p>
    <w:p w14:paraId="58DA1427" w14:textId="77777777" w:rsidR="000D1B3E" w:rsidRDefault="000D1B3E" w:rsidP="000D1B3E">
      <w:pPr>
        <w:pBdr>
          <w:bottom w:val="single" w:sz="8" w:space="1" w:color="auto"/>
        </w:pBdr>
        <w:rPr>
          <w:b/>
          <w:bCs/>
        </w:rPr>
        <w:sectPr w:rsidR="000D1B3E" w:rsidSect="00BC1253">
          <w:type w:val="continuous"/>
          <w:pgSz w:w="11906" w:h="16838" w:code="9"/>
          <w:pgMar w:top="1361" w:right="1361" w:bottom="1361" w:left="1361" w:header="958" w:footer="737" w:gutter="0"/>
          <w:cols w:space="708"/>
          <w:docGrid w:linePitch="360"/>
        </w:sectPr>
      </w:pPr>
    </w:p>
    <w:p w14:paraId="122EED0B" w14:textId="77777777" w:rsidR="00B040FE" w:rsidRDefault="00B040FE" w:rsidP="00B040FE">
      <w:pPr>
        <w:spacing w:line="240" w:lineRule="auto"/>
        <w:rPr>
          <w:rFonts w:cs="Arial"/>
          <w:sz w:val="18"/>
          <w:szCs w:val="18"/>
        </w:rPr>
      </w:pPr>
      <w:r w:rsidRPr="006421A2">
        <w:rPr>
          <w:rFonts w:cs="Arial"/>
          <w:sz w:val="18"/>
          <w:szCs w:val="18"/>
        </w:rPr>
        <w:t>The above lease disclosures should be read in conjunction with the accompanying notes</w:t>
      </w:r>
      <w:r>
        <w:rPr>
          <w:rFonts w:cs="Arial"/>
          <w:sz w:val="18"/>
          <w:szCs w:val="18"/>
        </w:rPr>
        <w:t xml:space="preserve"> </w:t>
      </w:r>
      <w:r w:rsidRPr="00046007">
        <w:rPr>
          <w:rFonts w:cs="Arial"/>
          <w:sz w:val="18"/>
          <w:szCs w:val="18"/>
        </w:rPr>
        <w:t>1</w:t>
      </w:r>
      <w:r>
        <w:rPr>
          <w:rFonts w:cs="Arial"/>
          <w:sz w:val="18"/>
          <w:szCs w:val="18"/>
        </w:rPr>
        <w:t>.1</w:t>
      </w:r>
      <w:r w:rsidRPr="00046007">
        <w:rPr>
          <w:rFonts w:cs="Arial"/>
          <w:sz w:val="18"/>
          <w:szCs w:val="18"/>
        </w:rPr>
        <w:t>B, 1.1D, 1.2B and 2.2A</w:t>
      </w:r>
      <w:r w:rsidRPr="006421A2">
        <w:rPr>
          <w:rFonts w:cs="Arial"/>
          <w:sz w:val="18"/>
          <w:szCs w:val="18"/>
        </w:rPr>
        <w:t>.</w:t>
      </w:r>
    </w:p>
    <w:p w14:paraId="231D6A63" w14:textId="77777777" w:rsidR="00B040FE" w:rsidRDefault="00B040FE" w:rsidP="00B040FE">
      <w:pPr>
        <w:spacing w:line="240" w:lineRule="auto"/>
        <w:rPr>
          <w:rFonts w:cs="Arial"/>
          <w:sz w:val="18"/>
          <w:szCs w:val="18"/>
          <w:lang w:eastAsia="en-AU"/>
        </w:rPr>
      </w:pPr>
      <w:r w:rsidRPr="00CC7F99">
        <w:rPr>
          <w:rFonts w:cs="Arial"/>
          <w:sz w:val="18"/>
          <w:szCs w:val="18"/>
          <w:lang w:eastAsia="en-AU"/>
        </w:rPr>
        <w:t xml:space="preserve">Total cash outflow for leases for the </w:t>
      </w:r>
      <w:r>
        <w:rPr>
          <w:rFonts w:cs="Arial"/>
          <w:sz w:val="18"/>
          <w:szCs w:val="18"/>
          <w:lang w:eastAsia="en-AU"/>
        </w:rPr>
        <w:t>year</w:t>
      </w:r>
      <w:r w:rsidRPr="00CC7F99">
        <w:rPr>
          <w:rFonts w:cs="Arial"/>
          <w:sz w:val="18"/>
          <w:szCs w:val="18"/>
          <w:lang w:eastAsia="en-AU"/>
        </w:rPr>
        <w:t xml:space="preserve"> ended </w:t>
      </w:r>
      <w:r>
        <w:rPr>
          <w:rFonts w:cs="Arial"/>
          <w:sz w:val="18"/>
          <w:szCs w:val="18"/>
          <w:lang w:eastAsia="en-AU"/>
        </w:rPr>
        <w:fldChar w:fldCharType="begin"/>
      </w:r>
      <w:r>
        <w:rPr>
          <w:rFonts w:cs="Arial"/>
          <w:sz w:val="18"/>
          <w:szCs w:val="18"/>
          <w:lang w:eastAsia="en-AU"/>
        </w:rPr>
        <w:instrText xml:space="preserve"> DOCPROPERTY  pEnd  \* MERGEFORMAT </w:instrText>
      </w:r>
      <w:r>
        <w:rPr>
          <w:rFonts w:cs="Arial"/>
          <w:sz w:val="18"/>
          <w:szCs w:val="18"/>
          <w:lang w:eastAsia="en-AU"/>
        </w:rPr>
        <w:fldChar w:fldCharType="separate"/>
      </w:r>
      <w:r>
        <w:rPr>
          <w:rFonts w:cs="Arial"/>
          <w:sz w:val="18"/>
          <w:szCs w:val="18"/>
          <w:lang w:eastAsia="en-AU"/>
        </w:rPr>
        <w:t>30 June</w:t>
      </w:r>
      <w:r>
        <w:rPr>
          <w:rFonts w:cs="Arial"/>
          <w:sz w:val="18"/>
          <w:szCs w:val="18"/>
          <w:lang w:eastAsia="en-AU"/>
        </w:rPr>
        <w:fldChar w:fldCharType="end"/>
      </w:r>
      <w:r>
        <w:rPr>
          <w:rFonts w:cs="Arial"/>
          <w:sz w:val="18"/>
          <w:szCs w:val="18"/>
          <w:lang w:eastAsia="en-AU"/>
        </w:rPr>
        <w:t xml:space="preserve"> </w:t>
      </w:r>
      <w:r w:rsidRPr="00CC7F99">
        <w:rPr>
          <w:rFonts w:cs="Arial"/>
          <w:sz w:val="18"/>
          <w:szCs w:val="18"/>
          <w:lang w:eastAsia="en-AU"/>
        </w:rPr>
        <w:fldChar w:fldCharType="begin"/>
      </w:r>
      <w:r w:rsidRPr="00CC7F99">
        <w:rPr>
          <w:rFonts w:cs="Arial"/>
          <w:sz w:val="18"/>
          <w:szCs w:val="18"/>
          <w:lang w:eastAsia="en-AU"/>
        </w:rPr>
        <w:instrText xml:space="preserve"> DOCPROPERTY  crYear  \* MERGEFORMAT </w:instrText>
      </w:r>
      <w:r w:rsidRPr="00CC7F99">
        <w:rPr>
          <w:rFonts w:cs="Arial"/>
          <w:sz w:val="18"/>
          <w:szCs w:val="18"/>
          <w:lang w:eastAsia="en-AU"/>
        </w:rPr>
        <w:fldChar w:fldCharType="separate"/>
      </w:r>
      <w:r>
        <w:rPr>
          <w:rFonts w:cs="Arial"/>
          <w:sz w:val="18"/>
          <w:szCs w:val="18"/>
          <w:lang w:eastAsia="en-AU"/>
        </w:rPr>
        <w:t>2024</w:t>
      </w:r>
      <w:r w:rsidRPr="00CC7F99">
        <w:rPr>
          <w:rFonts w:cs="Arial"/>
          <w:sz w:val="18"/>
          <w:szCs w:val="18"/>
          <w:lang w:eastAsia="en-AU"/>
        </w:rPr>
        <w:fldChar w:fldCharType="end"/>
      </w:r>
      <w:r w:rsidRPr="00CC7F99">
        <w:rPr>
          <w:rFonts w:cs="Arial"/>
          <w:sz w:val="18"/>
          <w:szCs w:val="18"/>
          <w:lang w:eastAsia="en-AU"/>
        </w:rPr>
        <w:t xml:space="preserve"> was $</w:t>
      </w:r>
      <w:r>
        <w:rPr>
          <w:rFonts w:cs="Arial"/>
          <w:sz w:val="18"/>
          <w:szCs w:val="18"/>
          <w:lang w:eastAsia="en-AU"/>
        </w:rPr>
        <w:t>31.68</w:t>
      </w:r>
      <w:r w:rsidRPr="007348B7">
        <w:rPr>
          <w:rFonts w:cs="Arial"/>
          <w:sz w:val="18"/>
          <w:szCs w:val="18"/>
          <w:lang w:eastAsia="en-AU"/>
        </w:rPr>
        <w:t>m</w:t>
      </w:r>
      <w:r>
        <w:rPr>
          <w:rFonts w:cs="Arial"/>
          <w:sz w:val="18"/>
          <w:szCs w:val="18"/>
          <w:lang w:eastAsia="en-AU"/>
        </w:rPr>
        <w:t xml:space="preserve"> (2022-23: $42.3m)</w:t>
      </w:r>
      <w:r w:rsidRPr="00CC7F99">
        <w:rPr>
          <w:rFonts w:cs="Arial"/>
          <w:sz w:val="18"/>
          <w:szCs w:val="18"/>
          <w:lang w:eastAsia="en-AU"/>
        </w:rPr>
        <w:t>.</w:t>
      </w:r>
    </w:p>
    <w:p w14:paraId="6EE4E523" w14:textId="77777777" w:rsidR="00B040FE" w:rsidRPr="0075388D" w:rsidRDefault="00B040FE" w:rsidP="00B040FE">
      <w:pPr>
        <w:pStyle w:val="PolicytextDept"/>
        <w:pBdr>
          <w:left w:val="single" w:sz="4" w:space="4" w:color="800080"/>
          <w:right w:val="single" w:sz="4" w:space="4" w:color="800080"/>
        </w:pBdr>
        <w:rPr>
          <w:b/>
        </w:rPr>
      </w:pPr>
      <w:r w:rsidRPr="0075388D">
        <w:rPr>
          <w:b/>
        </w:rPr>
        <w:t>Accounting Policy</w:t>
      </w:r>
    </w:p>
    <w:p w14:paraId="5E375611" w14:textId="77777777" w:rsidR="00B040FE" w:rsidRDefault="00B040FE" w:rsidP="00B040FE">
      <w:pPr>
        <w:pStyle w:val="PolicytextDept"/>
        <w:pBdr>
          <w:left w:val="single" w:sz="4" w:space="4" w:color="800080"/>
          <w:right w:val="single" w:sz="4" w:space="4" w:color="800080"/>
        </w:pBdr>
      </w:pPr>
      <w:r w:rsidRPr="00B76521">
        <w:t xml:space="preserve">For all new contracts entered into, the </w:t>
      </w:r>
      <w:r>
        <w:t>Agency</w:t>
      </w:r>
      <w:r w:rsidRPr="00B76521">
        <w:t xml:space="preserve"> considers whether the contract is, or contains a lease. A lease is defined as ‘a contract, or part of a contract, that conveys the right to use an asset (the underlying asset) for a period of time in exchange for consideration’.</w:t>
      </w:r>
    </w:p>
    <w:p w14:paraId="0BEDA8D0" w14:textId="77777777" w:rsidR="00B040FE" w:rsidRDefault="00B040FE" w:rsidP="00B040FE">
      <w:pPr>
        <w:pStyle w:val="PolicytextDept"/>
        <w:pBdr>
          <w:left w:val="single" w:sz="4" w:space="4" w:color="800080"/>
          <w:right w:val="single" w:sz="4" w:space="4" w:color="800080"/>
        </w:pBdr>
      </w:pPr>
      <w:r w:rsidRPr="00B76521">
        <w:t>Once it has been determined that a contract is, or contains a lease, the lease liability is initially measured at the present</w:t>
      </w:r>
      <w:r>
        <w:t xml:space="preserve"> </w:t>
      </w:r>
      <w:r w:rsidRPr="00B76521">
        <w:t xml:space="preserve">value of the lease payments unpaid at the commencement date, discounted using the interest rate implicit in the lease, if that rate is readily determinable, or the </w:t>
      </w:r>
      <w:r>
        <w:t>Agency’</w:t>
      </w:r>
      <w:r w:rsidRPr="00B76521">
        <w:t>s incremental borrowing rate.</w:t>
      </w:r>
    </w:p>
    <w:p w14:paraId="3771F6D9" w14:textId="77777777" w:rsidR="00B040FE" w:rsidRDefault="00B040FE" w:rsidP="00B040FE">
      <w:pPr>
        <w:pStyle w:val="PolicytextDept"/>
        <w:pBdr>
          <w:left w:val="single" w:sz="4" w:space="4" w:color="800080"/>
          <w:right w:val="single" w:sz="4" w:space="4" w:color="800080"/>
        </w:pBdr>
      </w:pPr>
      <w:r w:rsidRPr="00B76521">
        <w:t>Subsequent to initial measurement, the liability will be reduced for payments made and increased for interest. It is remeasured to reflect any reassessment or modification to the lease. When the lease liability is remeasured, the corresponding adjustment is reflected in the right-of-use asset or profit and loss depending on the nature of the reassessment or modification.</w:t>
      </w:r>
    </w:p>
    <w:p w14:paraId="6C549CA7" w14:textId="77777777" w:rsidR="00B040FE" w:rsidRPr="00E630D0" w:rsidRDefault="00B040FE" w:rsidP="000D1B3E">
      <w:pPr>
        <w:pStyle w:val="SubHeading"/>
        <w:shd w:val="clear" w:color="auto" w:fill="000000" w:themeFill="accent6"/>
      </w:pPr>
      <w:bookmarkStart w:id="202" w:name="_Toc65742852"/>
      <w:bookmarkStart w:id="203" w:name="_Toc173417299"/>
      <w:r w:rsidRPr="00E630D0">
        <w:t>Provisions</w:t>
      </w:r>
      <w:bookmarkEnd w:id="202"/>
      <w:bookmarkEnd w:id="203"/>
    </w:p>
    <w:p w14:paraId="050AA995" w14:textId="77777777" w:rsidR="00B040FE" w:rsidRDefault="00B040FE" w:rsidP="00B040FE">
      <w:pPr>
        <w:pStyle w:val="ContinuedNotesHeading-Level1"/>
        <w:rPr>
          <w:sz w:val="18"/>
          <w:szCs w:val="18"/>
        </w:rPr>
      </w:pPr>
    </w:p>
    <w:tbl>
      <w:tblPr>
        <w:tblW w:w="9136" w:type="dxa"/>
        <w:tblLayout w:type="fixed"/>
        <w:tblCellMar>
          <w:left w:w="57" w:type="dxa"/>
          <w:right w:w="57" w:type="dxa"/>
        </w:tblCellMar>
        <w:tblLook w:val="04A0" w:firstRow="1" w:lastRow="0" w:firstColumn="1" w:lastColumn="0" w:noHBand="0" w:noVBand="1"/>
      </w:tblPr>
      <w:tblGrid>
        <w:gridCol w:w="3544"/>
        <w:gridCol w:w="1417"/>
        <w:gridCol w:w="1666"/>
        <w:gridCol w:w="1311"/>
        <w:gridCol w:w="1198"/>
      </w:tblGrid>
      <w:tr w:rsidR="00B040FE" w:rsidRPr="000D1B3E" w14:paraId="2767F6C6" w14:textId="77777777" w:rsidTr="005E5E0C">
        <w:trPr>
          <w:trHeight w:val="688"/>
        </w:trPr>
        <w:tc>
          <w:tcPr>
            <w:tcW w:w="3544" w:type="dxa"/>
            <w:tcBorders>
              <w:top w:val="single" w:sz="4" w:space="0" w:color="auto"/>
              <w:left w:val="nil"/>
              <w:bottom w:val="nil"/>
              <w:right w:val="nil"/>
            </w:tcBorders>
            <w:shd w:val="clear" w:color="FFFFFF" w:fill="FFFFFF"/>
            <w:vAlign w:val="bottom"/>
            <w:hideMark/>
          </w:tcPr>
          <w:p w14:paraId="051876CC" w14:textId="77777777" w:rsidR="00B040FE" w:rsidRPr="000D1B3E" w:rsidRDefault="00B040FE" w:rsidP="0047225D">
            <w:pPr>
              <w:spacing w:after="0"/>
              <w:rPr>
                <w:rFonts w:cs="Arial"/>
                <w:sz w:val="18"/>
                <w:szCs w:val="18"/>
              </w:rPr>
            </w:pPr>
            <w:bookmarkStart w:id="204" w:name="Note_ROPTABLE1" w:colFirst="0" w:colLast="0"/>
            <w:r w:rsidRPr="000D1B3E">
              <w:rPr>
                <w:rFonts w:cs="Arial"/>
                <w:sz w:val="18"/>
                <w:szCs w:val="18"/>
              </w:rPr>
              <w:t> </w:t>
            </w:r>
          </w:p>
        </w:tc>
        <w:tc>
          <w:tcPr>
            <w:tcW w:w="1417" w:type="dxa"/>
            <w:tcBorders>
              <w:top w:val="single" w:sz="4" w:space="0" w:color="auto"/>
              <w:left w:val="nil"/>
              <w:bottom w:val="nil"/>
              <w:right w:val="nil"/>
            </w:tcBorders>
            <w:shd w:val="clear" w:color="FFFFFF" w:fill="FFFFFF"/>
            <w:vAlign w:val="bottom"/>
            <w:hideMark/>
          </w:tcPr>
          <w:p w14:paraId="16923665" w14:textId="77777777" w:rsidR="00B040FE" w:rsidRPr="000D1B3E" w:rsidRDefault="00B040FE" w:rsidP="0047225D">
            <w:pPr>
              <w:spacing w:after="0"/>
              <w:jc w:val="right"/>
              <w:rPr>
                <w:rFonts w:cs="Arial"/>
                <w:b/>
                <w:bCs/>
                <w:sz w:val="18"/>
                <w:szCs w:val="18"/>
              </w:rPr>
            </w:pPr>
            <w:r w:rsidRPr="000D1B3E">
              <w:rPr>
                <w:rFonts w:cs="Arial"/>
                <w:b/>
                <w:bCs/>
                <w:sz w:val="18"/>
                <w:szCs w:val="18"/>
              </w:rPr>
              <w:t>Participant plan provision</w:t>
            </w:r>
          </w:p>
        </w:tc>
        <w:tc>
          <w:tcPr>
            <w:tcW w:w="1666" w:type="dxa"/>
            <w:tcBorders>
              <w:top w:val="single" w:sz="4" w:space="0" w:color="auto"/>
              <w:left w:val="nil"/>
              <w:bottom w:val="nil"/>
              <w:right w:val="nil"/>
            </w:tcBorders>
            <w:shd w:val="clear" w:color="FFFFFF" w:fill="FFFFFF"/>
            <w:vAlign w:val="bottom"/>
            <w:hideMark/>
          </w:tcPr>
          <w:p w14:paraId="023D82B5" w14:textId="77777777" w:rsidR="00B040FE" w:rsidRPr="000D1B3E" w:rsidRDefault="00B040FE" w:rsidP="0047225D">
            <w:pPr>
              <w:spacing w:after="0"/>
              <w:jc w:val="right"/>
              <w:rPr>
                <w:rFonts w:cs="Arial"/>
                <w:b/>
                <w:bCs/>
                <w:sz w:val="18"/>
                <w:szCs w:val="18"/>
              </w:rPr>
            </w:pPr>
            <w:r w:rsidRPr="000D1B3E">
              <w:rPr>
                <w:rFonts w:cs="Arial"/>
                <w:b/>
                <w:bCs/>
                <w:sz w:val="18"/>
                <w:szCs w:val="18"/>
              </w:rPr>
              <w:t>Provision for restoration obligations</w:t>
            </w:r>
          </w:p>
        </w:tc>
        <w:tc>
          <w:tcPr>
            <w:tcW w:w="1311" w:type="dxa"/>
            <w:tcBorders>
              <w:top w:val="single" w:sz="4" w:space="0" w:color="auto"/>
              <w:left w:val="nil"/>
              <w:bottom w:val="nil"/>
              <w:right w:val="nil"/>
            </w:tcBorders>
            <w:shd w:val="clear" w:color="FFFFFF" w:fill="FFFFFF"/>
          </w:tcPr>
          <w:p w14:paraId="0CCC0E35" w14:textId="77777777" w:rsidR="00B040FE" w:rsidRPr="000D1B3E" w:rsidRDefault="00B040FE" w:rsidP="0047225D">
            <w:pPr>
              <w:spacing w:after="0"/>
              <w:jc w:val="right"/>
              <w:rPr>
                <w:rFonts w:cs="Arial"/>
                <w:b/>
                <w:bCs/>
                <w:sz w:val="18"/>
                <w:szCs w:val="18"/>
              </w:rPr>
            </w:pPr>
            <w:r w:rsidRPr="000D1B3E">
              <w:rPr>
                <w:rFonts w:cs="Arial"/>
                <w:b/>
                <w:bCs/>
                <w:sz w:val="18"/>
                <w:szCs w:val="18"/>
              </w:rPr>
              <w:t xml:space="preserve">Provision for historical Scheme debt </w:t>
            </w:r>
          </w:p>
        </w:tc>
        <w:tc>
          <w:tcPr>
            <w:tcW w:w="1198" w:type="dxa"/>
            <w:tcBorders>
              <w:top w:val="single" w:sz="4" w:space="0" w:color="auto"/>
              <w:left w:val="nil"/>
              <w:bottom w:val="nil"/>
              <w:right w:val="nil"/>
            </w:tcBorders>
            <w:shd w:val="clear" w:color="FFFFFF" w:fill="FFFFFF"/>
            <w:vAlign w:val="bottom"/>
            <w:hideMark/>
          </w:tcPr>
          <w:p w14:paraId="0B49C06E" w14:textId="77777777" w:rsidR="00B040FE" w:rsidRPr="000D1B3E" w:rsidRDefault="00B040FE" w:rsidP="0047225D">
            <w:pPr>
              <w:spacing w:after="0"/>
              <w:jc w:val="right"/>
              <w:rPr>
                <w:rFonts w:cs="Arial"/>
                <w:b/>
                <w:bCs/>
                <w:sz w:val="18"/>
                <w:szCs w:val="18"/>
              </w:rPr>
            </w:pPr>
            <w:r w:rsidRPr="000D1B3E">
              <w:rPr>
                <w:rFonts w:cs="Arial"/>
                <w:b/>
                <w:bCs/>
                <w:sz w:val="18"/>
                <w:szCs w:val="18"/>
              </w:rPr>
              <w:t>Total</w:t>
            </w:r>
          </w:p>
        </w:tc>
      </w:tr>
      <w:bookmarkEnd w:id="204"/>
      <w:tr w:rsidR="00B040FE" w:rsidRPr="000D1B3E" w14:paraId="3A5DE61D" w14:textId="77777777" w:rsidTr="005E5E0C">
        <w:trPr>
          <w:trHeight w:val="260"/>
        </w:trPr>
        <w:tc>
          <w:tcPr>
            <w:tcW w:w="3544" w:type="dxa"/>
            <w:tcBorders>
              <w:top w:val="nil"/>
              <w:left w:val="nil"/>
              <w:bottom w:val="single" w:sz="4" w:space="0" w:color="auto"/>
              <w:right w:val="nil"/>
            </w:tcBorders>
            <w:shd w:val="clear" w:color="FFFFFF" w:fill="FFFFFF"/>
            <w:vAlign w:val="bottom"/>
            <w:hideMark/>
          </w:tcPr>
          <w:p w14:paraId="5A72C4B3" w14:textId="77777777" w:rsidR="00B040FE" w:rsidRPr="000D1B3E" w:rsidRDefault="00B040FE" w:rsidP="0047225D">
            <w:pPr>
              <w:spacing w:after="0"/>
              <w:rPr>
                <w:rFonts w:cs="Arial"/>
                <w:sz w:val="18"/>
                <w:szCs w:val="18"/>
              </w:rPr>
            </w:pPr>
            <w:r w:rsidRPr="000D1B3E">
              <w:rPr>
                <w:rFonts w:cs="Arial"/>
                <w:sz w:val="18"/>
                <w:szCs w:val="18"/>
              </w:rPr>
              <w:t> </w:t>
            </w:r>
          </w:p>
        </w:tc>
        <w:tc>
          <w:tcPr>
            <w:tcW w:w="1417" w:type="dxa"/>
            <w:tcBorders>
              <w:top w:val="nil"/>
              <w:left w:val="nil"/>
              <w:bottom w:val="single" w:sz="4" w:space="0" w:color="auto"/>
              <w:right w:val="nil"/>
            </w:tcBorders>
            <w:shd w:val="clear" w:color="FFFFFF" w:fill="FFFFFF"/>
            <w:vAlign w:val="bottom"/>
            <w:hideMark/>
          </w:tcPr>
          <w:p w14:paraId="7FF0F7DE" w14:textId="77777777" w:rsidR="00B040FE" w:rsidRPr="000D1B3E" w:rsidRDefault="00B040FE" w:rsidP="0047225D">
            <w:pPr>
              <w:spacing w:after="0"/>
              <w:jc w:val="right"/>
              <w:rPr>
                <w:rFonts w:cs="Arial"/>
                <w:b/>
                <w:bCs/>
                <w:sz w:val="18"/>
                <w:szCs w:val="18"/>
              </w:rPr>
            </w:pPr>
            <w:r w:rsidRPr="000D1B3E">
              <w:rPr>
                <w:rFonts w:cs="Arial"/>
                <w:b/>
                <w:bCs/>
                <w:sz w:val="18"/>
                <w:szCs w:val="18"/>
              </w:rPr>
              <w:t>$’000</w:t>
            </w:r>
          </w:p>
        </w:tc>
        <w:tc>
          <w:tcPr>
            <w:tcW w:w="1666" w:type="dxa"/>
            <w:tcBorders>
              <w:top w:val="nil"/>
              <w:left w:val="nil"/>
              <w:bottom w:val="single" w:sz="4" w:space="0" w:color="auto"/>
              <w:right w:val="nil"/>
            </w:tcBorders>
            <w:shd w:val="clear" w:color="FFFFFF" w:fill="FFFFFF"/>
            <w:vAlign w:val="bottom"/>
            <w:hideMark/>
          </w:tcPr>
          <w:p w14:paraId="5A61EE9E" w14:textId="77777777" w:rsidR="00B040FE" w:rsidRPr="000D1B3E" w:rsidRDefault="00B040FE" w:rsidP="0047225D">
            <w:pPr>
              <w:spacing w:after="0"/>
              <w:jc w:val="right"/>
              <w:rPr>
                <w:rFonts w:cs="Arial"/>
                <w:b/>
                <w:bCs/>
                <w:sz w:val="18"/>
                <w:szCs w:val="18"/>
              </w:rPr>
            </w:pPr>
            <w:r w:rsidRPr="000D1B3E">
              <w:rPr>
                <w:rFonts w:cs="Arial"/>
                <w:b/>
                <w:bCs/>
                <w:sz w:val="18"/>
                <w:szCs w:val="18"/>
              </w:rPr>
              <w:t>$’000</w:t>
            </w:r>
          </w:p>
        </w:tc>
        <w:tc>
          <w:tcPr>
            <w:tcW w:w="1311" w:type="dxa"/>
            <w:tcBorders>
              <w:top w:val="nil"/>
              <w:left w:val="nil"/>
              <w:bottom w:val="single" w:sz="4" w:space="0" w:color="auto"/>
              <w:right w:val="nil"/>
            </w:tcBorders>
            <w:shd w:val="clear" w:color="FFFFFF" w:fill="FFFFFF"/>
          </w:tcPr>
          <w:p w14:paraId="7A0BFDAF" w14:textId="77777777" w:rsidR="00B040FE" w:rsidRPr="000D1B3E" w:rsidRDefault="00B040FE" w:rsidP="0047225D">
            <w:pPr>
              <w:spacing w:after="0"/>
              <w:jc w:val="right"/>
              <w:rPr>
                <w:rFonts w:cs="Arial"/>
                <w:b/>
                <w:bCs/>
                <w:sz w:val="18"/>
                <w:szCs w:val="18"/>
              </w:rPr>
            </w:pPr>
            <w:r w:rsidRPr="000D1B3E">
              <w:rPr>
                <w:rFonts w:cs="Arial"/>
                <w:b/>
                <w:bCs/>
                <w:sz w:val="18"/>
                <w:szCs w:val="18"/>
              </w:rPr>
              <w:t>$’000</w:t>
            </w:r>
          </w:p>
        </w:tc>
        <w:tc>
          <w:tcPr>
            <w:tcW w:w="1198" w:type="dxa"/>
            <w:tcBorders>
              <w:top w:val="nil"/>
              <w:left w:val="nil"/>
              <w:bottom w:val="single" w:sz="4" w:space="0" w:color="auto"/>
              <w:right w:val="nil"/>
            </w:tcBorders>
            <w:shd w:val="clear" w:color="FFFFFF" w:fill="FFFFFF"/>
            <w:vAlign w:val="bottom"/>
            <w:hideMark/>
          </w:tcPr>
          <w:p w14:paraId="39101E0F" w14:textId="77777777" w:rsidR="00B040FE" w:rsidRPr="000D1B3E" w:rsidRDefault="00B040FE" w:rsidP="0047225D">
            <w:pPr>
              <w:spacing w:after="0"/>
              <w:jc w:val="right"/>
              <w:rPr>
                <w:rFonts w:cs="Arial"/>
                <w:b/>
                <w:bCs/>
                <w:sz w:val="18"/>
                <w:szCs w:val="18"/>
              </w:rPr>
            </w:pPr>
            <w:r w:rsidRPr="000D1B3E">
              <w:rPr>
                <w:rFonts w:cs="Arial"/>
                <w:b/>
                <w:bCs/>
                <w:sz w:val="18"/>
                <w:szCs w:val="18"/>
              </w:rPr>
              <w:t>$’000</w:t>
            </w:r>
          </w:p>
        </w:tc>
      </w:tr>
      <w:tr w:rsidR="00B040FE" w:rsidRPr="000D1B3E" w14:paraId="4CA5C272" w14:textId="77777777" w:rsidTr="005E5E0C">
        <w:trPr>
          <w:trHeight w:val="250"/>
        </w:trPr>
        <w:tc>
          <w:tcPr>
            <w:tcW w:w="3544" w:type="dxa"/>
            <w:tcBorders>
              <w:top w:val="nil"/>
              <w:left w:val="nil"/>
              <w:bottom w:val="nil"/>
              <w:right w:val="nil"/>
            </w:tcBorders>
            <w:shd w:val="clear" w:color="FFFFFF" w:fill="FFFFFF"/>
            <w:vAlign w:val="bottom"/>
            <w:hideMark/>
          </w:tcPr>
          <w:p w14:paraId="3F51B702" w14:textId="77777777" w:rsidR="00B040FE" w:rsidRPr="000D1B3E" w:rsidRDefault="00B040FE" w:rsidP="0047225D">
            <w:pPr>
              <w:spacing w:after="0"/>
              <w:rPr>
                <w:rFonts w:cs="Arial"/>
                <w:b/>
                <w:bCs/>
                <w:sz w:val="18"/>
                <w:szCs w:val="18"/>
              </w:rPr>
            </w:pPr>
            <w:r w:rsidRPr="000D1B3E">
              <w:rPr>
                <w:rFonts w:cs="Arial"/>
                <w:b/>
                <w:bCs/>
                <w:sz w:val="18"/>
                <w:szCs w:val="18"/>
              </w:rPr>
              <w:t>Carrying amount 1 July 2023</w:t>
            </w:r>
          </w:p>
        </w:tc>
        <w:tc>
          <w:tcPr>
            <w:tcW w:w="1417" w:type="dxa"/>
            <w:tcBorders>
              <w:top w:val="nil"/>
              <w:left w:val="nil"/>
              <w:bottom w:val="nil"/>
              <w:right w:val="nil"/>
            </w:tcBorders>
            <w:shd w:val="clear" w:color="FFFFFF" w:fill="FFFFFF"/>
            <w:noWrap/>
            <w:vAlign w:val="bottom"/>
            <w:hideMark/>
          </w:tcPr>
          <w:p w14:paraId="3CE6A4B7" w14:textId="77777777" w:rsidR="00B040FE" w:rsidRPr="000D1B3E" w:rsidRDefault="00B040FE" w:rsidP="0047225D">
            <w:pPr>
              <w:spacing w:after="0"/>
              <w:jc w:val="right"/>
              <w:rPr>
                <w:rFonts w:cs="Arial"/>
                <w:b/>
                <w:bCs/>
                <w:sz w:val="18"/>
                <w:szCs w:val="18"/>
              </w:rPr>
            </w:pPr>
            <w:r w:rsidRPr="000D1B3E">
              <w:rPr>
                <w:rFonts w:cs="Arial"/>
                <w:b/>
                <w:bCs/>
                <w:sz w:val="18"/>
                <w:szCs w:val="18"/>
              </w:rPr>
              <w:t>1,948,638</w:t>
            </w:r>
          </w:p>
        </w:tc>
        <w:tc>
          <w:tcPr>
            <w:tcW w:w="1666" w:type="dxa"/>
            <w:tcBorders>
              <w:top w:val="nil"/>
              <w:left w:val="nil"/>
              <w:bottom w:val="nil"/>
              <w:right w:val="nil"/>
            </w:tcBorders>
            <w:shd w:val="clear" w:color="FFFFFF" w:fill="FFFFFF"/>
            <w:noWrap/>
            <w:vAlign w:val="bottom"/>
            <w:hideMark/>
          </w:tcPr>
          <w:p w14:paraId="7749C3EA" w14:textId="77777777" w:rsidR="00B040FE" w:rsidRPr="000D1B3E" w:rsidRDefault="00B040FE" w:rsidP="0047225D">
            <w:pPr>
              <w:spacing w:after="0"/>
              <w:jc w:val="right"/>
              <w:rPr>
                <w:rFonts w:cs="Arial"/>
                <w:b/>
                <w:bCs/>
                <w:sz w:val="18"/>
                <w:szCs w:val="18"/>
              </w:rPr>
            </w:pPr>
            <w:r w:rsidRPr="000D1B3E">
              <w:rPr>
                <w:rFonts w:cs="Arial"/>
                <w:b/>
                <w:bCs/>
                <w:sz w:val="18"/>
                <w:szCs w:val="18"/>
              </w:rPr>
              <w:t>5,936</w:t>
            </w:r>
          </w:p>
        </w:tc>
        <w:tc>
          <w:tcPr>
            <w:tcW w:w="1311" w:type="dxa"/>
            <w:tcBorders>
              <w:top w:val="nil"/>
              <w:left w:val="nil"/>
              <w:bottom w:val="nil"/>
              <w:right w:val="nil"/>
            </w:tcBorders>
            <w:shd w:val="clear" w:color="FFFFFF" w:fill="FFFFFF"/>
          </w:tcPr>
          <w:p w14:paraId="63EDD421" w14:textId="77777777" w:rsidR="00B040FE" w:rsidRPr="000D1B3E" w:rsidRDefault="00B040FE" w:rsidP="0047225D">
            <w:pPr>
              <w:spacing w:after="0"/>
              <w:jc w:val="right"/>
              <w:rPr>
                <w:rFonts w:cs="Arial"/>
                <w:b/>
                <w:bCs/>
                <w:sz w:val="18"/>
                <w:szCs w:val="18"/>
              </w:rPr>
            </w:pPr>
            <w:r w:rsidRPr="000D1B3E">
              <w:rPr>
                <w:rFonts w:cs="Arial"/>
                <w:b/>
                <w:bCs/>
                <w:sz w:val="18"/>
                <w:szCs w:val="18"/>
              </w:rPr>
              <w:t>-</w:t>
            </w:r>
          </w:p>
        </w:tc>
        <w:tc>
          <w:tcPr>
            <w:tcW w:w="1198" w:type="dxa"/>
            <w:tcBorders>
              <w:top w:val="nil"/>
              <w:left w:val="nil"/>
              <w:bottom w:val="nil"/>
              <w:right w:val="nil"/>
            </w:tcBorders>
            <w:shd w:val="clear" w:color="FFFFFF" w:fill="FFFFFF"/>
            <w:noWrap/>
            <w:vAlign w:val="bottom"/>
            <w:hideMark/>
          </w:tcPr>
          <w:p w14:paraId="35EFD406" w14:textId="77777777" w:rsidR="00B040FE" w:rsidRPr="000D1B3E" w:rsidRDefault="00B040FE" w:rsidP="0047225D">
            <w:pPr>
              <w:spacing w:after="0"/>
              <w:jc w:val="right"/>
              <w:rPr>
                <w:rFonts w:cs="Arial"/>
                <w:b/>
                <w:bCs/>
                <w:sz w:val="18"/>
                <w:szCs w:val="18"/>
              </w:rPr>
            </w:pPr>
            <w:r w:rsidRPr="000D1B3E">
              <w:rPr>
                <w:rFonts w:cs="Arial"/>
                <w:b/>
                <w:bCs/>
                <w:sz w:val="18"/>
                <w:szCs w:val="18"/>
              </w:rPr>
              <w:t>1,954,574</w:t>
            </w:r>
          </w:p>
        </w:tc>
      </w:tr>
      <w:tr w:rsidR="00B040FE" w:rsidRPr="000D1B3E" w14:paraId="112C797E" w14:textId="77777777" w:rsidTr="005E5E0C">
        <w:trPr>
          <w:trHeight w:val="250"/>
        </w:trPr>
        <w:tc>
          <w:tcPr>
            <w:tcW w:w="3544" w:type="dxa"/>
            <w:tcBorders>
              <w:top w:val="nil"/>
              <w:left w:val="nil"/>
              <w:bottom w:val="nil"/>
              <w:right w:val="nil"/>
            </w:tcBorders>
            <w:shd w:val="clear" w:color="FFFFFF" w:fill="FFFFFF"/>
            <w:vAlign w:val="bottom"/>
            <w:hideMark/>
          </w:tcPr>
          <w:p w14:paraId="0E216835" w14:textId="77777777" w:rsidR="00B040FE" w:rsidRPr="000D1B3E" w:rsidRDefault="00B040FE" w:rsidP="0047225D">
            <w:pPr>
              <w:spacing w:after="0"/>
              <w:rPr>
                <w:rFonts w:cs="Arial"/>
                <w:sz w:val="18"/>
                <w:szCs w:val="18"/>
              </w:rPr>
            </w:pPr>
            <w:r w:rsidRPr="000D1B3E">
              <w:rPr>
                <w:rFonts w:cs="Arial"/>
                <w:sz w:val="18"/>
                <w:szCs w:val="18"/>
              </w:rPr>
              <w:t>Additional provisions made</w:t>
            </w:r>
          </w:p>
        </w:tc>
        <w:tc>
          <w:tcPr>
            <w:tcW w:w="1417" w:type="dxa"/>
            <w:tcBorders>
              <w:top w:val="nil"/>
              <w:left w:val="nil"/>
              <w:bottom w:val="nil"/>
              <w:right w:val="nil"/>
            </w:tcBorders>
            <w:shd w:val="clear" w:color="FFFFFF" w:fill="FFFFFF"/>
            <w:noWrap/>
            <w:vAlign w:val="bottom"/>
            <w:hideMark/>
          </w:tcPr>
          <w:p w14:paraId="32A77619" w14:textId="77777777" w:rsidR="00B040FE" w:rsidRPr="000D1B3E" w:rsidRDefault="00B040FE" w:rsidP="0047225D">
            <w:pPr>
              <w:spacing w:after="0"/>
              <w:jc w:val="right"/>
              <w:rPr>
                <w:rFonts w:cs="Arial"/>
                <w:b/>
                <w:bCs/>
                <w:sz w:val="18"/>
                <w:szCs w:val="18"/>
              </w:rPr>
            </w:pPr>
            <w:r w:rsidRPr="000D1B3E">
              <w:rPr>
                <w:rFonts w:cs="Arial"/>
                <w:b/>
                <w:bCs/>
                <w:sz w:val="18"/>
                <w:szCs w:val="18"/>
              </w:rPr>
              <w:t>2,301,298</w:t>
            </w:r>
          </w:p>
        </w:tc>
        <w:tc>
          <w:tcPr>
            <w:tcW w:w="1666" w:type="dxa"/>
            <w:tcBorders>
              <w:top w:val="nil"/>
              <w:left w:val="nil"/>
              <w:bottom w:val="nil"/>
              <w:right w:val="nil"/>
            </w:tcBorders>
            <w:shd w:val="clear" w:color="FFFFFF" w:fill="FFFFFF"/>
            <w:noWrap/>
            <w:vAlign w:val="bottom"/>
            <w:hideMark/>
          </w:tcPr>
          <w:p w14:paraId="5D6A6370" w14:textId="77777777" w:rsidR="00B040FE" w:rsidRPr="000D1B3E" w:rsidRDefault="00B040FE" w:rsidP="0047225D">
            <w:pPr>
              <w:spacing w:after="0"/>
              <w:jc w:val="right"/>
              <w:rPr>
                <w:rFonts w:cs="Arial"/>
                <w:b/>
                <w:bCs/>
                <w:sz w:val="18"/>
                <w:szCs w:val="18"/>
              </w:rPr>
            </w:pPr>
            <w:r w:rsidRPr="000D1B3E">
              <w:rPr>
                <w:rFonts w:cs="Arial"/>
                <w:b/>
                <w:bCs/>
                <w:sz w:val="18"/>
                <w:szCs w:val="18"/>
              </w:rPr>
              <w:t>3,311</w:t>
            </w:r>
          </w:p>
        </w:tc>
        <w:tc>
          <w:tcPr>
            <w:tcW w:w="1311" w:type="dxa"/>
            <w:tcBorders>
              <w:top w:val="nil"/>
              <w:left w:val="nil"/>
              <w:bottom w:val="nil"/>
              <w:right w:val="nil"/>
            </w:tcBorders>
            <w:shd w:val="clear" w:color="FFFFFF" w:fill="FFFFFF"/>
          </w:tcPr>
          <w:p w14:paraId="5575AF08" w14:textId="77777777" w:rsidR="00B040FE" w:rsidRPr="000D1B3E" w:rsidRDefault="00B040FE" w:rsidP="0047225D">
            <w:pPr>
              <w:spacing w:after="0"/>
              <w:jc w:val="right"/>
              <w:rPr>
                <w:rFonts w:cs="Arial"/>
                <w:b/>
                <w:bCs/>
                <w:sz w:val="18"/>
                <w:szCs w:val="18"/>
              </w:rPr>
            </w:pPr>
            <w:r w:rsidRPr="000D1B3E">
              <w:rPr>
                <w:rFonts w:cs="Arial"/>
                <w:b/>
                <w:bCs/>
                <w:sz w:val="18"/>
                <w:szCs w:val="18"/>
              </w:rPr>
              <w:t>9,088</w:t>
            </w:r>
          </w:p>
        </w:tc>
        <w:tc>
          <w:tcPr>
            <w:tcW w:w="1198" w:type="dxa"/>
            <w:tcBorders>
              <w:top w:val="nil"/>
              <w:left w:val="nil"/>
              <w:bottom w:val="nil"/>
              <w:right w:val="nil"/>
            </w:tcBorders>
            <w:shd w:val="clear" w:color="FFFFFF" w:fill="FFFFFF"/>
            <w:noWrap/>
            <w:vAlign w:val="bottom"/>
            <w:hideMark/>
          </w:tcPr>
          <w:p w14:paraId="1EC89C9A" w14:textId="77777777" w:rsidR="00B040FE" w:rsidRPr="000D1B3E" w:rsidRDefault="00B040FE" w:rsidP="0047225D">
            <w:pPr>
              <w:spacing w:after="0"/>
              <w:jc w:val="right"/>
              <w:rPr>
                <w:rFonts w:cs="Arial"/>
                <w:b/>
                <w:bCs/>
                <w:sz w:val="18"/>
                <w:szCs w:val="18"/>
              </w:rPr>
            </w:pPr>
            <w:r w:rsidRPr="000D1B3E">
              <w:rPr>
                <w:rFonts w:cs="Arial"/>
                <w:b/>
                <w:bCs/>
                <w:sz w:val="18"/>
                <w:szCs w:val="18"/>
              </w:rPr>
              <w:t>2,313,697</w:t>
            </w:r>
          </w:p>
        </w:tc>
      </w:tr>
      <w:tr w:rsidR="00B040FE" w:rsidRPr="000D1B3E" w14:paraId="76377AB5" w14:textId="77777777" w:rsidTr="005E5E0C">
        <w:trPr>
          <w:trHeight w:val="250"/>
        </w:trPr>
        <w:tc>
          <w:tcPr>
            <w:tcW w:w="3544" w:type="dxa"/>
            <w:tcBorders>
              <w:top w:val="nil"/>
              <w:left w:val="nil"/>
              <w:bottom w:val="nil"/>
              <w:right w:val="nil"/>
            </w:tcBorders>
            <w:shd w:val="clear" w:color="FFFFFF" w:fill="FFFFFF"/>
            <w:vAlign w:val="bottom"/>
            <w:hideMark/>
          </w:tcPr>
          <w:p w14:paraId="723D9D6E" w14:textId="77777777" w:rsidR="00B040FE" w:rsidRPr="000D1B3E" w:rsidRDefault="00B040FE" w:rsidP="0047225D">
            <w:pPr>
              <w:spacing w:after="0"/>
              <w:rPr>
                <w:rFonts w:cs="Arial"/>
                <w:sz w:val="18"/>
                <w:szCs w:val="18"/>
              </w:rPr>
            </w:pPr>
            <w:r w:rsidRPr="000D1B3E">
              <w:rPr>
                <w:rFonts w:cs="Arial"/>
                <w:sz w:val="18"/>
                <w:szCs w:val="18"/>
              </w:rPr>
              <w:t>Amounts reversed</w:t>
            </w:r>
          </w:p>
        </w:tc>
        <w:tc>
          <w:tcPr>
            <w:tcW w:w="1417" w:type="dxa"/>
            <w:tcBorders>
              <w:top w:val="nil"/>
              <w:left w:val="nil"/>
              <w:bottom w:val="nil"/>
              <w:right w:val="nil"/>
            </w:tcBorders>
            <w:shd w:val="clear" w:color="FFFFFF" w:fill="FFFFFF"/>
            <w:noWrap/>
            <w:vAlign w:val="bottom"/>
            <w:hideMark/>
          </w:tcPr>
          <w:p w14:paraId="40CD69D1" w14:textId="77777777" w:rsidR="00B040FE" w:rsidRPr="000D1B3E" w:rsidRDefault="00B040FE" w:rsidP="0047225D">
            <w:pPr>
              <w:spacing w:after="0"/>
              <w:jc w:val="right"/>
              <w:rPr>
                <w:rFonts w:cs="Arial"/>
                <w:b/>
                <w:bCs/>
                <w:sz w:val="18"/>
                <w:szCs w:val="18"/>
              </w:rPr>
            </w:pPr>
            <w:r w:rsidRPr="000D1B3E">
              <w:rPr>
                <w:rFonts w:cs="Arial"/>
                <w:b/>
                <w:bCs/>
                <w:sz w:val="18"/>
                <w:szCs w:val="18"/>
              </w:rPr>
              <w:t>(380,790)</w:t>
            </w:r>
          </w:p>
        </w:tc>
        <w:tc>
          <w:tcPr>
            <w:tcW w:w="1666" w:type="dxa"/>
            <w:tcBorders>
              <w:top w:val="nil"/>
              <w:left w:val="nil"/>
              <w:bottom w:val="nil"/>
              <w:right w:val="nil"/>
            </w:tcBorders>
            <w:shd w:val="clear" w:color="FFFFFF" w:fill="FFFFFF"/>
            <w:noWrap/>
            <w:vAlign w:val="bottom"/>
            <w:hideMark/>
          </w:tcPr>
          <w:p w14:paraId="23613D49" w14:textId="77777777" w:rsidR="00B040FE" w:rsidRPr="000D1B3E" w:rsidRDefault="00B040FE" w:rsidP="0047225D">
            <w:pPr>
              <w:spacing w:after="0"/>
              <w:jc w:val="right"/>
              <w:rPr>
                <w:rFonts w:cs="Arial"/>
                <w:b/>
                <w:bCs/>
                <w:sz w:val="18"/>
                <w:szCs w:val="18"/>
              </w:rPr>
            </w:pPr>
            <w:r w:rsidRPr="000D1B3E">
              <w:rPr>
                <w:rFonts w:cs="Arial"/>
                <w:b/>
                <w:bCs/>
                <w:sz w:val="18"/>
                <w:szCs w:val="18"/>
              </w:rPr>
              <w:t>(227)</w:t>
            </w:r>
          </w:p>
        </w:tc>
        <w:tc>
          <w:tcPr>
            <w:tcW w:w="1311" w:type="dxa"/>
            <w:tcBorders>
              <w:top w:val="nil"/>
              <w:left w:val="nil"/>
              <w:bottom w:val="nil"/>
              <w:right w:val="nil"/>
            </w:tcBorders>
            <w:shd w:val="clear" w:color="FFFFFF" w:fill="FFFFFF"/>
          </w:tcPr>
          <w:p w14:paraId="6478E27F" w14:textId="77777777" w:rsidR="00B040FE" w:rsidRPr="000D1B3E" w:rsidRDefault="00B040FE" w:rsidP="0047225D">
            <w:pPr>
              <w:spacing w:after="0"/>
              <w:jc w:val="right"/>
              <w:rPr>
                <w:rFonts w:cs="Arial"/>
                <w:b/>
                <w:bCs/>
                <w:sz w:val="18"/>
                <w:szCs w:val="18"/>
              </w:rPr>
            </w:pPr>
            <w:r w:rsidRPr="000D1B3E">
              <w:rPr>
                <w:rFonts w:cs="Arial"/>
                <w:b/>
                <w:bCs/>
                <w:sz w:val="18"/>
                <w:szCs w:val="18"/>
              </w:rPr>
              <w:t>-</w:t>
            </w:r>
          </w:p>
        </w:tc>
        <w:tc>
          <w:tcPr>
            <w:tcW w:w="1198" w:type="dxa"/>
            <w:tcBorders>
              <w:top w:val="nil"/>
              <w:left w:val="nil"/>
              <w:bottom w:val="nil"/>
              <w:right w:val="nil"/>
            </w:tcBorders>
            <w:shd w:val="clear" w:color="FFFFFF" w:fill="FFFFFF"/>
            <w:noWrap/>
            <w:vAlign w:val="bottom"/>
            <w:hideMark/>
          </w:tcPr>
          <w:p w14:paraId="0C961F32" w14:textId="77777777" w:rsidR="00B040FE" w:rsidRPr="000D1B3E" w:rsidRDefault="00B040FE" w:rsidP="0047225D">
            <w:pPr>
              <w:spacing w:after="0"/>
              <w:jc w:val="right"/>
              <w:rPr>
                <w:rFonts w:cs="Arial"/>
                <w:b/>
                <w:bCs/>
                <w:sz w:val="18"/>
                <w:szCs w:val="18"/>
              </w:rPr>
            </w:pPr>
            <w:r w:rsidRPr="000D1B3E">
              <w:rPr>
                <w:rFonts w:cs="Arial"/>
                <w:b/>
                <w:bCs/>
                <w:sz w:val="18"/>
                <w:szCs w:val="18"/>
              </w:rPr>
              <w:t>(381,017)</w:t>
            </w:r>
          </w:p>
        </w:tc>
      </w:tr>
      <w:tr w:rsidR="00B040FE" w:rsidRPr="000D1B3E" w14:paraId="07685025" w14:textId="77777777" w:rsidTr="005E5E0C">
        <w:trPr>
          <w:trHeight w:val="250"/>
        </w:trPr>
        <w:tc>
          <w:tcPr>
            <w:tcW w:w="3544" w:type="dxa"/>
            <w:tcBorders>
              <w:top w:val="nil"/>
              <w:left w:val="nil"/>
              <w:bottom w:val="nil"/>
              <w:right w:val="nil"/>
            </w:tcBorders>
            <w:shd w:val="clear" w:color="FFFFFF" w:fill="FFFFFF"/>
            <w:vAlign w:val="bottom"/>
            <w:hideMark/>
          </w:tcPr>
          <w:p w14:paraId="496B5EC6" w14:textId="77777777" w:rsidR="00B040FE" w:rsidRPr="000D1B3E" w:rsidRDefault="00B040FE" w:rsidP="0047225D">
            <w:pPr>
              <w:spacing w:after="0"/>
              <w:rPr>
                <w:rFonts w:cs="Arial"/>
                <w:sz w:val="18"/>
                <w:szCs w:val="18"/>
              </w:rPr>
            </w:pPr>
            <w:r w:rsidRPr="000D1B3E">
              <w:rPr>
                <w:rFonts w:cs="Arial"/>
                <w:sz w:val="18"/>
                <w:szCs w:val="18"/>
              </w:rPr>
              <w:t>Amounts used</w:t>
            </w:r>
          </w:p>
        </w:tc>
        <w:tc>
          <w:tcPr>
            <w:tcW w:w="1417" w:type="dxa"/>
            <w:tcBorders>
              <w:top w:val="nil"/>
              <w:left w:val="nil"/>
              <w:bottom w:val="nil"/>
              <w:right w:val="nil"/>
            </w:tcBorders>
            <w:shd w:val="clear" w:color="FFFFFF" w:fill="FFFFFF"/>
            <w:noWrap/>
            <w:vAlign w:val="bottom"/>
            <w:hideMark/>
          </w:tcPr>
          <w:p w14:paraId="371FB6DC" w14:textId="77777777" w:rsidR="00B040FE" w:rsidRPr="000D1B3E" w:rsidRDefault="00B040FE" w:rsidP="0047225D">
            <w:pPr>
              <w:spacing w:after="0"/>
              <w:jc w:val="right"/>
              <w:rPr>
                <w:rFonts w:cs="Arial"/>
                <w:b/>
                <w:bCs/>
                <w:sz w:val="18"/>
                <w:szCs w:val="18"/>
              </w:rPr>
            </w:pPr>
            <w:r w:rsidRPr="000D1B3E">
              <w:rPr>
                <w:rFonts w:cs="Arial"/>
                <w:b/>
                <w:bCs/>
                <w:sz w:val="18"/>
                <w:szCs w:val="18"/>
              </w:rPr>
              <w:t>(1,802,993)</w:t>
            </w:r>
          </w:p>
        </w:tc>
        <w:tc>
          <w:tcPr>
            <w:tcW w:w="1666" w:type="dxa"/>
            <w:tcBorders>
              <w:top w:val="nil"/>
              <w:left w:val="nil"/>
              <w:bottom w:val="nil"/>
              <w:right w:val="nil"/>
            </w:tcBorders>
            <w:shd w:val="clear" w:color="FFFFFF" w:fill="FFFFFF"/>
            <w:noWrap/>
            <w:vAlign w:val="bottom"/>
            <w:hideMark/>
          </w:tcPr>
          <w:p w14:paraId="56B6E319" w14:textId="77777777" w:rsidR="00B040FE" w:rsidRPr="000D1B3E" w:rsidRDefault="00B040FE" w:rsidP="0047225D">
            <w:pPr>
              <w:spacing w:after="0"/>
              <w:jc w:val="right"/>
              <w:rPr>
                <w:rFonts w:cs="Arial"/>
                <w:b/>
                <w:bCs/>
                <w:sz w:val="18"/>
                <w:szCs w:val="18"/>
              </w:rPr>
            </w:pPr>
            <w:r w:rsidRPr="000D1B3E">
              <w:rPr>
                <w:rFonts w:cs="Arial"/>
                <w:b/>
                <w:bCs/>
                <w:sz w:val="18"/>
                <w:szCs w:val="18"/>
              </w:rPr>
              <w:t>(1,103)</w:t>
            </w:r>
          </w:p>
        </w:tc>
        <w:tc>
          <w:tcPr>
            <w:tcW w:w="1311" w:type="dxa"/>
            <w:tcBorders>
              <w:top w:val="nil"/>
              <w:left w:val="nil"/>
              <w:bottom w:val="nil"/>
              <w:right w:val="nil"/>
            </w:tcBorders>
            <w:shd w:val="clear" w:color="FFFFFF" w:fill="FFFFFF"/>
          </w:tcPr>
          <w:p w14:paraId="4133135E" w14:textId="77777777" w:rsidR="00B040FE" w:rsidRPr="000D1B3E" w:rsidRDefault="00B040FE" w:rsidP="0047225D">
            <w:pPr>
              <w:spacing w:after="0"/>
              <w:jc w:val="right"/>
              <w:rPr>
                <w:rFonts w:cs="Arial"/>
                <w:b/>
                <w:bCs/>
                <w:sz w:val="18"/>
                <w:szCs w:val="18"/>
              </w:rPr>
            </w:pPr>
            <w:r w:rsidRPr="000D1B3E">
              <w:rPr>
                <w:rFonts w:cs="Arial"/>
                <w:b/>
                <w:bCs/>
                <w:sz w:val="18"/>
                <w:szCs w:val="18"/>
              </w:rPr>
              <w:t>-</w:t>
            </w:r>
          </w:p>
        </w:tc>
        <w:tc>
          <w:tcPr>
            <w:tcW w:w="1198" w:type="dxa"/>
            <w:tcBorders>
              <w:top w:val="nil"/>
              <w:left w:val="nil"/>
              <w:bottom w:val="nil"/>
              <w:right w:val="nil"/>
            </w:tcBorders>
            <w:shd w:val="clear" w:color="FFFFFF" w:fill="FFFFFF"/>
            <w:noWrap/>
            <w:vAlign w:val="bottom"/>
            <w:hideMark/>
          </w:tcPr>
          <w:p w14:paraId="5F7ADC75" w14:textId="77777777" w:rsidR="00B040FE" w:rsidRPr="000D1B3E" w:rsidRDefault="00B040FE" w:rsidP="0047225D">
            <w:pPr>
              <w:spacing w:after="0"/>
              <w:jc w:val="right"/>
              <w:rPr>
                <w:rFonts w:cs="Arial"/>
                <w:b/>
                <w:bCs/>
                <w:sz w:val="18"/>
                <w:szCs w:val="18"/>
              </w:rPr>
            </w:pPr>
            <w:r w:rsidRPr="000D1B3E">
              <w:rPr>
                <w:rFonts w:cs="Arial"/>
                <w:b/>
                <w:bCs/>
                <w:sz w:val="18"/>
                <w:szCs w:val="18"/>
              </w:rPr>
              <w:t>(1,804,096)</w:t>
            </w:r>
          </w:p>
        </w:tc>
      </w:tr>
      <w:tr w:rsidR="00B040FE" w:rsidRPr="000D1B3E" w14:paraId="0257127F" w14:textId="77777777" w:rsidTr="005E5E0C">
        <w:trPr>
          <w:trHeight w:val="270"/>
        </w:trPr>
        <w:tc>
          <w:tcPr>
            <w:tcW w:w="3544" w:type="dxa"/>
            <w:tcBorders>
              <w:top w:val="nil"/>
              <w:left w:val="nil"/>
              <w:bottom w:val="nil"/>
              <w:right w:val="nil"/>
            </w:tcBorders>
            <w:shd w:val="clear" w:color="FFFFFF" w:fill="FFFFFF"/>
            <w:hideMark/>
          </w:tcPr>
          <w:p w14:paraId="47D75489" w14:textId="77777777" w:rsidR="00B040FE" w:rsidRPr="000D1B3E" w:rsidRDefault="00B040FE" w:rsidP="0047225D">
            <w:pPr>
              <w:spacing w:after="0"/>
              <w:rPr>
                <w:rFonts w:cs="Arial"/>
                <w:sz w:val="18"/>
                <w:szCs w:val="18"/>
              </w:rPr>
            </w:pPr>
            <w:r w:rsidRPr="000D1B3E">
              <w:rPr>
                <w:rFonts w:cs="Arial"/>
                <w:sz w:val="18"/>
                <w:szCs w:val="18"/>
              </w:rPr>
              <w:t>Unwinding of discount or change in discount rate</w:t>
            </w:r>
          </w:p>
        </w:tc>
        <w:tc>
          <w:tcPr>
            <w:tcW w:w="1417" w:type="dxa"/>
            <w:tcBorders>
              <w:top w:val="nil"/>
              <w:left w:val="nil"/>
              <w:bottom w:val="nil"/>
              <w:right w:val="nil"/>
            </w:tcBorders>
            <w:shd w:val="clear" w:color="FFFFFF" w:fill="FFFFFF"/>
            <w:noWrap/>
            <w:vAlign w:val="bottom"/>
            <w:hideMark/>
          </w:tcPr>
          <w:p w14:paraId="2AD2F558" w14:textId="77777777" w:rsidR="00B040FE" w:rsidRPr="000D1B3E" w:rsidRDefault="00B040FE" w:rsidP="0047225D">
            <w:pPr>
              <w:spacing w:after="0"/>
              <w:jc w:val="right"/>
              <w:rPr>
                <w:rFonts w:cs="Arial"/>
                <w:b/>
                <w:bCs/>
                <w:sz w:val="18"/>
                <w:szCs w:val="18"/>
              </w:rPr>
            </w:pPr>
            <w:r w:rsidRPr="000D1B3E">
              <w:rPr>
                <w:rFonts w:cs="Arial"/>
                <w:b/>
                <w:bCs/>
                <w:sz w:val="18"/>
                <w:szCs w:val="18"/>
              </w:rPr>
              <w:t>-</w:t>
            </w:r>
          </w:p>
        </w:tc>
        <w:tc>
          <w:tcPr>
            <w:tcW w:w="1666" w:type="dxa"/>
            <w:tcBorders>
              <w:top w:val="nil"/>
              <w:left w:val="nil"/>
              <w:bottom w:val="nil"/>
              <w:right w:val="nil"/>
            </w:tcBorders>
            <w:shd w:val="clear" w:color="FFFFFF" w:fill="FFFFFF"/>
            <w:noWrap/>
            <w:vAlign w:val="bottom"/>
            <w:hideMark/>
          </w:tcPr>
          <w:p w14:paraId="7A1B082F" w14:textId="77777777" w:rsidR="00B040FE" w:rsidRPr="000D1B3E" w:rsidRDefault="00B040FE" w:rsidP="0047225D">
            <w:pPr>
              <w:spacing w:after="0"/>
              <w:jc w:val="right"/>
              <w:rPr>
                <w:rFonts w:cs="Arial"/>
                <w:b/>
                <w:bCs/>
                <w:sz w:val="18"/>
                <w:szCs w:val="18"/>
              </w:rPr>
            </w:pPr>
            <w:r w:rsidRPr="000D1B3E">
              <w:rPr>
                <w:rFonts w:cs="Arial"/>
                <w:b/>
                <w:bCs/>
                <w:sz w:val="18"/>
                <w:szCs w:val="18"/>
              </w:rPr>
              <w:t>(450)</w:t>
            </w:r>
          </w:p>
        </w:tc>
        <w:tc>
          <w:tcPr>
            <w:tcW w:w="1311" w:type="dxa"/>
            <w:tcBorders>
              <w:top w:val="nil"/>
              <w:left w:val="nil"/>
              <w:bottom w:val="nil"/>
              <w:right w:val="nil"/>
            </w:tcBorders>
            <w:shd w:val="clear" w:color="FFFFFF" w:fill="FFFFFF"/>
            <w:vAlign w:val="bottom"/>
          </w:tcPr>
          <w:p w14:paraId="7A15DD65" w14:textId="77777777" w:rsidR="00B040FE" w:rsidRPr="000D1B3E" w:rsidRDefault="00B040FE" w:rsidP="0047225D">
            <w:pPr>
              <w:spacing w:after="0"/>
              <w:jc w:val="right"/>
              <w:rPr>
                <w:rFonts w:cs="Arial"/>
                <w:b/>
                <w:bCs/>
                <w:sz w:val="18"/>
                <w:szCs w:val="18"/>
              </w:rPr>
            </w:pPr>
            <w:r w:rsidRPr="000D1B3E">
              <w:rPr>
                <w:rFonts w:cs="Arial"/>
                <w:b/>
                <w:bCs/>
                <w:sz w:val="18"/>
                <w:szCs w:val="18"/>
              </w:rPr>
              <w:t>-</w:t>
            </w:r>
          </w:p>
        </w:tc>
        <w:tc>
          <w:tcPr>
            <w:tcW w:w="1198" w:type="dxa"/>
            <w:tcBorders>
              <w:top w:val="nil"/>
              <w:left w:val="nil"/>
              <w:bottom w:val="nil"/>
              <w:right w:val="nil"/>
            </w:tcBorders>
            <w:shd w:val="clear" w:color="FFFFFF" w:fill="FFFFFF"/>
            <w:noWrap/>
            <w:vAlign w:val="bottom"/>
            <w:hideMark/>
          </w:tcPr>
          <w:p w14:paraId="33DB624E" w14:textId="77777777" w:rsidR="00B040FE" w:rsidRPr="000D1B3E" w:rsidRDefault="00B040FE" w:rsidP="0047225D">
            <w:pPr>
              <w:spacing w:after="0"/>
              <w:jc w:val="right"/>
              <w:rPr>
                <w:rFonts w:cs="Arial"/>
                <w:b/>
                <w:bCs/>
                <w:sz w:val="18"/>
                <w:szCs w:val="18"/>
              </w:rPr>
            </w:pPr>
            <w:r w:rsidRPr="000D1B3E">
              <w:rPr>
                <w:rFonts w:cs="Arial"/>
                <w:b/>
                <w:bCs/>
                <w:sz w:val="18"/>
                <w:szCs w:val="18"/>
              </w:rPr>
              <w:t>(450)</w:t>
            </w:r>
          </w:p>
        </w:tc>
      </w:tr>
      <w:tr w:rsidR="00B040FE" w:rsidRPr="000D1B3E" w14:paraId="587E2A70" w14:textId="77777777" w:rsidTr="005E5E0C">
        <w:trPr>
          <w:trHeight w:val="260"/>
        </w:trPr>
        <w:tc>
          <w:tcPr>
            <w:tcW w:w="3544" w:type="dxa"/>
            <w:tcBorders>
              <w:top w:val="single" w:sz="4" w:space="0" w:color="auto"/>
              <w:left w:val="nil"/>
              <w:bottom w:val="single" w:sz="4" w:space="0" w:color="auto"/>
              <w:right w:val="nil"/>
            </w:tcBorders>
            <w:shd w:val="clear" w:color="FFFFFF" w:fill="FFFFFF"/>
            <w:vAlign w:val="bottom"/>
            <w:hideMark/>
          </w:tcPr>
          <w:p w14:paraId="616D428A" w14:textId="77777777" w:rsidR="00B040FE" w:rsidRPr="000D1B3E" w:rsidRDefault="00B040FE" w:rsidP="0047225D">
            <w:pPr>
              <w:spacing w:after="0"/>
              <w:rPr>
                <w:rFonts w:cs="Arial"/>
                <w:b/>
                <w:bCs/>
                <w:sz w:val="18"/>
                <w:szCs w:val="18"/>
              </w:rPr>
            </w:pPr>
            <w:r w:rsidRPr="000D1B3E">
              <w:rPr>
                <w:rFonts w:cs="Arial"/>
                <w:b/>
                <w:bCs/>
                <w:sz w:val="18"/>
                <w:szCs w:val="18"/>
              </w:rPr>
              <w:t>Closing balance 30 June 2024</w:t>
            </w:r>
          </w:p>
        </w:tc>
        <w:tc>
          <w:tcPr>
            <w:tcW w:w="1417" w:type="dxa"/>
            <w:tcBorders>
              <w:top w:val="single" w:sz="4" w:space="0" w:color="auto"/>
              <w:left w:val="nil"/>
              <w:bottom w:val="single" w:sz="4" w:space="0" w:color="auto"/>
              <w:right w:val="nil"/>
            </w:tcBorders>
            <w:shd w:val="clear" w:color="FFFFFF" w:fill="FFFFFF"/>
            <w:noWrap/>
            <w:vAlign w:val="bottom"/>
            <w:hideMark/>
          </w:tcPr>
          <w:p w14:paraId="379E8F03" w14:textId="77777777" w:rsidR="00B040FE" w:rsidRPr="000D1B3E" w:rsidRDefault="00B040FE" w:rsidP="0047225D">
            <w:pPr>
              <w:spacing w:after="0"/>
              <w:jc w:val="right"/>
              <w:rPr>
                <w:rFonts w:cs="Arial"/>
                <w:b/>
                <w:bCs/>
                <w:sz w:val="18"/>
                <w:szCs w:val="18"/>
              </w:rPr>
            </w:pPr>
            <w:r w:rsidRPr="000D1B3E">
              <w:rPr>
                <w:rFonts w:cs="Arial"/>
                <w:b/>
                <w:bCs/>
                <w:sz w:val="18"/>
                <w:szCs w:val="18"/>
              </w:rPr>
              <w:t>2,066,153</w:t>
            </w:r>
          </w:p>
        </w:tc>
        <w:tc>
          <w:tcPr>
            <w:tcW w:w="1666" w:type="dxa"/>
            <w:tcBorders>
              <w:top w:val="single" w:sz="4" w:space="0" w:color="auto"/>
              <w:left w:val="nil"/>
              <w:bottom w:val="single" w:sz="4" w:space="0" w:color="auto"/>
              <w:right w:val="nil"/>
            </w:tcBorders>
            <w:shd w:val="clear" w:color="FFFFFF" w:fill="FFFFFF"/>
            <w:noWrap/>
            <w:vAlign w:val="bottom"/>
            <w:hideMark/>
          </w:tcPr>
          <w:p w14:paraId="58E13FA1" w14:textId="77777777" w:rsidR="00B040FE" w:rsidRPr="000D1B3E" w:rsidRDefault="00B040FE" w:rsidP="0047225D">
            <w:pPr>
              <w:spacing w:after="0"/>
              <w:jc w:val="right"/>
              <w:rPr>
                <w:rFonts w:cs="Arial"/>
                <w:b/>
                <w:bCs/>
                <w:sz w:val="18"/>
                <w:szCs w:val="18"/>
              </w:rPr>
            </w:pPr>
            <w:r w:rsidRPr="000D1B3E">
              <w:rPr>
                <w:rFonts w:cs="Arial"/>
                <w:b/>
                <w:bCs/>
                <w:sz w:val="18"/>
                <w:szCs w:val="18"/>
              </w:rPr>
              <w:t>7,467</w:t>
            </w:r>
          </w:p>
        </w:tc>
        <w:tc>
          <w:tcPr>
            <w:tcW w:w="1311" w:type="dxa"/>
            <w:tcBorders>
              <w:top w:val="single" w:sz="4" w:space="0" w:color="auto"/>
              <w:left w:val="nil"/>
              <w:bottom w:val="single" w:sz="4" w:space="0" w:color="auto"/>
              <w:right w:val="nil"/>
            </w:tcBorders>
            <w:shd w:val="clear" w:color="FFFFFF" w:fill="FFFFFF"/>
          </w:tcPr>
          <w:p w14:paraId="5452DFA6" w14:textId="77777777" w:rsidR="00B040FE" w:rsidRPr="000D1B3E" w:rsidRDefault="00B040FE" w:rsidP="0047225D">
            <w:pPr>
              <w:spacing w:after="0"/>
              <w:jc w:val="right"/>
              <w:rPr>
                <w:rFonts w:cs="Arial"/>
                <w:b/>
                <w:bCs/>
                <w:sz w:val="18"/>
                <w:szCs w:val="18"/>
              </w:rPr>
            </w:pPr>
            <w:r w:rsidRPr="000D1B3E">
              <w:rPr>
                <w:rFonts w:cs="Arial"/>
                <w:b/>
                <w:bCs/>
                <w:sz w:val="18"/>
                <w:szCs w:val="18"/>
              </w:rPr>
              <w:t>9,088</w:t>
            </w:r>
          </w:p>
        </w:tc>
        <w:tc>
          <w:tcPr>
            <w:tcW w:w="1198" w:type="dxa"/>
            <w:tcBorders>
              <w:top w:val="single" w:sz="4" w:space="0" w:color="auto"/>
              <w:left w:val="nil"/>
              <w:bottom w:val="single" w:sz="4" w:space="0" w:color="auto"/>
              <w:right w:val="nil"/>
            </w:tcBorders>
            <w:shd w:val="clear" w:color="FFFFFF" w:fill="FFFFFF"/>
            <w:noWrap/>
            <w:vAlign w:val="bottom"/>
            <w:hideMark/>
          </w:tcPr>
          <w:p w14:paraId="0A5ACD2F" w14:textId="77777777" w:rsidR="00B040FE" w:rsidRPr="000D1B3E" w:rsidRDefault="00B040FE" w:rsidP="0047225D">
            <w:pPr>
              <w:spacing w:after="0"/>
              <w:jc w:val="right"/>
              <w:rPr>
                <w:rFonts w:cs="Arial"/>
                <w:b/>
                <w:bCs/>
                <w:sz w:val="18"/>
                <w:szCs w:val="18"/>
              </w:rPr>
            </w:pPr>
            <w:r w:rsidRPr="000D1B3E">
              <w:rPr>
                <w:rFonts w:cs="Arial"/>
                <w:b/>
                <w:bCs/>
                <w:sz w:val="18"/>
                <w:szCs w:val="18"/>
              </w:rPr>
              <w:t>2,082,708</w:t>
            </w:r>
          </w:p>
        </w:tc>
      </w:tr>
    </w:tbl>
    <w:p w14:paraId="7B2EE486" w14:textId="77777777" w:rsidR="00B040FE" w:rsidRPr="000D1B3E" w:rsidRDefault="00B040FE" w:rsidP="00B040FE">
      <w:pPr>
        <w:spacing w:line="240" w:lineRule="auto"/>
        <w:rPr>
          <w:rFonts w:cs="Arial"/>
          <w:sz w:val="18"/>
          <w:szCs w:val="18"/>
        </w:rPr>
      </w:pPr>
    </w:p>
    <w:p w14:paraId="5101E0B7" w14:textId="77777777" w:rsidR="00B040FE" w:rsidRPr="000D1B3E" w:rsidRDefault="00B040FE" w:rsidP="000D1B3E">
      <w:pPr>
        <w:spacing w:before="120" w:after="120" w:line="264" w:lineRule="auto"/>
        <w:rPr>
          <w:rFonts w:cs="Arial"/>
          <w:sz w:val="18"/>
          <w:szCs w:val="18"/>
        </w:rPr>
      </w:pPr>
      <w:r w:rsidRPr="000D1B3E">
        <w:rPr>
          <w:rFonts w:cs="Arial"/>
          <w:sz w:val="18"/>
          <w:szCs w:val="18"/>
        </w:rPr>
        <w:t>The Agency makes a provision for the reasonable and necessary supports provided to participants during the period but not yet notified to the Agency. The provision represents the best estimate of the amount based on available evidence in relation to rates of expenditure by participants and is informed by actuarial analysis.</w:t>
      </w:r>
    </w:p>
    <w:p w14:paraId="0FEBE9FB" w14:textId="77777777" w:rsidR="00B040FE" w:rsidRPr="000D1B3E" w:rsidRDefault="00B040FE" w:rsidP="000D1B3E">
      <w:pPr>
        <w:spacing w:before="120" w:after="120" w:line="264" w:lineRule="auto"/>
        <w:rPr>
          <w:rFonts w:cs="Arial"/>
          <w:sz w:val="18"/>
          <w:szCs w:val="18"/>
        </w:rPr>
      </w:pPr>
      <w:r w:rsidRPr="000D1B3E">
        <w:rPr>
          <w:rFonts w:cs="Arial"/>
          <w:sz w:val="18"/>
          <w:szCs w:val="18"/>
        </w:rPr>
        <w:t>No liability is recorded for any participant supports to be provided in future reporting periods as the relevant recognition criteria are not met.</w:t>
      </w:r>
    </w:p>
    <w:p w14:paraId="687C05B1" w14:textId="77777777" w:rsidR="00B040FE" w:rsidRPr="000D1B3E" w:rsidRDefault="00B040FE" w:rsidP="000D1B3E">
      <w:pPr>
        <w:pStyle w:val="CEOBrief-Paragraph1"/>
        <w:numPr>
          <w:ilvl w:val="0"/>
          <w:numId w:val="0"/>
        </w:numPr>
        <w:spacing w:line="264" w:lineRule="auto"/>
        <w:rPr>
          <w:sz w:val="18"/>
          <w:szCs w:val="18"/>
        </w:rPr>
      </w:pPr>
      <w:r w:rsidRPr="000D1B3E">
        <w:rPr>
          <w:sz w:val="18"/>
          <w:szCs w:val="18"/>
        </w:rPr>
        <w:t xml:space="preserve">In 2023-24, the Agency assessed that a risk margin was no longer required in its estimation of the participant plan provision. Improvements to the calculation of the provision and the predictability of payment data have removed the need for a risk margin. </w:t>
      </w:r>
    </w:p>
    <w:p w14:paraId="78F34A63" w14:textId="77777777" w:rsidR="00B040FE" w:rsidRPr="000D1B3E" w:rsidRDefault="00B040FE" w:rsidP="000D1B3E">
      <w:pPr>
        <w:spacing w:before="120" w:after="120" w:line="264" w:lineRule="auto"/>
        <w:rPr>
          <w:rFonts w:cs="Arial"/>
          <w:sz w:val="18"/>
          <w:szCs w:val="18"/>
        </w:rPr>
      </w:pPr>
      <w:r w:rsidRPr="000D1B3E">
        <w:rPr>
          <w:rFonts w:cs="Arial"/>
          <w:sz w:val="18"/>
          <w:szCs w:val="18"/>
        </w:rPr>
        <w:t>The change in the accounting has resulted in a decrease of $175.1m in the participant plan provision for 2023- 24.</w:t>
      </w:r>
    </w:p>
    <w:p w14:paraId="609B1B5E" w14:textId="77777777" w:rsidR="00B040FE" w:rsidRPr="000D1B3E" w:rsidRDefault="00B040FE" w:rsidP="000D1B3E">
      <w:pPr>
        <w:spacing w:before="120" w:after="120" w:line="264" w:lineRule="auto"/>
        <w:rPr>
          <w:rFonts w:cs="Arial"/>
          <w:sz w:val="18"/>
          <w:szCs w:val="18"/>
        </w:rPr>
      </w:pPr>
      <w:r w:rsidRPr="000D1B3E">
        <w:rPr>
          <w:rFonts w:cs="Arial"/>
          <w:sz w:val="18"/>
          <w:szCs w:val="18"/>
        </w:rPr>
        <w:t>The Agency has 28 (</w:t>
      </w:r>
      <w:r w:rsidRPr="000D1B3E">
        <w:rPr>
          <w:rFonts w:cs="Arial"/>
          <w:sz w:val="18"/>
          <w:szCs w:val="18"/>
        </w:rPr>
        <w:fldChar w:fldCharType="begin"/>
      </w:r>
      <w:r w:rsidRPr="000D1B3E">
        <w:rPr>
          <w:rFonts w:cs="Arial"/>
          <w:sz w:val="18"/>
          <w:szCs w:val="18"/>
        </w:rPr>
        <w:instrText xml:space="preserve"> DOCPROPERTY  prYear  \* MERGEFORMAT </w:instrText>
      </w:r>
      <w:r w:rsidRPr="000D1B3E">
        <w:rPr>
          <w:rFonts w:cs="Arial"/>
          <w:sz w:val="18"/>
          <w:szCs w:val="18"/>
        </w:rPr>
        <w:fldChar w:fldCharType="separate"/>
      </w:r>
      <w:r w:rsidRPr="000D1B3E">
        <w:rPr>
          <w:rFonts w:cs="Arial"/>
          <w:sz w:val="18"/>
          <w:szCs w:val="18"/>
        </w:rPr>
        <w:t>2023</w:t>
      </w:r>
      <w:r w:rsidRPr="000D1B3E">
        <w:rPr>
          <w:rFonts w:cs="Arial"/>
          <w:sz w:val="18"/>
          <w:szCs w:val="18"/>
        </w:rPr>
        <w:fldChar w:fldCharType="end"/>
      </w:r>
      <w:r w:rsidRPr="000D1B3E">
        <w:rPr>
          <w:rFonts w:cs="Arial"/>
          <w:sz w:val="18"/>
          <w:szCs w:val="18"/>
        </w:rPr>
        <w:t>: 34) agreements for the leasing of premises, which have provisions requiring the entity to restore the premises to their original condition at the conclusion of the lease. The Agency has made a provision to reflect the present value of this obligation.</w:t>
      </w:r>
    </w:p>
    <w:p w14:paraId="7626D654" w14:textId="77777777" w:rsidR="00B040FE" w:rsidRPr="000D1B3E" w:rsidRDefault="00B040FE" w:rsidP="000D1B3E">
      <w:pPr>
        <w:spacing w:before="120" w:after="120" w:line="264" w:lineRule="auto"/>
        <w:rPr>
          <w:rFonts w:cs="Arial"/>
          <w:sz w:val="18"/>
          <w:szCs w:val="18"/>
        </w:rPr>
      </w:pPr>
      <w:r w:rsidRPr="000D1B3E">
        <w:rPr>
          <w:rFonts w:cs="Arial"/>
          <w:sz w:val="18"/>
          <w:szCs w:val="18"/>
        </w:rPr>
        <w:t xml:space="preserve">The Agency is reviewing the circumstances in which debts were historically raised against support claims from some participants and providers. As the Agency has identified that some historical participant and provider debts require further assessment, a provision for the estimated financial impact of these assessments has been reported. The financial impact is based on the results of actuarial analysis to date and is split between providers ($6.6m) and participants ($2.5m). </w:t>
      </w:r>
    </w:p>
    <w:p w14:paraId="4AF94701" w14:textId="77777777" w:rsidR="00B040FE" w:rsidRDefault="00B040FE" w:rsidP="00B040FE">
      <w:pPr>
        <w:pStyle w:val="PolicytextDept"/>
        <w:rPr>
          <w:b/>
          <w:bCs w:val="0"/>
        </w:rPr>
        <w:sectPr w:rsidR="00B040FE" w:rsidSect="00BC1253">
          <w:type w:val="continuous"/>
          <w:pgSz w:w="11906" w:h="16838" w:code="9"/>
          <w:pgMar w:top="1361" w:right="1361" w:bottom="1361" w:left="1361" w:header="958" w:footer="737" w:gutter="0"/>
          <w:cols w:space="708"/>
          <w:docGrid w:linePitch="360"/>
        </w:sectPr>
      </w:pPr>
      <w:bookmarkStart w:id="205" w:name="_Toc443469538"/>
      <w:bookmarkStart w:id="206" w:name="_Toc444065792"/>
      <w:bookmarkStart w:id="207" w:name="_Toc444079989"/>
      <w:bookmarkStart w:id="208" w:name="_Toc447030543"/>
      <w:bookmarkStart w:id="209" w:name="_Toc447030695"/>
      <w:bookmarkStart w:id="210" w:name="_Toc447030788"/>
      <w:bookmarkStart w:id="211" w:name="OLE_LINK9"/>
    </w:p>
    <w:p w14:paraId="5825E02E" w14:textId="77777777" w:rsidR="00B040FE" w:rsidRDefault="00B040FE" w:rsidP="00B040FE">
      <w:pPr>
        <w:pStyle w:val="PolicytextDept"/>
        <w:rPr>
          <w:b/>
          <w:bCs w:val="0"/>
        </w:rPr>
        <w:sectPr w:rsidR="00B040FE" w:rsidSect="00B040FE">
          <w:type w:val="continuous"/>
          <w:pgSz w:w="11906" w:h="16838" w:code="9"/>
          <w:pgMar w:top="1134" w:right="1700" w:bottom="1134" w:left="1134" w:header="958" w:footer="737" w:gutter="0"/>
          <w:cols w:space="708"/>
          <w:docGrid w:linePitch="360"/>
        </w:sectPr>
      </w:pPr>
    </w:p>
    <w:p w14:paraId="5810BDAF" w14:textId="77777777" w:rsidR="000D1B3E" w:rsidRPr="003203A1" w:rsidRDefault="000D1B3E" w:rsidP="000D1B3E">
      <w:pPr>
        <w:spacing w:after="0" w:line="240" w:lineRule="auto"/>
        <w:rPr>
          <w:b/>
          <w:bCs/>
        </w:rPr>
      </w:pPr>
      <w:r w:rsidRPr="003203A1">
        <w:rPr>
          <w:b/>
          <w:bCs/>
        </w:rPr>
        <w:lastRenderedPageBreak/>
        <w:t>National Disability Insurance Agency</w:t>
      </w:r>
    </w:p>
    <w:p w14:paraId="1549C722" w14:textId="77777777" w:rsidR="000D1B3E" w:rsidRDefault="000D1B3E" w:rsidP="000D1B3E">
      <w:pPr>
        <w:pBdr>
          <w:bottom w:val="single" w:sz="8" w:space="1" w:color="auto"/>
        </w:pBdr>
        <w:rPr>
          <w:b/>
          <w:bCs/>
        </w:rPr>
      </w:pPr>
      <w:r w:rsidRPr="003203A1">
        <w:rPr>
          <w:b/>
          <w:bCs/>
        </w:rPr>
        <w:t>NOTES TO AND FORMING PART OF THE FINANCIAL STATEMENTS</w:t>
      </w:r>
    </w:p>
    <w:p w14:paraId="4016375A" w14:textId="77777777" w:rsidR="00B040FE" w:rsidRPr="00EF5DEF" w:rsidRDefault="00B040FE" w:rsidP="00B040FE">
      <w:pPr>
        <w:pStyle w:val="PolicytextDept"/>
        <w:rPr>
          <w:b/>
          <w:bCs w:val="0"/>
        </w:rPr>
      </w:pPr>
      <w:r w:rsidRPr="00283706">
        <w:rPr>
          <w:b/>
          <w:bCs w:val="0"/>
        </w:rPr>
        <w:t>Key judgements and estimates</w:t>
      </w:r>
    </w:p>
    <w:p w14:paraId="2F564E17" w14:textId="77777777" w:rsidR="00B040FE" w:rsidRPr="00283706" w:rsidRDefault="00B040FE" w:rsidP="00B040FE">
      <w:pPr>
        <w:pStyle w:val="PolicytextDept"/>
      </w:pPr>
      <w:r w:rsidRPr="00283706">
        <w:t>The Agency recognises a liability for the costs of reasonable and necessary supports at the time that services are provided to participants in the Scheme. Due to the payment and claiming process the Agency may not be aware of all services rendered at the time of closing the financial statements. The Agency makes an estimate of the outstanding liability by reviewing historical payments experience.</w:t>
      </w:r>
    </w:p>
    <w:p w14:paraId="1CFE8C65" w14:textId="77777777" w:rsidR="00B040FE" w:rsidRDefault="00B040FE" w:rsidP="00B040FE">
      <w:pPr>
        <w:pStyle w:val="PolicytextDept"/>
      </w:pPr>
      <w:r w:rsidRPr="00283706">
        <w:t>In 2023–24, the Agency assessed that a risk margin was no longer required in its estimation of the participant plan provision. Improvements to the calculation of the provision and the predictability of payment data have removed the need for a risk margin.</w:t>
      </w:r>
    </w:p>
    <w:p w14:paraId="6C5CAF78" w14:textId="77777777" w:rsidR="00B040FE" w:rsidRDefault="00B040FE" w:rsidP="00B040FE">
      <w:pPr>
        <w:pStyle w:val="PolicytextDept"/>
      </w:pPr>
      <w:r>
        <w:t>The change in the accounting has resulted in a decrease of $175.1 million in the participant plan provision for 2023- 24.</w:t>
      </w:r>
    </w:p>
    <w:p w14:paraId="3AC471F3" w14:textId="0B8AAB05" w:rsidR="00B040FE" w:rsidRPr="00283706" w:rsidRDefault="00B040FE" w:rsidP="00B040FE">
      <w:pPr>
        <w:pStyle w:val="PolicytextDept"/>
      </w:pPr>
      <w:r w:rsidRPr="00283706">
        <w:t>One of the outputs from the valuation process is the resulting expected ultimate utilisation rates by support year, where the projected ultimate payments are compared to the aggregated Committed Supports contained within participant’s plans in the relevant period.</w:t>
      </w:r>
      <w:r w:rsidR="00681953">
        <w:t xml:space="preserve"> </w:t>
      </w:r>
      <w:r w:rsidRPr="00283706">
        <w:t>At 30 June 2024, the utilisation rates shown have been calculated using Committed Supports that allow for projected development, which means that they consider the retrospective changes that occur due to plan shortening and other adjustments such as plan indexation.</w:t>
      </w:r>
      <w:r w:rsidR="00681953">
        <w:t xml:space="preserve"> </w:t>
      </w:r>
      <w:r w:rsidRPr="00283706">
        <w:t>The allowance of future development in the Committed Supports used to estimate the utilisation rates provides a better indication of where the utilisation rates will ultimately land.</w:t>
      </w:r>
    </w:p>
    <w:p w14:paraId="1D544BB9" w14:textId="1953A095" w:rsidR="00B040FE" w:rsidRPr="00283706" w:rsidRDefault="00B040FE" w:rsidP="00B040FE">
      <w:pPr>
        <w:pStyle w:val="PolicytextDept"/>
      </w:pPr>
      <w:r w:rsidRPr="00283706">
        <w:t>To aid comparability, the utilisation rates shown for 2023 have been re-stated to use Committed Supports that allow for projected development.</w:t>
      </w:r>
      <w:r w:rsidR="00681953">
        <w:t xml:space="preserve"> </w:t>
      </w:r>
      <w:r w:rsidRPr="00283706">
        <w:t>As at 30 June 2024, the expected ultimate utilisation (excluding risk margin) of Committed Supports by support year is as follows:</w:t>
      </w:r>
    </w:p>
    <w:p w14:paraId="45E9C6E2" w14:textId="77777777" w:rsidR="00B040FE" w:rsidRPr="00283706" w:rsidRDefault="00B040FE" w:rsidP="00B040FE">
      <w:pPr>
        <w:pStyle w:val="PolicytextDept"/>
        <w:spacing w:after="0"/>
      </w:pPr>
      <w:r w:rsidRPr="00283706">
        <w:t xml:space="preserve">    2013-14: 64.1% (2023: 64.1%)</w:t>
      </w:r>
    </w:p>
    <w:p w14:paraId="347F9B4D" w14:textId="77777777" w:rsidR="00B040FE" w:rsidRPr="00283706" w:rsidRDefault="00B040FE" w:rsidP="00B040FE">
      <w:pPr>
        <w:pStyle w:val="PolicytextDept"/>
        <w:spacing w:after="0"/>
      </w:pPr>
      <w:r w:rsidRPr="00283706">
        <w:t>    2014-15: 74.6% (2023: 74.6%)</w:t>
      </w:r>
    </w:p>
    <w:p w14:paraId="1E75B297" w14:textId="77777777" w:rsidR="00B040FE" w:rsidRPr="00283706" w:rsidRDefault="00B040FE" w:rsidP="00B040FE">
      <w:pPr>
        <w:pStyle w:val="PolicytextDept"/>
        <w:spacing w:after="0"/>
      </w:pPr>
      <w:r w:rsidRPr="00283706">
        <w:t xml:space="preserve">    2015-16: 74.9% (2023: 74.9%)</w:t>
      </w:r>
    </w:p>
    <w:p w14:paraId="245107A0" w14:textId="77777777" w:rsidR="00B040FE" w:rsidRPr="00283706" w:rsidRDefault="00B040FE" w:rsidP="00B040FE">
      <w:pPr>
        <w:pStyle w:val="PolicytextDept"/>
        <w:spacing w:after="0"/>
      </w:pPr>
      <w:r w:rsidRPr="00283706">
        <w:t xml:space="preserve">    2016-17: 67.4% (2023: 67.4%)</w:t>
      </w:r>
    </w:p>
    <w:p w14:paraId="539E4483" w14:textId="77777777" w:rsidR="00B040FE" w:rsidRPr="00283706" w:rsidRDefault="00B040FE" w:rsidP="00B040FE">
      <w:pPr>
        <w:pStyle w:val="PolicytextDept"/>
        <w:spacing w:after="0"/>
      </w:pPr>
      <w:r w:rsidRPr="00283706">
        <w:t xml:space="preserve">    2017-18: 70.0% (2023: 70.0%)</w:t>
      </w:r>
    </w:p>
    <w:p w14:paraId="79B7490D" w14:textId="77777777" w:rsidR="00B040FE" w:rsidRPr="00283706" w:rsidRDefault="00B040FE" w:rsidP="00B040FE">
      <w:pPr>
        <w:pStyle w:val="PolicytextDept"/>
        <w:spacing w:after="0"/>
      </w:pPr>
      <w:r w:rsidRPr="00283706">
        <w:t>    2018-19: 71.2% (2023: 71.3%)</w:t>
      </w:r>
    </w:p>
    <w:p w14:paraId="077A7468" w14:textId="77777777" w:rsidR="00B040FE" w:rsidRPr="00283706" w:rsidRDefault="00B040FE" w:rsidP="00B040FE">
      <w:pPr>
        <w:pStyle w:val="PolicytextDept"/>
        <w:spacing w:after="0"/>
      </w:pPr>
      <w:r w:rsidRPr="00283706">
        <w:t xml:space="preserve">    2019-20: 71.1% (2023: 71.1%)</w:t>
      </w:r>
    </w:p>
    <w:p w14:paraId="7FD076D8" w14:textId="77777777" w:rsidR="00B040FE" w:rsidRPr="00283706" w:rsidRDefault="00B040FE" w:rsidP="00B040FE">
      <w:pPr>
        <w:pStyle w:val="PolicytextDept"/>
        <w:spacing w:after="0"/>
      </w:pPr>
      <w:r w:rsidRPr="00283706">
        <w:t>    2020-21: 72.7% (2023: 72.8%)</w:t>
      </w:r>
    </w:p>
    <w:p w14:paraId="7B6C3E17" w14:textId="77777777" w:rsidR="00B040FE" w:rsidRPr="00283706" w:rsidRDefault="00B040FE" w:rsidP="00B040FE">
      <w:pPr>
        <w:pStyle w:val="PolicytextDept"/>
        <w:spacing w:after="0"/>
      </w:pPr>
      <w:r w:rsidRPr="00283706">
        <w:t>    2021-22: 75.1% (2023: 75.5%)</w:t>
      </w:r>
    </w:p>
    <w:p w14:paraId="029701DA" w14:textId="77777777" w:rsidR="00B040FE" w:rsidRPr="00283706" w:rsidRDefault="00B040FE" w:rsidP="00B040FE">
      <w:pPr>
        <w:pStyle w:val="PolicytextDept"/>
        <w:spacing w:after="0"/>
      </w:pPr>
      <w:r w:rsidRPr="00283706">
        <w:t>    2022-23: 76.2% (2023: 77.</w:t>
      </w:r>
      <w:r>
        <w:t>3</w:t>
      </w:r>
      <w:r w:rsidRPr="00283706">
        <w:t>%)</w:t>
      </w:r>
    </w:p>
    <w:p w14:paraId="762EC7A8" w14:textId="77777777" w:rsidR="00B040FE" w:rsidRPr="00EF5DEF" w:rsidRDefault="00B040FE" w:rsidP="00B040FE">
      <w:pPr>
        <w:pStyle w:val="PolicytextDept"/>
        <w:spacing w:after="0"/>
      </w:pPr>
      <w:r w:rsidRPr="00283706">
        <w:t xml:space="preserve">    2023-24: 78.1%</w:t>
      </w:r>
      <w:r w:rsidRPr="00EF5DEF">
        <w:tab/>
      </w:r>
    </w:p>
    <w:p w14:paraId="7BAE7277" w14:textId="77777777" w:rsidR="00B040FE" w:rsidRPr="00283706" w:rsidRDefault="00B040FE" w:rsidP="00B040FE">
      <w:pPr>
        <w:pStyle w:val="PolicytextDept"/>
        <w:spacing w:after="0"/>
      </w:pPr>
    </w:p>
    <w:p w14:paraId="6E6A2881" w14:textId="35327086" w:rsidR="00B040FE" w:rsidRPr="00D532EF" w:rsidRDefault="00B040FE" w:rsidP="00B040FE">
      <w:pPr>
        <w:pStyle w:val="PolicytextDept"/>
      </w:pPr>
      <w:r>
        <w:t>The above utilisation rates are re-calculated annually by the Scheme Actuary to take into account actual payments made over the year, the latest value of the Participant Plan Provision and the Residential Aged Care (RAC) Payable, as well as retrospective changes in the Committed Supports.</w:t>
      </w:r>
      <w:r w:rsidR="00681953">
        <w:t xml:space="preserve"> </w:t>
      </w:r>
      <w:r>
        <w:t>For the 2023-24 support year, for each 0.5 percentage point increase/(decrease) in the ultimate utilisation rate, the estimated liability increases/(decreases) by $269.4 million.</w:t>
      </w:r>
    </w:p>
    <w:p w14:paraId="79A0BEA4" w14:textId="77777777" w:rsidR="00B040FE" w:rsidRPr="005D19C0" w:rsidRDefault="00B040FE" w:rsidP="00B040FE">
      <w:pPr>
        <w:pBdr>
          <w:top w:val="single" w:sz="4" w:space="1" w:color="800080"/>
          <w:left w:val="single" w:sz="4" w:space="4" w:color="800080"/>
          <w:bottom w:val="single" w:sz="4" w:space="1" w:color="800080"/>
          <w:right w:val="single" w:sz="4" w:space="4" w:color="800080"/>
        </w:pBdr>
        <w:spacing w:after="120" w:line="120" w:lineRule="atLeast"/>
        <w:ind w:right="607"/>
        <w:rPr>
          <w:rFonts w:cs="Arial"/>
          <w:sz w:val="18"/>
          <w:szCs w:val="18"/>
        </w:rPr>
        <w:sectPr w:rsidR="00B040FE" w:rsidRPr="005D19C0" w:rsidSect="00BC1253">
          <w:pgSz w:w="11906" w:h="16838" w:code="9"/>
          <w:pgMar w:top="1361" w:right="1361" w:bottom="1361" w:left="1361" w:header="561" w:footer="374" w:gutter="0"/>
          <w:cols w:space="708"/>
          <w:docGrid w:linePitch="360"/>
        </w:sectPr>
      </w:pPr>
    </w:p>
    <w:p w14:paraId="3B3EE477" w14:textId="77777777" w:rsidR="000D1B3E" w:rsidRPr="000D1B3E" w:rsidRDefault="000D1B3E" w:rsidP="000D1B3E">
      <w:pPr>
        <w:spacing w:after="0" w:line="240" w:lineRule="auto"/>
        <w:rPr>
          <w:b/>
          <w:bCs/>
        </w:rPr>
      </w:pPr>
      <w:bookmarkStart w:id="212" w:name="_Toc65742853"/>
      <w:bookmarkStart w:id="213" w:name="_Toc173417300"/>
      <w:bookmarkStart w:id="214" w:name="_Toc443469540"/>
      <w:bookmarkStart w:id="215" w:name="_Toc444065794"/>
      <w:bookmarkStart w:id="216" w:name="_Toc444079991"/>
      <w:bookmarkEnd w:id="205"/>
      <w:bookmarkEnd w:id="206"/>
      <w:bookmarkEnd w:id="207"/>
      <w:bookmarkEnd w:id="208"/>
      <w:bookmarkEnd w:id="209"/>
      <w:bookmarkEnd w:id="210"/>
      <w:bookmarkEnd w:id="211"/>
      <w:r w:rsidRPr="000D1B3E">
        <w:rPr>
          <w:b/>
          <w:bCs/>
        </w:rPr>
        <w:lastRenderedPageBreak/>
        <w:t>National Disability Insurance Agency</w:t>
      </w:r>
    </w:p>
    <w:p w14:paraId="76CF86AA" w14:textId="77777777" w:rsidR="000D1B3E" w:rsidRPr="000D1B3E" w:rsidRDefault="000D1B3E" w:rsidP="000D1B3E">
      <w:pPr>
        <w:pBdr>
          <w:bottom w:val="single" w:sz="8" w:space="1" w:color="auto"/>
        </w:pBdr>
        <w:rPr>
          <w:b/>
          <w:bCs/>
        </w:rPr>
      </w:pPr>
      <w:r w:rsidRPr="000D1B3E">
        <w:rPr>
          <w:b/>
          <w:bCs/>
        </w:rPr>
        <w:t>NOTES TO AND FORMING PART OF THE FINANCIAL STATEMENTS</w:t>
      </w:r>
    </w:p>
    <w:p w14:paraId="26BE9B6E" w14:textId="77777777" w:rsidR="00B040FE" w:rsidRDefault="00B040FE" w:rsidP="00B040FE">
      <w:pPr>
        <w:pStyle w:val="SectionHeading"/>
        <w:numPr>
          <w:ilvl w:val="0"/>
          <w:numId w:val="30"/>
        </w:numPr>
      </w:pPr>
      <w:r>
        <w:t>People and Relationship</w:t>
      </w:r>
      <w:bookmarkEnd w:id="212"/>
      <w:r>
        <w:t>s</w:t>
      </w:r>
      <w:bookmarkEnd w:id="213"/>
    </w:p>
    <w:p w14:paraId="795D9C8E" w14:textId="77777777" w:rsidR="00B040FE" w:rsidRDefault="00B040FE" w:rsidP="00B040FE">
      <w:pPr>
        <w:pStyle w:val="SectionHeadingDescription"/>
      </w:pPr>
      <w:r w:rsidRPr="00D16B96">
        <w:t>This section describes a range of employment and post-employment benefits provided to our employees and our relationships with other key people.</w:t>
      </w:r>
    </w:p>
    <w:p w14:paraId="174BEC60" w14:textId="77777777" w:rsidR="00B040FE" w:rsidRPr="00D16B96" w:rsidRDefault="00B040FE" w:rsidP="000D1B3E">
      <w:pPr>
        <w:spacing w:after="0"/>
      </w:pPr>
    </w:p>
    <w:p w14:paraId="56B7CADB" w14:textId="77777777" w:rsidR="00B040FE" w:rsidRPr="00303D57" w:rsidRDefault="00B040FE" w:rsidP="00B040FE">
      <w:pPr>
        <w:pStyle w:val="PolicyheadingDept"/>
        <w:pBdr>
          <w:left w:val="single" w:sz="4" w:space="4" w:color="800080"/>
          <w:right w:val="single" w:sz="4" w:space="4" w:color="800080"/>
        </w:pBdr>
      </w:pPr>
      <w:bookmarkStart w:id="217" w:name="_Toc443469546"/>
      <w:bookmarkStart w:id="218" w:name="_Toc444065801"/>
      <w:bookmarkStart w:id="219" w:name="_Toc444079997"/>
      <w:r w:rsidRPr="00303D57">
        <w:t>Accounting Policy</w:t>
      </w:r>
    </w:p>
    <w:p w14:paraId="63EE254C" w14:textId="77777777" w:rsidR="00B040FE" w:rsidRDefault="00B040FE" w:rsidP="00B040FE">
      <w:pPr>
        <w:pStyle w:val="PolicytextDept"/>
        <w:pBdr>
          <w:left w:val="single" w:sz="4" w:space="4" w:color="800080"/>
          <w:right w:val="single" w:sz="4" w:space="4" w:color="800080"/>
        </w:pBdr>
      </w:pPr>
      <w:r w:rsidRPr="000E2388">
        <w:t xml:space="preserve">Liabilities for ‘short-term employee benefits’ (as defined in AASB 119 </w:t>
      </w:r>
      <w:r w:rsidRPr="00F870F0">
        <w:rPr>
          <w:i/>
        </w:rPr>
        <w:t>Employee Benefits</w:t>
      </w:r>
      <w:r w:rsidRPr="000E2388">
        <w:t xml:space="preserve">) and termination benefits expected within twelve months of the end of the reporting period are measured at their nominal amounts. </w:t>
      </w:r>
    </w:p>
    <w:p w14:paraId="4219CA79" w14:textId="77777777" w:rsidR="00B040FE" w:rsidRPr="000A5DB5" w:rsidRDefault="00B040FE" w:rsidP="00B040FE">
      <w:pPr>
        <w:pStyle w:val="PolicyheadingDept"/>
        <w:pBdr>
          <w:left w:val="single" w:sz="4" w:space="4" w:color="800080"/>
          <w:right w:val="single" w:sz="4" w:space="4" w:color="800080"/>
        </w:pBdr>
        <w:rPr>
          <w:b w:val="0"/>
          <w:i/>
          <w:u w:val="single"/>
        </w:rPr>
      </w:pPr>
      <w:r w:rsidRPr="000A5DB5">
        <w:rPr>
          <w:b w:val="0"/>
          <w:i/>
          <w:u w:val="single"/>
        </w:rPr>
        <w:t>Leave</w:t>
      </w:r>
    </w:p>
    <w:p w14:paraId="72795314" w14:textId="77777777" w:rsidR="00B040FE" w:rsidRPr="000E2388" w:rsidRDefault="00B040FE" w:rsidP="00B040FE">
      <w:pPr>
        <w:pStyle w:val="PolicytextDept"/>
        <w:pBdr>
          <w:left w:val="single" w:sz="4" w:space="4" w:color="800080"/>
          <w:right w:val="single" w:sz="4" w:space="4" w:color="800080"/>
        </w:pBdr>
      </w:pPr>
      <w:r w:rsidRPr="000E2388">
        <w:t>The liability for employee benefits includes provision for annual</w:t>
      </w:r>
      <w:r>
        <w:t xml:space="preserve"> leave and long service leave.</w:t>
      </w:r>
      <w:r w:rsidRPr="000E2388">
        <w:tab/>
      </w:r>
    </w:p>
    <w:p w14:paraId="33751F47" w14:textId="77777777" w:rsidR="00B040FE" w:rsidRPr="00DE3B79" w:rsidRDefault="00B040FE" w:rsidP="00B040FE">
      <w:pPr>
        <w:pStyle w:val="PolicytextDept"/>
        <w:pBdr>
          <w:left w:val="single" w:sz="4" w:space="4" w:color="800080"/>
          <w:right w:val="single" w:sz="4" w:space="4" w:color="800080"/>
        </w:pBdr>
      </w:pPr>
      <w:r w:rsidRPr="000E2388">
        <w:t xml:space="preserve">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w:t>
      </w:r>
      <w:r w:rsidRPr="00DE3B79">
        <w:t xml:space="preserve">on termination. </w:t>
      </w:r>
    </w:p>
    <w:p w14:paraId="2F3DA7C2" w14:textId="77777777" w:rsidR="00B040FE" w:rsidRPr="00DE3B79" w:rsidRDefault="00B040FE" w:rsidP="00B040FE">
      <w:pPr>
        <w:pStyle w:val="PolicyheadingDept"/>
        <w:pBdr>
          <w:left w:val="single" w:sz="4" w:space="4" w:color="800080"/>
          <w:right w:val="single" w:sz="4" w:space="4" w:color="800080"/>
        </w:pBdr>
        <w:rPr>
          <w:b w:val="0"/>
          <w:i/>
          <w:u w:val="single"/>
        </w:rPr>
      </w:pPr>
      <w:r w:rsidRPr="00DE3B79">
        <w:rPr>
          <w:b w:val="0"/>
          <w:i/>
          <w:u w:val="single"/>
        </w:rPr>
        <w:t>Superannuation</w:t>
      </w:r>
    </w:p>
    <w:p w14:paraId="6B598375" w14:textId="77777777" w:rsidR="00B040FE" w:rsidRPr="00DE3B79" w:rsidRDefault="00B040FE" w:rsidP="00B040FE">
      <w:pPr>
        <w:pStyle w:val="PolicytextDept"/>
        <w:pBdr>
          <w:left w:val="single" w:sz="4" w:space="4" w:color="800080"/>
          <w:right w:val="single" w:sz="4" w:space="4" w:color="800080"/>
        </w:pBdr>
      </w:pPr>
      <w:r w:rsidRPr="00DE3B79">
        <w:t>Agency staff are members of the Commonwealth Superannuation Scheme (CSS), the Public Sector Superannuation Scheme (PSS), the PSS accumulation plan (PSSap) or other superannuation funds held outside the Australian Government. The CSS and PSS are defined benefit schemes for the Australian Government. The PSSap is a defined contribution scheme.</w:t>
      </w:r>
      <w:r w:rsidRPr="00DE3B79">
        <w:tab/>
      </w:r>
    </w:p>
    <w:p w14:paraId="6415125E" w14:textId="77777777" w:rsidR="00B040FE" w:rsidRPr="00DE3B79" w:rsidRDefault="00B040FE" w:rsidP="00B040FE">
      <w:pPr>
        <w:pStyle w:val="PolicytextDept"/>
        <w:pBdr>
          <w:left w:val="single" w:sz="4" w:space="4" w:color="800080"/>
          <w:right w:val="single" w:sz="4" w:space="4" w:color="800080"/>
        </w:pBdr>
      </w:pPr>
      <w:r w:rsidRPr="00DE3B79">
        <w:t>The liability for defined benefits is recognised in the financial statements of the Australian Government and is settled by the Australian Government in due course. This liability is reported in the Department of Finance’s administered schedules and notes.</w:t>
      </w:r>
    </w:p>
    <w:p w14:paraId="176E8B86" w14:textId="77777777" w:rsidR="00B040FE" w:rsidRPr="000E2388" w:rsidRDefault="00B040FE" w:rsidP="00B040FE">
      <w:pPr>
        <w:pStyle w:val="PolicytextDept"/>
        <w:pBdr>
          <w:left w:val="single" w:sz="4" w:space="4" w:color="800080"/>
          <w:right w:val="single" w:sz="4" w:space="4" w:color="800080"/>
        </w:pBdr>
      </w:pPr>
      <w:r w:rsidRPr="00DE3B79">
        <w:t>The Agency makes employer contributions to employee superannuation schemes at rates determined by an actuary to be sufficient to meet the current cost to the Government. The Agency accounts for these contributions as if they were contributions to defined contribution plans.</w:t>
      </w:r>
      <w:r w:rsidRPr="00D1232D">
        <w:t xml:space="preserve"> </w:t>
      </w:r>
    </w:p>
    <w:p w14:paraId="06EB5253" w14:textId="77777777" w:rsidR="00B040FE" w:rsidRDefault="00B040FE" w:rsidP="00B040FE">
      <w:pPr>
        <w:pStyle w:val="PolicytextDept"/>
        <w:pBdr>
          <w:left w:val="single" w:sz="4" w:space="4" w:color="800080"/>
          <w:right w:val="single" w:sz="4" w:space="4" w:color="800080"/>
        </w:pBdr>
      </w:pPr>
      <w:r w:rsidRPr="000E2388">
        <w:t xml:space="preserve">The liability for </w:t>
      </w:r>
      <w:r>
        <w:t xml:space="preserve">superannuation recognised at Note 2.3B Other payables </w:t>
      </w:r>
      <w:r w:rsidRPr="000E2388">
        <w:t xml:space="preserve">represents </w:t>
      </w:r>
      <w:r>
        <w:t>contributions outstanding at balance date</w:t>
      </w:r>
      <w:r w:rsidRPr="000E2388">
        <w:t xml:space="preserve">. </w:t>
      </w:r>
    </w:p>
    <w:p w14:paraId="0CC1E7F0" w14:textId="77777777" w:rsidR="00B040FE" w:rsidRDefault="00B040FE" w:rsidP="00B040FE">
      <w:pPr>
        <w:pStyle w:val="PolicytextDept"/>
        <w:pBdr>
          <w:left w:val="single" w:sz="4" w:space="4" w:color="800080"/>
          <w:right w:val="single" w:sz="4" w:space="4" w:color="800080"/>
        </w:pBdr>
        <w:rPr>
          <w:b/>
        </w:rPr>
      </w:pPr>
      <w:r>
        <w:rPr>
          <w:b/>
        </w:rPr>
        <w:t>Key Accounting judgements and estimates</w:t>
      </w:r>
    </w:p>
    <w:p w14:paraId="05EB94FE" w14:textId="77777777" w:rsidR="00B040FE" w:rsidRPr="00E40981" w:rsidRDefault="00B040FE" w:rsidP="00B040FE">
      <w:pPr>
        <w:pStyle w:val="PolicytextDept"/>
        <w:pBdr>
          <w:left w:val="single" w:sz="4" w:space="4" w:color="800080"/>
          <w:right w:val="single" w:sz="4" w:space="4" w:color="800080"/>
        </w:pBdr>
        <w:rPr>
          <w:b/>
          <w:i/>
        </w:rPr>
      </w:pPr>
      <w:r w:rsidRPr="007348B7">
        <w:t xml:space="preserve">The liability for long service leave has been determined by reference to the work of the Australian Government Actuary as at 30 June </w:t>
      </w:r>
      <w:r w:rsidR="008D64B9">
        <w:fldChar w:fldCharType="begin"/>
      </w:r>
      <w:r w:rsidR="008D64B9">
        <w:instrText>DOCPROPERTY  crYear  \* MERGEFORMAT</w:instrText>
      </w:r>
      <w:r w:rsidR="008D64B9">
        <w:fldChar w:fldCharType="separate"/>
      </w:r>
      <w:r>
        <w:t>2024</w:t>
      </w:r>
      <w:r w:rsidR="008D64B9">
        <w:fldChar w:fldCharType="end"/>
      </w:r>
      <w:r w:rsidRPr="007348B7">
        <w:t>.</w:t>
      </w:r>
      <w:r w:rsidRPr="00D50D0E">
        <w:t xml:space="preserve"> The estimate of the present value of the</w:t>
      </w:r>
      <w:r w:rsidRPr="00BD3638">
        <w:t xml:space="preserve"> liability for long service leave takes into account attrition rates and pay increases through promotion and inflation</w:t>
      </w:r>
      <w:r>
        <w:t>. The estimate of future costs requires management and independent actuarial assessment of assumed salary growth rates, future on-cost rates and the experience of employee departures. The future costs are then discounted to present value using market yields on government bonds in accordance with AASB 119</w:t>
      </w:r>
      <w:r>
        <w:rPr>
          <w:i/>
        </w:rPr>
        <w:t>.</w:t>
      </w:r>
    </w:p>
    <w:p w14:paraId="39BF8D98" w14:textId="77777777" w:rsidR="00B040FE" w:rsidRDefault="00B040FE" w:rsidP="00B040FE">
      <w:pPr>
        <w:spacing w:line="240" w:lineRule="auto"/>
        <w:rPr>
          <w:b/>
          <w:sz w:val="20"/>
        </w:rPr>
      </w:pPr>
      <w:r>
        <w:br w:type="page"/>
      </w:r>
    </w:p>
    <w:p w14:paraId="6ECBD8EE" w14:textId="77777777" w:rsidR="000D1B3E" w:rsidRPr="000D1B3E" w:rsidRDefault="000D1B3E" w:rsidP="000D1B3E">
      <w:pPr>
        <w:spacing w:after="0" w:line="240" w:lineRule="auto"/>
        <w:rPr>
          <w:b/>
          <w:bCs/>
        </w:rPr>
      </w:pPr>
      <w:bookmarkStart w:id="220" w:name="_Toc447030547"/>
      <w:bookmarkStart w:id="221" w:name="_Toc447030699"/>
      <w:bookmarkStart w:id="222" w:name="_Toc447030792"/>
      <w:bookmarkStart w:id="223" w:name="_Toc65742855"/>
      <w:bookmarkStart w:id="224" w:name="_Toc173417301"/>
      <w:r w:rsidRPr="000D1B3E">
        <w:rPr>
          <w:b/>
          <w:bCs/>
        </w:rPr>
        <w:lastRenderedPageBreak/>
        <w:t>National Disability Insurance Agency</w:t>
      </w:r>
    </w:p>
    <w:p w14:paraId="1D4E23A4" w14:textId="77777777" w:rsidR="000D1B3E" w:rsidRPr="000D1B3E" w:rsidRDefault="000D1B3E" w:rsidP="000D1B3E">
      <w:pPr>
        <w:pBdr>
          <w:bottom w:val="single" w:sz="8" w:space="1" w:color="auto"/>
        </w:pBdr>
        <w:rPr>
          <w:b/>
          <w:bCs/>
        </w:rPr>
      </w:pPr>
      <w:r w:rsidRPr="000D1B3E">
        <w:rPr>
          <w:b/>
          <w:bCs/>
        </w:rPr>
        <w:t>NOTES TO AND FORMING PART OF THE FINANCIAL STATEMENTS</w:t>
      </w:r>
    </w:p>
    <w:p w14:paraId="04A7D857" w14:textId="77777777" w:rsidR="00B040FE" w:rsidRPr="007204D0" w:rsidRDefault="00B040FE" w:rsidP="000D1B3E">
      <w:pPr>
        <w:pStyle w:val="SubHeading"/>
        <w:shd w:val="clear" w:color="auto" w:fill="000000" w:themeFill="accent6"/>
      </w:pPr>
      <w:r>
        <w:t>Key</w:t>
      </w:r>
      <w:r w:rsidRPr="007204D0">
        <w:t xml:space="preserve"> Management Personnel Remuneration</w:t>
      </w:r>
      <w:bookmarkEnd w:id="217"/>
      <w:bookmarkEnd w:id="218"/>
      <w:bookmarkEnd w:id="219"/>
      <w:bookmarkEnd w:id="220"/>
      <w:bookmarkEnd w:id="221"/>
      <w:bookmarkEnd w:id="222"/>
      <w:bookmarkEnd w:id="223"/>
      <w:bookmarkEnd w:id="224"/>
    </w:p>
    <w:p w14:paraId="36232619" w14:textId="77777777" w:rsidR="00B040FE" w:rsidRDefault="00B040FE" w:rsidP="000D1B3E">
      <w:pPr>
        <w:autoSpaceDE w:val="0"/>
        <w:autoSpaceDN w:val="0"/>
        <w:adjustRightInd w:val="0"/>
        <w:spacing w:after="0" w:line="240" w:lineRule="auto"/>
        <w:rPr>
          <w:rFonts w:ascii="Cambria" w:hAnsi="Cambria" w:cs="Cambria"/>
          <w:sz w:val="18"/>
          <w:szCs w:val="18"/>
          <w:lang w:eastAsia="en-AU"/>
        </w:rPr>
      </w:pPr>
    </w:p>
    <w:p w14:paraId="7D79522A" w14:textId="77777777" w:rsidR="00B040FE" w:rsidRDefault="00B040FE" w:rsidP="00B040FE">
      <w:pPr>
        <w:autoSpaceDE w:val="0"/>
        <w:autoSpaceDN w:val="0"/>
        <w:adjustRightInd w:val="0"/>
        <w:spacing w:line="240" w:lineRule="auto"/>
        <w:rPr>
          <w:sz w:val="18"/>
        </w:rPr>
      </w:pPr>
      <w:r>
        <w:rPr>
          <w:rFonts w:cs="Arial"/>
          <w:sz w:val="18"/>
          <w:szCs w:val="18"/>
        </w:rPr>
        <w:t>Key M</w:t>
      </w:r>
      <w:r w:rsidRPr="00F5486F">
        <w:rPr>
          <w:rFonts w:cs="Arial"/>
          <w:sz w:val="18"/>
          <w:szCs w:val="18"/>
        </w:rPr>
        <w:t xml:space="preserve">anagement </w:t>
      </w:r>
      <w:r>
        <w:rPr>
          <w:rFonts w:cs="Arial"/>
          <w:sz w:val="18"/>
          <w:szCs w:val="18"/>
        </w:rPr>
        <w:t>P</w:t>
      </w:r>
      <w:r w:rsidRPr="00F5486F">
        <w:rPr>
          <w:rFonts w:cs="Arial"/>
          <w:sz w:val="18"/>
          <w:szCs w:val="18"/>
        </w:rPr>
        <w:t xml:space="preserve">ersonnel </w:t>
      </w:r>
      <w:r>
        <w:rPr>
          <w:rFonts w:cs="Arial"/>
          <w:sz w:val="18"/>
          <w:szCs w:val="18"/>
        </w:rPr>
        <w:t xml:space="preserve">(KMP) </w:t>
      </w:r>
      <w:r w:rsidRPr="00F5486F">
        <w:rPr>
          <w:rFonts w:cs="Arial"/>
          <w:sz w:val="18"/>
          <w:szCs w:val="18"/>
        </w:rPr>
        <w:t>are those persons having authority and responsibility for planning, directing, and</w:t>
      </w:r>
      <w:r>
        <w:rPr>
          <w:rFonts w:cs="Arial"/>
          <w:sz w:val="18"/>
          <w:szCs w:val="18"/>
        </w:rPr>
        <w:t xml:space="preserve"> </w:t>
      </w:r>
      <w:r w:rsidRPr="00F5486F">
        <w:rPr>
          <w:rFonts w:cs="Arial"/>
          <w:sz w:val="18"/>
          <w:szCs w:val="18"/>
        </w:rPr>
        <w:t xml:space="preserve">controlling the activities of the </w:t>
      </w:r>
      <w:r>
        <w:rPr>
          <w:rFonts w:cs="Arial"/>
          <w:sz w:val="18"/>
          <w:szCs w:val="18"/>
        </w:rPr>
        <w:t>Agency, directly or indirectly</w:t>
      </w:r>
      <w:r w:rsidRPr="00F5486F">
        <w:rPr>
          <w:rFonts w:cs="Arial"/>
          <w:sz w:val="18"/>
          <w:szCs w:val="18"/>
        </w:rPr>
        <w:t xml:space="preserve">. </w:t>
      </w:r>
      <w:r w:rsidRPr="001B184D">
        <w:rPr>
          <w:rFonts w:cs="Arial"/>
          <w:sz w:val="18"/>
          <w:szCs w:val="18"/>
        </w:rPr>
        <w:t>The Agency has</w:t>
      </w:r>
      <w:r w:rsidRPr="00F5486F">
        <w:rPr>
          <w:rFonts w:cs="Arial"/>
          <w:sz w:val="18"/>
          <w:szCs w:val="18"/>
        </w:rPr>
        <w:t xml:space="preserve"> determined the </w:t>
      </w:r>
      <w:r>
        <w:rPr>
          <w:rFonts w:cs="Arial"/>
          <w:sz w:val="18"/>
          <w:szCs w:val="18"/>
        </w:rPr>
        <w:t>K</w:t>
      </w:r>
      <w:r w:rsidRPr="00F5486F">
        <w:rPr>
          <w:rFonts w:cs="Arial"/>
          <w:sz w:val="18"/>
          <w:szCs w:val="18"/>
        </w:rPr>
        <w:t>ey</w:t>
      </w:r>
      <w:r>
        <w:rPr>
          <w:rFonts w:cs="Arial"/>
          <w:sz w:val="18"/>
          <w:szCs w:val="18"/>
        </w:rPr>
        <w:t xml:space="preserve"> Management Personnel to be </w:t>
      </w:r>
      <w:r w:rsidRPr="00EA2C48">
        <w:rPr>
          <w:rFonts w:cs="Arial"/>
          <w:sz w:val="18"/>
          <w:szCs w:val="18"/>
        </w:rPr>
        <w:t xml:space="preserve">Board </w:t>
      </w:r>
      <w:r>
        <w:rPr>
          <w:rFonts w:cs="Arial"/>
          <w:sz w:val="18"/>
          <w:szCs w:val="18"/>
        </w:rPr>
        <w:t>m</w:t>
      </w:r>
      <w:r w:rsidRPr="00EA2C48">
        <w:rPr>
          <w:rFonts w:cs="Arial"/>
          <w:sz w:val="18"/>
          <w:szCs w:val="18"/>
        </w:rPr>
        <w:t>embers,</w:t>
      </w:r>
      <w:r>
        <w:rPr>
          <w:rFonts w:cs="Arial"/>
          <w:sz w:val="18"/>
          <w:szCs w:val="18"/>
        </w:rPr>
        <w:t xml:space="preserve"> the Chief Executive, </w:t>
      </w:r>
      <w:r w:rsidRPr="00F5486F">
        <w:rPr>
          <w:rFonts w:cs="Arial"/>
          <w:sz w:val="18"/>
          <w:szCs w:val="18"/>
        </w:rPr>
        <w:t>and</w:t>
      </w:r>
      <w:r>
        <w:rPr>
          <w:rFonts w:cs="Arial"/>
          <w:sz w:val="18"/>
          <w:szCs w:val="18"/>
        </w:rPr>
        <w:t xml:space="preserve"> other members of the Strategic Leadership Team. </w:t>
      </w:r>
      <w:r>
        <w:rPr>
          <w:sz w:val="18"/>
        </w:rPr>
        <w:t>Despite the formal definition of Key Management Personnel, Board members are independent of management.</w:t>
      </w:r>
    </w:p>
    <w:p w14:paraId="0F060489" w14:textId="77777777" w:rsidR="00B040FE" w:rsidRDefault="00B040FE" w:rsidP="00B040FE">
      <w:pPr>
        <w:autoSpaceDE w:val="0"/>
        <w:autoSpaceDN w:val="0"/>
        <w:adjustRightInd w:val="0"/>
        <w:spacing w:line="240" w:lineRule="auto"/>
        <w:rPr>
          <w:rFonts w:cs="Arial"/>
          <w:sz w:val="18"/>
          <w:szCs w:val="18"/>
        </w:rPr>
      </w:pPr>
      <w:r w:rsidRPr="00930A78">
        <w:rPr>
          <w:rFonts w:cs="Arial"/>
          <w:sz w:val="18"/>
          <w:szCs w:val="18"/>
        </w:rPr>
        <w:t xml:space="preserve">Key </w:t>
      </w:r>
      <w:r>
        <w:rPr>
          <w:rFonts w:cs="Arial"/>
          <w:sz w:val="18"/>
          <w:szCs w:val="18"/>
        </w:rPr>
        <w:t>M</w:t>
      </w:r>
      <w:r w:rsidRPr="00930A78">
        <w:rPr>
          <w:rFonts w:cs="Arial"/>
          <w:sz w:val="18"/>
          <w:szCs w:val="18"/>
        </w:rPr>
        <w:t xml:space="preserve">anagement </w:t>
      </w:r>
      <w:r>
        <w:rPr>
          <w:rFonts w:cs="Arial"/>
          <w:sz w:val="18"/>
          <w:szCs w:val="18"/>
        </w:rPr>
        <w:t>P</w:t>
      </w:r>
      <w:r w:rsidRPr="00930A78">
        <w:rPr>
          <w:rFonts w:cs="Arial"/>
          <w:sz w:val="18"/>
          <w:szCs w:val="18"/>
        </w:rPr>
        <w:t xml:space="preserve">ersonnel </w:t>
      </w:r>
      <w:r>
        <w:rPr>
          <w:rFonts w:cs="Arial"/>
          <w:sz w:val="18"/>
          <w:szCs w:val="18"/>
        </w:rPr>
        <w:t>r</w:t>
      </w:r>
      <w:r w:rsidRPr="00930A78">
        <w:rPr>
          <w:rFonts w:cs="Arial"/>
          <w:sz w:val="18"/>
          <w:szCs w:val="18"/>
        </w:rPr>
        <w:t>emuneration</w:t>
      </w:r>
      <w:r>
        <w:rPr>
          <w:rFonts w:cs="Arial"/>
          <w:sz w:val="18"/>
          <w:szCs w:val="18"/>
        </w:rPr>
        <w:t xml:space="preserve"> </w:t>
      </w:r>
      <w:r w:rsidRPr="00F5486F">
        <w:rPr>
          <w:rFonts w:cs="Arial"/>
          <w:sz w:val="18"/>
          <w:szCs w:val="18"/>
        </w:rPr>
        <w:t>is</w:t>
      </w:r>
      <w:r>
        <w:rPr>
          <w:rFonts w:cs="Arial"/>
          <w:sz w:val="18"/>
          <w:szCs w:val="18"/>
        </w:rPr>
        <w:t xml:space="preserve"> reported in the table below: </w:t>
      </w:r>
    </w:p>
    <w:tbl>
      <w:tblPr>
        <w:tblW w:w="9087" w:type="dxa"/>
        <w:tblLayout w:type="fixed"/>
        <w:tblLook w:val="04A0" w:firstRow="1" w:lastRow="0" w:firstColumn="1" w:lastColumn="0" w:noHBand="0" w:noVBand="1"/>
      </w:tblPr>
      <w:tblGrid>
        <w:gridCol w:w="6353"/>
        <w:gridCol w:w="1257"/>
        <w:gridCol w:w="236"/>
        <w:gridCol w:w="1241"/>
      </w:tblGrid>
      <w:tr w:rsidR="00B040FE" w14:paraId="44240948" w14:textId="77777777" w:rsidTr="005E5E0C">
        <w:trPr>
          <w:trHeight w:val="260"/>
        </w:trPr>
        <w:tc>
          <w:tcPr>
            <w:tcW w:w="6353" w:type="dxa"/>
            <w:tcBorders>
              <w:top w:val="nil"/>
              <w:left w:val="nil"/>
              <w:bottom w:val="nil"/>
              <w:right w:val="nil"/>
            </w:tcBorders>
            <w:shd w:val="clear" w:color="FFFFFF" w:fill="FFFFFF"/>
            <w:noWrap/>
            <w:vAlign w:val="bottom"/>
            <w:hideMark/>
          </w:tcPr>
          <w:p w14:paraId="1E97AA0D" w14:textId="77777777" w:rsidR="00B040FE" w:rsidRDefault="00B040FE" w:rsidP="000D1B3E">
            <w:pPr>
              <w:spacing w:after="0"/>
              <w:rPr>
                <w:rFonts w:cs="Arial"/>
                <w:b/>
                <w:bCs/>
                <w:sz w:val="18"/>
                <w:szCs w:val="18"/>
              </w:rPr>
            </w:pPr>
            <w:bookmarkStart w:id="225" w:name="Note_ERETABLE1" w:colFirst="0" w:colLast="0"/>
            <w:r>
              <w:rPr>
                <w:rFonts w:cs="Arial"/>
                <w:b/>
                <w:bCs/>
                <w:sz w:val="18"/>
                <w:szCs w:val="18"/>
              </w:rPr>
              <w:t> </w:t>
            </w:r>
          </w:p>
        </w:tc>
        <w:tc>
          <w:tcPr>
            <w:tcW w:w="1257" w:type="dxa"/>
            <w:tcBorders>
              <w:top w:val="nil"/>
              <w:left w:val="nil"/>
              <w:bottom w:val="nil"/>
              <w:right w:val="nil"/>
            </w:tcBorders>
            <w:shd w:val="clear" w:color="FFFFFF" w:fill="FFFFFF"/>
            <w:vAlign w:val="bottom"/>
            <w:hideMark/>
          </w:tcPr>
          <w:p w14:paraId="3B6378AF" w14:textId="77777777" w:rsidR="00B040FE" w:rsidRDefault="00B040FE" w:rsidP="000D1B3E">
            <w:pPr>
              <w:spacing w:after="0"/>
              <w:jc w:val="right"/>
              <w:rPr>
                <w:rFonts w:cs="Arial"/>
                <w:b/>
                <w:bCs/>
                <w:sz w:val="18"/>
                <w:szCs w:val="18"/>
              </w:rPr>
            </w:pPr>
            <w:r>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7219A1BF" w14:textId="77777777" w:rsidR="00B040FE" w:rsidRDefault="00B040FE" w:rsidP="000D1B3E">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5C5F03DC" w14:textId="77777777" w:rsidR="00B040FE" w:rsidRDefault="00B040FE" w:rsidP="000D1B3E">
            <w:pPr>
              <w:spacing w:after="0"/>
              <w:jc w:val="right"/>
              <w:rPr>
                <w:rFonts w:cs="Arial"/>
                <w:sz w:val="18"/>
                <w:szCs w:val="18"/>
              </w:rPr>
            </w:pPr>
            <w:r>
              <w:rPr>
                <w:rFonts w:cs="Arial"/>
                <w:sz w:val="18"/>
                <w:szCs w:val="18"/>
              </w:rPr>
              <w:t>2023</w:t>
            </w:r>
          </w:p>
        </w:tc>
      </w:tr>
      <w:bookmarkEnd w:id="225"/>
      <w:tr w:rsidR="00B040FE" w14:paraId="467112ED" w14:textId="77777777" w:rsidTr="005E5E0C">
        <w:trPr>
          <w:trHeight w:val="260"/>
        </w:trPr>
        <w:tc>
          <w:tcPr>
            <w:tcW w:w="6353" w:type="dxa"/>
            <w:tcBorders>
              <w:top w:val="nil"/>
              <w:left w:val="nil"/>
              <w:bottom w:val="nil"/>
              <w:right w:val="nil"/>
            </w:tcBorders>
            <w:shd w:val="clear" w:color="FFFFFF" w:fill="FFFFFF"/>
            <w:noWrap/>
            <w:vAlign w:val="bottom"/>
            <w:hideMark/>
          </w:tcPr>
          <w:p w14:paraId="3584DA63" w14:textId="77777777" w:rsidR="00B040FE" w:rsidRDefault="00B040FE" w:rsidP="000D1B3E">
            <w:pPr>
              <w:spacing w:after="0"/>
              <w:rPr>
                <w:rFonts w:cs="Arial"/>
                <w:sz w:val="18"/>
                <w:szCs w:val="18"/>
              </w:rPr>
            </w:pPr>
            <w:r>
              <w:rPr>
                <w:rFonts w:cs="Arial"/>
                <w:sz w:val="18"/>
                <w:szCs w:val="18"/>
              </w:rPr>
              <w:t> </w:t>
            </w:r>
          </w:p>
        </w:tc>
        <w:tc>
          <w:tcPr>
            <w:tcW w:w="1257" w:type="dxa"/>
            <w:tcBorders>
              <w:top w:val="nil"/>
              <w:left w:val="nil"/>
              <w:bottom w:val="nil"/>
              <w:right w:val="nil"/>
            </w:tcBorders>
            <w:shd w:val="clear" w:color="FFFFFF" w:fill="FFFFFF"/>
            <w:vAlign w:val="bottom"/>
            <w:hideMark/>
          </w:tcPr>
          <w:p w14:paraId="44BAC987" w14:textId="77777777" w:rsidR="00B040FE" w:rsidRDefault="00B040FE" w:rsidP="000D1B3E">
            <w:pPr>
              <w:spacing w:after="0"/>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4CD21769" w14:textId="77777777" w:rsidR="00B040FE" w:rsidRDefault="00B040FE" w:rsidP="000D1B3E">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32D8E90B" w14:textId="77777777" w:rsidR="00B040FE" w:rsidRDefault="00B040FE" w:rsidP="000D1B3E">
            <w:pPr>
              <w:spacing w:after="0"/>
              <w:jc w:val="right"/>
              <w:rPr>
                <w:rFonts w:cs="Arial"/>
                <w:sz w:val="18"/>
                <w:szCs w:val="18"/>
              </w:rPr>
            </w:pPr>
            <w:r>
              <w:rPr>
                <w:rFonts w:cs="Arial"/>
                <w:sz w:val="18"/>
                <w:szCs w:val="18"/>
              </w:rPr>
              <w:t>$'000</w:t>
            </w:r>
          </w:p>
        </w:tc>
      </w:tr>
      <w:tr w:rsidR="00B040FE" w14:paraId="4FB0946A" w14:textId="77777777" w:rsidTr="005E5E0C">
        <w:trPr>
          <w:trHeight w:val="280"/>
        </w:trPr>
        <w:tc>
          <w:tcPr>
            <w:tcW w:w="6353" w:type="dxa"/>
            <w:tcBorders>
              <w:top w:val="nil"/>
              <w:left w:val="nil"/>
              <w:bottom w:val="nil"/>
              <w:right w:val="nil"/>
            </w:tcBorders>
            <w:shd w:val="clear" w:color="FFFFFF" w:fill="FFFFFF"/>
            <w:noWrap/>
            <w:vAlign w:val="bottom"/>
            <w:hideMark/>
          </w:tcPr>
          <w:p w14:paraId="7AEFF652" w14:textId="77777777" w:rsidR="00B040FE" w:rsidRDefault="00B040FE" w:rsidP="000D1B3E">
            <w:pPr>
              <w:spacing w:after="0"/>
              <w:rPr>
                <w:rFonts w:cs="Arial"/>
                <w:b/>
                <w:bCs/>
                <w:sz w:val="18"/>
                <w:szCs w:val="18"/>
                <w:u w:val="single"/>
              </w:rPr>
            </w:pPr>
            <w:r>
              <w:rPr>
                <w:rFonts w:cs="Arial"/>
                <w:b/>
                <w:bCs/>
                <w:sz w:val="18"/>
                <w:szCs w:val="18"/>
                <w:u w:val="single"/>
              </w:rPr>
              <w:t>Note 3.1: Key Management Personnel Remuneration</w:t>
            </w:r>
            <w:r>
              <w:rPr>
                <w:rFonts w:cs="Arial"/>
                <w:b/>
                <w:bCs/>
                <w:sz w:val="18"/>
                <w:szCs w:val="18"/>
                <w:u w:val="single"/>
                <w:vertAlign w:val="superscript"/>
              </w:rPr>
              <w:t>1</w:t>
            </w:r>
          </w:p>
        </w:tc>
        <w:tc>
          <w:tcPr>
            <w:tcW w:w="1257" w:type="dxa"/>
            <w:tcBorders>
              <w:top w:val="nil"/>
              <w:left w:val="nil"/>
              <w:bottom w:val="nil"/>
              <w:right w:val="nil"/>
            </w:tcBorders>
            <w:shd w:val="clear" w:color="FFFFFF" w:fill="FFFFFF"/>
            <w:vAlign w:val="bottom"/>
            <w:hideMark/>
          </w:tcPr>
          <w:p w14:paraId="62C99B07" w14:textId="77777777" w:rsidR="00B040FE" w:rsidRDefault="00B040FE" w:rsidP="000D1B3E">
            <w:pPr>
              <w:spacing w:after="0"/>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B4D4377" w14:textId="77777777" w:rsidR="00B040FE" w:rsidRDefault="00B040FE" w:rsidP="000D1B3E">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0E2229F7" w14:textId="77777777" w:rsidR="00B040FE" w:rsidRDefault="00B040FE" w:rsidP="000D1B3E">
            <w:pPr>
              <w:spacing w:after="0"/>
              <w:jc w:val="right"/>
              <w:rPr>
                <w:rFonts w:cs="Arial"/>
                <w:sz w:val="18"/>
                <w:szCs w:val="18"/>
              </w:rPr>
            </w:pPr>
            <w:r>
              <w:rPr>
                <w:rFonts w:cs="Arial"/>
                <w:sz w:val="18"/>
                <w:szCs w:val="18"/>
              </w:rPr>
              <w:t> </w:t>
            </w:r>
          </w:p>
        </w:tc>
      </w:tr>
      <w:tr w:rsidR="00B040FE" w14:paraId="0E0E4FCE" w14:textId="77777777" w:rsidTr="005E5E0C">
        <w:trPr>
          <w:trHeight w:val="270"/>
        </w:trPr>
        <w:tc>
          <w:tcPr>
            <w:tcW w:w="6353" w:type="dxa"/>
            <w:tcBorders>
              <w:top w:val="nil"/>
              <w:left w:val="nil"/>
              <w:bottom w:val="nil"/>
              <w:right w:val="nil"/>
            </w:tcBorders>
            <w:shd w:val="clear" w:color="FFFFFF" w:fill="FFFFFF"/>
            <w:noWrap/>
            <w:vAlign w:val="bottom"/>
            <w:hideMark/>
          </w:tcPr>
          <w:p w14:paraId="443A7C60" w14:textId="77777777" w:rsidR="00B040FE" w:rsidRDefault="00B040FE" w:rsidP="000D1B3E">
            <w:pPr>
              <w:spacing w:after="0"/>
              <w:ind w:firstLineChars="100" w:firstLine="180"/>
              <w:rPr>
                <w:rFonts w:cs="Arial"/>
                <w:sz w:val="18"/>
                <w:szCs w:val="18"/>
              </w:rPr>
            </w:pPr>
            <w:r>
              <w:rPr>
                <w:rFonts w:cs="Arial"/>
                <w:sz w:val="18"/>
                <w:szCs w:val="18"/>
              </w:rPr>
              <w:t>Short-term employee benefits</w:t>
            </w:r>
            <w:r>
              <w:rPr>
                <w:rFonts w:cs="Arial"/>
                <w:sz w:val="18"/>
                <w:szCs w:val="18"/>
                <w:vertAlign w:val="superscript"/>
              </w:rPr>
              <w:t>2, 3</w:t>
            </w:r>
          </w:p>
        </w:tc>
        <w:tc>
          <w:tcPr>
            <w:tcW w:w="1257" w:type="dxa"/>
            <w:tcBorders>
              <w:top w:val="nil"/>
              <w:left w:val="nil"/>
              <w:bottom w:val="nil"/>
              <w:right w:val="nil"/>
            </w:tcBorders>
            <w:shd w:val="clear" w:color="FFFFFF" w:fill="FFFFFF"/>
            <w:noWrap/>
            <w:vAlign w:val="bottom"/>
            <w:hideMark/>
          </w:tcPr>
          <w:p w14:paraId="12C24EDC" w14:textId="77777777" w:rsidR="00B040FE" w:rsidRDefault="00B040FE" w:rsidP="000D1B3E">
            <w:pPr>
              <w:spacing w:after="0"/>
              <w:jc w:val="right"/>
              <w:rPr>
                <w:rFonts w:cs="Arial"/>
                <w:b/>
                <w:bCs/>
                <w:sz w:val="18"/>
                <w:szCs w:val="18"/>
              </w:rPr>
            </w:pPr>
            <w:r>
              <w:rPr>
                <w:rFonts w:cs="Arial"/>
                <w:b/>
                <w:bCs/>
                <w:sz w:val="18"/>
                <w:szCs w:val="18"/>
              </w:rPr>
              <w:t>5,021</w:t>
            </w:r>
          </w:p>
        </w:tc>
        <w:tc>
          <w:tcPr>
            <w:tcW w:w="236" w:type="dxa"/>
            <w:tcBorders>
              <w:top w:val="nil"/>
              <w:left w:val="nil"/>
              <w:bottom w:val="nil"/>
              <w:right w:val="nil"/>
            </w:tcBorders>
            <w:shd w:val="clear" w:color="FFFFFF" w:fill="FFFFFF"/>
            <w:noWrap/>
            <w:vAlign w:val="bottom"/>
            <w:hideMark/>
          </w:tcPr>
          <w:p w14:paraId="43581B8C" w14:textId="77777777" w:rsidR="00B040FE" w:rsidRDefault="00B040FE" w:rsidP="000D1B3E">
            <w:pPr>
              <w:spacing w:after="0"/>
              <w:rPr>
                <w:rFonts w:cs="Arial"/>
                <w:b/>
                <w:bCs/>
                <w:color w:val="00B050"/>
                <w:sz w:val="18"/>
                <w:szCs w:val="18"/>
              </w:rPr>
            </w:pPr>
            <w:r>
              <w:rPr>
                <w:rFonts w:cs="Arial"/>
                <w:b/>
                <w:bCs/>
                <w:color w:val="00B050"/>
                <w:sz w:val="18"/>
                <w:szCs w:val="18"/>
              </w:rPr>
              <w:t> </w:t>
            </w:r>
          </w:p>
        </w:tc>
        <w:tc>
          <w:tcPr>
            <w:tcW w:w="1241" w:type="dxa"/>
            <w:tcBorders>
              <w:top w:val="nil"/>
              <w:left w:val="nil"/>
              <w:bottom w:val="nil"/>
              <w:right w:val="nil"/>
            </w:tcBorders>
            <w:shd w:val="clear" w:color="FFFFFF" w:fill="FFFFFF"/>
            <w:noWrap/>
            <w:vAlign w:val="bottom"/>
            <w:hideMark/>
          </w:tcPr>
          <w:p w14:paraId="2625AA98" w14:textId="77777777" w:rsidR="00B040FE" w:rsidRDefault="00B040FE" w:rsidP="000D1B3E">
            <w:pPr>
              <w:spacing w:after="0"/>
              <w:jc w:val="right"/>
              <w:rPr>
                <w:rFonts w:cs="Arial"/>
                <w:sz w:val="18"/>
                <w:szCs w:val="18"/>
              </w:rPr>
            </w:pPr>
            <w:r>
              <w:rPr>
                <w:rFonts w:cs="Arial"/>
                <w:sz w:val="18"/>
                <w:szCs w:val="18"/>
              </w:rPr>
              <w:t>5,365</w:t>
            </w:r>
          </w:p>
        </w:tc>
      </w:tr>
      <w:tr w:rsidR="00B040FE" w14:paraId="65F862CE" w14:textId="77777777" w:rsidTr="005E5E0C">
        <w:trPr>
          <w:trHeight w:val="250"/>
        </w:trPr>
        <w:tc>
          <w:tcPr>
            <w:tcW w:w="6353" w:type="dxa"/>
            <w:tcBorders>
              <w:top w:val="nil"/>
              <w:left w:val="nil"/>
              <w:bottom w:val="nil"/>
              <w:right w:val="nil"/>
            </w:tcBorders>
            <w:shd w:val="clear" w:color="FFFFFF" w:fill="FFFFFF"/>
            <w:noWrap/>
            <w:vAlign w:val="bottom"/>
            <w:hideMark/>
          </w:tcPr>
          <w:p w14:paraId="5618495B" w14:textId="77777777" w:rsidR="00B040FE" w:rsidRDefault="00B040FE" w:rsidP="000D1B3E">
            <w:pPr>
              <w:spacing w:after="0"/>
              <w:ind w:firstLineChars="100" w:firstLine="180"/>
              <w:rPr>
                <w:rFonts w:cs="Arial"/>
                <w:sz w:val="18"/>
                <w:szCs w:val="18"/>
              </w:rPr>
            </w:pPr>
            <w:r>
              <w:rPr>
                <w:rFonts w:cs="Arial"/>
                <w:sz w:val="18"/>
                <w:szCs w:val="18"/>
              </w:rPr>
              <w:t>Post-employment benefits</w:t>
            </w:r>
          </w:p>
        </w:tc>
        <w:tc>
          <w:tcPr>
            <w:tcW w:w="1257" w:type="dxa"/>
            <w:tcBorders>
              <w:top w:val="nil"/>
              <w:left w:val="nil"/>
              <w:bottom w:val="nil"/>
              <w:right w:val="nil"/>
            </w:tcBorders>
            <w:shd w:val="clear" w:color="FFFFFF" w:fill="FFFFFF"/>
            <w:noWrap/>
            <w:vAlign w:val="bottom"/>
            <w:hideMark/>
          </w:tcPr>
          <w:p w14:paraId="7CC318BF" w14:textId="77777777" w:rsidR="00B040FE" w:rsidRDefault="00B040FE" w:rsidP="000D1B3E">
            <w:pPr>
              <w:spacing w:after="0"/>
              <w:jc w:val="right"/>
              <w:rPr>
                <w:rFonts w:cs="Arial"/>
                <w:b/>
                <w:bCs/>
                <w:sz w:val="18"/>
                <w:szCs w:val="18"/>
              </w:rPr>
            </w:pPr>
            <w:r>
              <w:rPr>
                <w:rFonts w:cs="Arial"/>
                <w:b/>
                <w:bCs/>
                <w:sz w:val="18"/>
                <w:szCs w:val="18"/>
              </w:rPr>
              <w:t>638</w:t>
            </w:r>
          </w:p>
        </w:tc>
        <w:tc>
          <w:tcPr>
            <w:tcW w:w="236" w:type="dxa"/>
            <w:tcBorders>
              <w:top w:val="nil"/>
              <w:left w:val="nil"/>
              <w:bottom w:val="nil"/>
              <w:right w:val="nil"/>
            </w:tcBorders>
            <w:shd w:val="clear" w:color="FFFFFF" w:fill="FFFFFF"/>
            <w:noWrap/>
            <w:vAlign w:val="bottom"/>
            <w:hideMark/>
          </w:tcPr>
          <w:p w14:paraId="63995EC8" w14:textId="77777777" w:rsidR="00B040FE" w:rsidRDefault="00B040FE" w:rsidP="000D1B3E">
            <w:pPr>
              <w:spacing w:after="0"/>
              <w:rPr>
                <w:rFonts w:cs="Arial"/>
                <w:b/>
                <w:bCs/>
                <w:sz w:val="18"/>
                <w:szCs w:val="18"/>
              </w:rPr>
            </w:pPr>
            <w:r>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0DD60131" w14:textId="77777777" w:rsidR="00B040FE" w:rsidRDefault="00B040FE" w:rsidP="000D1B3E">
            <w:pPr>
              <w:spacing w:after="0"/>
              <w:jc w:val="right"/>
              <w:rPr>
                <w:rFonts w:cs="Arial"/>
                <w:sz w:val="18"/>
                <w:szCs w:val="18"/>
              </w:rPr>
            </w:pPr>
            <w:r>
              <w:rPr>
                <w:rFonts w:cs="Arial"/>
                <w:sz w:val="18"/>
                <w:szCs w:val="18"/>
              </w:rPr>
              <w:t>568</w:t>
            </w:r>
          </w:p>
        </w:tc>
      </w:tr>
      <w:tr w:rsidR="00B040FE" w14:paraId="73018E90" w14:textId="77777777" w:rsidTr="005E5E0C">
        <w:trPr>
          <w:trHeight w:val="250"/>
        </w:trPr>
        <w:tc>
          <w:tcPr>
            <w:tcW w:w="6353" w:type="dxa"/>
            <w:tcBorders>
              <w:top w:val="nil"/>
              <w:left w:val="nil"/>
              <w:bottom w:val="nil"/>
              <w:right w:val="nil"/>
            </w:tcBorders>
            <w:shd w:val="clear" w:color="FFFFFF" w:fill="FFFFFF"/>
            <w:noWrap/>
            <w:vAlign w:val="bottom"/>
            <w:hideMark/>
          </w:tcPr>
          <w:p w14:paraId="04F366E9" w14:textId="77777777" w:rsidR="00B040FE" w:rsidRDefault="00B040FE" w:rsidP="000D1B3E">
            <w:pPr>
              <w:spacing w:after="0"/>
              <w:ind w:firstLineChars="100" w:firstLine="180"/>
              <w:rPr>
                <w:rFonts w:cs="Arial"/>
                <w:sz w:val="18"/>
                <w:szCs w:val="18"/>
              </w:rPr>
            </w:pPr>
            <w:r>
              <w:rPr>
                <w:rFonts w:cs="Arial"/>
                <w:sz w:val="18"/>
                <w:szCs w:val="18"/>
              </w:rPr>
              <w:t>Other long-term employee benefits</w:t>
            </w:r>
          </w:p>
        </w:tc>
        <w:tc>
          <w:tcPr>
            <w:tcW w:w="1257" w:type="dxa"/>
            <w:tcBorders>
              <w:top w:val="nil"/>
              <w:left w:val="nil"/>
              <w:bottom w:val="nil"/>
              <w:right w:val="nil"/>
            </w:tcBorders>
            <w:shd w:val="clear" w:color="FFFFFF" w:fill="FFFFFF"/>
            <w:noWrap/>
            <w:vAlign w:val="bottom"/>
            <w:hideMark/>
          </w:tcPr>
          <w:p w14:paraId="08BFA59B" w14:textId="77777777" w:rsidR="00B040FE" w:rsidRDefault="00B040FE" w:rsidP="000D1B3E">
            <w:pPr>
              <w:spacing w:after="0"/>
              <w:jc w:val="right"/>
              <w:rPr>
                <w:rFonts w:cs="Arial"/>
                <w:b/>
                <w:bCs/>
                <w:sz w:val="18"/>
                <w:szCs w:val="18"/>
              </w:rPr>
            </w:pPr>
            <w:r>
              <w:rPr>
                <w:rFonts w:cs="Arial"/>
                <w:b/>
                <w:bCs/>
                <w:sz w:val="18"/>
                <w:szCs w:val="18"/>
              </w:rPr>
              <w:t>99</w:t>
            </w:r>
          </w:p>
        </w:tc>
        <w:tc>
          <w:tcPr>
            <w:tcW w:w="236" w:type="dxa"/>
            <w:tcBorders>
              <w:top w:val="nil"/>
              <w:left w:val="nil"/>
              <w:bottom w:val="nil"/>
              <w:right w:val="nil"/>
            </w:tcBorders>
            <w:shd w:val="clear" w:color="FFFFFF" w:fill="FFFFFF"/>
            <w:noWrap/>
            <w:vAlign w:val="bottom"/>
            <w:hideMark/>
          </w:tcPr>
          <w:p w14:paraId="3B40DE2F" w14:textId="77777777" w:rsidR="00B040FE" w:rsidRDefault="00B040FE" w:rsidP="000D1B3E">
            <w:pPr>
              <w:spacing w:after="0"/>
              <w:rPr>
                <w:rFonts w:cs="Arial"/>
                <w:b/>
                <w:bCs/>
                <w:sz w:val="18"/>
                <w:szCs w:val="18"/>
              </w:rPr>
            </w:pPr>
            <w:r>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429897BA" w14:textId="77777777" w:rsidR="00B040FE" w:rsidRDefault="00B040FE" w:rsidP="000D1B3E">
            <w:pPr>
              <w:spacing w:after="0"/>
              <w:jc w:val="right"/>
              <w:rPr>
                <w:rFonts w:cs="Arial"/>
                <w:sz w:val="18"/>
                <w:szCs w:val="18"/>
              </w:rPr>
            </w:pPr>
            <w:r>
              <w:rPr>
                <w:rFonts w:cs="Arial"/>
                <w:sz w:val="18"/>
                <w:szCs w:val="18"/>
              </w:rPr>
              <w:t>81</w:t>
            </w:r>
          </w:p>
        </w:tc>
      </w:tr>
      <w:tr w:rsidR="00B040FE" w14:paraId="780AD33F" w14:textId="77777777" w:rsidTr="005E5E0C">
        <w:trPr>
          <w:trHeight w:val="250"/>
        </w:trPr>
        <w:tc>
          <w:tcPr>
            <w:tcW w:w="6353" w:type="dxa"/>
            <w:tcBorders>
              <w:top w:val="nil"/>
              <w:left w:val="nil"/>
              <w:bottom w:val="nil"/>
              <w:right w:val="nil"/>
            </w:tcBorders>
            <w:shd w:val="clear" w:color="FFFFFF" w:fill="FFFFFF"/>
            <w:noWrap/>
            <w:vAlign w:val="bottom"/>
            <w:hideMark/>
          </w:tcPr>
          <w:p w14:paraId="1DC71BE8" w14:textId="77777777" w:rsidR="00B040FE" w:rsidRDefault="00B040FE" w:rsidP="000D1B3E">
            <w:pPr>
              <w:spacing w:after="0"/>
              <w:ind w:firstLineChars="100" w:firstLine="180"/>
              <w:rPr>
                <w:rFonts w:cs="Arial"/>
                <w:sz w:val="18"/>
                <w:szCs w:val="18"/>
              </w:rPr>
            </w:pPr>
            <w:r>
              <w:rPr>
                <w:rFonts w:cs="Arial"/>
                <w:sz w:val="18"/>
                <w:szCs w:val="18"/>
              </w:rPr>
              <w:t>Termination benefits</w:t>
            </w:r>
          </w:p>
        </w:tc>
        <w:tc>
          <w:tcPr>
            <w:tcW w:w="1257" w:type="dxa"/>
            <w:tcBorders>
              <w:top w:val="nil"/>
              <w:left w:val="nil"/>
              <w:bottom w:val="nil"/>
              <w:right w:val="nil"/>
            </w:tcBorders>
            <w:shd w:val="clear" w:color="FFFFFF" w:fill="FFFFFF"/>
            <w:noWrap/>
            <w:vAlign w:val="bottom"/>
            <w:hideMark/>
          </w:tcPr>
          <w:p w14:paraId="7A8654D7" w14:textId="77777777" w:rsidR="00B040FE" w:rsidRDefault="00B040FE" w:rsidP="000D1B3E">
            <w:pPr>
              <w:spacing w:after="0"/>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0E71B9D7" w14:textId="77777777" w:rsidR="00B040FE" w:rsidRDefault="00B040FE" w:rsidP="000D1B3E">
            <w:pPr>
              <w:spacing w:after="0"/>
              <w:rPr>
                <w:rFonts w:cs="Arial"/>
                <w:b/>
                <w:bCs/>
                <w:sz w:val="18"/>
                <w:szCs w:val="18"/>
              </w:rPr>
            </w:pPr>
            <w:r>
              <w:rPr>
                <w:rFonts w:cs="Arial"/>
                <w:b/>
                <w:bCs/>
                <w:sz w:val="18"/>
                <w:szCs w:val="18"/>
              </w:rPr>
              <w:t> </w:t>
            </w:r>
          </w:p>
        </w:tc>
        <w:tc>
          <w:tcPr>
            <w:tcW w:w="1241" w:type="dxa"/>
            <w:tcBorders>
              <w:top w:val="nil"/>
              <w:left w:val="nil"/>
              <w:bottom w:val="nil"/>
              <w:right w:val="nil"/>
            </w:tcBorders>
            <w:shd w:val="clear" w:color="FFFFFF" w:fill="FFFFFF"/>
            <w:noWrap/>
            <w:vAlign w:val="bottom"/>
            <w:hideMark/>
          </w:tcPr>
          <w:p w14:paraId="3BF318CA" w14:textId="77777777" w:rsidR="00B040FE" w:rsidRDefault="00B040FE" w:rsidP="000D1B3E">
            <w:pPr>
              <w:spacing w:after="0"/>
              <w:jc w:val="right"/>
              <w:rPr>
                <w:rFonts w:cs="Arial"/>
                <w:sz w:val="18"/>
                <w:szCs w:val="18"/>
              </w:rPr>
            </w:pPr>
            <w:r>
              <w:rPr>
                <w:rFonts w:cs="Arial"/>
                <w:sz w:val="18"/>
                <w:szCs w:val="18"/>
              </w:rPr>
              <w:t>237</w:t>
            </w:r>
          </w:p>
        </w:tc>
      </w:tr>
      <w:tr w:rsidR="00B040FE" w14:paraId="3D5186F0" w14:textId="77777777" w:rsidTr="005E5E0C">
        <w:trPr>
          <w:trHeight w:val="280"/>
        </w:trPr>
        <w:tc>
          <w:tcPr>
            <w:tcW w:w="6353" w:type="dxa"/>
            <w:tcBorders>
              <w:top w:val="nil"/>
              <w:left w:val="nil"/>
              <w:bottom w:val="nil"/>
              <w:right w:val="nil"/>
            </w:tcBorders>
            <w:shd w:val="clear" w:color="FFFFFF" w:fill="FFFFFF"/>
            <w:vAlign w:val="bottom"/>
            <w:hideMark/>
          </w:tcPr>
          <w:p w14:paraId="52571E3B" w14:textId="77777777" w:rsidR="00B040FE" w:rsidRDefault="00B040FE" w:rsidP="000D1B3E">
            <w:pPr>
              <w:spacing w:after="0"/>
              <w:rPr>
                <w:rFonts w:cs="Arial"/>
                <w:b/>
                <w:bCs/>
                <w:sz w:val="18"/>
                <w:szCs w:val="18"/>
              </w:rPr>
            </w:pPr>
            <w:r>
              <w:rPr>
                <w:rFonts w:cs="Arial"/>
                <w:b/>
                <w:bCs/>
                <w:sz w:val="18"/>
                <w:szCs w:val="18"/>
              </w:rPr>
              <w:t>Total Key Management Personnel remuneration expenses</w:t>
            </w:r>
            <w:r>
              <w:rPr>
                <w:rFonts w:cs="Arial"/>
                <w:b/>
                <w:bCs/>
                <w:sz w:val="18"/>
                <w:szCs w:val="18"/>
                <w:vertAlign w:val="superscript"/>
              </w:rPr>
              <w:t>4</w:t>
            </w:r>
          </w:p>
        </w:tc>
        <w:tc>
          <w:tcPr>
            <w:tcW w:w="1257" w:type="dxa"/>
            <w:tcBorders>
              <w:top w:val="single" w:sz="4" w:space="0" w:color="auto"/>
              <w:left w:val="nil"/>
              <w:bottom w:val="single" w:sz="4" w:space="0" w:color="auto"/>
              <w:right w:val="nil"/>
            </w:tcBorders>
            <w:shd w:val="clear" w:color="FFFFFF" w:fill="FFFFFF"/>
            <w:noWrap/>
            <w:vAlign w:val="bottom"/>
            <w:hideMark/>
          </w:tcPr>
          <w:p w14:paraId="732FB17F" w14:textId="77777777" w:rsidR="00B040FE" w:rsidRDefault="00B040FE" w:rsidP="000D1B3E">
            <w:pPr>
              <w:spacing w:after="0"/>
              <w:jc w:val="right"/>
              <w:rPr>
                <w:rFonts w:cs="Arial"/>
                <w:b/>
                <w:bCs/>
                <w:sz w:val="18"/>
                <w:szCs w:val="18"/>
              </w:rPr>
            </w:pPr>
            <w:r>
              <w:rPr>
                <w:rFonts w:cs="Arial"/>
                <w:b/>
                <w:bCs/>
                <w:sz w:val="18"/>
                <w:szCs w:val="18"/>
              </w:rPr>
              <w:t>5,758</w:t>
            </w:r>
          </w:p>
        </w:tc>
        <w:tc>
          <w:tcPr>
            <w:tcW w:w="236" w:type="dxa"/>
            <w:tcBorders>
              <w:top w:val="nil"/>
              <w:left w:val="nil"/>
              <w:bottom w:val="nil"/>
              <w:right w:val="nil"/>
            </w:tcBorders>
            <w:shd w:val="clear" w:color="FFFFFF" w:fill="FFFFFF"/>
            <w:noWrap/>
            <w:vAlign w:val="bottom"/>
            <w:hideMark/>
          </w:tcPr>
          <w:p w14:paraId="07B93CD7" w14:textId="77777777" w:rsidR="00B040FE" w:rsidRDefault="00B040FE" w:rsidP="000D1B3E">
            <w:pPr>
              <w:spacing w:after="0"/>
              <w:rPr>
                <w:rFonts w:cs="Arial"/>
                <w:b/>
                <w:bCs/>
                <w:sz w:val="18"/>
                <w:szCs w:val="18"/>
              </w:rPr>
            </w:pPr>
            <w:r>
              <w:rPr>
                <w:rFonts w:cs="Arial"/>
                <w:b/>
                <w:bCs/>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685FC691" w14:textId="77777777" w:rsidR="00B040FE" w:rsidRDefault="00B040FE" w:rsidP="000D1B3E">
            <w:pPr>
              <w:spacing w:after="0"/>
              <w:jc w:val="right"/>
              <w:rPr>
                <w:rFonts w:cs="Arial"/>
                <w:sz w:val="18"/>
                <w:szCs w:val="18"/>
              </w:rPr>
            </w:pPr>
            <w:r>
              <w:rPr>
                <w:rFonts w:cs="Arial"/>
                <w:sz w:val="18"/>
                <w:szCs w:val="18"/>
              </w:rPr>
              <w:t>6,251</w:t>
            </w:r>
          </w:p>
        </w:tc>
      </w:tr>
    </w:tbl>
    <w:p w14:paraId="06E5E211" w14:textId="3F77912A" w:rsidR="00B040FE" w:rsidRDefault="00B040FE" w:rsidP="000D1B3E">
      <w:pPr>
        <w:spacing w:before="120" w:after="120"/>
        <w:rPr>
          <w:rFonts w:cs="Arial"/>
          <w:sz w:val="18"/>
          <w:szCs w:val="18"/>
        </w:rPr>
      </w:pPr>
      <w:r w:rsidRPr="00455E98">
        <w:rPr>
          <w:rFonts w:cs="Arial"/>
          <w:sz w:val="18"/>
          <w:szCs w:val="18"/>
        </w:rPr>
        <w:t xml:space="preserve">The total number of Key Management Personnel that are included in the above table is </w:t>
      </w:r>
      <w:r>
        <w:rPr>
          <w:rFonts w:cs="Arial"/>
          <w:sz w:val="18"/>
          <w:szCs w:val="18"/>
        </w:rPr>
        <w:t xml:space="preserve">21 </w:t>
      </w:r>
      <w:r w:rsidRPr="00455E98">
        <w:rPr>
          <w:rFonts w:cs="Arial"/>
          <w:sz w:val="18"/>
          <w:szCs w:val="18"/>
        </w:rPr>
        <w:t>(</w:t>
      </w:r>
      <w:r w:rsidRPr="00455E98">
        <w:rPr>
          <w:rFonts w:cs="Arial"/>
          <w:sz w:val="18"/>
          <w:szCs w:val="18"/>
        </w:rPr>
        <w:fldChar w:fldCharType="begin"/>
      </w:r>
      <w:r w:rsidRPr="00455E98">
        <w:rPr>
          <w:rFonts w:cs="Arial"/>
          <w:sz w:val="18"/>
          <w:szCs w:val="18"/>
        </w:rPr>
        <w:instrText xml:space="preserve"> DOCPROPERTY  prYear  \* MERGEFORMAT </w:instrText>
      </w:r>
      <w:r w:rsidRPr="00455E98">
        <w:rPr>
          <w:rFonts w:cs="Arial"/>
          <w:sz w:val="18"/>
          <w:szCs w:val="18"/>
        </w:rPr>
        <w:fldChar w:fldCharType="separate"/>
      </w:r>
      <w:r>
        <w:rPr>
          <w:rFonts w:cs="Arial"/>
          <w:sz w:val="18"/>
          <w:szCs w:val="18"/>
        </w:rPr>
        <w:t>2023</w:t>
      </w:r>
      <w:r w:rsidRPr="00455E98">
        <w:rPr>
          <w:rFonts w:cs="Arial"/>
          <w:sz w:val="18"/>
          <w:szCs w:val="18"/>
        </w:rPr>
        <w:fldChar w:fldCharType="end"/>
      </w:r>
      <w:r w:rsidRPr="00455E98">
        <w:rPr>
          <w:rFonts w:cs="Arial"/>
          <w:sz w:val="18"/>
          <w:szCs w:val="18"/>
        </w:rPr>
        <w:t xml:space="preserve">: </w:t>
      </w:r>
      <w:r>
        <w:rPr>
          <w:rFonts w:cs="Arial"/>
          <w:sz w:val="18"/>
          <w:szCs w:val="18"/>
        </w:rPr>
        <w:t>33</w:t>
      </w:r>
      <w:r w:rsidRPr="00455E98">
        <w:rPr>
          <w:rFonts w:cs="Arial"/>
          <w:sz w:val="18"/>
          <w:szCs w:val="18"/>
        </w:rPr>
        <w:t>).</w:t>
      </w:r>
    </w:p>
    <w:p w14:paraId="74F49B3B" w14:textId="12D2965C" w:rsidR="00B040FE" w:rsidRDefault="00B040FE" w:rsidP="000D1B3E">
      <w:pPr>
        <w:spacing w:before="120" w:after="120"/>
        <w:rPr>
          <w:rFonts w:cs="Arial"/>
          <w:sz w:val="18"/>
          <w:szCs w:val="18"/>
        </w:rPr>
      </w:pPr>
      <w:r w:rsidRPr="0055271D">
        <w:rPr>
          <w:rFonts w:cs="Arial"/>
          <w:sz w:val="18"/>
          <w:szCs w:val="18"/>
        </w:rPr>
        <w:t>During the 2023-24 Financial Year, the Agency identified payment discrepancies in relation to a number of KMPs as per with the Remuneration Determinations set by the Remuneration Tribunal. The correct remuneration amounts are recognised in the above disclosure. The payment discrepancies have been addressed by the Agency.</w:t>
      </w:r>
    </w:p>
    <w:p w14:paraId="66F424B0" w14:textId="77777777" w:rsidR="00B040FE" w:rsidRPr="007348B7" w:rsidRDefault="00B040FE" w:rsidP="0047225D">
      <w:pPr>
        <w:spacing w:after="0"/>
        <w:rPr>
          <w:rFonts w:cs="Arial"/>
          <w:sz w:val="16"/>
          <w:szCs w:val="16"/>
        </w:rPr>
      </w:pPr>
      <w:bookmarkStart w:id="226" w:name="_Toc427244156"/>
      <w:r w:rsidRPr="09362A5D">
        <w:rPr>
          <w:rFonts w:cs="Arial"/>
          <w:sz w:val="16"/>
          <w:szCs w:val="16"/>
          <w:vertAlign w:val="superscript"/>
        </w:rPr>
        <w:t xml:space="preserve">1 </w:t>
      </w:r>
      <w:r w:rsidRPr="09362A5D">
        <w:rPr>
          <w:rFonts w:cs="Arial"/>
          <w:sz w:val="16"/>
          <w:szCs w:val="16"/>
        </w:rPr>
        <w:t xml:space="preserve">All remuneration in the table above and reported in </w:t>
      </w:r>
      <w:r w:rsidRPr="001917EC">
        <w:rPr>
          <w:rFonts w:cs="Arial"/>
          <w:sz w:val="16"/>
          <w:szCs w:val="16"/>
        </w:rPr>
        <w:t>Appendix</w:t>
      </w:r>
      <w:r>
        <w:rPr>
          <w:rFonts w:cs="Arial"/>
          <w:sz w:val="16"/>
          <w:szCs w:val="16"/>
        </w:rPr>
        <w:t xml:space="preserve"> </w:t>
      </w:r>
      <w:r w:rsidRPr="001917EC">
        <w:rPr>
          <w:rFonts w:cs="Arial"/>
          <w:sz w:val="16"/>
          <w:szCs w:val="16"/>
        </w:rPr>
        <w:t>6.6</w:t>
      </w:r>
      <w:r w:rsidRPr="09362A5D">
        <w:rPr>
          <w:rFonts w:cs="Arial"/>
          <w:sz w:val="16"/>
          <w:szCs w:val="16"/>
        </w:rPr>
        <w:t xml:space="preserve"> of the annual report is calculated on an accrual basis. </w:t>
      </w:r>
    </w:p>
    <w:p w14:paraId="3F305053" w14:textId="77777777" w:rsidR="00B040FE" w:rsidRPr="007348B7" w:rsidRDefault="00B040FE" w:rsidP="0047225D">
      <w:pPr>
        <w:spacing w:after="0"/>
        <w:rPr>
          <w:rFonts w:cs="Arial"/>
          <w:sz w:val="16"/>
          <w:szCs w:val="18"/>
        </w:rPr>
      </w:pPr>
      <w:r w:rsidRPr="007348B7">
        <w:rPr>
          <w:rFonts w:cs="Arial"/>
          <w:sz w:val="16"/>
          <w:szCs w:val="18"/>
          <w:vertAlign w:val="superscript"/>
        </w:rPr>
        <w:t xml:space="preserve">2 </w:t>
      </w:r>
      <w:r w:rsidRPr="007348B7">
        <w:rPr>
          <w:rFonts w:cs="Arial"/>
          <w:sz w:val="16"/>
          <w:szCs w:val="18"/>
        </w:rPr>
        <w:t>Employee benefits include salary and vehicle allowances.</w:t>
      </w:r>
      <w:bookmarkEnd w:id="226"/>
    </w:p>
    <w:p w14:paraId="3B865891" w14:textId="77777777" w:rsidR="00B040FE" w:rsidRPr="007348B7" w:rsidRDefault="00B040FE" w:rsidP="0047225D">
      <w:pPr>
        <w:spacing w:after="0"/>
        <w:rPr>
          <w:rFonts w:cs="Arial"/>
          <w:sz w:val="16"/>
          <w:szCs w:val="18"/>
        </w:rPr>
      </w:pPr>
      <w:r w:rsidRPr="007348B7">
        <w:rPr>
          <w:rFonts w:cs="Arial"/>
          <w:sz w:val="16"/>
          <w:szCs w:val="18"/>
          <w:vertAlign w:val="superscript"/>
        </w:rPr>
        <w:t>3</w:t>
      </w:r>
      <w:r w:rsidRPr="007348B7">
        <w:rPr>
          <w:rFonts w:cs="Arial"/>
          <w:sz w:val="16"/>
          <w:szCs w:val="18"/>
        </w:rPr>
        <w:t xml:space="preserve"> Where the Agency engages Key Management Personnel through direct contract arrangements the total contract costs for those individuals are reflected as short-term employee benefits.</w:t>
      </w:r>
    </w:p>
    <w:p w14:paraId="2C009967" w14:textId="77777777" w:rsidR="00B040FE" w:rsidRPr="00715D79" w:rsidRDefault="00B040FE" w:rsidP="0047225D">
      <w:pPr>
        <w:spacing w:after="0"/>
        <w:rPr>
          <w:rFonts w:cs="Arial"/>
          <w:sz w:val="16"/>
          <w:szCs w:val="18"/>
        </w:rPr>
      </w:pPr>
      <w:r w:rsidRPr="007348B7">
        <w:rPr>
          <w:rFonts w:cs="Arial"/>
          <w:sz w:val="16"/>
          <w:szCs w:val="18"/>
          <w:vertAlign w:val="superscript"/>
        </w:rPr>
        <w:t xml:space="preserve">4 </w:t>
      </w:r>
      <w:r w:rsidRPr="007348B7">
        <w:rPr>
          <w:rFonts w:cs="Arial"/>
          <w:sz w:val="16"/>
          <w:szCs w:val="18"/>
        </w:rPr>
        <w:t>The above Key Management Personnel remuneration excludes the remuneration and other benefits of the Minister and Portfolio Minister. The Minister’s and Portfolio Minister’s remuneration and other benefits are set by the Remuneration Tribunal and are not paid by the Agency. These expenses are reported in the Department of Finance’s administered schedules and notes.</w:t>
      </w:r>
      <w:r w:rsidRPr="00715D79">
        <w:rPr>
          <w:rFonts w:cs="Arial"/>
          <w:sz w:val="16"/>
          <w:szCs w:val="18"/>
        </w:rPr>
        <w:t xml:space="preserve"> </w:t>
      </w:r>
    </w:p>
    <w:p w14:paraId="2E09DF62" w14:textId="77777777" w:rsidR="00B040FE" w:rsidRDefault="00B040FE" w:rsidP="00B040FE">
      <w:pPr>
        <w:rPr>
          <w:rFonts w:cs="Arial"/>
          <w:sz w:val="18"/>
          <w:szCs w:val="18"/>
        </w:rPr>
      </w:pPr>
    </w:p>
    <w:p w14:paraId="4BCB79B5" w14:textId="77777777" w:rsidR="00B040FE" w:rsidRPr="007204D0" w:rsidRDefault="00B040FE" w:rsidP="000D1B3E">
      <w:pPr>
        <w:pStyle w:val="SubHeading"/>
        <w:shd w:val="clear" w:color="auto" w:fill="000000" w:themeFill="accent6"/>
      </w:pPr>
      <w:bookmarkStart w:id="227" w:name="_Toc65742856"/>
      <w:bookmarkStart w:id="228" w:name="_Toc173417302"/>
      <w:r>
        <w:t>Related Party Disclosures</w:t>
      </w:r>
      <w:bookmarkEnd w:id="227"/>
      <w:bookmarkEnd w:id="228"/>
    </w:p>
    <w:p w14:paraId="6BE0D5EE" w14:textId="77777777" w:rsidR="00B040FE" w:rsidRPr="007372C7" w:rsidRDefault="00B040FE" w:rsidP="000D1B3E">
      <w:pPr>
        <w:spacing w:before="120" w:after="120" w:line="264" w:lineRule="auto"/>
        <w:rPr>
          <w:b/>
          <w:sz w:val="18"/>
        </w:rPr>
      </w:pPr>
      <w:r w:rsidRPr="007372C7">
        <w:rPr>
          <w:b/>
          <w:sz w:val="18"/>
        </w:rPr>
        <w:t>Related party relationships:</w:t>
      </w:r>
    </w:p>
    <w:p w14:paraId="4C911BDA" w14:textId="77777777" w:rsidR="00B040FE" w:rsidRPr="0015343F" w:rsidRDefault="00B040FE" w:rsidP="000D1B3E">
      <w:pPr>
        <w:spacing w:before="120" w:after="120" w:line="264" w:lineRule="auto"/>
        <w:rPr>
          <w:rFonts w:cs="Arial"/>
          <w:sz w:val="18"/>
          <w:szCs w:val="18"/>
        </w:rPr>
      </w:pPr>
      <w:r w:rsidRPr="00CC3C7C">
        <w:rPr>
          <w:rFonts w:cs="Arial"/>
          <w:sz w:val="18"/>
          <w:szCs w:val="18"/>
        </w:rPr>
        <w:t>The Agency is an Australian Government controlled entity, which is governed by an independent Board. For reporting purposes, the Agency’s related parties are the DSS, Services Australia and Key Management Personnel. The definition of Key Management Personnel is included in Note 3.</w:t>
      </w:r>
      <w:r>
        <w:rPr>
          <w:rFonts w:cs="Arial"/>
          <w:sz w:val="18"/>
          <w:szCs w:val="18"/>
        </w:rPr>
        <w:t>1</w:t>
      </w:r>
      <w:r w:rsidRPr="00CC3C7C">
        <w:rPr>
          <w:rFonts w:cs="Arial"/>
          <w:sz w:val="18"/>
          <w:szCs w:val="18"/>
        </w:rPr>
        <w:t>.</w:t>
      </w:r>
    </w:p>
    <w:p w14:paraId="21CDBC73" w14:textId="77777777" w:rsidR="00B040FE" w:rsidRPr="0015343F" w:rsidRDefault="00B040FE" w:rsidP="000D1B3E">
      <w:pPr>
        <w:spacing w:before="120" w:after="120" w:line="264" w:lineRule="auto"/>
        <w:rPr>
          <w:rFonts w:cs="Arial"/>
          <w:sz w:val="18"/>
          <w:szCs w:val="18"/>
        </w:rPr>
      </w:pPr>
      <w:r w:rsidRPr="00CC3C7C">
        <w:rPr>
          <w:rFonts w:cs="Arial"/>
          <w:sz w:val="18"/>
          <w:szCs w:val="18"/>
        </w:rPr>
        <w:t xml:space="preserve">There were </w:t>
      </w:r>
      <w:r>
        <w:rPr>
          <w:rFonts w:cs="Arial"/>
          <w:sz w:val="18"/>
          <w:szCs w:val="18"/>
        </w:rPr>
        <w:t>no</w:t>
      </w:r>
      <w:r w:rsidRPr="00CC3C7C">
        <w:rPr>
          <w:rFonts w:cs="Arial"/>
          <w:sz w:val="18"/>
          <w:szCs w:val="18"/>
        </w:rPr>
        <w:t xml:space="preserve"> loans to any Key Management Personnel or other related parties during the period (</w:t>
      </w:r>
      <w:r>
        <w:rPr>
          <w:rFonts w:cs="Arial"/>
          <w:sz w:val="18"/>
          <w:szCs w:val="18"/>
        </w:rPr>
        <w:fldChar w:fldCharType="begin"/>
      </w:r>
      <w:r>
        <w:rPr>
          <w:rFonts w:cs="Arial"/>
          <w:sz w:val="18"/>
          <w:szCs w:val="18"/>
        </w:rPr>
        <w:instrText xml:space="preserve"> DOCPROPERTY  prYear  \* MERGEFORMAT </w:instrText>
      </w:r>
      <w:r>
        <w:rPr>
          <w:rFonts w:cs="Arial"/>
          <w:sz w:val="18"/>
          <w:szCs w:val="18"/>
        </w:rPr>
        <w:fldChar w:fldCharType="separate"/>
      </w:r>
      <w:r>
        <w:rPr>
          <w:rFonts w:cs="Arial"/>
          <w:sz w:val="18"/>
          <w:szCs w:val="18"/>
        </w:rPr>
        <w:t>2023</w:t>
      </w:r>
      <w:r>
        <w:rPr>
          <w:rFonts w:cs="Arial"/>
          <w:sz w:val="18"/>
          <w:szCs w:val="18"/>
        </w:rPr>
        <w:fldChar w:fldCharType="end"/>
      </w:r>
      <w:r w:rsidRPr="00CC3C7C">
        <w:rPr>
          <w:rFonts w:cs="Arial"/>
          <w:sz w:val="18"/>
          <w:szCs w:val="18"/>
        </w:rPr>
        <w:t>: Nil).</w:t>
      </w:r>
    </w:p>
    <w:p w14:paraId="1C6294A5" w14:textId="77777777" w:rsidR="00B040FE" w:rsidRPr="00EE6E8A" w:rsidRDefault="00B040FE" w:rsidP="000D1B3E">
      <w:pPr>
        <w:spacing w:before="120" w:after="120" w:line="264" w:lineRule="auto"/>
        <w:rPr>
          <w:b/>
          <w:sz w:val="18"/>
        </w:rPr>
      </w:pPr>
      <w:r w:rsidRPr="00EE6E8A">
        <w:rPr>
          <w:b/>
          <w:sz w:val="18"/>
        </w:rPr>
        <w:t>Transactions with related parties:</w:t>
      </w:r>
    </w:p>
    <w:p w14:paraId="0CED40B5" w14:textId="77777777" w:rsidR="00B040FE" w:rsidRPr="0015343F" w:rsidRDefault="00B040FE" w:rsidP="000D1B3E">
      <w:pPr>
        <w:spacing w:before="120" w:after="120" w:line="264" w:lineRule="auto"/>
        <w:rPr>
          <w:rFonts w:cs="Arial"/>
          <w:sz w:val="18"/>
          <w:szCs w:val="18"/>
        </w:rPr>
      </w:pPr>
      <w:r w:rsidRPr="00CC3C7C">
        <w:rPr>
          <w:rFonts w:cs="Arial"/>
          <w:sz w:val="18"/>
          <w:szCs w:val="18"/>
        </w:rPr>
        <w:t>Given the scope of Government activities, related parties may transact with the government sector in the same capacity as ordinary citizens and/or may have family members that are participants in the Scheme. These transactions are conducted at arm’s length and have not been separately disclosed in this note. A number of Key Management Personnel fall into this category. Where the Agency has had interactions with DSS and Services Australia, the financial impact of such interactions has been disclosed in sections 1 and 2 of the financial statements.</w:t>
      </w:r>
    </w:p>
    <w:p w14:paraId="6F7DBA94" w14:textId="77777777" w:rsidR="00B040FE" w:rsidRDefault="00B040FE" w:rsidP="000D1B3E">
      <w:pPr>
        <w:spacing w:before="120" w:after="120" w:line="264" w:lineRule="auto"/>
        <w:rPr>
          <w:i/>
          <w:sz w:val="18"/>
          <w:u w:val="single"/>
        </w:rPr>
      </w:pPr>
      <w:r w:rsidRPr="00120D25">
        <w:rPr>
          <w:i/>
          <w:sz w:val="18"/>
          <w:u w:val="single"/>
        </w:rPr>
        <w:t>Registered Service Providers</w:t>
      </w:r>
    </w:p>
    <w:p w14:paraId="355E325C" w14:textId="79BED55A" w:rsidR="006E070C" w:rsidRDefault="00B040FE" w:rsidP="006E070C">
      <w:pPr>
        <w:spacing w:before="120" w:after="120" w:line="264" w:lineRule="auto"/>
        <w:rPr>
          <w:b/>
          <w:bCs/>
        </w:rPr>
      </w:pPr>
      <w:r w:rsidRPr="00BF7EF1">
        <w:rPr>
          <w:sz w:val="18"/>
        </w:rPr>
        <w:t xml:space="preserve">Participants who elect to have their plan managed by the Agency must select a registered service provider to deliver the supports in their plan. To become a registered service provider an organisation must submit an application to the NDIS Quality and Safeguards Commission. All applications are assessed against the criteria specified in </w:t>
      </w:r>
      <w:r w:rsidRPr="003A0EA7">
        <w:rPr>
          <w:i/>
          <w:iCs/>
          <w:sz w:val="18"/>
        </w:rPr>
        <w:t>National Disability Insurance Scheme (Provider Registration and Practice Standards) Rules 2018.</w:t>
      </w:r>
      <w:r w:rsidRPr="00BF7EF1">
        <w:rPr>
          <w:sz w:val="18"/>
        </w:rPr>
        <w:t xml:space="preserve"> </w:t>
      </w:r>
      <w:r w:rsidR="006E070C">
        <w:rPr>
          <w:b/>
          <w:bCs/>
        </w:rPr>
        <w:br w:type="page"/>
      </w:r>
    </w:p>
    <w:p w14:paraId="31BA2721" w14:textId="23B6C2DC" w:rsidR="006E070C" w:rsidRPr="000D1B3E" w:rsidRDefault="006E070C" w:rsidP="006E070C">
      <w:pPr>
        <w:spacing w:after="0" w:line="240" w:lineRule="auto"/>
        <w:rPr>
          <w:b/>
          <w:bCs/>
        </w:rPr>
      </w:pPr>
      <w:r w:rsidRPr="000D1B3E">
        <w:rPr>
          <w:b/>
          <w:bCs/>
        </w:rPr>
        <w:lastRenderedPageBreak/>
        <w:t>National Disability Insurance Agency</w:t>
      </w:r>
    </w:p>
    <w:p w14:paraId="4D7BDC14" w14:textId="77777777" w:rsidR="006E070C" w:rsidRPr="000D1B3E" w:rsidRDefault="006E070C" w:rsidP="006E070C">
      <w:pPr>
        <w:pBdr>
          <w:bottom w:val="single" w:sz="8" w:space="1" w:color="auto"/>
        </w:pBdr>
        <w:rPr>
          <w:b/>
          <w:bCs/>
        </w:rPr>
      </w:pPr>
      <w:r w:rsidRPr="000D1B3E">
        <w:rPr>
          <w:b/>
          <w:bCs/>
        </w:rPr>
        <w:t>NOTES TO AND FORMING PART OF THE FINANCIAL STATEMENTS</w:t>
      </w:r>
    </w:p>
    <w:p w14:paraId="787499F9" w14:textId="77777777" w:rsidR="00B040FE" w:rsidRDefault="00B040FE" w:rsidP="000D1B3E">
      <w:pPr>
        <w:spacing w:before="120" w:after="120" w:line="264" w:lineRule="auto"/>
        <w:rPr>
          <w:sz w:val="18"/>
        </w:rPr>
      </w:pPr>
      <w:r w:rsidRPr="00BF7EF1">
        <w:rPr>
          <w:sz w:val="18"/>
        </w:rPr>
        <w:t xml:space="preserve">Given the scope of the sector in which the Agency operates, Board members </w:t>
      </w:r>
      <w:r>
        <w:rPr>
          <w:sz w:val="18"/>
        </w:rPr>
        <w:t xml:space="preserve">may </w:t>
      </w:r>
      <w:r w:rsidRPr="00BF7EF1">
        <w:rPr>
          <w:sz w:val="18"/>
        </w:rPr>
        <w:t>also h</w:t>
      </w:r>
      <w:r>
        <w:rPr>
          <w:sz w:val="18"/>
        </w:rPr>
        <w:t>o</w:t>
      </w:r>
      <w:r w:rsidRPr="00BF7EF1">
        <w:rPr>
          <w:sz w:val="18"/>
        </w:rPr>
        <w:t>ld positions with registered service providers. Directors of the Agency are not involved in any decisions to accept or reject applications to register as a service provider. Transactions between the Agency and registered providers are initiated by the participants rather than the Agency, are at arm’s length and have not been separately disclosed in this note.</w:t>
      </w:r>
    </w:p>
    <w:p w14:paraId="3E261F58" w14:textId="77777777" w:rsidR="00B040FE" w:rsidRPr="00A10498" w:rsidRDefault="00B040FE" w:rsidP="000D1B3E">
      <w:pPr>
        <w:spacing w:before="120" w:after="120" w:line="264" w:lineRule="auto"/>
        <w:rPr>
          <w:sz w:val="18"/>
        </w:rPr>
      </w:pPr>
      <w:r>
        <w:rPr>
          <w:rFonts w:cs="Arial"/>
          <w:sz w:val="18"/>
          <w:szCs w:val="18"/>
        </w:rPr>
        <w:t xml:space="preserve">There were no related party payments made during the period. </w:t>
      </w:r>
      <w:r w:rsidRPr="00BF7EF1">
        <w:rPr>
          <w:rFonts w:cs="Arial"/>
          <w:sz w:val="18"/>
          <w:szCs w:val="18"/>
        </w:rPr>
        <w:t xml:space="preserve">The following cash payments were made to parties related to </w:t>
      </w:r>
      <w:r w:rsidRPr="00CC3C7C">
        <w:rPr>
          <w:rFonts w:cs="Arial"/>
          <w:sz w:val="18"/>
          <w:szCs w:val="18"/>
        </w:rPr>
        <w:t xml:space="preserve">Key Management Personnel </w:t>
      </w:r>
      <w:r w:rsidRPr="00BF7EF1">
        <w:rPr>
          <w:rFonts w:cs="Arial"/>
          <w:sz w:val="18"/>
          <w:szCs w:val="18"/>
        </w:rPr>
        <w:t xml:space="preserve">members during the </w:t>
      </w:r>
      <w:r>
        <w:rPr>
          <w:rFonts w:cs="Arial"/>
          <w:sz w:val="18"/>
          <w:szCs w:val="18"/>
        </w:rPr>
        <w:t xml:space="preserve">comparative </w:t>
      </w:r>
      <w:r w:rsidRPr="00BF7EF1">
        <w:rPr>
          <w:rFonts w:cs="Arial"/>
          <w:sz w:val="18"/>
          <w:szCs w:val="18"/>
        </w:rPr>
        <w:t>financial year:</w:t>
      </w:r>
    </w:p>
    <w:tbl>
      <w:tblPr>
        <w:tblW w:w="9356" w:type="dxa"/>
        <w:tblLayout w:type="fixed"/>
        <w:tblLook w:val="04A0" w:firstRow="1" w:lastRow="0" w:firstColumn="1" w:lastColumn="0" w:noHBand="0" w:noVBand="1"/>
      </w:tblPr>
      <w:tblGrid>
        <w:gridCol w:w="2694"/>
        <w:gridCol w:w="1994"/>
        <w:gridCol w:w="2683"/>
        <w:gridCol w:w="851"/>
        <w:gridCol w:w="275"/>
        <w:gridCol w:w="859"/>
      </w:tblGrid>
      <w:tr w:rsidR="00B040FE" w:rsidRPr="00366006" w14:paraId="4F8AE82C" w14:textId="77777777" w:rsidTr="005E5E0C">
        <w:trPr>
          <w:trHeight w:val="255"/>
        </w:trPr>
        <w:tc>
          <w:tcPr>
            <w:tcW w:w="2694" w:type="dxa"/>
            <w:tcBorders>
              <w:top w:val="nil"/>
              <w:left w:val="nil"/>
              <w:bottom w:val="nil"/>
              <w:right w:val="nil"/>
            </w:tcBorders>
            <w:shd w:val="clear" w:color="FFFFFF" w:fill="FFFFFF"/>
            <w:noWrap/>
            <w:vAlign w:val="bottom"/>
          </w:tcPr>
          <w:p w14:paraId="578D58CC" w14:textId="77777777" w:rsidR="00B040FE" w:rsidRPr="00E16A54" w:rsidRDefault="00B040FE" w:rsidP="005E5E0C">
            <w:pPr>
              <w:rPr>
                <w:rFonts w:cs="Arial"/>
                <w:b/>
                <w:bCs/>
                <w:sz w:val="18"/>
                <w:szCs w:val="18"/>
              </w:rPr>
            </w:pPr>
          </w:p>
        </w:tc>
        <w:tc>
          <w:tcPr>
            <w:tcW w:w="1994" w:type="dxa"/>
            <w:tcBorders>
              <w:top w:val="nil"/>
              <w:left w:val="nil"/>
              <w:bottom w:val="nil"/>
              <w:right w:val="nil"/>
            </w:tcBorders>
            <w:shd w:val="clear" w:color="FFFFFF" w:fill="FFFFFF"/>
          </w:tcPr>
          <w:p w14:paraId="64945E2D" w14:textId="77777777" w:rsidR="00B040FE" w:rsidRPr="00E16A54" w:rsidRDefault="00B040FE" w:rsidP="005E5E0C">
            <w:pPr>
              <w:rPr>
                <w:rFonts w:cs="Arial"/>
                <w:b/>
                <w:bCs/>
                <w:sz w:val="18"/>
                <w:szCs w:val="18"/>
              </w:rPr>
            </w:pPr>
          </w:p>
        </w:tc>
        <w:tc>
          <w:tcPr>
            <w:tcW w:w="2683" w:type="dxa"/>
            <w:tcBorders>
              <w:top w:val="nil"/>
              <w:left w:val="nil"/>
              <w:bottom w:val="nil"/>
              <w:right w:val="nil"/>
            </w:tcBorders>
            <w:shd w:val="clear" w:color="FFFFFF" w:fill="FFFFFF"/>
          </w:tcPr>
          <w:p w14:paraId="2AEDDCE9" w14:textId="77777777" w:rsidR="00B040FE" w:rsidRPr="00E16A54" w:rsidRDefault="00B040FE" w:rsidP="005E5E0C">
            <w:pPr>
              <w:rPr>
                <w:rFonts w:cs="Arial"/>
                <w:b/>
                <w:bCs/>
                <w:sz w:val="18"/>
                <w:szCs w:val="18"/>
              </w:rPr>
            </w:pPr>
          </w:p>
        </w:tc>
        <w:tc>
          <w:tcPr>
            <w:tcW w:w="851" w:type="dxa"/>
            <w:tcBorders>
              <w:top w:val="nil"/>
              <w:left w:val="nil"/>
              <w:bottom w:val="nil"/>
              <w:right w:val="nil"/>
            </w:tcBorders>
            <w:shd w:val="clear" w:color="FFFFFF" w:fill="FFFFFF"/>
            <w:vAlign w:val="bottom"/>
          </w:tcPr>
          <w:p w14:paraId="02409417" w14:textId="77777777" w:rsidR="00B040FE" w:rsidRPr="00E16A54" w:rsidRDefault="00B040FE" w:rsidP="005E5E0C">
            <w:pPr>
              <w:jc w:val="right"/>
              <w:rPr>
                <w:rFonts w:cs="Arial"/>
                <w:b/>
                <w:bCs/>
                <w:sz w:val="18"/>
                <w:szCs w:val="18"/>
              </w:rPr>
            </w:pPr>
            <w:r w:rsidRPr="00E16A54">
              <w:rPr>
                <w:rFonts w:cs="Arial"/>
                <w:b/>
                <w:bCs/>
                <w:sz w:val="18"/>
                <w:szCs w:val="18"/>
              </w:rPr>
              <w:fldChar w:fldCharType="begin"/>
            </w:r>
            <w:r w:rsidRPr="00E16A54">
              <w:rPr>
                <w:rFonts w:cs="Arial"/>
                <w:b/>
                <w:bCs/>
                <w:sz w:val="18"/>
                <w:szCs w:val="18"/>
              </w:rPr>
              <w:instrText xml:space="preserve"> DOCPROPERTY  crYear  \* MERGEFORMAT </w:instrText>
            </w:r>
            <w:r w:rsidRPr="00E16A54">
              <w:rPr>
                <w:rFonts w:cs="Arial"/>
                <w:b/>
                <w:bCs/>
                <w:sz w:val="18"/>
                <w:szCs w:val="18"/>
              </w:rPr>
              <w:fldChar w:fldCharType="separate"/>
            </w:r>
            <w:r>
              <w:rPr>
                <w:rFonts w:cs="Arial"/>
                <w:b/>
                <w:bCs/>
                <w:sz w:val="18"/>
                <w:szCs w:val="18"/>
              </w:rPr>
              <w:t>2024</w:t>
            </w:r>
            <w:r w:rsidRPr="00E16A54">
              <w:rPr>
                <w:rFonts w:cs="Arial"/>
                <w:b/>
                <w:bCs/>
                <w:sz w:val="18"/>
                <w:szCs w:val="18"/>
              </w:rPr>
              <w:fldChar w:fldCharType="end"/>
            </w:r>
          </w:p>
        </w:tc>
        <w:tc>
          <w:tcPr>
            <w:tcW w:w="275" w:type="dxa"/>
            <w:tcBorders>
              <w:top w:val="nil"/>
              <w:left w:val="nil"/>
              <w:bottom w:val="nil"/>
              <w:right w:val="nil"/>
            </w:tcBorders>
            <w:shd w:val="clear" w:color="FFFFFF" w:fill="FFFFFF"/>
            <w:noWrap/>
            <w:vAlign w:val="bottom"/>
          </w:tcPr>
          <w:p w14:paraId="027DE7BD" w14:textId="77777777" w:rsidR="00B040FE" w:rsidRPr="00E16A54" w:rsidRDefault="00B040FE" w:rsidP="005E5E0C">
            <w:pPr>
              <w:rPr>
                <w:rFonts w:cs="Arial"/>
                <w:sz w:val="18"/>
                <w:szCs w:val="18"/>
              </w:rPr>
            </w:pPr>
            <w:r w:rsidRPr="00E16A54">
              <w:rPr>
                <w:rFonts w:cs="Arial"/>
                <w:sz w:val="18"/>
                <w:szCs w:val="18"/>
              </w:rPr>
              <w:t> </w:t>
            </w:r>
          </w:p>
        </w:tc>
        <w:tc>
          <w:tcPr>
            <w:tcW w:w="859" w:type="dxa"/>
            <w:tcBorders>
              <w:top w:val="nil"/>
              <w:left w:val="nil"/>
              <w:bottom w:val="nil"/>
              <w:right w:val="nil"/>
            </w:tcBorders>
            <w:shd w:val="clear" w:color="FFFFFF" w:fill="FFFFFF"/>
            <w:vAlign w:val="bottom"/>
          </w:tcPr>
          <w:p w14:paraId="332FE5AD" w14:textId="77777777" w:rsidR="00B040FE" w:rsidRPr="00E16A54" w:rsidRDefault="00B040FE" w:rsidP="005E5E0C">
            <w:pPr>
              <w:jc w:val="right"/>
              <w:rPr>
                <w:rFonts w:cs="Arial"/>
                <w:sz w:val="18"/>
                <w:szCs w:val="18"/>
              </w:rPr>
            </w:pPr>
            <w:r w:rsidRPr="00E16A54">
              <w:rPr>
                <w:rFonts w:cs="Arial"/>
                <w:sz w:val="18"/>
                <w:szCs w:val="18"/>
              </w:rPr>
              <w:fldChar w:fldCharType="begin"/>
            </w:r>
            <w:r w:rsidRPr="00E16A54">
              <w:rPr>
                <w:rFonts w:cs="Arial"/>
                <w:sz w:val="18"/>
                <w:szCs w:val="18"/>
              </w:rPr>
              <w:instrText xml:space="preserve"> DOCPROPERTY  prYear  \* MERGEFORMAT </w:instrText>
            </w:r>
            <w:r w:rsidRPr="00E16A54">
              <w:rPr>
                <w:rFonts w:cs="Arial"/>
                <w:sz w:val="18"/>
                <w:szCs w:val="18"/>
              </w:rPr>
              <w:fldChar w:fldCharType="separate"/>
            </w:r>
            <w:r>
              <w:rPr>
                <w:rFonts w:cs="Arial"/>
                <w:sz w:val="18"/>
                <w:szCs w:val="18"/>
              </w:rPr>
              <w:t>2023</w:t>
            </w:r>
            <w:r w:rsidRPr="00E16A54">
              <w:rPr>
                <w:rFonts w:cs="Arial"/>
                <w:sz w:val="18"/>
                <w:szCs w:val="18"/>
              </w:rPr>
              <w:fldChar w:fldCharType="end"/>
            </w:r>
          </w:p>
        </w:tc>
      </w:tr>
      <w:tr w:rsidR="00B040FE" w:rsidRPr="00366006" w14:paraId="68A06D20" w14:textId="77777777" w:rsidTr="005E5E0C">
        <w:trPr>
          <w:trHeight w:val="255"/>
        </w:trPr>
        <w:tc>
          <w:tcPr>
            <w:tcW w:w="2694" w:type="dxa"/>
            <w:tcBorders>
              <w:top w:val="nil"/>
              <w:left w:val="nil"/>
              <w:bottom w:val="single" w:sz="4" w:space="0" w:color="auto"/>
              <w:right w:val="nil"/>
            </w:tcBorders>
            <w:shd w:val="clear" w:color="FFFFFF" w:fill="FFFFFF"/>
            <w:noWrap/>
            <w:vAlign w:val="bottom"/>
          </w:tcPr>
          <w:p w14:paraId="1EF9B960" w14:textId="77777777" w:rsidR="00B040FE" w:rsidRPr="00E16A54" w:rsidRDefault="00B040FE" w:rsidP="005E5E0C">
            <w:pPr>
              <w:rPr>
                <w:rFonts w:cs="Arial"/>
                <w:b/>
                <w:bCs/>
                <w:sz w:val="18"/>
                <w:szCs w:val="18"/>
              </w:rPr>
            </w:pPr>
          </w:p>
        </w:tc>
        <w:tc>
          <w:tcPr>
            <w:tcW w:w="1994" w:type="dxa"/>
            <w:tcBorders>
              <w:top w:val="nil"/>
              <w:left w:val="nil"/>
              <w:bottom w:val="single" w:sz="4" w:space="0" w:color="auto"/>
              <w:right w:val="nil"/>
            </w:tcBorders>
            <w:shd w:val="clear" w:color="FFFFFF" w:fill="FFFFFF"/>
          </w:tcPr>
          <w:p w14:paraId="6D496619" w14:textId="77777777" w:rsidR="00B040FE" w:rsidRPr="00E16A54" w:rsidRDefault="00B040FE" w:rsidP="005E5E0C">
            <w:pPr>
              <w:rPr>
                <w:rFonts w:cs="Arial"/>
                <w:b/>
                <w:bCs/>
                <w:sz w:val="18"/>
                <w:szCs w:val="18"/>
              </w:rPr>
            </w:pPr>
          </w:p>
        </w:tc>
        <w:tc>
          <w:tcPr>
            <w:tcW w:w="2683" w:type="dxa"/>
            <w:tcBorders>
              <w:top w:val="nil"/>
              <w:left w:val="nil"/>
              <w:bottom w:val="single" w:sz="4" w:space="0" w:color="auto"/>
              <w:right w:val="nil"/>
            </w:tcBorders>
            <w:shd w:val="clear" w:color="FFFFFF" w:fill="FFFFFF"/>
          </w:tcPr>
          <w:p w14:paraId="33DEBF33" w14:textId="77777777" w:rsidR="00B040FE" w:rsidRPr="00E16A54" w:rsidRDefault="00B040FE" w:rsidP="005E5E0C">
            <w:pPr>
              <w:rPr>
                <w:rFonts w:cs="Arial"/>
                <w:b/>
                <w:bCs/>
                <w:sz w:val="18"/>
                <w:szCs w:val="18"/>
              </w:rPr>
            </w:pPr>
          </w:p>
        </w:tc>
        <w:tc>
          <w:tcPr>
            <w:tcW w:w="851" w:type="dxa"/>
            <w:tcBorders>
              <w:top w:val="nil"/>
              <w:left w:val="nil"/>
              <w:bottom w:val="single" w:sz="4" w:space="0" w:color="auto"/>
              <w:right w:val="nil"/>
            </w:tcBorders>
            <w:shd w:val="clear" w:color="FFFFFF" w:fill="FFFFFF"/>
            <w:vAlign w:val="bottom"/>
          </w:tcPr>
          <w:p w14:paraId="0359D395" w14:textId="77777777" w:rsidR="00B040FE" w:rsidRPr="00E16A54" w:rsidRDefault="00B040FE" w:rsidP="005E5E0C">
            <w:pPr>
              <w:jc w:val="right"/>
              <w:rPr>
                <w:rFonts w:cs="Arial"/>
                <w:b/>
                <w:bCs/>
                <w:sz w:val="18"/>
                <w:szCs w:val="18"/>
              </w:rPr>
            </w:pPr>
            <w:r w:rsidRPr="00E16A54">
              <w:rPr>
                <w:rFonts w:cs="Arial"/>
                <w:b/>
                <w:bCs/>
                <w:sz w:val="18"/>
                <w:szCs w:val="18"/>
              </w:rPr>
              <w:t>$'000</w:t>
            </w:r>
          </w:p>
        </w:tc>
        <w:tc>
          <w:tcPr>
            <w:tcW w:w="275" w:type="dxa"/>
            <w:tcBorders>
              <w:top w:val="nil"/>
              <w:left w:val="nil"/>
              <w:bottom w:val="single" w:sz="4" w:space="0" w:color="auto"/>
              <w:right w:val="nil"/>
            </w:tcBorders>
            <w:shd w:val="clear" w:color="FFFFFF" w:fill="FFFFFF"/>
            <w:noWrap/>
            <w:vAlign w:val="bottom"/>
          </w:tcPr>
          <w:p w14:paraId="2816BC9E" w14:textId="77777777" w:rsidR="00B040FE" w:rsidRPr="00E16A54" w:rsidRDefault="00B040FE" w:rsidP="005E5E0C">
            <w:pPr>
              <w:rPr>
                <w:rFonts w:cs="Arial"/>
                <w:sz w:val="18"/>
                <w:szCs w:val="18"/>
              </w:rPr>
            </w:pPr>
            <w:r w:rsidRPr="00E16A54">
              <w:rPr>
                <w:rFonts w:cs="Arial"/>
                <w:sz w:val="18"/>
                <w:szCs w:val="18"/>
              </w:rPr>
              <w:t> </w:t>
            </w:r>
          </w:p>
        </w:tc>
        <w:tc>
          <w:tcPr>
            <w:tcW w:w="859" w:type="dxa"/>
            <w:tcBorders>
              <w:top w:val="nil"/>
              <w:left w:val="nil"/>
              <w:bottom w:val="single" w:sz="4" w:space="0" w:color="auto"/>
              <w:right w:val="nil"/>
            </w:tcBorders>
            <w:shd w:val="clear" w:color="FFFFFF" w:fill="FFFFFF"/>
            <w:vAlign w:val="bottom"/>
          </w:tcPr>
          <w:p w14:paraId="0B4EC9CD" w14:textId="77777777" w:rsidR="00B040FE" w:rsidRPr="00E16A54" w:rsidRDefault="00B040FE" w:rsidP="005E5E0C">
            <w:pPr>
              <w:jc w:val="right"/>
              <w:rPr>
                <w:rFonts w:cs="Arial"/>
                <w:sz w:val="18"/>
                <w:szCs w:val="18"/>
              </w:rPr>
            </w:pPr>
            <w:r w:rsidRPr="00E16A54">
              <w:rPr>
                <w:rFonts w:cs="Arial"/>
                <w:sz w:val="18"/>
                <w:szCs w:val="18"/>
              </w:rPr>
              <w:t>$'000</w:t>
            </w:r>
          </w:p>
        </w:tc>
      </w:tr>
      <w:tr w:rsidR="00B040FE" w:rsidRPr="00366006" w14:paraId="013F4266" w14:textId="77777777" w:rsidTr="005E5E0C">
        <w:trPr>
          <w:trHeight w:val="255"/>
        </w:trPr>
        <w:tc>
          <w:tcPr>
            <w:tcW w:w="2694" w:type="dxa"/>
            <w:tcBorders>
              <w:top w:val="single" w:sz="4" w:space="0" w:color="auto"/>
              <w:left w:val="nil"/>
              <w:bottom w:val="single" w:sz="4" w:space="0" w:color="auto"/>
              <w:right w:val="nil"/>
            </w:tcBorders>
            <w:shd w:val="clear" w:color="FFFFFF" w:fill="FFFFFF"/>
            <w:noWrap/>
            <w:vAlign w:val="center"/>
            <w:hideMark/>
          </w:tcPr>
          <w:p w14:paraId="6D87528B" w14:textId="77777777" w:rsidR="00B040FE" w:rsidRPr="00E16A54" w:rsidRDefault="00B040FE" w:rsidP="005E5E0C">
            <w:pPr>
              <w:rPr>
                <w:rFonts w:cs="Arial"/>
                <w:b/>
                <w:sz w:val="18"/>
                <w:szCs w:val="18"/>
              </w:rPr>
            </w:pPr>
            <w:r w:rsidRPr="00E16A54">
              <w:rPr>
                <w:rFonts w:cs="Arial"/>
                <w:b/>
                <w:sz w:val="18"/>
                <w:szCs w:val="18"/>
              </w:rPr>
              <w:t>Board Member</w:t>
            </w:r>
          </w:p>
        </w:tc>
        <w:tc>
          <w:tcPr>
            <w:tcW w:w="4677" w:type="dxa"/>
            <w:gridSpan w:val="2"/>
            <w:tcBorders>
              <w:top w:val="single" w:sz="4" w:space="0" w:color="auto"/>
              <w:left w:val="nil"/>
              <w:bottom w:val="single" w:sz="4" w:space="0" w:color="auto"/>
              <w:right w:val="nil"/>
            </w:tcBorders>
            <w:shd w:val="clear" w:color="FFFFFF" w:fill="FFFFFF"/>
          </w:tcPr>
          <w:p w14:paraId="7B768A3D" w14:textId="77777777" w:rsidR="00B040FE" w:rsidRPr="00E16A54" w:rsidRDefault="00B040FE" w:rsidP="005E5E0C">
            <w:pPr>
              <w:rPr>
                <w:rFonts w:cs="Arial"/>
                <w:b/>
                <w:bCs/>
                <w:sz w:val="18"/>
                <w:szCs w:val="18"/>
              </w:rPr>
            </w:pPr>
            <w:r w:rsidRPr="00E16A54">
              <w:rPr>
                <w:rFonts w:cs="Arial"/>
                <w:b/>
                <w:bCs/>
                <w:sz w:val="18"/>
                <w:szCs w:val="18"/>
              </w:rPr>
              <w:t>Related party and payments for services rendered by the related party</w:t>
            </w:r>
            <w:r w:rsidRPr="00E16A54">
              <w:rPr>
                <w:rFonts w:cs="Arial"/>
                <w:bCs/>
                <w:sz w:val="16"/>
                <w:szCs w:val="16"/>
                <w:vertAlign w:val="superscript"/>
              </w:rPr>
              <w:t>1</w:t>
            </w:r>
          </w:p>
        </w:tc>
        <w:tc>
          <w:tcPr>
            <w:tcW w:w="851" w:type="dxa"/>
            <w:tcBorders>
              <w:top w:val="single" w:sz="4" w:space="0" w:color="auto"/>
              <w:left w:val="nil"/>
              <w:bottom w:val="single" w:sz="4" w:space="0" w:color="auto"/>
              <w:right w:val="nil"/>
            </w:tcBorders>
            <w:shd w:val="clear" w:color="FFFFFF" w:fill="FFFFFF"/>
            <w:vAlign w:val="bottom"/>
          </w:tcPr>
          <w:p w14:paraId="0DA24E29" w14:textId="77777777" w:rsidR="00B040FE" w:rsidRPr="00E16A54" w:rsidRDefault="00B040FE" w:rsidP="005E5E0C">
            <w:pPr>
              <w:jc w:val="right"/>
              <w:rPr>
                <w:rFonts w:cs="Arial"/>
                <w:b/>
                <w:bCs/>
                <w:sz w:val="18"/>
                <w:szCs w:val="18"/>
              </w:rPr>
            </w:pPr>
          </w:p>
        </w:tc>
        <w:tc>
          <w:tcPr>
            <w:tcW w:w="275" w:type="dxa"/>
            <w:tcBorders>
              <w:top w:val="single" w:sz="4" w:space="0" w:color="auto"/>
              <w:left w:val="nil"/>
              <w:bottom w:val="single" w:sz="4" w:space="0" w:color="auto"/>
              <w:right w:val="nil"/>
            </w:tcBorders>
            <w:shd w:val="clear" w:color="FFFFFF" w:fill="FFFFFF"/>
            <w:noWrap/>
            <w:vAlign w:val="bottom"/>
          </w:tcPr>
          <w:p w14:paraId="269D2215" w14:textId="77777777" w:rsidR="00B040FE" w:rsidRPr="00E16A54" w:rsidRDefault="00B040FE" w:rsidP="005E5E0C">
            <w:pPr>
              <w:rPr>
                <w:rFonts w:cs="Arial"/>
                <w:sz w:val="18"/>
                <w:szCs w:val="18"/>
              </w:rPr>
            </w:pPr>
          </w:p>
        </w:tc>
        <w:tc>
          <w:tcPr>
            <w:tcW w:w="859" w:type="dxa"/>
            <w:tcBorders>
              <w:top w:val="single" w:sz="4" w:space="0" w:color="auto"/>
              <w:left w:val="nil"/>
              <w:bottom w:val="single" w:sz="4" w:space="0" w:color="auto"/>
              <w:right w:val="nil"/>
            </w:tcBorders>
            <w:shd w:val="clear" w:color="FFFFFF" w:fill="FFFFFF"/>
            <w:vAlign w:val="bottom"/>
          </w:tcPr>
          <w:p w14:paraId="75315964" w14:textId="77777777" w:rsidR="00B040FE" w:rsidRPr="00E16A54" w:rsidRDefault="00B040FE" w:rsidP="005E5E0C">
            <w:pPr>
              <w:jc w:val="right"/>
              <w:rPr>
                <w:rFonts w:cs="Arial"/>
                <w:sz w:val="18"/>
                <w:szCs w:val="18"/>
              </w:rPr>
            </w:pPr>
          </w:p>
        </w:tc>
      </w:tr>
      <w:tr w:rsidR="00B040FE" w:rsidRPr="00366006" w14:paraId="77856B02" w14:textId="77777777" w:rsidTr="005E5E0C">
        <w:trPr>
          <w:trHeight w:val="255"/>
        </w:trPr>
        <w:tc>
          <w:tcPr>
            <w:tcW w:w="2694" w:type="dxa"/>
            <w:tcBorders>
              <w:top w:val="dotted" w:sz="4" w:space="0" w:color="auto"/>
              <w:left w:val="nil"/>
              <w:bottom w:val="dotted" w:sz="4" w:space="0" w:color="auto"/>
              <w:right w:val="nil"/>
            </w:tcBorders>
            <w:shd w:val="clear" w:color="FFFFFF" w:fill="FFFFFF"/>
            <w:noWrap/>
          </w:tcPr>
          <w:p w14:paraId="72E2FA46" w14:textId="77777777" w:rsidR="00B040FE" w:rsidRPr="00E16A54" w:rsidRDefault="00B040FE" w:rsidP="005E5E0C">
            <w:pPr>
              <w:ind w:left="176"/>
              <w:rPr>
                <w:rFonts w:cs="Arial"/>
                <w:sz w:val="18"/>
                <w:szCs w:val="18"/>
              </w:rPr>
            </w:pPr>
            <w:r w:rsidRPr="00E16A54">
              <w:rPr>
                <w:rFonts w:cs="Arial"/>
                <w:sz w:val="18"/>
                <w:szCs w:val="18"/>
              </w:rPr>
              <w:t>Mr Glenn Keys AO</w:t>
            </w:r>
          </w:p>
        </w:tc>
        <w:tc>
          <w:tcPr>
            <w:tcW w:w="4677" w:type="dxa"/>
            <w:gridSpan w:val="2"/>
            <w:tcBorders>
              <w:top w:val="dotted" w:sz="4" w:space="0" w:color="auto"/>
              <w:left w:val="nil"/>
              <w:bottom w:val="dotted" w:sz="4" w:space="0" w:color="auto"/>
              <w:right w:val="nil"/>
            </w:tcBorders>
            <w:shd w:val="clear" w:color="FFFFFF" w:fill="FFFFFF"/>
          </w:tcPr>
          <w:p w14:paraId="08A84A9E" w14:textId="77777777" w:rsidR="00B040FE" w:rsidRPr="00E16A54" w:rsidRDefault="00B040FE" w:rsidP="005E5E0C">
            <w:pPr>
              <w:rPr>
                <w:rFonts w:cs="Arial"/>
                <w:sz w:val="18"/>
                <w:szCs w:val="18"/>
              </w:rPr>
            </w:pPr>
            <w:r w:rsidRPr="00E16A54">
              <w:rPr>
                <w:rFonts w:cs="Arial"/>
                <w:sz w:val="18"/>
                <w:szCs w:val="18"/>
              </w:rPr>
              <w:t>Executive Chair of Aspen Medical Pty Ltd (Aspen). Aspen provided support to the Agency’s COVID-19 Response.</w:t>
            </w:r>
          </w:p>
          <w:p w14:paraId="3B433FBA" w14:textId="77777777" w:rsidR="00B040FE" w:rsidRPr="00E16A54" w:rsidRDefault="00B040FE" w:rsidP="005E5E0C">
            <w:pPr>
              <w:rPr>
                <w:rFonts w:cs="Arial"/>
                <w:sz w:val="18"/>
                <w:szCs w:val="18"/>
              </w:rPr>
            </w:pPr>
            <w:r w:rsidRPr="00E16A54">
              <w:rPr>
                <w:rFonts w:cs="Arial"/>
                <w:sz w:val="18"/>
                <w:szCs w:val="18"/>
              </w:rPr>
              <w:t>Mr Keys</w:t>
            </w:r>
            <w:r>
              <w:rPr>
                <w:rFonts w:cs="Arial"/>
                <w:sz w:val="18"/>
                <w:szCs w:val="18"/>
              </w:rPr>
              <w:t>’</w:t>
            </w:r>
            <w:r w:rsidRPr="00E16A54">
              <w:rPr>
                <w:rFonts w:cs="Arial"/>
                <w:sz w:val="18"/>
                <w:szCs w:val="18"/>
              </w:rPr>
              <w:t xml:space="preserve"> term as a Board member finished on 31 December 2022</w:t>
            </w:r>
            <w:r>
              <w:rPr>
                <w:rFonts w:cs="Arial"/>
                <w:sz w:val="18"/>
                <w:szCs w:val="18"/>
              </w:rPr>
              <w:t>.</w:t>
            </w:r>
          </w:p>
        </w:tc>
        <w:tc>
          <w:tcPr>
            <w:tcW w:w="851" w:type="dxa"/>
            <w:tcBorders>
              <w:top w:val="dotted" w:sz="4" w:space="0" w:color="auto"/>
              <w:left w:val="nil"/>
              <w:bottom w:val="dotted" w:sz="4" w:space="0" w:color="auto"/>
              <w:right w:val="nil"/>
            </w:tcBorders>
            <w:shd w:val="clear" w:color="FFFFFF" w:fill="FFFFFF"/>
          </w:tcPr>
          <w:p w14:paraId="1DF0A27B" w14:textId="77777777" w:rsidR="00B040FE" w:rsidRPr="00E16A54" w:rsidRDefault="00B040FE" w:rsidP="005E5E0C">
            <w:pPr>
              <w:ind w:right="90"/>
              <w:jc w:val="right"/>
              <w:rPr>
                <w:rFonts w:cs="Arial"/>
                <w:b/>
                <w:bCs/>
                <w:sz w:val="18"/>
                <w:szCs w:val="18"/>
              </w:rPr>
            </w:pPr>
            <w:r>
              <w:rPr>
                <w:rFonts w:cs="Arial"/>
                <w:b/>
                <w:bCs/>
                <w:sz w:val="18"/>
                <w:szCs w:val="18"/>
              </w:rPr>
              <w:t>-</w:t>
            </w:r>
          </w:p>
        </w:tc>
        <w:tc>
          <w:tcPr>
            <w:tcW w:w="275" w:type="dxa"/>
            <w:tcBorders>
              <w:top w:val="dotted" w:sz="4" w:space="0" w:color="auto"/>
              <w:left w:val="nil"/>
              <w:bottom w:val="dotted" w:sz="4" w:space="0" w:color="auto"/>
              <w:right w:val="nil"/>
            </w:tcBorders>
            <w:shd w:val="clear" w:color="FFFFFF" w:fill="FFFFFF"/>
            <w:noWrap/>
          </w:tcPr>
          <w:p w14:paraId="33960F58" w14:textId="77777777" w:rsidR="00B040FE" w:rsidRPr="00E16A54" w:rsidRDefault="00B040FE" w:rsidP="005E5E0C">
            <w:pPr>
              <w:rPr>
                <w:rFonts w:cs="Arial"/>
                <w:sz w:val="18"/>
                <w:szCs w:val="18"/>
              </w:rPr>
            </w:pPr>
          </w:p>
          <w:p w14:paraId="1ED76176" w14:textId="77777777" w:rsidR="00B040FE" w:rsidRPr="00E16A54" w:rsidRDefault="00B040FE" w:rsidP="005E5E0C">
            <w:pPr>
              <w:rPr>
                <w:rFonts w:cs="Arial"/>
                <w:sz w:val="18"/>
                <w:szCs w:val="18"/>
              </w:rPr>
            </w:pPr>
          </w:p>
          <w:p w14:paraId="47C2B213" w14:textId="77777777" w:rsidR="00B040FE" w:rsidRPr="00E16A54" w:rsidRDefault="00B040FE" w:rsidP="005E5E0C">
            <w:pPr>
              <w:rPr>
                <w:rFonts w:cs="Arial"/>
                <w:sz w:val="18"/>
                <w:szCs w:val="18"/>
              </w:rPr>
            </w:pPr>
          </w:p>
          <w:p w14:paraId="13366450" w14:textId="77777777" w:rsidR="00B040FE" w:rsidRPr="00E16A54" w:rsidRDefault="00B040FE" w:rsidP="005E5E0C">
            <w:pPr>
              <w:rPr>
                <w:rFonts w:cs="Arial"/>
                <w:sz w:val="18"/>
                <w:szCs w:val="18"/>
              </w:rPr>
            </w:pPr>
          </w:p>
        </w:tc>
        <w:tc>
          <w:tcPr>
            <w:tcW w:w="859" w:type="dxa"/>
            <w:tcBorders>
              <w:top w:val="dotted" w:sz="4" w:space="0" w:color="auto"/>
              <w:left w:val="nil"/>
              <w:bottom w:val="dotted" w:sz="4" w:space="0" w:color="auto"/>
              <w:right w:val="nil"/>
            </w:tcBorders>
            <w:shd w:val="clear" w:color="FFFFFF" w:fill="FFFFFF"/>
          </w:tcPr>
          <w:p w14:paraId="28B309A3" w14:textId="77777777" w:rsidR="00B040FE" w:rsidRPr="00E16A54" w:rsidRDefault="00B040FE" w:rsidP="005E5E0C">
            <w:pPr>
              <w:jc w:val="right"/>
              <w:rPr>
                <w:rFonts w:cs="Arial"/>
                <w:sz w:val="18"/>
                <w:szCs w:val="18"/>
              </w:rPr>
            </w:pPr>
            <w:r>
              <w:rPr>
                <w:rFonts w:cs="Arial"/>
                <w:sz w:val="18"/>
                <w:szCs w:val="18"/>
              </w:rPr>
              <w:t>133</w:t>
            </w:r>
          </w:p>
        </w:tc>
      </w:tr>
      <w:tr w:rsidR="00B040FE" w:rsidRPr="00366006" w14:paraId="44D0E8DE" w14:textId="77777777" w:rsidTr="005E5E0C">
        <w:trPr>
          <w:trHeight w:val="255"/>
        </w:trPr>
        <w:tc>
          <w:tcPr>
            <w:tcW w:w="2694" w:type="dxa"/>
            <w:tcBorders>
              <w:top w:val="single" w:sz="4" w:space="0" w:color="auto"/>
              <w:left w:val="nil"/>
              <w:bottom w:val="single" w:sz="4" w:space="0" w:color="auto"/>
              <w:right w:val="nil"/>
            </w:tcBorders>
            <w:shd w:val="clear" w:color="FFFFFF" w:fill="FFFFFF"/>
            <w:noWrap/>
            <w:vAlign w:val="center"/>
          </w:tcPr>
          <w:p w14:paraId="54671FCA" w14:textId="77777777" w:rsidR="00B040FE" w:rsidRPr="00E16A54" w:rsidRDefault="00B040FE" w:rsidP="005E5E0C">
            <w:pPr>
              <w:ind w:left="176"/>
              <w:rPr>
                <w:rFonts w:cs="Arial"/>
                <w:sz w:val="18"/>
                <w:szCs w:val="18"/>
              </w:rPr>
            </w:pPr>
            <w:r w:rsidRPr="00E16A54">
              <w:rPr>
                <w:rFonts w:cs="Arial"/>
                <w:b/>
                <w:bCs/>
                <w:sz w:val="18"/>
                <w:szCs w:val="18"/>
              </w:rPr>
              <w:t>Key Management Personnel Executive Members</w:t>
            </w:r>
          </w:p>
        </w:tc>
        <w:tc>
          <w:tcPr>
            <w:tcW w:w="4677" w:type="dxa"/>
            <w:gridSpan w:val="2"/>
            <w:tcBorders>
              <w:top w:val="single" w:sz="4" w:space="0" w:color="auto"/>
              <w:left w:val="nil"/>
              <w:bottom w:val="single" w:sz="4" w:space="0" w:color="auto"/>
              <w:right w:val="nil"/>
            </w:tcBorders>
            <w:shd w:val="clear" w:color="FFFFFF" w:fill="FFFFFF"/>
            <w:vAlign w:val="center"/>
          </w:tcPr>
          <w:p w14:paraId="133B7029" w14:textId="77777777" w:rsidR="00B040FE" w:rsidRPr="00E16A54" w:rsidRDefault="00B040FE" w:rsidP="005E5E0C">
            <w:pPr>
              <w:rPr>
                <w:rFonts w:cs="Arial"/>
                <w:sz w:val="18"/>
                <w:szCs w:val="18"/>
              </w:rPr>
            </w:pPr>
            <w:r w:rsidRPr="00E16A54">
              <w:rPr>
                <w:rFonts w:cs="Arial"/>
                <w:b/>
                <w:bCs/>
                <w:sz w:val="18"/>
                <w:szCs w:val="18"/>
              </w:rPr>
              <w:t>Related party and payments for services rendered by the related party</w:t>
            </w:r>
          </w:p>
        </w:tc>
        <w:tc>
          <w:tcPr>
            <w:tcW w:w="851" w:type="dxa"/>
            <w:tcBorders>
              <w:top w:val="single" w:sz="4" w:space="0" w:color="auto"/>
              <w:left w:val="nil"/>
              <w:bottom w:val="single" w:sz="4" w:space="0" w:color="auto"/>
              <w:right w:val="nil"/>
            </w:tcBorders>
            <w:shd w:val="clear" w:color="FFFFFF" w:fill="FFFFFF"/>
            <w:vAlign w:val="bottom"/>
          </w:tcPr>
          <w:p w14:paraId="6A4A9E52" w14:textId="77777777" w:rsidR="00B040FE" w:rsidRPr="00366006" w:rsidRDefault="00B040FE" w:rsidP="005E5E0C">
            <w:pPr>
              <w:jc w:val="right"/>
              <w:rPr>
                <w:rFonts w:cs="Arial"/>
                <w:b/>
                <w:bCs/>
                <w:sz w:val="18"/>
                <w:szCs w:val="18"/>
                <w:highlight w:val="yellow"/>
              </w:rPr>
            </w:pPr>
          </w:p>
        </w:tc>
        <w:tc>
          <w:tcPr>
            <w:tcW w:w="275" w:type="dxa"/>
            <w:tcBorders>
              <w:top w:val="single" w:sz="4" w:space="0" w:color="auto"/>
              <w:left w:val="nil"/>
              <w:bottom w:val="single" w:sz="4" w:space="0" w:color="auto"/>
              <w:right w:val="nil"/>
            </w:tcBorders>
            <w:shd w:val="clear" w:color="FFFFFF" w:fill="FFFFFF"/>
            <w:noWrap/>
            <w:vAlign w:val="bottom"/>
          </w:tcPr>
          <w:p w14:paraId="4BA8B04A" w14:textId="77777777" w:rsidR="00B040FE" w:rsidRPr="00366006" w:rsidRDefault="00B040FE" w:rsidP="005E5E0C">
            <w:pPr>
              <w:rPr>
                <w:rFonts w:cs="Arial"/>
                <w:sz w:val="18"/>
                <w:szCs w:val="18"/>
                <w:highlight w:val="yellow"/>
              </w:rPr>
            </w:pPr>
          </w:p>
        </w:tc>
        <w:tc>
          <w:tcPr>
            <w:tcW w:w="859" w:type="dxa"/>
            <w:tcBorders>
              <w:top w:val="single" w:sz="4" w:space="0" w:color="auto"/>
              <w:left w:val="nil"/>
              <w:bottom w:val="single" w:sz="4" w:space="0" w:color="auto"/>
              <w:right w:val="nil"/>
            </w:tcBorders>
            <w:shd w:val="clear" w:color="FFFFFF" w:fill="FFFFFF"/>
            <w:vAlign w:val="bottom"/>
          </w:tcPr>
          <w:p w14:paraId="217FF46E" w14:textId="77777777" w:rsidR="00B040FE" w:rsidRPr="00522A5D" w:rsidRDefault="00B040FE" w:rsidP="005E5E0C">
            <w:pPr>
              <w:jc w:val="right"/>
              <w:rPr>
                <w:rFonts w:cs="Arial"/>
                <w:sz w:val="18"/>
                <w:szCs w:val="18"/>
              </w:rPr>
            </w:pPr>
          </w:p>
        </w:tc>
      </w:tr>
      <w:tr w:rsidR="00B040FE" w:rsidRPr="00366006" w14:paraId="73D445AC" w14:textId="77777777" w:rsidTr="005E5E0C">
        <w:trPr>
          <w:trHeight w:val="255"/>
        </w:trPr>
        <w:tc>
          <w:tcPr>
            <w:tcW w:w="2694" w:type="dxa"/>
            <w:tcBorders>
              <w:top w:val="single" w:sz="4" w:space="0" w:color="auto"/>
              <w:left w:val="nil"/>
              <w:bottom w:val="single" w:sz="4" w:space="0" w:color="auto"/>
              <w:right w:val="nil"/>
            </w:tcBorders>
            <w:shd w:val="clear" w:color="FFFFFF" w:fill="FFFFFF"/>
            <w:noWrap/>
          </w:tcPr>
          <w:p w14:paraId="1D825C60" w14:textId="77777777" w:rsidR="00B040FE" w:rsidRPr="00E16A54" w:rsidRDefault="00B040FE" w:rsidP="005E5E0C">
            <w:pPr>
              <w:ind w:left="176"/>
              <w:rPr>
                <w:rFonts w:cs="Arial"/>
                <w:sz w:val="18"/>
                <w:szCs w:val="18"/>
              </w:rPr>
            </w:pPr>
            <w:r w:rsidRPr="00E16A54">
              <w:rPr>
                <w:rFonts w:cs="Arial"/>
                <w:sz w:val="18"/>
                <w:szCs w:val="18"/>
              </w:rPr>
              <w:t>Mr David Gifford </w:t>
            </w:r>
          </w:p>
          <w:p w14:paraId="2D1E8C8B" w14:textId="77777777" w:rsidR="00B040FE" w:rsidRPr="00E16A54" w:rsidRDefault="00B040FE" w:rsidP="005E5E0C">
            <w:pPr>
              <w:ind w:left="176"/>
              <w:rPr>
                <w:rFonts w:cs="Arial"/>
                <w:i/>
                <w:iCs/>
                <w:sz w:val="18"/>
                <w:szCs w:val="18"/>
              </w:rPr>
            </w:pPr>
          </w:p>
        </w:tc>
        <w:tc>
          <w:tcPr>
            <w:tcW w:w="4677" w:type="dxa"/>
            <w:gridSpan w:val="2"/>
            <w:tcBorders>
              <w:top w:val="single" w:sz="4" w:space="0" w:color="auto"/>
              <w:left w:val="nil"/>
              <w:bottom w:val="single" w:sz="4" w:space="0" w:color="auto"/>
              <w:right w:val="nil"/>
            </w:tcBorders>
            <w:shd w:val="clear" w:color="FFFFFF" w:fill="FFFFFF"/>
          </w:tcPr>
          <w:p w14:paraId="080276C8" w14:textId="77777777" w:rsidR="00B040FE" w:rsidRPr="00E16A54" w:rsidRDefault="00B040FE" w:rsidP="005E5E0C">
            <w:pPr>
              <w:rPr>
                <w:rFonts w:cs="Arial"/>
                <w:sz w:val="18"/>
                <w:szCs w:val="18"/>
              </w:rPr>
            </w:pPr>
            <w:r w:rsidRPr="00E16A54">
              <w:rPr>
                <w:rFonts w:cs="Arial"/>
                <w:sz w:val="18"/>
                <w:szCs w:val="18"/>
              </w:rPr>
              <w:t>Proprietor of Davegiff Consulting Services Pty Ltd. Davegiff Consulting Services provided scheme actuarial services to the Agency.</w:t>
            </w:r>
          </w:p>
        </w:tc>
        <w:tc>
          <w:tcPr>
            <w:tcW w:w="851" w:type="dxa"/>
            <w:tcBorders>
              <w:top w:val="single" w:sz="4" w:space="0" w:color="auto"/>
              <w:left w:val="nil"/>
              <w:bottom w:val="single" w:sz="4" w:space="0" w:color="auto"/>
              <w:right w:val="nil"/>
            </w:tcBorders>
            <w:shd w:val="clear" w:color="FFFFFF" w:fill="FFFFFF"/>
          </w:tcPr>
          <w:p w14:paraId="619398AB" w14:textId="77777777" w:rsidR="00B040FE" w:rsidRPr="00E16A54" w:rsidRDefault="00B040FE" w:rsidP="005E5E0C">
            <w:pPr>
              <w:jc w:val="right"/>
              <w:rPr>
                <w:rFonts w:cs="Arial"/>
                <w:b/>
                <w:bCs/>
                <w:sz w:val="18"/>
                <w:szCs w:val="18"/>
              </w:rPr>
            </w:pPr>
            <w:r>
              <w:rPr>
                <w:rFonts w:cs="Arial"/>
                <w:b/>
                <w:bCs/>
                <w:sz w:val="18"/>
                <w:szCs w:val="18"/>
              </w:rPr>
              <w:t>-</w:t>
            </w:r>
          </w:p>
        </w:tc>
        <w:tc>
          <w:tcPr>
            <w:tcW w:w="275" w:type="dxa"/>
            <w:tcBorders>
              <w:top w:val="single" w:sz="4" w:space="0" w:color="auto"/>
              <w:left w:val="nil"/>
              <w:bottom w:val="single" w:sz="4" w:space="0" w:color="auto"/>
              <w:right w:val="nil"/>
            </w:tcBorders>
            <w:shd w:val="clear" w:color="FFFFFF" w:fill="FFFFFF"/>
            <w:noWrap/>
          </w:tcPr>
          <w:p w14:paraId="7654B2EE" w14:textId="77777777" w:rsidR="00B040FE" w:rsidRPr="00366006" w:rsidRDefault="00B040FE" w:rsidP="005E5E0C">
            <w:pPr>
              <w:jc w:val="right"/>
              <w:rPr>
                <w:rFonts w:cs="Arial"/>
                <w:sz w:val="18"/>
                <w:szCs w:val="18"/>
                <w:highlight w:val="yellow"/>
              </w:rPr>
            </w:pPr>
          </w:p>
        </w:tc>
        <w:tc>
          <w:tcPr>
            <w:tcW w:w="859" w:type="dxa"/>
            <w:tcBorders>
              <w:top w:val="single" w:sz="4" w:space="0" w:color="auto"/>
              <w:left w:val="nil"/>
              <w:bottom w:val="single" w:sz="4" w:space="0" w:color="auto"/>
              <w:right w:val="nil"/>
            </w:tcBorders>
            <w:shd w:val="clear" w:color="FFFFFF" w:fill="FFFFFF"/>
          </w:tcPr>
          <w:p w14:paraId="2A615A5C" w14:textId="77777777" w:rsidR="00B040FE" w:rsidRPr="00522A5D" w:rsidRDefault="00B040FE" w:rsidP="005E5E0C">
            <w:pPr>
              <w:jc w:val="right"/>
              <w:rPr>
                <w:rFonts w:cs="Arial"/>
                <w:sz w:val="18"/>
                <w:szCs w:val="18"/>
              </w:rPr>
            </w:pPr>
            <w:r>
              <w:rPr>
                <w:rFonts w:cs="Arial"/>
                <w:sz w:val="18"/>
                <w:szCs w:val="18"/>
              </w:rPr>
              <w:t>329</w:t>
            </w:r>
          </w:p>
        </w:tc>
      </w:tr>
      <w:tr w:rsidR="00B040FE" w:rsidRPr="00522A5D" w14:paraId="5A7EB5EC" w14:textId="77777777" w:rsidTr="005E5E0C">
        <w:trPr>
          <w:trHeight w:val="873"/>
        </w:trPr>
        <w:tc>
          <w:tcPr>
            <w:tcW w:w="2694" w:type="dxa"/>
            <w:tcBorders>
              <w:top w:val="single" w:sz="4" w:space="0" w:color="auto"/>
              <w:left w:val="nil"/>
              <w:bottom w:val="single" w:sz="4" w:space="0" w:color="auto"/>
              <w:right w:val="nil"/>
            </w:tcBorders>
            <w:shd w:val="clear" w:color="FFFFFF" w:fill="FFFFFF"/>
            <w:noWrap/>
          </w:tcPr>
          <w:p w14:paraId="3181D7EA" w14:textId="77777777" w:rsidR="00B040FE" w:rsidRPr="00E16A54" w:rsidRDefault="00B040FE" w:rsidP="005E5E0C">
            <w:pPr>
              <w:ind w:left="176"/>
              <w:rPr>
                <w:rFonts w:cs="Arial"/>
                <w:sz w:val="18"/>
                <w:szCs w:val="18"/>
              </w:rPr>
            </w:pPr>
            <w:r w:rsidRPr="00E16A54">
              <w:rPr>
                <w:rFonts w:cs="Arial"/>
                <w:sz w:val="18"/>
                <w:szCs w:val="18"/>
              </w:rPr>
              <w:t xml:space="preserve">Ms Sarah Johnson </w:t>
            </w:r>
          </w:p>
          <w:p w14:paraId="5D44EC5F" w14:textId="77777777" w:rsidR="00B040FE" w:rsidRPr="00E16A54" w:rsidRDefault="00B040FE" w:rsidP="005E5E0C">
            <w:pPr>
              <w:rPr>
                <w:rFonts w:cs="Arial"/>
                <w:i/>
                <w:sz w:val="18"/>
                <w:szCs w:val="18"/>
              </w:rPr>
            </w:pPr>
          </w:p>
        </w:tc>
        <w:tc>
          <w:tcPr>
            <w:tcW w:w="4677" w:type="dxa"/>
            <w:gridSpan w:val="2"/>
            <w:tcBorders>
              <w:top w:val="single" w:sz="4" w:space="0" w:color="auto"/>
              <w:left w:val="nil"/>
              <w:bottom w:val="single" w:sz="4" w:space="0" w:color="auto"/>
              <w:right w:val="nil"/>
            </w:tcBorders>
            <w:shd w:val="clear" w:color="FFFFFF" w:fill="FFFFFF"/>
          </w:tcPr>
          <w:p w14:paraId="382CD37A" w14:textId="77777777" w:rsidR="00B040FE" w:rsidRPr="00E16A54" w:rsidRDefault="00B040FE" w:rsidP="005E5E0C">
            <w:pPr>
              <w:rPr>
                <w:rFonts w:cs="Arial"/>
                <w:sz w:val="18"/>
                <w:szCs w:val="18"/>
              </w:rPr>
            </w:pPr>
            <w:r w:rsidRPr="00E16A54">
              <w:rPr>
                <w:rFonts w:cs="Arial"/>
                <w:sz w:val="18"/>
                <w:szCs w:val="18"/>
              </w:rPr>
              <w:t xml:space="preserve">Proprietor of Sarah Consulting Pty Ltd. </w:t>
            </w:r>
          </w:p>
          <w:p w14:paraId="2AB9B66E" w14:textId="77777777" w:rsidR="00B040FE" w:rsidRPr="00E16A54" w:rsidRDefault="00B040FE" w:rsidP="005E5E0C">
            <w:pPr>
              <w:rPr>
                <w:rFonts w:cs="Arial"/>
                <w:sz w:val="18"/>
                <w:szCs w:val="18"/>
              </w:rPr>
            </w:pPr>
            <w:r w:rsidRPr="00E16A54">
              <w:rPr>
                <w:rFonts w:cs="Arial"/>
                <w:sz w:val="18"/>
                <w:szCs w:val="18"/>
              </w:rPr>
              <w:t>Sarah Consulting provided scheme actuarial and strategic services to the Agency.</w:t>
            </w:r>
            <w:r w:rsidRPr="00E16A54">
              <w:rPr>
                <w:rFonts w:cs="Arial"/>
                <w:sz w:val="18"/>
                <w:szCs w:val="18"/>
              </w:rPr>
              <w:br/>
              <w:t>Ms Johnson left the Agency on 30 November 2022</w:t>
            </w:r>
            <w:r>
              <w:rPr>
                <w:rFonts w:cs="Arial"/>
                <w:sz w:val="18"/>
                <w:szCs w:val="18"/>
              </w:rPr>
              <w:t>.</w:t>
            </w:r>
          </w:p>
        </w:tc>
        <w:tc>
          <w:tcPr>
            <w:tcW w:w="851" w:type="dxa"/>
            <w:tcBorders>
              <w:top w:val="single" w:sz="4" w:space="0" w:color="auto"/>
              <w:left w:val="nil"/>
              <w:bottom w:val="single" w:sz="4" w:space="0" w:color="auto"/>
              <w:right w:val="nil"/>
            </w:tcBorders>
            <w:shd w:val="clear" w:color="FFFFFF" w:fill="FFFFFF"/>
          </w:tcPr>
          <w:p w14:paraId="31985BE6" w14:textId="77777777" w:rsidR="00B040FE" w:rsidRPr="00E16A54" w:rsidRDefault="00B040FE" w:rsidP="005E5E0C">
            <w:pPr>
              <w:jc w:val="right"/>
              <w:rPr>
                <w:rFonts w:cs="Arial"/>
                <w:b/>
                <w:bCs/>
                <w:sz w:val="18"/>
                <w:szCs w:val="18"/>
              </w:rPr>
            </w:pPr>
            <w:r>
              <w:rPr>
                <w:rFonts w:cs="Arial"/>
                <w:b/>
                <w:bCs/>
                <w:sz w:val="18"/>
                <w:szCs w:val="18"/>
              </w:rPr>
              <w:t>-</w:t>
            </w:r>
          </w:p>
        </w:tc>
        <w:tc>
          <w:tcPr>
            <w:tcW w:w="275" w:type="dxa"/>
            <w:tcBorders>
              <w:top w:val="single" w:sz="4" w:space="0" w:color="auto"/>
              <w:left w:val="nil"/>
              <w:bottom w:val="single" w:sz="4" w:space="0" w:color="auto"/>
              <w:right w:val="nil"/>
            </w:tcBorders>
            <w:shd w:val="clear" w:color="FFFFFF" w:fill="FFFFFF"/>
            <w:noWrap/>
          </w:tcPr>
          <w:p w14:paraId="3D0A5A66" w14:textId="77777777" w:rsidR="00B040FE" w:rsidRPr="00366006" w:rsidRDefault="00B040FE" w:rsidP="005E5E0C">
            <w:pPr>
              <w:jc w:val="right"/>
              <w:rPr>
                <w:rFonts w:cs="Arial"/>
                <w:sz w:val="18"/>
                <w:szCs w:val="18"/>
                <w:highlight w:val="yellow"/>
              </w:rPr>
            </w:pPr>
          </w:p>
        </w:tc>
        <w:tc>
          <w:tcPr>
            <w:tcW w:w="859" w:type="dxa"/>
            <w:tcBorders>
              <w:top w:val="single" w:sz="4" w:space="0" w:color="auto"/>
              <w:left w:val="nil"/>
              <w:bottom w:val="single" w:sz="4" w:space="0" w:color="auto"/>
              <w:right w:val="nil"/>
            </w:tcBorders>
            <w:shd w:val="clear" w:color="FFFFFF" w:fill="FFFFFF"/>
          </w:tcPr>
          <w:p w14:paraId="513ADEB5" w14:textId="77777777" w:rsidR="00B040FE" w:rsidRPr="00522A5D" w:rsidRDefault="00B040FE" w:rsidP="005E5E0C">
            <w:pPr>
              <w:jc w:val="right"/>
              <w:rPr>
                <w:rFonts w:cs="Arial"/>
                <w:sz w:val="18"/>
                <w:szCs w:val="18"/>
              </w:rPr>
            </w:pPr>
            <w:r>
              <w:rPr>
                <w:rFonts w:cs="Arial"/>
                <w:sz w:val="18"/>
                <w:szCs w:val="18"/>
              </w:rPr>
              <w:t>324</w:t>
            </w:r>
          </w:p>
        </w:tc>
      </w:tr>
    </w:tbl>
    <w:p w14:paraId="4A15F55A" w14:textId="77777777" w:rsidR="00B040FE" w:rsidRDefault="00B040FE" w:rsidP="00B040FE">
      <w:pPr>
        <w:spacing w:line="40" w:lineRule="atLeast"/>
        <w:rPr>
          <w:sz w:val="18"/>
        </w:rPr>
      </w:pPr>
    </w:p>
    <w:p w14:paraId="477256A3" w14:textId="77777777" w:rsidR="00B040FE" w:rsidRPr="000E1853" w:rsidRDefault="00B040FE" w:rsidP="00B040FE">
      <w:pPr>
        <w:rPr>
          <w:rFonts w:cs="Arial"/>
          <w:sz w:val="14"/>
          <w:szCs w:val="16"/>
        </w:rPr>
      </w:pPr>
      <w:r w:rsidRPr="00715D79">
        <w:rPr>
          <w:rFonts w:cs="Arial"/>
          <w:sz w:val="16"/>
          <w:szCs w:val="18"/>
          <w:vertAlign w:val="superscript"/>
        </w:rPr>
        <w:t xml:space="preserve">1 </w:t>
      </w:r>
      <w:r w:rsidRPr="000E1853">
        <w:rPr>
          <w:rFonts w:cs="Arial"/>
          <w:sz w:val="14"/>
          <w:szCs w:val="16"/>
        </w:rPr>
        <w:t xml:space="preserve">All payments in the table above are calculated on a cash rather than accrual basis and therefore may differ from any amounts reported in Note 3.2 and </w:t>
      </w:r>
      <w:r w:rsidRPr="00CF4D31">
        <w:rPr>
          <w:rFonts w:cs="Arial"/>
          <w:sz w:val="14"/>
          <w:szCs w:val="16"/>
        </w:rPr>
        <w:t xml:space="preserve">Appendix </w:t>
      </w:r>
      <w:r>
        <w:rPr>
          <w:rFonts w:cs="Arial"/>
          <w:sz w:val="14"/>
          <w:szCs w:val="16"/>
        </w:rPr>
        <w:t>6</w:t>
      </w:r>
      <w:r w:rsidRPr="00CF4D31">
        <w:rPr>
          <w:rFonts w:cs="Arial"/>
          <w:sz w:val="14"/>
          <w:szCs w:val="16"/>
        </w:rPr>
        <w:t>.6</w:t>
      </w:r>
      <w:r w:rsidRPr="000E1853">
        <w:rPr>
          <w:rFonts w:cs="Arial"/>
          <w:sz w:val="14"/>
          <w:szCs w:val="16"/>
        </w:rPr>
        <w:t xml:space="preserve"> of the annual report.</w:t>
      </w:r>
    </w:p>
    <w:p w14:paraId="2A2575C1" w14:textId="77777777" w:rsidR="00B040FE" w:rsidRPr="00CE3703" w:rsidRDefault="00B040FE" w:rsidP="00B040FE">
      <w:pPr>
        <w:spacing w:line="40" w:lineRule="atLeast"/>
        <w:rPr>
          <w:sz w:val="18"/>
        </w:rPr>
      </w:pPr>
      <w:r w:rsidRPr="00CE3703">
        <w:rPr>
          <w:sz w:val="18"/>
        </w:rPr>
        <w:t>None of the above Key Management Personnel played any role in Agency decisions in relation to their related party transactions noted above.</w:t>
      </w:r>
    </w:p>
    <w:bookmarkEnd w:id="214"/>
    <w:bookmarkEnd w:id="215"/>
    <w:bookmarkEnd w:id="216"/>
    <w:p w14:paraId="33FBCC1E" w14:textId="77777777" w:rsidR="00B040FE" w:rsidRDefault="00B040FE" w:rsidP="00B040FE">
      <w:pPr>
        <w:spacing w:line="40" w:lineRule="atLeast"/>
        <w:rPr>
          <w:sz w:val="18"/>
        </w:rPr>
      </w:pPr>
      <w:r>
        <w:rPr>
          <w:sz w:val="18"/>
        </w:rPr>
        <w:br w:type="page"/>
      </w:r>
    </w:p>
    <w:p w14:paraId="290BC70C" w14:textId="77777777" w:rsidR="006E070C" w:rsidRPr="000D1B3E" w:rsidRDefault="006E070C" w:rsidP="006E070C">
      <w:pPr>
        <w:spacing w:after="0" w:line="240" w:lineRule="auto"/>
        <w:rPr>
          <w:b/>
          <w:bCs/>
        </w:rPr>
      </w:pPr>
      <w:r w:rsidRPr="000D1B3E">
        <w:rPr>
          <w:b/>
          <w:bCs/>
        </w:rPr>
        <w:lastRenderedPageBreak/>
        <w:t>National Disability Insurance Agency</w:t>
      </w:r>
    </w:p>
    <w:p w14:paraId="43DFD9D2" w14:textId="77777777" w:rsidR="006E070C" w:rsidRPr="000D1B3E" w:rsidRDefault="006E070C" w:rsidP="006E070C">
      <w:pPr>
        <w:pBdr>
          <w:bottom w:val="single" w:sz="8" w:space="1" w:color="auto"/>
        </w:pBdr>
        <w:rPr>
          <w:b/>
          <w:bCs/>
        </w:rPr>
      </w:pPr>
      <w:r w:rsidRPr="000D1B3E">
        <w:rPr>
          <w:b/>
          <w:bCs/>
        </w:rPr>
        <w:t>NOTES TO AND FORMING PART OF THE FINANCIAL STATEMENTS</w:t>
      </w:r>
    </w:p>
    <w:p w14:paraId="6E53C2A4" w14:textId="77777777" w:rsidR="00B040FE" w:rsidRDefault="00B040FE" w:rsidP="00B040FE">
      <w:pPr>
        <w:pStyle w:val="SectionHeading"/>
        <w:numPr>
          <w:ilvl w:val="0"/>
          <w:numId w:val="30"/>
        </w:numPr>
      </w:pPr>
      <w:bookmarkStart w:id="229" w:name="_Toc65742857"/>
      <w:bookmarkStart w:id="230" w:name="_Toc173417303"/>
      <w:r>
        <w:t>Managing Uncertainties</w:t>
      </w:r>
      <w:bookmarkEnd w:id="229"/>
      <w:bookmarkEnd w:id="230"/>
    </w:p>
    <w:p w14:paraId="1E5EF176" w14:textId="77777777" w:rsidR="00B040FE" w:rsidRDefault="00B040FE" w:rsidP="00B040FE">
      <w:pPr>
        <w:pStyle w:val="SectionHeadingDescription"/>
      </w:pPr>
      <w:r w:rsidRPr="00D16B96">
        <w:t>This section analyses how the Agency manages financial risks within its operating environment.</w:t>
      </w:r>
    </w:p>
    <w:p w14:paraId="3B61F44A" w14:textId="77777777" w:rsidR="00B040FE" w:rsidRPr="00FF78A0" w:rsidRDefault="00B040FE" w:rsidP="006E070C">
      <w:pPr>
        <w:pStyle w:val="SubHeading"/>
        <w:shd w:val="clear" w:color="auto" w:fill="000000" w:themeFill="accent6"/>
      </w:pPr>
      <w:bookmarkStart w:id="231" w:name="_Toc65742858"/>
      <w:bookmarkStart w:id="232" w:name="_Toc173417304"/>
      <w:r>
        <w:t>Contingent Assets and Liabilities</w:t>
      </w:r>
      <w:bookmarkEnd w:id="231"/>
      <w:bookmarkEnd w:id="232"/>
    </w:p>
    <w:p w14:paraId="37E58C1B" w14:textId="77777777" w:rsidR="00B040FE" w:rsidRDefault="00B040FE" w:rsidP="006E070C">
      <w:pPr>
        <w:spacing w:after="0" w:line="240" w:lineRule="auto"/>
      </w:pPr>
    </w:p>
    <w:p w14:paraId="7C3CBDBF" w14:textId="77777777" w:rsidR="00B040FE" w:rsidRPr="00EE6E8A" w:rsidRDefault="00B040FE" w:rsidP="00B040FE">
      <w:pPr>
        <w:rPr>
          <w:rFonts w:cs="Arial"/>
          <w:b/>
          <w:sz w:val="18"/>
          <w:szCs w:val="18"/>
          <w:u w:val="single"/>
          <w:lang w:eastAsia="en-AU"/>
        </w:rPr>
      </w:pPr>
      <w:r w:rsidRPr="00EE6E8A">
        <w:rPr>
          <w:rFonts w:cs="Arial"/>
          <w:b/>
          <w:sz w:val="18"/>
          <w:szCs w:val="18"/>
          <w:u w:val="single"/>
          <w:lang w:eastAsia="en-AU"/>
        </w:rPr>
        <w:t>Quantifiable Contingencies</w:t>
      </w:r>
    </w:p>
    <w:p w14:paraId="414855B4" w14:textId="77777777" w:rsidR="00B040FE" w:rsidRPr="00EE6E8A" w:rsidRDefault="00B040FE" w:rsidP="00B040FE">
      <w:pPr>
        <w:rPr>
          <w:rFonts w:cs="Arial"/>
          <w:sz w:val="18"/>
          <w:szCs w:val="18"/>
          <w:lang w:eastAsia="en-AU"/>
        </w:rPr>
      </w:pPr>
      <w:bookmarkStart w:id="233" w:name="_Ref338146507"/>
      <w:r w:rsidRPr="00035E54">
        <w:rPr>
          <w:sz w:val="18"/>
        </w:rPr>
        <w:t xml:space="preserve">As at </w:t>
      </w:r>
      <w:r>
        <w:rPr>
          <w:sz w:val="18"/>
        </w:rPr>
        <w:fldChar w:fldCharType="begin"/>
      </w:r>
      <w:r>
        <w:rPr>
          <w:sz w:val="18"/>
        </w:rPr>
        <w:instrText xml:space="preserve"> DOCPROPERTY  pEnd  \* MERGEFORMAT </w:instrText>
      </w:r>
      <w:r>
        <w:rPr>
          <w:sz w:val="18"/>
        </w:rPr>
        <w:fldChar w:fldCharType="separate"/>
      </w:r>
      <w:r>
        <w:rPr>
          <w:sz w:val="18"/>
        </w:rPr>
        <w:t>30 June</w:t>
      </w:r>
      <w:r>
        <w:rPr>
          <w:sz w:val="18"/>
        </w:rPr>
        <w:fldChar w:fldCharType="end"/>
      </w:r>
      <w:r>
        <w:rPr>
          <w:sz w:val="18"/>
        </w:rPr>
        <w:t xml:space="preserve"> </w:t>
      </w:r>
      <w:r w:rsidRPr="00035E54">
        <w:rPr>
          <w:sz w:val="18"/>
        </w:rPr>
        <w:fldChar w:fldCharType="begin"/>
      </w:r>
      <w:r w:rsidRPr="00035E54">
        <w:rPr>
          <w:sz w:val="18"/>
        </w:rPr>
        <w:instrText xml:space="preserve"> DOCPROPERTY  crYear  \* MERGEFORMAT </w:instrText>
      </w:r>
      <w:r w:rsidRPr="00035E54">
        <w:rPr>
          <w:sz w:val="18"/>
        </w:rPr>
        <w:fldChar w:fldCharType="separate"/>
      </w:r>
      <w:r>
        <w:rPr>
          <w:sz w:val="18"/>
        </w:rPr>
        <w:t>2024</w:t>
      </w:r>
      <w:r w:rsidRPr="00035E54">
        <w:rPr>
          <w:sz w:val="18"/>
        </w:rPr>
        <w:fldChar w:fldCharType="end"/>
      </w:r>
      <w:r w:rsidRPr="00035E54">
        <w:rPr>
          <w:sz w:val="18"/>
        </w:rPr>
        <w:t xml:space="preserve">, the Agency had </w:t>
      </w:r>
      <w:r>
        <w:rPr>
          <w:sz w:val="18"/>
        </w:rPr>
        <w:t>no</w:t>
      </w:r>
      <w:r w:rsidRPr="00035E54">
        <w:rPr>
          <w:sz w:val="18"/>
        </w:rPr>
        <w:t xml:space="preserve"> quantifiable</w:t>
      </w:r>
      <w:r w:rsidRPr="00035E54">
        <w:rPr>
          <w:color w:val="C00000"/>
          <w:sz w:val="18"/>
        </w:rPr>
        <w:t xml:space="preserve"> </w:t>
      </w:r>
      <w:r w:rsidRPr="00035E54">
        <w:rPr>
          <w:sz w:val="18"/>
        </w:rPr>
        <w:t xml:space="preserve">contingent assets or liabilities </w:t>
      </w:r>
      <w:r w:rsidRPr="00035E54">
        <w:rPr>
          <w:rFonts w:cs="Arial"/>
          <w:sz w:val="18"/>
          <w:szCs w:val="18"/>
          <w:lang w:eastAsia="en-AU"/>
        </w:rPr>
        <w:t>(</w:t>
      </w:r>
      <w:r w:rsidRPr="00035E54">
        <w:rPr>
          <w:rFonts w:cs="Arial"/>
          <w:sz w:val="18"/>
          <w:szCs w:val="18"/>
          <w:lang w:eastAsia="en-AU"/>
        </w:rPr>
        <w:fldChar w:fldCharType="begin"/>
      </w:r>
      <w:r w:rsidRPr="00035E54">
        <w:rPr>
          <w:rFonts w:cs="Arial"/>
          <w:sz w:val="18"/>
          <w:szCs w:val="18"/>
          <w:lang w:eastAsia="en-AU"/>
        </w:rPr>
        <w:instrText xml:space="preserve"> DOCPROPERTY  prYear  \* MERGEFORMAT </w:instrText>
      </w:r>
      <w:r w:rsidRPr="00035E54">
        <w:rPr>
          <w:rFonts w:cs="Arial"/>
          <w:sz w:val="18"/>
          <w:szCs w:val="18"/>
          <w:lang w:eastAsia="en-AU"/>
        </w:rPr>
        <w:fldChar w:fldCharType="separate"/>
      </w:r>
      <w:r>
        <w:rPr>
          <w:rFonts w:cs="Arial"/>
          <w:sz w:val="18"/>
          <w:szCs w:val="18"/>
          <w:lang w:eastAsia="en-AU"/>
        </w:rPr>
        <w:t>2023</w:t>
      </w:r>
      <w:r w:rsidRPr="00035E54">
        <w:rPr>
          <w:rFonts w:cs="Arial"/>
          <w:sz w:val="18"/>
          <w:szCs w:val="18"/>
          <w:lang w:eastAsia="en-AU"/>
        </w:rPr>
        <w:fldChar w:fldCharType="end"/>
      </w:r>
      <w:r w:rsidRPr="00035E54">
        <w:rPr>
          <w:rFonts w:cs="Arial"/>
          <w:sz w:val="18"/>
          <w:szCs w:val="18"/>
          <w:lang w:eastAsia="en-AU"/>
        </w:rPr>
        <w:t>: $Nil).</w:t>
      </w:r>
    </w:p>
    <w:p w14:paraId="72FE2909" w14:textId="77777777" w:rsidR="00B040FE" w:rsidRPr="00EE6E8A" w:rsidRDefault="00B040FE" w:rsidP="00B040FE">
      <w:pPr>
        <w:rPr>
          <w:rFonts w:cs="Arial"/>
          <w:b/>
          <w:sz w:val="18"/>
          <w:szCs w:val="18"/>
          <w:u w:val="single"/>
          <w:lang w:eastAsia="en-AU"/>
        </w:rPr>
      </w:pPr>
      <w:r w:rsidRPr="00EE6E8A">
        <w:rPr>
          <w:rFonts w:cs="Arial"/>
          <w:b/>
          <w:sz w:val="18"/>
          <w:szCs w:val="18"/>
          <w:u w:val="single"/>
          <w:lang w:eastAsia="en-AU"/>
        </w:rPr>
        <w:t>Unquantifiable Contingencies</w:t>
      </w:r>
    </w:p>
    <w:p w14:paraId="1B7945D1" w14:textId="77777777" w:rsidR="00B040FE" w:rsidRPr="00EE6E8A" w:rsidRDefault="00B040FE" w:rsidP="00B040FE">
      <w:pPr>
        <w:rPr>
          <w:rFonts w:cs="Arial"/>
          <w:b/>
          <w:i/>
          <w:szCs w:val="22"/>
          <w:u w:val="single"/>
        </w:rPr>
      </w:pPr>
      <w:r w:rsidRPr="00EE6E8A">
        <w:rPr>
          <w:i/>
          <w:sz w:val="18"/>
          <w:u w:val="single"/>
        </w:rPr>
        <w:t>Contingent</w:t>
      </w:r>
      <w:r w:rsidRPr="00EE6E8A">
        <w:rPr>
          <w:rFonts w:cs="Arial"/>
          <w:b/>
          <w:i/>
          <w:szCs w:val="22"/>
          <w:u w:val="single"/>
        </w:rPr>
        <w:t xml:space="preserve"> </w:t>
      </w:r>
      <w:r w:rsidRPr="00EE6E8A">
        <w:rPr>
          <w:rFonts w:cs="Arial"/>
          <w:i/>
          <w:sz w:val="18"/>
          <w:szCs w:val="18"/>
          <w:u w:val="single"/>
        </w:rPr>
        <w:t>asset</w:t>
      </w:r>
      <w:r w:rsidRPr="00EE6E8A">
        <w:rPr>
          <w:rFonts w:cs="Arial"/>
          <w:b/>
          <w:i/>
          <w:szCs w:val="22"/>
          <w:u w:val="single"/>
        </w:rPr>
        <w:t xml:space="preserve"> </w:t>
      </w:r>
      <w:r w:rsidRPr="00EE6E8A">
        <w:rPr>
          <w:rFonts w:cs="Arial"/>
          <w:i/>
          <w:sz w:val="18"/>
          <w:szCs w:val="18"/>
          <w:u w:val="single"/>
        </w:rPr>
        <w:t>–</w:t>
      </w:r>
      <w:r w:rsidRPr="00EE6E8A">
        <w:rPr>
          <w:rFonts w:cs="Arial"/>
          <w:b/>
          <w:i/>
          <w:szCs w:val="22"/>
          <w:u w:val="single"/>
        </w:rPr>
        <w:t xml:space="preserve"> </w:t>
      </w:r>
      <w:r w:rsidRPr="00EE6E8A">
        <w:rPr>
          <w:rFonts w:cs="Arial"/>
          <w:i/>
          <w:sz w:val="18"/>
          <w:szCs w:val="18"/>
          <w:u w:val="single"/>
        </w:rPr>
        <w:t>Compensation</w:t>
      </w:r>
      <w:r w:rsidRPr="00EE6E8A">
        <w:rPr>
          <w:rFonts w:cs="Arial"/>
          <w:b/>
          <w:i/>
          <w:szCs w:val="22"/>
          <w:u w:val="single"/>
        </w:rPr>
        <w:t xml:space="preserve"> </w:t>
      </w:r>
      <w:r w:rsidRPr="00EE6E8A">
        <w:rPr>
          <w:i/>
          <w:sz w:val="18"/>
          <w:u w:val="single"/>
        </w:rPr>
        <w:t>recoveries</w:t>
      </w:r>
    </w:p>
    <w:p w14:paraId="1B645809" w14:textId="098DC23E" w:rsidR="00B040FE" w:rsidRPr="00EE6E8A" w:rsidRDefault="00B040FE" w:rsidP="00B040FE">
      <w:pPr>
        <w:rPr>
          <w:rFonts w:cs="Arial"/>
          <w:sz w:val="18"/>
          <w:szCs w:val="18"/>
        </w:rPr>
      </w:pPr>
      <w:r w:rsidRPr="00035E54">
        <w:rPr>
          <w:sz w:val="18"/>
        </w:rPr>
        <w:t>There</w:t>
      </w:r>
      <w:r w:rsidRPr="00035E54">
        <w:rPr>
          <w:rFonts w:cs="Arial"/>
          <w:i/>
          <w:szCs w:val="22"/>
        </w:rPr>
        <w:t xml:space="preserve"> </w:t>
      </w:r>
      <w:r w:rsidRPr="00035E54">
        <w:rPr>
          <w:rFonts w:cs="Arial"/>
          <w:sz w:val="18"/>
          <w:szCs w:val="18"/>
        </w:rPr>
        <w:t xml:space="preserve">are provisions set out in the Act and the NDIS Compensation Rules that allow the Agency to recover amounts of compensation that have been paid to, or given up by, Scheme participants. These provisions apply to a number of Scheme participant plans, for which compensation recovery decisions have not yet been made at </w:t>
      </w:r>
      <w:r>
        <w:rPr>
          <w:rFonts w:cs="Arial"/>
          <w:sz w:val="18"/>
          <w:szCs w:val="18"/>
        </w:rPr>
        <w:fldChar w:fldCharType="begin"/>
      </w:r>
      <w:r>
        <w:rPr>
          <w:rFonts w:cs="Arial"/>
          <w:sz w:val="18"/>
          <w:szCs w:val="18"/>
        </w:rPr>
        <w:instrText xml:space="preserve"> DOCPROPERTY  pEnd  \* MERGEFORMAT </w:instrText>
      </w:r>
      <w:r>
        <w:rPr>
          <w:rFonts w:cs="Arial"/>
          <w:sz w:val="18"/>
          <w:szCs w:val="18"/>
        </w:rPr>
        <w:fldChar w:fldCharType="separate"/>
      </w:r>
      <w:r>
        <w:rPr>
          <w:rFonts w:cs="Arial"/>
          <w:sz w:val="18"/>
          <w:szCs w:val="18"/>
        </w:rPr>
        <w:t>30 June</w:t>
      </w:r>
      <w:r>
        <w:rPr>
          <w:rFonts w:cs="Arial"/>
          <w:sz w:val="18"/>
          <w:szCs w:val="18"/>
        </w:rPr>
        <w:fldChar w:fldCharType="end"/>
      </w:r>
      <w:r w:rsidRPr="00035E54">
        <w:rPr>
          <w:rFonts w:cs="Arial"/>
          <w:sz w:val="18"/>
          <w:szCs w:val="18"/>
        </w:rPr>
        <w:t xml:space="preserve"> </w:t>
      </w:r>
      <w:r w:rsidRPr="00035E54">
        <w:rPr>
          <w:rFonts w:cs="Arial"/>
          <w:sz w:val="18"/>
          <w:szCs w:val="18"/>
        </w:rPr>
        <w:fldChar w:fldCharType="begin"/>
      </w:r>
      <w:r w:rsidRPr="00035E54">
        <w:rPr>
          <w:rFonts w:cs="Arial"/>
          <w:sz w:val="18"/>
          <w:szCs w:val="18"/>
        </w:rPr>
        <w:instrText xml:space="preserve"> DOCPROPERTY  crYear  \* MERGEFORMAT </w:instrText>
      </w:r>
      <w:r w:rsidRPr="00035E54">
        <w:rPr>
          <w:rFonts w:cs="Arial"/>
          <w:sz w:val="18"/>
          <w:szCs w:val="18"/>
        </w:rPr>
        <w:fldChar w:fldCharType="separate"/>
      </w:r>
      <w:r>
        <w:rPr>
          <w:rFonts w:cs="Arial"/>
          <w:sz w:val="18"/>
          <w:szCs w:val="18"/>
        </w:rPr>
        <w:t>2024</w:t>
      </w:r>
      <w:r w:rsidRPr="00035E54">
        <w:rPr>
          <w:rFonts w:cs="Arial"/>
          <w:sz w:val="18"/>
          <w:szCs w:val="18"/>
        </w:rPr>
        <w:fldChar w:fldCharType="end"/>
      </w:r>
      <w:r w:rsidRPr="00035E54">
        <w:rPr>
          <w:rFonts w:cs="Arial"/>
          <w:sz w:val="18"/>
          <w:szCs w:val="18"/>
        </w:rPr>
        <w:t xml:space="preserve">. A number of potential compensation cases are in progress at </w:t>
      </w:r>
      <w:r>
        <w:rPr>
          <w:rFonts w:cs="Arial"/>
          <w:sz w:val="18"/>
          <w:szCs w:val="18"/>
        </w:rPr>
        <w:fldChar w:fldCharType="begin"/>
      </w:r>
      <w:r>
        <w:rPr>
          <w:rFonts w:cs="Arial"/>
          <w:sz w:val="18"/>
          <w:szCs w:val="18"/>
        </w:rPr>
        <w:instrText xml:space="preserve"> DOCPROPERTY  pEnd  \* MERGEFORMAT </w:instrText>
      </w:r>
      <w:r>
        <w:rPr>
          <w:rFonts w:cs="Arial"/>
          <w:sz w:val="18"/>
          <w:szCs w:val="18"/>
        </w:rPr>
        <w:fldChar w:fldCharType="separate"/>
      </w:r>
      <w:r>
        <w:rPr>
          <w:rFonts w:cs="Arial"/>
          <w:sz w:val="18"/>
          <w:szCs w:val="18"/>
        </w:rPr>
        <w:t>30 June</w:t>
      </w:r>
      <w:r>
        <w:rPr>
          <w:rFonts w:cs="Arial"/>
          <w:sz w:val="18"/>
          <w:szCs w:val="18"/>
        </w:rPr>
        <w:fldChar w:fldCharType="end"/>
      </w:r>
      <w:r>
        <w:rPr>
          <w:rFonts w:cs="Arial"/>
          <w:sz w:val="18"/>
          <w:szCs w:val="18"/>
        </w:rPr>
        <w:t xml:space="preserve"> </w:t>
      </w:r>
      <w:r w:rsidRPr="00035E54">
        <w:rPr>
          <w:rFonts w:cs="Arial"/>
          <w:sz w:val="18"/>
          <w:szCs w:val="18"/>
        </w:rPr>
        <w:fldChar w:fldCharType="begin"/>
      </w:r>
      <w:r w:rsidRPr="00035E54">
        <w:rPr>
          <w:rFonts w:cs="Arial"/>
          <w:sz w:val="18"/>
          <w:szCs w:val="18"/>
        </w:rPr>
        <w:instrText xml:space="preserve"> DOCPROPERTY  crYear  \* MERGEFORMAT </w:instrText>
      </w:r>
      <w:r w:rsidRPr="00035E54">
        <w:rPr>
          <w:rFonts w:cs="Arial"/>
          <w:sz w:val="18"/>
          <w:szCs w:val="18"/>
        </w:rPr>
        <w:fldChar w:fldCharType="separate"/>
      </w:r>
      <w:r>
        <w:rPr>
          <w:rFonts w:cs="Arial"/>
          <w:sz w:val="18"/>
          <w:szCs w:val="18"/>
        </w:rPr>
        <w:t>2024</w:t>
      </w:r>
      <w:r w:rsidRPr="00035E54">
        <w:rPr>
          <w:rFonts w:cs="Arial"/>
          <w:sz w:val="18"/>
          <w:szCs w:val="18"/>
        </w:rPr>
        <w:fldChar w:fldCharType="end"/>
      </w:r>
      <w:r w:rsidRPr="00035E54">
        <w:rPr>
          <w:rFonts w:cs="Arial"/>
          <w:sz w:val="18"/>
          <w:szCs w:val="18"/>
        </w:rPr>
        <w:t>, which may result in future compensation recoveries by the Agency. Due to the unique circumstances of each case, the Agency is currently unable to estimate the amount that may be recoverable from these cases. These amounts will be recognised as income in future periods when the relevant recognition criteria are met. The accounting policy for compensation receipts is included in Note 1.2C.</w:t>
      </w:r>
    </w:p>
    <w:p w14:paraId="739219B9" w14:textId="77777777" w:rsidR="00B040FE" w:rsidRPr="002C0E60" w:rsidRDefault="00B040FE" w:rsidP="00B040FE">
      <w:pPr>
        <w:rPr>
          <w:rFonts w:cs="Arial"/>
          <w:i/>
          <w:sz w:val="18"/>
          <w:szCs w:val="18"/>
          <w:u w:val="single"/>
          <w:lang w:eastAsia="en-AU"/>
        </w:rPr>
      </w:pPr>
      <w:r w:rsidRPr="002C0E60">
        <w:rPr>
          <w:rFonts w:cs="Arial"/>
          <w:i/>
          <w:sz w:val="18"/>
          <w:szCs w:val="18"/>
          <w:u w:val="single"/>
          <w:lang w:eastAsia="en-AU"/>
        </w:rPr>
        <w:t>Contingent liabilities</w:t>
      </w:r>
    </w:p>
    <w:p w14:paraId="43801B60" w14:textId="7768D5CA" w:rsidR="00B040FE" w:rsidRPr="0047225D" w:rsidRDefault="00B040FE" w:rsidP="00B040FE">
      <w:pPr>
        <w:rPr>
          <w:rFonts w:cs="Arial"/>
          <w:iCs/>
          <w:sz w:val="18"/>
          <w:szCs w:val="18"/>
        </w:rPr>
      </w:pPr>
      <w:r w:rsidRPr="007348B7">
        <w:rPr>
          <w:rFonts w:cs="Arial"/>
          <w:iCs/>
          <w:sz w:val="18"/>
          <w:szCs w:val="18"/>
        </w:rPr>
        <w:t xml:space="preserve">As at </w:t>
      </w:r>
      <w:r w:rsidRPr="007348B7">
        <w:rPr>
          <w:rFonts w:cs="Arial"/>
          <w:iCs/>
          <w:sz w:val="18"/>
          <w:szCs w:val="18"/>
        </w:rPr>
        <w:fldChar w:fldCharType="begin"/>
      </w:r>
      <w:r w:rsidRPr="007348B7">
        <w:rPr>
          <w:rFonts w:cs="Arial"/>
          <w:iCs/>
          <w:sz w:val="18"/>
          <w:szCs w:val="18"/>
        </w:rPr>
        <w:instrText xml:space="preserve"> DOCPROPERTY  pEnd  \* MERGEFORMAT </w:instrText>
      </w:r>
      <w:r w:rsidRPr="007348B7">
        <w:rPr>
          <w:rFonts w:cs="Arial"/>
          <w:iCs/>
          <w:sz w:val="18"/>
          <w:szCs w:val="18"/>
        </w:rPr>
        <w:fldChar w:fldCharType="separate"/>
      </w:r>
      <w:r>
        <w:rPr>
          <w:rFonts w:cs="Arial"/>
          <w:iCs/>
          <w:sz w:val="18"/>
          <w:szCs w:val="18"/>
        </w:rPr>
        <w:t>30 June</w:t>
      </w:r>
      <w:r w:rsidRPr="007348B7">
        <w:rPr>
          <w:rFonts w:cs="Arial"/>
          <w:iCs/>
          <w:sz w:val="18"/>
          <w:szCs w:val="18"/>
        </w:rPr>
        <w:fldChar w:fldCharType="end"/>
      </w:r>
      <w:r w:rsidRPr="007348B7">
        <w:rPr>
          <w:rFonts w:cs="Arial"/>
          <w:iCs/>
          <w:sz w:val="18"/>
          <w:szCs w:val="18"/>
        </w:rPr>
        <w:t xml:space="preserve"> </w:t>
      </w:r>
      <w:r w:rsidRPr="007348B7">
        <w:rPr>
          <w:rFonts w:cs="Arial"/>
          <w:iCs/>
          <w:sz w:val="18"/>
          <w:szCs w:val="18"/>
        </w:rPr>
        <w:fldChar w:fldCharType="begin"/>
      </w:r>
      <w:r w:rsidRPr="007348B7">
        <w:rPr>
          <w:rFonts w:cs="Arial"/>
          <w:iCs/>
          <w:sz w:val="18"/>
          <w:szCs w:val="18"/>
        </w:rPr>
        <w:instrText xml:space="preserve"> DOCPROPERTY  crYear  \* MERGEFORMAT </w:instrText>
      </w:r>
      <w:r w:rsidRPr="007348B7">
        <w:rPr>
          <w:rFonts w:cs="Arial"/>
          <w:iCs/>
          <w:sz w:val="18"/>
          <w:szCs w:val="18"/>
        </w:rPr>
        <w:fldChar w:fldCharType="separate"/>
      </w:r>
      <w:r>
        <w:rPr>
          <w:rFonts w:cs="Arial"/>
          <w:iCs/>
          <w:sz w:val="18"/>
          <w:szCs w:val="18"/>
        </w:rPr>
        <w:t>2024</w:t>
      </w:r>
      <w:r w:rsidRPr="007348B7">
        <w:rPr>
          <w:rFonts w:cs="Arial"/>
          <w:iCs/>
          <w:sz w:val="18"/>
          <w:szCs w:val="18"/>
        </w:rPr>
        <w:fldChar w:fldCharType="end"/>
      </w:r>
      <w:r w:rsidRPr="007348B7">
        <w:rPr>
          <w:rFonts w:cs="Arial"/>
          <w:iCs/>
          <w:sz w:val="18"/>
          <w:szCs w:val="18"/>
        </w:rPr>
        <w:t>, the Agency has a contract with a supplier which includes unquantifiable contingent liabilities. These relate to the indemnification of the supplier for expenses arising from alleged or actual violations of any third-party rights arising from the Agency’s data, alleged or actual use or misuse of the supplier’s intellectual property, software, and subscriptions. The Agency has assessed that it is unlikely that events crystallising these contingent liabilities will occur.</w:t>
      </w:r>
    </w:p>
    <w:p w14:paraId="064A6C0B" w14:textId="0D465FA0" w:rsidR="00B040FE" w:rsidRPr="0047225D" w:rsidRDefault="00B040FE" w:rsidP="00B040FE">
      <w:pPr>
        <w:rPr>
          <w:rFonts w:cs="Arial"/>
          <w:iCs/>
          <w:sz w:val="18"/>
          <w:szCs w:val="18"/>
        </w:rPr>
      </w:pPr>
      <w:r w:rsidRPr="0027501A">
        <w:rPr>
          <w:rFonts w:cs="Arial"/>
          <w:iCs/>
          <w:sz w:val="18"/>
          <w:szCs w:val="18"/>
        </w:rPr>
        <w:t>During 202</w:t>
      </w:r>
      <w:r>
        <w:rPr>
          <w:rFonts w:cs="Arial"/>
          <w:iCs/>
          <w:sz w:val="18"/>
          <w:szCs w:val="18"/>
        </w:rPr>
        <w:t>3-24</w:t>
      </w:r>
      <w:r w:rsidRPr="0027501A">
        <w:rPr>
          <w:rFonts w:cs="Arial"/>
          <w:iCs/>
          <w:sz w:val="18"/>
          <w:szCs w:val="18"/>
        </w:rPr>
        <w:t>, the Agency was involved in a number of cases before the Administrative Appeals Tribunal. It is not possible to estimate the amounts of any eventual payments that may be required in relation to these claims.</w:t>
      </w:r>
    </w:p>
    <w:p w14:paraId="701F88E2" w14:textId="77777777" w:rsidR="00B040FE" w:rsidRPr="00EE6E8A" w:rsidRDefault="00B040FE" w:rsidP="00B040FE">
      <w:pPr>
        <w:pStyle w:val="PolicytextDept"/>
        <w:pBdr>
          <w:left w:val="single" w:sz="4" w:space="4" w:color="800080"/>
          <w:right w:val="single" w:sz="4" w:space="4" w:color="800080"/>
        </w:pBdr>
        <w:rPr>
          <w:b/>
        </w:rPr>
      </w:pPr>
      <w:r w:rsidRPr="00EE6E8A">
        <w:rPr>
          <w:b/>
        </w:rPr>
        <w:t xml:space="preserve">Accounting Policy </w:t>
      </w:r>
    </w:p>
    <w:p w14:paraId="04D32A5C" w14:textId="77777777" w:rsidR="00B040FE" w:rsidRDefault="00B040FE" w:rsidP="00B040FE">
      <w:pPr>
        <w:pStyle w:val="PolicytextDept"/>
        <w:pBdr>
          <w:left w:val="single" w:sz="4" w:space="4" w:color="800080"/>
          <w:right w:val="single" w:sz="4" w:space="4" w:color="800080"/>
        </w:pBdr>
      </w:pPr>
      <w:r w:rsidRPr="00EE6E8A">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340CC066" w14:textId="77777777" w:rsidR="00B040FE" w:rsidRDefault="00B040FE" w:rsidP="00B040FE">
      <w:pPr>
        <w:spacing w:line="240" w:lineRule="auto"/>
        <w:rPr>
          <w:rFonts w:cs="Arial"/>
          <w:sz w:val="18"/>
          <w:szCs w:val="18"/>
          <w:lang w:eastAsia="en-AU"/>
        </w:rPr>
      </w:pPr>
      <w:r>
        <w:rPr>
          <w:rFonts w:cs="Arial"/>
          <w:sz w:val="18"/>
          <w:szCs w:val="18"/>
          <w:lang w:eastAsia="en-AU"/>
        </w:rPr>
        <w:br w:type="page"/>
      </w:r>
    </w:p>
    <w:p w14:paraId="55860934" w14:textId="77777777" w:rsidR="006E070C" w:rsidRPr="006E070C" w:rsidRDefault="006E070C" w:rsidP="006E070C">
      <w:pPr>
        <w:spacing w:after="0" w:line="240" w:lineRule="auto"/>
        <w:rPr>
          <w:b/>
          <w:bCs/>
        </w:rPr>
      </w:pPr>
      <w:bookmarkStart w:id="234" w:name="_Toc443469549"/>
      <w:bookmarkStart w:id="235" w:name="_Toc444065804"/>
      <w:bookmarkStart w:id="236" w:name="_Toc444080001"/>
      <w:bookmarkStart w:id="237" w:name="_Toc447030550"/>
      <w:bookmarkStart w:id="238" w:name="_Toc447030702"/>
      <w:bookmarkStart w:id="239" w:name="_Toc447030795"/>
      <w:bookmarkStart w:id="240" w:name="_Toc65742859"/>
      <w:bookmarkStart w:id="241" w:name="_Toc173417305"/>
      <w:r w:rsidRPr="006E070C">
        <w:rPr>
          <w:b/>
          <w:bCs/>
        </w:rPr>
        <w:lastRenderedPageBreak/>
        <w:t>National Disability Insurance Agency</w:t>
      </w:r>
    </w:p>
    <w:p w14:paraId="121BF3D9" w14:textId="77777777" w:rsidR="006E070C" w:rsidRPr="006E070C" w:rsidRDefault="006E070C" w:rsidP="006E070C">
      <w:pPr>
        <w:pBdr>
          <w:bottom w:val="single" w:sz="8" w:space="1" w:color="auto"/>
        </w:pBdr>
        <w:rPr>
          <w:b/>
          <w:bCs/>
        </w:rPr>
      </w:pPr>
      <w:r w:rsidRPr="006E070C">
        <w:rPr>
          <w:b/>
          <w:bCs/>
        </w:rPr>
        <w:t>NOTES TO AND FORMING PART OF THE FINANCIAL STATEMENTS</w:t>
      </w:r>
    </w:p>
    <w:p w14:paraId="683DCCA3" w14:textId="77777777" w:rsidR="00B040FE" w:rsidRDefault="00B040FE" w:rsidP="006E070C">
      <w:pPr>
        <w:pStyle w:val="SubHeading"/>
        <w:shd w:val="clear" w:color="auto" w:fill="000000" w:themeFill="accent6"/>
      </w:pPr>
      <w:r w:rsidRPr="00F40720">
        <w:t>Financial Instruments</w:t>
      </w:r>
      <w:bookmarkEnd w:id="234"/>
      <w:bookmarkEnd w:id="235"/>
      <w:bookmarkEnd w:id="236"/>
      <w:bookmarkEnd w:id="237"/>
      <w:bookmarkEnd w:id="238"/>
      <w:bookmarkEnd w:id="239"/>
      <w:bookmarkEnd w:id="240"/>
      <w:bookmarkEnd w:id="241"/>
    </w:p>
    <w:tbl>
      <w:tblPr>
        <w:tblW w:w="9087" w:type="dxa"/>
        <w:tblLayout w:type="fixed"/>
        <w:tblLook w:val="04A0" w:firstRow="1" w:lastRow="0" w:firstColumn="1" w:lastColumn="0" w:noHBand="0" w:noVBand="1"/>
      </w:tblPr>
      <w:tblGrid>
        <w:gridCol w:w="6351"/>
        <w:gridCol w:w="1259"/>
        <w:gridCol w:w="236"/>
        <w:gridCol w:w="1241"/>
      </w:tblGrid>
      <w:tr w:rsidR="00B040FE" w14:paraId="2F498FCC" w14:textId="77777777" w:rsidTr="005E5E0C">
        <w:trPr>
          <w:trHeight w:val="250"/>
        </w:trPr>
        <w:tc>
          <w:tcPr>
            <w:tcW w:w="6351" w:type="dxa"/>
            <w:tcBorders>
              <w:top w:val="nil"/>
              <w:left w:val="nil"/>
              <w:bottom w:val="nil"/>
              <w:right w:val="nil"/>
            </w:tcBorders>
            <w:shd w:val="clear" w:color="FFFFFF" w:fill="FFFFFF"/>
            <w:noWrap/>
            <w:vAlign w:val="bottom"/>
            <w:hideMark/>
          </w:tcPr>
          <w:p w14:paraId="25E08346" w14:textId="77777777" w:rsidR="00B040FE" w:rsidRDefault="00B040FE" w:rsidP="0047225D">
            <w:pPr>
              <w:spacing w:after="0"/>
              <w:rPr>
                <w:rFonts w:cs="Arial"/>
                <w:sz w:val="18"/>
                <w:szCs w:val="18"/>
              </w:rPr>
            </w:pPr>
            <w:bookmarkStart w:id="242" w:name="Note_FIATABLE1" w:colFirst="0" w:colLast="0"/>
            <w:r>
              <w:rPr>
                <w:rFonts w:cs="Arial"/>
                <w:sz w:val="18"/>
                <w:szCs w:val="18"/>
              </w:rPr>
              <w:t> </w:t>
            </w:r>
          </w:p>
        </w:tc>
        <w:tc>
          <w:tcPr>
            <w:tcW w:w="1259" w:type="dxa"/>
            <w:tcBorders>
              <w:top w:val="nil"/>
              <w:left w:val="nil"/>
              <w:bottom w:val="nil"/>
              <w:right w:val="nil"/>
            </w:tcBorders>
            <w:shd w:val="clear" w:color="FFFFFF" w:fill="FFFFFF"/>
            <w:vAlign w:val="bottom"/>
            <w:hideMark/>
          </w:tcPr>
          <w:p w14:paraId="3118EA26" w14:textId="77777777" w:rsidR="00B040FE" w:rsidRDefault="00B040FE" w:rsidP="0047225D">
            <w:pPr>
              <w:spacing w:after="0"/>
              <w:jc w:val="right"/>
              <w:rPr>
                <w:rFonts w:cs="Arial"/>
                <w:b/>
                <w:bCs/>
                <w:sz w:val="18"/>
                <w:szCs w:val="18"/>
              </w:rPr>
            </w:pPr>
            <w:r>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23DB85DA"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37AAD210" w14:textId="77777777" w:rsidR="00B040FE" w:rsidRDefault="00B040FE" w:rsidP="0047225D">
            <w:pPr>
              <w:spacing w:after="0"/>
              <w:jc w:val="right"/>
              <w:rPr>
                <w:rFonts w:cs="Arial"/>
                <w:sz w:val="18"/>
                <w:szCs w:val="18"/>
              </w:rPr>
            </w:pPr>
            <w:r>
              <w:rPr>
                <w:rFonts w:cs="Arial"/>
                <w:sz w:val="18"/>
                <w:szCs w:val="18"/>
              </w:rPr>
              <w:t>2023</w:t>
            </w:r>
          </w:p>
        </w:tc>
      </w:tr>
      <w:bookmarkEnd w:id="242"/>
      <w:tr w:rsidR="00B040FE" w14:paraId="4CCA76F0" w14:textId="77777777" w:rsidTr="005E5E0C">
        <w:trPr>
          <w:trHeight w:val="260"/>
        </w:trPr>
        <w:tc>
          <w:tcPr>
            <w:tcW w:w="6351" w:type="dxa"/>
            <w:tcBorders>
              <w:top w:val="nil"/>
              <w:left w:val="nil"/>
              <w:bottom w:val="nil"/>
              <w:right w:val="nil"/>
            </w:tcBorders>
            <w:shd w:val="clear" w:color="FFFFFF" w:fill="FFFFFF"/>
            <w:noWrap/>
            <w:vAlign w:val="bottom"/>
            <w:hideMark/>
          </w:tcPr>
          <w:p w14:paraId="341E52BC" w14:textId="77777777" w:rsidR="00B040FE" w:rsidRDefault="00B040FE" w:rsidP="0047225D">
            <w:pPr>
              <w:spacing w:after="0"/>
              <w:rPr>
                <w:rFonts w:cs="Arial"/>
                <w:sz w:val="18"/>
                <w:szCs w:val="18"/>
              </w:rPr>
            </w:pPr>
            <w:r>
              <w:rPr>
                <w:rFonts w:cs="Arial"/>
                <w:sz w:val="18"/>
                <w:szCs w:val="18"/>
              </w:rPr>
              <w:t> </w:t>
            </w:r>
          </w:p>
        </w:tc>
        <w:tc>
          <w:tcPr>
            <w:tcW w:w="1259" w:type="dxa"/>
            <w:tcBorders>
              <w:top w:val="nil"/>
              <w:left w:val="nil"/>
              <w:bottom w:val="nil"/>
              <w:right w:val="nil"/>
            </w:tcBorders>
            <w:shd w:val="clear" w:color="FFFFFF" w:fill="FFFFFF"/>
            <w:vAlign w:val="bottom"/>
            <w:hideMark/>
          </w:tcPr>
          <w:p w14:paraId="0A58D708" w14:textId="77777777" w:rsidR="00B040FE" w:rsidRDefault="00B040FE" w:rsidP="0047225D">
            <w:pPr>
              <w:spacing w:after="0"/>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0D3E147E"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vAlign w:val="bottom"/>
            <w:hideMark/>
          </w:tcPr>
          <w:p w14:paraId="21A4DD4C" w14:textId="77777777" w:rsidR="00B040FE" w:rsidRDefault="00B040FE" w:rsidP="0047225D">
            <w:pPr>
              <w:spacing w:after="0"/>
              <w:jc w:val="right"/>
              <w:rPr>
                <w:rFonts w:cs="Arial"/>
                <w:sz w:val="18"/>
                <w:szCs w:val="18"/>
              </w:rPr>
            </w:pPr>
            <w:r>
              <w:rPr>
                <w:rFonts w:cs="Arial"/>
                <w:sz w:val="18"/>
                <w:szCs w:val="18"/>
              </w:rPr>
              <w:t>$'000</w:t>
            </w:r>
          </w:p>
        </w:tc>
      </w:tr>
      <w:tr w:rsidR="00B040FE" w14:paraId="3A10C7D6" w14:textId="77777777" w:rsidTr="005E5E0C">
        <w:trPr>
          <w:trHeight w:val="260"/>
        </w:trPr>
        <w:tc>
          <w:tcPr>
            <w:tcW w:w="6351" w:type="dxa"/>
            <w:tcBorders>
              <w:top w:val="nil"/>
              <w:left w:val="nil"/>
              <w:bottom w:val="nil"/>
              <w:right w:val="nil"/>
            </w:tcBorders>
            <w:shd w:val="clear" w:color="FFFFFF" w:fill="FFFFFF"/>
            <w:noWrap/>
            <w:vAlign w:val="bottom"/>
            <w:hideMark/>
          </w:tcPr>
          <w:p w14:paraId="0E41B639" w14:textId="77777777" w:rsidR="00B040FE" w:rsidRDefault="00B040FE" w:rsidP="0047225D">
            <w:pPr>
              <w:spacing w:after="0"/>
              <w:rPr>
                <w:rFonts w:cs="Arial"/>
                <w:b/>
                <w:bCs/>
                <w:sz w:val="18"/>
                <w:szCs w:val="18"/>
                <w:u w:val="single"/>
              </w:rPr>
            </w:pPr>
            <w:r>
              <w:rPr>
                <w:rFonts w:cs="Arial"/>
                <w:b/>
                <w:bCs/>
                <w:sz w:val="18"/>
                <w:szCs w:val="18"/>
                <w:u w:val="single"/>
              </w:rPr>
              <w:t>Note 4.2A: Categories of financial instruments</w:t>
            </w:r>
          </w:p>
        </w:tc>
        <w:tc>
          <w:tcPr>
            <w:tcW w:w="1259" w:type="dxa"/>
            <w:tcBorders>
              <w:top w:val="nil"/>
              <w:left w:val="nil"/>
              <w:bottom w:val="nil"/>
              <w:right w:val="nil"/>
            </w:tcBorders>
            <w:shd w:val="clear" w:color="FFFFFF" w:fill="FFFFFF"/>
            <w:noWrap/>
            <w:vAlign w:val="bottom"/>
            <w:hideMark/>
          </w:tcPr>
          <w:p w14:paraId="09F864CE"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93FD9E0"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41963234" w14:textId="77777777" w:rsidR="00B040FE" w:rsidRDefault="00B040FE" w:rsidP="0047225D">
            <w:pPr>
              <w:spacing w:after="0"/>
              <w:rPr>
                <w:rFonts w:cs="Arial"/>
                <w:sz w:val="18"/>
                <w:szCs w:val="18"/>
              </w:rPr>
            </w:pPr>
            <w:r>
              <w:rPr>
                <w:rFonts w:cs="Arial"/>
                <w:sz w:val="18"/>
                <w:szCs w:val="18"/>
              </w:rPr>
              <w:t> </w:t>
            </w:r>
          </w:p>
        </w:tc>
      </w:tr>
      <w:tr w:rsidR="00B040FE" w14:paraId="7016A0BB" w14:textId="77777777" w:rsidTr="005E5E0C">
        <w:trPr>
          <w:trHeight w:val="260"/>
        </w:trPr>
        <w:tc>
          <w:tcPr>
            <w:tcW w:w="6351" w:type="dxa"/>
            <w:tcBorders>
              <w:top w:val="nil"/>
              <w:left w:val="nil"/>
              <w:bottom w:val="nil"/>
              <w:right w:val="nil"/>
            </w:tcBorders>
            <w:shd w:val="clear" w:color="FFFFFF" w:fill="FFFFFF"/>
            <w:vAlign w:val="bottom"/>
            <w:hideMark/>
          </w:tcPr>
          <w:p w14:paraId="30CF3981" w14:textId="77777777" w:rsidR="00B040FE" w:rsidRDefault="00B040FE" w:rsidP="0047225D">
            <w:pPr>
              <w:spacing w:after="0"/>
              <w:rPr>
                <w:rFonts w:cs="Arial"/>
                <w:b/>
                <w:bCs/>
                <w:sz w:val="18"/>
                <w:szCs w:val="18"/>
              </w:rPr>
            </w:pPr>
            <w:r>
              <w:rPr>
                <w:rFonts w:cs="Arial"/>
                <w:b/>
                <w:bCs/>
                <w:sz w:val="18"/>
                <w:szCs w:val="18"/>
              </w:rPr>
              <w:t>Financial assets at amortised cost</w:t>
            </w:r>
          </w:p>
        </w:tc>
        <w:tc>
          <w:tcPr>
            <w:tcW w:w="1259" w:type="dxa"/>
            <w:tcBorders>
              <w:top w:val="nil"/>
              <w:left w:val="nil"/>
              <w:bottom w:val="nil"/>
              <w:right w:val="nil"/>
            </w:tcBorders>
            <w:shd w:val="clear" w:color="FFFFFF" w:fill="FFFFFF"/>
            <w:noWrap/>
            <w:vAlign w:val="bottom"/>
            <w:hideMark/>
          </w:tcPr>
          <w:p w14:paraId="18DDDEC2"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2B78A9A"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264CEC6C" w14:textId="77777777" w:rsidR="00B040FE" w:rsidRDefault="00B040FE" w:rsidP="0047225D">
            <w:pPr>
              <w:spacing w:after="0"/>
              <w:rPr>
                <w:rFonts w:cs="Arial"/>
                <w:sz w:val="18"/>
                <w:szCs w:val="18"/>
              </w:rPr>
            </w:pPr>
            <w:r>
              <w:rPr>
                <w:rFonts w:cs="Arial"/>
                <w:sz w:val="18"/>
                <w:szCs w:val="18"/>
              </w:rPr>
              <w:t> </w:t>
            </w:r>
          </w:p>
        </w:tc>
      </w:tr>
      <w:tr w:rsidR="00B040FE" w14:paraId="7AA3EA2C" w14:textId="77777777" w:rsidTr="005E5E0C">
        <w:trPr>
          <w:trHeight w:val="250"/>
        </w:trPr>
        <w:tc>
          <w:tcPr>
            <w:tcW w:w="6351" w:type="dxa"/>
            <w:tcBorders>
              <w:top w:val="nil"/>
              <w:left w:val="nil"/>
              <w:bottom w:val="nil"/>
              <w:right w:val="nil"/>
            </w:tcBorders>
            <w:shd w:val="clear" w:color="FFFFFF" w:fill="FFFFFF"/>
            <w:noWrap/>
            <w:vAlign w:val="bottom"/>
            <w:hideMark/>
          </w:tcPr>
          <w:p w14:paraId="2F211A4C" w14:textId="77777777" w:rsidR="00B040FE" w:rsidRDefault="00B040FE" w:rsidP="0047225D">
            <w:pPr>
              <w:spacing w:after="0"/>
              <w:ind w:firstLineChars="100" w:firstLine="180"/>
              <w:rPr>
                <w:rFonts w:cs="Arial"/>
                <w:sz w:val="18"/>
                <w:szCs w:val="18"/>
              </w:rPr>
            </w:pPr>
            <w:r>
              <w:rPr>
                <w:rFonts w:cs="Arial"/>
                <w:sz w:val="18"/>
                <w:szCs w:val="18"/>
              </w:rPr>
              <w:t>Cash and cash equivalents</w:t>
            </w:r>
          </w:p>
        </w:tc>
        <w:tc>
          <w:tcPr>
            <w:tcW w:w="1259" w:type="dxa"/>
            <w:tcBorders>
              <w:top w:val="nil"/>
              <w:left w:val="nil"/>
              <w:bottom w:val="nil"/>
              <w:right w:val="nil"/>
            </w:tcBorders>
            <w:shd w:val="clear" w:color="FFFFFF" w:fill="FFFFFF"/>
            <w:noWrap/>
            <w:vAlign w:val="bottom"/>
            <w:hideMark/>
          </w:tcPr>
          <w:p w14:paraId="23FAB2E6" w14:textId="77777777" w:rsidR="00B040FE" w:rsidRDefault="00B040FE" w:rsidP="0047225D">
            <w:pPr>
              <w:spacing w:after="0"/>
              <w:jc w:val="right"/>
              <w:rPr>
                <w:rFonts w:cs="Arial"/>
                <w:b/>
                <w:bCs/>
                <w:sz w:val="18"/>
                <w:szCs w:val="18"/>
              </w:rPr>
            </w:pPr>
            <w:r>
              <w:rPr>
                <w:rFonts w:cs="Arial"/>
                <w:b/>
                <w:bCs/>
                <w:sz w:val="18"/>
                <w:szCs w:val="18"/>
              </w:rPr>
              <w:t>5,659,548</w:t>
            </w:r>
          </w:p>
        </w:tc>
        <w:tc>
          <w:tcPr>
            <w:tcW w:w="236" w:type="dxa"/>
            <w:tcBorders>
              <w:top w:val="nil"/>
              <w:left w:val="nil"/>
              <w:bottom w:val="nil"/>
              <w:right w:val="nil"/>
            </w:tcBorders>
            <w:shd w:val="clear" w:color="FFFFFF" w:fill="FFFFFF"/>
            <w:noWrap/>
            <w:vAlign w:val="bottom"/>
            <w:hideMark/>
          </w:tcPr>
          <w:p w14:paraId="63ADDA80"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1FA43C24" w14:textId="77777777" w:rsidR="00B040FE" w:rsidRDefault="00B040FE" w:rsidP="0047225D">
            <w:pPr>
              <w:spacing w:after="0"/>
              <w:jc w:val="right"/>
              <w:rPr>
                <w:rFonts w:cs="Arial"/>
                <w:sz w:val="18"/>
                <w:szCs w:val="18"/>
              </w:rPr>
            </w:pPr>
            <w:r>
              <w:rPr>
                <w:rFonts w:cs="Arial"/>
                <w:sz w:val="18"/>
                <w:szCs w:val="18"/>
              </w:rPr>
              <w:t>2,729,779</w:t>
            </w:r>
          </w:p>
        </w:tc>
      </w:tr>
      <w:tr w:rsidR="00B040FE" w14:paraId="50FB288B" w14:textId="77777777" w:rsidTr="005E5E0C">
        <w:trPr>
          <w:trHeight w:val="250"/>
        </w:trPr>
        <w:tc>
          <w:tcPr>
            <w:tcW w:w="6351" w:type="dxa"/>
            <w:tcBorders>
              <w:top w:val="nil"/>
              <w:left w:val="nil"/>
              <w:bottom w:val="nil"/>
              <w:right w:val="nil"/>
            </w:tcBorders>
            <w:shd w:val="clear" w:color="FFFFFF" w:fill="FFFFFF"/>
            <w:noWrap/>
            <w:vAlign w:val="bottom"/>
            <w:hideMark/>
          </w:tcPr>
          <w:p w14:paraId="7D5B838E" w14:textId="77777777" w:rsidR="00B040FE" w:rsidRDefault="00B040FE" w:rsidP="0047225D">
            <w:pPr>
              <w:spacing w:after="0"/>
              <w:ind w:firstLineChars="100" w:firstLine="180"/>
              <w:rPr>
                <w:rFonts w:cs="Arial"/>
                <w:sz w:val="18"/>
                <w:szCs w:val="18"/>
              </w:rPr>
            </w:pPr>
            <w:r>
              <w:rPr>
                <w:rFonts w:cs="Arial"/>
                <w:sz w:val="18"/>
                <w:szCs w:val="18"/>
              </w:rPr>
              <w:t>Other receivables</w:t>
            </w:r>
          </w:p>
        </w:tc>
        <w:tc>
          <w:tcPr>
            <w:tcW w:w="1259" w:type="dxa"/>
            <w:tcBorders>
              <w:top w:val="nil"/>
              <w:left w:val="nil"/>
              <w:bottom w:val="nil"/>
              <w:right w:val="nil"/>
            </w:tcBorders>
            <w:shd w:val="clear" w:color="FFFFFF" w:fill="FFFFFF"/>
            <w:noWrap/>
            <w:vAlign w:val="bottom"/>
            <w:hideMark/>
          </w:tcPr>
          <w:p w14:paraId="3AD2DC3E" w14:textId="77777777" w:rsidR="00B040FE" w:rsidRDefault="00B040FE" w:rsidP="0047225D">
            <w:pPr>
              <w:spacing w:after="0"/>
              <w:jc w:val="right"/>
              <w:rPr>
                <w:rFonts w:cs="Arial"/>
                <w:b/>
                <w:bCs/>
                <w:sz w:val="18"/>
                <w:szCs w:val="18"/>
              </w:rPr>
            </w:pPr>
            <w:r>
              <w:rPr>
                <w:rFonts w:cs="Arial"/>
                <w:b/>
                <w:bCs/>
                <w:sz w:val="18"/>
                <w:szCs w:val="18"/>
              </w:rPr>
              <w:t>34,161</w:t>
            </w:r>
          </w:p>
        </w:tc>
        <w:tc>
          <w:tcPr>
            <w:tcW w:w="236" w:type="dxa"/>
            <w:tcBorders>
              <w:top w:val="nil"/>
              <w:left w:val="nil"/>
              <w:bottom w:val="nil"/>
              <w:right w:val="nil"/>
            </w:tcBorders>
            <w:shd w:val="clear" w:color="FFFFFF" w:fill="FFFFFF"/>
            <w:noWrap/>
            <w:vAlign w:val="bottom"/>
            <w:hideMark/>
          </w:tcPr>
          <w:p w14:paraId="46580187"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393F6B10" w14:textId="77777777" w:rsidR="00B040FE" w:rsidRDefault="00B040FE" w:rsidP="0047225D">
            <w:pPr>
              <w:spacing w:after="0"/>
              <w:jc w:val="right"/>
              <w:rPr>
                <w:rFonts w:cs="Arial"/>
                <w:sz w:val="18"/>
                <w:szCs w:val="18"/>
              </w:rPr>
            </w:pPr>
            <w:r>
              <w:rPr>
                <w:rFonts w:cs="Arial"/>
                <w:sz w:val="18"/>
                <w:szCs w:val="18"/>
              </w:rPr>
              <w:t>68,553</w:t>
            </w:r>
          </w:p>
        </w:tc>
      </w:tr>
      <w:tr w:rsidR="00B040FE" w14:paraId="51967942" w14:textId="77777777" w:rsidTr="005E5E0C">
        <w:trPr>
          <w:trHeight w:val="250"/>
        </w:trPr>
        <w:tc>
          <w:tcPr>
            <w:tcW w:w="6351" w:type="dxa"/>
            <w:tcBorders>
              <w:top w:val="nil"/>
              <w:left w:val="nil"/>
              <w:bottom w:val="nil"/>
              <w:right w:val="nil"/>
            </w:tcBorders>
            <w:shd w:val="clear" w:color="FFFFFF" w:fill="FFFFFF"/>
            <w:noWrap/>
            <w:vAlign w:val="bottom"/>
            <w:hideMark/>
          </w:tcPr>
          <w:p w14:paraId="4E4F2D45" w14:textId="77777777" w:rsidR="00B040FE" w:rsidRDefault="00B040FE" w:rsidP="0047225D">
            <w:pPr>
              <w:spacing w:after="0"/>
              <w:ind w:firstLineChars="100" w:firstLine="180"/>
              <w:rPr>
                <w:rFonts w:cs="Arial"/>
                <w:sz w:val="18"/>
                <w:szCs w:val="18"/>
              </w:rPr>
            </w:pPr>
            <w:r>
              <w:rPr>
                <w:rFonts w:cs="Arial"/>
                <w:sz w:val="18"/>
                <w:szCs w:val="18"/>
              </w:rPr>
              <w:t>Other financial assets</w:t>
            </w:r>
          </w:p>
        </w:tc>
        <w:tc>
          <w:tcPr>
            <w:tcW w:w="1259" w:type="dxa"/>
            <w:tcBorders>
              <w:top w:val="nil"/>
              <w:left w:val="nil"/>
              <w:bottom w:val="nil"/>
              <w:right w:val="nil"/>
            </w:tcBorders>
            <w:shd w:val="clear" w:color="FFFFFF" w:fill="FFFFFF"/>
            <w:noWrap/>
            <w:vAlign w:val="bottom"/>
            <w:hideMark/>
          </w:tcPr>
          <w:p w14:paraId="4E888290" w14:textId="77777777" w:rsidR="00B040FE" w:rsidRDefault="00B040FE" w:rsidP="0047225D">
            <w:pPr>
              <w:spacing w:after="0"/>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6605A7A0"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01FC92C0" w14:textId="77777777" w:rsidR="00B040FE" w:rsidRDefault="00B040FE" w:rsidP="0047225D">
            <w:pPr>
              <w:spacing w:after="0"/>
              <w:jc w:val="right"/>
              <w:rPr>
                <w:rFonts w:cs="Arial"/>
                <w:sz w:val="18"/>
                <w:szCs w:val="18"/>
              </w:rPr>
            </w:pPr>
            <w:r>
              <w:rPr>
                <w:rFonts w:cs="Arial"/>
                <w:sz w:val="18"/>
                <w:szCs w:val="18"/>
              </w:rPr>
              <w:t>1,500,000</w:t>
            </w:r>
          </w:p>
        </w:tc>
      </w:tr>
      <w:tr w:rsidR="00B040FE" w14:paraId="30E17565" w14:textId="77777777" w:rsidTr="005E5E0C">
        <w:trPr>
          <w:trHeight w:val="250"/>
        </w:trPr>
        <w:tc>
          <w:tcPr>
            <w:tcW w:w="6351" w:type="dxa"/>
            <w:tcBorders>
              <w:top w:val="nil"/>
              <w:left w:val="nil"/>
              <w:bottom w:val="nil"/>
              <w:right w:val="nil"/>
            </w:tcBorders>
            <w:shd w:val="clear" w:color="FFFFFF" w:fill="FFFFFF"/>
            <w:noWrap/>
            <w:vAlign w:val="bottom"/>
            <w:hideMark/>
          </w:tcPr>
          <w:p w14:paraId="14B6CAF3" w14:textId="77777777" w:rsidR="00B040FE" w:rsidRDefault="00B040FE" w:rsidP="0047225D">
            <w:pPr>
              <w:spacing w:after="0"/>
              <w:rPr>
                <w:rFonts w:cs="Arial"/>
                <w:b/>
                <w:bCs/>
                <w:sz w:val="18"/>
                <w:szCs w:val="18"/>
              </w:rPr>
            </w:pPr>
            <w:r>
              <w:rPr>
                <w:rFonts w:cs="Arial"/>
                <w:b/>
                <w:bCs/>
                <w:sz w:val="18"/>
                <w:szCs w:val="18"/>
              </w:rPr>
              <w:t>Total financial assets at amortised cost</w:t>
            </w:r>
          </w:p>
        </w:tc>
        <w:tc>
          <w:tcPr>
            <w:tcW w:w="1259" w:type="dxa"/>
            <w:tcBorders>
              <w:top w:val="single" w:sz="4" w:space="0" w:color="auto"/>
              <w:left w:val="nil"/>
              <w:bottom w:val="single" w:sz="4" w:space="0" w:color="auto"/>
              <w:right w:val="nil"/>
            </w:tcBorders>
            <w:shd w:val="clear" w:color="FFFFFF" w:fill="FFFFFF"/>
            <w:noWrap/>
            <w:vAlign w:val="bottom"/>
            <w:hideMark/>
          </w:tcPr>
          <w:p w14:paraId="43947AF5" w14:textId="77777777" w:rsidR="00B040FE" w:rsidRDefault="00B040FE" w:rsidP="0047225D">
            <w:pPr>
              <w:spacing w:after="0"/>
              <w:jc w:val="right"/>
              <w:rPr>
                <w:rFonts w:cs="Arial"/>
                <w:b/>
                <w:bCs/>
                <w:sz w:val="18"/>
                <w:szCs w:val="18"/>
              </w:rPr>
            </w:pPr>
            <w:r>
              <w:rPr>
                <w:rFonts w:cs="Arial"/>
                <w:b/>
                <w:bCs/>
                <w:sz w:val="18"/>
                <w:szCs w:val="18"/>
              </w:rPr>
              <w:t>5,693,709</w:t>
            </w:r>
          </w:p>
        </w:tc>
        <w:tc>
          <w:tcPr>
            <w:tcW w:w="236" w:type="dxa"/>
            <w:tcBorders>
              <w:top w:val="nil"/>
              <w:left w:val="nil"/>
              <w:bottom w:val="nil"/>
              <w:right w:val="nil"/>
            </w:tcBorders>
            <w:shd w:val="clear" w:color="FFFFFF" w:fill="FFFFFF"/>
            <w:noWrap/>
            <w:vAlign w:val="bottom"/>
            <w:hideMark/>
          </w:tcPr>
          <w:p w14:paraId="323DE910" w14:textId="77777777" w:rsidR="00B040FE" w:rsidRDefault="00B040FE" w:rsidP="0047225D">
            <w:pPr>
              <w:spacing w:after="0"/>
              <w:rPr>
                <w:rFonts w:cs="Arial"/>
                <w:sz w:val="18"/>
                <w:szCs w:val="18"/>
              </w:rPr>
            </w:pPr>
            <w:r>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0C22DF69" w14:textId="77777777" w:rsidR="00B040FE" w:rsidRDefault="00B040FE" w:rsidP="0047225D">
            <w:pPr>
              <w:spacing w:after="0"/>
              <w:jc w:val="right"/>
              <w:rPr>
                <w:rFonts w:cs="Arial"/>
                <w:sz w:val="18"/>
                <w:szCs w:val="18"/>
              </w:rPr>
            </w:pPr>
            <w:r>
              <w:rPr>
                <w:rFonts w:cs="Arial"/>
                <w:sz w:val="18"/>
                <w:szCs w:val="18"/>
              </w:rPr>
              <w:t>4,298,332</w:t>
            </w:r>
          </w:p>
        </w:tc>
      </w:tr>
      <w:tr w:rsidR="00B040FE" w14:paraId="6C1981BD" w14:textId="77777777" w:rsidTr="005E5E0C">
        <w:trPr>
          <w:trHeight w:val="250"/>
        </w:trPr>
        <w:tc>
          <w:tcPr>
            <w:tcW w:w="6351" w:type="dxa"/>
            <w:tcBorders>
              <w:top w:val="nil"/>
              <w:left w:val="nil"/>
              <w:bottom w:val="nil"/>
              <w:right w:val="nil"/>
            </w:tcBorders>
            <w:shd w:val="clear" w:color="FFFFFF" w:fill="FFFFFF"/>
            <w:vAlign w:val="bottom"/>
            <w:hideMark/>
          </w:tcPr>
          <w:p w14:paraId="54616AA6" w14:textId="77777777" w:rsidR="00B040FE" w:rsidRDefault="00B040FE" w:rsidP="0047225D">
            <w:pPr>
              <w:spacing w:after="0"/>
              <w:rPr>
                <w:rFonts w:cs="Arial"/>
                <w:b/>
                <w:bCs/>
                <w:sz w:val="18"/>
                <w:szCs w:val="18"/>
              </w:rPr>
            </w:pPr>
            <w:r>
              <w:rPr>
                <w:rFonts w:cs="Arial"/>
                <w:b/>
                <w:bCs/>
                <w:sz w:val="18"/>
                <w:szCs w:val="18"/>
              </w:rPr>
              <w:t> </w:t>
            </w:r>
          </w:p>
        </w:tc>
        <w:tc>
          <w:tcPr>
            <w:tcW w:w="1259" w:type="dxa"/>
            <w:tcBorders>
              <w:top w:val="nil"/>
              <w:left w:val="nil"/>
              <w:bottom w:val="nil"/>
              <w:right w:val="nil"/>
            </w:tcBorders>
            <w:shd w:val="clear" w:color="FFFFFF" w:fill="FFFFFF"/>
            <w:noWrap/>
            <w:vAlign w:val="bottom"/>
            <w:hideMark/>
          </w:tcPr>
          <w:p w14:paraId="38453CAB" w14:textId="77777777" w:rsidR="00B040FE" w:rsidRDefault="00B040FE" w:rsidP="0047225D">
            <w:pPr>
              <w:spacing w:after="0"/>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3354835"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3E1FFC29" w14:textId="77777777" w:rsidR="00B040FE" w:rsidRDefault="00B040FE" w:rsidP="0047225D">
            <w:pPr>
              <w:spacing w:after="0"/>
              <w:jc w:val="right"/>
              <w:rPr>
                <w:rFonts w:cs="Arial"/>
                <w:sz w:val="18"/>
                <w:szCs w:val="18"/>
              </w:rPr>
            </w:pPr>
            <w:r>
              <w:rPr>
                <w:rFonts w:cs="Arial"/>
                <w:sz w:val="18"/>
                <w:szCs w:val="18"/>
              </w:rPr>
              <w:t> </w:t>
            </w:r>
          </w:p>
        </w:tc>
      </w:tr>
      <w:tr w:rsidR="00B040FE" w14:paraId="5154B8AF" w14:textId="77777777" w:rsidTr="005E5E0C">
        <w:trPr>
          <w:trHeight w:val="250"/>
        </w:trPr>
        <w:tc>
          <w:tcPr>
            <w:tcW w:w="6351" w:type="dxa"/>
            <w:tcBorders>
              <w:top w:val="nil"/>
              <w:left w:val="nil"/>
              <w:bottom w:val="nil"/>
              <w:right w:val="nil"/>
            </w:tcBorders>
            <w:shd w:val="clear" w:color="FFFFFF" w:fill="FFFFFF"/>
            <w:vAlign w:val="bottom"/>
            <w:hideMark/>
          </w:tcPr>
          <w:p w14:paraId="29932F7D" w14:textId="77777777" w:rsidR="00B040FE" w:rsidRDefault="00B040FE" w:rsidP="0047225D">
            <w:pPr>
              <w:spacing w:after="0"/>
              <w:rPr>
                <w:rFonts w:cs="Arial"/>
                <w:b/>
                <w:bCs/>
                <w:sz w:val="18"/>
                <w:szCs w:val="18"/>
              </w:rPr>
            </w:pPr>
            <w:r>
              <w:rPr>
                <w:rFonts w:cs="Arial"/>
                <w:b/>
                <w:bCs/>
                <w:sz w:val="18"/>
                <w:szCs w:val="18"/>
              </w:rPr>
              <w:t>Financial liabilities measured at amortised cost</w:t>
            </w:r>
          </w:p>
        </w:tc>
        <w:tc>
          <w:tcPr>
            <w:tcW w:w="1259" w:type="dxa"/>
            <w:tcBorders>
              <w:top w:val="nil"/>
              <w:left w:val="nil"/>
              <w:bottom w:val="nil"/>
              <w:right w:val="nil"/>
            </w:tcBorders>
            <w:shd w:val="clear" w:color="FFFFFF" w:fill="FFFFFF"/>
            <w:noWrap/>
            <w:vAlign w:val="bottom"/>
            <w:hideMark/>
          </w:tcPr>
          <w:p w14:paraId="0E91A3C2" w14:textId="77777777" w:rsidR="00B040FE" w:rsidRDefault="00B040FE" w:rsidP="0047225D">
            <w:pPr>
              <w:spacing w:after="0"/>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443F8AF"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3EA815AF" w14:textId="77777777" w:rsidR="00B040FE" w:rsidRDefault="00B040FE" w:rsidP="0047225D">
            <w:pPr>
              <w:spacing w:after="0"/>
              <w:rPr>
                <w:rFonts w:cs="Arial"/>
                <w:sz w:val="18"/>
                <w:szCs w:val="18"/>
              </w:rPr>
            </w:pPr>
            <w:r>
              <w:rPr>
                <w:rFonts w:cs="Arial"/>
                <w:sz w:val="18"/>
                <w:szCs w:val="18"/>
              </w:rPr>
              <w:t> </w:t>
            </w:r>
          </w:p>
        </w:tc>
      </w:tr>
      <w:tr w:rsidR="00B040FE" w14:paraId="061898AE" w14:textId="77777777" w:rsidTr="005E5E0C">
        <w:trPr>
          <w:trHeight w:val="250"/>
        </w:trPr>
        <w:tc>
          <w:tcPr>
            <w:tcW w:w="6351" w:type="dxa"/>
            <w:tcBorders>
              <w:top w:val="nil"/>
              <w:left w:val="nil"/>
              <w:bottom w:val="nil"/>
              <w:right w:val="nil"/>
            </w:tcBorders>
            <w:shd w:val="clear" w:color="FFFFFF" w:fill="FFFFFF"/>
            <w:noWrap/>
            <w:vAlign w:val="bottom"/>
            <w:hideMark/>
          </w:tcPr>
          <w:p w14:paraId="3A3DF0CF" w14:textId="77777777" w:rsidR="00B040FE" w:rsidRDefault="00B040FE" w:rsidP="0047225D">
            <w:pPr>
              <w:spacing w:after="0"/>
              <w:ind w:firstLineChars="100" w:firstLine="180"/>
              <w:rPr>
                <w:rFonts w:cs="Arial"/>
                <w:sz w:val="18"/>
                <w:szCs w:val="18"/>
              </w:rPr>
            </w:pPr>
            <w:r>
              <w:rPr>
                <w:rFonts w:cs="Arial"/>
                <w:sz w:val="18"/>
                <w:szCs w:val="18"/>
              </w:rPr>
              <w:t>Supplier and other payables</w:t>
            </w:r>
          </w:p>
        </w:tc>
        <w:tc>
          <w:tcPr>
            <w:tcW w:w="1259" w:type="dxa"/>
            <w:tcBorders>
              <w:top w:val="nil"/>
              <w:left w:val="nil"/>
              <w:bottom w:val="nil"/>
              <w:right w:val="nil"/>
            </w:tcBorders>
            <w:shd w:val="clear" w:color="FFFFFF" w:fill="FFFFFF"/>
            <w:noWrap/>
            <w:vAlign w:val="bottom"/>
            <w:hideMark/>
          </w:tcPr>
          <w:p w14:paraId="754C09DE" w14:textId="77777777" w:rsidR="00B040FE" w:rsidRDefault="00B040FE" w:rsidP="0047225D">
            <w:pPr>
              <w:spacing w:after="0"/>
              <w:jc w:val="right"/>
              <w:rPr>
                <w:rFonts w:cs="Arial"/>
                <w:b/>
                <w:bCs/>
                <w:sz w:val="18"/>
                <w:szCs w:val="18"/>
              </w:rPr>
            </w:pPr>
            <w:r>
              <w:rPr>
                <w:rFonts w:cs="Arial"/>
                <w:b/>
                <w:bCs/>
                <w:sz w:val="18"/>
                <w:szCs w:val="18"/>
              </w:rPr>
              <w:t>119,866</w:t>
            </w:r>
          </w:p>
        </w:tc>
        <w:tc>
          <w:tcPr>
            <w:tcW w:w="236" w:type="dxa"/>
            <w:tcBorders>
              <w:top w:val="nil"/>
              <w:left w:val="nil"/>
              <w:bottom w:val="nil"/>
              <w:right w:val="nil"/>
            </w:tcBorders>
            <w:shd w:val="clear" w:color="FFFFFF" w:fill="FFFFFF"/>
            <w:noWrap/>
            <w:vAlign w:val="bottom"/>
            <w:hideMark/>
          </w:tcPr>
          <w:p w14:paraId="01236D3B"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47223358" w14:textId="77777777" w:rsidR="00B040FE" w:rsidRDefault="00B040FE" w:rsidP="0047225D">
            <w:pPr>
              <w:spacing w:after="0"/>
              <w:jc w:val="right"/>
              <w:rPr>
                <w:rFonts w:cs="Arial"/>
                <w:sz w:val="18"/>
                <w:szCs w:val="18"/>
              </w:rPr>
            </w:pPr>
            <w:r>
              <w:rPr>
                <w:rFonts w:cs="Arial"/>
                <w:sz w:val="18"/>
                <w:szCs w:val="18"/>
              </w:rPr>
              <w:t>109,634</w:t>
            </w:r>
          </w:p>
        </w:tc>
      </w:tr>
      <w:tr w:rsidR="00B040FE" w14:paraId="1E7C9B51" w14:textId="77777777" w:rsidTr="005E5E0C">
        <w:trPr>
          <w:trHeight w:val="260"/>
        </w:trPr>
        <w:tc>
          <w:tcPr>
            <w:tcW w:w="6351" w:type="dxa"/>
            <w:tcBorders>
              <w:top w:val="nil"/>
              <w:left w:val="nil"/>
              <w:bottom w:val="nil"/>
              <w:right w:val="nil"/>
            </w:tcBorders>
            <w:shd w:val="clear" w:color="FFFFFF" w:fill="FFFFFF"/>
            <w:vAlign w:val="bottom"/>
            <w:hideMark/>
          </w:tcPr>
          <w:p w14:paraId="78A604C1" w14:textId="77777777" w:rsidR="00B040FE" w:rsidRDefault="00B040FE" w:rsidP="0047225D">
            <w:pPr>
              <w:spacing w:after="0"/>
              <w:rPr>
                <w:rFonts w:cs="Arial"/>
                <w:b/>
                <w:bCs/>
                <w:sz w:val="18"/>
                <w:szCs w:val="18"/>
              </w:rPr>
            </w:pPr>
            <w:r>
              <w:rPr>
                <w:rFonts w:cs="Arial"/>
                <w:b/>
                <w:bCs/>
                <w:sz w:val="18"/>
                <w:szCs w:val="18"/>
              </w:rPr>
              <w:t>Total financial liabilities at amortised cost</w:t>
            </w:r>
          </w:p>
        </w:tc>
        <w:tc>
          <w:tcPr>
            <w:tcW w:w="1259" w:type="dxa"/>
            <w:tcBorders>
              <w:top w:val="single" w:sz="4" w:space="0" w:color="auto"/>
              <w:left w:val="nil"/>
              <w:bottom w:val="single" w:sz="4" w:space="0" w:color="auto"/>
              <w:right w:val="nil"/>
            </w:tcBorders>
            <w:shd w:val="clear" w:color="FFFFFF" w:fill="FFFFFF"/>
            <w:noWrap/>
            <w:vAlign w:val="bottom"/>
            <w:hideMark/>
          </w:tcPr>
          <w:p w14:paraId="14114D23" w14:textId="77777777" w:rsidR="00B040FE" w:rsidRDefault="00B040FE" w:rsidP="0047225D">
            <w:pPr>
              <w:spacing w:after="0"/>
              <w:jc w:val="right"/>
              <w:rPr>
                <w:rFonts w:cs="Arial"/>
                <w:b/>
                <w:bCs/>
                <w:sz w:val="18"/>
                <w:szCs w:val="18"/>
              </w:rPr>
            </w:pPr>
            <w:r>
              <w:rPr>
                <w:rFonts w:cs="Arial"/>
                <w:b/>
                <w:bCs/>
                <w:sz w:val="18"/>
                <w:szCs w:val="18"/>
              </w:rPr>
              <w:t>119,866</w:t>
            </w:r>
          </w:p>
        </w:tc>
        <w:tc>
          <w:tcPr>
            <w:tcW w:w="236" w:type="dxa"/>
            <w:tcBorders>
              <w:top w:val="nil"/>
              <w:left w:val="nil"/>
              <w:bottom w:val="nil"/>
              <w:right w:val="nil"/>
            </w:tcBorders>
            <w:shd w:val="clear" w:color="FFFFFF" w:fill="FFFFFF"/>
            <w:noWrap/>
            <w:vAlign w:val="bottom"/>
            <w:hideMark/>
          </w:tcPr>
          <w:p w14:paraId="76C8F647" w14:textId="77777777" w:rsidR="00B040FE" w:rsidRDefault="00B040FE" w:rsidP="0047225D">
            <w:pPr>
              <w:spacing w:after="0"/>
              <w:rPr>
                <w:rFonts w:cs="Arial"/>
                <w:sz w:val="18"/>
                <w:szCs w:val="18"/>
              </w:rPr>
            </w:pPr>
            <w:r>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169CF556" w14:textId="77777777" w:rsidR="00B040FE" w:rsidRDefault="00B040FE" w:rsidP="0047225D">
            <w:pPr>
              <w:spacing w:after="0"/>
              <w:jc w:val="right"/>
              <w:rPr>
                <w:rFonts w:cs="Arial"/>
                <w:sz w:val="18"/>
                <w:szCs w:val="18"/>
              </w:rPr>
            </w:pPr>
            <w:r>
              <w:rPr>
                <w:rFonts w:cs="Arial"/>
                <w:sz w:val="18"/>
                <w:szCs w:val="18"/>
              </w:rPr>
              <w:t>109,634</w:t>
            </w:r>
          </w:p>
        </w:tc>
      </w:tr>
    </w:tbl>
    <w:p w14:paraId="2D5F394F" w14:textId="77777777" w:rsidR="00B040FE" w:rsidRPr="00971497" w:rsidRDefault="00B040FE" w:rsidP="00B040FE">
      <w:pPr>
        <w:rPr>
          <w:highlight w:val="yellow"/>
        </w:rPr>
      </w:pPr>
    </w:p>
    <w:tbl>
      <w:tblPr>
        <w:tblW w:w="9087" w:type="dxa"/>
        <w:tblLayout w:type="fixed"/>
        <w:tblLook w:val="04A0" w:firstRow="1" w:lastRow="0" w:firstColumn="1" w:lastColumn="0" w:noHBand="0" w:noVBand="1"/>
      </w:tblPr>
      <w:tblGrid>
        <w:gridCol w:w="6351"/>
        <w:gridCol w:w="1259"/>
        <w:gridCol w:w="236"/>
        <w:gridCol w:w="1241"/>
      </w:tblGrid>
      <w:tr w:rsidR="00B040FE" w14:paraId="67BF60C7" w14:textId="77777777" w:rsidTr="005E5E0C">
        <w:trPr>
          <w:trHeight w:val="260"/>
        </w:trPr>
        <w:tc>
          <w:tcPr>
            <w:tcW w:w="6351" w:type="dxa"/>
            <w:tcBorders>
              <w:top w:val="nil"/>
              <w:left w:val="nil"/>
              <w:bottom w:val="nil"/>
              <w:right w:val="nil"/>
            </w:tcBorders>
            <w:shd w:val="clear" w:color="FFFFFF" w:fill="FFFFFF"/>
            <w:noWrap/>
            <w:vAlign w:val="bottom"/>
            <w:hideMark/>
          </w:tcPr>
          <w:p w14:paraId="39265F18" w14:textId="77777777" w:rsidR="00B040FE" w:rsidRDefault="00B040FE" w:rsidP="0047225D">
            <w:pPr>
              <w:spacing w:after="0"/>
              <w:rPr>
                <w:rFonts w:cs="Arial"/>
                <w:b/>
                <w:bCs/>
                <w:sz w:val="18"/>
                <w:szCs w:val="18"/>
                <w:u w:val="single"/>
              </w:rPr>
            </w:pPr>
            <w:bookmarkStart w:id="243" w:name="Note_FIBTABLE1" w:colFirst="0" w:colLast="0"/>
            <w:r>
              <w:rPr>
                <w:rFonts w:cs="Arial"/>
                <w:b/>
                <w:bCs/>
                <w:sz w:val="18"/>
                <w:szCs w:val="18"/>
                <w:u w:val="single"/>
              </w:rPr>
              <w:t>Note 4.2B: Net gains or losses on financial assets</w:t>
            </w:r>
          </w:p>
        </w:tc>
        <w:tc>
          <w:tcPr>
            <w:tcW w:w="1259" w:type="dxa"/>
            <w:tcBorders>
              <w:top w:val="nil"/>
              <w:left w:val="nil"/>
              <w:bottom w:val="nil"/>
              <w:right w:val="nil"/>
            </w:tcBorders>
            <w:shd w:val="clear" w:color="FFFFFF" w:fill="FFFFFF"/>
            <w:noWrap/>
            <w:vAlign w:val="bottom"/>
            <w:hideMark/>
          </w:tcPr>
          <w:p w14:paraId="101AFBEE"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63F95A0"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005C15DD" w14:textId="77777777" w:rsidR="00B040FE" w:rsidRDefault="00B040FE" w:rsidP="0047225D">
            <w:pPr>
              <w:spacing w:after="0"/>
              <w:rPr>
                <w:rFonts w:cs="Arial"/>
                <w:sz w:val="18"/>
                <w:szCs w:val="18"/>
              </w:rPr>
            </w:pPr>
            <w:r>
              <w:rPr>
                <w:rFonts w:cs="Arial"/>
                <w:sz w:val="18"/>
                <w:szCs w:val="18"/>
              </w:rPr>
              <w:t> </w:t>
            </w:r>
          </w:p>
        </w:tc>
      </w:tr>
      <w:bookmarkEnd w:id="243"/>
      <w:tr w:rsidR="00B040FE" w14:paraId="1EC7D4EB" w14:textId="77777777" w:rsidTr="005E5E0C">
        <w:trPr>
          <w:trHeight w:val="260"/>
        </w:trPr>
        <w:tc>
          <w:tcPr>
            <w:tcW w:w="6351" w:type="dxa"/>
            <w:tcBorders>
              <w:top w:val="nil"/>
              <w:left w:val="nil"/>
              <w:bottom w:val="nil"/>
              <w:right w:val="nil"/>
            </w:tcBorders>
            <w:shd w:val="clear" w:color="FFFFFF" w:fill="FFFFFF"/>
            <w:vAlign w:val="bottom"/>
            <w:hideMark/>
          </w:tcPr>
          <w:p w14:paraId="33F0938D" w14:textId="77777777" w:rsidR="00B040FE" w:rsidRDefault="00B040FE" w:rsidP="0047225D">
            <w:pPr>
              <w:spacing w:after="0"/>
              <w:rPr>
                <w:rFonts w:cs="Arial"/>
                <w:b/>
                <w:bCs/>
                <w:sz w:val="18"/>
                <w:szCs w:val="18"/>
              </w:rPr>
            </w:pPr>
            <w:r>
              <w:rPr>
                <w:rFonts w:cs="Arial"/>
                <w:b/>
                <w:bCs/>
                <w:sz w:val="18"/>
                <w:szCs w:val="18"/>
              </w:rPr>
              <w:t>Financial assets at amortised cost</w:t>
            </w:r>
          </w:p>
        </w:tc>
        <w:tc>
          <w:tcPr>
            <w:tcW w:w="1259" w:type="dxa"/>
            <w:tcBorders>
              <w:top w:val="nil"/>
              <w:left w:val="nil"/>
              <w:bottom w:val="nil"/>
              <w:right w:val="nil"/>
            </w:tcBorders>
            <w:shd w:val="clear" w:color="FFFFFF" w:fill="FFFFFF"/>
            <w:noWrap/>
            <w:vAlign w:val="bottom"/>
            <w:hideMark/>
          </w:tcPr>
          <w:p w14:paraId="2F59679C" w14:textId="77777777" w:rsidR="00B040FE" w:rsidRDefault="00B040FE" w:rsidP="0047225D">
            <w:pPr>
              <w:spacing w:after="0"/>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3E887EB"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5AB2F758" w14:textId="77777777" w:rsidR="00B040FE" w:rsidRDefault="00B040FE" w:rsidP="0047225D">
            <w:pPr>
              <w:spacing w:after="0"/>
              <w:rPr>
                <w:rFonts w:cs="Arial"/>
                <w:sz w:val="18"/>
                <w:szCs w:val="18"/>
              </w:rPr>
            </w:pPr>
            <w:r>
              <w:rPr>
                <w:rFonts w:cs="Arial"/>
                <w:sz w:val="18"/>
                <w:szCs w:val="18"/>
              </w:rPr>
              <w:t> </w:t>
            </w:r>
          </w:p>
        </w:tc>
      </w:tr>
      <w:tr w:rsidR="00B040FE" w14:paraId="326C3D66" w14:textId="77777777" w:rsidTr="005E5E0C">
        <w:trPr>
          <w:trHeight w:val="250"/>
        </w:trPr>
        <w:tc>
          <w:tcPr>
            <w:tcW w:w="6351" w:type="dxa"/>
            <w:tcBorders>
              <w:top w:val="nil"/>
              <w:left w:val="nil"/>
              <w:bottom w:val="nil"/>
              <w:right w:val="nil"/>
            </w:tcBorders>
            <w:shd w:val="clear" w:color="FFFFFF" w:fill="FFFFFF"/>
            <w:vAlign w:val="bottom"/>
            <w:hideMark/>
          </w:tcPr>
          <w:p w14:paraId="73400F10" w14:textId="77777777" w:rsidR="00B040FE" w:rsidRDefault="00B040FE" w:rsidP="0047225D">
            <w:pPr>
              <w:spacing w:after="0"/>
              <w:ind w:firstLineChars="100" w:firstLine="180"/>
              <w:rPr>
                <w:rFonts w:cs="Arial"/>
                <w:sz w:val="18"/>
                <w:szCs w:val="18"/>
              </w:rPr>
            </w:pPr>
            <w:r>
              <w:rPr>
                <w:rFonts w:cs="Arial"/>
                <w:sz w:val="18"/>
                <w:szCs w:val="18"/>
              </w:rPr>
              <w:t>Interest revenue</w:t>
            </w:r>
          </w:p>
        </w:tc>
        <w:tc>
          <w:tcPr>
            <w:tcW w:w="1259" w:type="dxa"/>
            <w:tcBorders>
              <w:top w:val="nil"/>
              <w:left w:val="nil"/>
              <w:bottom w:val="nil"/>
              <w:right w:val="nil"/>
            </w:tcBorders>
            <w:shd w:val="clear" w:color="FFFFFF" w:fill="FFFFFF"/>
            <w:noWrap/>
            <w:vAlign w:val="bottom"/>
            <w:hideMark/>
          </w:tcPr>
          <w:p w14:paraId="7B8ED4E4" w14:textId="77777777" w:rsidR="00B040FE" w:rsidRDefault="00B040FE" w:rsidP="0047225D">
            <w:pPr>
              <w:spacing w:after="0"/>
              <w:jc w:val="right"/>
              <w:rPr>
                <w:rFonts w:cs="Arial"/>
                <w:b/>
                <w:bCs/>
                <w:sz w:val="18"/>
                <w:szCs w:val="18"/>
              </w:rPr>
            </w:pPr>
            <w:r>
              <w:rPr>
                <w:rFonts w:cs="Arial"/>
                <w:b/>
                <w:bCs/>
                <w:sz w:val="18"/>
                <w:szCs w:val="18"/>
              </w:rPr>
              <w:t>390,496</w:t>
            </w:r>
          </w:p>
        </w:tc>
        <w:tc>
          <w:tcPr>
            <w:tcW w:w="236" w:type="dxa"/>
            <w:tcBorders>
              <w:top w:val="nil"/>
              <w:left w:val="nil"/>
              <w:bottom w:val="nil"/>
              <w:right w:val="nil"/>
            </w:tcBorders>
            <w:shd w:val="clear" w:color="FFFFFF" w:fill="FFFFFF"/>
            <w:noWrap/>
            <w:vAlign w:val="bottom"/>
            <w:hideMark/>
          </w:tcPr>
          <w:p w14:paraId="318A273D"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nil"/>
              <w:right w:val="nil"/>
            </w:tcBorders>
            <w:shd w:val="clear" w:color="FFFFFF" w:fill="FFFFFF"/>
            <w:noWrap/>
            <w:vAlign w:val="bottom"/>
            <w:hideMark/>
          </w:tcPr>
          <w:p w14:paraId="1C10251B" w14:textId="77777777" w:rsidR="00B040FE" w:rsidRDefault="00B040FE" w:rsidP="0047225D">
            <w:pPr>
              <w:spacing w:after="0"/>
              <w:jc w:val="right"/>
              <w:rPr>
                <w:rFonts w:cs="Arial"/>
                <w:sz w:val="18"/>
                <w:szCs w:val="18"/>
              </w:rPr>
            </w:pPr>
            <w:r>
              <w:rPr>
                <w:rFonts w:cs="Arial"/>
                <w:sz w:val="18"/>
                <w:szCs w:val="18"/>
              </w:rPr>
              <w:t>259,802</w:t>
            </w:r>
          </w:p>
        </w:tc>
      </w:tr>
      <w:tr w:rsidR="00B040FE" w14:paraId="57800136" w14:textId="77777777" w:rsidTr="005E5E0C">
        <w:trPr>
          <w:trHeight w:val="250"/>
        </w:trPr>
        <w:tc>
          <w:tcPr>
            <w:tcW w:w="6351" w:type="dxa"/>
            <w:tcBorders>
              <w:top w:val="nil"/>
              <w:left w:val="nil"/>
              <w:bottom w:val="nil"/>
              <w:right w:val="nil"/>
            </w:tcBorders>
            <w:shd w:val="clear" w:color="FFFFFF" w:fill="FFFFFF"/>
            <w:vAlign w:val="bottom"/>
            <w:hideMark/>
          </w:tcPr>
          <w:p w14:paraId="7D7C3B8E" w14:textId="77777777" w:rsidR="00B040FE" w:rsidRDefault="00B040FE" w:rsidP="0047225D">
            <w:pPr>
              <w:spacing w:after="0"/>
              <w:rPr>
                <w:rFonts w:cs="Arial"/>
                <w:b/>
                <w:bCs/>
                <w:sz w:val="18"/>
                <w:szCs w:val="18"/>
              </w:rPr>
            </w:pPr>
            <w:r>
              <w:rPr>
                <w:rFonts w:cs="Arial"/>
                <w:b/>
                <w:bCs/>
                <w:sz w:val="18"/>
                <w:szCs w:val="18"/>
              </w:rPr>
              <w:t>Net gains/(losses) on financial assets at amortised cost</w:t>
            </w:r>
          </w:p>
        </w:tc>
        <w:tc>
          <w:tcPr>
            <w:tcW w:w="1259" w:type="dxa"/>
            <w:tcBorders>
              <w:top w:val="single" w:sz="4" w:space="0" w:color="auto"/>
              <w:left w:val="nil"/>
              <w:bottom w:val="single" w:sz="4" w:space="0" w:color="auto"/>
              <w:right w:val="nil"/>
            </w:tcBorders>
            <w:shd w:val="clear" w:color="FFFFFF" w:fill="FFFFFF"/>
            <w:noWrap/>
            <w:vAlign w:val="bottom"/>
            <w:hideMark/>
          </w:tcPr>
          <w:p w14:paraId="2205BE0F" w14:textId="77777777" w:rsidR="00B040FE" w:rsidRDefault="00B040FE" w:rsidP="0047225D">
            <w:pPr>
              <w:spacing w:after="0"/>
              <w:jc w:val="right"/>
              <w:rPr>
                <w:rFonts w:cs="Arial"/>
                <w:b/>
                <w:bCs/>
                <w:sz w:val="18"/>
                <w:szCs w:val="18"/>
              </w:rPr>
            </w:pPr>
            <w:r>
              <w:rPr>
                <w:rFonts w:cs="Arial"/>
                <w:b/>
                <w:bCs/>
                <w:sz w:val="18"/>
                <w:szCs w:val="18"/>
              </w:rPr>
              <w:t>390,496</w:t>
            </w:r>
          </w:p>
        </w:tc>
        <w:tc>
          <w:tcPr>
            <w:tcW w:w="236" w:type="dxa"/>
            <w:tcBorders>
              <w:top w:val="nil"/>
              <w:left w:val="nil"/>
              <w:bottom w:val="nil"/>
              <w:right w:val="nil"/>
            </w:tcBorders>
            <w:shd w:val="clear" w:color="FFFFFF" w:fill="FFFFFF"/>
            <w:noWrap/>
            <w:vAlign w:val="bottom"/>
            <w:hideMark/>
          </w:tcPr>
          <w:p w14:paraId="51590882" w14:textId="77777777" w:rsidR="00B040FE" w:rsidRDefault="00B040FE" w:rsidP="0047225D">
            <w:pPr>
              <w:spacing w:after="0"/>
              <w:rPr>
                <w:rFonts w:cs="Arial"/>
                <w:sz w:val="18"/>
                <w:szCs w:val="18"/>
              </w:rPr>
            </w:pPr>
            <w:r>
              <w:rPr>
                <w:rFonts w:cs="Arial"/>
                <w:sz w:val="18"/>
                <w:szCs w:val="18"/>
              </w:rPr>
              <w:t> </w:t>
            </w:r>
          </w:p>
        </w:tc>
        <w:tc>
          <w:tcPr>
            <w:tcW w:w="1241" w:type="dxa"/>
            <w:tcBorders>
              <w:top w:val="single" w:sz="4" w:space="0" w:color="auto"/>
              <w:left w:val="nil"/>
              <w:bottom w:val="single" w:sz="4" w:space="0" w:color="auto"/>
              <w:right w:val="nil"/>
            </w:tcBorders>
            <w:shd w:val="clear" w:color="FFFFFF" w:fill="FFFFFF"/>
            <w:noWrap/>
            <w:vAlign w:val="bottom"/>
            <w:hideMark/>
          </w:tcPr>
          <w:p w14:paraId="5FA852DE" w14:textId="77777777" w:rsidR="00B040FE" w:rsidRDefault="00B040FE" w:rsidP="0047225D">
            <w:pPr>
              <w:spacing w:after="0"/>
              <w:jc w:val="right"/>
              <w:rPr>
                <w:rFonts w:cs="Arial"/>
                <w:sz w:val="18"/>
                <w:szCs w:val="18"/>
              </w:rPr>
            </w:pPr>
            <w:r>
              <w:rPr>
                <w:rFonts w:cs="Arial"/>
                <w:sz w:val="18"/>
                <w:szCs w:val="18"/>
              </w:rPr>
              <w:t>259,802</w:t>
            </w:r>
          </w:p>
        </w:tc>
      </w:tr>
      <w:tr w:rsidR="00B040FE" w14:paraId="634A3BDA" w14:textId="77777777" w:rsidTr="005E5E0C">
        <w:trPr>
          <w:trHeight w:val="260"/>
        </w:trPr>
        <w:tc>
          <w:tcPr>
            <w:tcW w:w="6351" w:type="dxa"/>
            <w:tcBorders>
              <w:top w:val="nil"/>
              <w:left w:val="nil"/>
              <w:bottom w:val="nil"/>
              <w:right w:val="nil"/>
            </w:tcBorders>
            <w:shd w:val="clear" w:color="FFFFFF" w:fill="FFFFFF"/>
            <w:vAlign w:val="bottom"/>
            <w:hideMark/>
          </w:tcPr>
          <w:p w14:paraId="64BB6A67" w14:textId="77777777" w:rsidR="00B040FE" w:rsidRDefault="00B040FE" w:rsidP="0047225D">
            <w:pPr>
              <w:spacing w:after="0"/>
              <w:rPr>
                <w:rFonts w:cs="Arial"/>
                <w:b/>
                <w:bCs/>
                <w:sz w:val="18"/>
                <w:szCs w:val="18"/>
              </w:rPr>
            </w:pPr>
            <w:r>
              <w:rPr>
                <w:rFonts w:cs="Arial"/>
                <w:b/>
                <w:bCs/>
                <w:sz w:val="18"/>
                <w:szCs w:val="18"/>
              </w:rPr>
              <w:t>Net gains/(losses) on financial assets</w:t>
            </w:r>
          </w:p>
        </w:tc>
        <w:tc>
          <w:tcPr>
            <w:tcW w:w="1259" w:type="dxa"/>
            <w:tcBorders>
              <w:top w:val="nil"/>
              <w:left w:val="nil"/>
              <w:bottom w:val="single" w:sz="4" w:space="0" w:color="auto"/>
              <w:right w:val="nil"/>
            </w:tcBorders>
            <w:shd w:val="clear" w:color="FFFFFF" w:fill="FFFFFF"/>
            <w:noWrap/>
            <w:vAlign w:val="bottom"/>
            <w:hideMark/>
          </w:tcPr>
          <w:p w14:paraId="04EDDFF1" w14:textId="77777777" w:rsidR="00B040FE" w:rsidRDefault="00B040FE" w:rsidP="0047225D">
            <w:pPr>
              <w:spacing w:after="0"/>
              <w:jc w:val="right"/>
              <w:rPr>
                <w:rFonts w:cs="Arial"/>
                <w:b/>
                <w:bCs/>
                <w:sz w:val="18"/>
                <w:szCs w:val="18"/>
              </w:rPr>
            </w:pPr>
            <w:r>
              <w:rPr>
                <w:rFonts w:cs="Arial"/>
                <w:b/>
                <w:bCs/>
                <w:sz w:val="18"/>
                <w:szCs w:val="18"/>
              </w:rPr>
              <w:t>390,496</w:t>
            </w:r>
          </w:p>
        </w:tc>
        <w:tc>
          <w:tcPr>
            <w:tcW w:w="236" w:type="dxa"/>
            <w:tcBorders>
              <w:top w:val="nil"/>
              <w:left w:val="nil"/>
              <w:bottom w:val="nil"/>
              <w:right w:val="nil"/>
            </w:tcBorders>
            <w:shd w:val="clear" w:color="FFFFFF" w:fill="FFFFFF"/>
            <w:noWrap/>
            <w:vAlign w:val="bottom"/>
            <w:hideMark/>
          </w:tcPr>
          <w:p w14:paraId="34B4D0F5" w14:textId="77777777" w:rsidR="00B040FE" w:rsidRDefault="00B040FE" w:rsidP="0047225D">
            <w:pPr>
              <w:spacing w:after="0"/>
              <w:rPr>
                <w:rFonts w:cs="Arial"/>
                <w:sz w:val="18"/>
                <w:szCs w:val="18"/>
              </w:rPr>
            </w:pPr>
            <w:r>
              <w:rPr>
                <w:rFonts w:cs="Arial"/>
                <w:sz w:val="18"/>
                <w:szCs w:val="18"/>
              </w:rPr>
              <w:t> </w:t>
            </w:r>
          </w:p>
        </w:tc>
        <w:tc>
          <w:tcPr>
            <w:tcW w:w="1241" w:type="dxa"/>
            <w:tcBorders>
              <w:top w:val="nil"/>
              <w:left w:val="nil"/>
              <w:bottom w:val="single" w:sz="4" w:space="0" w:color="auto"/>
              <w:right w:val="nil"/>
            </w:tcBorders>
            <w:shd w:val="clear" w:color="FFFFFF" w:fill="FFFFFF"/>
            <w:noWrap/>
            <w:vAlign w:val="bottom"/>
            <w:hideMark/>
          </w:tcPr>
          <w:p w14:paraId="17C10785" w14:textId="77777777" w:rsidR="00B040FE" w:rsidRDefault="00B040FE" w:rsidP="0047225D">
            <w:pPr>
              <w:spacing w:after="0"/>
              <w:jc w:val="right"/>
              <w:rPr>
                <w:rFonts w:cs="Arial"/>
                <w:sz w:val="18"/>
                <w:szCs w:val="18"/>
              </w:rPr>
            </w:pPr>
            <w:r>
              <w:rPr>
                <w:rFonts w:cs="Arial"/>
                <w:sz w:val="18"/>
                <w:szCs w:val="18"/>
              </w:rPr>
              <w:t>259,802</w:t>
            </w:r>
          </w:p>
        </w:tc>
      </w:tr>
      <w:bookmarkEnd w:id="233"/>
    </w:tbl>
    <w:p w14:paraId="05E1BB4A" w14:textId="77777777" w:rsidR="00B040FE" w:rsidRDefault="00B040FE" w:rsidP="00B040FE">
      <w:pPr>
        <w:spacing w:line="240" w:lineRule="auto"/>
        <w:rPr>
          <w:rFonts w:cs="Arial"/>
          <w:b/>
          <w:bCs/>
          <w:sz w:val="18"/>
          <w:szCs w:val="18"/>
        </w:rPr>
      </w:pPr>
    </w:p>
    <w:p w14:paraId="3FDAAC52" w14:textId="77777777" w:rsidR="00B040FE" w:rsidRPr="00EE6E8A" w:rsidRDefault="00B040FE" w:rsidP="00B040FE">
      <w:pPr>
        <w:pStyle w:val="PolicytextDept"/>
        <w:pBdr>
          <w:left w:val="single" w:sz="4" w:space="4" w:color="800080"/>
          <w:right w:val="single" w:sz="4" w:space="4" w:color="800080"/>
        </w:pBdr>
        <w:rPr>
          <w:b/>
        </w:rPr>
      </w:pPr>
      <w:r w:rsidRPr="00EE6E8A">
        <w:rPr>
          <w:b/>
        </w:rPr>
        <w:t xml:space="preserve">Accounting Policy </w:t>
      </w:r>
    </w:p>
    <w:p w14:paraId="4311A699" w14:textId="77777777" w:rsidR="00B040FE" w:rsidRPr="00274A92" w:rsidRDefault="00B040FE" w:rsidP="00B040FE">
      <w:pPr>
        <w:pStyle w:val="PolicyheadingDept"/>
        <w:pBdr>
          <w:left w:val="single" w:sz="4" w:space="4" w:color="800080"/>
          <w:right w:val="single" w:sz="4" w:space="4" w:color="800080"/>
        </w:pBdr>
        <w:rPr>
          <w:b w:val="0"/>
          <w:i/>
          <w:u w:val="single"/>
        </w:rPr>
      </w:pPr>
      <w:r w:rsidRPr="00274A92">
        <w:rPr>
          <w:b w:val="0"/>
          <w:i/>
          <w:u w:val="single"/>
        </w:rPr>
        <w:t xml:space="preserve">Financial Assets </w:t>
      </w:r>
    </w:p>
    <w:p w14:paraId="17310923" w14:textId="77777777" w:rsidR="00B040FE" w:rsidRPr="009672B5" w:rsidRDefault="00B040FE" w:rsidP="00B040FE">
      <w:pPr>
        <w:pStyle w:val="PolicytextDept"/>
        <w:pBdr>
          <w:left w:val="single" w:sz="4" w:space="4" w:color="800080"/>
          <w:right w:val="single" w:sz="4" w:space="4" w:color="800080"/>
        </w:pBdr>
        <w:rPr>
          <w:lang w:eastAsia="en-AU"/>
        </w:rPr>
      </w:pPr>
      <w:r w:rsidRPr="001776B4">
        <w:rPr>
          <w:lang w:eastAsia="en-AU"/>
        </w:rPr>
        <w:t>All of the Agency’s financial assets have been classified</w:t>
      </w:r>
      <w:r>
        <w:rPr>
          <w:lang w:eastAsia="en-AU"/>
        </w:rPr>
        <w:t xml:space="preserve"> </w:t>
      </w:r>
      <w:r w:rsidRPr="009672B5">
        <w:rPr>
          <w:lang w:eastAsia="en-AU"/>
        </w:rPr>
        <w:t>as financial a</w:t>
      </w:r>
      <w:r>
        <w:rPr>
          <w:lang w:eastAsia="en-AU"/>
        </w:rPr>
        <w:t>ssets measured at amortised cost. Financial assets at amortised costs must be</w:t>
      </w:r>
      <w:r w:rsidRPr="009672B5">
        <w:rPr>
          <w:lang w:eastAsia="en-AU"/>
        </w:rPr>
        <w:t>:</w:t>
      </w:r>
    </w:p>
    <w:p w14:paraId="4F38371D" w14:textId="77777777" w:rsidR="00B040FE" w:rsidRPr="009672B5" w:rsidRDefault="00B040FE" w:rsidP="00B040FE">
      <w:pPr>
        <w:pStyle w:val="PolicytextDept"/>
        <w:pBdr>
          <w:left w:val="single" w:sz="4" w:space="4" w:color="800080"/>
          <w:right w:val="single" w:sz="4" w:space="4" w:color="800080"/>
        </w:pBdr>
        <w:rPr>
          <w:lang w:eastAsia="en-AU"/>
        </w:rPr>
      </w:pPr>
      <w:r w:rsidRPr="009672B5">
        <w:rPr>
          <w:lang w:eastAsia="en-AU"/>
        </w:rPr>
        <w:t>1. held in order to collect the contractual cash flows; and</w:t>
      </w:r>
    </w:p>
    <w:p w14:paraId="3AA7449A" w14:textId="77777777" w:rsidR="00B040FE" w:rsidRPr="009672B5" w:rsidRDefault="00B040FE" w:rsidP="00B040FE">
      <w:pPr>
        <w:pStyle w:val="PolicytextDept"/>
        <w:pBdr>
          <w:left w:val="single" w:sz="4" w:space="4" w:color="800080"/>
          <w:right w:val="single" w:sz="4" w:space="4" w:color="800080"/>
        </w:pBdr>
        <w:rPr>
          <w:lang w:eastAsia="en-AU"/>
        </w:rPr>
      </w:pPr>
      <w:r w:rsidRPr="009672B5">
        <w:rPr>
          <w:lang w:eastAsia="en-AU"/>
        </w:rPr>
        <w:t xml:space="preserve">2. their cash flows </w:t>
      </w:r>
      <w:r>
        <w:rPr>
          <w:lang w:eastAsia="en-AU"/>
        </w:rPr>
        <w:t xml:space="preserve">must be </w:t>
      </w:r>
      <w:r w:rsidRPr="009672B5">
        <w:rPr>
          <w:lang w:eastAsia="en-AU"/>
        </w:rPr>
        <w:t>solely payments of principal and interest</w:t>
      </w:r>
      <w:r>
        <w:rPr>
          <w:lang w:eastAsia="en-AU"/>
        </w:rPr>
        <w:t xml:space="preserve"> </w:t>
      </w:r>
      <w:r w:rsidRPr="009672B5">
        <w:rPr>
          <w:lang w:eastAsia="en-AU"/>
        </w:rPr>
        <w:t>(SPPI) on the principal outstanding amount.</w:t>
      </w:r>
    </w:p>
    <w:p w14:paraId="3DFFA575" w14:textId="77777777" w:rsidR="00B040FE" w:rsidRDefault="00B040FE" w:rsidP="00B040FE">
      <w:pPr>
        <w:pStyle w:val="PolicytextDept"/>
        <w:pBdr>
          <w:left w:val="single" w:sz="4" w:space="4" w:color="800080"/>
          <w:right w:val="single" w:sz="4" w:space="4" w:color="800080"/>
        </w:pBdr>
        <w:rPr>
          <w:lang w:eastAsia="en-AU"/>
        </w:rPr>
      </w:pPr>
      <w:r>
        <w:rPr>
          <w:lang w:eastAsia="en-AU"/>
        </w:rPr>
        <w:t>Amortised cost is determined using the effective interest method.</w:t>
      </w:r>
    </w:p>
    <w:p w14:paraId="137B475C" w14:textId="77777777" w:rsidR="00B040FE" w:rsidRDefault="00B040FE" w:rsidP="00B040FE">
      <w:pPr>
        <w:pStyle w:val="PolicytextDept"/>
        <w:pBdr>
          <w:left w:val="single" w:sz="4" w:space="4" w:color="800080"/>
          <w:right w:val="single" w:sz="4" w:space="4" w:color="800080"/>
        </w:pBdr>
        <w:rPr>
          <w:lang w:eastAsia="en-AU"/>
        </w:rPr>
      </w:pPr>
      <w:r w:rsidRPr="00A97B6B">
        <w:rPr>
          <w:lang w:eastAsia="en-AU"/>
        </w:rPr>
        <w:t xml:space="preserve">Financial assets are recognised when the entity becomes a party to the contract and, as a consequence, has a legal right to receive </w:t>
      </w:r>
      <w:r>
        <w:rPr>
          <w:lang w:eastAsia="en-AU"/>
        </w:rPr>
        <w:t xml:space="preserve">cash </w:t>
      </w:r>
      <w:r w:rsidRPr="00A97B6B">
        <w:rPr>
          <w:lang w:eastAsia="en-AU"/>
        </w:rPr>
        <w:t>or a legal obligation to pay cash and derecognised when the contractual rights to the cash flows from the financial asset expire or are transferred upon trade date.</w:t>
      </w:r>
    </w:p>
    <w:p w14:paraId="7B6D3D54" w14:textId="77777777" w:rsidR="00B040FE" w:rsidRDefault="00B040FE" w:rsidP="00B040FE">
      <w:pPr>
        <w:pStyle w:val="PolicytextDept"/>
        <w:pBdr>
          <w:left w:val="single" w:sz="4" w:space="4" w:color="800080"/>
          <w:right w:val="single" w:sz="4" w:space="4" w:color="800080"/>
        </w:pBdr>
        <w:rPr>
          <w:lang w:eastAsia="en-AU"/>
        </w:rPr>
      </w:pPr>
      <w:r w:rsidRPr="009672B5">
        <w:rPr>
          <w:lang w:eastAsia="en-AU"/>
        </w:rPr>
        <w:t xml:space="preserve">Trade receivables </w:t>
      </w:r>
      <w:r w:rsidRPr="003F1E11">
        <w:rPr>
          <w:lang w:eastAsia="en-AU"/>
        </w:rPr>
        <w:t>and other receivables are recognised at the nominal amounts due less any impairment allowance amount. The collectability is assessed periodically with impairment allowances made when there is evidence that the Agency will not be able to collect the debt</w:t>
      </w:r>
      <w:r>
        <w:rPr>
          <w:lang w:eastAsia="en-AU"/>
        </w:rPr>
        <w:t>.</w:t>
      </w:r>
    </w:p>
    <w:p w14:paraId="28D6C677" w14:textId="77777777" w:rsidR="00B040FE" w:rsidRDefault="00B040FE" w:rsidP="00B040FE">
      <w:pPr>
        <w:pStyle w:val="PolicytextDept"/>
        <w:pBdr>
          <w:left w:val="single" w:sz="4" w:space="4" w:color="800080"/>
          <w:right w:val="single" w:sz="4" w:space="4" w:color="800080"/>
        </w:pBdr>
        <w:rPr>
          <w:lang w:eastAsia="en-AU"/>
        </w:rPr>
      </w:pPr>
      <w:r>
        <w:rPr>
          <w:lang w:eastAsia="en-AU"/>
        </w:rPr>
        <w:t>The accounting policy for financial assets is contained in Note 2.1 Financial Assets.</w:t>
      </w:r>
    </w:p>
    <w:p w14:paraId="52887BF3" w14:textId="77777777" w:rsidR="00B040FE" w:rsidRPr="009672B5" w:rsidRDefault="00B040FE" w:rsidP="00B040FE">
      <w:pPr>
        <w:pStyle w:val="PolicytextDept"/>
        <w:pBdr>
          <w:left w:val="single" w:sz="4" w:space="4" w:color="800080"/>
          <w:right w:val="single" w:sz="4" w:space="4" w:color="800080"/>
        </w:pBdr>
        <w:rPr>
          <w:i/>
          <w:u w:val="single"/>
          <w:lang w:eastAsia="en-AU"/>
        </w:rPr>
      </w:pPr>
      <w:r w:rsidRPr="009672B5">
        <w:rPr>
          <w:i/>
          <w:u w:val="single"/>
          <w:lang w:eastAsia="en-AU"/>
        </w:rPr>
        <w:t>Effective Interest Method</w:t>
      </w:r>
    </w:p>
    <w:p w14:paraId="5908065F" w14:textId="77777777" w:rsidR="00B040FE" w:rsidRDefault="00B040FE" w:rsidP="00B040FE">
      <w:pPr>
        <w:pStyle w:val="PolicytextDept"/>
        <w:pBdr>
          <w:left w:val="single" w:sz="4" w:space="4" w:color="800080"/>
          <w:right w:val="single" w:sz="4" w:space="4" w:color="800080"/>
        </w:pBdr>
        <w:rPr>
          <w:lang w:eastAsia="en-AU"/>
        </w:rPr>
      </w:pPr>
      <w:r w:rsidRPr="009672B5">
        <w:rPr>
          <w:lang w:eastAsia="en-AU"/>
        </w:rPr>
        <w:t>Income is recognised on an effective interest rate basis for financial assets that are recognised at amortised cost</w:t>
      </w:r>
      <w:r w:rsidRPr="00A42C7C">
        <w:rPr>
          <w:lang w:eastAsia="en-AU"/>
        </w:rPr>
        <w:t>.</w:t>
      </w:r>
    </w:p>
    <w:p w14:paraId="23E95656" w14:textId="77777777" w:rsidR="00B040FE" w:rsidRPr="00A42C7C" w:rsidRDefault="00B040FE" w:rsidP="00B040FE">
      <w:pPr>
        <w:pStyle w:val="PolicytextDept"/>
        <w:pBdr>
          <w:left w:val="single" w:sz="4" w:space="4" w:color="800080"/>
          <w:right w:val="single" w:sz="4" w:space="4" w:color="800080"/>
        </w:pBdr>
        <w:rPr>
          <w:i/>
          <w:lang w:eastAsia="en-AU"/>
        </w:rPr>
      </w:pPr>
      <w:r w:rsidRPr="00A42C7C">
        <w:rPr>
          <w:lang w:eastAsia="en-AU"/>
        </w:rPr>
        <w:t>The effective interest method is a method of calculating the amortised cost of a financial instrument and allocating interest income over the rele</w:t>
      </w:r>
      <w:r>
        <w:rPr>
          <w:lang w:eastAsia="en-AU"/>
        </w:rPr>
        <w:t xml:space="preserve">vant period. </w:t>
      </w:r>
      <w:r w:rsidRPr="00A42C7C">
        <w:rPr>
          <w:lang w:eastAsia="en-AU"/>
        </w:rPr>
        <w:t>The effective interest rate is the rate that exactly discounts estimated future cash receipts through the expected life of the financial instrument, or, where appropriate, a shorter period.</w:t>
      </w:r>
    </w:p>
    <w:p w14:paraId="49A1E354" w14:textId="77777777" w:rsidR="00B040FE" w:rsidRPr="00F47522" w:rsidRDefault="00B040FE" w:rsidP="00B040FE">
      <w:pPr>
        <w:pStyle w:val="PolicytextDept"/>
        <w:pBdr>
          <w:left w:val="single" w:sz="4" w:space="4" w:color="800080"/>
          <w:right w:val="single" w:sz="4" w:space="4" w:color="800080"/>
        </w:pBdr>
        <w:rPr>
          <w:i/>
          <w:u w:val="single"/>
          <w:lang w:eastAsia="en-AU"/>
        </w:rPr>
      </w:pPr>
      <w:r w:rsidRPr="00A42C7C">
        <w:rPr>
          <w:i/>
          <w:u w:val="single"/>
          <w:lang w:eastAsia="en-AU"/>
        </w:rPr>
        <w:t>Impairment of financial assets</w:t>
      </w:r>
    </w:p>
    <w:p w14:paraId="629AEF4C" w14:textId="77777777" w:rsidR="00B040FE" w:rsidRDefault="00B040FE" w:rsidP="00B040FE">
      <w:pPr>
        <w:pStyle w:val="PolicytextDept"/>
        <w:pBdr>
          <w:left w:val="single" w:sz="4" w:space="4" w:color="800080"/>
          <w:right w:val="single" w:sz="4" w:space="4" w:color="800080"/>
        </w:pBdr>
        <w:rPr>
          <w:lang w:eastAsia="en-AU"/>
        </w:rPr>
      </w:pPr>
      <w:r w:rsidRPr="00A42C7C">
        <w:rPr>
          <w:lang w:eastAsia="en-AU"/>
        </w:rPr>
        <w:t xml:space="preserve">Financial assets are assessed for impairment at the end of each reporting period based on </w:t>
      </w:r>
      <w:r>
        <w:rPr>
          <w:lang w:eastAsia="en-AU"/>
        </w:rPr>
        <w:t>e</w:t>
      </w:r>
      <w:r w:rsidRPr="00A42C7C">
        <w:rPr>
          <w:lang w:eastAsia="en-AU"/>
        </w:rPr>
        <w:t>xpected</w:t>
      </w:r>
      <w:r>
        <w:rPr>
          <w:lang w:eastAsia="en-AU"/>
        </w:rPr>
        <w:t xml:space="preserve"> credit l</w:t>
      </w:r>
      <w:r w:rsidRPr="00A42C7C">
        <w:rPr>
          <w:lang w:eastAsia="en-AU"/>
        </w:rPr>
        <w:t>osses, using the simplified approach</w:t>
      </w:r>
      <w:r>
        <w:rPr>
          <w:lang w:eastAsia="en-AU"/>
        </w:rPr>
        <w:t xml:space="preserve"> for goods and services receivable and other receivables.</w:t>
      </w:r>
      <w:r w:rsidRPr="00A42C7C">
        <w:rPr>
          <w:lang w:eastAsia="en-AU"/>
        </w:rPr>
        <w:t xml:space="preserve"> </w:t>
      </w:r>
      <w:r w:rsidRPr="007A07BF">
        <w:rPr>
          <w:lang w:eastAsia="en-AU"/>
        </w:rPr>
        <w:t xml:space="preserve">Based on the Agency’s standard credit terms of </w:t>
      </w:r>
      <w:r>
        <w:rPr>
          <w:lang w:eastAsia="en-AU"/>
        </w:rPr>
        <w:t>28</w:t>
      </w:r>
      <w:r w:rsidRPr="007A07BF">
        <w:rPr>
          <w:lang w:eastAsia="en-AU"/>
        </w:rPr>
        <w:t xml:space="preserve"> days, an impairment allowance is recognised for all goods and services and other receivables outstanding for more than 120 days. Consistent with this policy</w:t>
      </w:r>
      <w:r>
        <w:rPr>
          <w:lang w:eastAsia="en-AU"/>
        </w:rPr>
        <w:t xml:space="preserve">, </w:t>
      </w:r>
      <w:r w:rsidRPr="007A07BF">
        <w:rPr>
          <w:lang w:eastAsia="en-AU"/>
        </w:rPr>
        <w:t>an impairment allowance has been recognised for the disputed portion of a contribution from states &amp; territories. The Agency continues to pursue full recovery of this amount and all other impaired debts in accordance with the Agency’s debt recovery policy.</w:t>
      </w:r>
    </w:p>
    <w:p w14:paraId="6CDB1205" w14:textId="77777777" w:rsidR="00B040FE" w:rsidRDefault="00B040FE" w:rsidP="00B040FE">
      <w:pPr>
        <w:pStyle w:val="PolicytextDept"/>
        <w:pBdr>
          <w:left w:val="single" w:sz="4" w:space="4" w:color="800080"/>
          <w:right w:val="single" w:sz="4" w:space="4" w:color="800080"/>
        </w:pBdr>
      </w:pPr>
      <w:r w:rsidRPr="007A07BF">
        <w:rPr>
          <w:lang w:eastAsia="en-AU"/>
        </w:rPr>
        <w:t>Due to their nature the Agency use</w:t>
      </w:r>
      <w:r>
        <w:rPr>
          <w:lang w:eastAsia="en-AU"/>
        </w:rPr>
        <w:t>d</w:t>
      </w:r>
      <w:r w:rsidRPr="007A07BF">
        <w:rPr>
          <w:lang w:eastAsia="en-AU"/>
        </w:rPr>
        <w:t xml:space="preserve"> the general approach to assess pandemic plan provider receivables for impairment.</w:t>
      </w:r>
      <w:r>
        <w:rPr>
          <w:lang w:eastAsia="en-AU"/>
        </w:rPr>
        <w:t xml:space="preserve"> </w:t>
      </w:r>
      <w:r w:rsidRPr="007348B7">
        <w:rPr>
          <w:lang w:eastAsia="en-AU"/>
        </w:rPr>
        <w:t xml:space="preserve">The Agency recognises an impairment allowance for the pandemic plan receivables where providers </w:t>
      </w:r>
    </w:p>
    <w:p w14:paraId="5CBBDB69" w14:textId="77777777" w:rsidR="006E070C" w:rsidRPr="000D1B3E" w:rsidRDefault="006E070C" w:rsidP="006E070C">
      <w:pPr>
        <w:spacing w:after="0" w:line="240" w:lineRule="auto"/>
        <w:rPr>
          <w:b/>
          <w:bCs/>
        </w:rPr>
      </w:pPr>
      <w:r w:rsidRPr="000D1B3E">
        <w:rPr>
          <w:b/>
          <w:bCs/>
        </w:rPr>
        <w:lastRenderedPageBreak/>
        <w:t>National Disability Insurance Agency</w:t>
      </w:r>
    </w:p>
    <w:p w14:paraId="2DDD38FE" w14:textId="77777777" w:rsidR="006E070C" w:rsidRPr="000D1B3E" w:rsidRDefault="006E070C" w:rsidP="006E070C">
      <w:pPr>
        <w:pBdr>
          <w:bottom w:val="single" w:sz="8" w:space="1" w:color="auto"/>
        </w:pBdr>
        <w:rPr>
          <w:b/>
          <w:bCs/>
        </w:rPr>
      </w:pPr>
      <w:r w:rsidRPr="000D1B3E">
        <w:rPr>
          <w:b/>
          <w:bCs/>
        </w:rPr>
        <w:t>NOTES TO AND FORMING PART OF THE FINANCIAL STATEMENTS</w:t>
      </w:r>
    </w:p>
    <w:p w14:paraId="198D0DF3" w14:textId="77777777" w:rsidR="00B040FE" w:rsidRDefault="00B040FE" w:rsidP="00B040FE">
      <w:pPr>
        <w:pStyle w:val="PolicytextDept"/>
        <w:pBdr>
          <w:left w:val="single" w:sz="4" w:space="4" w:color="800080"/>
          <w:right w:val="single" w:sz="4" w:space="4" w:color="800080"/>
        </w:pBdr>
        <w:rPr>
          <w:lang w:eastAsia="en-AU"/>
        </w:rPr>
      </w:pPr>
      <w:r w:rsidRPr="007348B7">
        <w:rPr>
          <w:lang w:eastAsia="en-AU"/>
        </w:rPr>
        <w:t>had debts that had not been offset against claims at an agreed rate unless there was an agreed debt repayment plan in place.</w:t>
      </w:r>
    </w:p>
    <w:p w14:paraId="535CD9F9" w14:textId="77777777" w:rsidR="00B040FE" w:rsidRDefault="00B040FE" w:rsidP="00B040FE">
      <w:pPr>
        <w:pStyle w:val="PolicytextDept"/>
        <w:pBdr>
          <w:left w:val="single" w:sz="4" w:space="4" w:color="800080"/>
          <w:right w:val="single" w:sz="4" w:space="4" w:color="800080"/>
        </w:pBdr>
        <w:rPr>
          <w:lang w:eastAsia="en-AU"/>
        </w:rPr>
      </w:pPr>
      <w:r w:rsidRPr="006D503B">
        <w:rPr>
          <w:lang w:eastAsia="en-AU"/>
        </w:rPr>
        <w:t>The simplified impairment approaches always measure the loss allowance as the amount equal to the lifetime expected credit losses. The general approach measures the loss allowance based on an amount equal to lifetime expected credit losses where risk has significantly increased, or an amount equal to 12</w:t>
      </w:r>
      <w:r w:rsidRPr="006D503B">
        <w:rPr>
          <w:rFonts w:ascii="Cambria Math" w:hAnsi="Cambria Math" w:cs="Cambria Math"/>
          <w:lang w:eastAsia="en-AU"/>
        </w:rPr>
        <w:t>‐</w:t>
      </w:r>
      <w:r w:rsidRPr="006D503B">
        <w:rPr>
          <w:lang w:eastAsia="en-AU"/>
        </w:rPr>
        <w:t>month expected credit losses if risk has not increased.</w:t>
      </w:r>
    </w:p>
    <w:p w14:paraId="2C23163A" w14:textId="77777777" w:rsidR="00B040FE" w:rsidRDefault="00B040FE" w:rsidP="00B040FE">
      <w:pPr>
        <w:pStyle w:val="PolicytextDept"/>
        <w:pBdr>
          <w:left w:val="single" w:sz="4" w:space="4" w:color="800080"/>
          <w:right w:val="single" w:sz="4" w:space="4" w:color="800080"/>
        </w:pBdr>
        <w:rPr>
          <w:lang w:eastAsia="en-AU"/>
        </w:rPr>
      </w:pPr>
      <w:r>
        <w:rPr>
          <w:lang w:eastAsia="en-AU"/>
        </w:rPr>
        <w:t>Both the simplified and general impairment</w:t>
      </w:r>
      <w:r w:rsidRPr="00A42C7C">
        <w:rPr>
          <w:lang w:eastAsia="en-AU"/>
        </w:rPr>
        <w:t xml:space="preserve"> approach</w:t>
      </w:r>
      <w:r>
        <w:rPr>
          <w:lang w:eastAsia="en-AU"/>
        </w:rPr>
        <w:t>es</w:t>
      </w:r>
      <w:r w:rsidRPr="00A42C7C">
        <w:rPr>
          <w:lang w:eastAsia="en-AU"/>
        </w:rPr>
        <w:t xml:space="preserve"> always measure the loss allowance as the amount equal to the lifetime expected credit losses.</w:t>
      </w:r>
    </w:p>
    <w:p w14:paraId="591870B5" w14:textId="77777777" w:rsidR="00B040FE" w:rsidRDefault="00B040FE" w:rsidP="00B040FE">
      <w:pPr>
        <w:pStyle w:val="PolicytextDept"/>
        <w:pBdr>
          <w:left w:val="single" w:sz="4" w:space="4" w:color="800080"/>
          <w:right w:val="single" w:sz="4" w:space="4" w:color="800080"/>
        </w:pBdr>
        <w:rPr>
          <w:lang w:eastAsia="en-AU"/>
        </w:rPr>
      </w:pPr>
    </w:p>
    <w:p w14:paraId="19A8AE17" w14:textId="77777777" w:rsidR="00B040FE" w:rsidRPr="00274A92" w:rsidRDefault="00B040FE" w:rsidP="00B040FE">
      <w:pPr>
        <w:pStyle w:val="PolicyheadingDept"/>
        <w:pBdr>
          <w:left w:val="single" w:sz="4" w:space="4" w:color="800080"/>
          <w:right w:val="single" w:sz="4" w:space="4" w:color="800080"/>
        </w:pBdr>
        <w:rPr>
          <w:b w:val="0"/>
          <w:i/>
          <w:u w:val="single"/>
        </w:rPr>
      </w:pPr>
      <w:r w:rsidRPr="00274A92">
        <w:rPr>
          <w:b w:val="0"/>
          <w:i/>
          <w:u w:val="single"/>
        </w:rPr>
        <w:t xml:space="preserve">Financial </w:t>
      </w:r>
      <w:r>
        <w:rPr>
          <w:b w:val="0"/>
          <w:i/>
          <w:u w:val="single"/>
        </w:rPr>
        <w:t>Liabilities</w:t>
      </w:r>
      <w:r w:rsidRPr="00274A92">
        <w:rPr>
          <w:b w:val="0"/>
          <w:i/>
          <w:u w:val="single"/>
        </w:rPr>
        <w:t xml:space="preserve"> </w:t>
      </w:r>
    </w:p>
    <w:p w14:paraId="595FBEA8" w14:textId="1AE026B1" w:rsidR="00B040FE" w:rsidRDefault="00B040FE" w:rsidP="00B040FE">
      <w:pPr>
        <w:pStyle w:val="PolicytextDept"/>
        <w:pBdr>
          <w:left w:val="single" w:sz="4" w:space="4" w:color="800080"/>
          <w:right w:val="single" w:sz="4" w:space="4" w:color="800080"/>
        </w:pBdr>
        <w:rPr>
          <w:lang w:eastAsia="en-AU"/>
        </w:rPr>
      </w:pPr>
      <w:r>
        <w:rPr>
          <w:lang w:eastAsia="en-AU"/>
        </w:rPr>
        <w:t>All</w:t>
      </w:r>
      <w:r w:rsidRPr="001776B4">
        <w:rPr>
          <w:lang w:eastAsia="en-AU"/>
        </w:rPr>
        <w:t xml:space="preserve"> of the Agency’s financial </w:t>
      </w:r>
      <w:r>
        <w:rPr>
          <w:lang w:eastAsia="en-AU"/>
        </w:rPr>
        <w:t>liabilities</w:t>
      </w:r>
      <w:r w:rsidRPr="001776B4">
        <w:rPr>
          <w:lang w:eastAsia="en-AU"/>
        </w:rPr>
        <w:t xml:space="preserve"> have been classified</w:t>
      </w:r>
      <w:r>
        <w:rPr>
          <w:lang w:eastAsia="en-AU"/>
        </w:rPr>
        <w:t xml:space="preserve"> </w:t>
      </w:r>
      <w:r w:rsidRPr="009672B5">
        <w:rPr>
          <w:lang w:eastAsia="en-AU"/>
        </w:rPr>
        <w:t xml:space="preserve">as financial </w:t>
      </w:r>
      <w:r>
        <w:rPr>
          <w:lang w:eastAsia="en-AU"/>
        </w:rPr>
        <w:t xml:space="preserve">liabilities measured at amortised cost. </w:t>
      </w:r>
      <w:r w:rsidRPr="00274A92">
        <w:rPr>
          <w:lang w:eastAsia="en-AU"/>
        </w:rPr>
        <w:t>These liabilities are subsequently measured at amortised cost using the effective interest method, with interest expense recognised on an effective interest basis. Supplier and other payables are recognised at amortised cost. Liabilities are recognised to the extent that the goods or services have been received (</w:t>
      </w:r>
      <w:r>
        <w:rPr>
          <w:lang w:eastAsia="en-AU"/>
        </w:rPr>
        <w:t xml:space="preserve">and </w:t>
      </w:r>
      <w:r w:rsidRPr="00274A92">
        <w:rPr>
          <w:lang w:eastAsia="en-AU"/>
        </w:rPr>
        <w:t>irrespective of having been invoiced).</w:t>
      </w:r>
    </w:p>
    <w:p w14:paraId="3CAF7AA9" w14:textId="77777777" w:rsidR="006E070C" w:rsidRDefault="006E070C" w:rsidP="00B040FE">
      <w:pPr>
        <w:pStyle w:val="PolicytextDept"/>
        <w:pBdr>
          <w:left w:val="single" w:sz="4" w:space="4" w:color="800080"/>
          <w:right w:val="single" w:sz="4" w:space="4" w:color="800080"/>
        </w:pBdr>
        <w:rPr>
          <w:lang w:eastAsia="en-AU"/>
        </w:rPr>
      </w:pPr>
    </w:p>
    <w:p w14:paraId="492217CF" w14:textId="77777777" w:rsidR="00B040FE" w:rsidRPr="00E528A0" w:rsidRDefault="00B040FE" w:rsidP="00B040FE">
      <w:pPr>
        <w:spacing w:line="240" w:lineRule="auto"/>
        <w:rPr>
          <w:b/>
          <w:sz w:val="20"/>
          <w:lang w:eastAsia="en-AU"/>
        </w:rPr>
      </w:pPr>
      <w:r>
        <w:rPr>
          <w:lang w:eastAsia="en-AU"/>
        </w:rPr>
        <w:br w:type="page"/>
      </w:r>
    </w:p>
    <w:p w14:paraId="3BF845CD" w14:textId="77777777" w:rsidR="00B040FE" w:rsidRDefault="00B040FE" w:rsidP="00B040FE">
      <w:pPr>
        <w:pStyle w:val="SectionHeading"/>
        <w:numPr>
          <w:ilvl w:val="0"/>
          <w:numId w:val="30"/>
        </w:numPr>
      </w:pPr>
      <w:bookmarkStart w:id="244" w:name="_Toc65742860"/>
      <w:bookmarkStart w:id="245" w:name="_Toc173417306"/>
      <w:r>
        <w:lastRenderedPageBreak/>
        <w:t>Other Information</w:t>
      </w:r>
      <w:bookmarkEnd w:id="244"/>
      <w:bookmarkEnd w:id="245"/>
    </w:p>
    <w:p w14:paraId="3E9AAF00" w14:textId="77777777" w:rsidR="00B040FE" w:rsidRPr="00FF78A0" w:rsidRDefault="00B040FE" w:rsidP="006E070C">
      <w:pPr>
        <w:pStyle w:val="SubHeading"/>
        <w:shd w:val="clear" w:color="auto" w:fill="000000" w:themeFill="accent6"/>
      </w:pPr>
      <w:bookmarkStart w:id="246" w:name="_Toc173417307"/>
      <w:r w:rsidRPr="00AF2B97">
        <w:t>Current/</w:t>
      </w:r>
      <w:r>
        <w:t>N</w:t>
      </w:r>
      <w:r w:rsidRPr="00AF2B97">
        <w:t xml:space="preserve">on-current </w:t>
      </w:r>
      <w:r>
        <w:t>D</w:t>
      </w:r>
      <w:r w:rsidRPr="00AF2B97">
        <w:t xml:space="preserve">istinction for </w:t>
      </w:r>
      <w:r>
        <w:t>A</w:t>
      </w:r>
      <w:r w:rsidRPr="00AF2B97">
        <w:t xml:space="preserve">ssets and </w:t>
      </w:r>
      <w:r>
        <w:t>L</w:t>
      </w:r>
      <w:r w:rsidRPr="00AF2B97">
        <w:t>iabilities</w:t>
      </w:r>
      <w:bookmarkEnd w:id="246"/>
    </w:p>
    <w:p w14:paraId="4F38718F" w14:textId="77777777" w:rsidR="00B040FE" w:rsidRDefault="00B040FE" w:rsidP="00B040FE">
      <w:pPr>
        <w:pStyle w:val="ContinuedNotesHeading-Level1"/>
      </w:pPr>
    </w:p>
    <w:tbl>
      <w:tblPr>
        <w:tblW w:w="9087" w:type="dxa"/>
        <w:tblLayout w:type="fixed"/>
        <w:tblLook w:val="04A0" w:firstRow="1" w:lastRow="0" w:firstColumn="1" w:lastColumn="0" w:noHBand="0" w:noVBand="1"/>
      </w:tblPr>
      <w:tblGrid>
        <w:gridCol w:w="6356"/>
        <w:gridCol w:w="1406"/>
        <w:gridCol w:w="236"/>
        <w:gridCol w:w="1089"/>
      </w:tblGrid>
      <w:tr w:rsidR="00B040FE" w14:paraId="06D31328" w14:textId="77777777" w:rsidTr="005E5E0C">
        <w:trPr>
          <w:trHeight w:val="253"/>
        </w:trPr>
        <w:tc>
          <w:tcPr>
            <w:tcW w:w="6356" w:type="dxa"/>
            <w:tcBorders>
              <w:top w:val="nil"/>
              <w:left w:val="nil"/>
              <w:bottom w:val="nil"/>
              <w:right w:val="nil"/>
            </w:tcBorders>
            <w:shd w:val="clear" w:color="FFFFFF" w:fill="FFFFFF"/>
            <w:noWrap/>
            <w:vAlign w:val="bottom"/>
            <w:hideMark/>
          </w:tcPr>
          <w:p w14:paraId="43695DA1" w14:textId="77777777" w:rsidR="00B040FE" w:rsidRDefault="00B040FE" w:rsidP="0047225D">
            <w:pPr>
              <w:spacing w:after="0"/>
              <w:rPr>
                <w:rFonts w:cs="Arial"/>
                <w:sz w:val="18"/>
                <w:szCs w:val="18"/>
              </w:rPr>
            </w:pPr>
            <w:bookmarkStart w:id="247" w:name="Note_AALTABLE1" w:colFirst="0" w:colLast="0"/>
            <w:r>
              <w:rPr>
                <w:rFonts w:cs="Arial"/>
                <w:sz w:val="18"/>
                <w:szCs w:val="18"/>
              </w:rPr>
              <w:t> </w:t>
            </w:r>
          </w:p>
        </w:tc>
        <w:tc>
          <w:tcPr>
            <w:tcW w:w="1406" w:type="dxa"/>
            <w:tcBorders>
              <w:top w:val="nil"/>
              <w:left w:val="nil"/>
              <w:bottom w:val="nil"/>
              <w:right w:val="nil"/>
            </w:tcBorders>
            <w:shd w:val="clear" w:color="FFFFFF" w:fill="FFFFFF"/>
            <w:noWrap/>
            <w:vAlign w:val="bottom"/>
            <w:hideMark/>
          </w:tcPr>
          <w:p w14:paraId="3C39CBCB" w14:textId="77777777" w:rsidR="00B040FE" w:rsidRDefault="00B040FE" w:rsidP="0047225D">
            <w:pPr>
              <w:spacing w:after="0"/>
              <w:jc w:val="right"/>
              <w:rPr>
                <w:rFonts w:cs="Arial"/>
                <w:b/>
                <w:bCs/>
                <w:sz w:val="18"/>
                <w:szCs w:val="18"/>
              </w:rPr>
            </w:pPr>
            <w:r>
              <w:rPr>
                <w:rFonts w:cs="Arial"/>
                <w:b/>
                <w:bCs/>
                <w:sz w:val="18"/>
                <w:szCs w:val="18"/>
              </w:rPr>
              <w:t>2024</w:t>
            </w:r>
          </w:p>
        </w:tc>
        <w:tc>
          <w:tcPr>
            <w:tcW w:w="236" w:type="dxa"/>
            <w:tcBorders>
              <w:top w:val="nil"/>
              <w:left w:val="nil"/>
              <w:bottom w:val="nil"/>
              <w:right w:val="nil"/>
            </w:tcBorders>
            <w:shd w:val="clear" w:color="FFFFFF" w:fill="FFFFFF"/>
            <w:noWrap/>
            <w:vAlign w:val="bottom"/>
            <w:hideMark/>
          </w:tcPr>
          <w:p w14:paraId="104C1094"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5124AB79" w14:textId="77777777" w:rsidR="00B040FE" w:rsidRDefault="00B040FE" w:rsidP="0047225D">
            <w:pPr>
              <w:spacing w:after="0"/>
              <w:jc w:val="right"/>
              <w:rPr>
                <w:rFonts w:cs="Arial"/>
                <w:sz w:val="18"/>
                <w:szCs w:val="18"/>
              </w:rPr>
            </w:pPr>
            <w:r>
              <w:rPr>
                <w:rFonts w:cs="Arial"/>
                <w:sz w:val="18"/>
                <w:szCs w:val="18"/>
              </w:rPr>
              <w:t>2023</w:t>
            </w:r>
          </w:p>
        </w:tc>
      </w:tr>
      <w:bookmarkEnd w:id="247"/>
      <w:tr w:rsidR="00B040FE" w14:paraId="6062EB68" w14:textId="77777777" w:rsidTr="005E5E0C">
        <w:trPr>
          <w:trHeight w:val="253"/>
        </w:trPr>
        <w:tc>
          <w:tcPr>
            <w:tcW w:w="6356" w:type="dxa"/>
            <w:tcBorders>
              <w:top w:val="nil"/>
              <w:left w:val="nil"/>
              <w:bottom w:val="nil"/>
              <w:right w:val="nil"/>
            </w:tcBorders>
            <w:shd w:val="clear" w:color="FFFFFF" w:fill="FFFFFF"/>
            <w:noWrap/>
            <w:vAlign w:val="bottom"/>
            <w:hideMark/>
          </w:tcPr>
          <w:p w14:paraId="6A92A2F8" w14:textId="77777777" w:rsidR="00B040FE" w:rsidRDefault="00B040FE" w:rsidP="0047225D">
            <w:pPr>
              <w:spacing w:after="0"/>
              <w:rPr>
                <w:rFonts w:cs="Arial"/>
                <w:sz w:val="18"/>
                <w:szCs w:val="18"/>
              </w:rPr>
            </w:pPr>
            <w:r>
              <w:rPr>
                <w:rFonts w:cs="Arial"/>
                <w:sz w:val="18"/>
                <w:szCs w:val="18"/>
              </w:rPr>
              <w:t> </w:t>
            </w:r>
          </w:p>
        </w:tc>
        <w:tc>
          <w:tcPr>
            <w:tcW w:w="1406" w:type="dxa"/>
            <w:tcBorders>
              <w:top w:val="nil"/>
              <w:left w:val="nil"/>
              <w:bottom w:val="nil"/>
              <w:right w:val="nil"/>
            </w:tcBorders>
            <w:shd w:val="clear" w:color="FFFFFF" w:fill="FFFFFF"/>
            <w:noWrap/>
            <w:vAlign w:val="bottom"/>
            <w:hideMark/>
          </w:tcPr>
          <w:p w14:paraId="16830233" w14:textId="77777777" w:rsidR="00B040FE" w:rsidRDefault="00B040FE" w:rsidP="0047225D">
            <w:pPr>
              <w:spacing w:after="0"/>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3AF82CE7"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5DDF739B" w14:textId="77777777" w:rsidR="00B040FE" w:rsidRDefault="00B040FE" w:rsidP="0047225D">
            <w:pPr>
              <w:spacing w:after="0"/>
              <w:jc w:val="right"/>
              <w:rPr>
                <w:rFonts w:cs="Arial"/>
                <w:sz w:val="18"/>
                <w:szCs w:val="18"/>
              </w:rPr>
            </w:pPr>
            <w:r>
              <w:rPr>
                <w:rFonts w:cs="Arial"/>
                <w:sz w:val="18"/>
                <w:szCs w:val="18"/>
              </w:rPr>
              <w:t>$'000</w:t>
            </w:r>
          </w:p>
        </w:tc>
      </w:tr>
      <w:tr w:rsidR="00B040FE" w14:paraId="2A5375E2" w14:textId="77777777" w:rsidTr="005E5E0C">
        <w:trPr>
          <w:trHeight w:val="253"/>
        </w:trPr>
        <w:tc>
          <w:tcPr>
            <w:tcW w:w="6356" w:type="dxa"/>
            <w:tcBorders>
              <w:top w:val="nil"/>
              <w:left w:val="nil"/>
              <w:bottom w:val="nil"/>
              <w:right w:val="nil"/>
            </w:tcBorders>
            <w:shd w:val="clear" w:color="FFFFFF" w:fill="FFFFFF"/>
            <w:noWrap/>
            <w:vAlign w:val="bottom"/>
            <w:hideMark/>
          </w:tcPr>
          <w:p w14:paraId="4DEDD66A" w14:textId="77777777" w:rsidR="00B040FE" w:rsidRDefault="00B040FE" w:rsidP="0047225D">
            <w:pPr>
              <w:spacing w:after="0"/>
              <w:rPr>
                <w:rFonts w:cs="Arial"/>
                <w:b/>
                <w:bCs/>
                <w:sz w:val="18"/>
                <w:szCs w:val="18"/>
                <w:u w:val="single"/>
              </w:rPr>
            </w:pPr>
            <w:r>
              <w:rPr>
                <w:rFonts w:cs="Arial"/>
                <w:b/>
                <w:bCs/>
                <w:sz w:val="18"/>
                <w:szCs w:val="18"/>
                <w:u w:val="single"/>
              </w:rPr>
              <w:t>Note 5.1: Current/non-current distinction for assets and liabilities</w:t>
            </w:r>
          </w:p>
        </w:tc>
        <w:tc>
          <w:tcPr>
            <w:tcW w:w="1406" w:type="dxa"/>
            <w:tcBorders>
              <w:top w:val="nil"/>
              <w:left w:val="nil"/>
              <w:bottom w:val="nil"/>
              <w:right w:val="nil"/>
            </w:tcBorders>
            <w:shd w:val="clear" w:color="FFFFFF" w:fill="FFFFFF"/>
            <w:noWrap/>
            <w:vAlign w:val="bottom"/>
            <w:hideMark/>
          </w:tcPr>
          <w:p w14:paraId="38476DFC"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7532F58"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3D4C11CB" w14:textId="77777777" w:rsidR="00B040FE" w:rsidRDefault="00B040FE" w:rsidP="0047225D">
            <w:pPr>
              <w:spacing w:after="0"/>
              <w:rPr>
                <w:rFonts w:cs="Arial"/>
                <w:sz w:val="18"/>
                <w:szCs w:val="18"/>
              </w:rPr>
            </w:pPr>
            <w:r>
              <w:rPr>
                <w:rFonts w:cs="Arial"/>
                <w:sz w:val="18"/>
                <w:szCs w:val="18"/>
              </w:rPr>
              <w:t> </w:t>
            </w:r>
          </w:p>
        </w:tc>
      </w:tr>
      <w:tr w:rsidR="00B040FE" w14:paraId="3E4AB1C1" w14:textId="77777777" w:rsidTr="005E5E0C">
        <w:trPr>
          <w:trHeight w:val="253"/>
        </w:trPr>
        <w:tc>
          <w:tcPr>
            <w:tcW w:w="6356" w:type="dxa"/>
            <w:tcBorders>
              <w:top w:val="nil"/>
              <w:left w:val="nil"/>
              <w:bottom w:val="nil"/>
              <w:right w:val="nil"/>
            </w:tcBorders>
            <w:shd w:val="clear" w:color="FFFFFF" w:fill="FFFFFF"/>
            <w:vAlign w:val="bottom"/>
            <w:hideMark/>
          </w:tcPr>
          <w:p w14:paraId="5EDE3079" w14:textId="77777777" w:rsidR="00B040FE" w:rsidRDefault="00B040FE" w:rsidP="0047225D">
            <w:pPr>
              <w:spacing w:after="0"/>
              <w:rPr>
                <w:rFonts w:cs="Arial"/>
                <w:sz w:val="18"/>
                <w:szCs w:val="18"/>
              </w:rPr>
            </w:pPr>
            <w:r>
              <w:rPr>
                <w:rFonts w:cs="Arial"/>
                <w:sz w:val="18"/>
                <w:szCs w:val="18"/>
              </w:rPr>
              <w:t> </w:t>
            </w:r>
          </w:p>
        </w:tc>
        <w:tc>
          <w:tcPr>
            <w:tcW w:w="1406" w:type="dxa"/>
            <w:tcBorders>
              <w:top w:val="nil"/>
              <w:left w:val="nil"/>
              <w:bottom w:val="nil"/>
              <w:right w:val="nil"/>
            </w:tcBorders>
            <w:shd w:val="clear" w:color="FFFFFF" w:fill="FFFFFF"/>
            <w:noWrap/>
            <w:vAlign w:val="bottom"/>
            <w:hideMark/>
          </w:tcPr>
          <w:p w14:paraId="0CF675D7"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6137173"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12F43966" w14:textId="77777777" w:rsidR="00B040FE" w:rsidRDefault="00B040FE" w:rsidP="0047225D">
            <w:pPr>
              <w:spacing w:after="0"/>
              <w:rPr>
                <w:rFonts w:cs="Arial"/>
                <w:sz w:val="18"/>
                <w:szCs w:val="18"/>
              </w:rPr>
            </w:pPr>
            <w:r>
              <w:rPr>
                <w:rFonts w:cs="Arial"/>
                <w:sz w:val="18"/>
                <w:szCs w:val="18"/>
              </w:rPr>
              <w:t> </w:t>
            </w:r>
          </w:p>
        </w:tc>
      </w:tr>
      <w:tr w:rsidR="00B040FE" w14:paraId="6E84F8A1" w14:textId="77777777" w:rsidTr="005E5E0C">
        <w:trPr>
          <w:trHeight w:val="253"/>
        </w:trPr>
        <w:tc>
          <w:tcPr>
            <w:tcW w:w="6356" w:type="dxa"/>
            <w:tcBorders>
              <w:top w:val="nil"/>
              <w:left w:val="nil"/>
              <w:bottom w:val="nil"/>
              <w:right w:val="nil"/>
            </w:tcBorders>
            <w:shd w:val="clear" w:color="FFFFFF" w:fill="FFFFFF"/>
            <w:vAlign w:val="bottom"/>
            <w:hideMark/>
          </w:tcPr>
          <w:p w14:paraId="52921FB0" w14:textId="77777777" w:rsidR="00B040FE" w:rsidRDefault="00B040FE" w:rsidP="0047225D">
            <w:pPr>
              <w:spacing w:after="0"/>
              <w:rPr>
                <w:rFonts w:cs="Arial"/>
                <w:b/>
                <w:bCs/>
                <w:sz w:val="18"/>
                <w:szCs w:val="18"/>
              </w:rPr>
            </w:pPr>
            <w:r>
              <w:rPr>
                <w:rFonts w:cs="Arial"/>
                <w:b/>
                <w:bCs/>
                <w:sz w:val="18"/>
                <w:szCs w:val="18"/>
              </w:rPr>
              <w:t>Assets expected to be recovered in:</w:t>
            </w:r>
          </w:p>
        </w:tc>
        <w:tc>
          <w:tcPr>
            <w:tcW w:w="1406" w:type="dxa"/>
            <w:tcBorders>
              <w:top w:val="nil"/>
              <w:left w:val="nil"/>
              <w:bottom w:val="nil"/>
              <w:right w:val="nil"/>
            </w:tcBorders>
            <w:shd w:val="clear" w:color="FFFFFF" w:fill="FFFFFF"/>
            <w:noWrap/>
            <w:vAlign w:val="bottom"/>
            <w:hideMark/>
          </w:tcPr>
          <w:p w14:paraId="4AD69654"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551E3DE"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519F7CD6" w14:textId="77777777" w:rsidR="00B040FE" w:rsidRDefault="00B040FE" w:rsidP="0047225D">
            <w:pPr>
              <w:spacing w:after="0"/>
              <w:rPr>
                <w:rFonts w:cs="Arial"/>
                <w:sz w:val="18"/>
                <w:szCs w:val="18"/>
              </w:rPr>
            </w:pPr>
            <w:r>
              <w:rPr>
                <w:rFonts w:cs="Arial"/>
                <w:sz w:val="18"/>
                <w:szCs w:val="18"/>
              </w:rPr>
              <w:t> </w:t>
            </w:r>
          </w:p>
        </w:tc>
      </w:tr>
      <w:tr w:rsidR="00B040FE" w14:paraId="546D8866" w14:textId="77777777" w:rsidTr="005E5E0C">
        <w:trPr>
          <w:trHeight w:val="253"/>
        </w:trPr>
        <w:tc>
          <w:tcPr>
            <w:tcW w:w="6356" w:type="dxa"/>
            <w:tcBorders>
              <w:top w:val="nil"/>
              <w:left w:val="nil"/>
              <w:bottom w:val="nil"/>
              <w:right w:val="nil"/>
            </w:tcBorders>
            <w:shd w:val="clear" w:color="FFFFFF" w:fill="FFFFFF"/>
            <w:vAlign w:val="bottom"/>
            <w:hideMark/>
          </w:tcPr>
          <w:p w14:paraId="7E431EFD" w14:textId="77777777" w:rsidR="00B040FE" w:rsidRDefault="00B040FE" w:rsidP="0047225D">
            <w:pPr>
              <w:spacing w:after="0"/>
              <w:rPr>
                <w:rFonts w:cs="Arial"/>
                <w:b/>
                <w:bCs/>
                <w:sz w:val="18"/>
                <w:szCs w:val="18"/>
              </w:rPr>
            </w:pPr>
            <w:r>
              <w:rPr>
                <w:rFonts w:cs="Arial"/>
                <w:b/>
                <w:bCs/>
                <w:sz w:val="18"/>
                <w:szCs w:val="18"/>
              </w:rPr>
              <w:t>No more than 12 months</w:t>
            </w:r>
          </w:p>
        </w:tc>
        <w:tc>
          <w:tcPr>
            <w:tcW w:w="1406" w:type="dxa"/>
            <w:tcBorders>
              <w:top w:val="nil"/>
              <w:left w:val="nil"/>
              <w:bottom w:val="nil"/>
              <w:right w:val="nil"/>
            </w:tcBorders>
            <w:shd w:val="clear" w:color="FFFFFF" w:fill="FFFFFF"/>
            <w:noWrap/>
            <w:vAlign w:val="bottom"/>
            <w:hideMark/>
          </w:tcPr>
          <w:p w14:paraId="7008BC54"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A2DDC6D"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6C6E0974" w14:textId="77777777" w:rsidR="00B040FE" w:rsidRDefault="00B040FE" w:rsidP="0047225D">
            <w:pPr>
              <w:spacing w:after="0"/>
              <w:rPr>
                <w:rFonts w:cs="Arial"/>
                <w:sz w:val="18"/>
                <w:szCs w:val="18"/>
              </w:rPr>
            </w:pPr>
            <w:r>
              <w:rPr>
                <w:rFonts w:cs="Arial"/>
                <w:sz w:val="18"/>
                <w:szCs w:val="18"/>
              </w:rPr>
              <w:t> </w:t>
            </w:r>
          </w:p>
        </w:tc>
      </w:tr>
      <w:tr w:rsidR="00B040FE" w14:paraId="63DC3FD9" w14:textId="77777777" w:rsidTr="005E5E0C">
        <w:trPr>
          <w:trHeight w:val="253"/>
        </w:trPr>
        <w:tc>
          <w:tcPr>
            <w:tcW w:w="6356" w:type="dxa"/>
            <w:tcBorders>
              <w:top w:val="nil"/>
              <w:left w:val="nil"/>
              <w:bottom w:val="nil"/>
              <w:right w:val="nil"/>
            </w:tcBorders>
            <w:shd w:val="clear" w:color="FFFFFF" w:fill="FFFFFF"/>
            <w:noWrap/>
            <w:vAlign w:val="bottom"/>
            <w:hideMark/>
          </w:tcPr>
          <w:p w14:paraId="09168235" w14:textId="77777777" w:rsidR="00B040FE" w:rsidRDefault="00B040FE" w:rsidP="0047225D">
            <w:pPr>
              <w:spacing w:after="0"/>
              <w:ind w:firstLineChars="100" w:firstLine="180"/>
              <w:rPr>
                <w:rFonts w:cs="Arial"/>
                <w:sz w:val="18"/>
                <w:szCs w:val="18"/>
              </w:rPr>
            </w:pPr>
            <w:r>
              <w:rPr>
                <w:rFonts w:cs="Arial"/>
                <w:sz w:val="18"/>
                <w:szCs w:val="18"/>
              </w:rPr>
              <w:t>Cash and cash equivalents</w:t>
            </w:r>
          </w:p>
        </w:tc>
        <w:tc>
          <w:tcPr>
            <w:tcW w:w="1406" w:type="dxa"/>
            <w:tcBorders>
              <w:top w:val="nil"/>
              <w:left w:val="nil"/>
              <w:bottom w:val="nil"/>
              <w:right w:val="nil"/>
            </w:tcBorders>
            <w:shd w:val="clear" w:color="FFFFFF" w:fill="FFFFFF"/>
            <w:noWrap/>
            <w:vAlign w:val="bottom"/>
            <w:hideMark/>
          </w:tcPr>
          <w:p w14:paraId="3F8DD3DE" w14:textId="77777777" w:rsidR="00B040FE" w:rsidRDefault="00B040FE" w:rsidP="0047225D">
            <w:pPr>
              <w:spacing w:after="0"/>
              <w:jc w:val="right"/>
              <w:rPr>
                <w:rFonts w:cs="Arial"/>
                <w:b/>
                <w:bCs/>
                <w:sz w:val="18"/>
                <w:szCs w:val="18"/>
              </w:rPr>
            </w:pPr>
            <w:r>
              <w:rPr>
                <w:rFonts w:cs="Arial"/>
                <w:b/>
                <w:bCs/>
                <w:sz w:val="18"/>
                <w:szCs w:val="18"/>
              </w:rPr>
              <w:t>5,659,548</w:t>
            </w:r>
          </w:p>
        </w:tc>
        <w:tc>
          <w:tcPr>
            <w:tcW w:w="236" w:type="dxa"/>
            <w:tcBorders>
              <w:top w:val="nil"/>
              <w:left w:val="nil"/>
              <w:bottom w:val="nil"/>
              <w:right w:val="nil"/>
            </w:tcBorders>
            <w:shd w:val="clear" w:color="FFFFFF" w:fill="FFFFFF"/>
            <w:noWrap/>
            <w:vAlign w:val="bottom"/>
            <w:hideMark/>
          </w:tcPr>
          <w:p w14:paraId="3F05B05C"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584B828D" w14:textId="77777777" w:rsidR="00B040FE" w:rsidRDefault="00B040FE" w:rsidP="0047225D">
            <w:pPr>
              <w:spacing w:after="0"/>
              <w:jc w:val="right"/>
              <w:rPr>
                <w:rFonts w:cs="Arial"/>
                <w:sz w:val="18"/>
                <w:szCs w:val="18"/>
              </w:rPr>
            </w:pPr>
            <w:r>
              <w:rPr>
                <w:rFonts w:cs="Arial"/>
                <w:sz w:val="18"/>
                <w:szCs w:val="18"/>
              </w:rPr>
              <w:t>2,729,779</w:t>
            </w:r>
          </w:p>
        </w:tc>
      </w:tr>
      <w:tr w:rsidR="00B040FE" w14:paraId="61967758" w14:textId="77777777" w:rsidTr="005E5E0C">
        <w:trPr>
          <w:trHeight w:val="253"/>
        </w:trPr>
        <w:tc>
          <w:tcPr>
            <w:tcW w:w="6356" w:type="dxa"/>
            <w:tcBorders>
              <w:top w:val="nil"/>
              <w:left w:val="nil"/>
              <w:bottom w:val="nil"/>
              <w:right w:val="nil"/>
            </w:tcBorders>
            <w:shd w:val="clear" w:color="FFFFFF" w:fill="FFFFFF"/>
            <w:noWrap/>
            <w:vAlign w:val="bottom"/>
            <w:hideMark/>
          </w:tcPr>
          <w:p w14:paraId="138A65DD" w14:textId="77777777" w:rsidR="00B040FE" w:rsidRDefault="00B040FE" w:rsidP="0047225D">
            <w:pPr>
              <w:spacing w:after="0"/>
              <w:ind w:firstLineChars="100" w:firstLine="180"/>
              <w:rPr>
                <w:rFonts w:cs="Arial"/>
                <w:sz w:val="18"/>
                <w:szCs w:val="18"/>
              </w:rPr>
            </w:pPr>
            <w:r>
              <w:rPr>
                <w:rFonts w:cs="Arial"/>
                <w:sz w:val="18"/>
                <w:szCs w:val="18"/>
              </w:rPr>
              <w:t>Trade and other receivables</w:t>
            </w:r>
          </w:p>
        </w:tc>
        <w:tc>
          <w:tcPr>
            <w:tcW w:w="1406" w:type="dxa"/>
            <w:tcBorders>
              <w:top w:val="nil"/>
              <w:left w:val="nil"/>
              <w:bottom w:val="nil"/>
              <w:right w:val="nil"/>
            </w:tcBorders>
            <w:shd w:val="clear" w:color="FFFFFF" w:fill="FFFFFF"/>
            <w:noWrap/>
            <w:vAlign w:val="bottom"/>
            <w:hideMark/>
          </w:tcPr>
          <w:p w14:paraId="3F7296B1" w14:textId="77777777" w:rsidR="00B040FE" w:rsidRDefault="00B040FE" w:rsidP="0047225D">
            <w:pPr>
              <w:spacing w:after="0"/>
              <w:jc w:val="right"/>
              <w:rPr>
                <w:rFonts w:cs="Arial"/>
                <w:b/>
                <w:bCs/>
                <w:sz w:val="18"/>
                <w:szCs w:val="18"/>
              </w:rPr>
            </w:pPr>
            <w:r>
              <w:rPr>
                <w:rFonts w:cs="Arial"/>
                <w:b/>
                <w:bCs/>
                <w:sz w:val="18"/>
                <w:szCs w:val="18"/>
              </w:rPr>
              <w:t>99,994</w:t>
            </w:r>
          </w:p>
        </w:tc>
        <w:tc>
          <w:tcPr>
            <w:tcW w:w="236" w:type="dxa"/>
            <w:tcBorders>
              <w:top w:val="nil"/>
              <w:left w:val="nil"/>
              <w:bottom w:val="nil"/>
              <w:right w:val="nil"/>
            </w:tcBorders>
            <w:shd w:val="clear" w:color="FFFFFF" w:fill="FFFFFF"/>
            <w:noWrap/>
            <w:vAlign w:val="bottom"/>
            <w:hideMark/>
          </w:tcPr>
          <w:p w14:paraId="2A0BE21D"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24EE35E6" w14:textId="77777777" w:rsidR="00B040FE" w:rsidRDefault="00B040FE" w:rsidP="0047225D">
            <w:pPr>
              <w:spacing w:after="0"/>
              <w:jc w:val="right"/>
              <w:rPr>
                <w:rFonts w:cs="Arial"/>
                <w:sz w:val="18"/>
                <w:szCs w:val="18"/>
              </w:rPr>
            </w:pPr>
            <w:r>
              <w:rPr>
                <w:rFonts w:cs="Arial"/>
                <w:sz w:val="18"/>
                <w:szCs w:val="18"/>
              </w:rPr>
              <w:t>113,659</w:t>
            </w:r>
          </w:p>
        </w:tc>
      </w:tr>
      <w:tr w:rsidR="00B040FE" w14:paraId="56B54F48" w14:textId="77777777" w:rsidTr="005E5E0C">
        <w:trPr>
          <w:trHeight w:val="253"/>
        </w:trPr>
        <w:tc>
          <w:tcPr>
            <w:tcW w:w="6356" w:type="dxa"/>
            <w:tcBorders>
              <w:top w:val="nil"/>
              <w:left w:val="nil"/>
              <w:bottom w:val="nil"/>
              <w:right w:val="nil"/>
            </w:tcBorders>
            <w:shd w:val="clear" w:color="FFFFFF" w:fill="FFFFFF"/>
            <w:noWrap/>
            <w:vAlign w:val="bottom"/>
            <w:hideMark/>
          </w:tcPr>
          <w:p w14:paraId="646D4D0C" w14:textId="77777777" w:rsidR="00B040FE" w:rsidRDefault="00B040FE" w:rsidP="0047225D">
            <w:pPr>
              <w:spacing w:after="0"/>
              <w:ind w:firstLineChars="100" w:firstLine="180"/>
              <w:rPr>
                <w:rFonts w:cs="Arial"/>
                <w:sz w:val="18"/>
                <w:szCs w:val="18"/>
              </w:rPr>
            </w:pPr>
            <w:r>
              <w:rPr>
                <w:rFonts w:cs="Arial"/>
                <w:sz w:val="18"/>
                <w:szCs w:val="18"/>
              </w:rPr>
              <w:t>Other financial assets</w:t>
            </w:r>
          </w:p>
        </w:tc>
        <w:tc>
          <w:tcPr>
            <w:tcW w:w="1406" w:type="dxa"/>
            <w:tcBorders>
              <w:top w:val="nil"/>
              <w:left w:val="nil"/>
              <w:bottom w:val="nil"/>
              <w:right w:val="nil"/>
            </w:tcBorders>
            <w:shd w:val="clear" w:color="FFFFFF" w:fill="FFFFFF"/>
            <w:noWrap/>
            <w:vAlign w:val="bottom"/>
            <w:hideMark/>
          </w:tcPr>
          <w:p w14:paraId="5031BCA5" w14:textId="77777777" w:rsidR="00B040FE" w:rsidRDefault="00B040FE" w:rsidP="0047225D">
            <w:pPr>
              <w:spacing w:after="0"/>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1F1EE660"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7F78C1F2" w14:textId="77777777" w:rsidR="00B040FE" w:rsidRDefault="00B040FE" w:rsidP="0047225D">
            <w:pPr>
              <w:spacing w:after="0"/>
              <w:jc w:val="right"/>
              <w:rPr>
                <w:rFonts w:cs="Arial"/>
                <w:sz w:val="18"/>
                <w:szCs w:val="18"/>
              </w:rPr>
            </w:pPr>
            <w:r>
              <w:rPr>
                <w:rFonts w:cs="Arial"/>
                <w:sz w:val="18"/>
                <w:szCs w:val="18"/>
              </w:rPr>
              <w:t>1,500,000</w:t>
            </w:r>
          </w:p>
        </w:tc>
      </w:tr>
      <w:tr w:rsidR="00B040FE" w14:paraId="2E8B896A" w14:textId="77777777" w:rsidTr="005E5E0C">
        <w:trPr>
          <w:trHeight w:val="253"/>
        </w:trPr>
        <w:tc>
          <w:tcPr>
            <w:tcW w:w="6356" w:type="dxa"/>
            <w:tcBorders>
              <w:top w:val="nil"/>
              <w:left w:val="nil"/>
              <w:bottom w:val="nil"/>
              <w:right w:val="nil"/>
            </w:tcBorders>
            <w:shd w:val="clear" w:color="FFFFFF" w:fill="FFFFFF"/>
            <w:noWrap/>
            <w:vAlign w:val="bottom"/>
            <w:hideMark/>
          </w:tcPr>
          <w:p w14:paraId="04AF6C6E" w14:textId="77777777" w:rsidR="00B040FE" w:rsidRDefault="00B040FE" w:rsidP="0047225D">
            <w:pPr>
              <w:spacing w:after="0"/>
              <w:ind w:firstLineChars="100" w:firstLine="180"/>
              <w:rPr>
                <w:rFonts w:cs="Arial"/>
                <w:sz w:val="18"/>
                <w:szCs w:val="18"/>
              </w:rPr>
            </w:pPr>
            <w:r>
              <w:rPr>
                <w:rFonts w:cs="Arial"/>
                <w:sz w:val="18"/>
                <w:szCs w:val="18"/>
              </w:rPr>
              <w:t>Other non-financial assets</w:t>
            </w:r>
          </w:p>
        </w:tc>
        <w:tc>
          <w:tcPr>
            <w:tcW w:w="1406" w:type="dxa"/>
            <w:tcBorders>
              <w:top w:val="nil"/>
              <w:left w:val="nil"/>
              <w:bottom w:val="nil"/>
              <w:right w:val="nil"/>
            </w:tcBorders>
            <w:shd w:val="clear" w:color="FFFFFF" w:fill="FFFFFF"/>
            <w:noWrap/>
            <w:vAlign w:val="bottom"/>
            <w:hideMark/>
          </w:tcPr>
          <w:p w14:paraId="58DF6152" w14:textId="77777777" w:rsidR="00B040FE" w:rsidRDefault="00B040FE" w:rsidP="0047225D">
            <w:pPr>
              <w:spacing w:after="0"/>
              <w:jc w:val="right"/>
              <w:rPr>
                <w:rFonts w:cs="Arial"/>
                <w:b/>
                <w:bCs/>
                <w:sz w:val="18"/>
                <w:szCs w:val="18"/>
              </w:rPr>
            </w:pPr>
            <w:r>
              <w:rPr>
                <w:rFonts w:cs="Arial"/>
                <w:b/>
                <w:bCs/>
                <w:sz w:val="18"/>
                <w:szCs w:val="18"/>
              </w:rPr>
              <w:t>30,264</w:t>
            </w:r>
          </w:p>
        </w:tc>
        <w:tc>
          <w:tcPr>
            <w:tcW w:w="236" w:type="dxa"/>
            <w:tcBorders>
              <w:top w:val="nil"/>
              <w:left w:val="nil"/>
              <w:bottom w:val="nil"/>
              <w:right w:val="nil"/>
            </w:tcBorders>
            <w:shd w:val="clear" w:color="FFFFFF" w:fill="FFFFFF"/>
            <w:noWrap/>
            <w:vAlign w:val="bottom"/>
            <w:hideMark/>
          </w:tcPr>
          <w:p w14:paraId="0CA56AD2"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40FFC092" w14:textId="77777777" w:rsidR="00B040FE" w:rsidRDefault="00B040FE" w:rsidP="0047225D">
            <w:pPr>
              <w:spacing w:after="0"/>
              <w:jc w:val="right"/>
              <w:rPr>
                <w:rFonts w:cs="Arial"/>
                <w:sz w:val="18"/>
                <w:szCs w:val="18"/>
              </w:rPr>
            </w:pPr>
            <w:r>
              <w:rPr>
                <w:rFonts w:cs="Arial"/>
                <w:sz w:val="18"/>
                <w:szCs w:val="18"/>
              </w:rPr>
              <w:t>26,619</w:t>
            </w:r>
          </w:p>
        </w:tc>
      </w:tr>
      <w:tr w:rsidR="00B040FE" w14:paraId="662C66E5" w14:textId="77777777" w:rsidTr="005E5E0C">
        <w:trPr>
          <w:trHeight w:val="253"/>
        </w:trPr>
        <w:tc>
          <w:tcPr>
            <w:tcW w:w="6356" w:type="dxa"/>
            <w:tcBorders>
              <w:top w:val="nil"/>
              <w:left w:val="nil"/>
              <w:bottom w:val="nil"/>
              <w:right w:val="nil"/>
            </w:tcBorders>
            <w:shd w:val="clear" w:color="FFFFFF" w:fill="FFFFFF"/>
            <w:vAlign w:val="bottom"/>
            <w:hideMark/>
          </w:tcPr>
          <w:p w14:paraId="3A238252" w14:textId="77777777" w:rsidR="00B040FE" w:rsidRDefault="00B040FE" w:rsidP="0047225D">
            <w:pPr>
              <w:spacing w:after="0"/>
              <w:rPr>
                <w:rFonts w:cs="Arial"/>
                <w:b/>
                <w:bCs/>
                <w:sz w:val="18"/>
                <w:szCs w:val="18"/>
              </w:rPr>
            </w:pPr>
            <w:r>
              <w:rPr>
                <w:rFonts w:cs="Arial"/>
                <w:b/>
                <w:bCs/>
                <w:sz w:val="18"/>
                <w:szCs w:val="18"/>
              </w:rPr>
              <w:t>Total no more than 12 months</w:t>
            </w:r>
          </w:p>
        </w:tc>
        <w:tc>
          <w:tcPr>
            <w:tcW w:w="1406" w:type="dxa"/>
            <w:tcBorders>
              <w:top w:val="single" w:sz="4" w:space="0" w:color="auto"/>
              <w:left w:val="nil"/>
              <w:bottom w:val="single" w:sz="4" w:space="0" w:color="auto"/>
              <w:right w:val="nil"/>
            </w:tcBorders>
            <w:shd w:val="clear" w:color="FFFFFF" w:fill="FFFFFF"/>
            <w:noWrap/>
            <w:vAlign w:val="bottom"/>
            <w:hideMark/>
          </w:tcPr>
          <w:p w14:paraId="7F4B6352" w14:textId="77777777" w:rsidR="00B040FE" w:rsidRDefault="00B040FE" w:rsidP="0047225D">
            <w:pPr>
              <w:spacing w:after="0"/>
              <w:jc w:val="right"/>
              <w:rPr>
                <w:rFonts w:cs="Arial"/>
                <w:b/>
                <w:bCs/>
                <w:sz w:val="18"/>
                <w:szCs w:val="18"/>
              </w:rPr>
            </w:pPr>
            <w:r>
              <w:rPr>
                <w:rFonts w:cs="Arial"/>
                <w:b/>
                <w:bCs/>
                <w:sz w:val="18"/>
                <w:szCs w:val="18"/>
              </w:rPr>
              <w:t>5,789,806</w:t>
            </w:r>
          </w:p>
        </w:tc>
        <w:tc>
          <w:tcPr>
            <w:tcW w:w="236" w:type="dxa"/>
            <w:tcBorders>
              <w:top w:val="nil"/>
              <w:left w:val="nil"/>
              <w:bottom w:val="nil"/>
              <w:right w:val="nil"/>
            </w:tcBorders>
            <w:shd w:val="clear" w:color="FFFFFF" w:fill="FFFFFF"/>
            <w:noWrap/>
            <w:vAlign w:val="bottom"/>
            <w:hideMark/>
          </w:tcPr>
          <w:p w14:paraId="0A2E3156" w14:textId="77777777" w:rsidR="00B040FE" w:rsidRDefault="00B040FE" w:rsidP="0047225D">
            <w:pPr>
              <w:spacing w:after="0"/>
              <w:rPr>
                <w:rFonts w:cs="Arial"/>
                <w:sz w:val="18"/>
                <w:szCs w:val="18"/>
              </w:rPr>
            </w:pPr>
            <w:r>
              <w:rPr>
                <w:rFonts w:cs="Arial"/>
                <w:sz w:val="18"/>
                <w:szCs w:val="18"/>
              </w:rPr>
              <w:t> </w:t>
            </w:r>
          </w:p>
        </w:tc>
        <w:tc>
          <w:tcPr>
            <w:tcW w:w="1089" w:type="dxa"/>
            <w:tcBorders>
              <w:top w:val="single" w:sz="4" w:space="0" w:color="auto"/>
              <w:left w:val="nil"/>
              <w:bottom w:val="single" w:sz="4" w:space="0" w:color="auto"/>
              <w:right w:val="nil"/>
            </w:tcBorders>
            <w:shd w:val="clear" w:color="FFFFFF" w:fill="FFFFFF"/>
            <w:noWrap/>
            <w:vAlign w:val="bottom"/>
            <w:hideMark/>
          </w:tcPr>
          <w:p w14:paraId="29275D20" w14:textId="77777777" w:rsidR="00B040FE" w:rsidRDefault="00B040FE" w:rsidP="0047225D">
            <w:pPr>
              <w:spacing w:after="0"/>
              <w:jc w:val="right"/>
              <w:rPr>
                <w:rFonts w:cs="Arial"/>
                <w:sz w:val="18"/>
                <w:szCs w:val="18"/>
              </w:rPr>
            </w:pPr>
            <w:r>
              <w:rPr>
                <w:rFonts w:cs="Arial"/>
                <w:sz w:val="18"/>
                <w:szCs w:val="18"/>
              </w:rPr>
              <w:t>4,370,057</w:t>
            </w:r>
          </w:p>
        </w:tc>
      </w:tr>
      <w:tr w:rsidR="00B040FE" w14:paraId="5127379F" w14:textId="77777777" w:rsidTr="005E5E0C">
        <w:trPr>
          <w:trHeight w:val="253"/>
        </w:trPr>
        <w:tc>
          <w:tcPr>
            <w:tcW w:w="6356" w:type="dxa"/>
            <w:tcBorders>
              <w:top w:val="nil"/>
              <w:left w:val="nil"/>
              <w:bottom w:val="nil"/>
              <w:right w:val="nil"/>
            </w:tcBorders>
            <w:shd w:val="clear" w:color="FFFFFF" w:fill="FFFFFF"/>
            <w:vAlign w:val="bottom"/>
            <w:hideMark/>
          </w:tcPr>
          <w:p w14:paraId="507449F7" w14:textId="77777777" w:rsidR="00B040FE" w:rsidRDefault="00B040FE" w:rsidP="0047225D">
            <w:pPr>
              <w:spacing w:after="0"/>
              <w:rPr>
                <w:rFonts w:cs="Arial"/>
                <w:b/>
                <w:bCs/>
                <w:sz w:val="18"/>
                <w:szCs w:val="18"/>
              </w:rPr>
            </w:pPr>
            <w:r>
              <w:rPr>
                <w:rFonts w:cs="Arial"/>
                <w:b/>
                <w:bCs/>
                <w:sz w:val="18"/>
                <w:szCs w:val="18"/>
              </w:rPr>
              <w:t> </w:t>
            </w:r>
          </w:p>
        </w:tc>
        <w:tc>
          <w:tcPr>
            <w:tcW w:w="1406" w:type="dxa"/>
            <w:tcBorders>
              <w:top w:val="nil"/>
              <w:left w:val="nil"/>
              <w:bottom w:val="nil"/>
              <w:right w:val="nil"/>
            </w:tcBorders>
            <w:shd w:val="clear" w:color="FFFFFF" w:fill="FFFFFF"/>
            <w:noWrap/>
            <w:vAlign w:val="bottom"/>
            <w:hideMark/>
          </w:tcPr>
          <w:p w14:paraId="18465C5A"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E51B772"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7FF76694" w14:textId="77777777" w:rsidR="00B040FE" w:rsidRDefault="00B040FE" w:rsidP="0047225D">
            <w:pPr>
              <w:spacing w:after="0"/>
              <w:rPr>
                <w:rFonts w:cs="Arial"/>
                <w:sz w:val="18"/>
                <w:szCs w:val="18"/>
              </w:rPr>
            </w:pPr>
            <w:r>
              <w:rPr>
                <w:rFonts w:cs="Arial"/>
                <w:sz w:val="18"/>
                <w:szCs w:val="18"/>
              </w:rPr>
              <w:t> </w:t>
            </w:r>
          </w:p>
        </w:tc>
      </w:tr>
      <w:tr w:rsidR="00B040FE" w14:paraId="28BE4865" w14:textId="77777777" w:rsidTr="005E5E0C">
        <w:trPr>
          <w:trHeight w:val="253"/>
        </w:trPr>
        <w:tc>
          <w:tcPr>
            <w:tcW w:w="6356" w:type="dxa"/>
            <w:tcBorders>
              <w:top w:val="nil"/>
              <w:left w:val="nil"/>
              <w:bottom w:val="nil"/>
              <w:right w:val="nil"/>
            </w:tcBorders>
            <w:shd w:val="clear" w:color="FFFFFF" w:fill="FFFFFF"/>
            <w:vAlign w:val="bottom"/>
            <w:hideMark/>
          </w:tcPr>
          <w:p w14:paraId="688DB257" w14:textId="77777777" w:rsidR="00B040FE" w:rsidRDefault="00B040FE" w:rsidP="0047225D">
            <w:pPr>
              <w:spacing w:after="0"/>
              <w:rPr>
                <w:rFonts w:cs="Arial"/>
                <w:b/>
                <w:bCs/>
                <w:sz w:val="18"/>
                <w:szCs w:val="18"/>
              </w:rPr>
            </w:pPr>
            <w:r>
              <w:rPr>
                <w:rFonts w:cs="Arial"/>
                <w:b/>
                <w:bCs/>
                <w:sz w:val="18"/>
                <w:szCs w:val="18"/>
              </w:rPr>
              <w:t>More than 12 months</w:t>
            </w:r>
          </w:p>
        </w:tc>
        <w:tc>
          <w:tcPr>
            <w:tcW w:w="1406" w:type="dxa"/>
            <w:tcBorders>
              <w:top w:val="nil"/>
              <w:left w:val="nil"/>
              <w:bottom w:val="nil"/>
              <w:right w:val="nil"/>
            </w:tcBorders>
            <w:shd w:val="clear" w:color="FFFFFF" w:fill="FFFFFF"/>
            <w:noWrap/>
            <w:vAlign w:val="bottom"/>
            <w:hideMark/>
          </w:tcPr>
          <w:p w14:paraId="1EFF9CCF"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F2F6593"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685890F7" w14:textId="77777777" w:rsidR="00B040FE" w:rsidRDefault="00B040FE" w:rsidP="0047225D">
            <w:pPr>
              <w:spacing w:after="0"/>
              <w:rPr>
                <w:rFonts w:cs="Arial"/>
                <w:sz w:val="18"/>
                <w:szCs w:val="18"/>
              </w:rPr>
            </w:pPr>
            <w:r>
              <w:rPr>
                <w:rFonts w:cs="Arial"/>
                <w:sz w:val="18"/>
                <w:szCs w:val="18"/>
              </w:rPr>
              <w:t> </w:t>
            </w:r>
          </w:p>
        </w:tc>
      </w:tr>
      <w:tr w:rsidR="00B040FE" w14:paraId="0920EDAE" w14:textId="77777777" w:rsidTr="005E5E0C">
        <w:trPr>
          <w:trHeight w:val="253"/>
        </w:trPr>
        <w:tc>
          <w:tcPr>
            <w:tcW w:w="6356" w:type="dxa"/>
            <w:tcBorders>
              <w:top w:val="nil"/>
              <w:left w:val="nil"/>
              <w:bottom w:val="nil"/>
              <w:right w:val="nil"/>
            </w:tcBorders>
            <w:shd w:val="clear" w:color="FFFFFF" w:fill="FFFFFF"/>
            <w:noWrap/>
            <w:vAlign w:val="bottom"/>
            <w:hideMark/>
          </w:tcPr>
          <w:p w14:paraId="26EC1D6A" w14:textId="77777777" w:rsidR="00B040FE" w:rsidRDefault="00B040FE" w:rsidP="0047225D">
            <w:pPr>
              <w:spacing w:after="0"/>
              <w:ind w:firstLineChars="100" w:firstLine="180"/>
              <w:rPr>
                <w:rFonts w:cs="Arial"/>
                <w:sz w:val="18"/>
                <w:szCs w:val="18"/>
              </w:rPr>
            </w:pPr>
            <w:r>
              <w:rPr>
                <w:rFonts w:cs="Arial"/>
                <w:sz w:val="18"/>
                <w:szCs w:val="18"/>
              </w:rPr>
              <w:t>Buildings</w:t>
            </w:r>
          </w:p>
        </w:tc>
        <w:tc>
          <w:tcPr>
            <w:tcW w:w="1406" w:type="dxa"/>
            <w:tcBorders>
              <w:top w:val="nil"/>
              <w:left w:val="nil"/>
              <w:bottom w:val="nil"/>
              <w:right w:val="nil"/>
            </w:tcBorders>
            <w:shd w:val="clear" w:color="FFFFFF" w:fill="FFFFFF"/>
            <w:noWrap/>
            <w:vAlign w:val="bottom"/>
            <w:hideMark/>
          </w:tcPr>
          <w:p w14:paraId="4B31335D" w14:textId="77777777" w:rsidR="00B040FE" w:rsidRDefault="00B040FE" w:rsidP="0047225D">
            <w:pPr>
              <w:spacing w:after="0"/>
              <w:jc w:val="right"/>
              <w:rPr>
                <w:rFonts w:cs="Arial"/>
                <w:b/>
                <w:bCs/>
                <w:sz w:val="18"/>
                <w:szCs w:val="18"/>
              </w:rPr>
            </w:pPr>
            <w:r>
              <w:rPr>
                <w:rFonts w:cs="Arial"/>
                <w:b/>
                <w:bCs/>
                <w:sz w:val="18"/>
                <w:szCs w:val="18"/>
              </w:rPr>
              <w:t>237,892</w:t>
            </w:r>
          </w:p>
        </w:tc>
        <w:tc>
          <w:tcPr>
            <w:tcW w:w="236" w:type="dxa"/>
            <w:tcBorders>
              <w:top w:val="nil"/>
              <w:left w:val="nil"/>
              <w:bottom w:val="nil"/>
              <w:right w:val="nil"/>
            </w:tcBorders>
            <w:shd w:val="clear" w:color="FFFFFF" w:fill="FFFFFF"/>
            <w:noWrap/>
            <w:vAlign w:val="bottom"/>
            <w:hideMark/>
          </w:tcPr>
          <w:p w14:paraId="398C580B"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581A6EFE" w14:textId="77777777" w:rsidR="00B040FE" w:rsidRDefault="00B040FE" w:rsidP="0047225D">
            <w:pPr>
              <w:spacing w:after="0"/>
              <w:jc w:val="right"/>
              <w:rPr>
                <w:rFonts w:cs="Arial"/>
                <w:sz w:val="18"/>
                <w:szCs w:val="18"/>
              </w:rPr>
            </w:pPr>
            <w:r>
              <w:rPr>
                <w:rFonts w:cs="Arial"/>
                <w:sz w:val="18"/>
                <w:szCs w:val="18"/>
              </w:rPr>
              <w:t>223,813</w:t>
            </w:r>
          </w:p>
        </w:tc>
      </w:tr>
      <w:tr w:rsidR="00B040FE" w14:paraId="566409EB" w14:textId="77777777" w:rsidTr="005E5E0C">
        <w:trPr>
          <w:trHeight w:val="253"/>
        </w:trPr>
        <w:tc>
          <w:tcPr>
            <w:tcW w:w="6356" w:type="dxa"/>
            <w:tcBorders>
              <w:top w:val="nil"/>
              <w:left w:val="nil"/>
              <w:bottom w:val="nil"/>
              <w:right w:val="nil"/>
            </w:tcBorders>
            <w:shd w:val="clear" w:color="FFFFFF" w:fill="FFFFFF"/>
            <w:noWrap/>
            <w:vAlign w:val="bottom"/>
            <w:hideMark/>
          </w:tcPr>
          <w:p w14:paraId="4F4AD2CC" w14:textId="77777777" w:rsidR="00B040FE" w:rsidRDefault="00B040FE" w:rsidP="0047225D">
            <w:pPr>
              <w:spacing w:after="0"/>
              <w:ind w:firstLineChars="100" w:firstLine="180"/>
              <w:rPr>
                <w:rFonts w:cs="Arial"/>
                <w:sz w:val="18"/>
                <w:szCs w:val="18"/>
              </w:rPr>
            </w:pPr>
            <w:r>
              <w:rPr>
                <w:rFonts w:cs="Arial"/>
                <w:sz w:val="18"/>
                <w:szCs w:val="18"/>
              </w:rPr>
              <w:t>Plant and equipment</w:t>
            </w:r>
          </w:p>
        </w:tc>
        <w:tc>
          <w:tcPr>
            <w:tcW w:w="1406" w:type="dxa"/>
            <w:tcBorders>
              <w:top w:val="nil"/>
              <w:left w:val="nil"/>
              <w:bottom w:val="nil"/>
              <w:right w:val="nil"/>
            </w:tcBorders>
            <w:shd w:val="clear" w:color="FFFFFF" w:fill="FFFFFF"/>
            <w:noWrap/>
            <w:vAlign w:val="bottom"/>
            <w:hideMark/>
          </w:tcPr>
          <w:p w14:paraId="0485CADB" w14:textId="77777777" w:rsidR="00B040FE" w:rsidRDefault="00B040FE" w:rsidP="0047225D">
            <w:pPr>
              <w:spacing w:after="0"/>
              <w:jc w:val="right"/>
              <w:rPr>
                <w:rFonts w:cs="Arial"/>
                <w:b/>
                <w:bCs/>
                <w:sz w:val="18"/>
                <w:szCs w:val="18"/>
              </w:rPr>
            </w:pPr>
            <w:r>
              <w:rPr>
                <w:rFonts w:cs="Arial"/>
                <w:b/>
                <w:bCs/>
                <w:sz w:val="18"/>
                <w:szCs w:val="18"/>
              </w:rPr>
              <w:t>9,364</w:t>
            </w:r>
          </w:p>
        </w:tc>
        <w:tc>
          <w:tcPr>
            <w:tcW w:w="236" w:type="dxa"/>
            <w:tcBorders>
              <w:top w:val="nil"/>
              <w:left w:val="nil"/>
              <w:bottom w:val="nil"/>
              <w:right w:val="nil"/>
            </w:tcBorders>
            <w:shd w:val="clear" w:color="FFFFFF" w:fill="FFFFFF"/>
            <w:noWrap/>
            <w:vAlign w:val="bottom"/>
            <w:hideMark/>
          </w:tcPr>
          <w:p w14:paraId="1BC3F8DF"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482F3729" w14:textId="77777777" w:rsidR="00B040FE" w:rsidRDefault="00B040FE" w:rsidP="0047225D">
            <w:pPr>
              <w:spacing w:after="0"/>
              <w:jc w:val="right"/>
              <w:rPr>
                <w:rFonts w:cs="Arial"/>
                <w:sz w:val="18"/>
                <w:szCs w:val="18"/>
              </w:rPr>
            </w:pPr>
            <w:r>
              <w:rPr>
                <w:rFonts w:cs="Arial"/>
                <w:sz w:val="18"/>
                <w:szCs w:val="18"/>
              </w:rPr>
              <w:t>9,048</w:t>
            </w:r>
          </w:p>
        </w:tc>
      </w:tr>
      <w:tr w:rsidR="00B040FE" w14:paraId="5360ABD8" w14:textId="77777777" w:rsidTr="005E5E0C">
        <w:trPr>
          <w:trHeight w:val="253"/>
        </w:trPr>
        <w:tc>
          <w:tcPr>
            <w:tcW w:w="6356" w:type="dxa"/>
            <w:tcBorders>
              <w:top w:val="nil"/>
              <w:left w:val="nil"/>
              <w:bottom w:val="nil"/>
              <w:right w:val="nil"/>
            </w:tcBorders>
            <w:shd w:val="clear" w:color="FFFFFF" w:fill="FFFFFF"/>
            <w:noWrap/>
            <w:vAlign w:val="bottom"/>
            <w:hideMark/>
          </w:tcPr>
          <w:p w14:paraId="56DD5709" w14:textId="77777777" w:rsidR="00B040FE" w:rsidRDefault="00B040FE" w:rsidP="0047225D">
            <w:pPr>
              <w:spacing w:after="0"/>
              <w:ind w:firstLineChars="100" w:firstLine="180"/>
              <w:rPr>
                <w:rFonts w:cs="Arial"/>
                <w:sz w:val="18"/>
                <w:szCs w:val="18"/>
              </w:rPr>
            </w:pPr>
            <w:r>
              <w:rPr>
                <w:rFonts w:cs="Arial"/>
                <w:sz w:val="18"/>
                <w:szCs w:val="18"/>
              </w:rPr>
              <w:t>Other non-financial assets</w:t>
            </w:r>
          </w:p>
        </w:tc>
        <w:tc>
          <w:tcPr>
            <w:tcW w:w="1406" w:type="dxa"/>
            <w:tcBorders>
              <w:top w:val="nil"/>
              <w:left w:val="nil"/>
              <w:bottom w:val="nil"/>
              <w:right w:val="nil"/>
            </w:tcBorders>
            <w:shd w:val="clear" w:color="FFFFFF" w:fill="FFFFFF"/>
            <w:noWrap/>
            <w:vAlign w:val="bottom"/>
            <w:hideMark/>
          </w:tcPr>
          <w:p w14:paraId="0460C5DF" w14:textId="77777777" w:rsidR="00B040FE" w:rsidRDefault="00B040FE" w:rsidP="0047225D">
            <w:pPr>
              <w:spacing w:after="0"/>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0F93A813"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2EA38CE3" w14:textId="77777777" w:rsidR="00B040FE" w:rsidRDefault="00B040FE" w:rsidP="0047225D">
            <w:pPr>
              <w:spacing w:after="0"/>
              <w:jc w:val="right"/>
              <w:rPr>
                <w:rFonts w:cs="Arial"/>
                <w:sz w:val="18"/>
                <w:szCs w:val="18"/>
              </w:rPr>
            </w:pPr>
            <w:r>
              <w:rPr>
                <w:rFonts w:cs="Arial"/>
                <w:sz w:val="18"/>
                <w:szCs w:val="18"/>
              </w:rPr>
              <w:t xml:space="preserve"> -</w:t>
            </w:r>
          </w:p>
        </w:tc>
      </w:tr>
      <w:tr w:rsidR="00B040FE" w14:paraId="70A54645" w14:textId="77777777" w:rsidTr="005E5E0C">
        <w:trPr>
          <w:trHeight w:val="253"/>
        </w:trPr>
        <w:tc>
          <w:tcPr>
            <w:tcW w:w="6356" w:type="dxa"/>
            <w:tcBorders>
              <w:top w:val="nil"/>
              <w:left w:val="nil"/>
              <w:bottom w:val="nil"/>
              <w:right w:val="nil"/>
            </w:tcBorders>
            <w:shd w:val="clear" w:color="FFFFFF" w:fill="FFFFFF"/>
            <w:vAlign w:val="bottom"/>
            <w:hideMark/>
          </w:tcPr>
          <w:p w14:paraId="3EAD4CF8" w14:textId="77777777" w:rsidR="00B040FE" w:rsidRDefault="00B040FE" w:rsidP="0047225D">
            <w:pPr>
              <w:spacing w:after="0"/>
              <w:rPr>
                <w:rFonts w:cs="Arial"/>
                <w:b/>
                <w:bCs/>
                <w:sz w:val="18"/>
                <w:szCs w:val="18"/>
              </w:rPr>
            </w:pPr>
            <w:r>
              <w:rPr>
                <w:rFonts w:cs="Arial"/>
                <w:b/>
                <w:bCs/>
                <w:sz w:val="18"/>
                <w:szCs w:val="18"/>
              </w:rPr>
              <w:t>Total more than 12 months</w:t>
            </w:r>
          </w:p>
        </w:tc>
        <w:tc>
          <w:tcPr>
            <w:tcW w:w="1406" w:type="dxa"/>
            <w:tcBorders>
              <w:top w:val="single" w:sz="4" w:space="0" w:color="auto"/>
              <w:left w:val="nil"/>
              <w:bottom w:val="single" w:sz="4" w:space="0" w:color="auto"/>
              <w:right w:val="nil"/>
            </w:tcBorders>
            <w:shd w:val="clear" w:color="FFFFFF" w:fill="FFFFFF"/>
            <w:noWrap/>
            <w:vAlign w:val="bottom"/>
            <w:hideMark/>
          </w:tcPr>
          <w:p w14:paraId="196E9539" w14:textId="77777777" w:rsidR="00B040FE" w:rsidRDefault="00B040FE" w:rsidP="0047225D">
            <w:pPr>
              <w:spacing w:after="0"/>
              <w:jc w:val="right"/>
              <w:rPr>
                <w:rFonts w:cs="Arial"/>
                <w:b/>
                <w:bCs/>
                <w:sz w:val="18"/>
                <w:szCs w:val="18"/>
              </w:rPr>
            </w:pPr>
            <w:r>
              <w:rPr>
                <w:rFonts w:cs="Arial"/>
                <w:b/>
                <w:bCs/>
                <w:sz w:val="18"/>
                <w:szCs w:val="18"/>
              </w:rPr>
              <w:t>247,256</w:t>
            </w:r>
          </w:p>
        </w:tc>
        <w:tc>
          <w:tcPr>
            <w:tcW w:w="236" w:type="dxa"/>
            <w:tcBorders>
              <w:top w:val="nil"/>
              <w:left w:val="nil"/>
              <w:bottom w:val="nil"/>
              <w:right w:val="nil"/>
            </w:tcBorders>
            <w:shd w:val="clear" w:color="FFFFFF" w:fill="FFFFFF"/>
            <w:noWrap/>
            <w:vAlign w:val="bottom"/>
            <w:hideMark/>
          </w:tcPr>
          <w:p w14:paraId="425F57FD" w14:textId="77777777" w:rsidR="00B040FE" w:rsidRDefault="00B040FE" w:rsidP="0047225D">
            <w:pPr>
              <w:spacing w:after="0"/>
              <w:rPr>
                <w:rFonts w:cs="Arial"/>
                <w:sz w:val="18"/>
                <w:szCs w:val="18"/>
              </w:rPr>
            </w:pPr>
            <w:r>
              <w:rPr>
                <w:rFonts w:cs="Arial"/>
                <w:sz w:val="18"/>
                <w:szCs w:val="18"/>
              </w:rPr>
              <w:t> </w:t>
            </w:r>
          </w:p>
        </w:tc>
        <w:tc>
          <w:tcPr>
            <w:tcW w:w="1089" w:type="dxa"/>
            <w:tcBorders>
              <w:top w:val="single" w:sz="4" w:space="0" w:color="auto"/>
              <w:left w:val="nil"/>
              <w:bottom w:val="single" w:sz="4" w:space="0" w:color="auto"/>
              <w:right w:val="nil"/>
            </w:tcBorders>
            <w:shd w:val="clear" w:color="FFFFFF" w:fill="FFFFFF"/>
            <w:noWrap/>
            <w:vAlign w:val="bottom"/>
            <w:hideMark/>
          </w:tcPr>
          <w:p w14:paraId="5EBF6C29" w14:textId="77777777" w:rsidR="00B040FE" w:rsidRDefault="00B040FE" w:rsidP="0047225D">
            <w:pPr>
              <w:spacing w:after="0"/>
              <w:jc w:val="right"/>
              <w:rPr>
                <w:rFonts w:cs="Arial"/>
                <w:sz w:val="18"/>
                <w:szCs w:val="18"/>
              </w:rPr>
            </w:pPr>
            <w:r>
              <w:rPr>
                <w:rFonts w:cs="Arial"/>
                <w:sz w:val="18"/>
                <w:szCs w:val="18"/>
              </w:rPr>
              <w:t>232,861</w:t>
            </w:r>
          </w:p>
        </w:tc>
      </w:tr>
      <w:tr w:rsidR="00B040FE" w14:paraId="32C1A4A5" w14:textId="77777777" w:rsidTr="005E5E0C">
        <w:trPr>
          <w:trHeight w:val="253"/>
        </w:trPr>
        <w:tc>
          <w:tcPr>
            <w:tcW w:w="6356" w:type="dxa"/>
            <w:tcBorders>
              <w:top w:val="nil"/>
              <w:left w:val="nil"/>
              <w:bottom w:val="nil"/>
              <w:right w:val="nil"/>
            </w:tcBorders>
            <w:shd w:val="clear" w:color="FFFFFF" w:fill="FFFFFF"/>
            <w:vAlign w:val="bottom"/>
            <w:hideMark/>
          </w:tcPr>
          <w:p w14:paraId="0F85BC0E" w14:textId="77777777" w:rsidR="00B040FE" w:rsidRDefault="00B040FE" w:rsidP="0047225D">
            <w:pPr>
              <w:spacing w:after="0"/>
              <w:rPr>
                <w:rFonts w:cs="Arial"/>
                <w:b/>
                <w:bCs/>
                <w:sz w:val="18"/>
                <w:szCs w:val="18"/>
              </w:rPr>
            </w:pPr>
            <w:r>
              <w:rPr>
                <w:rFonts w:cs="Arial"/>
                <w:b/>
                <w:bCs/>
                <w:sz w:val="18"/>
                <w:szCs w:val="18"/>
              </w:rPr>
              <w:t>Total assets</w:t>
            </w:r>
          </w:p>
        </w:tc>
        <w:tc>
          <w:tcPr>
            <w:tcW w:w="1406" w:type="dxa"/>
            <w:tcBorders>
              <w:top w:val="nil"/>
              <w:left w:val="nil"/>
              <w:bottom w:val="single" w:sz="4" w:space="0" w:color="auto"/>
              <w:right w:val="nil"/>
            </w:tcBorders>
            <w:shd w:val="clear" w:color="FFFFFF" w:fill="FFFFFF"/>
            <w:noWrap/>
            <w:vAlign w:val="bottom"/>
            <w:hideMark/>
          </w:tcPr>
          <w:p w14:paraId="188C29A6" w14:textId="77777777" w:rsidR="00B040FE" w:rsidRDefault="00B040FE" w:rsidP="0047225D">
            <w:pPr>
              <w:spacing w:after="0"/>
              <w:jc w:val="right"/>
              <w:rPr>
                <w:rFonts w:cs="Arial"/>
                <w:b/>
                <w:bCs/>
                <w:sz w:val="18"/>
                <w:szCs w:val="18"/>
              </w:rPr>
            </w:pPr>
            <w:r>
              <w:rPr>
                <w:rFonts w:cs="Arial"/>
                <w:b/>
                <w:bCs/>
                <w:sz w:val="18"/>
                <w:szCs w:val="18"/>
              </w:rPr>
              <w:t>6,037,062</w:t>
            </w:r>
          </w:p>
        </w:tc>
        <w:tc>
          <w:tcPr>
            <w:tcW w:w="236" w:type="dxa"/>
            <w:tcBorders>
              <w:top w:val="nil"/>
              <w:left w:val="nil"/>
              <w:bottom w:val="nil"/>
              <w:right w:val="nil"/>
            </w:tcBorders>
            <w:shd w:val="clear" w:color="FFFFFF" w:fill="FFFFFF"/>
            <w:noWrap/>
            <w:vAlign w:val="bottom"/>
            <w:hideMark/>
          </w:tcPr>
          <w:p w14:paraId="5426807F"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single" w:sz="4" w:space="0" w:color="auto"/>
              <w:right w:val="nil"/>
            </w:tcBorders>
            <w:shd w:val="clear" w:color="FFFFFF" w:fill="FFFFFF"/>
            <w:noWrap/>
            <w:vAlign w:val="bottom"/>
            <w:hideMark/>
          </w:tcPr>
          <w:p w14:paraId="641C7501" w14:textId="77777777" w:rsidR="00B040FE" w:rsidRDefault="00B040FE" w:rsidP="0047225D">
            <w:pPr>
              <w:spacing w:after="0"/>
              <w:jc w:val="right"/>
              <w:rPr>
                <w:rFonts w:cs="Arial"/>
                <w:sz w:val="18"/>
                <w:szCs w:val="18"/>
              </w:rPr>
            </w:pPr>
            <w:r>
              <w:rPr>
                <w:rFonts w:cs="Arial"/>
                <w:sz w:val="18"/>
                <w:szCs w:val="18"/>
              </w:rPr>
              <w:t>4,602,918</w:t>
            </w:r>
          </w:p>
        </w:tc>
      </w:tr>
      <w:tr w:rsidR="00B040FE" w14:paraId="3FAC60E4" w14:textId="77777777" w:rsidTr="005E5E0C">
        <w:trPr>
          <w:trHeight w:val="240"/>
        </w:trPr>
        <w:tc>
          <w:tcPr>
            <w:tcW w:w="6356" w:type="dxa"/>
            <w:tcBorders>
              <w:top w:val="nil"/>
              <w:left w:val="nil"/>
              <w:bottom w:val="nil"/>
              <w:right w:val="nil"/>
            </w:tcBorders>
            <w:shd w:val="clear" w:color="FFFFFF" w:fill="FFFFFF"/>
            <w:vAlign w:val="bottom"/>
            <w:hideMark/>
          </w:tcPr>
          <w:p w14:paraId="49D61C64" w14:textId="77777777" w:rsidR="00B040FE" w:rsidRDefault="00B040FE" w:rsidP="0047225D">
            <w:pPr>
              <w:spacing w:after="0"/>
              <w:rPr>
                <w:rFonts w:cs="Arial"/>
                <w:sz w:val="18"/>
                <w:szCs w:val="18"/>
              </w:rPr>
            </w:pPr>
            <w:r>
              <w:rPr>
                <w:rFonts w:cs="Arial"/>
                <w:sz w:val="18"/>
                <w:szCs w:val="18"/>
              </w:rPr>
              <w:t> </w:t>
            </w:r>
          </w:p>
        </w:tc>
        <w:tc>
          <w:tcPr>
            <w:tcW w:w="1406" w:type="dxa"/>
            <w:tcBorders>
              <w:top w:val="nil"/>
              <w:left w:val="nil"/>
              <w:bottom w:val="nil"/>
              <w:right w:val="nil"/>
            </w:tcBorders>
            <w:shd w:val="clear" w:color="FFFFFF" w:fill="FFFFFF"/>
            <w:noWrap/>
            <w:vAlign w:val="bottom"/>
            <w:hideMark/>
          </w:tcPr>
          <w:p w14:paraId="360C08FD"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6C19187"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4AF8A3B0" w14:textId="77777777" w:rsidR="00B040FE" w:rsidRDefault="00B040FE" w:rsidP="0047225D">
            <w:pPr>
              <w:spacing w:after="0"/>
              <w:rPr>
                <w:rFonts w:cs="Arial"/>
                <w:sz w:val="18"/>
                <w:szCs w:val="18"/>
              </w:rPr>
            </w:pPr>
            <w:r>
              <w:rPr>
                <w:rFonts w:cs="Arial"/>
                <w:sz w:val="18"/>
                <w:szCs w:val="18"/>
              </w:rPr>
              <w:t> </w:t>
            </w:r>
          </w:p>
        </w:tc>
      </w:tr>
      <w:tr w:rsidR="00B040FE" w14:paraId="2C651912" w14:textId="77777777" w:rsidTr="005E5E0C">
        <w:trPr>
          <w:trHeight w:val="253"/>
        </w:trPr>
        <w:tc>
          <w:tcPr>
            <w:tcW w:w="6356" w:type="dxa"/>
            <w:tcBorders>
              <w:top w:val="nil"/>
              <w:left w:val="nil"/>
              <w:bottom w:val="nil"/>
              <w:right w:val="nil"/>
            </w:tcBorders>
            <w:shd w:val="clear" w:color="FFFFFF" w:fill="FFFFFF"/>
            <w:vAlign w:val="bottom"/>
            <w:hideMark/>
          </w:tcPr>
          <w:p w14:paraId="530DEF62" w14:textId="77777777" w:rsidR="00B040FE" w:rsidRDefault="00B040FE" w:rsidP="0047225D">
            <w:pPr>
              <w:spacing w:after="0"/>
              <w:rPr>
                <w:rFonts w:cs="Arial"/>
                <w:b/>
                <w:bCs/>
                <w:sz w:val="18"/>
                <w:szCs w:val="18"/>
              </w:rPr>
            </w:pPr>
            <w:r>
              <w:rPr>
                <w:rFonts w:cs="Arial"/>
                <w:b/>
                <w:bCs/>
                <w:sz w:val="18"/>
                <w:szCs w:val="18"/>
              </w:rPr>
              <w:t>Liabilities expected to be settled in:</w:t>
            </w:r>
          </w:p>
        </w:tc>
        <w:tc>
          <w:tcPr>
            <w:tcW w:w="1406" w:type="dxa"/>
            <w:tcBorders>
              <w:top w:val="nil"/>
              <w:left w:val="nil"/>
              <w:bottom w:val="nil"/>
              <w:right w:val="nil"/>
            </w:tcBorders>
            <w:shd w:val="clear" w:color="FFFFFF" w:fill="FFFFFF"/>
            <w:noWrap/>
            <w:vAlign w:val="bottom"/>
            <w:hideMark/>
          </w:tcPr>
          <w:p w14:paraId="58A5534C"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9797C80"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24AA17F0" w14:textId="77777777" w:rsidR="00B040FE" w:rsidRDefault="00B040FE" w:rsidP="0047225D">
            <w:pPr>
              <w:spacing w:after="0"/>
              <w:rPr>
                <w:rFonts w:cs="Arial"/>
                <w:sz w:val="18"/>
                <w:szCs w:val="18"/>
              </w:rPr>
            </w:pPr>
            <w:r>
              <w:rPr>
                <w:rFonts w:cs="Arial"/>
                <w:sz w:val="18"/>
                <w:szCs w:val="18"/>
              </w:rPr>
              <w:t> </w:t>
            </w:r>
          </w:p>
        </w:tc>
      </w:tr>
      <w:tr w:rsidR="00B040FE" w14:paraId="6A0CBC27" w14:textId="77777777" w:rsidTr="005E5E0C">
        <w:trPr>
          <w:trHeight w:val="253"/>
        </w:trPr>
        <w:tc>
          <w:tcPr>
            <w:tcW w:w="6356" w:type="dxa"/>
            <w:tcBorders>
              <w:top w:val="nil"/>
              <w:left w:val="nil"/>
              <w:bottom w:val="nil"/>
              <w:right w:val="nil"/>
            </w:tcBorders>
            <w:shd w:val="clear" w:color="FFFFFF" w:fill="FFFFFF"/>
            <w:vAlign w:val="bottom"/>
            <w:hideMark/>
          </w:tcPr>
          <w:p w14:paraId="3D7F9AEF" w14:textId="77777777" w:rsidR="00B040FE" w:rsidRDefault="00B040FE" w:rsidP="0047225D">
            <w:pPr>
              <w:spacing w:after="0"/>
              <w:rPr>
                <w:rFonts w:cs="Arial"/>
                <w:b/>
                <w:bCs/>
                <w:sz w:val="18"/>
                <w:szCs w:val="18"/>
              </w:rPr>
            </w:pPr>
            <w:r>
              <w:rPr>
                <w:rFonts w:cs="Arial"/>
                <w:b/>
                <w:bCs/>
                <w:sz w:val="18"/>
                <w:szCs w:val="18"/>
              </w:rPr>
              <w:t>No more than 12 months</w:t>
            </w:r>
          </w:p>
        </w:tc>
        <w:tc>
          <w:tcPr>
            <w:tcW w:w="1406" w:type="dxa"/>
            <w:tcBorders>
              <w:top w:val="nil"/>
              <w:left w:val="nil"/>
              <w:bottom w:val="nil"/>
              <w:right w:val="nil"/>
            </w:tcBorders>
            <w:shd w:val="clear" w:color="FFFFFF" w:fill="FFFFFF"/>
            <w:noWrap/>
            <w:vAlign w:val="bottom"/>
            <w:hideMark/>
          </w:tcPr>
          <w:p w14:paraId="6367A308" w14:textId="77777777" w:rsidR="00B040FE" w:rsidRDefault="00B040FE" w:rsidP="0047225D">
            <w:pPr>
              <w:spacing w:after="0"/>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9E64C71"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330F390F" w14:textId="77777777" w:rsidR="00B040FE" w:rsidRDefault="00B040FE" w:rsidP="0047225D">
            <w:pPr>
              <w:spacing w:after="0"/>
              <w:rPr>
                <w:rFonts w:cs="Arial"/>
                <w:sz w:val="18"/>
                <w:szCs w:val="18"/>
              </w:rPr>
            </w:pPr>
            <w:r>
              <w:rPr>
                <w:rFonts w:cs="Arial"/>
                <w:sz w:val="18"/>
                <w:szCs w:val="18"/>
              </w:rPr>
              <w:t> </w:t>
            </w:r>
          </w:p>
        </w:tc>
      </w:tr>
      <w:tr w:rsidR="00B040FE" w14:paraId="02560828" w14:textId="77777777" w:rsidTr="005E5E0C">
        <w:trPr>
          <w:trHeight w:val="253"/>
        </w:trPr>
        <w:tc>
          <w:tcPr>
            <w:tcW w:w="6356" w:type="dxa"/>
            <w:tcBorders>
              <w:top w:val="nil"/>
              <w:left w:val="nil"/>
              <w:bottom w:val="nil"/>
              <w:right w:val="nil"/>
            </w:tcBorders>
            <w:shd w:val="clear" w:color="FFFFFF" w:fill="FFFFFF"/>
            <w:noWrap/>
            <w:vAlign w:val="bottom"/>
            <w:hideMark/>
          </w:tcPr>
          <w:p w14:paraId="059B1DDB" w14:textId="77777777" w:rsidR="00B040FE" w:rsidRDefault="00B040FE" w:rsidP="0047225D">
            <w:pPr>
              <w:spacing w:after="0"/>
              <w:ind w:firstLineChars="100" w:firstLine="180"/>
              <w:rPr>
                <w:rFonts w:cs="Arial"/>
                <w:sz w:val="18"/>
                <w:szCs w:val="18"/>
              </w:rPr>
            </w:pPr>
            <w:r>
              <w:rPr>
                <w:rFonts w:cs="Arial"/>
                <w:sz w:val="18"/>
                <w:szCs w:val="18"/>
              </w:rPr>
              <w:t>Suppliers</w:t>
            </w:r>
          </w:p>
        </w:tc>
        <w:tc>
          <w:tcPr>
            <w:tcW w:w="1406" w:type="dxa"/>
            <w:tcBorders>
              <w:top w:val="nil"/>
              <w:left w:val="nil"/>
              <w:bottom w:val="nil"/>
              <w:right w:val="nil"/>
            </w:tcBorders>
            <w:shd w:val="clear" w:color="FFFFFF" w:fill="FFFFFF"/>
            <w:noWrap/>
            <w:vAlign w:val="bottom"/>
            <w:hideMark/>
          </w:tcPr>
          <w:p w14:paraId="2AD50D70" w14:textId="77777777" w:rsidR="00B040FE" w:rsidRDefault="00B040FE" w:rsidP="0047225D">
            <w:pPr>
              <w:spacing w:after="0"/>
              <w:jc w:val="right"/>
              <w:rPr>
                <w:rFonts w:cs="Arial"/>
                <w:b/>
                <w:bCs/>
                <w:sz w:val="18"/>
                <w:szCs w:val="18"/>
              </w:rPr>
            </w:pPr>
            <w:r>
              <w:rPr>
                <w:rFonts w:cs="Arial"/>
                <w:b/>
                <w:bCs/>
                <w:sz w:val="18"/>
                <w:szCs w:val="18"/>
              </w:rPr>
              <w:t>914,519</w:t>
            </w:r>
          </w:p>
        </w:tc>
        <w:tc>
          <w:tcPr>
            <w:tcW w:w="236" w:type="dxa"/>
            <w:tcBorders>
              <w:top w:val="nil"/>
              <w:left w:val="nil"/>
              <w:bottom w:val="nil"/>
              <w:right w:val="nil"/>
            </w:tcBorders>
            <w:shd w:val="clear" w:color="FFFFFF" w:fill="FFFFFF"/>
            <w:noWrap/>
            <w:vAlign w:val="bottom"/>
            <w:hideMark/>
          </w:tcPr>
          <w:p w14:paraId="4A7141FA"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75FCE7D0" w14:textId="77777777" w:rsidR="00B040FE" w:rsidRDefault="00B040FE" w:rsidP="0047225D">
            <w:pPr>
              <w:spacing w:after="0"/>
              <w:jc w:val="right"/>
              <w:rPr>
                <w:rFonts w:cs="Arial"/>
                <w:sz w:val="18"/>
                <w:szCs w:val="18"/>
              </w:rPr>
            </w:pPr>
            <w:r>
              <w:rPr>
                <w:rFonts w:cs="Arial"/>
                <w:sz w:val="18"/>
                <w:szCs w:val="18"/>
              </w:rPr>
              <w:t>594,071</w:t>
            </w:r>
          </w:p>
        </w:tc>
      </w:tr>
      <w:tr w:rsidR="00B040FE" w14:paraId="158AFE23" w14:textId="77777777" w:rsidTr="005E5E0C">
        <w:trPr>
          <w:trHeight w:val="253"/>
        </w:trPr>
        <w:tc>
          <w:tcPr>
            <w:tcW w:w="6356" w:type="dxa"/>
            <w:tcBorders>
              <w:top w:val="nil"/>
              <w:left w:val="nil"/>
              <w:bottom w:val="nil"/>
              <w:right w:val="nil"/>
            </w:tcBorders>
            <w:shd w:val="clear" w:color="FFFFFF" w:fill="FFFFFF"/>
            <w:noWrap/>
            <w:vAlign w:val="bottom"/>
            <w:hideMark/>
          </w:tcPr>
          <w:p w14:paraId="3983A818" w14:textId="77777777" w:rsidR="00B040FE" w:rsidRDefault="00B040FE" w:rsidP="0047225D">
            <w:pPr>
              <w:spacing w:after="0"/>
              <w:ind w:firstLineChars="100" w:firstLine="180"/>
              <w:rPr>
                <w:rFonts w:cs="Arial"/>
                <w:sz w:val="18"/>
                <w:szCs w:val="18"/>
              </w:rPr>
            </w:pPr>
            <w:r>
              <w:rPr>
                <w:rFonts w:cs="Arial"/>
                <w:sz w:val="18"/>
                <w:szCs w:val="18"/>
              </w:rPr>
              <w:t>Other payables</w:t>
            </w:r>
          </w:p>
        </w:tc>
        <w:tc>
          <w:tcPr>
            <w:tcW w:w="1406" w:type="dxa"/>
            <w:tcBorders>
              <w:top w:val="nil"/>
              <w:left w:val="nil"/>
              <w:bottom w:val="nil"/>
              <w:right w:val="nil"/>
            </w:tcBorders>
            <w:shd w:val="clear" w:color="FFFFFF" w:fill="FFFFFF"/>
            <w:noWrap/>
            <w:vAlign w:val="bottom"/>
            <w:hideMark/>
          </w:tcPr>
          <w:p w14:paraId="0AD47817" w14:textId="77777777" w:rsidR="00B040FE" w:rsidRDefault="00B040FE" w:rsidP="0047225D">
            <w:pPr>
              <w:spacing w:after="0"/>
              <w:jc w:val="right"/>
              <w:rPr>
                <w:rFonts w:cs="Arial"/>
                <w:b/>
                <w:bCs/>
                <w:sz w:val="18"/>
                <w:szCs w:val="18"/>
              </w:rPr>
            </w:pPr>
            <w:r>
              <w:rPr>
                <w:rFonts w:cs="Arial"/>
                <w:b/>
                <w:bCs/>
                <w:sz w:val="18"/>
                <w:szCs w:val="18"/>
              </w:rPr>
              <w:t>21,037</w:t>
            </w:r>
          </w:p>
        </w:tc>
        <w:tc>
          <w:tcPr>
            <w:tcW w:w="236" w:type="dxa"/>
            <w:tcBorders>
              <w:top w:val="nil"/>
              <w:left w:val="nil"/>
              <w:bottom w:val="nil"/>
              <w:right w:val="nil"/>
            </w:tcBorders>
            <w:shd w:val="clear" w:color="FFFFFF" w:fill="FFFFFF"/>
            <w:noWrap/>
            <w:vAlign w:val="bottom"/>
            <w:hideMark/>
          </w:tcPr>
          <w:p w14:paraId="140FCCE5"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3D342C0F" w14:textId="77777777" w:rsidR="00B040FE" w:rsidRDefault="00B040FE" w:rsidP="0047225D">
            <w:pPr>
              <w:spacing w:after="0"/>
              <w:jc w:val="right"/>
              <w:rPr>
                <w:rFonts w:cs="Arial"/>
                <w:sz w:val="18"/>
                <w:szCs w:val="18"/>
              </w:rPr>
            </w:pPr>
            <w:r>
              <w:rPr>
                <w:rFonts w:cs="Arial"/>
                <w:sz w:val="18"/>
                <w:szCs w:val="18"/>
              </w:rPr>
              <w:t>14,410</w:t>
            </w:r>
          </w:p>
        </w:tc>
      </w:tr>
      <w:tr w:rsidR="00B040FE" w14:paraId="519E4092" w14:textId="77777777" w:rsidTr="005E5E0C">
        <w:trPr>
          <w:trHeight w:val="253"/>
        </w:trPr>
        <w:tc>
          <w:tcPr>
            <w:tcW w:w="6356" w:type="dxa"/>
            <w:tcBorders>
              <w:top w:val="nil"/>
              <w:left w:val="nil"/>
              <w:bottom w:val="nil"/>
              <w:right w:val="nil"/>
            </w:tcBorders>
            <w:shd w:val="clear" w:color="FFFFFF" w:fill="FFFFFF"/>
            <w:noWrap/>
            <w:vAlign w:val="bottom"/>
            <w:hideMark/>
          </w:tcPr>
          <w:p w14:paraId="10445185" w14:textId="77777777" w:rsidR="00B040FE" w:rsidRDefault="00B040FE" w:rsidP="0047225D">
            <w:pPr>
              <w:spacing w:after="0"/>
              <w:ind w:firstLineChars="100" w:firstLine="180"/>
              <w:rPr>
                <w:rFonts w:cs="Arial"/>
                <w:sz w:val="18"/>
                <w:szCs w:val="18"/>
              </w:rPr>
            </w:pPr>
            <w:r>
              <w:rPr>
                <w:rFonts w:cs="Arial"/>
                <w:sz w:val="18"/>
                <w:szCs w:val="18"/>
              </w:rPr>
              <w:t>Unearned revenue</w:t>
            </w:r>
          </w:p>
        </w:tc>
        <w:tc>
          <w:tcPr>
            <w:tcW w:w="1406" w:type="dxa"/>
            <w:tcBorders>
              <w:top w:val="nil"/>
              <w:left w:val="nil"/>
              <w:bottom w:val="nil"/>
              <w:right w:val="nil"/>
            </w:tcBorders>
            <w:shd w:val="clear" w:color="FFFFFF" w:fill="FFFFFF"/>
            <w:noWrap/>
            <w:vAlign w:val="bottom"/>
            <w:hideMark/>
          </w:tcPr>
          <w:p w14:paraId="27F815C3" w14:textId="77777777" w:rsidR="00B040FE" w:rsidRDefault="00B040FE" w:rsidP="0047225D">
            <w:pPr>
              <w:spacing w:after="0"/>
              <w:jc w:val="right"/>
              <w:rPr>
                <w:rFonts w:cs="Arial"/>
                <w:b/>
                <w:bCs/>
                <w:sz w:val="18"/>
                <w:szCs w:val="18"/>
              </w:rPr>
            </w:pPr>
            <w:r>
              <w:rPr>
                <w:rFonts w:cs="Arial"/>
                <w:b/>
                <w:bCs/>
                <w:sz w:val="18"/>
                <w:szCs w:val="18"/>
              </w:rPr>
              <w:t>413,969</w:t>
            </w:r>
          </w:p>
        </w:tc>
        <w:tc>
          <w:tcPr>
            <w:tcW w:w="236" w:type="dxa"/>
            <w:tcBorders>
              <w:top w:val="nil"/>
              <w:left w:val="nil"/>
              <w:bottom w:val="nil"/>
              <w:right w:val="nil"/>
            </w:tcBorders>
            <w:shd w:val="clear" w:color="FFFFFF" w:fill="FFFFFF"/>
            <w:noWrap/>
            <w:vAlign w:val="bottom"/>
            <w:hideMark/>
          </w:tcPr>
          <w:p w14:paraId="7367A763"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6A8D8117" w14:textId="77777777" w:rsidR="00B040FE" w:rsidRDefault="00B040FE" w:rsidP="0047225D">
            <w:pPr>
              <w:spacing w:after="0"/>
              <w:jc w:val="right"/>
              <w:rPr>
                <w:rFonts w:cs="Arial"/>
                <w:sz w:val="18"/>
                <w:szCs w:val="18"/>
              </w:rPr>
            </w:pPr>
            <w:r>
              <w:rPr>
                <w:rFonts w:cs="Arial"/>
                <w:sz w:val="18"/>
                <w:szCs w:val="18"/>
              </w:rPr>
              <w:t>506,442</w:t>
            </w:r>
          </w:p>
        </w:tc>
      </w:tr>
      <w:tr w:rsidR="00B040FE" w14:paraId="01A65B1B" w14:textId="77777777" w:rsidTr="005E5E0C">
        <w:trPr>
          <w:trHeight w:val="253"/>
        </w:trPr>
        <w:tc>
          <w:tcPr>
            <w:tcW w:w="6356" w:type="dxa"/>
            <w:tcBorders>
              <w:top w:val="nil"/>
              <w:left w:val="nil"/>
              <w:bottom w:val="nil"/>
              <w:right w:val="nil"/>
            </w:tcBorders>
            <w:shd w:val="clear" w:color="FFFFFF" w:fill="FFFFFF"/>
            <w:noWrap/>
            <w:vAlign w:val="bottom"/>
            <w:hideMark/>
          </w:tcPr>
          <w:p w14:paraId="3F200C7D" w14:textId="77777777" w:rsidR="00B040FE" w:rsidRDefault="00B040FE" w:rsidP="0047225D">
            <w:pPr>
              <w:spacing w:after="0"/>
              <w:ind w:firstLineChars="100" w:firstLine="180"/>
              <w:rPr>
                <w:rFonts w:cs="Arial"/>
                <w:sz w:val="18"/>
                <w:szCs w:val="18"/>
              </w:rPr>
            </w:pPr>
            <w:r>
              <w:rPr>
                <w:rFonts w:cs="Arial"/>
                <w:sz w:val="18"/>
                <w:szCs w:val="18"/>
              </w:rPr>
              <w:t>Leases</w:t>
            </w:r>
          </w:p>
        </w:tc>
        <w:tc>
          <w:tcPr>
            <w:tcW w:w="1406" w:type="dxa"/>
            <w:tcBorders>
              <w:top w:val="nil"/>
              <w:left w:val="nil"/>
              <w:bottom w:val="nil"/>
              <w:right w:val="nil"/>
            </w:tcBorders>
            <w:shd w:val="clear" w:color="FFFFFF" w:fill="FFFFFF"/>
            <w:noWrap/>
            <w:vAlign w:val="bottom"/>
            <w:hideMark/>
          </w:tcPr>
          <w:p w14:paraId="4B8BDD05" w14:textId="77777777" w:rsidR="00B040FE" w:rsidRDefault="00B040FE" w:rsidP="0047225D">
            <w:pPr>
              <w:spacing w:after="0"/>
              <w:jc w:val="right"/>
              <w:rPr>
                <w:rFonts w:cs="Arial"/>
                <w:b/>
                <w:bCs/>
                <w:sz w:val="18"/>
                <w:szCs w:val="18"/>
              </w:rPr>
            </w:pPr>
            <w:r>
              <w:rPr>
                <w:rFonts w:cs="Arial"/>
                <w:b/>
                <w:bCs/>
                <w:sz w:val="18"/>
                <w:szCs w:val="18"/>
              </w:rPr>
              <w:t>30,827</w:t>
            </w:r>
          </w:p>
        </w:tc>
        <w:tc>
          <w:tcPr>
            <w:tcW w:w="236" w:type="dxa"/>
            <w:tcBorders>
              <w:top w:val="nil"/>
              <w:left w:val="nil"/>
              <w:bottom w:val="nil"/>
              <w:right w:val="nil"/>
            </w:tcBorders>
            <w:shd w:val="clear" w:color="FFFFFF" w:fill="FFFFFF"/>
            <w:noWrap/>
            <w:vAlign w:val="bottom"/>
            <w:hideMark/>
          </w:tcPr>
          <w:p w14:paraId="4FAAD8D7"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684D89A5" w14:textId="77777777" w:rsidR="00B040FE" w:rsidRDefault="00B040FE" w:rsidP="0047225D">
            <w:pPr>
              <w:spacing w:after="0"/>
              <w:jc w:val="right"/>
              <w:rPr>
                <w:rFonts w:cs="Arial"/>
                <w:sz w:val="18"/>
                <w:szCs w:val="18"/>
              </w:rPr>
            </w:pPr>
            <w:r>
              <w:rPr>
                <w:rFonts w:cs="Arial"/>
                <w:sz w:val="18"/>
                <w:szCs w:val="18"/>
              </w:rPr>
              <w:t>30,048</w:t>
            </w:r>
          </w:p>
        </w:tc>
      </w:tr>
      <w:tr w:rsidR="00B040FE" w14:paraId="59F66988" w14:textId="77777777" w:rsidTr="005E5E0C">
        <w:trPr>
          <w:trHeight w:val="253"/>
        </w:trPr>
        <w:tc>
          <w:tcPr>
            <w:tcW w:w="6356" w:type="dxa"/>
            <w:tcBorders>
              <w:top w:val="nil"/>
              <w:left w:val="nil"/>
              <w:bottom w:val="nil"/>
              <w:right w:val="nil"/>
            </w:tcBorders>
            <w:shd w:val="clear" w:color="FFFFFF" w:fill="FFFFFF"/>
            <w:noWrap/>
            <w:vAlign w:val="bottom"/>
            <w:hideMark/>
          </w:tcPr>
          <w:p w14:paraId="6601DE51" w14:textId="77777777" w:rsidR="00B040FE" w:rsidRDefault="00B040FE" w:rsidP="0047225D">
            <w:pPr>
              <w:spacing w:after="0"/>
              <w:ind w:firstLineChars="100" w:firstLine="180"/>
              <w:rPr>
                <w:rFonts w:cs="Arial"/>
                <w:sz w:val="18"/>
                <w:szCs w:val="18"/>
              </w:rPr>
            </w:pPr>
            <w:r>
              <w:rPr>
                <w:rFonts w:cs="Arial"/>
                <w:sz w:val="18"/>
                <w:szCs w:val="18"/>
              </w:rPr>
              <w:t>Employee provisions</w:t>
            </w:r>
          </w:p>
        </w:tc>
        <w:tc>
          <w:tcPr>
            <w:tcW w:w="1406" w:type="dxa"/>
            <w:tcBorders>
              <w:top w:val="nil"/>
              <w:left w:val="nil"/>
              <w:bottom w:val="nil"/>
              <w:right w:val="nil"/>
            </w:tcBorders>
            <w:shd w:val="clear" w:color="FFFFFF" w:fill="FFFFFF"/>
            <w:noWrap/>
            <w:vAlign w:val="bottom"/>
            <w:hideMark/>
          </w:tcPr>
          <w:p w14:paraId="70BABC84" w14:textId="77777777" w:rsidR="00B040FE" w:rsidRDefault="00B040FE" w:rsidP="0047225D">
            <w:pPr>
              <w:spacing w:after="0"/>
              <w:jc w:val="right"/>
              <w:rPr>
                <w:rFonts w:cs="Arial"/>
                <w:b/>
                <w:bCs/>
                <w:sz w:val="18"/>
                <w:szCs w:val="18"/>
              </w:rPr>
            </w:pPr>
            <w:r>
              <w:rPr>
                <w:rFonts w:cs="Arial"/>
                <w:b/>
                <w:bCs/>
                <w:sz w:val="18"/>
                <w:szCs w:val="18"/>
              </w:rPr>
              <w:t>41,553</w:t>
            </w:r>
          </w:p>
        </w:tc>
        <w:tc>
          <w:tcPr>
            <w:tcW w:w="236" w:type="dxa"/>
            <w:tcBorders>
              <w:top w:val="nil"/>
              <w:left w:val="nil"/>
              <w:bottom w:val="nil"/>
              <w:right w:val="nil"/>
            </w:tcBorders>
            <w:shd w:val="clear" w:color="FFFFFF" w:fill="FFFFFF"/>
            <w:noWrap/>
            <w:vAlign w:val="bottom"/>
            <w:hideMark/>
          </w:tcPr>
          <w:p w14:paraId="46DEF942"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730D22A1" w14:textId="77777777" w:rsidR="00B040FE" w:rsidRDefault="00B040FE" w:rsidP="0047225D">
            <w:pPr>
              <w:spacing w:after="0"/>
              <w:jc w:val="right"/>
              <w:rPr>
                <w:rFonts w:cs="Arial"/>
                <w:sz w:val="18"/>
                <w:szCs w:val="18"/>
              </w:rPr>
            </w:pPr>
            <w:r>
              <w:rPr>
                <w:rFonts w:cs="Arial"/>
                <w:sz w:val="18"/>
                <w:szCs w:val="18"/>
              </w:rPr>
              <w:t>31,553</w:t>
            </w:r>
          </w:p>
        </w:tc>
      </w:tr>
      <w:tr w:rsidR="00B040FE" w14:paraId="47BB5C08" w14:textId="77777777" w:rsidTr="005E5E0C">
        <w:trPr>
          <w:trHeight w:val="253"/>
        </w:trPr>
        <w:tc>
          <w:tcPr>
            <w:tcW w:w="6356" w:type="dxa"/>
            <w:tcBorders>
              <w:top w:val="nil"/>
              <w:left w:val="nil"/>
              <w:bottom w:val="nil"/>
              <w:right w:val="nil"/>
            </w:tcBorders>
            <w:shd w:val="clear" w:color="FFFFFF" w:fill="FFFFFF"/>
            <w:noWrap/>
            <w:vAlign w:val="bottom"/>
            <w:hideMark/>
          </w:tcPr>
          <w:p w14:paraId="5D3B67BD" w14:textId="77777777" w:rsidR="00B040FE" w:rsidRDefault="00B040FE" w:rsidP="0047225D">
            <w:pPr>
              <w:spacing w:after="0"/>
              <w:ind w:firstLineChars="100" w:firstLine="180"/>
              <w:rPr>
                <w:rFonts w:cs="Arial"/>
                <w:sz w:val="18"/>
                <w:szCs w:val="18"/>
              </w:rPr>
            </w:pPr>
            <w:r>
              <w:rPr>
                <w:rFonts w:cs="Arial"/>
                <w:sz w:val="18"/>
                <w:szCs w:val="18"/>
              </w:rPr>
              <w:t>Participant plan provisions</w:t>
            </w:r>
          </w:p>
        </w:tc>
        <w:tc>
          <w:tcPr>
            <w:tcW w:w="1406" w:type="dxa"/>
            <w:tcBorders>
              <w:top w:val="nil"/>
              <w:left w:val="nil"/>
              <w:bottom w:val="nil"/>
              <w:right w:val="nil"/>
            </w:tcBorders>
            <w:shd w:val="clear" w:color="FFFFFF" w:fill="FFFFFF"/>
            <w:noWrap/>
            <w:vAlign w:val="bottom"/>
            <w:hideMark/>
          </w:tcPr>
          <w:p w14:paraId="4B0795A0" w14:textId="77777777" w:rsidR="00B040FE" w:rsidRDefault="00B040FE" w:rsidP="0047225D">
            <w:pPr>
              <w:spacing w:after="0"/>
              <w:jc w:val="right"/>
              <w:rPr>
                <w:rFonts w:cs="Arial"/>
                <w:b/>
                <w:bCs/>
                <w:sz w:val="18"/>
                <w:szCs w:val="18"/>
              </w:rPr>
            </w:pPr>
            <w:r>
              <w:rPr>
                <w:rFonts w:cs="Arial"/>
                <w:b/>
                <w:bCs/>
                <w:sz w:val="18"/>
                <w:szCs w:val="18"/>
              </w:rPr>
              <w:t>1,998,439</w:t>
            </w:r>
          </w:p>
        </w:tc>
        <w:tc>
          <w:tcPr>
            <w:tcW w:w="236" w:type="dxa"/>
            <w:tcBorders>
              <w:top w:val="nil"/>
              <w:left w:val="nil"/>
              <w:bottom w:val="nil"/>
              <w:right w:val="nil"/>
            </w:tcBorders>
            <w:shd w:val="clear" w:color="FFFFFF" w:fill="FFFFFF"/>
            <w:noWrap/>
            <w:vAlign w:val="bottom"/>
            <w:hideMark/>
          </w:tcPr>
          <w:p w14:paraId="7D03FE67"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1D43A91C" w14:textId="77777777" w:rsidR="00B040FE" w:rsidRDefault="00B040FE" w:rsidP="0047225D">
            <w:pPr>
              <w:spacing w:after="0"/>
              <w:jc w:val="right"/>
              <w:rPr>
                <w:rFonts w:cs="Arial"/>
                <w:sz w:val="18"/>
                <w:szCs w:val="18"/>
              </w:rPr>
            </w:pPr>
            <w:r>
              <w:rPr>
                <w:rFonts w:cs="Arial"/>
                <w:sz w:val="18"/>
                <w:szCs w:val="18"/>
              </w:rPr>
              <w:t>1,880,519</w:t>
            </w:r>
          </w:p>
        </w:tc>
      </w:tr>
      <w:tr w:rsidR="00B040FE" w14:paraId="3E5904DF" w14:textId="77777777" w:rsidTr="005E5E0C">
        <w:trPr>
          <w:trHeight w:val="253"/>
        </w:trPr>
        <w:tc>
          <w:tcPr>
            <w:tcW w:w="6356" w:type="dxa"/>
            <w:tcBorders>
              <w:top w:val="nil"/>
              <w:left w:val="nil"/>
              <w:bottom w:val="nil"/>
              <w:right w:val="nil"/>
            </w:tcBorders>
            <w:shd w:val="clear" w:color="FFFFFF" w:fill="FFFFFF"/>
            <w:noWrap/>
            <w:vAlign w:val="bottom"/>
            <w:hideMark/>
          </w:tcPr>
          <w:p w14:paraId="79C675F8" w14:textId="77777777" w:rsidR="00B040FE" w:rsidRDefault="00B040FE" w:rsidP="0047225D">
            <w:pPr>
              <w:spacing w:after="0"/>
              <w:ind w:firstLineChars="100" w:firstLine="180"/>
              <w:rPr>
                <w:rFonts w:cs="Arial"/>
                <w:sz w:val="18"/>
                <w:szCs w:val="18"/>
              </w:rPr>
            </w:pPr>
            <w:r>
              <w:rPr>
                <w:rFonts w:cs="Arial"/>
                <w:sz w:val="18"/>
                <w:szCs w:val="18"/>
              </w:rPr>
              <w:t>Provision for provider additional costs</w:t>
            </w:r>
          </w:p>
        </w:tc>
        <w:tc>
          <w:tcPr>
            <w:tcW w:w="1406" w:type="dxa"/>
            <w:tcBorders>
              <w:top w:val="nil"/>
              <w:left w:val="nil"/>
              <w:bottom w:val="nil"/>
              <w:right w:val="nil"/>
            </w:tcBorders>
            <w:shd w:val="clear" w:color="FFFFFF" w:fill="FFFFFF"/>
            <w:noWrap/>
            <w:vAlign w:val="bottom"/>
            <w:hideMark/>
          </w:tcPr>
          <w:p w14:paraId="4DA8ADD8" w14:textId="77777777" w:rsidR="00B040FE" w:rsidRDefault="00B040FE" w:rsidP="0047225D">
            <w:pPr>
              <w:spacing w:after="0"/>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5B220FF5"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44CB17B3" w14:textId="77777777" w:rsidR="00B040FE" w:rsidRDefault="00B040FE" w:rsidP="0047225D">
            <w:pPr>
              <w:spacing w:after="0"/>
              <w:jc w:val="right"/>
              <w:rPr>
                <w:rFonts w:cs="Arial"/>
                <w:sz w:val="18"/>
                <w:szCs w:val="18"/>
              </w:rPr>
            </w:pPr>
            <w:r>
              <w:rPr>
                <w:rFonts w:cs="Arial"/>
                <w:sz w:val="18"/>
                <w:szCs w:val="18"/>
              </w:rPr>
              <w:t xml:space="preserve"> -</w:t>
            </w:r>
          </w:p>
        </w:tc>
      </w:tr>
      <w:tr w:rsidR="00B040FE" w14:paraId="4CC21B1B" w14:textId="77777777" w:rsidTr="005E5E0C">
        <w:trPr>
          <w:trHeight w:val="253"/>
        </w:trPr>
        <w:tc>
          <w:tcPr>
            <w:tcW w:w="6356" w:type="dxa"/>
            <w:tcBorders>
              <w:top w:val="nil"/>
              <w:left w:val="nil"/>
              <w:bottom w:val="nil"/>
              <w:right w:val="nil"/>
            </w:tcBorders>
            <w:shd w:val="clear" w:color="FFFFFF" w:fill="FFFFFF"/>
            <w:noWrap/>
            <w:vAlign w:val="bottom"/>
            <w:hideMark/>
          </w:tcPr>
          <w:p w14:paraId="781CA67D" w14:textId="77777777" w:rsidR="00B040FE" w:rsidRDefault="00B040FE" w:rsidP="0047225D">
            <w:pPr>
              <w:spacing w:after="0"/>
              <w:ind w:firstLineChars="100" w:firstLine="180"/>
              <w:rPr>
                <w:rFonts w:cs="Arial"/>
                <w:sz w:val="18"/>
                <w:szCs w:val="18"/>
              </w:rPr>
            </w:pPr>
            <w:r>
              <w:rPr>
                <w:rFonts w:cs="Arial"/>
                <w:sz w:val="18"/>
                <w:szCs w:val="18"/>
              </w:rPr>
              <w:t>Provision for restoration obligations</w:t>
            </w:r>
          </w:p>
        </w:tc>
        <w:tc>
          <w:tcPr>
            <w:tcW w:w="1406" w:type="dxa"/>
            <w:tcBorders>
              <w:top w:val="nil"/>
              <w:left w:val="nil"/>
              <w:bottom w:val="nil"/>
              <w:right w:val="nil"/>
            </w:tcBorders>
            <w:shd w:val="clear" w:color="FFFFFF" w:fill="FFFFFF"/>
            <w:noWrap/>
            <w:vAlign w:val="bottom"/>
            <w:hideMark/>
          </w:tcPr>
          <w:p w14:paraId="7E2C148C" w14:textId="77777777" w:rsidR="00B040FE" w:rsidRDefault="00B040FE" w:rsidP="0047225D">
            <w:pPr>
              <w:spacing w:after="0"/>
              <w:jc w:val="right"/>
              <w:rPr>
                <w:rFonts w:cs="Arial"/>
                <w:b/>
                <w:bCs/>
                <w:sz w:val="18"/>
                <w:szCs w:val="18"/>
              </w:rPr>
            </w:pPr>
            <w:r>
              <w:rPr>
                <w:rFonts w:cs="Arial"/>
                <w:b/>
                <w:bCs/>
                <w:sz w:val="18"/>
                <w:szCs w:val="18"/>
              </w:rPr>
              <w:t>2,488</w:t>
            </w:r>
          </w:p>
        </w:tc>
        <w:tc>
          <w:tcPr>
            <w:tcW w:w="236" w:type="dxa"/>
            <w:tcBorders>
              <w:top w:val="nil"/>
              <w:left w:val="nil"/>
              <w:bottom w:val="nil"/>
              <w:right w:val="nil"/>
            </w:tcBorders>
            <w:shd w:val="clear" w:color="FFFFFF" w:fill="FFFFFF"/>
            <w:noWrap/>
            <w:vAlign w:val="bottom"/>
            <w:hideMark/>
          </w:tcPr>
          <w:p w14:paraId="7C1D4AE6"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0ACF4621" w14:textId="77777777" w:rsidR="00B040FE" w:rsidRDefault="00B040FE" w:rsidP="0047225D">
            <w:pPr>
              <w:spacing w:after="0"/>
              <w:jc w:val="right"/>
              <w:rPr>
                <w:rFonts w:cs="Arial"/>
                <w:sz w:val="18"/>
                <w:szCs w:val="18"/>
              </w:rPr>
            </w:pPr>
            <w:r>
              <w:rPr>
                <w:rFonts w:cs="Arial"/>
                <w:sz w:val="18"/>
                <w:szCs w:val="18"/>
              </w:rPr>
              <w:t>1,607</w:t>
            </w:r>
          </w:p>
        </w:tc>
      </w:tr>
      <w:tr w:rsidR="00B040FE" w14:paraId="3DF406A1" w14:textId="77777777" w:rsidTr="005E5E0C">
        <w:trPr>
          <w:trHeight w:val="253"/>
        </w:trPr>
        <w:tc>
          <w:tcPr>
            <w:tcW w:w="6356" w:type="dxa"/>
            <w:tcBorders>
              <w:top w:val="nil"/>
              <w:left w:val="nil"/>
              <w:bottom w:val="nil"/>
              <w:right w:val="nil"/>
            </w:tcBorders>
            <w:shd w:val="clear" w:color="FFFFFF" w:fill="FFFFFF"/>
            <w:vAlign w:val="bottom"/>
            <w:hideMark/>
          </w:tcPr>
          <w:p w14:paraId="4D96C0B6" w14:textId="77777777" w:rsidR="00B040FE" w:rsidRDefault="00B040FE" w:rsidP="0047225D">
            <w:pPr>
              <w:spacing w:after="0"/>
              <w:rPr>
                <w:rFonts w:cs="Arial"/>
                <w:b/>
                <w:bCs/>
                <w:sz w:val="18"/>
                <w:szCs w:val="18"/>
              </w:rPr>
            </w:pPr>
            <w:r>
              <w:rPr>
                <w:rFonts w:cs="Arial"/>
                <w:b/>
                <w:bCs/>
                <w:sz w:val="18"/>
                <w:szCs w:val="18"/>
              </w:rPr>
              <w:t>Total no more than 12 months</w:t>
            </w:r>
          </w:p>
        </w:tc>
        <w:tc>
          <w:tcPr>
            <w:tcW w:w="1406" w:type="dxa"/>
            <w:tcBorders>
              <w:top w:val="single" w:sz="4" w:space="0" w:color="auto"/>
              <w:left w:val="nil"/>
              <w:bottom w:val="single" w:sz="4" w:space="0" w:color="auto"/>
              <w:right w:val="nil"/>
            </w:tcBorders>
            <w:shd w:val="clear" w:color="FFFFFF" w:fill="FFFFFF"/>
            <w:noWrap/>
            <w:vAlign w:val="bottom"/>
            <w:hideMark/>
          </w:tcPr>
          <w:p w14:paraId="2B6BE128" w14:textId="77777777" w:rsidR="00B040FE" w:rsidRDefault="00B040FE" w:rsidP="0047225D">
            <w:pPr>
              <w:spacing w:after="0"/>
              <w:jc w:val="right"/>
              <w:rPr>
                <w:rFonts w:cs="Arial"/>
                <w:b/>
                <w:bCs/>
                <w:sz w:val="18"/>
                <w:szCs w:val="18"/>
              </w:rPr>
            </w:pPr>
            <w:r>
              <w:rPr>
                <w:rFonts w:cs="Arial"/>
                <w:b/>
                <w:bCs/>
                <w:sz w:val="18"/>
                <w:szCs w:val="18"/>
              </w:rPr>
              <w:t>3,422,832</w:t>
            </w:r>
          </w:p>
        </w:tc>
        <w:tc>
          <w:tcPr>
            <w:tcW w:w="236" w:type="dxa"/>
            <w:tcBorders>
              <w:top w:val="nil"/>
              <w:left w:val="nil"/>
              <w:bottom w:val="nil"/>
              <w:right w:val="nil"/>
            </w:tcBorders>
            <w:shd w:val="clear" w:color="FFFFFF" w:fill="FFFFFF"/>
            <w:noWrap/>
            <w:vAlign w:val="bottom"/>
            <w:hideMark/>
          </w:tcPr>
          <w:p w14:paraId="64A9899B" w14:textId="77777777" w:rsidR="00B040FE" w:rsidRDefault="00B040FE" w:rsidP="0047225D">
            <w:pPr>
              <w:spacing w:after="0"/>
              <w:rPr>
                <w:rFonts w:cs="Arial"/>
                <w:sz w:val="18"/>
                <w:szCs w:val="18"/>
              </w:rPr>
            </w:pPr>
            <w:r>
              <w:rPr>
                <w:rFonts w:cs="Arial"/>
                <w:sz w:val="18"/>
                <w:szCs w:val="18"/>
              </w:rPr>
              <w:t> </w:t>
            </w:r>
          </w:p>
        </w:tc>
        <w:tc>
          <w:tcPr>
            <w:tcW w:w="1089" w:type="dxa"/>
            <w:tcBorders>
              <w:top w:val="single" w:sz="4" w:space="0" w:color="auto"/>
              <w:left w:val="nil"/>
              <w:bottom w:val="single" w:sz="4" w:space="0" w:color="auto"/>
              <w:right w:val="nil"/>
            </w:tcBorders>
            <w:shd w:val="clear" w:color="FFFFFF" w:fill="FFFFFF"/>
            <w:noWrap/>
            <w:vAlign w:val="bottom"/>
            <w:hideMark/>
          </w:tcPr>
          <w:p w14:paraId="5710E37D" w14:textId="77777777" w:rsidR="00B040FE" w:rsidRDefault="00B040FE" w:rsidP="0047225D">
            <w:pPr>
              <w:spacing w:after="0"/>
              <w:jc w:val="right"/>
              <w:rPr>
                <w:rFonts w:cs="Arial"/>
                <w:sz w:val="18"/>
                <w:szCs w:val="18"/>
              </w:rPr>
            </w:pPr>
            <w:r>
              <w:rPr>
                <w:rFonts w:cs="Arial"/>
                <w:sz w:val="18"/>
                <w:szCs w:val="18"/>
              </w:rPr>
              <w:t>3,058,650</w:t>
            </w:r>
          </w:p>
        </w:tc>
      </w:tr>
      <w:tr w:rsidR="00B040FE" w14:paraId="4ED4B245" w14:textId="77777777" w:rsidTr="005E5E0C">
        <w:trPr>
          <w:trHeight w:val="253"/>
        </w:trPr>
        <w:tc>
          <w:tcPr>
            <w:tcW w:w="6356" w:type="dxa"/>
            <w:tcBorders>
              <w:top w:val="nil"/>
              <w:left w:val="nil"/>
              <w:bottom w:val="nil"/>
              <w:right w:val="nil"/>
            </w:tcBorders>
            <w:shd w:val="clear" w:color="FFFFFF" w:fill="FFFFFF"/>
            <w:vAlign w:val="bottom"/>
            <w:hideMark/>
          </w:tcPr>
          <w:p w14:paraId="55AF2E9F" w14:textId="77777777" w:rsidR="00B040FE" w:rsidRDefault="00B040FE" w:rsidP="0047225D">
            <w:pPr>
              <w:spacing w:after="0"/>
              <w:rPr>
                <w:rFonts w:cs="Arial"/>
                <w:b/>
                <w:bCs/>
                <w:sz w:val="18"/>
                <w:szCs w:val="18"/>
              </w:rPr>
            </w:pPr>
            <w:r>
              <w:rPr>
                <w:rFonts w:cs="Arial"/>
                <w:b/>
                <w:bCs/>
                <w:sz w:val="18"/>
                <w:szCs w:val="18"/>
              </w:rPr>
              <w:t> </w:t>
            </w:r>
          </w:p>
        </w:tc>
        <w:tc>
          <w:tcPr>
            <w:tcW w:w="1406" w:type="dxa"/>
            <w:tcBorders>
              <w:top w:val="nil"/>
              <w:left w:val="nil"/>
              <w:bottom w:val="nil"/>
              <w:right w:val="nil"/>
            </w:tcBorders>
            <w:shd w:val="clear" w:color="FFFFFF" w:fill="FFFFFF"/>
            <w:vAlign w:val="bottom"/>
            <w:hideMark/>
          </w:tcPr>
          <w:p w14:paraId="3C9C6553" w14:textId="77777777" w:rsidR="00B040FE" w:rsidRDefault="00B040FE" w:rsidP="0047225D">
            <w:pPr>
              <w:spacing w:after="0"/>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6E7F9A4"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vAlign w:val="bottom"/>
            <w:hideMark/>
          </w:tcPr>
          <w:p w14:paraId="1C60F647" w14:textId="77777777" w:rsidR="00B040FE" w:rsidRDefault="00B040FE" w:rsidP="0047225D">
            <w:pPr>
              <w:spacing w:after="0"/>
              <w:rPr>
                <w:rFonts w:cs="Arial"/>
                <w:b/>
                <w:bCs/>
                <w:sz w:val="18"/>
                <w:szCs w:val="18"/>
              </w:rPr>
            </w:pPr>
            <w:r>
              <w:rPr>
                <w:rFonts w:cs="Arial"/>
                <w:b/>
                <w:bCs/>
                <w:sz w:val="18"/>
                <w:szCs w:val="18"/>
              </w:rPr>
              <w:t> </w:t>
            </w:r>
          </w:p>
        </w:tc>
      </w:tr>
      <w:tr w:rsidR="00B040FE" w14:paraId="7751FD9F" w14:textId="77777777" w:rsidTr="005E5E0C">
        <w:trPr>
          <w:trHeight w:val="253"/>
        </w:trPr>
        <w:tc>
          <w:tcPr>
            <w:tcW w:w="6356" w:type="dxa"/>
            <w:tcBorders>
              <w:top w:val="nil"/>
              <w:left w:val="nil"/>
              <w:bottom w:val="nil"/>
              <w:right w:val="nil"/>
            </w:tcBorders>
            <w:shd w:val="clear" w:color="FFFFFF" w:fill="FFFFFF"/>
            <w:vAlign w:val="bottom"/>
            <w:hideMark/>
          </w:tcPr>
          <w:p w14:paraId="50C7EEE9" w14:textId="77777777" w:rsidR="00B040FE" w:rsidRDefault="00B040FE" w:rsidP="0047225D">
            <w:pPr>
              <w:spacing w:after="0"/>
              <w:rPr>
                <w:rFonts w:cs="Arial"/>
                <w:b/>
                <w:bCs/>
                <w:sz w:val="18"/>
                <w:szCs w:val="18"/>
              </w:rPr>
            </w:pPr>
            <w:r>
              <w:rPr>
                <w:rFonts w:cs="Arial"/>
                <w:b/>
                <w:bCs/>
                <w:sz w:val="18"/>
                <w:szCs w:val="18"/>
              </w:rPr>
              <w:t>More than 12 months</w:t>
            </w:r>
          </w:p>
        </w:tc>
        <w:tc>
          <w:tcPr>
            <w:tcW w:w="1406" w:type="dxa"/>
            <w:tcBorders>
              <w:top w:val="nil"/>
              <w:left w:val="nil"/>
              <w:bottom w:val="nil"/>
              <w:right w:val="nil"/>
            </w:tcBorders>
            <w:shd w:val="clear" w:color="FFFFFF" w:fill="FFFFFF"/>
            <w:vAlign w:val="bottom"/>
            <w:hideMark/>
          </w:tcPr>
          <w:p w14:paraId="2125456D" w14:textId="77777777" w:rsidR="00B040FE" w:rsidRDefault="00B040FE" w:rsidP="0047225D">
            <w:pPr>
              <w:spacing w:after="0"/>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DE525D7"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vAlign w:val="bottom"/>
            <w:hideMark/>
          </w:tcPr>
          <w:p w14:paraId="4AE96845" w14:textId="77777777" w:rsidR="00B040FE" w:rsidRDefault="00B040FE" w:rsidP="0047225D">
            <w:pPr>
              <w:spacing w:after="0"/>
              <w:rPr>
                <w:rFonts w:cs="Arial"/>
                <w:b/>
                <w:bCs/>
                <w:sz w:val="18"/>
                <w:szCs w:val="18"/>
              </w:rPr>
            </w:pPr>
            <w:r>
              <w:rPr>
                <w:rFonts w:cs="Arial"/>
                <w:b/>
                <w:bCs/>
                <w:sz w:val="18"/>
                <w:szCs w:val="18"/>
              </w:rPr>
              <w:t> </w:t>
            </w:r>
          </w:p>
        </w:tc>
      </w:tr>
      <w:tr w:rsidR="00B040FE" w14:paraId="71308B17" w14:textId="77777777" w:rsidTr="005E5E0C">
        <w:trPr>
          <w:trHeight w:val="253"/>
        </w:trPr>
        <w:tc>
          <w:tcPr>
            <w:tcW w:w="6356" w:type="dxa"/>
            <w:tcBorders>
              <w:top w:val="nil"/>
              <w:left w:val="nil"/>
              <w:bottom w:val="nil"/>
              <w:right w:val="nil"/>
            </w:tcBorders>
            <w:shd w:val="clear" w:color="FFFFFF" w:fill="FFFFFF"/>
            <w:noWrap/>
            <w:vAlign w:val="bottom"/>
            <w:hideMark/>
          </w:tcPr>
          <w:p w14:paraId="1F7BC5CF" w14:textId="77777777" w:rsidR="00B040FE" w:rsidRDefault="00B040FE" w:rsidP="0047225D">
            <w:pPr>
              <w:spacing w:after="0"/>
              <w:ind w:firstLineChars="100" w:firstLine="180"/>
              <w:rPr>
                <w:rFonts w:cs="Arial"/>
                <w:sz w:val="18"/>
                <w:szCs w:val="18"/>
              </w:rPr>
            </w:pPr>
            <w:r>
              <w:rPr>
                <w:rFonts w:cs="Arial"/>
                <w:sz w:val="18"/>
                <w:szCs w:val="18"/>
              </w:rPr>
              <w:t>Leases</w:t>
            </w:r>
          </w:p>
        </w:tc>
        <w:tc>
          <w:tcPr>
            <w:tcW w:w="1406" w:type="dxa"/>
            <w:tcBorders>
              <w:top w:val="nil"/>
              <w:left w:val="nil"/>
              <w:bottom w:val="nil"/>
              <w:right w:val="nil"/>
            </w:tcBorders>
            <w:shd w:val="clear" w:color="FFFFFF" w:fill="FFFFFF"/>
            <w:noWrap/>
            <w:vAlign w:val="bottom"/>
            <w:hideMark/>
          </w:tcPr>
          <w:p w14:paraId="6A605237" w14:textId="77777777" w:rsidR="00B040FE" w:rsidRDefault="00B040FE" w:rsidP="0047225D">
            <w:pPr>
              <w:spacing w:after="0"/>
              <w:jc w:val="right"/>
              <w:rPr>
                <w:rFonts w:cs="Arial"/>
                <w:b/>
                <w:bCs/>
                <w:sz w:val="18"/>
                <w:szCs w:val="18"/>
              </w:rPr>
            </w:pPr>
            <w:r>
              <w:rPr>
                <w:rFonts w:cs="Arial"/>
                <w:b/>
                <w:bCs/>
                <w:sz w:val="18"/>
                <w:szCs w:val="18"/>
              </w:rPr>
              <w:t>135,832</w:t>
            </w:r>
          </w:p>
        </w:tc>
        <w:tc>
          <w:tcPr>
            <w:tcW w:w="236" w:type="dxa"/>
            <w:tcBorders>
              <w:top w:val="nil"/>
              <w:left w:val="nil"/>
              <w:bottom w:val="nil"/>
              <w:right w:val="nil"/>
            </w:tcBorders>
            <w:shd w:val="clear" w:color="FFFFFF" w:fill="FFFFFF"/>
            <w:noWrap/>
            <w:vAlign w:val="bottom"/>
            <w:hideMark/>
          </w:tcPr>
          <w:p w14:paraId="0C3EF4C8"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6641463D" w14:textId="77777777" w:rsidR="00B040FE" w:rsidRDefault="00B040FE" w:rsidP="0047225D">
            <w:pPr>
              <w:spacing w:after="0"/>
              <w:jc w:val="right"/>
              <w:rPr>
                <w:rFonts w:cs="Arial"/>
                <w:sz w:val="18"/>
                <w:szCs w:val="18"/>
              </w:rPr>
            </w:pPr>
            <w:r>
              <w:rPr>
                <w:rFonts w:cs="Arial"/>
                <w:sz w:val="18"/>
                <w:szCs w:val="18"/>
              </w:rPr>
              <w:t>117,906</w:t>
            </w:r>
          </w:p>
        </w:tc>
      </w:tr>
      <w:tr w:rsidR="00B040FE" w14:paraId="6DD92145" w14:textId="77777777" w:rsidTr="005E5E0C">
        <w:trPr>
          <w:trHeight w:val="253"/>
        </w:trPr>
        <w:tc>
          <w:tcPr>
            <w:tcW w:w="6356" w:type="dxa"/>
            <w:tcBorders>
              <w:top w:val="nil"/>
              <w:left w:val="nil"/>
              <w:bottom w:val="nil"/>
              <w:right w:val="nil"/>
            </w:tcBorders>
            <w:shd w:val="clear" w:color="FFFFFF" w:fill="FFFFFF"/>
            <w:noWrap/>
            <w:vAlign w:val="bottom"/>
            <w:hideMark/>
          </w:tcPr>
          <w:p w14:paraId="6E54F800" w14:textId="77777777" w:rsidR="00B040FE" w:rsidRDefault="00B040FE" w:rsidP="0047225D">
            <w:pPr>
              <w:spacing w:after="0"/>
              <w:ind w:firstLineChars="100" w:firstLine="180"/>
              <w:rPr>
                <w:rFonts w:cs="Arial"/>
                <w:sz w:val="18"/>
                <w:szCs w:val="18"/>
              </w:rPr>
            </w:pPr>
            <w:r>
              <w:rPr>
                <w:rFonts w:cs="Arial"/>
                <w:sz w:val="18"/>
                <w:szCs w:val="18"/>
              </w:rPr>
              <w:t>Employee provisions</w:t>
            </w:r>
          </w:p>
        </w:tc>
        <w:tc>
          <w:tcPr>
            <w:tcW w:w="1406" w:type="dxa"/>
            <w:tcBorders>
              <w:top w:val="nil"/>
              <w:left w:val="nil"/>
              <w:bottom w:val="nil"/>
              <w:right w:val="nil"/>
            </w:tcBorders>
            <w:shd w:val="clear" w:color="FFFFFF" w:fill="FFFFFF"/>
            <w:noWrap/>
            <w:vAlign w:val="bottom"/>
            <w:hideMark/>
          </w:tcPr>
          <w:p w14:paraId="4CBB0193" w14:textId="77777777" w:rsidR="00B040FE" w:rsidRDefault="00B040FE" w:rsidP="0047225D">
            <w:pPr>
              <w:spacing w:after="0"/>
              <w:jc w:val="right"/>
              <w:rPr>
                <w:rFonts w:cs="Arial"/>
                <w:b/>
                <w:bCs/>
                <w:sz w:val="18"/>
                <w:szCs w:val="18"/>
              </w:rPr>
            </w:pPr>
            <w:r>
              <w:rPr>
                <w:rFonts w:cs="Arial"/>
                <w:b/>
                <w:bCs/>
                <w:sz w:val="18"/>
                <w:szCs w:val="18"/>
              </w:rPr>
              <w:t>109,224</w:t>
            </w:r>
          </w:p>
        </w:tc>
        <w:tc>
          <w:tcPr>
            <w:tcW w:w="236" w:type="dxa"/>
            <w:tcBorders>
              <w:top w:val="nil"/>
              <w:left w:val="nil"/>
              <w:bottom w:val="nil"/>
              <w:right w:val="nil"/>
            </w:tcBorders>
            <w:shd w:val="clear" w:color="FFFFFF" w:fill="FFFFFF"/>
            <w:noWrap/>
            <w:vAlign w:val="bottom"/>
            <w:hideMark/>
          </w:tcPr>
          <w:p w14:paraId="3D383BB2"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3156E698" w14:textId="77777777" w:rsidR="00B040FE" w:rsidRDefault="00B040FE" w:rsidP="0047225D">
            <w:pPr>
              <w:spacing w:after="0"/>
              <w:jc w:val="right"/>
              <w:rPr>
                <w:rFonts w:cs="Arial"/>
                <w:sz w:val="18"/>
                <w:szCs w:val="18"/>
              </w:rPr>
            </w:pPr>
            <w:r>
              <w:rPr>
                <w:rFonts w:cs="Arial"/>
                <w:sz w:val="18"/>
                <w:szCs w:val="18"/>
              </w:rPr>
              <w:t>77,657</w:t>
            </w:r>
          </w:p>
        </w:tc>
      </w:tr>
      <w:tr w:rsidR="00B040FE" w14:paraId="56461383" w14:textId="77777777" w:rsidTr="005E5E0C">
        <w:trPr>
          <w:trHeight w:val="253"/>
        </w:trPr>
        <w:tc>
          <w:tcPr>
            <w:tcW w:w="6356" w:type="dxa"/>
            <w:tcBorders>
              <w:top w:val="nil"/>
              <w:left w:val="nil"/>
              <w:bottom w:val="nil"/>
              <w:right w:val="nil"/>
            </w:tcBorders>
            <w:shd w:val="clear" w:color="FFFFFF" w:fill="FFFFFF"/>
            <w:noWrap/>
            <w:vAlign w:val="bottom"/>
            <w:hideMark/>
          </w:tcPr>
          <w:p w14:paraId="3DDE3BEB" w14:textId="77777777" w:rsidR="00B040FE" w:rsidRDefault="00B040FE" w:rsidP="0047225D">
            <w:pPr>
              <w:spacing w:after="0"/>
              <w:ind w:firstLineChars="100" w:firstLine="180"/>
              <w:rPr>
                <w:rFonts w:cs="Arial"/>
                <w:sz w:val="18"/>
                <w:szCs w:val="18"/>
              </w:rPr>
            </w:pPr>
            <w:r>
              <w:rPr>
                <w:rFonts w:cs="Arial"/>
                <w:sz w:val="18"/>
                <w:szCs w:val="18"/>
              </w:rPr>
              <w:t>Participant plan provisions</w:t>
            </w:r>
          </w:p>
        </w:tc>
        <w:tc>
          <w:tcPr>
            <w:tcW w:w="1406" w:type="dxa"/>
            <w:tcBorders>
              <w:top w:val="nil"/>
              <w:left w:val="nil"/>
              <w:bottom w:val="nil"/>
              <w:right w:val="nil"/>
            </w:tcBorders>
            <w:shd w:val="clear" w:color="FFFFFF" w:fill="FFFFFF"/>
            <w:noWrap/>
            <w:vAlign w:val="bottom"/>
            <w:hideMark/>
          </w:tcPr>
          <w:p w14:paraId="11AD76EC" w14:textId="77777777" w:rsidR="00B040FE" w:rsidRDefault="00B040FE" w:rsidP="0047225D">
            <w:pPr>
              <w:spacing w:after="0"/>
              <w:jc w:val="right"/>
              <w:rPr>
                <w:rFonts w:cs="Arial"/>
                <w:b/>
                <w:bCs/>
                <w:sz w:val="18"/>
                <w:szCs w:val="18"/>
              </w:rPr>
            </w:pPr>
            <w:r>
              <w:rPr>
                <w:rFonts w:cs="Arial"/>
                <w:b/>
                <w:bCs/>
                <w:sz w:val="18"/>
                <w:szCs w:val="18"/>
              </w:rPr>
              <w:t>67,714</w:t>
            </w:r>
          </w:p>
        </w:tc>
        <w:tc>
          <w:tcPr>
            <w:tcW w:w="236" w:type="dxa"/>
            <w:tcBorders>
              <w:top w:val="nil"/>
              <w:left w:val="nil"/>
              <w:bottom w:val="nil"/>
              <w:right w:val="nil"/>
            </w:tcBorders>
            <w:shd w:val="clear" w:color="FFFFFF" w:fill="FFFFFF"/>
            <w:noWrap/>
            <w:vAlign w:val="bottom"/>
            <w:hideMark/>
          </w:tcPr>
          <w:p w14:paraId="46B7F953"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1AE4CAD5" w14:textId="77777777" w:rsidR="00B040FE" w:rsidRDefault="00B040FE" w:rsidP="0047225D">
            <w:pPr>
              <w:spacing w:after="0"/>
              <w:jc w:val="right"/>
              <w:rPr>
                <w:rFonts w:cs="Arial"/>
                <w:sz w:val="18"/>
                <w:szCs w:val="18"/>
              </w:rPr>
            </w:pPr>
            <w:r>
              <w:rPr>
                <w:rFonts w:cs="Arial"/>
                <w:sz w:val="18"/>
                <w:szCs w:val="18"/>
              </w:rPr>
              <w:t>68,119</w:t>
            </w:r>
          </w:p>
        </w:tc>
      </w:tr>
      <w:tr w:rsidR="00B040FE" w14:paraId="401F8753" w14:textId="77777777" w:rsidTr="005E5E0C">
        <w:trPr>
          <w:trHeight w:val="253"/>
        </w:trPr>
        <w:tc>
          <w:tcPr>
            <w:tcW w:w="6356" w:type="dxa"/>
            <w:tcBorders>
              <w:top w:val="nil"/>
              <w:left w:val="nil"/>
              <w:bottom w:val="nil"/>
              <w:right w:val="nil"/>
            </w:tcBorders>
            <w:shd w:val="clear" w:color="FFFFFF" w:fill="FFFFFF"/>
            <w:noWrap/>
            <w:vAlign w:val="bottom"/>
            <w:hideMark/>
          </w:tcPr>
          <w:p w14:paraId="59676307" w14:textId="77777777" w:rsidR="00B040FE" w:rsidRDefault="00B040FE" w:rsidP="0047225D">
            <w:pPr>
              <w:spacing w:after="0"/>
              <w:ind w:firstLineChars="100" w:firstLine="180"/>
              <w:rPr>
                <w:rFonts w:cs="Arial"/>
                <w:sz w:val="18"/>
                <w:szCs w:val="18"/>
              </w:rPr>
            </w:pPr>
            <w:r>
              <w:rPr>
                <w:rFonts w:cs="Arial"/>
                <w:sz w:val="18"/>
                <w:szCs w:val="18"/>
              </w:rPr>
              <w:t>Provision for restoration obligations</w:t>
            </w:r>
          </w:p>
        </w:tc>
        <w:tc>
          <w:tcPr>
            <w:tcW w:w="1406" w:type="dxa"/>
            <w:tcBorders>
              <w:top w:val="nil"/>
              <w:left w:val="nil"/>
              <w:bottom w:val="nil"/>
              <w:right w:val="nil"/>
            </w:tcBorders>
            <w:shd w:val="clear" w:color="FFFFFF" w:fill="FFFFFF"/>
            <w:noWrap/>
            <w:vAlign w:val="bottom"/>
            <w:hideMark/>
          </w:tcPr>
          <w:p w14:paraId="6E4EE698" w14:textId="77777777" w:rsidR="00B040FE" w:rsidRDefault="00B040FE" w:rsidP="0047225D">
            <w:pPr>
              <w:spacing w:after="0"/>
              <w:jc w:val="right"/>
              <w:rPr>
                <w:rFonts w:cs="Arial"/>
                <w:b/>
                <w:bCs/>
                <w:sz w:val="18"/>
                <w:szCs w:val="18"/>
              </w:rPr>
            </w:pPr>
            <w:r>
              <w:rPr>
                <w:rFonts w:cs="Arial"/>
                <w:b/>
                <w:bCs/>
                <w:sz w:val="18"/>
                <w:szCs w:val="18"/>
              </w:rPr>
              <w:t>4,979</w:t>
            </w:r>
          </w:p>
        </w:tc>
        <w:tc>
          <w:tcPr>
            <w:tcW w:w="236" w:type="dxa"/>
            <w:tcBorders>
              <w:top w:val="nil"/>
              <w:left w:val="nil"/>
              <w:bottom w:val="nil"/>
              <w:right w:val="nil"/>
            </w:tcBorders>
            <w:shd w:val="clear" w:color="FFFFFF" w:fill="FFFFFF"/>
            <w:noWrap/>
            <w:vAlign w:val="bottom"/>
            <w:hideMark/>
          </w:tcPr>
          <w:p w14:paraId="63F15A5D"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nil"/>
              <w:right w:val="nil"/>
            </w:tcBorders>
            <w:shd w:val="clear" w:color="FFFFFF" w:fill="FFFFFF"/>
            <w:noWrap/>
            <w:vAlign w:val="bottom"/>
            <w:hideMark/>
          </w:tcPr>
          <w:p w14:paraId="3D249972" w14:textId="77777777" w:rsidR="00B040FE" w:rsidRDefault="00B040FE" w:rsidP="0047225D">
            <w:pPr>
              <w:spacing w:after="0"/>
              <w:jc w:val="right"/>
              <w:rPr>
                <w:rFonts w:cs="Arial"/>
                <w:sz w:val="18"/>
                <w:szCs w:val="18"/>
              </w:rPr>
            </w:pPr>
            <w:r>
              <w:rPr>
                <w:rFonts w:cs="Arial"/>
                <w:sz w:val="18"/>
                <w:szCs w:val="18"/>
              </w:rPr>
              <w:t>4,329</w:t>
            </w:r>
          </w:p>
        </w:tc>
      </w:tr>
      <w:tr w:rsidR="00B040FE" w14:paraId="5D37D858" w14:textId="77777777" w:rsidTr="005E5E0C">
        <w:trPr>
          <w:trHeight w:val="253"/>
        </w:trPr>
        <w:tc>
          <w:tcPr>
            <w:tcW w:w="6356" w:type="dxa"/>
            <w:tcBorders>
              <w:top w:val="nil"/>
              <w:left w:val="nil"/>
              <w:bottom w:val="nil"/>
              <w:right w:val="nil"/>
            </w:tcBorders>
            <w:shd w:val="clear" w:color="FFFFFF" w:fill="FFFFFF"/>
            <w:vAlign w:val="bottom"/>
            <w:hideMark/>
          </w:tcPr>
          <w:p w14:paraId="14975DFC" w14:textId="77777777" w:rsidR="00B040FE" w:rsidRDefault="00B040FE" w:rsidP="0047225D">
            <w:pPr>
              <w:spacing w:after="0"/>
              <w:rPr>
                <w:rFonts w:cs="Arial"/>
                <w:b/>
                <w:bCs/>
                <w:sz w:val="18"/>
                <w:szCs w:val="18"/>
              </w:rPr>
            </w:pPr>
            <w:r>
              <w:rPr>
                <w:rFonts w:cs="Arial"/>
                <w:b/>
                <w:bCs/>
                <w:sz w:val="18"/>
                <w:szCs w:val="18"/>
              </w:rPr>
              <w:t>Total more than 12 months</w:t>
            </w:r>
          </w:p>
        </w:tc>
        <w:tc>
          <w:tcPr>
            <w:tcW w:w="1406" w:type="dxa"/>
            <w:tcBorders>
              <w:top w:val="single" w:sz="4" w:space="0" w:color="auto"/>
              <w:left w:val="nil"/>
              <w:bottom w:val="single" w:sz="4" w:space="0" w:color="auto"/>
              <w:right w:val="nil"/>
            </w:tcBorders>
            <w:shd w:val="clear" w:color="FFFFFF" w:fill="FFFFFF"/>
            <w:noWrap/>
            <w:vAlign w:val="bottom"/>
            <w:hideMark/>
          </w:tcPr>
          <w:p w14:paraId="0DFD566E" w14:textId="77777777" w:rsidR="00B040FE" w:rsidRDefault="00B040FE" w:rsidP="0047225D">
            <w:pPr>
              <w:spacing w:after="0"/>
              <w:jc w:val="right"/>
              <w:rPr>
                <w:rFonts w:cs="Arial"/>
                <w:b/>
                <w:bCs/>
                <w:sz w:val="18"/>
                <w:szCs w:val="18"/>
              </w:rPr>
            </w:pPr>
            <w:r>
              <w:rPr>
                <w:rFonts w:cs="Arial"/>
                <w:b/>
                <w:bCs/>
                <w:sz w:val="18"/>
                <w:szCs w:val="18"/>
              </w:rPr>
              <w:t>317,749</w:t>
            </w:r>
          </w:p>
        </w:tc>
        <w:tc>
          <w:tcPr>
            <w:tcW w:w="236" w:type="dxa"/>
            <w:tcBorders>
              <w:top w:val="nil"/>
              <w:left w:val="nil"/>
              <w:bottom w:val="nil"/>
              <w:right w:val="nil"/>
            </w:tcBorders>
            <w:shd w:val="clear" w:color="FFFFFF" w:fill="FFFFFF"/>
            <w:noWrap/>
            <w:vAlign w:val="bottom"/>
            <w:hideMark/>
          </w:tcPr>
          <w:p w14:paraId="4AE9712F" w14:textId="77777777" w:rsidR="00B040FE" w:rsidRDefault="00B040FE" w:rsidP="0047225D">
            <w:pPr>
              <w:spacing w:after="0"/>
              <w:rPr>
                <w:rFonts w:cs="Arial"/>
                <w:sz w:val="18"/>
                <w:szCs w:val="18"/>
              </w:rPr>
            </w:pPr>
            <w:r>
              <w:rPr>
                <w:rFonts w:cs="Arial"/>
                <w:sz w:val="18"/>
                <w:szCs w:val="18"/>
              </w:rPr>
              <w:t> </w:t>
            </w:r>
          </w:p>
        </w:tc>
        <w:tc>
          <w:tcPr>
            <w:tcW w:w="1089" w:type="dxa"/>
            <w:tcBorders>
              <w:top w:val="single" w:sz="4" w:space="0" w:color="auto"/>
              <w:left w:val="nil"/>
              <w:bottom w:val="single" w:sz="4" w:space="0" w:color="auto"/>
              <w:right w:val="nil"/>
            </w:tcBorders>
            <w:shd w:val="clear" w:color="FFFFFF" w:fill="FFFFFF"/>
            <w:noWrap/>
            <w:vAlign w:val="bottom"/>
            <w:hideMark/>
          </w:tcPr>
          <w:p w14:paraId="78A7ECE4" w14:textId="77777777" w:rsidR="00B040FE" w:rsidRDefault="00B040FE" w:rsidP="0047225D">
            <w:pPr>
              <w:spacing w:after="0"/>
              <w:jc w:val="right"/>
              <w:rPr>
                <w:rFonts w:cs="Arial"/>
                <w:sz w:val="18"/>
                <w:szCs w:val="18"/>
              </w:rPr>
            </w:pPr>
            <w:r>
              <w:rPr>
                <w:rFonts w:cs="Arial"/>
                <w:sz w:val="18"/>
                <w:szCs w:val="18"/>
              </w:rPr>
              <w:t>268,011</w:t>
            </w:r>
          </w:p>
        </w:tc>
      </w:tr>
      <w:tr w:rsidR="00B040FE" w14:paraId="5F8C551E" w14:textId="77777777" w:rsidTr="005E5E0C">
        <w:trPr>
          <w:trHeight w:val="253"/>
        </w:trPr>
        <w:tc>
          <w:tcPr>
            <w:tcW w:w="6356" w:type="dxa"/>
            <w:tcBorders>
              <w:top w:val="nil"/>
              <w:left w:val="nil"/>
              <w:bottom w:val="nil"/>
              <w:right w:val="nil"/>
            </w:tcBorders>
            <w:shd w:val="clear" w:color="FFFFFF" w:fill="FFFFFF"/>
            <w:vAlign w:val="bottom"/>
            <w:hideMark/>
          </w:tcPr>
          <w:p w14:paraId="42738900" w14:textId="77777777" w:rsidR="00B040FE" w:rsidRDefault="00B040FE" w:rsidP="0047225D">
            <w:pPr>
              <w:spacing w:after="0"/>
              <w:rPr>
                <w:rFonts w:cs="Arial"/>
                <w:b/>
                <w:bCs/>
                <w:sz w:val="18"/>
                <w:szCs w:val="18"/>
              </w:rPr>
            </w:pPr>
            <w:r>
              <w:rPr>
                <w:rFonts w:cs="Arial"/>
                <w:b/>
                <w:bCs/>
                <w:sz w:val="18"/>
                <w:szCs w:val="18"/>
              </w:rPr>
              <w:t>Total liabilities</w:t>
            </w:r>
          </w:p>
        </w:tc>
        <w:tc>
          <w:tcPr>
            <w:tcW w:w="1406" w:type="dxa"/>
            <w:tcBorders>
              <w:top w:val="nil"/>
              <w:left w:val="nil"/>
              <w:bottom w:val="single" w:sz="4" w:space="0" w:color="auto"/>
              <w:right w:val="nil"/>
            </w:tcBorders>
            <w:shd w:val="clear" w:color="FFFFFF" w:fill="FFFFFF"/>
            <w:noWrap/>
            <w:vAlign w:val="bottom"/>
            <w:hideMark/>
          </w:tcPr>
          <w:p w14:paraId="655BA774" w14:textId="77777777" w:rsidR="00B040FE" w:rsidRDefault="00B040FE" w:rsidP="0047225D">
            <w:pPr>
              <w:spacing w:after="0"/>
              <w:jc w:val="right"/>
              <w:rPr>
                <w:rFonts w:cs="Arial"/>
                <w:b/>
                <w:bCs/>
                <w:sz w:val="18"/>
                <w:szCs w:val="18"/>
              </w:rPr>
            </w:pPr>
            <w:r>
              <w:rPr>
                <w:rFonts w:cs="Arial"/>
                <w:b/>
                <w:bCs/>
                <w:sz w:val="18"/>
                <w:szCs w:val="18"/>
              </w:rPr>
              <w:t>3,740,581</w:t>
            </w:r>
          </w:p>
        </w:tc>
        <w:tc>
          <w:tcPr>
            <w:tcW w:w="236" w:type="dxa"/>
            <w:tcBorders>
              <w:top w:val="nil"/>
              <w:left w:val="nil"/>
              <w:bottom w:val="nil"/>
              <w:right w:val="nil"/>
            </w:tcBorders>
            <w:shd w:val="clear" w:color="FFFFFF" w:fill="FFFFFF"/>
            <w:noWrap/>
            <w:vAlign w:val="bottom"/>
            <w:hideMark/>
          </w:tcPr>
          <w:p w14:paraId="083400E9" w14:textId="77777777" w:rsidR="00B040FE" w:rsidRDefault="00B040FE" w:rsidP="0047225D">
            <w:pPr>
              <w:spacing w:after="0"/>
              <w:rPr>
                <w:rFonts w:cs="Arial"/>
                <w:sz w:val="18"/>
                <w:szCs w:val="18"/>
              </w:rPr>
            </w:pPr>
            <w:r>
              <w:rPr>
                <w:rFonts w:cs="Arial"/>
                <w:sz w:val="18"/>
                <w:szCs w:val="18"/>
              </w:rPr>
              <w:t> </w:t>
            </w:r>
          </w:p>
        </w:tc>
        <w:tc>
          <w:tcPr>
            <w:tcW w:w="1089" w:type="dxa"/>
            <w:tcBorders>
              <w:top w:val="nil"/>
              <w:left w:val="nil"/>
              <w:bottom w:val="single" w:sz="4" w:space="0" w:color="auto"/>
              <w:right w:val="nil"/>
            </w:tcBorders>
            <w:shd w:val="clear" w:color="FFFFFF" w:fill="FFFFFF"/>
            <w:noWrap/>
            <w:vAlign w:val="bottom"/>
            <w:hideMark/>
          </w:tcPr>
          <w:p w14:paraId="4E13901C" w14:textId="77777777" w:rsidR="00B040FE" w:rsidRDefault="00B040FE" w:rsidP="0047225D">
            <w:pPr>
              <w:spacing w:after="0"/>
              <w:jc w:val="right"/>
              <w:rPr>
                <w:rFonts w:cs="Arial"/>
                <w:sz w:val="18"/>
                <w:szCs w:val="18"/>
              </w:rPr>
            </w:pPr>
            <w:r>
              <w:rPr>
                <w:rFonts w:cs="Arial"/>
                <w:sz w:val="18"/>
                <w:szCs w:val="18"/>
              </w:rPr>
              <w:t>3,326,661</w:t>
            </w:r>
          </w:p>
        </w:tc>
      </w:tr>
    </w:tbl>
    <w:p w14:paraId="36C981D6" w14:textId="0DC2D53F" w:rsidR="005921BC" w:rsidRPr="00A33264" w:rsidRDefault="005921BC" w:rsidP="005921BC">
      <w:pPr>
        <w:rPr>
          <w:lang w:val="en-GB"/>
        </w:rPr>
      </w:pPr>
    </w:p>
    <w:p w14:paraId="131C7CE3" w14:textId="77777777" w:rsidR="00E70ACE" w:rsidRPr="00A33264" w:rsidRDefault="00E70ACE" w:rsidP="00D7463A">
      <w:pPr>
        <w:pStyle w:val="Heading2"/>
        <w:rPr>
          <w:lang w:val="en-GB"/>
        </w:rPr>
        <w:sectPr w:rsidR="00E70ACE" w:rsidRPr="00A33264" w:rsidSect="006E070C">
          <w:headerReference w:type="first" r:id="rId60"/>
          <w:footerReference w:type="first" r:id="rId61"/>
          <w:pgSz w:w="11906" w:h="16838" w:code="9"/>
          <w:pgMar w:top="1361" w:right="1361" w:bottom="1361" w:left="1361" w:header="561" w:footer="374" w:gutter="0"/>
          <w:cols w:space="708"/>
          <w:docGrid w:linePitch="360"/>
        </w:sectPr>
      </w:pPr>
      <w:bookmarkStart w:id="248" w:name="_Toc169592966"/>
      <w:bookmarkStart w:id="249" w:name="_Toc174354191"/>
      <w:bookmarkStart w:id="250" w:name="_Toc174354231"/>
    </w:p>
    <w:p w14:paraId="549DFE9C" w14:textId="42A62515" w:rsidR="005921BC" w:rsidRDefault="00D7463A" w:rsidP="00D7463A">
      <w:pPr>
        <w:pStyle w:val="Heading2"/>
        <w:rPr>
          <w:lang w:val="en-GB"/>
        </w:rPr>
      </w:pPr>
      <w:bookmarkStart w:id="251" w:name="_Toc175316895"/>
      <w:bookmarkStart w:id="252" w:name="_Toc176786386"/>
      <w:bookmarkStart w:id="253" w:name="_Toc180505668"/>
      <w:r w:rsidRPr="00A33264">
        <w:rPr>
          <w:lang w:val="en-GB"/>
        </w:rPr>
        <w:lastRenderedPageBreak/>
        <w:t>Financial sustainability</w:t>
      </w:r>
      <w:bookmarkEnd w:id="248"/>
      <w:bookmarkEnd w:id="249"/>
      <w:bookmarkEnd w:id="250"/>
      <w:bookmarkEnd w:id="251"/>
      <w:bookmarkEnd w:id="252"/>
      <w:bookmarkEnd w:id="253"/>
    </w:p>
    <w:p w14:paraId="68C8DA8C" w14:textId="33902345" w:rsidR="00D7463A" w:rsidRPr="00A33264" w:rsidRDefault="00D7463A" w:rsidP="00D7463A">
      <w:pPr>
        <w:pStyle w:val="Heading3"/>
        <w:rPr>
          <w:lang w:val="en-GB"/>
        </w:rPr>
      </w:pPr>
      <w:bookmarkStart w:id="254" w:name="_Toc169592967"/>
      <w:bookmarkStart w:id="255" w:name="_Toc174354192"/>
      <w:bookmarkStart w:id="256" w:name="_Toc175316896"/>
      <w:bookmarkStart w:id="257" w:name="_Toc176786387"/>
      <w:bookmarkStart w:id="258" w:name="_Toc180505669"/>
      <w:r w:rsidRPr="00A33264">
        <w:rPr>
          <w:lang w:val="en-GB"/>
        </w:rPr>
        <w:t>Executive summary</w:t>
      </w:r>
      <w:bookmarkEnd w:id="254"/>
      <w:bookmarkEnd w:id="255"/>
      <w:bookmarkEnd w:id="256"/>
      <w:bookmarkEnd w:id="257"/>
      <w:bookmarkEnd w:id="258"/>
    </w:p>
    <w:p w14:paraId="0881B0D3" w14:textId="05C2B864" w:rsidR="00641555" w:rsidRPr="00A33264" w:rsidRDefault="009F74E5" w:rsidP="00641555">
      <w:pPr>
        <w:rPr>
          <w:lang w:val="en-GB"/>
        </w:rPr>
      </w:pPr>
      <w:r>
        <w:rPr>
          <w:lang w:val="en-GB"/>
        </w:rPr>
        <w:t xml:space="preserve">Under section </w:t>
      </w:r>
      <w:r w:rsidR="00D82066">
        <w:rPr>
          <w:lang w:val="en-GB"/>
        </w:rPr>
        <w:t>180</w:t>
      </w:r>
      <w:r>
        <w:rPr>
          <w:lang w:val="en-GB"/>
        </w:rPr>
        <w:t xml:space="preserve">B of the </w:t>
      </w:r>
      <w:r>
        <w:rPr>
          <w:i/>
          <w:iCs/>
          <w:lang w:val="en-GB"/>
        </w:rPr>
        <w:t xml:space="preserve">National Disability Insurance Scheme Act </w:t>
      </w:r>
      <w:r w:rsidRPr="00BB40DF">
        <w:rPr>
          <w:lang w:val="en-GB"/>
        </w:rPr>
        <w:t>2023</w:t>
      </w:r>
      <w:r>
        <w:rPr>
          <w:lang w:val="en-GB"/>
        </w:rPr>
        <w:t xml:space="preserve"> (Cth) (NDIS Act), the NDIA must provide a</w:t>
      </w:r>
      <w:r w:rsidR="00641555" w:rsidRPr="009F74E5">
        <w:rPr>
          <w:lang w:val="en-GB"/>
        </w:rPr>
        <w:t>n</w:t>
      </w:r>
      <w:r w:rsidR="00641555" w:rsidRPr="00A33264">
        <w:rPr>
          <w:lang w:val="en-GB"/>
        </w:rPr>
        <w:t xml:space="preserve"> annual financial sustainability report (AFSR) and an assessment of the financial sustainability of the </w:t>
      </w:r>
      <w:r>
        <w:rPr>
          <w:lang w:val="en-GB"/>
        </w:rPr>
        <w:t>NDIS</w:t>
      </w:r>
      <w:r w:rsidR="00641555" w:rsidRPr="00A33264">
        <w:rPr>
          <w:lang w:val="en-GB"/>
        </w:rPr>
        <w:t>. The AFSR is produced using data at 30 June each year</w:t>
      </w:r>
      <w:r>
        <w:rPr>
          <w:lang w:val="en-GB"/>
        </w:rPr>
        <w:t>. A</w:t>
      </w:r>
      <w:r w:rsidR="00641555" w:rsidRPr="00A33264">
        <w:rPr>
          <w:lang w:val="en-GB"/>
        </w:rPr>
        <w:t xml:space="preserve"> summary of each year’s AFSR has been included in the NDIA annual report</w:t>
      </w:r>
      <w:r>
        <w:rPr>
          <w:lang w:val="en-GB"/>
        </w:rPr>
        <w:t>s</w:t>
      </w:r>
      <w:r w:rsidR="00641555" w:rsidRPr="00A33264">
        <w:rPr>
          <w:lang w:val="en-GB"/>
        </w:rPr>
        <w:t>. This 2023</w:t>
      </w:r>
      <w:r w:rsidR="00966323">
        <w:rPr>
          <w:lang w:val="en-GB"/>
        </w:rPr>
        <w:t>–</w:t>
      </w:r>
      <w:r w:rsidR="00641555" w:rsidRPr="00A33264">
        <w:rPr>
          <w:lang w:val="en-GB"/>
        </w:rPr>
        <w:t xml:space="preserve">24 AFSR uses data to 30 June 2024 to project future </w:t>
      </w:r>
      <w:r w:rsidR="00835EB4">
        <w:rPr>
          <w:lang w:val="en-GB"/>
        </w:rPr>
        <w:t>Scheme</w:t>
      </w:r>
      <w:r w:rsidR="00880C4D" w:rsidRPr="00A33264">
        <w:rPr>
          <w:lang w:val="en-GB"/>
        </w:rPr>
        <w:t xml:space="preserve"> </w:t>
      </w:r>
      <w:r w:rsidR="00641555" w:rsidRPr="00A33264">
        <w:rPr>
          <w:lang w:val="en-GB"/>
        </w:rPr>
        <w:t xml:space="preserve">expenses </w:t>
      </w:r>
      <w:r>
        <w:rPr>
          <w:lang w:val="en-GB"/>
        </w:rPr>
        <w:t>(</w:t>
      </w:r>
      <w:r w:rsidR="00641555" w:rsidRPr="00A33264">
        <w:rPr>
          <w:lang w:val="en-GB"/>
        </w:rPr>
        <w:t xml:space="preserve">referred to as the </w:t>
      </w:r>
      <w:r w:rsidR="00CF5562">
        <w:rPr>
          <w:lang w:val="en-GB"/>
        </w:rPr>
        <w:t>‘</w:t>
      </w:r>
      <w:r w:rsidR="00641555" w:rsidRPr="00A33264">
        <w:rPr>
          <w:lang w:val="en-GB"/>
        </w:rPr>
        <w:t>June 2024 projections</w:t>
      </w:r>
      <w:r>
        <w:rPr>
          <w:lang w:val="en-GB"/>
        </w:rPr>
        <w:t>’)</w:t>
      </w:r>
      <w:r w:rsidR="00641555" w:rsidRPr="00A33264">
        <w:rPr>
          <w:lang w:val="en-GB"/>
        </w:rPr>
        <w:t>.</w:t>
      </w:r>
    </w:p>
    <w:p w14:paraId="34EB7D18" w14:textId="4F201DA4" w:rsidR="00D7463A" w:rsidRPr="00A33264" w:rsidRDefault="00641555" w:rsidP="00641555">
      <w:pPr>
        <w:rPr>
          <w:lang w:val="en-GB"/>
        </w:rPr>
      </w:pPr>
      <w:r w:rsidRPr="00A33264">
        <w:rPr>
          <w:lang w:val="en-GB"/>
        </w:rPr>
        <w:t xml:space="preserve">The previous report was the AFSR released on 8 December 2023 (the </w:t>
      </w:r>
      <w:hyperlink r:id="rId62" w:history="1">
        <w:r w:rsidRPr="00263F04">
          <w:rPr>
            <w:rStyle w:val="Hyperlink"/>
            <w:lang w:val="en-GB"/>
          </w:rPr>
          <w:t>2022</w:t>
        </w:r>
        <w:r w:rsidR="00966323" w:rsidRPr="00263F04">
          <w:rPr>
            <w:rStyle w:val="Hyperlink"/>
            <w:lang w:val="en-GB"/>
          </w:rPr>
          <w:t>–</w:t>
        </w:r>
        <w:r w:rsidRPr="00263F04">
          <w:rPr>
            <w:rStyle w:val="Hyperlink"/>
            <w:lang w:val="en-GB"/>
          </w:rPr>
          <w:t>23 AFSR</w:t>
        </w:r>
      </w:hyperlink>
      <w:r w:rsidRPr="00A33264">
        <w:rPr>
          <w:lang w:val="en-GB"/>
        </w:rPr>
        <w:t>).</w:t>
      </w:r>
      <w:r w:rsidR="00E85C37" w:rsidRPr="00E85C37">
        <w:rPr>
          <w:rStyle w:val="FootnoteReference"/>
          <w:rFonts w:cs="Arial"/>
        </w:rPr>
        <w:t xml:space="preserve"> </w:t>
      </w:r>
      <w:r w:rsidRPr="00A33264">
        <w:rPr>
          <w:lang w:val="en-GB"/>
        </w:rPr>
        <w:t xml:space="preserve">It was based on data to 30 June 2023, with commentary about experience to 30 June 2023 (the previous review). References to the </w:t>
      </w:r>
      <w:r w:rsidR="009F74E5">
        <w:rPr>
          <w:lang w:val="en-GB"/>
        </w:rPr>
        <w:t>‘</w:t>
      </w:r>
      <w:r w:rsidRPr="00A33264">
        <w:rPr>
          <w:lang w:val="en-GB"/>
        </w:rPr>
        <w:t>previous review</w:t>
      </w:r>
      <w:r w:rsidR="009F74E5">
        <w:rPr>
          <w:lang w:val="en-GB"/>
        </w:rPr>
        <w:t>’</w:t>
      </w:r>
      <w:r w:rsidRPr="00A33264">
        <w:rPr>
          <w:lang w:val="en-GB"/>
        </w:rPr>
        <w:t xml:space="preserve"> refer to results contained in that report </w:t>
      </w:r>
      <w:r w:rsidR="009F74E5">
        <w:rPr>
          <w:lang w:val="en-GB"/>
        </w:rPr>
        <w:t>(</w:t>
      </w:r>
      <w:r w:rsidRPr="00A33264">
        <w:rPr>
          <w:lang w:val="en-GB"/>
        </w:rPr>
        <w:t xml:space="preserve">referred to as </w:t>
      </w:r>
      <w:r w:rsidR="00CF5562">
        <w:rPr>
          <w:lang w:val="en-GB"/>
        </w:rPr>
        <w:t>‘</w:t>
      </w:r>
      <w:r w:rsidRPr="00A33264">
        <w:rPr>
          <w:lang w:val="en-GB"/>
        </w:rPr>
        <w:t>June 2023 projections</w:t>
      </w:r>
      <w:r w:rsidR="009F74E5">
        <w:rPr>
          <w:lang w:val="en-GB"/>
        </w:rPr>
        <w:t>’)</w:t>
      </w:r>
      <w:r w:rsidRPr="00A33264">
        <w:rPr>
          <w:lang w:val="en-GB"/>
        </w:rPr>
        <w:t>.</w:t>
      </w:r>
    </w:p>
    <w:p w14:paraId="3052C0F5" w14:textId="2119AE0F" w:rsidR="00641555" w:rsidRPr="00A33264" w:rsidRDefault="00641555" w:rsidP="00641555">
      <w:pPr>
        <w:rPr>
          <w:lang w:val="en-GB"/>
        </w:rPr>
      </w:pPr>
      <w:r w:rsidRPr="00A33264">
        <w:rPr>
          <w:lang w:val="en-GB"/>
        </w:rPr>
        <w:t xml:space="preserve">Since the previous review, </w:t>
      </w:r>
      <w:r w:rsidR="00CA030E">
        <w:rPr>
          <w:lang w:val="en-GB"/>
        </w:rPr>
        <w:t>Scheme</w:t>
      </w:r>
      <w:r w:rsidR="00880C4D" w:rsidRPr="00A33264">
        <w:rPr>
          <w:lang w:val="en-GB"/>
        </w:rPr>
        <w:t xml:space="preserve"> </w:t>
      </w:r>
      <w:r w:rsidRPr="00A33264">
        <w:rPr>
          <w:lang w:val="en-GB"/>
        </w:rPr>
        <w:t xml:space="preserve">projections were updated based on data at 31 December 2023, allowing for the emergence of </w:t>
      </w:r>
      <w:r w:rsidR="00AD1B8D">
        <w:rPr>
          <w:lang w:val="en-GB"/>
        </w:rPr>
        <w:t>Scheme</w:t>
      </w:r>
      <w:r w:rsidRPr="00A33264">
        <w:rPr>
          <w:lang w:val="en-GB"/>
        </w:rPr>
        <w:t xml:space="preserve"> experience and changes in assumptions since 30 June 2023. These updated projections were used as the basis for the 2024</w:t>
      </w:r>
      <w:r w:rsidR="00966323">
        <w:rPr>
          <w:lang w:val="en-GB"/>
        </w:rPr>
        <w:t>–</w:t>
      </w:r>
      <w:r w:rsidRPr="00A33264">
        <w:rPr>
          <w:lang w:val="en-GB"/>
        </w:rPr>
        <w:t xml:space="preserve">25 Budget </w:t>
      </w:r>
      <w:r w:rsidR="009F74E5">
        <w:rPr>
          <w:lang w:val="en-GB"/>
        </w:rPr>
        <w:t>(and</w:t>
      </w:r>
      <w:r w:rsidRPr="00A33264">
        <w:rPr>
          <w:lang w:val="en-GB"/>
        </w:rPr>
        <w:t xml:space="preserve"> </w:t>
      </w:r>
      <w:r w:rsidR="00E85C37">
        <w:rPr>
          <w:lang w:val="en-GB"/>
        </w:rPr>
        <w:t>referred</w:t>
      </w:r>
      <w:r w:rsidR="00880C4D" w:rsidRPr="00A33264">
        <w:rPr>
          <w:lang w:val="en-GB"/>
        </w:rPr>
        <w:t xml:space="preserve"> </w:t>
      </w:r>
      <w:r w:rsidRPr="00A33264">
        <w:rPr>
          <w:lang w:val="en-GB"/>
        </w:rPr>
        <w:t xml:space="preserve">to as </w:t>
      </w:r>
      <w:r w:rsidR="006075FB">
        <w:rPr>
          <w:lang w:val="en-GB"/>
        </w:rPr>
        <w:t>‘</w:t>
      </w:r>
      <w:r w:rsidR="00E85C37">
        <w:rPr>
          <w:lang w:val="en-GB"/>
        </w:rPr>
        <w:t>2024</w:t>
      </w:r>
      <w:r w:rsidR="00966323">
        <w:rPr>
          <w:lang w:val="en-GB"/>
        </w:rPr>
        <w:t>–</w:t>
      </w:r>
      <w:r w:rsidR="00E85C37">
        <w:rPr>
          <w:lang w:val="en-GB"/>
        </w:rPr>
        <w:t>25 Budget projections</w:t>
      </w:r>
      <w:r w:rsidR="009F74E5">
        <w:rPr>
          <w:lang w:val="en-GB"/>
        </w:rPr>
        <w:t>’)</w:t>
      </w:r>
      <w:r w:rsidRPr="00A33264">
        <w:rPr>
          <w:lang w:val="en-GB"/>
        </w:rPr>
        <w:t>.</w:t>
      </w:r>
    </w:p>
    <w:p w14:paraId="3151D130" w14:textId="792DFD2F" w:rsidR="00E85C37" w:rsidRPr="00A33264" w:rsidRDefault="00E85C37" w:rsidP="00E85C37">
      <w:pPr>
        <w:pStyle w:val="Heading3"/>
        <w:rPr>
          <w:lang w:val="en-GB"/>
        </w:rPr>
      </w:pPr>
      <w:bookmarkStart w:id="259" w:name="_Toc176786388"/>
      <w:bookmarkStart w:id="260" w:name="_Toc180505670"/>
      <w:r>
        <w:rPr>
          <w:lang w:val="en-GB"/>
        </w:rPr>
        <w:t>NDIS reforms</w:t>
      </w:r>
      <w:bookmarkEnd w:id="259"/>
      <w:bookmarkEnd w:id="260"/>
    </w:p>
    <w:p w14:paraId="0389E926" w14:textId="5CC21046" w:rsidR="00482705" w:rsidRDefault="00641555" w:rsidP="00482705">
      <w:pPr>
        <w:rPr>
          <w:lang w:val="en-GB"/>
        </w:rPr>
      </w:pPr>
      <w:r w:rsidRPr="00A33264">
        <w:rPr>
          <w:lang w:val="en-GB"/>
        </w:rPr>
        <w:t>In the 2023</w:t>
      </w:r>
      <w:r w:rsidR="00966323">
        <w:rPr>
          <w:lang w:val="en-GB"/>
        </w:rPr>
        <w:t>–</w:t>
      </w:r>
      <w:r w:rsidRPr="00A33264">
        <w:rPr>
          <w:lang w:val="en-GB"/>
        </w:rPr>
        <w:t xml:space="preserve">24 Budget, the Australian Government committed $732.9 million </w:t>
      </w:r>
      <w:r w:rsidR="009F74E5">
        <w:rPr>
          <w:lang w:val="en-GB"/>
        </w:rPr>
        <w:t>to</w:t>
      </w:r>
      <w:r w:rsidR="009F74E5" w:rsidRPr="00A33264">
        <w:rPr>
          <w:lang w:val="en-GB"/>
        </w:rPr>
        <w:t xml:space="preserve"> </w:t>
      </w:r>
      <w:r w:rsidRPr="00A33264">
        <w:rPr>
          <w:lang w:val="en-GB"/>
        </w:rPr>
        <w:t xml:space="preserve">improving outcomes for participants and ensuring effectiveness and sustainability of the </w:t>
      </w:r>
      <w:r w:rsidR="00880C4D">
        <w:rPr>
          <w:lang w:val="en-GB"/>
        </w:rPr>
        <w:t>NDIS</w:t>
      </w:r>
      <w:r w:rsidR="00880C4D" w:rsidRPr="00A33264">
        <w:rPr>
          <w:lang w:val="en-GB"/>
        </w:rPr>
        <w:t xml:space="preserve"> </w:t>
      </w:r>
      <w:r w:rsidRPr="00A33264">
        <w:rPr>
          <w:lang w:val="en-GB"/>
        </w:rPr>
        <w:t>for future generations. The 2023</w:t>
      </w:r>
      <w:r w:rsidR="00966323">
        <w:rPr>
          <w:lang w:val="en-GB"/>
        </w:rPr>
        <w:t>–</w:t>
      </w:r>
      <w:r w:rsidRPr="00A33264">
        <w:rPr>
          <w:lang w:val="en-GB"/>
        </w:rPr>
        <w:t xml:space="preserve">24 Budget measures aimed to </w:t>
      </w:r>
      <w:r w:rsidR="000B1A71">
        <w:rPr>
          <w:lang w:val="en-GB"/>
        </w:rPr>
        <w:t>deliver improved</w:t>
      </w:r>
      <w:r w:rsidR="000B1A71" w:rsidRPr="00A33264">
        <w:rPr>
          <w:lang w:val="en-GB"/>
        </w:rPr>
        <w:t xml:space="preserve"> </w:t>
      </w:r>
      <w:r w:rsidRPr="00A33264">
        <w:rPr>
          <w:lang w:val="en-GB"/>
        </w:rPr>
        <w:t xml:space="preserve">participant outcomes and </w:t>
      </w:r>
      <w:r w:rsidR="000B1A71">
        <w:rPr>
          <w:lang w:val="en-GB"/>
        </w:rPr>
        <w:t>increased sustainability</w:t>
      </w:r>
      <w:r w:rsidRPr="00A33264">
        <w:rPr>
          <w:lang w:val="en-GB"/>
        </w:rPr>
        <w:t xml:space="preserve"> of the </w:t>
      </w:r>
      <w:r w:rsidR="00E85C37">
        <w:rPr>
          <w:lang w:val="en-GB"/>
        </w:rPr>
        <w:t>NDIS</w:t>
      </w:r>
      <w:r w:rsidR="009F74E5">
        <w:rPr>
          <w:lang w:val="en-GB"/>
        </w:rPr>
        <w:t xml:space="preserve"> by</w:t>
      </w:r>
      <w:r w:rsidRPr="00A33264">
        <w:rPr>
          <w:lang w:val="en-GB"/>
        </w:rPr>
        <w:t xml:space="preserve"> improv</w:t>
      </w:r>
      <w:r w:rsidR="009F74E5">
        <w:rPr>
          <w:lang w:val="en-GB"/>
        </w:rPr>
        <w:t>ing</w:t>
      </w:r>
      <w:r w:rsidRPr="00A33264">
        <w:rPr>
          <w:lang w:val="en-GB"/>
        </w:rPr>
        <w:t xml:space="preserve"> early intervention outcomes for children in the </w:t>
      </w:r>
      <w:r w:rsidR="00880C4D">
        <w:rPr>
          <w:lang w:val="en-GB"/>
        </w:rPr>
        <w:t>NDIS</w:t>
      </w:r>
      <w:r w:rsidRPr="00A33264">
        <w:rPr>
          <w:lang w:val="en-GB"/>
        </w:rPr>
        <w:t>, improv</w:t>
      </w:r>
      <w:r w:rsidR="009F74E5">
        <w:rPr>
          <w:lang w:val="en-GB"/>
        </w:rPr>
        <w:t>ing</w:t>
      </w:r>
      <w:r w:rsidRPr="00A33264">
        <w:rPr>
          <w:lang w:val="en-GB"/>
        </w:rPr>
        <w:t xml:space="preserve"> participant planning processes, and improv</w:t>
      </w:r>
      <w:r w:rsidR="009F74E5">
        <w:rPr>
          <w:lang w:val="en-GB"/>
        </w:rPr>
        <w:t>ing</w:t>
      </w:r>
      <w:r w:rsidRPr="00A33264">
        <w:rPr>
          <w:lang w:val="en-GB"/>
        </w:rPr>
        <w:t xml:space="preserve"> consistency in </w:t>
      </w:r>
      <w:r w:rsidR="009F74E5">
        <w:rPr>
          <w:lang w:val="en-GB"/>
        </w:rPr>
        <w:t>h</w:t>
      </w:r>
      <w:r w:rsidRPr="00A33264">
        <w:rPr>
          <w:lang w:val="en-GB"/>
        </w:rPr>
        <w:t xml:space="preserve">ome and </w:t>
      </w:r>
      <w:r w:rsidR="009F74E5">
        <w:rPr>
          <w:lang w:val="en-GB"/>
        </w:rPr>
        <w:t>l</w:t>
      </w:r>
      <w:r w:rsidRPr="00A33264">
        <w:rPr>
          <w:lang w:val="en-GB"/>
        </w:rPr>
        <w:t>iving eligibility decisions for participants with complex and high support needs.</w:t>
      </w:r>
      <w:r w:rsidR="00E85C37">
        <w:rPr>
          <w:lang w:val="en-GB"/>
        </w:rPr>
        <w:t xml:space="preserve"> </w:t>
      </w:r>
      <w:r w:rsidR="00E85C37">
        <w:rPr>
          <w:rFonts w:cs="Arial"/>
        </w:rPr>
        <w:t>As part of the 2023</w:t>
      </w:r>
      <w:r w:rsidR="00966323">
        <w:rPr>
          <w:lang w:val="en-GB"/>
        </w:rPr>
        <w:t>–</w:t>
      </w:r>
      <w:r w:rsidR="00E85C37">
        <w:rPr>
          <w:rFonts w:cs="Arial"/>
        </w:rPr>
        <w:t>24 Budget, t</w:t>
      </w:r>
      <w:r w:rsidR="00E85C37" w:rsidRPr="007F6332">
        <w:rPr>
          <w:rFonts w:cs="Arial"/>
        </w:rPr>
        <w:t>he NDIS Financial Sustainability Framework</w:t>
      </w:r>
      <w:r w:rsidR="00E85C37" w:rsidRPr="007F6332">
        <w:rPr>
          <w:rStyle w:val="FootnoteReference"/>
          <w:rFonts w:cs="Arial"/>
        </w:rPr>
        <w:footnoteReference w:id="5"/>
      </w:r>
      <w:r w:rsidR="00E85C37" w:rsidRPr="007F6332">
        <w:rPr>
          <w:rFonts w:cs="Arial"/>
        </w:rPr>
        <w:t xml:space="preserve"> was agreed by National Cabinet to achieve </w:t>
      </w:r>
      <w:r w:rsidR="00E85C37">
        <w:rPr>
          <w:rFonts w:cs="Arial"/>
        </w:rPr>
        <w:t xml:space="preserve">a target </w:t>
      </w:r>
      <w:r w:rsidR="00093B4B">
        <w:rPr>
          <w:rFonts w:cs="Arial"/>
        </w:rPr>
        <w:t xml:space="preserve">of </w:t>
      </w:r>
      <w:r w:rsidR="00E85C37" w:rsidRPr="007F6332">
        <w:rPr>
          <w:rFonts w:cs="Arial"/>
        </w:rPr>
        <w:t>8% growth</w:t>
      </w:r>
      <w:r w:rsidR="00E85C37">
        <w:rPr>
          <w:rFonts w:cs="Arial"/>
        </w:rPr>
        <w:t xml:space="preserve"> in </w:t>
      </w:r>
      <w:r w:rsidR="00AD1B8D">
        <w:rPr>
          <w:rFonts w:cs="Arial"/>
        </w:rPr>
        <w:t>Scheme</w:t>
      </w:r>
      <w:r w:rsidR="00E85C37">
        <w:rPr>
          <w:rFonts w:cs="Arial"/>
        </w:rPr>
        <w:t xml:space="preserve"> expenses from 1 July 2026.</w:t>
      </w:r>
      <w:r w:rsidR="00482705">
        <w:rPr>
          <w:lang w:val="en-GB"/>
        </w:rPr>
        <w:br w:type="page"/>
      </w:r>
    </w:p>
    <w:p w14:paraId="1F6CC9F9" w14:textId="296ADC15" w:rsidR="00641555" w:rsidRPr="00A33264" w:rsidRDefault="00641555" w:rsidP="00641555">
      <w:pPr>
        <w:rPr>
          <w:lang w:val="en-GB"/>
        </w:rPr>
      </w:pPr>
      <w:r w:rsidRPr="00A33264">
        <w:rPr>
          <w:lang w:val="en-GB"/>
        </w:rPr>
        <w:lastRenderedPageBreak/>
        <w:t>The NDIA has been progressi</w:t>
      </w:r>
      <w:r w:rsidR="000B1A71">
        <w:rPr>
          <w:lang w:val="en-GB"/>
        </w:rPr>
        <w:t>ng these initiatives</w:t>
      </w:r>
      <w:r w:rsidRPr="00A33264">
        <w:rPr>
          <w:lang w:val="en-GB"/>
        </w:rPr>
        <w:t xml:space="preserve"> in collaboration with people with disability and the wider disability community. Part of this work has led to a moderation in plan inflation, stabilisation in numbers of participants new to </w:t>
      </w:r>
      <w:r w:rsidR="009F74E5">
        <w:rPr>
          <w:lang w:val="en-GB"/>
        </w:rPr>
        <w:t>supported independent living</w:t>
      </w:r>
      <w:r w:rsidR="009F74E5" w:rsidRPr="00A33264">
        <w:rPr>
          <w:lang w:val="en-GB"/>
        </w:rPr>
        <w:t xml:space="preserve"> </w:t>
      </w:r>
      <w:r w:rsidRPr="00A33264">
        <w:rPr>
          <w:lang w:val="en-GB"/>
        </w:rPr>
        <w:t xml:space="preserve">supports, and increased numbers of participants leaving the </w:t>
      </w:r>
      <w:r w:rsidR="00880C4D">
        <w:rPr>
          <w:lang w:val="en-GB"/>
        </w:rPr>
        <w:t>NDIS</w:t>
      </w:r>
      <w:r w:rsidR="00880C4D" w:rsidRPr="00A33264">
        <w:rPr>
          <w:lang w:val="en-GB"/>
        </w:rPr>
        <w:t xml:space="preserve"> </w:t>
      </w:r>
      <w:r w:rsidRPr="00A33264">
        <w:rPr>
          <w:lang w:val="en-GB"/>
        </w:rPr>
        <w:t xml:space="preserve">as their support needs stabilise, including children who leave the </w:t>
      </w:r>
      <w:r w:rsidR="00880C4D">
        <w:rPr>
          <w:lang w:val="en-GB"/>
        </w:rPr>
        <w:t>NDIS</w:t>
      </w:r>
      <w:r w:rsidR="00880C4D" w:rsidRPr="00A33264">
        <w:rPr>
          <w:lang w:val="en-GB"/>
        </w:rPr>
        <w:t xml:space="preserve"> </w:t>
      </w:r>
      <w:r w:rsidRPr="00A33264">
        <w:rPr>
          <w:lang w:val="en-GB"/>
        </w:rPr>
        <w:t>after achieving their goals.</w:t>
      </w:r>
    </w:p>
    <w:p w14:paraId="2B8D0EEE" w14:textId="24915744" w:rsidR="00641555" w:rsidRPr="00A33264" w:rsidRDefault="009F74E5" w:rsidP="00641555">
      <w:pPr>
        <w:rPr>
          <w:lang w:val="en-GB"/>
        </w:rPr>
      </w:pPr>
      <w:r>
        <w:rPr>
          <w:lang w:val="en-GB"/>
        </w:rPr>
        <w:t>I</w:t>
      </w:r>
      <w:r w:rsidR="00641555" w:rsidRPr="00A33264">
        <w:rPr>
          <w:lang w:val="en-GB"/>
        </w:rPr>
        <w:t>n the 2024</w:t>
      </w:r>
      <w:r w:rsidR="00966323">
        <w:rPr>
          <w:lang w:val="en-GB"/>
        </w:rPr>
        <w:t>–</w:t>
      </w:r>
      <w:r w:rsidR="00641555" w:rsidRPr="00A33264">
        <w:rPr>
          <w:lang w:val="en-GB"/>
        </w:rPr>
        <w:t xml:space="preserve">25 Budget </w:t>
      </w:r>
      <w:r>
        <w:rPr>
          <w:lang w:val="en-GB"/>
        </w:rPr>
        <w:t xml:space="preserve">the Australian Government announced </w:t>
      </w:r>
      <w:r w:rsidR="00641555" w:rsidRPr="00A33264">
        <w:rPr>
          <w:lang w:val="en-GB"/>
        </w:rPr>
        <w:t>that an additional $468.7 million will be provided to support people with disability and get the NDIS back on track</w:t>
      </w:r>
      <w:r w:rsidR="006075FB">
        <w:rPr>
          <w:lang w:val="en-GB"/>
        </w:rPr>
        <w:t>.</w:t>
      </w:r>
      <w:r w:rsidR="00850FCB" w:rsidRPr="00A33264">
        <w:rPr>
          <w:rFonts w:cs="Arial"/>
          <w:vertAlign w:val="superscript"/>
          <w:lang w:val="en-GB"/>
        </w:rPr>
        <w:footnoteReference w:id="6"/>
      </w:r>
      <w:r w:rsidR="00641555" w:rsidRPr="00A33264">
        <w:rPr>
          <w:lang w:val="en-GB"/>
        </w:rPr>
        <w:t xml:space="preserve"> </w:t>
      </w:r>
      <w:r>
        <w:rPr>
          <w:lang w:val="en-GB"/>
        </w:rPr>
        <w:t>T</w:t>
      </w:r>
      <w:r w:rsidR="00641555" w:rsidRPr="00A33264">
        <w:rPr>
          <w:lang w:val="en-GB"/>
        </w:rPr>
        <w:t>he NDIS Amendment (Getting the NDIS Back on Track</w:t>
      </w:r>
      <w:r>
        <w:rPr>
          <w:lang w:val="en-GB"/>
        </w:rPr>
        <w:t xml:space="preserve"> No. 1</w:t>
      </w:r>
      <w:r w:rsidR="00641555" w:rsidRPr="00A33264">
        <w:rPr>
          <w:lang w:val="en-GB"/>
        </w:rPr>
        <w:t>) Bill 2024</w:t>
      </w:r>
      <w:r w:rsidR="00850FCB" w:rsidRPr="00A33264">
        <w:rPr>
          <w:rFonts w:cs="Arial"/>
          <w:vertAlign w:val="superscript"/>
          <w:lang w:val="en-GB"/>
        </w:rPr>
        <w:footnoteReference w:id="7"/>
      </w:r>
      <w:r w:rsidR="00850FCB" w:rsidRPr="00A33264">
        <w:rPr>
          <w:rFonts w:cs="Arial"/>
          <w:vertAlign w:val="superscript"/>
          <w:lang w:val="en-GB"/>
        </w:rPr>
        <w:t xml:space="preserve"> </w:t>
      </w:r>
      <w:r w:rsidR="00641555" w:rsidRPr="00A33264">
        <w:rPr>
          <w:lang w:val="en-GB"/>
        </w:rPr>
        <w:t xml:space="preserve"> </w:t>
      </w:r>
      <w:r>
        <w:rPr>
          <w:lang w:val="en-GB"/>
        </w:rPr>
        <w:t xml:space="preserve">was </w:t>
      </w:r>
      <w:r w:rsidR="00E85C37">
        <w:rPr>
          <w:lang w:val="en-GB"/>
        </w:rPr>
        <w:t xml:space="preserve">introduced to Parliament on 27 March 2024 and </w:t>
      </w:r>
      <w:r w:rsidR="000B1A71">
        <w:rPr>
          <w:lang w:val="en-GB"/>
        </w:rPr>
        <w:t>passed on 22 August 2024</w:t>
      </w:r>
      <w:r w:rsidR="00641555" w:rsidRPr="00A33264">
        <w:rPr>
          <w:lang w:val="en-GB"/>
        </w:rPr>
        <w:t xml:space="preserve">. These amendments </w:t>
      </w:r>
      <w:r>
        <w:rPr>
          <w:lang w:val="en-GB"/>
        </w:rPr>
        <w:t>will implement</w:t>
      </w:r>
      <w:r w:rsidR="000B1A71">
        <w:rPr>
          <w:lang w:val="en-GB"/>
        </w:rPr>
        <w:t xml:space="preserve"> some of</w:t>
      </w:r>
      <w:r w:rsidR="00641555" w:rsidRPr="00A33264">
        <w:rPr>
          <w:lang w:val="en-GB"/>
        </w:rPr>
        <w:t xml:space="preserve"> the recommendations of the NDIS Review</w:t>
      </w:r>
      <w:r w:rsidR="00AF2B54">
        <w:rPr>
          <w:lang w:val="en-GB"/>
        </w:rPr>
        <w:t xml:space="preserve"> that aim to</w:t>
      </w:r>
      <w:r w:rsidR="00641555" w:rsidRPr="00A33264">
        <w:rPr>
          <w:lang w:val="en-GB"/>
        </w:rPr>
        <w:t xml:space="preserve"> improv</w:t>
      </w:r>
      <w:r w:rsidR="00AF2B54">
        <w:rPr>
          <w:lang w:val="en-GB"/>
        </w:rPr>
        <w:t>e</w:t>
      </w:r>
      <w:r w:rsidR="00641555" w:rsidRPr="00A33264">
        <w:rPr>
          <w:lang w:val="en-GB"/>
        </w:rPr>
        <w:t xml:space="preserve"> participant experience and </w:t>
      </w:r>
      <w:r w:rsidR="00AF2B54">
        <w:rPr>
          <w:lang w:val="en-GB"/>
        </w:rPr>
        <w:t xml:space="preserve">the </w:t>
      </w:r>
      <w:r w:rsidR="000B1A71">
        <w:rPr>
          <w:lang w:val="en-GB"/>
        </w:rPr>
        <w:t>sustainability of the</w:t>
      </w:r>
      <w:r w:rsidR="00641555" w:rsidRPr="00A33264">
        <w:rPr>
          <w:lang w:val="en-GB"/>
        </w:rPr>
        <w:t xml:space="preserve"> </w:t>
      </w:r>
      <w:r w:rsidR="00880C4D">
        <w:rPr>
          <w:lang w:val="en-GB"/>
        </w:rPr>
        <w:t>NDIS</w:t>
      </w:r>
      <w:r w:rsidR="00880C4D" w:rsidRPr="00A33264">
        <w:rPr>
          <w:lang w:val="en-GB"/>
        </w:rPr>
        <w:t xml:space="preserve"> </w:t>
      </w:r>
      <w:r w:rsidR="00641555" w:rsidRPr="00A33264">
        <w:rPr>
          <w:lang w:val="en-GB"/>
        </w:rPr>
        <w:t>over the long term.</w:t>
      </w:r>
    </w:p>
    <w:p w14:paraId="5D828026" w14:textId="2C268E41" w:rsidR="00641555" w:rsidRPr="00A33264" w:rsidRDefault="00AF2B54" w:rsidP="00641555">
      <w:pPr>
        <w:rPr>
          <w:lang w:val="en-GB"/>
        </w:rPr>
      </w:pPr>
      <w:r>
        <w:rPr>
          <w:lang w:val="en-GB"/>
        </w:rPr>
        <w:t xml:space="preserve">The NDIA will </w:t>
      </w:r>
      <w:r w:rsidR="002C081C">
        <w:rPr>
          <w:lang w:val="en-GB"/>
        </w:rPr>
        <w:t>undertake</w:t>
      </w:r>
      <w:r>
        <w:rPr>
          <w:lang w:val="en-GB"/>
        </w:rPr>
        <w:t xml:space="preserve"> w</w:t>
      </w:r>
      <w:r w:rsidR="00641555" w:rsidRPr="00A33264">
        <w:rPr>
          <w:lang w:val="en-GB"/>
        </w:rPr>
        <w:t xml:space="preserve">ork associated with legislative changes </w:t>
      </w:r>
      <w:r w:rsidR="000B1A71">
        <w:rPr>
          <w:lang w:val="en-GB"/>
        </w:rPr>
        <w:t>through a program of co-design</w:t>
      </w:r>
      <w:r>
        <w:rPr>
          <w:lang w:val="en-GB"/>
        </w:rPr>
        <w:t xml:space="preserve"> with the disability community.</w:t>
      </w:r>
      <w:r w:rsidR="000B1A71">
        <w:rPr>
          <w:lang w:val="en-GB"/>
        </w:rPr>
        <w:t xml:space="preserve"> </w:t>
      </w:r>
      <w:r>
        <w:rPr>
          <w:lang w:val="en-GB"/>
        </w:rPr>
        <w:t>The program’s initiatives will</w:t>
      </w:r>
      <w:r w:rsidR="000B1A71">
        <w:rPr>
          <w:lang w:val="en-GB"/>
        </w:rPr>
        <w:t xml:space="preserve"> </w:t>
      </w:r>
      <w:r>
        <w:rPr>
          <w:lang w:val="en-GB"/>
        </w:rPr>
        <w:t xml:space="preserve">help to </w:t>
      </w:r>
      <w:r w:rsidR="000B1A71">
        <w:rPr>
          <w:lang w:val="en-GB"/>
        </w:rPr>
        <w:t xml:space="preserve">deliver better outcomes for participants </w:t>
      </w:r>
      <w:r w:rsidR="00641555" w:rsidRPr="00A33264">
        <w:rPr>
          <w:lang w:val="en-GB"/>
        </w:rPr>
        <w:t xml:space="preserve">and </w:t>
      </w:r>
      <w:r w:rsidR="00EE0B6D">
        <w:rPr>
          <w:lang w:val="en-GB"/>
        </w:rPr>
        <w:t xml:space="preserve">improve sustainability </w:t>
      </w:r>
      <w:r w:rsidR="00641555" w:rsidRPr="00A33264">
        <w:rPr>
          <w:lang w:val="en-GB"/>
        </w:rPr>
        <w:t xml:space="preserve">of </w:t>
      </w:r>
      <w:r w:rsidR="00697C41">
        <w:rPr>
          <w:lang w:val="en-GB"/>
        </w:rPr>
        <w:t>Scheme</w:t>
      </w:r>
      <w:r w:rsidR="00641555" w:rsidRPr="00A33264">
        <w:rPr>
          <w:lang w:val="en-GB"/>
        </w:rPr>
        <w:t xml:space="preserve"> growth</w:t>
      </w:r>
      <w:r>
        <w:rPr>
          <w:lang w:val="en-GB"/>
        </w:rPr>
        <w:t>.</w:t>
      </w:r>
      <w:r w:rsidR="00641555" w:rsidRPr="00A33264">
        <w:rPr>
          <w:lang w:val="en-GB"/>
        </w:rPr>
        <w:t xml:space="preserve"> </w:t>
      </w:r>
      <w:r>
        <w:rPr>
          <w:lang w:val="en-GB"/>
        </w:rPr>
        <w:t>They will also assist in</w:t>
      </w:r>
      <w:r w:rsidR="00641555" w:rsidRPr="00A33264">
        <w:rPr>
          <w:lang w:val="en-GB"/>
        </w:rPr>
        <w:t xml:space="preserve"> </w:t>
      </w:r>
      <w:r>
        <w:rPr>
          <w:lang w:val="en-GB"/>
        </w:rPr>
        <w:t xml:space="preserve">achieving </w:t>
      </w:r>
      <w:r w:rsidR="00641555" w:rsidRPr="00A33264">
        <w:rPr>
          <w:lang w:val="en-GB"/>
        </w:rPr>
        <w:t xml:space="preserve">the NDIS </w:t>
      </w:r>
      <w:r>
        <w:rPr>
          <w:lang w:val="en-GB"/>
        </w:rPr>
        <w:t xml:space="preserve">Financial </w:t>
      </w:r>
      <w:r w:rsidR="00641555" w:rsidRPr="00A33264">
        <w:rPr>
          <w:lang w:val="en-GB"/>
        </w:rPr>
        <w:t>Sustainability Framework</w:t>
      </w:r>
      <w:r w:rsidR="00E85C37">
        <w:rPr>
          <w:lang w:val="en-GB"/>
        </w:rPr>
        <w:t xml:space="preserve"> growth target </w:t>
      </w:r>
      <w:r>
        <w:rPr>
          <w:lang w:val="en-GB"/>
        </w:rPr>
        <w:t>set</w:t>
      </w:r>
      <w:r w:rsidR="00E85C37">
        <w:rPr>
          <w:lang w:val="en-GB"/>
        </w:rPr>
        <w:t xml:space="preserve"> by National Cabinet</w:t>
      </w:r>
      <w:r>
        <w:rPr>
          <w:lang w:val="en-GB"/>
        </w:rPr>
        <w:t xml:space="preserve">. Our work plan includes initiatives </w:t>
      </w:r>
      <w:r w:rsidR="00641555" w:rsidRPr="00A33264">
        <w:rPr>
          <w:lang w:val="en-GB"/>
        </w:rPr>
        <w:t>to reduce intra</w:t>
      </w:r>
      <w:r>
        <w:rPr>
          <w:lang w:val="en-GB"/>
        </w:rPr>
        <w:t>-</w:t>
      </w:r>
      <w:r w:rsidR="00641555" w:rsidRPr="00A33264">
        <w:rPr>
          <w:lang w:val="en-GB"/>
        </w:rPr>
        <w:t>plan inflation</w:t>
      </w:r>
      <w:r w:rsidR="00EE0B6D">
        <w:rPr>
          <w:lang w:val="en-GB"/>
        </w:rPr>
        <w:t xml:space="preserve"> </w:t>
      </w:r>
      <w:r>
        <w:rPr>
          <w:lang w:val="en-GB"/>
        </w:rPr>
        <w:t xml:space="preserve">by establishing </w:t>
      </w:r>
      <w:r w:rsidR="00EE0B6D">
        <w:rPr>
          <w:lang w:val="en-GB"/>
        </w:rPr>
        <w:t>total funding amounts, funding components and funding periods</w:t>
      </w:r>
      <w:r>
        <w:rPr>
          <w:lang w:val="en-GB"/>
        </w:rPr>
        <w:t>;</w:t>
      </w:r>
      <w:r w:rsidR="00EE0B6D">
        <w:rPr>
          <w:lang w:val="en-GB"/>
        </w:rPr>
        <w:t xml:space="preserve"> assessment and budgeting reforms that establish a new planning framework informed by a support needs assessment</w:t>
      </w:r>
      <w:r>
        <w:rPr>
          <w:lang w:val="en-GB"/>
        </w:rPr>
        <w:t>;</w:t>
      </w:r>
      <w:r w:rsidR="00EE0B6D">
        <w:rPr>
          <w:lang w:val="en-GB"/>
        </w:rPr>
        <w:t xml:space="preserve"> and changes</w:t>
      </w:r>
      <w:r w:rsidR="00641555" w:rsidRPr="00A33264">
        <w:rPr>
          <w:lang w:val="en-GB"/>
        </w:rPr>
        <w:t xml:space="preserve"> to eligibility reassessment processes for participants leaving the </w:t>
      </w:r>
      <w:r w:rsidR="00880C4D">
        <w:rPr>
          <w:lang w:val="en-GB"/>
        </w:rPr>
        <w:t>NDIS</w:t>
      </w:r>
      <w:r w:rsidR="00641555" w:rsidRPr="00A33264">
        <w:rPr>
          <w:lang w:val="en-GB"/>
        </w:rPr>
        <w:t>.</w:t>
      </w:r>
    </w:p>
    <w:p w14:paraId="727B1AC7" w14:textId="168E75B1" w:rsidR="00641555" w:rsidRPr="00A33264" w:rsidRDefault="00641555" w:rsidP="00641555">
      <w:pPr>
        <w:rPr>
          <w:lang w:val="en-GB"/>
        </w:rPr>
      </w:pPr>
      <w:r w:rsidRPr="00A33264">
        <w:rPr>
          <w:lang w:val="en-GB"/>
        </w:rPr>
        <w:t xml:space="preserve">Work is also underway to improve the integrity of the </w:t>
      </w:r>
      <w:r w:rsidR="00880C4D">
        <w:rPr>
          <w:lang w:val="en-GB"/>
        </w:rPr>
        <w:t>NDIS</w:t>
      </w:r>
      <w:r w:rsidR="00880C4D" w:rsidRPr="00A33264">
        <w:rPr>
          <w:lang w:val="en-GB"/>
        </w:rPr>
        <w:t xml:space="preserve"> </w:t>
      </w:r>
      <w:r w:rsidRPr="00A33264">
        <w:rPr>
          <w:lang w:val="en-GB"/>
        </w:rPr>
        <w:t>through the Crack Down on Fraud program</w:t>
      </w:r>
      <w:r w:rsidR="006D6329">
        <w:rPr>
          <w:lang w:val="en-GB"/>
        </w:rPr>
        <w:t>.</w:t>
      </w:r>
      <w:r w:rsidR="00E85C37" w:rsidRPr="00BC1780">
        <w:rPr>
          <w:rFonts w:cs="Arial"/>
          <w:vertAlign w:val="superscript"/>
        </w:rPr>
        <w:footnoteReference w:id="8"/>
      </w:r>
      <w:r w:rsidR="002F7DE9">
        <w:rPr>
          <w:lang w:val="en-GB"/>
        </w:rPr>
        <w:t xml:space="preserve"> </w:t>
      </w:r>
      <w:r w:rsidR="00AF2B54">
        <w:rPr>
          <w:lang w:val="en-GB"/>
        </w:rPr>
        <w:t>Under the program,</w:t>
      </w:r>
      <w:r w:rsidRPr="00A33264">
        <w:rPr>
          <w:lang w:val="en-GB"/>
        </w:rPr>
        <w:t xml:space="preserve"> </w:t>
      </w:r>
      <w:r w:rsidR="00EE0B6D">
        <w:rPr>
          <w:lang w:val="en-GB"/>
        </w:rPr>
        <w:t>technology</w:t>
      </w:r>
      <w:r w:rsidRPr="00A33264">
        <w:rPr>
          <w:lang w:val="en-GB"/>
        </w:rPr>
        <w:t xml:space="preserve"> enhancements </w:t>
      </w:r>
      <w:r w:rsidR="00AF2B54">
        <w:rPr>
          <w:lang w:val="en-GB"/>
        </w:rPr>
        <w:t xml:space="preserve">will be made </w:t>
      </w:r>
      <w:r w:rsidRPr="00A33264">
        <w:rPr>
          <w:lang w:val="en-GB"/>
        </w:rPr>
        <w:t xml:space="preserve">to prevent </w:t>
      </w:r>
      <w:r w:rsidR="00EE0B6D">
        <w:rPr>
          <w:lang w:val="en-GB"/>
        </w:rPr>
        <w:t xml:space="preserve">and reduce </w:t>
      </w:r>
      <w:r w:rsidRPr="00A33264">
        <w:rPr>
          <w:lang w:val="en-GB"/>
        </w:rPr>
        <w:t>fraud and noncompliant behaviour.</w:t>
      </w:r>
    </w:p>
    <w:p w14:paraId="757EDEA8" w14:textId="1F30BF3B" w:rsidR="00482705" w:rsidRDefault="00641555" w:rsidP="00482705">
      <w:pPr>
        <w:rPr>
          <w:lang w:val="en-GB"/>
        </w:rPr>
      </w:pPr>
      <w:r w:rsidRPr="00A33264">
        <w:rPr>
          <w:lang w:val="en-GB"/>
        </w:rPr>
        <w:t xml:space="preserve">The </w:t>
      </w:r>
      <w:r w:rsidR="00E85C37">
        <w:rPr>
          <w:lang w:val="en-GB"/>
        </w:rPr>
        <w:t>design and scope of</w:t>
      </w:r>
      <w:r w:rsidR="00EE0B6D">
        <w:rPr>
          <w:lang w:val="en-GB"/>
        </w:rPr>
        <w:t xml:space="preserve"> </w:t>
      </w:r>
      <w:r w:rsidR="00AF2B54">
        <w:rPr>
          <w:lang w:val="en-GB"/>
        </w:rPr>
        <w:t>f</w:t>
      </w:r>
      <w:r w:rsidR="00EE0B6D">
        <w:rPr>
          <w:lang w:val="en-GB"/>
        </w:rPr>
        <w:t xml:space="preserve">oundational </w:t>
      </w:r>
      <w:r w:rsidR="00AF2B54">
        <w:rPr>
          <w:lang w:val="en-GB"/>
        </w:rPr>
        <w:t>s</w:t>
      </w:r>
      <w:r w:rsidR="00EE0B6D">
        <w:rPr>
          <w:lang w:val="en-GB"/>
        </w:rPr>
        <w:t xml:space="preserve">upports to be provided </w:t>
      </w:r>
      <w:r w:rsidR="00E85C37" w:rsidRPr="00305579">
        <w:t xml:space="preserve">by </w:t>
      </w:r>
      <w:r w:rsidR="00AF2B54">
        <w:t>s</w:t>
      </w:r>
      <w:r w:rsidR="00E85C37" w:rsidRPr="00305579">
        <w:t>tates</w:t>
      </w:r>
      <w:r w:rsidR="00AF2B54">
        <w:t xml:space="preserve"> and t</w:t>
      </w:r>
      <w:r w:rsidR="00E85C37" w:rsidRPr="00305579">
        <w:t>erritories are yet to be agreed</w:t>
      </w:r>
      <w:r w:rsidR="00E85C37">
        <w:t xml:space="preserve">. However, a joint government commitment </w:t>
      </w:r>
      <w:r w:rsidR="00AF2B54">
        <w:t xml:space="preserve">is </w:t>
      </w:r>
      <w:r w:rsidR="00E85C37">
        <w:t xml:space="preserve">in place for </w:t>
      </w:r>
      <w:r w:rsidR="00AF2B54">
        <w:t>their</w:t>
      </w:r>
      <w:r w:rsidR="00E85C37">
        <w:t xml:space="preserve"> development and implementation, which will result in improved access to supports provided </w:t>
      </w:r>
      <w:r w:rsidR="00EE0B6D">
        <w:rPr>
          <w:lang w:val="en-GB"/>
        </w:rPr>
        <w:t>outside the NDIS</w:t>
      </w:r>
      <w:r w:rsidR="00E85C37">
        <w:rPr>
          <w:lang w:val="en-GB"/>
        </w:rPr>
        <w:t xml:space="preserve">. This </w:t>
      </w:r>
      <w:r w:rsidR="00AF2B54">
        <w:rPr>
          <w:lang w:val="en-GB"/>
        </w:rPr>
        <w:t>means</w:t>
      </w:r>
      <w:r w:rsidR="00E85C37">
        <w:rPr>
          <w:lang w:val="en-GB"/>
        </w:rPr>
        <w:t xml:space="preserve"> individuals who are not NDIS participants</w:t>
      </w:r>
      <w:r w:rsidR="00643E7D">
        <w:t xml:space="preserve">, </w:t>
      </w:r>
      <w:r w:rsidR="00E85C37">
        <w:rPr>
          <w:lang w:val="en-GB"/>
        </w:rPr>
        <w:t>including</w:t>
      </w:r>
      <w:r w:rsidR="00EE0B6D">
        <w:rPr>
          <w:lang w:val="en-GB"/>
        </w:rPr>
        <w:t xml:space="preserve"> children with early intervention needs</w:t>
      </w:r>
      <w:r w:rsidR="00E85C37">
        <w:rPr>
          <w:lang w:val="en-GB"/>
        </w:rPr>
        <w:t xml:space="preserve"> </w:t>
      </w:r>
      <w:r w:rsidR="00DF4A5F">
        <w:rPr>
          <w:lang w:val="en-GB"/>
        </w:rPr>
        <w:t xml:space="preserve">and </w:t>
      </w:r>
      <w:r w:rsidR="00E85C37">
        <w:rPr>
          <w:lang w:val="en-GB"/>
        </w:rPr>
        <w:t>who are relatively high functioning and have lower support needs</w:t>
      </w:r>
      <w:r w:rsidR="00834475">
        <w:t xml:space="preserve">, </w:t>
      </w:r>
      <w:r w:rsidR="00AF2B54">
        <w:rPr>
          <w:lang w:val="en-GB"/>
        </w:rPr>
        <w:t>will be better supported</w:t>
      </w:r>
      <w:r w:rsidR="00EE0B6D">
        <w:rPr>
          <w:lang w:val="en-GB"/>
        </w:rPr>
        <w:t>.</w:t>
      </w:r>
      <w:r w:rsidR="00482705">
        <w:rPr>
          <w:lang w:val="en-GB"/>
        </w:rPr>
        <w:br w:type="page"/>
      </w:r>
    </w:p>
    <w:p w14:paraId="32B090F2" w14:textId="1BF7337C" w:rsidR="00D7463A" w:rsidRDefault="00641555" w:rsidP="00641555">
      <w:pPr>
        <w:rPr>
          <w:lang w:val="en-GB"/>
        </w:rPr>
      </w:pPr>
      <w:r w:rsidRPr="00A33264">
        <w:rPr>
          <w:lang w:val="en-GB"/>
        </w:rPr>
        <w:lastRenderedPageBreak/>
        <w:t xml:space="preserve">Allowance for the expected impact of </w:t>
      </w:r>
      <w:r w:rsidR="00EE0B6D">
        <w:rPr>
          <w:lang w:val="en-GB"/>
        </w:rPr>
        <w:t>the 2023</w:t>
      </w:r>
      <w:r w:rsidR="00966323">
        <w:rPr>
          <w:lang w:val="en-GB"/>
        </w:rPr>
        <w:t>–</w:t>
      </w:r>
      <w:r w:rsidR="00EE0B6D">
        <w:rPr>
          <w:lang w:val="en-GB"/>
        </w:rPr>
        <w:t>24 Budget initiatives</w:t>
      </w:r>
      <w:r w:rsidRPr="00A33264">
        <w:rPr>
          <w:lang w:val="en-GB"/>
        </w:rPr>
        <w:t xml:space="preserve"> was first made in the June 2023 projections</w:t>
      </w:r>
      <w:r w:rsidR="00EE0B6D">
        <w:rPr>
          <w:lang w:val="en-GB"/>
        </w:rPr>
        <w:t xml:space="preserve"> and</w:t>
      </w:r>
      <w:r w:rsidRPr="00A33264">
        <w:rPr>
          <w:lang w:val="en-GB"/>
        </w:rPr>
        <w:t xml:space="preserve"> reported in the 2022</w:t>
      </w:r>
      <w:r w:rsidR="00966323">
        <w:rPr>
          <w:lang w:val="en-GB"/>
        </w:rPr>
        <w:t>–</w:t>
      </w:r>
      <w:r w:rsidRPr="00A33264">
        <w:rPr>
          <w:lang w:val="en-GB"/>
        </w:rPr>
        <w:t>23 AFSR</w:t>
      </w:r>
      <w:r w:rsidR="00966323">
        <w:rPr>
          <w:lang w:val="en-GB"/>
        </w:rPr>
        <w:t>. With implementation of these initiatives now in progress</w:t>
      </w:r>
      <w:r w:rsidRPr="00A33264">
        <w:rPr>
          <w:lang w:val="en-GB"/>
        </w:rPr>
        <w:t xml:space="preserve">, the </w:t>
      </w:r>
      <w:r w:rsidR="00966323">
        <w:rPr>
          <w:lang w:val="en-GB"/>
        </w:rPr>
        <w:t xml:space="preserve">assumptions underlying the 2024–25 Budget projections and </w:t>
      </w:r>
      <w:r w:rsidRPr="00A33264">
        <w:rPr>
          <w:lang w:val="en-GB"/>
        </w:rPr>
        <w:t>June 2024 projections</w:t>
      </w:r>
      <w:r w:rsidR="00966323">
        <w:rPr>
          <w:lang w:val="en-GB"/>
        </w:rPr>
        <w:t xml:space="preserve"> fully incorporate these impacts</w:t>
      </w:r>
      <w:r w:rsidRPr="00A33264">
        <w:rPr>
          <w:lang w:val="en-GB"/>
        </w:rPr>
        <w:t>.</w:t>
      </w:r>
    </w:p>
    <w:p w14:paraId="7A5D8F9C" w14:textId="455090F0" w:rsidR="00966323" w:rsidRPr="00966323" w:rsidRDefault="00966323" w:rsidP="00966323">
      <w:pPr>
        <w:rPr>
          <w:lang w:val="en-GB"/>
        </w:rPr>
      </w:pPr>
      <w:r w:rsidRPr="00966323">
        <w:rPr>
          <w:lang w:val="en-GB"/>
        </w:rPr>
        <w:t>In the 2024</w:t>
      </w:r>
      <w:r>
        <w:rPr>
          <w:lang w:val="en-GB"/>
        </w:rPr>
        <w:t>–</w:t>
      </w:r>
      <w:r w:rsidRPr="00966323">
        <w:rPr>
          <w:lang w:val="en-GB"/>
        </w:rPr>
        <w:t xml:space="preserve">25 Budget </w:t>
      </w:r>
      <w:r w:rsidR="00AF2B54">
        <w:rPr>
          <w:lang w:val="en-GB"/>
        </w:rPr>
        <w:t>p</w:t>
      </w:r>
      <w:r w:rsidRPr="00966323">
        <w:rPr>
          <w:lang w:val="en-GB"/>
        </w:rPr>
        <w:t>rojections</w:t>
      </w:r>
      <w:r w:rsidR="00AF2B54">
        <w:rPr>
          <w:lang w:val="en-GB"/>
        </w:rPr>
        <w:t>,</w:t>
      </w:r>
      <w:r w:rsidRPr="00966323">
        <w:rPr>
          <w:lang w:val="en-GB"/>
        </w:rPr>
        <w:t xml:space="preserve"> allowances were introduced for the estimated impact of the work associated with the legislative changes, as well as the Crack Down on Fraud program </w:t>
      </w:r>
      <w:r w:rsidR="00AF2B54">
        <w:rPr>
          <w:lang w:val="en-GB"/>
        </w:rPr>
        <w:t>(</w:t>
      </w:r>
      <w:r w:rsidRPr="00966323">
        <w:rPr>
          <w:lang w:val="en-GB"/>
        </w:rPr>
        <w:t xml:space="preserve">together referred to as </w:t>
      </w:r>
      <w:r w:rsidR="00E01A08" w:rsidRPr="006E137F">
        <w:rPr>
          <w:lang w:val="en-GB"/>
        </w:rPr>
        <w:t>‘</w:t>
      </w:r>
      <w:r w:rsidRPr="00966323">
        <w:rPr>
          <w:lang w:val="en-GB"/>
        </w:rPr>
        <w:t>Recent Reforms</w:t>
      </w:r>
      <w:r w:rsidR="00AF2B54">
        <w:rPr>
          <w:lang w:val="en-GB"/>
        </w:rPr>
        <w:t>’)</w:t>
      </w:r>
      <w:r w:rsidRPr="00966323">
        <w:rPr>
          <w:lang w:val="en-GB"/>
        </w:rPr>
        <w:t xml:space="preserve">. </w:t>
      </w:r>
    </w:p>
    <w:p w14:paraId="1D30C27A" w14:textId="4FA5BFFF" w:rsidR="00966323" w:rsidRPr="00A33264" w:rsidRDefault="00966323" w:rsidP="00966323">
      <w:r w:rsidRPr="4098097C">
        <w:t xml:space="preserve">The June 2024 projections allow for the estimated impact of Recent Reforms and also a potential impact of </w:t>
      </w:r>
      <w:r w:rsidR="00AF2B54" w:rsidRPr="4098097C">
        <w:t>f</w:t>
      </w:r>
      <w:r w:rsidRPr="4098097C">
        <w:t xml:space="preserve">oundational </w:t>
      </w:r>
      <w:r w:rsidR="00AF2B54" w:rsidRPr="4098097C">
        <w:t>s</w:t>
      </w:r>
      <w:r w:rsidRPr="4098097C">
        <w:t xml:space="preserve">upports to be provided outside the NDIS for children with early intervention needs. Collectively, the work associated with legislative changes, the Crack Down on Fraud program and </w:t>
      </w:r>
      <w:r w:rsidR="00AF2B54" w:rsidRPr="4098097C">
        <w:t>f</w:t>
      </w:r>
      <w:r w:rsidRPr="4098097C">
        <w:t xml:space="preserve">oundational </w:t>
      </w:r>
      <w:r w:rsidR="00AF2B54" w:rsidRPr="4098097C">
        <w:t>s</w:t>
      </w:r>
      <w:r w:rsidRPr="4098097C">
        <w:t xml:space="preserve">upports are referred to as </w:t>
      </w:r>
      <w:r w:rsidR="00E01A08" w:rsidRPr="4098097C">
        <w:t>‘</w:t>
      </w:r>
      <w:r w:rsidRPr="4098097C">
        <w:t>Recent and Proposed Reforms</w:t>
      </w:r>
      <w:r w:rsidR="00AF2B54" w:rsidRPr="4098097C">
        <w:t>’</w:t>
      </w:r>
      <w:r w:rsidRPr="4098097C">
        <w:t>.</w:t>
      </w:r>
    </w:p>
    <w:p w14:paraId="2FD058AF" w14:textId="5E2C250F" w:rsidR="00D7463A" w:rsidRPr="00A33264" w:rsidRDefault="00D7463A" w:rsidP="00D7463A">
      <w:pPr>
        <w:pStyle w:val="Heading3"/>
        <w:rPr>
          <w:lang w:val="en-GB"/>
        </w:rPr>
      </w:pPr>
      <w:bookmarkStart w:id="261" w:name="_Toc169592969"/>
      <w:bookmarkStart w:id="262" w:name="_Toc174354194"/>
      <w:bookmarkStart w:id="263" w:name="_Toc175316898"/>
      <w:bookmarkStart w:id="264" w:name="_Toc176786389"/>
      <w:bookmarkStart w:id="265" w:name="_Toc180505671"/>
      <w:r w:rsidRPr="00A33264">
        <w:rPr>
          <w:lang w:val="en-GB"/>
        </w:rPr>
        <w:t xml:space="preserve">June 2024 projection of </w:t>
      </w:r>
      <w:r w:rsidR="00C31002">
        <w:rPr>
          <w:lang w:val="en-GB"/>
        </w:rPr>
        <w:t>Scheme</w:t>
      </w:r>
      <w:r w:rsidR="00880C4D" w:rsidRPr="00A33264">
        <w:rPr>
          <w:lang w:val="en-GB"/>
        </w:rPr>
        <w:t xml:space="preserve"> </w:t>
      </w:r>
      <w:r w:rsidRPr="00A33264">
        <w:rPr>
          <w:lang w:val="en-GB"/>
        </w:rPr>
        <w:t>expenses</w:t>
      </w:r>
      <w:bookmarkEnd w:id="261"/>
      <w:bookmarkEnd w:id="262"/>
      <w:bookmarkEnd w:id="263"/>
      <w:bookmarkEnd w:id="264"/>
      <w:bookmarkEnd w:id="265"/>
    </w:p>
    <w:p w14:paraId="7FFCF366" w14:textId="0199D0E6" w:rsidR="00641555" w:rsidRPr="00A33264" w:rsidRDefault="00641555" w:rsidP="00641555">
      <w:pPr>
        <w:rPr>
          <w:lang w:val="en-GB"/>
        </w:rPr>
      </w:pPr>
      <w:r w:rsidRPr="00A33264">
        <w:rPr>
          <w:lang w:val="en-GB"/>
        </w:rPr>
        <w:t xml:space="preserve">Projected </w:t>
      </w:r>
      <w:r w:rsidR="007C763F">
        <w:rPr>
          <w:lang w:val="en-GB"/>
        </w:rPr>
        <w:t>Scheme</w:t>
      </w:r>
      <w:r w:rsidR="00880C4D" w:rsidRPr="00A33264">
        <w:rPr>
          <w:lang w:val="en-GB"/>
        </w:rPr>
        <w:t xml:space="preserve"> </w:t>
      </w:r>
      <w:r w:rsidRPr="00A33264">
        <w:rPr>
          <w:lang w:val="en-GB"/>
        </w:rPr>
        <w:t xml:space="preserve">expenses on an accrual basis </w:t>
      </w:r>
      <w:r w:rsidR="00966323">
        <w:rPr>
          <w:lang w:val="en-GB"/>
        </w:rPr>
        <w:t>a</w:t>
      </w:r>
      <w:r w:rsidRPr="00A33264">
        <w:rPr>
          <w:lang w:val="en-GB"/>
        </w:rPr>
        <w:t>re $46.9 billion in 2024</w:t>
      </w:r>
      <w:r w:rsidR="005A19CA">
        <w:rPr>
          <w:lang w:val="en-GB"/>
        </w:rPr>
        <w:t>–</w:t>
      </w:r>
      <w:r w:rsidRPr="00A33264">
        <w:rPr>
          <w:lang w:val="en-GB"/>
        </w:rPr>
        <w:t>25, increasing to $58.4 billion in 2027</w:t>
      </w:r>
      <w:r w:rsidR="00966323">
        <w:rPr>
          <w:lang w:val="en-GB"/>
        </w:rPr>
        <w:t>–</w:t>
      </w:r>
      <w:r w:rsidRPr="00A33264">
        <w:rPr>
          <w:lang w:val="en-GB"/>
        </w:rPr>
        <w:t>28</w:t>
      </w:r>
      <w:r w:rsidR="00AF2B54">
        <w:rPr>
          <w:lang w:val="en-GB"/>
        </w:rPr>
        <w:t>.</w:t>
      </w:r>
      <w:r w:rsidR="00850FCB" w:rsidRPr="00A33264">
        <w:rPr>
          <w:rFonts w:cs="Arial"/>
          <w:vertAlign w:val="superscript"/>
          <w:lang w:val="en-GB"/>
        </w:rPr>
        <w:footnoteReference w:id="9"/>
      </w:r>
      <w:r w:rsidRPr="00A33264">
        <w:rPr>
          <w:lang w:val="en-GB"/>
        </w:rPr>
        <w:t xml:space="preserve"> Table </w:t>
      </w:r>
      <w:r w:rsidR="00A27A9C">
        <w:rPr>
          <w:lang w:val="en-GB"/>
        </w:rPr>
        <w:t>1</w:t>
      </w:r>
      <w:r w:rsidRPr="00A33264">
        <w:rPr>
          <w:lang w:val="en-GB"/>
        </w:rPr>
        <w:t xml:space="preserve"> shows that total projected </w:t>
      </w:r>
      <w:r w:rsidR="007C763F">
        <w:rPr>
          <w:lang w:val="en-GB"/>
        </w:rPr>
        <w:t>Scheme</w:t>
      </w:r>
      <w:r w:rsidR="00880C4D" w:rsidRPr="00A33264">
        <w:rPr>
          <w:lang w:val="en-GB"/>
        </w:rPr>
        <w:t xml:space="preserve"> </w:t>
      </w:r>
      <w:r w:rsidRPr="00A33264">
        <w:rPr>
          <w:lang w:val="en-GB"/>
        </w:rPr>
        <w:t xml:space="preserve">expenses are $210.3 billion for the </w:t>
      </w:r>
      <w:r w:rsidR="00A50D1B">
        <w:rPr>
          <w:lang w:val="en-GB"/>
        </w:rPr>
        <w:t>4</w:t>
      </w:r>
      <w:r w:rsidR="00A50D1B" w:rsidRPr="00A33264">
        <w:rPr>
          <w:lang w:val="en-GB"/>
        </w:rPr>
        <w:t xml:space="preserve"> </w:t>
      </w:r>
      <w:r w:rsidRPr="00A33264">
        <w:rPr>
          <w:lang w:val="en-GB"/>
        </w:rPr>
        <w:t>years to June 2028</w:t>
      </w:r>
      <w:r w:rsidR="00732BBD" w:rsidRPr="00732BBD">
        <w:t>—</w:t>
      </w:r>
      <w:r w:rsidRPr="00A33264">
        <w:rPr>
          <w:lang w:val="en-GB"/>
        </w:rPr>
        <w:t xml:space="preserve">approximately $1 billion lower than for the same </w:t>
      </w:r>
      <w:r w:rsidR="00A50D1B">
        <w:rPr>
          <w:lang w:val="en-GB"/>
        </w:rPr>
        <w:t>4</w:t>
      </w:r>
      <w:r w:rsidRPr="00A33264">
        <w:rPr>
          <w:lang w:val="en-GB"/>
        </w:rPr>
        <w:t>-year period in the 2024</w:t>
      </w:r>
      <w:r w:rsidR="00966323">
        <w:rPr>
          <w:lang w:val="en-GB"/>
        </w:rPr>
        <w:t>–</w:t>
      </w:r>
      <w:r w:rsidRPr="00A33264">
        <w:rPr>
          <w:lang w:val="en-GB"/>
        </w:rPr>
        <w:t>25 Budget projections</w:t>
      </w:r>
      <w:r w:rsidR="001C1BF6">
        <w:rPr>
          <w:lang w:val="en-GB"/>
        </w:rPr>
        <w:t xml:space="preserve"> and </w:t>
      </w:r>
      <w:r w:rsidR="006F5763">
        <w:rPr>
          <w:lang w:val="en-GB"/>
        </w:rPr>
        <w:t>$2.3 billion lower than in the June 2023 projections</w:t>
      </w:r>
      <w:r w:rsidRPr="00A33264">
        <w:rPr>
          <w:lang w:val="en-GB"/>
        </w:rPr>
        <w:t xml:space="preserve">. </w:t>
      </w:r>
    </w:p>
    <w:p w14:paraId="2171422E" w14:textId="110495A3" w:rsidR="00482705" w:rsidRDefault="00641555" w:rsidP="00482705">
      <w:pPr>
        <w:rPr>
          <w:u w:val="single"/>
          <w:lang w:val="en-GB"/>
        </w:rPr>
      </w:pPr>
      <w:r w:rsidRPr="00A33264">
        <w:rPr>
          <w:lang w:val="en-GB"/>
        </w:rPr>
        <w:t xml:space="preserve">The June 2024 projections of </w:t>
      </w:r>
      <w:r w:rsidR="00DB7986">
        <w:rPr>
          <w:lang w:val="en-GB"/>
        </w:rPr>
        <w:t>Scheme</w:t>
      </w:r>
      <w:r w:rsidR="00880C4D" w:rsidRPr="00A33264">
        <w:rPr>
          <w:lang w:val="en-GB"/>
        </w:rPr>
        <w:t xml:space="preserve"> </w:t>
      </w:r>
      <w:r w:rsidRPr="00A33264">
        <w:rPr>
          <w:lang w:val="en-GB"/>
        </w:rPr>
        <w:t xml:space="preserve">expenses incorporate revisions to assumptions and changes in future expectations since the previous review and forecast </w:t>
      </w:r>
      <w:r w:rsidR="00BD7EC4">
        <w:rPr>
          <w:lang w:val="en-GB"/>
        </w:rPr>
        <w:t>Scheme</w:t>
      </w:r>
      <w:r w:rsidR="00880C4D">
        <w:rPr>
          <w:lang w:val="en-GB"/>
        </w:rPr>
        <w:t xml:space="preserve"> </w:t>
      </w:r>
      <w:r w:rsidRPr="00A33264">
        <w:rPr>
          <w:lang w:val="en-GB"/>
        </w:rPr>
        <w:t>projections in the 2024</w:t>
      </w:r>
      <w:r w:rsidR="00966323">
        <w:rPr>
          <w:lang w:val="en-GB"/>
        </w:rPr>
        <w:t>–</w:t>
      </w:r>
      <w:r w:rsidRPr="00A33264">
        <w:rPr>
          <w:lang w:val="en-GB"/>
        </w:rPr>
        <w:t xml:space="preserve">25 Budget. These updated projections allow for the expected impact of the </w:t>
      </w:r>
      <w:r w:rsidR="00966323">
        <w:rPr>
          <w:lang w:val="en-GB"/>
        </w:rPr>
        <w:t>Recent and Proposed</w:t>
      </w:r>
      <w:r w:rsidR="00880C4D" w:rsidRPr="00A33264">
        <w:rPr>
          <w:lang w:val="en-GB"/>
        </w:rPr>
        <w:t xml:space="preserve"> </w:t>
      </w:r>
      <w:r w:rsidRPr="00A33264">
        <w:rPr>
          <w:lang w:val="en-GB"/>
        </w:rPr>
        <w:t xml:space="preserve">Reforms, </w:t>
      </w:r>
      <w:r w:rsidR="00C34832">
        <w:rPr>
          <w:lang w:val="en-GB"/>
        </w:rPr>
        <w:t xml:space="preserve">which themselves are </w:t>
      </w:r>
      <w:r w:rsidRPr="00A33264">
        <w:rPr>
          <w:lang w:val="en-GB"/>
        </w:rPr>
        <w:t xml:space="preserve">aimed </w:t>
      </w:r>
      <w:r w:rsidR="00456C2E">
        <w:rPr>
          <w:lang w:val="en-GB"/>
        </w:rPr>
        <w:t>at</w:t>
      </w:r>
      <w:r w:rsidRPr="00A33264">
        <w:rPr>
          <w:lang w:val="en-GB"/>
        </w:rPr>
        <w:t xml:space="preserve"> improv</w:t>
      </w:r>
      <w:r w:rsidR="00456C2E">
        <w:rPr>
          <w:lang w:val="en-GB"/>
        </w:rPr>
        <w:t>ing</w:t>
      </w:r>
      <w:r w:rsidRPr="00A33264">
        <w:rPr>
          <w:lang w:val="en-GB"/>
        </w:rPr>
        <w:t xml:space="preserve"> </w:t>
      </w:r>
      <w:r w:rsidR="00456C2E">
        <w:rPr>
          <w:lang w:val="en-GB"/>
        </w:rPr>
        <w:t xml:space="preserve">the </w:t>
      </w:r>
      <w:r w:rsidRPr="00A33264">
        <w:rPr>
          <w:lang w:val="en-GB"/>
        </w:rPr>
        <w:t xml:space="preserve">experience of participants in the </w:t>
      </w:r>
      <w:r w:rsidR="00880C4D">
        <w:rPr>
          <w:lang w:val="en-GB"/>
        </w:rPr>
        <w:t>NDIS</w:t>
      </w:r>
      <w:r w:rsidRPr="00A33264">
        <w:rPr>
          <w:lang w:val="en-GB"/>
        </w:rPr>
        <w:t xml:space="preserve"> and </w:t>
      </w:r>
      <w:r w:rsidR="00EE0B6D">
        <w:rPr>
          <w:lang w:val="en-GB"/>
        </w:rPr>
        <w:t>improv</w:t>
      </w:r>
      <w:r w:rsidR="00EA3DD3">
        <w:rPr>
          <w:lang w:val="en-GB"/>
        </w:rPr>
        <w:t>ing</w:t>
      </w:r>
      <w:r w:rsidR="00EE0B6D">
        <w:rPr>
          <w:lang w:val="en-GB"/>
        </w:rPr>
        <w:t xml:space="preserve"> sustainability of</w:t>
      </w:r>
      <w:r w:rsidRPr="00A33264">
        <w:rPr>
          <w:lang w:val="en-GB"/>
        </w:rPr>
        <w:t xml:space="preserve"> </w:t>
      </w:r>
      <w:r w:rsidR="001A4FD6">
        <w:rPr>
          <w:lang w:val="en-GB"/>
        </w:rPr>
        <w:t>Scheme</w:t>
      </w:r>
      <w:r w:rsidR="00880C4D" w:rsidRPr="00A33264">
        <w:rPr>
          <w:lang w:val="en-GB"/>
        </w:rPr>
        <w:t xml:space="preserve"> </w:t>
      </w:r>
      <w:r w:rsidR="00EE0B6D">
        <w:rPr>
          <w:lang w:val="en-GB"/>
        </w:rPr>
        <w:t>growth</w:t>
      </w:r>
      <w:r w:rsidRPr="00A33264">
        <w:rPr>
          <w:lang w:val="en-GB"/>
        </w:rPr>
        <w:t xml:space="preserve"> over the longer</w:t>
      </w:r>
      <w:r w:rsidR="003F6313">
        <w:rPr>
          <w:lang w:val="en-GB"/>
        </w:rPr>
        <w:t xml:space="preserve"> </w:t>
      </w:r>
      <w:r w:rsidRPr="00A33264">
        <w:rPr>
          <w:lang w:val="en-GB"/>
        </w:rPr>
        <w:t>term.</w:t>
      </w:r>
      <w:r w:rsidR="00482705">
        <w:rPr>
          <w:u w:val="single"/>
          <w:lang w:val="en-GB"/>
        </w:rPr>
        <w:br w:type="page"/>
      </w:r>
    </w:p>
    <w:p w14:paraId="23511E85" w14:textId="2C24F900" w:rsidR="00641555" w:rsidRPr="00A33264" w:rsidRDefault="00641555" w:rsidP="00641555">
      <w:pPr>
        <w:rPr>
          <w:u w:val="single"/>
          <w:lang w:val="en-GB"/>
        </w:rPr>
      </w:pPr>
      <w:r w:rsidRPr="00A33264">
        <w:rPr>
          <w:u w:val="single"/>
          <w:lang w:val="en-GB"/>
        </w:rPr>
        <w:lastRenderedPageBreak/>
        <w:t xml:space="preserve">Table </w:t>
      </w:r>
      <w:r w:rsidR="00A27A9C">
        <w:rPr>
          <w:u w:val="single"/>
          <w:lang w:val="en-GB"/>
        </w:rPr>
        <w:t>1</w:t>
      </w:r>
      <w:r w:rsidRPr="00A33264">
        <w:rPr>
          <w:u w:val="single"/>
          <w:lang w:val="en-GB"/>
        </w:rPr>
        <w:t>: Comparison with previous projections</w:t>
      </w:r>
    </w:p>
    <w:tbl>
      <w:tblPr>
        <w:tblStyle w:val="GridTable4-Accent1"/>
        <w:tblW w:w="9061" w:type="dxa"/>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CellMar>
          <w:top w:w="28" w:type="dxa"/>
          <w:left w:w="28" w:type="dxa"/>
          <w:bottom w:w="28" w:type="dxa"/>
          <w:right w:w="28" w:type="dxa"/>
        </w:tblCellMar>
        <w:tblLook w:val="04A0" w:firstRow="1" w:lastRow="0" w:firstColumn="1" w:lastColumn="0" w:noHBand="0" w:noVBand="1"/>
      </w:tblPr>
      <w:tblGrid>
        <w:gridCol w:w="3676"/>
        <w:gridCol w:w="1077"/>
        <w:gridCol w:w="1077"/>
        <w:gridCol w:w="1077"/>
        <w:gridCol w:w="1077"/>
        <w:gridCol w:w="1077"/>
      </w:tblGrid>
      <w:tr w:rsidR="004B375F" w:rsidRPr="00A33264" w14:paraId="2B1ADAA2" w14:textId="77777777" w:rsidTr="005A19C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676" w:type="dxa"/>
            <w:tcBorders>
              <w:right w:val="single" w:sz="4" w:space="0" w:color="F9F9F9" w:themeColor="background1"/>
            </w:tcBorders>
            <w:hideMark/>
          </w:tcPr>
          <w:p w14:paraId="50D0B1E8" w14:textId="2B60382F" w:rsidR="00641555" w:rsidRPr="00A33264" w:rsidRDefault="00730C5F" w:rsidP="004B375F">
            <w:pPr>
              <w:pStyle w:val="TableBody"/>
              <w:rPr>
                <w:lang w:val="en-GB"/>
              </w:rPr>
            </w:pPr>
            <w:bookmarkStart w:id="266" w:name="Title_Table1"/>
            <w:bookmarkEnd w:id="266"/>
            <w:r>
              <w:rPr>
                <w:lang w:val="en-GB"/>
              </w:rPr>
              <w:t>Scheme</w:t>
            </w:r>
            <w:r w:rsidR="00880C4D" w:rsidRPr="00A33264">
              <w:rPr>
                <w:lang w:val="en-GB"/>
              </w:rPr>
              <w:t xml:space="preserve"> </w:t>
            </w:r>
            <w:r w:rsidR="00AF2B54">
              <w:rPr>
                <w:lang w:val="en-GB"/>
              </w:rPr>
              <w:t>e</w:t>
            </w:r>
            <w:r w:rsidR="00641555" w:rsidRPr="00A33264">
              <w:rPr>
                <w:lang w:val="en-GB"/>
              </w:rPr>
              <w:t xml:space="preserve">xpenses (accrual basis) </w:t>
            </w:r>
          </w:p>
        </w:tc>
        <w:tc>
          <w:tcPr>
            <w:tcW w:w="1077" w:type="dxa"/>
            <w:tcBorders>
              <w:left w:val="single" w:sz="4" w:space="0" w:color="F9F9F9" w:themeColor="background1"/>
              <w:right w:val="single" w:sz="4" w:space="0" w:color="F9F9F9" w:themeColor="background1"/>
            </w:tcBorders>
            <w:noWrap/>
            <w:hideMark/>
          </w:tcPr>
          <w:p w14:paraId="7145EDBD" w14:textId="7D5D4456" w:rsidR="00641555" w:rsidRPr="00A33264" w:rsidRDefault="00641555"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lang w:val="en-GB"/>
              </w:rPr>
              <w:t>2024</w:t>
            </w:r>
            <w:r w:rsidR="005A19CA">
              <w:rPr>
                <w:lang w:val="en-GB"/>
              </w:rPr>
              <w:t>–</w:t>
            </w:r>
            <w:r w:rsidRPr="00A33264">
              <w:rPr>
                <w:lang w:val="en-GB"/>
              </w:rPr>
              <w:t>25</w:t>
            </w:r>
            <w:r w:rsidR="00AF2B54">
              <w:rPr>
                <w:lang w:val="en-GB"/>
              </w:rPr>
              <w:t xml:space="preserve"> ($m)</w:t>
            </w:r>
          </w:p>
        </w:tc>
        <w:tc>
          <w:tcPr>
            <w:tcW w:w="1077" w:type="dxa"/>
            <w:tcBorders>
              <w:left w:val="single" w:sz="4" w:space="0" w:color="F9F9F9" w:themeColor="background1"/>
              <w:right w:val="single" w:sz="4" w:space="0" w:color="F9F9F9" w:themeColor="background1"/>
            </w:tcBorders>
            <w:noWrap/>
            <w:hideMark/>
          </w:tcPr>
          <w:p w14:paraId="22BE7169" w14:textId="0D7059F5" w:rsidR="00641555" w:rsidRPr="00A33264" w:rsidRDefault="00641555"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lang w:val="en-GB"/>
              </w:rPr>
              <w:t>2025</w:t>
            </w:r>
            <w:r w:rsidR="005A19CA">
              <w:rPr>
                <w:lang w:val="en-GB"/>
              </w:rPr>
              <w:t>–</w:t>
            </w:r>
            <w:r w:rsidRPr="00A33264">
              <w:rPr>
                <w:lang w:val="en-GB"/>
              </w:rPr>
              <w:t>26</w:t>
            </w:r>
            <w:r w:rsidR="00AF2B54">
              <w:rPr>
                <w:lang w:val="en-GB"/>
              </w:rPr>
              <w:t xml:space="preserve"> ($m)</w:t>
            </w:r>
          </w:p>
        </w:tc>
        <w:tc>
          <w:tcPr>
            <w:tcW w:w="1077" w:type="dxa"/>
            <w:tcBorders>
              <w:left w:val="single" w:sz="4" w:space="0" w:color="F9F9F9" w:themeColor="background1"/>
              <w:right w:val="single" w:sz="4" w:space="0" w:color="F9F9F9" w:themeColor="background1"/>
            </w:tcBorders>
            <w:noWrap/>
            <w:hideMark/>
          </w:tcPr>
          <w:p w14:paraId="7F118575" w14:textId="4B7089AB" w:rsidR="00641555" w:rsidRPr="00A33264" w:rsidRDefault="00641555"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lang w:val="en-GB"/>
              </w:rPr>
              <w:t>2026</w:t>
            </w:r>
            <w:r w:rsidR="005A19CA">
              <w:rPr>
                <w:lang w:val="en-GB"/>
              </w:rPr>
              <w:t>–</w:t>
            </w:r>
            <w:r w:rsidRPr="00A33264">
              <w:rPr>
                <w:lang w:val="en-GB"/>
              </w:rPr>
              <w:t>27</w:t>
            </w:r>
            <w:r w:rsidR="00AF2B54">
              <w:rPr>
                <w:lang w:val="en-GB"/>
              </w:rPr>
              <w:t xml:space="preserve"> ($m)</w:t>
            </w:r>
          </w:p>
        </w:tc>
        <w:tc>
          <w:tcPr>
            <w:tcW w:w="1077" w:type="dxa"/>
            <w:tcBorders>
              <w:left w:val="single" w:sz="4" w:space="0" w:color="F9F9F9" w:themeColor="background1"/>
              <w:right w:val="single" w:sz="4" w:space="0" w:color="F9F9F9" w:themeColor="background1"/>
            </w:tcBorders>
            <w:noWrap/>
            <w:hideMark/>
          </w:tcPr>
          <w:p w14:paraId="5E39E22C" w14:textId="592A61EF" w:rsidR="00641555" w:rsidRPr="00A33264" w:rsidRDefault="00641555"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lang w:val="en-GB"/>
              </w:rPr>
              <w:t>2027</w:t>
            </w:r>
            <w:r w:rsidR="005A19CA">
              <w:rPr>
                <w:lang w:val="en-GB"/>
              </w:rPr>
              <w:t>–</w:t>
            </w:r>
            <w:r w:rsidRPr="00A33264">
              <w:rPr>
                <w:lang w:val="en-GB"/>
              </w:rPr>
              <w:t>28</w:t>
            </w:r>
            <w:r w:rsidR="00AF2B54">
              <w:rPr>
                <w:lang w:val="en-GB"/>
              </w:rPr>
              <w:t xml:space="preserve"> ($m)</w:t>
            </w:r>
          </w:p>
        </w:tc>
        <w:tc>
          <w:tcPr>
            <w:tcW w:w="1077" w:type="dxa"/>
            <w:tcBorders>
              <w:left w:val="single" w:sz="4" w:space="0" w:color="F9F9F9" w:themeColor="background1"/>
            </w:tcBorders>
            <w:hideMark/>
          </w:tcPr>
          <w:p w14:paraId="6DA697CF" w14:textId="78C04A5C" w:rsidR="00641555" w:rsidRPr="00A33264" w:rsidRDefault="00641555"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lang w:val="en-GB"/>
              </w:rPr>
              <w:t>Total 2024</w:t>
            </w:r>
            <w:r w:rsidR="005A19CA">
              <w:rPr>
                <w:lang w:val="en-GB"/>
              </w:rPr>
              <w:t>–</w:t>
            </w:r>
            <w:r w:rsidRPr="00A33264">
              <w:rPr>
                <w:lang w:val="en-GB"/>
              </w:rPr>
              <w:t>28</w:t>
            </w:r>
            <w:r w:rsidR="00AF2B54">
              <w:rPr>
                <w:lang w:val="en-GB"/>
              </w:rPr>
              <w:t xml:space="preserve"> ($m)</w:t>
            </w:r>
          </w:p>
        </w:tc>
      </w:tr>
      <w:tr w:rsidR="00C27C63" w:rsidRPr="00A33264" w14:paraId="764BC86E" w14:textId="77777777" w:rsidTr="00C27C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676" w:type="dxa"/>
            <w:shd w:val="clear" w:color="auto" w:fill="F2E2F2"/>
            <w:noWrap/>
            <w:hideMark/>
          </w:tcPr>
          <w:p w14:paraId="4A4BAEE8" w14:textId="7B179A84" w:rsidR="00641555" w:rsidRPr="00A33264" w:rsidRDefault="00641555" w:rsidP="004B375F">
            <w:pPr>
              <w:pStyle w:val="TableBody"/>
              <w:rPr>
                <w:lang w:val="en-GB"/>
              </w:rPr>
            </w:pPr>
            <w:r w:rsidRPr="00A33264">
              <w:rPr>
                <w:lang w:val="en-GB"/>
              </w:rPr>
              <w:t>June 2024 projections (a)</w:t>
            </w:r>
          </w:p>
        </w:tc>
        <w:tc>
          <w:tcPr>
            <w:tcW w:w="1077" w:type="dxa"/>
            <w:shd w:val="clear" w:color="auto" w:fill="auto"/>
            <w:noWrap/>
            <w:hideMark/>
          </w:tcPr>
          <w:p w14:paraId="5481C9C7"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46,865</w:t>
            </w:r>
          </w:p>
        </w:tc>
        <w:tc>
          <w:tcPr>
            <w:tcW w:w="1077" w:type="dxa"/>
            <w:shd w:val="clear" w:color="auto" w:fill="auto"/>
            <w:noWrap/>
            <w:hideMark/>
          </w:tcPr>
          <w:p w14:paraId="1226CCC9"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50,789</w:t>
            </w:r>
          </w:p>
        </w:tc>
        <w:tc>
          <w:tcPr>
            <w:tcW w:w="1077" w:type="dxa"/>
            <w:shd w:val="clear" w:color="auto" w:fill="auto"/>
            <w:noWrap/>
            <w:hideMark/>
          </w:tcPr>
          <w:p w14:paraId="758AE74D"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54,215</w:t>
            </w:r>
          </w:p>
        </w:tc>
        <w:tc>
          <w:tcPr>
            <w:tcW w:w="1077" w:type="dxa"/>
            <w:shd w:val="clear" w:color="auto" w:fill="auto"/>
            <w:noWrap/>
            <w:hideMark/>
          </w:tcPr>
          <w:p w14:paraId="6CD85C39"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58,390</w:t>
            </w:r>
          </w:p>
        </w:tc>
        <w:tc>
          <w:tcPr>
            <w:tcW w:w="1077" w:type="dxa"/>
            <w:shd w:val="clear" w:color="auto" w:fill="auto"/>
            <w:hideMark/>
          </w:tcPr>
          <w:p w14:paraId="4356DC3C"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210,258</w:t>
            </w:r>
          </w:p>
        </w:tc>
      </w:tr>
      <w:tr w:rsidR="004B375F" w:rsidRPr="00A33264" w14:paraId="30BE47AC" w14:textId="77777777" w:rsidTr="00C27C63">
        <w:trPr>
          <w:trHeight w:val="397"/>
        </w:trPr>
        <w:tc>
          <w:tcPr>
            <w:cnfStyle w:val="001000000000" w:firstRow="0" w:lastRow="0" w:firstColumn="1" w:lastColumn="0" w:oddVBand="0" w:evenVBand="0" w:oddHBand="0" w:evenHBand="0" w:firstRowFirstColumn="0" w:firstRowLastColumn="0" w:lastRowFirstColumn="0" w:lastRowLastColumn="0"/>
            <w:tcW w:w="3676" w:type="dxa"/>
            <w:shd w:val="clear" w:color="auto" w:fill="F2E2F2"/>
            <w:noWrap/>
            <w:hideMark/>
          </w:tcPr>
          <w:p w14:paraId="54550D9C" w14:textId="77777777" w:rsidR="00641555" w:rsidRPr="00BB40DF" w:rsidRDefault="00641555" w:rsidP="004B375F">
            <w:pPr>
              <w:pStyle w:val="TableBody"/>
              <w:rPr>
                <w:lang w:val="en-GB"/>
              </w:rPr>
            </w:pPr>
            <w:r w:rsidRPr="00BB40DF">
              <w:rPr>
                <w:lang w:val="en-GB"/>
              </w:rPr>
              <w:t>2024-25 Budget projections (b)</w:t>
            </w:r>
          </w:p>
        </w:tc>
        <w:tc>
          <w:tcPr>
            <w:tcW w:w="1077" w:type="dxa"/>
            <w:shd w:val="clear" w:color="auto" w:fill="F9F0FA"/>
            <w:noWrap/>
            <w:hideMark/>
          </w:tcPr>
          <w:p w14:paraId="5DF7F801" w14:textId="77777777" w:rsidR="00641555" w:rsidRPr="00AA0637"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A0637">
              <w:rPr>
                <w:lang w:val="en-GB"/>
              </w:rPr>
              <w:t>46,381</w:t>
            </w:r>
          </w:p>
        </w:tc>
        <w:tc>
          <w:tcPr>
            <w:tcW w:w="1077" w:type="dxa"/>
            <w:shd w:val="clear" w:color="auto" w:fill="F9F0FA"/>
            <w:noWrap/>
            <w:hideMark/>
          </w:tcPr>
          <w:p w14:paraId="0CF23281" w14:textId="77777777" w:rsidR="00641555" w:rsidRPr="00AA0637"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A0637">
              <w:rPr>
                <w:lang w:val="en-GB"/>
              </w:rPr>
              <w:t>50,805</w:t>
            </w:r>
          </w:p>
        </w:tc>
        <w:tc>
          <w:tcPr>
            <w:tcW w:w="1077" w:type="dxa"/>
            <w:shd w:val="clear" w:color="auto" w:fill="F9F0FA"/>
            <w:noWrap/>
            <w:hideMark/>
          </w:tcPr>
          <w:p w14:paraId="4288472B" w14:textId="77777777" w:rsidR="00641555" w:rsidRPr="00AA0637"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A0637">
              <w:rPr>
                <w:lang w:val="en-GB"/>
              </w:rPr>
              <w:t>54,869</w:t>
            </w:r>
          </w:p>
        </w:tc>
        <w:tc>
          <w:tcPr>
            <w:tcW w:w="1077" w:type="dxa"/>
            <w:shd w:val="clear" w:color="auto" w:fill="F9F0FA"/>
            <w:noWrap/>
            <w:hideMark/>
          </w:tcPr>
          <w:p w14:paraId="011F2154" w14:textId="77777777" w:rsidR="00641555" w:rsidRPr="00AA0637"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A0637">
              <w:rPr>
                <w:lang w:val="en-GB"/>
              </w:rPr>
              <w:t>59,251</w:t>
            </w:r>
          </w:p>
        </w:tc>
        <w:tc>
          <w:tcPr>
            <w:tcW w:w="1077" w:type="dxa"/>
            <w:shd w:val="clear" w:color="auto" w:fill="F9F0FA"/>
            <w:hideMark/>
          </w:tcPr>
          <w:p w14:paraId="224E4BCA" w14:textId="77777777" w:rsidR="00641555" w:rsidRPr="00AA0637"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A0637">
              <w:rPr>
                <w:lang w:val="en-GB"/>
              </w:rPr>
              <w:t>211,306</w:t>
            </w:r>
          </w:p>
        </w:tc>
      </w:tr>
      <w:tr w:rsidR="00C27C63" w:rsidRPr="00A33264" w14:paraId="7E118881" w14:textId="77777777" w:rsidTr="00C27C63">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3676" w:type="dxa"/>
            <w:shd w:val="clear" w:color="auto" w:fill="ECD4F0"/>
            <w:noWrap/>
            <w:hideMark/>
          </w:tcPr>
          <w:p w14:paraId="695257AF" w14:textId="538FB416" w:rsidR="00641555" w:rsidRPr="00A33264" w:rsidRDefault="00641555" w:rsidP="004B375F">
            <w:pPr>
              <w:pStyle w:val="TableBody"/>
              <w:rPr>
                <w:lang w:val="en-GB"/>
              </w:rPr>
            </w:pPr>
            <w:r w:rsidRPr="00A33264">
              <w:rPr>
                <w:lang w:val="en-GB"/>
              </w:rPr>
              <w:t>June 2023 projections (c)</w:t>
            </w:r>
          </w:p>
        </w:tc>
        <w:tc>
          <w:tcPr>
            <w:tcW w:w="1077" w:type="dxa"/>
            <w:shd w:val="clear" w:color="auto" w:fill="ECD4F0"/>
            <w:noWrap/>
            <w:hideMark/>
          </w:tcPr>
          <w:p w14:paraId="16FACBE6"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46,376</w:t>
            </w:r>
          </w:p>
        </w:tc>
        <w:tc>
          <w:tcPr>
            <w:tcW w:w="1077" w:type="dxa"/>
            <w:shd w:val="clear" w:color="auto" w:fill="ECD4F0"/>
            <w:noWrap/>
            <w:hideMark/>
          </w:tcPr>
          <w:p w14:paraId="2E6D0754"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50,788</w:t>
            </w:r>
          </w:p>
        </w:tc>
        <w:tc>
          <w:tcPr>
            <w:tcW w:w="1077" w:type="dxa"/>
            <w:shd w:val="clear" w:color="auto" w:fill="ECD4F0"/>
            <w:noWrap/>
            <w:hideMark/>
          </w:tcPr>
          <w:p w14:paraId="27BEF403"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55,207</w:t>
            </w:r>
          </w:p>
        </w:tc>
        <w:tc>
          <w:tcPr>
            <w:tcW w:w="1077" w:type="dxa"/>
            <w:shd w:val="clear" w:color="auto" w:fill="ECD4F0"/>
            <w:noWrap/>
            <w:hideMark/>
          </w:tcPr>
          <w:p w14:paraId="63A3F067"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60,190</w:t>
            </w:r>
          </w:p>
        </w:tc>
        <w:tc>
          <w:tcPr>
            <w:tcW w:w="1077" w:type="dxa"/>
            <w:shd w:val="clear" w:color="auto" w:fill="ECD4F0"/>
            <w:hideMark/>
          </w:tcPr>
          <w:p w14:paraId="234A8D0A" w14:textId="77777777" w:rsidR="00641555" w:rsidRPr="00AA0637"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A0637">
              <w:rPr>
                <w:lang w:val="en-GB"/>
              </w:rPr>
              <w:t>212,561</w:t>
            </w:r>
          </w:p>
        </w:tc>
      </w:tr>
      <w:tr w:rsidR="004B375F" w:rsidRPr="00A33264" w14:paraId="78DD0295" w14:textId="77777777" w:rsidTr="00C27C63">
        <w:trPr>
          <w:trHeight w:val="397"/>
        </w:trPr>
        <w:tc>
          <w:tcPr>
            <w:cnfStyle w:val="001000000000" w:firstRow="0" w:lastRow="0" w:firstColumn="1" w:lastColumn="0" w:oddVBand="0" w:evenVBand="0" w:oddHBand="0" w:evenHBand="0" w:firstRowFirstColumn="0" w:firstRowLastColumn="0" w:lastRowFirstColumn="0" w:lastRowLastColumn="0"/>
            <w:tcW w:w="3676" w:type="dxa"/>
            <w:shd w:val="clear" w:color="auto" w:fill="F2E2F2"/>
            <w:noWrap/>
            <w:hideMark/>
          </w:tcPr>
          <w:p w14:paraId="01AEAED5" w14:textId="66526B8B" w:rsidR="00641555" w:rsidRPr="00A33264" w:rsidRDefault="00641555" w:rsidP="004B375F">
            <w:pPr>
              <w:pStyle w:val="TableBody"/>
              <w:rPr>
                <w:lang w:val="en-GB"/>
              </w:rPr>
            </w:pPr>
            <w:r w:rsidRPr="00A33264">
              <w:rPr>
                <w:lang w:val="en-GB"/>
              </w:rPr>
              <w:t>Difference ($) (a</w:t>
            </w:r>
            <w:r w:rsidR="00AF2B54" w:rsidRPr="00A33264">
              <w:rPr>
                <w:lang w:val="en-GB"/>
              </w:rPr>
              <w:t xml:space="preserve"> </w:t>
            </w:r>
            <w:r w:rsidR="00AF2B54">
              <w:rPr>
                <w:lang w:val="en-GB"/>
              </w:rPr>
              <w:t>-</w:t>
            </w:r>
            <w:r w:rsidR="001126DD">
              <w:rPr>
                <w:lang w:val="en-GB"/>
              </w:rPr>
              <w:t xml:space="preserve"> </w:t>
            </w:r>
            <w:r w:rsidRPr="00A33264">
              <w:rPr>
                <w:lang w:val="en-GB"/>
              </w:rPr>
              <w:t>b)</w:t>
            </w:r>
          </w:p>
        </w:tc>
        <w:tc>
          <w:tcPr>
            <w:tcW w:w="1077" w:type="dxa"/>
            <w:shd w:val="clear" w:color="auto" w:fill="auto"/>
            <w:noWrap/>
            <w:hideMark/>
          </w:tcPr>
          <w:p w14:paraId="2575DF7F"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484</w:t>
            </w:r>
          </w:p>
        </w:tc>
        <w:tc>
          <w:tcPr>
            <w:tcW w:w="1077" w:type="dxa"/>
            <w:shd w:val="clear" w:color="auto" w:fill="auto"/>
            <w:noWrap/>
            <w:hideMark/>
          </w:tcPr>
          <w:p w14:paraId="360BD4DF"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-16</w:t>
            </w:r>
          </w:p>
        </w:tc>
        <w:tc>
          <w:tcPr>
            <w:tcW w:w="1077" w:type="dxa"/>
            <w:shd w:val="clear" w:color="auto" w:fill="auto"/>
            <w:noWrap/>
            <w:hideMark/>
          </w:tcPr>
          <w:p w14:paraId="7EF22F4C"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-655</w:t>
            </w:r>
          </w:p>
        </w:tc>
        <w:tc>
          <w:tcPr>
            <w:tcW w:w="1077" w:type="dxa"/>
            <w:shd w:val="clear" w:color="auto" w:fill="auto"/>
            <w:noWrap/>
            <w:hideMark/>
          </w:tcPr>
          <w:p w14:paraId="2C0D70F8"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-861</w:t>
            </w:r>
          </w:p>
        </w:tc>
        <w:tc>
          <w:tcPr>
            <w:tcW w:w="1077" w:type="dxa"/>
            <w:shd w:val="clear" w:color="auto" w:fill="auto"/>
            <w:hideMark/>
          </w:tcPr>
          <w:p w14:paraId="1AB3A566"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-1,048</w:t>
            </w:r>
          </w:p>
        </w:tc>
      </w:tr>
      <w:tr w:rsidR="00C27C63" w:rsidRPr="00A33264" w14:paraId="29F7B3F0" w14:textId="77777777" w:rsidTr="00C27C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6" w:type="dxa"/>
            <w:shd w:val="clear" w:color="auto" w:fill="F2E2F2"/>
            <w:noWrap/>
            <w:hideMark/>
          </w:tcPr>
          <w:p w14:paraId="51B907BD" w14:textId="0140C92E" w:rsidR="00641555" w:rsidRPr="00A33264" w:rsidRDefault="00641555" w:rsidP="004B375F">
            <w:pPr>
              <w:pStyle w:val="TableBody"/>
              <w:rPr>
                <w:lang w:val="en-GB"/>
              </w:rPr>
            </w:pPr>
            <w:r w:rsidRPr="00A33264">
              <w:rPr>
                <w:lang w:val="en-GB"/>
              </w:rPr>
              <w:t>Difference (%) (a/b -</w:t>
            </w:r>
            <w:r w:rsidR="00BB4F8C">
              <w:rPr>
                <w:lang w:val="en-GB"/>
              </w:rPr>
              <w:t xml:space="preserve"> </w:t>
            </w:r>
            <w:r w:rsidRPr="00A33264">
              <w:rPr>
                <w:lang w:val="en-GB"/>
              </w:rPr>
              <w:t>1)</w:t>
            </w:r>
          </w:p>
        </w:tc>
        <w:tc>
          <w:tcPr>
            <w:tcW w:w="1077" w:type="dxa"/>
            <w:shd w:val="clear" w:color="auto" w:fill="F9F0FA"/>
            <w:noWrap/>
            <w:hideMark/>
          </w:tcPr>
          <w:p w14:paraId="426AB002"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1.0%</w:t>
            </w:r>
          </w:p>
        </w:tc>
        <w:tc>
          <w:tcPr>
            <w:tcW w:w="1077" w:type="dxa"/>
            <w:shd w:val="clear" w:color="auto" w:fill="F9F0FA"/>
            <w:noWrap/>
            <w:hideMark/>
          </w:tcPr>
          <w:p w14:paraId="11EF081C"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0.0%</w:t>
            </w:r>
          </w:p>
        </w:tc>
        <w:tc>
          <w:tcPr>
            <w:tcW w:w="1077" w:type="dxa"/>
            <w:shd w:val="clear" w:color="auto" w:fill="F9F0FA"/>
            <w:noWrap/>
            <w:hideMark/>
          </w:tcPr>
          <w:p w14:paraId="1A16C34F"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-1.2%</w:t>
            </w:r>
          </w:p>
        </w:tc>
        <w:tc>
          <w:tcPr>
            <w:tcW w:w="1077" w:type="dxa"/>
            <w:shd w:val="clear" w:color="auto" w:fill="F9F0FA"/>
            <w:noWrap/>
            <w:hideMark/>
          </w:tcPr>
          <w:p w14:paraId="764F7CD2"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-1.5%</w:t>
            </w:r>
          </w:p>
        </w:tc>
        <w:tc>
          <w:tcPr>
            <w:tcW w:w="1077" w:type="dxa"/>
            <w:shd w:val="clear" w:color="auto" w:fill="F9F0FA"/>
            <w:hideMark/>
          </w:tcPr>
          <w:p w14:paraId="62747D4C"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-0.5%</w:t>
            </w:r>
          </w:p>
        </w:tc>
      </w:tr>
      <w:tr w:rsidR="004B375F" w:rsidRPr="00A33264" w14:paraId="2323F377" w14:textId="77777777" w:rsidTr="00C27C63">
        <w:trPr>
          <w:trHeight w:val="397"/>
        </w:trPr>
        <w:tc>
          <w:tcPr>
            <w:cnfStyle w:val="001000000000" w:firstRow="0" w:lastRow="0" w:firstColumn="1" w:lastColumn="0" w:oddVBand="0" w:evenVBand="0" w:oddHBand="0" w:evenHBand="0" w:firstRowFirstColumn="0" w:firstRowLastColumn="0" w:lastRowFirstColumn="0" w:lastRowLastColumn="0"/>
            <w:tcW w:w="3676" w:type="dxa"/>
            <w:shd w:val="clear" w:color="auto" w:fill="F2E2F2"/>
            <w:noWrap/>
            <w:hideMark/>
          </w:tcPr>
          <w:p w14:paraId="1EBEC42C" w14:textId="7D157B87" w:rsidR="00641555" w:rsidRPr="00A33264" w:rsidRDefault="00641555" w:rsidP="004B375F">
            <w:pPr>
              <w:pStyle w:val="TableBody"/>
              <w:rPr>
                <w:lang w:val="en-GB"/>
              </w:rPr>
            </w:pPr>
            <w:r w:rsidRPr="00A33264">
              <w:rPr>
                <w:lang w:val="en-GB"/>
              </w:rPr>
              <w:t xml:space="preserve">Difference ($) (a </w:t>
            </w:r>
            <w:r w:rsidR="00AF2B54">
              <w:rPr>
                <w:lang w:val="en-GB"/>
              </w:rPr>
              <w:t>-</w:t>
            </w:r>
            <w:r w:rsidR="00AF2B54" w:rsidRPr="00A33264">
              <w:rPr>
                <w:lang w:val="en-GB"/>
              </w:rPr>
              <w:t xml:space="preserve"> </w:t>
            </w:r>
            <w:r w:rsidRPr="00A33264">
              <w:rPr>
                <w:lang w:val="en-GB"/>
              </w:rPr>
              <w:t>c)</w:t>
            </w:r>
          </w:p>
        </w:tc>
        <w:tc>
          <w:tcPr>
            <w:tcW w:w="1077" w:type="dxa"/>
            <w:shd w:val="clear" w:color="auto" w:fill="E0E0E0" w:themeFill="background1" w:themeFillShade="E6"/>
            <w:noWrap/>
            <w:hideMark/>
          </w:tcPr>
          <w:p w14:paraId="1778987D"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489</w:t>
            </w:r>
          </w:p>
        </w:tc>
        <w:tc>
          <w:tcPr>
            <w:tcW w:w="1077" w:type="dxa"/>
            <w:shd w:val="clear" w:color="auto" w:fill="E0E0E0" w:themeFill="background1" w:themeFillShade="E6"/>
            <w:noWrap/>
            <w:hideMark/>
          </w:tcPr>
          <w:p w14:paraId="087EB859"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0</w:t>
            </w:r>
          </w:p>
        </w:tc>
        <w:tc>
          <w:tcPr>
            <w:tcW w:w="1077" w:type="dxa"/>
            <w:shd w:val="clear" w:color="auto" w:fill="E0E0E0" w:themeFill="background1" w:themeFillShade="E6"/>
            <w:noWrap/>
            <w:hideMark/>
          </w:tcPr>
          <w:p w14:paraId="0072E602"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-993</w:t>
            </w:r>
          </w:p>
        </w:tc>
        <w:tc>
          <w:tcPr>
            <w:tcW w:w="1077" w:type="dxa"/>
            <w:shd w:val="clear" w:color="auto" w:fill="E0E0E0" w:themeFill="background1" w:themeFillShade="E6"/>
            <w:noWrap/>
            <w:hideMark/>
          </w:tcPr>
          <w:p w14:paraId="52EE8CA1"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-1800</w:t>
            </w:r>
          </w:p>
        </w:tc>
        <w:tc>
          <w:tcPr>
            <w:tcW w:w="1077" w:type="dxa"/>
            <w:shd w:val="clear" w:color="auto" w:fill="E0E0E0" w:themeFill="background1" w:themeFillShade="E6"/>
            <w:hideMark/>
          </w:tcPr>
          <w:p w14:paraId="2495D548" w14:textId="77777777" w:rsidR="00641555" w:rsidRPr="00A33264" w:rsidRDefault="00641555"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lang w:val="en-GB"/>
              </w:rPr>
              <w:t>-2,303</w:t>
            </w:r>
          </w:p>
        </w:tc>
      </w:tr>
      <w:tr w:rsidR="00C27C63" w:rsidRPr="00A33264" w14:paraId="1A33D7BA" w14:textId="77777777" w:rsidTr="00C27C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6" w:type="dxa"/>
            <w:shd w:val="clear" w:color="auto" w:fill="F2E2F2"/>
            <w:noWrap/>
            <w:hideMark/>
          </w:tcPr>
          <w:p w14:paraId="353FDA92" w14:textId="219494D7" w:rsidR="00641555" w:rsidRPr="00A33264" w:rsidRDefault="00641555" w:rsidP="004B375F">
            <w:pPr>
              <w:pStyle w:val="TableBody"/>
              <w:rPr>
                <w:lang w:val="en-GB"/>
              </w:rPr>
            </w:pPr>
            <w:r w:rsidRPr="00A33264">
              <w:rPr>
                <w:lang w:val="en-GB"/>
              </w:rPr>
              <w:t>Difference (%) (a/c -</w:t>
            </w:r>
            <w:r w:rsidR="00BF41E8">
              <w:rPr>
                <w:lang w:val="en-GB"/>
              </w:rPr>
              <w:t xml:space="preserve"> </w:t>
            </w:r>
            <w:r w:rsidRPr="00A33264">
              <w:rPr>
                <w:lang w:val="en-GB"/>
              </w:rPr>
              <w:t>1)</w:t>
            </w:r>
          </w:p>
        </w:tc>
        <w:tc>
          <w:tcPr>
            <w:tcW w:w="1077" w:type="dxa"/>
            <w:shd w:val="clear" w:color="auto" w:fill="auto"/>
            <w:noWrap/>
            <w:hideMark/>
          </w:tcPr>
          <w:p w14:paraId="6DB0F1AC"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1.1%</w:t>
            </w:r>
          </w:p>
        </w:tc>
        <w:tc>
          <w:tcPr>
            <w:tcW w:w="1077" w:type="dxa"/>
            <w:shd w:val="clear" w:color="auto" w:fill="auto"/>
            <w:noWrap/>
            <w:hideMark/>
          </w:tcPr>
          <w:p w14:paraId="38343D22"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0.0%</w:t>
            </w:r>
          </w:p>
        </w:tc>
        <w:tc>
          <w:tcPr>
            <w:tcW w:w="1077" w:type="dxa"/>
            <w:shd w:val="clear" w:color="auto" w:fill="auto"/>
            <w:noWrap/>
            <w:hideMark/>
          </w:tcPr>
          <w:p w14:paraId="471A1FB0"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-1.8%</w:t>
            </w:r>
          </w:p>
        </w:tc>
        <w:tc>
          <w:tcPr>
            <w:tcW w:w="1077" w:type="dxa"/>
            <w:shd w:val="clear" w:color="auto" w:fill="auto"/>
            <w:noWrap/>
            <w:hideMark/>
          </w:tcPr>
          <w:p w14:paraId="503E70B6"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-3.0%</w:t>
            </w:r>
          </w:p>
        </w:tc>
        <w:tc>
          <w:tcPr>
            <w:tcW w:w="1077" w:type="dxa"/>
            <w:shd w:val="clear" w:color="auto" w:fill="auto"/>
            <w:hideMark/>
          </w:tcPr>
          <w:p w14:paraId="0676E4CA" w14:textId="77777777" w:rsidR="00641555" w:rsidRPr="00A33264" w:rsidRDefault="00641555"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rPr>
              <w:t>-1.1%</w:t>
            </w:r>
          </w:p>
        </w:tc>
      </w:tr>
    </w:tbl>
    <w:p w14:paraId="3BCDD02C" w14:textId="3C30EDB1" w:rsidR="00D76E73" w:rsidRDefault="00AF2B54" w:rsidP="00B27FA1">
      <w:pPr>
        <w:pStyle w:val="Tablenote"/>
      </w:pPr>
      <w:r>
        <w:t>N</w:t>
      </w:r>
      <w:r w:rsidR="00D76E73">
        <w:t xml:space="preserve">ote: </w:t>
      </w:r>
      <w:r w:rsidR="00D76E73" w:rsidRPr="00D76E73">
        <w:t>Values have been rounded to the nearest whole number; differences are calculated from unrounded metrics.</w:t>
      </w:r>
    </w:p>
    <w:p w14:paraId="4F864F59" w14:textId="25581C9F" w:rsidR="004B375F" w:rsidRPr="00A33264" w:rsidRDefault="004B375F" w:rsidP="004B375F">
      <w:pPr>
        <w:rPr>
          <w:lang w:val="en-GB"/>
        </w:rPr>
      </w:pPr>
      <w:r w:rsidRPr="00A33264">
        <w:rPr>
          <w:lang w:val="en-GB"/>
        </w:rPr>
        <w:t xml:space="preserve">Table </w:t>
      </w:r>
      <w:r w:rsidR="00A27A9C">
        <w:rPr>
          <w:lang w:val="en-GB"/>
        </w:rPr>
        <w:t>2</w:t>
      </w:r>
      <w:r w:rsidRPr="00A33264">
        <w:rPr>
          <w:lang w:val="en-GB"/>
        </w:rPr>
        <w:t xml:space="preserve"> shows the changes in the projected </w:t>
      </w:r>
      <w:r w:rsidR="009D4600">
        <w:rPr>
          <w:lang w:val="en-GB"/>
        </w:rPr>
        <w:t>Scheme</w:t>
      </w:r>
      <w:r w:rsidR="00880C4D" w:rsidRPr="00A33264">
        <w:rPr>
          <w:lang w:val="en-GB"/>
        </w:rPr>
        <w:t xml:space="preserve"> </w:t>
      </w:r>
      <w:r w:rsidRPr="00A33264">
        <w:rPr>
          <w:lang w:val="en-GB"/>
        </w:rPr>
        <w:t>expenses since the previous review</w:t>
      </w:r>
      <w:r w:rsidR="00AF2B54">
        <w:rPr>
          <w:lang w:val="en-GB"/>
        </w:rPr>
        <w:t>.</w:t>
      </w:r>
      <w:r w:rsidRPr="00A33264">
        <w:rPr>
          <w:lang w:val="en-GB"/>
        </w:rPr>
        <w:t xml:space="preserve"> </w:t>
      </w:r>
      <w:r w:rsidR="00AF2B54">
        <w:rPr>
          <w:lang w:val="en-GB"/>
        </w:rPr>
        <w:t xml:space="preserve">Changes are </w:t>
      </w:r>
      <w:r w:rsidRPr="00A33264">
        <w:rPr>
          <w:lang w:val="en-GB"/>
        </w:rPr>
        <w:t xml:space="preserve">due to impacts related to participant numbers and participant mix, impacts related to changes in payments per participant, and the allowance made for </w:t>
      </w:r>
      <w:r w:rsidR="00966323">
        <w:rPr>
          <w:lang w:val="en-GB"/>
        </w:rPr>
        <w:t xml:space="preserve">Recent and </w:t>
      </w:r>
      <w:r w:rsidRPr="00A33264">
        <w:rPr>
          <w:lang w:val="en-GB"/>
        </w:rPr>
        <w:t>Proposed Reforms.</w:t>
      </w:r>
    </w:p>
    <w:p w14:paraId="005E0EA0" w14:textId="00E22C8F" w:rsidR="00966323" w:rsidRDefault="00966323" w:rsidP="004B375F">
      <w:pPr>
        <w:rPr>
          <w:lang w:val="en-GB"/>
        </w:rPr>
      </w:pPr>
      <w:r w:rsidRPr="00966323">
        <w:rPr>
          <w:lang w:val="en-GB"/>
        </w:rPr>
        <w:t>Updates for participant and payment</w:t>
      </w:r>
      <w:r w:rsidR="009B1C5B">
        <w:rPr>
          <w:lang w:val="en-GB"/>
        </w:rPr>
        <w:t>-</w:t>
      </w:r>
      <w:r w:rsidRPr="00966323">
        <w:rPr>
          <w:lang w:val="en-GB"/>
        </w:rPr>
        <w:t>related impacts, before Recent and Proposed Reforms</w:t>
      </w:r>
      <w:r w:rsidR="00D26F9A">
        <w:rPr>
          <w:lang w:val="en-GB"/>
        </w:rPr>
        <w:t>,</w:t>
      </w:r>
      <w:r w:rsidRPr="00966323">
        <w:rPr>
          <w:lang w:val="en-GB"/>
        </w:rPr>
        <w:t xml:space="preserve"> have increased projected </w:t>
      </w:r>
      <w:r w:rsidR="009D4600">
        <w:rPr>
          <w:lang w:val="en-GB"/>
        </w:rPr>
        <w:t>Scheme</w:t>
      </w:r>
      <w:r w:rsidRPr="00966323">
        <w:rPr>
          <w:lang w:val="en-GB"/>
        </w:rPr>
        <w:t xml:space="preserve"> expenses by $16.9 billion (8.0%) for the </w:t>
      </w:r>
      <w:r w:rsidR="00AF2B54">
        <w:rPr>
          <w:lang w:val="en-GB"/>
        </w:rPr>
        <w:t>4</w:t>
      </w:r>
      <w:r w:rsidR="00AF2B54" w:rsidRPr="00966323">
        <w:rPr>
          <w:lang w:val="en-GB"/>
        </w:rPr>
        <w:t xml:space="preserve"> </w:t>
      </w:r>
      <w:r w:rsidRPr="00966323">
        <w:rPr>
          <w:lang w:val="en-GB"/>
        </w:rPr>
        <w:t>years to 30 June 2028. Of this, changes due to payment</w:t>
      </w:r>
      <w:r w:rsidR="00E903C1">
        <w:rPr>
          <w:lang w:val="en-GB"/>
        </w:rPr>
        <w:t>-</w:t>
      </w:r>
      <w:r w:rsidRPr="00966323">
        <w:rPr>
          <w:lang w:val="en-GB"/>
        </w:rPr>
        <w:t xml:space="preserve">related impacts account for $16.0 billion of the total $16.9 billion increase in projected </w:t>
      </w:r>
      <w:r w:rsidR="001F2C42">
        <w:rPr>
          <w:lang w:val="en-GB"/>
        </w:rPr>
        <w:t>Scheme</w:t>
      </w:r>
      <w:r w:rsidRPr="00966323">
        <w:rPr>
          <w:lang w:val="en-GB"/>
        </w:rPr>
        <w:t xml:space="preserve"> expenses for the </w:t>
      </w:r>
      <w:r w:rsidR="00AF2B54">
        <w:rPr>
          <w:lang w:val="en-GB"/>
        </w:rPr>
        <w:t>4</w:t>
      </w:r>
      <w:r w:rsidR="00D26F9A">
        <w:rPr>
          <w:lang w:val="en-GB"/>
        </w:rPr>
        <w:t xml:space="preserve"> </w:t>
      </w:r>
      <w:r w:rsidRPr="00966323">
        <w:rPr>
          <w:lang w:val="en-GB"/>
        </w:rPr>
        <w:t>years to 30 June 2028, with participant</w:t>
      </w:r>
      <w:r w:rsidR="00A451EB">
        <w:rPr>
          <w:lang w:val="en-GB"/>
        </w:rPr>
        <w:t>-</w:t>
      </w:r>
      <w:r w:rsidRPr="00966323">
        <w:rPr>
          <w:lang w:val="en-GB"/>
        </w:rPr>
        <w:t>related impacts accounting for the remaining $0.9 billion.</w:t>
      </w:r>
    </w:p>
    <w:p w14:paraId="232AA908" w14:textId="36A35BB8" w:rsidR="004B52CB" w:rsidRDefault="00C27C63" w:rsidP="004B375F">
      <w:pPr>
        <w:rPr>
          <w:u w:val="single"/>
          <w:lang w:val="en-GB"/>
        </w:rPr>
      </w:pPr>
      <w:r>
        <w:rPr>
          <w:lang w:val="en-GB"/>
        </w:rPr>
        <w:t xml:space="preserve">Recent and </w:t>
      </w:r>
      <w:r w:rsidR="004B375F" w:rsidRPr="00A33264">
        <w:rPr>
          <w:lang w:val="en-GB"/>
        </w:rPr>
        <w:t xml:space="preserve">Proposed Reforms are expected to stabilise the growth in </w:t>
      </w:r>
      <w:r w:rsidR="001F2C42">
        <w:rPr>
          <w:lang w:val="en-GB"/>
        </w:rPr>
        <w:t>Scheme</w:t>
      </w:r>
      <w:r w:rsidR="00880C4D" w:rsidRPr="00A33264">
        <w:rPr>
          <w:lang w:val="en-GB"/>
        </w:rPr>
        <w:t xml:space="preserve"> </w:t>
      </w:r>
      <w:r w:rsidR="004B375F" w:rsidRPr="00A33264">
        <w:rPr>
          <w:lang w:val="en-GB"/>
        </w:rPr>
        <w:t>expenses, with the program of work mostly targeted at reducing additional growth in participant plans beyond price</w:t>
      </w:r>
      <w:r w:rsidR="00AF2B54">
        <w:rPr>
          <w:lang w:val="en-GB"/>
        </w:rPr>
        <w:t>-</w:t>
      </w:r>
      <w:r w:rsidR="004B375F" w:rsidRPr="00A33264">
        <w:rPr>
          <w:lang w:val="en-GB"/>
        </w:rPr>
        <w:t>related indexation of plans and increases in participant plans due to changes in circumstances.</w:t>
      </w:r>
      <w:r w:rsidR="00850FCB" w:rsidRPr="00A33264">
        <w:rPr>
          <w:rStyle w:val="FootnoteReference"/>
          <w:rFonts w:cs="Arial"/>
          <w:lang w:val="en-GB"/>
        </w:rPr>
        <w:footnoteReference w:id="10"/>
      </w:r>
      <w:r w:rsidR="004B375F" w:rsidRPr="00A33264">
        <w:rPr>
          <w:lang w:val="en-GB"/>
        </w:rPr>
        <w:t xml:space="preserve"> These </w:t>
      </w:r>
      <w:r w:rsidR="00966323">
        <w:rPr>
          <w:lang w:val="en-GB"/>
        </w:rPr>
        <w:t>r</w:t>
      </w:r>
      <w:r w:rsidR="004B375F" w:rsidRPr="00A33264">
        <w:rPr>
          <w:lang w:val="en-GB"/>
        </w:rPr>
        <w:t xml:space="preserve">eforms are expected to reduce projected </w:t>
      </w:r>
      <w:r w:rsidR="00255AAB">
        <w:rPr>
          <w:lang w:val="en-GB"/>
        </w:rPr>
        <w:t>Scheme</w:t>
      </w:r>
      <w:r w:rsidR="00880C4D" w:rsidRPr="00A33264">
        <w:rPr>
          <w:lang w:val="en-GB"/>
        </w:rPr>
        <w:t xml:space="preserve"> </w:t>
      </w:r>
      <w:r w:rsidR="004B375F" w:rsidRPr="00A33264">
        <w:rPr>
          <w:lang w:val="en-GB"/>
        </w:rPr>
        <w:t xml:space="preserve">expenses by $19.3 billion over the </w:t>
      </w:r>
      <w:r w:rsidR="00A50D1B">
        <w:rPr>
          <w:lang w:val="en-GB"/>
        </w:rPr>
        <w:t>4</w:t>
      </w:r>
      <w:r w:rsidR="004B375F" w:rsidRPr="00A33264">
        <w:rPr>
          <w:lang w:val="en-GB"/>
        </w:rPr>
        <w:t xml:space="preserve"> years to 30 June 2028.</w:t>
      </w:r>
      <w:r w:rsidR="004B52CB">
        <w:rPr>
          <w:u w:val="single"/>
          <w:lang w:val="en-GB"/>
        </w:rPr>
        <w:br w:type="page"/>
      </w:r>
    </w:p>
    <w:p w14:paraId="379FE6FD" w14:textId="70FC8942" w:rsidR="004B375F" w:rsidRPr="00A33264" w:rsidRDefault="004B375F" w:rsidP="004B375F">
      <w:pPr>
        <w:rPr>
          <w:u w:val="single"/>
          <w:lang w:val="en-GB"/>
        </w:rPr>
      </w:pPr>
      <w:r w:rsidRPr="00A33264">
        <w:rPr>
          <w:u w:val="single"/>
          <w:lang w:val="en-GB"/>
        </w:rPr>
        <w:lastRenderedPageBreak/>
        <w:t xml:space="preserve">Table </w:t>
      </w:r>
      <w:r w:rsidR="00A27A9C">
        <w:rPr>
          <w:u w:val="single"/>
          <w:lang w:val="en-GB"/>
        </w:rPr>
        <w:t>2</w:t>
      </w:r>
      <w:r w:rsidRPr="00A33264">
        <w:rPr>
          <w:u w:val="single"/>
          <w:lang w:val="en-GB"/>
        </w:rPr>
        <w:t>: Movement</w:t>
      </w:r>
      <w:r w:rsidR="00966323">
        <w:rPr>
          <w:u w:val="single"/>
          <w:lang w:val="en-GB"/>
        </w:rPr>
        <w:t>s</w:t>
      </w:r>
      <w:r w:rsidRPr="00A33264">
        <w:rPr>
          <w:u w:val="single"/>
          <w:lang w:val="en-GB"/>
        </w:rPr>
        <w:t xml:space="preserve"> in projected </w:t>
      </w:r>
      <w:r w:rsidR="0096681C">
        <w:rPr>
          <w:u w:val="single"/>
          <w:lang w:val="en-GB"/>
        </w:rPr>
        <w:t>Scheme</w:t>
      </w:r>
      <w:r w:rsidRPr="00A33264">
        <w:rPr>
          <w:u w:val="single"/>
          <w:lang w:val="en-GB"/>
        </w:rPr>
        <w:t xml:space="preserve"> expenses since previous review</w:t>
      </w:r>
    </w:p>
    <w:tbl>
      <w:tblPr>
        <w:tblStyle w:val="GridTable4-Accent1"/>
        <w:tblW w:w="9067" w:type="dxa"/>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CellMar>
          <w:top w:w="28" w:type="dxa"/>
          <w:left w:w="28" w:type="dxa"/>
          <w:bottom w:w="28" w:type="dxa"/>
          <w:right w:w="28" w:type="dxa"/>
        </w:tblCellMar>
        <w:tblLook w:val="04A0" w:firstRow="1" w:lastRow="0" w:firstColumn="1" w:lastColumn="0" w:noHBand="0" w:noVBand="1"/>
      </w:tblPr>
      <w:tblGrid>
        <w:gridCol w:w="3397"/>
        <w:gridCol w:w="1134"/>
        <w:gridCol w:w="1134"/>
        <w:gridCol w:w="1134"/>
        <w:gridCol w:w="1134"/>
        <w:gridCol w:w="1134"/>
      </w:tblGrid>
      <w:tr w:rsidR="004B375F" w:rsidRPr="00A33264" w14:paraId="142EACA6" w14:textId="77777777" w:rsidTr="005A19C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F9F9F9" w:themeColor="background1"/>
            </w:tcBorders>
            <w:vAlign w:val="center"/>
          </w:tcPr>
          <w:p w14:paraId="0C6BC35C" w14:textId="68919899" w:rsidR="004B375F" w:rsidRPr="00A33264" w:rsidRDefault="0096681C" w:rsidP="004B375F">
            <w:pPr>
              <w:rPr>
                <w:bCs w:val="0"/>
                <w:lang w:val="en-GB"/>
              </w:rPr>
            </w:pPr>
            <w:bookmarkStart w:id="267" w:name="Title_Table2"/>
            <w:bookmarkEnd w:id="267"/>
            <w:r>
              <w:rPr>
                <w:szCs w:val="21"/>
                <w:lang w:val="en-GB" w:eastAsia="en-AU"/>
              </w:rPr>
              <w:t>Scheme</w:t>
            </w:r>
            <w:r w:rsidR="00880C4D" w:rsidRPr="00A33264">
              <w:rPr>
                <w:szCs w:val="21"/>
                <w:lang w:val="en-GB" w:eastAsia="en-AU"/>
              </w:rPr>
              <w:t xml:space="preserve"> </w:t>
            </w:r>
            <w:r w:rsidR="00AF2B54">
              <w:rPr>
                <w:szCs w:val="21"/>
                <w:lang w:val="en-GB" w:eastAsia="en-AU"/>
              </w:rPr>
              <w:t>e</w:t>
            </w:r>
            <w:r w:rsidR="004B375F" w:rsidRPr="00A33264">
              <w:rPr>
                <w:szCs w:val="21"/>
                <w:lang w:val="en-GB" w:eastAsia="en-AU"/>
              </w:rPr>
              <w:t>xpenses (accrual basis)</w:t>
            </w:r>
          </w:p>
        </w:tc>
        <w:tc>
          <w:tcPr>
            <w:tcW w:w="1134" w:type="dxa"/>
            <w:tcBorders>
              <w:left w:val="single" w:sz="4" w:space="0" w:color="F9F9F9" w:themeColor="background1"/>
              <w:right w:val="single" w:sz="4" w:space="0" w:color="F9F9F9" w:themeColor="background1"/>
            </w:tcBorders>
            <w:vAlign w:val="center"/>
          </w:tcPr>
          <w:p w14:paraId="522F05B5" w14:textId="658DFA01" w:rsidR="004B375F" w:rsidRPr="00A33264" w:rsidRDefault="004B375F"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rFonts w:eastAsia="Times New Roman"/>
                <w:szCs w:val="21"/>
                <w:lang w:val="en-GB" w:eastAsia="en-AU"/>
              </w:rPr>
              <w:t>2024</w:t>
            </w:r>
            <w:r w:rsidR="005A19CA">
              <w:rPr>
                <w:lang w:val="en-GB"/>
              </w:rPr>
              <w:t>–</w:t>
            </w:r>
            <w:r w:rsidRPr="00A33264">
              <w:rPr>
                <w:rFonts w:eastAsia="Times New Roman"/>
                <w:szCs w:val="21"/>
                <w:lang w:val="en-GB" w:eastAsia="en-AU"/>
              </w:rPr>
              <w:t>25</w:t>
            </w:r>
            <w:r w:rsidR="00AF2B54">
              <w:rPr>
                <w:rFonts w:eastAsia="Times New Roman"/>
                <w:szCs w:val="21"/>
                <w:lang w:val="en-GB" w:eastAsia="en-AU"/>
              </w:rPr>
              <w:t xml:space="preserve"> </w:t>
            </w:r>
            <w:r w:rsidR="00AF2B54" w:rsidRPr="00A33264">
              <w:rPr>
                <w:szCs w:val="21"/>
                <w:lang w:val="en-GB" w:eastAsia="en-AU"/>
              </w:rPr>
              <w:t>($m)</w:t>
            </w:r>
          </w:p>
        </w:tc>
        <w:tc>
          <w:tcPr>
            <w:tcW w:w="1134" w:type="dxa"/>
            <w:tcBorders>
              <w:left w:val="single" w:sz="4" w:space="0" w:color="F9F9F9" w:themeColor="background1"/>
              <w:right w:val="single" w:sz="4" w:space="0" w:color="F9F9F9" w:themeColor="background1"/>
            </w:tcBorders>
            <w:noWrap/>
            <w:vAlign w:val="center"/>
          </w:tcPr>
          <w:p w14:paraId="70FAD096" w14:textId="397C2D1F" w:rsidR="004B375F" w:rsidRPr="00A33264" w:rsidRDefault="004B375F"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rFonts w:eastAsia="Times New Roman"/>
                <w:szCs w:val="21"/>
                <w:lang w:val="en-GB" w:eastAsia="en-AU"/>
              </w:rPr>
              <w:t>2025</w:t>
            </w:r>
            <w:r w:rsidR="005A19CA">
              <w:rPr>
                <w:lang w:val="en-GB"/>
              </w:rPr>
              <w:t>–</w:t>
            </w:r>
            <w:r w:rsidRPr="00A33264">
              <w:rPr>
                <w:rFonts w:eastAsia="Times New Roman"/>
                <w:szCs w:val="21"/>
                <w:lang w:val="en-GB" w:eastAsia="en-AU"/>
              </w:rPr>
              <w:t>26</w:t>
            </w:r>
            <w:r w:rsidR="00AF2B54">
              <w:rPr>
                <w:rFonts w:eastAsia="Times New Roman"/>
                <w:szCs w:val="21"/>
                <w:lang w:val="en-GB" w:eastAsia="en-AU"/>
              </w:rPr>
              <w:t xml:space="preserve"> </w:t>
            </w:r>
            <w:r w:rsidR="00AF2B54" w:rsidRPr="00A33264">
              <w:rPr>
                <w:szCs w:val="21"/>
                <w:lang w:val="en-GB" w:eastAsia="en-AU"/>
              </w:rPr>
              <w:t>($m)</w:t>
            </w:r>
          </w:p>
        </w:tc>
        <w:tc>
          <w:tcPr>
            <w:tcW w:w="1134" w:type="dxa"/>
            <w:tcBorders>
              <w:left w:val="single" w:sz="4" w:space="0" w:color="F9F9F9" w:themeColor="background1"/>
              <w:right w:val="single" w:sz="4" w:space="0" w:color="F9F9F9" w:themeColor="background1"/>
            </w:tcBorders>
            <w:noWrap/>
            <w:vAlign w:val="center"/>
          </w:tcPr>
          <w:p w14:paraId="6120F08B" w14:textId="2CBAECD6" w:rsidR="004B375F" w:rsidRPr="00A33264" w:rsidRDefault="004B375F"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rFonts w:eastAsia="Times New Roman"/>
                <w:szCs w:val="21"/>
                <w:lang w:val="en-GB" w:eastAsia="en-AU"/>
              </w:rPr>
              <w:t>2026</w:t>
            </w:r>
            <w:r w:rsidR="005A19CA">
              <w:rPr>
                <w:lang w:val="en-GB"/>
              </w:rPr>
              <w:t>–</w:t>
            </w:r>
            <w:r w:rsidRPr="00A33264">
              <w:rPr>
                <w:rFonts w:eastAsia="Times New Roman"/>
                <w:szCs w:val="21"/>
                <w:lang w:val="en-GB" w:eastAsia="en-AU"/>
              </w:rPr>
              <w:t>27</w:t>
            </w:r>
            <w:r w:rsidR="00AF2B54">
              <w:rPr>
                <w:rFonts w:eastAsia="Times New Roman"/>
                <w:szCs w:val="21"/>
                <w:lang w:val="en-GB" w:eastAsia="en-AU"/>
              </w:rPr>
              <w:t xml:space="preserve"> </w:t>
            </w:r>
            <w:r w:rsidR="00AF2B54" w:rsidRPr="00A33264">
              <w:rPr>
                <w:szCs w:val="21"/>
                <w:lang w:val="en-GB" w:eastAsia="en-AU"/>
              </w:rPr>
              <w:t>($m)</w:t>
            </w:r>
          </w:p>
        </w:tc>
        <w:tc>
          <w:tcPr>
            <w:tcW w:w="1134" w:type="dxa"/>
            <w:tcBorders>
              <w:left w:val="single" w:sz="4" w:space="0" w:color="F9F9F9" w:themeColor="background1"/>
              <w:right w:val="single" w:sz="4" w:space="0" w:color="F9F9F9" w:themeColor="background1"/>
            </w:tcBorders>
            <w:noWrap/>
            <w:vAlign w:val="center"/>
          </w:tcPr>
          <w:p w14:paraId="47B8ED9F" w14:textId="596E2678" w:rsidR="004B375F" w:rsidRPr="00A33264" w:rsidRDefault="004B375F"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rFonts w:eastAsia="Times New Roman"/>
                <w:szCs w:val="21"/>
                <w:lang w:val="en-GB" w:eastAsia="en-AU"/>
              </w:rPr>
              <w:t>2027</w:t>
            </w:r>
            <w:r w:rsidR="005A19CA">
              <w:rPr>
                <w:lang w:val="en-GB"/>
              </w:rPr>
              <w:t>–</w:t>
            </w:r>
            <w:r w:rsidRPr="00A33264">
              <w:rPr>
                <w:rFonts w:eastAsia="Times New Roman"/>
                <w:szCs w:val="21"/>
                <w:lang w:val="en-GB" w:eastAsia="en-AU"/>
              </w:rPr>
              <w:t>28</w:t>
            </w:r>
            <w:r w:rsidR="00AF2B54">
              <w:rPr>
                <w:rFonts w:eastAsia="Times New Roman"/>
                <w:szCs w:val="21"/>
                <w:lang w:val="en-GB" w:eastAsia="en-AU"/>
              </w:rPr>
              <w:t xml:space="preserve"> </w:t>
            </w:r>
            <w:r w:rsidR="00AF2B54" w:rsidRPr="00A33264">
              <w:rPr>
                <w:szCs w:val="21"/>
                <w:lang w:val="en-GB" w:eastAsia="en-AU"/>
              </w:rPr>
              <w:t>($m)</w:t>
            </w:r>
          </w:p>
        </w:tc>
        <w:tc>
          <w:tcPr>
            <w:tcW w:w="1134" w:type="dxa"/>
            <w:tcBorders>
              <w:left w:val="single" w:sz="4" w:space="0" w:color="F9F9F9" w:themeColor="background1"/>
            </w:tcBorders>
            <w:noWrap/>
            <w:vAlign w:val="center"/>
          </w:tcPr>
          <w:p w14:paraId="1C80C089" w14:textId="59A654AA" w:rsidR="004B375F" w:rsidRPr="00A33264" w:rsidRDefault="004B375F" w:rsidP="005A19CA">
            <w:pPr>
              <w:pStyle w:val="TableBody"/>
              <w:jc w:val="right"/>
              <w:cnfStyle w:val="100000000000" w:firstRow="1" w:lastRow="0" w:firstColumn="0" w:lastColumn="0" w:oddVBand="0" w:evenVBand="0" w:oddHBand="0" w:evenHBand="0" w:firstRowFirstColumn="0" w:firstRowLastColumn="0" w:lastRowFirstColumn="0" w:lastRowLastColumn="0"/>
              <w:rPr>
                <w:lang w:val="en-GB"/>
              </w:rPr>
            </w:pPr>
            <w:r w:rsidRPr="00A33264">
              <w:rPr>
                <w:rFonts w:eastAsia="Times New Roman"/>
                <w:szCs w:val="21"/>
                <w:lang w:val="en-GB" w:eastAsia="en-AU"/>
              </w:rPr>
              <w:t>Total 2024</w:t>
            </w:r>
            <w:r w:rsidR="005A19CA">
              <w:rPr>
                <w:lang w:val="en-GB"/>
              </w:rPr>
              <w:t>–</w:t>
            </w:r>
            <w:r w:rsidRPr="00A33264">
              <w:rPr>
                <w:rFonts w:eastAsia="Times New Roman"/>
                <w:szCs w:val="21"/>
                <w:lang w:val="en-GB" w:eastAsia="en-AU"/>
              </w:rPr>
              <w:t>28</w:t>
            </w:r>
            <w:r w:rsidR="00AF2B54">
              <w:rPr>
                <w:rFonts w:eastAsia="Times New Roman"/>
                <w:szCs w:val="21"/>
                <w:lang w:val="en-GB" w:eastAsia="en-AU"/>
              </w:rPr>
              <w:t xml:space="preserve"> </w:t>
            </w:r>
            <w:r w:rsidR="00AF2B54" w:rsidRPr="00A33264">
              <w:rPr>
                <w:szCs w:val="21"/>
                <w:lang w:val="en-GB" w:eastAsia="en-AU"/>
              </w:rPr>
              <w:t>($m)</w:t>
            </w:r>
          </w:p>
        </w:tc>
      </w:tr>
      <w:tr w:rsidR="004B375F" w:rsidRPr="00A33264" w14:paraId="7E364782" w14:textId="77777777" w:rsidTr="00C27C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shd w:val="clear" w:color="auto" w:fill="ECD4F0"/>
            <w:vAlign w:val="center"/>
          </w:tcPr>
          <w:p w14:paraId="2E78F3D9" w14:textId="10633C66" w:rsidR="004B375F" w:rsidRPr="00A33264" w:rsidRDefault="004B375F" w:rsidP="004B375F">
            <w:pPr>
              <w:pStyle w:val="TableBody"/>
              <w:rPr>
                <w:lang w:val="en-GB"/>
              </w:rPr>
            </w:pPr>
            <w:r w:rsidRPr="00A33264">
              <w:rPr>
                <w:rFonts w:eastAsia="Times New Roman"/>
                <w:color w:val="000000"/>
                <w:szCs w:val="21"/>
                <w:lang w:val="en-GB" w:eastAsia="en-AU"/>
              </w:rPr>
              <w:t>June 2023 projections</w:t>
            </w:r>
          </w:p>
        </w:tc>
        <w:tc>
          <w:tcPr>
            <w:tcW w:w="1134" w:type="dxa"/>
            <w:shd w:val="clear" w:color="auto" w:fill="ECD4F0"/>
            <w:noWrap/>
            <w:vAlign w:val="center"/>
          </w:tcPr>
          <w:p w14:paraId="5DA20C2F" w14:textId="5ED6B5A3" w:rsidR="004B375F" w:rsidRPr="00C27C63"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b/>
                <w:bCs/>
                <w:lang w:val="en-GB"/>
              </w:rPr>
            </w:pPr>
            <w:r w:rsidRPr="00C27C63">
              <w:rPr>
                <w:rFonts w:eastAsia="Times New Roman"/>
                <w:b/>
                <w:bCs/>
                <w:color w:val="000000"/>
                <w:szCs w:val="21"/>
                <w:lang w:val="en-GB" w:eastAsia="en-AU"/>
              </w:rPr>
              <w:t>46,376</w:t>
            </w:r>
          </w:p>
        </w:tc>
        <w:tc>
          <w:tcPr>
            <w:tcW w:w="1134" w:type="dxa"/>
            <w:shd w:val="clear" w:color="auto" w:fill="ECD4F0"/>
            <w:noWrap/>
            <w:vAlign w:val="center"/>
          </w:tcPr>
          <w:p w14:paraId="2CBA438A" w14:textId="6E03116B" w:rsidR="004B375F" w:rsidRPr="00C27C63"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b/>
                <w:bCs/>
                <w:lang w:val="en-GB"/>
              </w:rPr>
            </w:pPr>
            <w:r w:rsidRPr="00C27C63">
              <w:rPr>
                <w:rFonts w:eastAsia="Times New Roman"/>
                <w:b/>
                <w:bCs/>
                <w:color w:val="000000"/>
                <w:szCs w:val="21"/>
                <w:lang w:val="en-GB" w:eastAsia="en-AU"/>
              </w:rPr>
              <w:t>50,788</w:t>
            </w:r>
          </w:p>
        </w:tc>
        <w:tc>
          <w:tcPr>
            <w:tcW w:w="1134" w:type="dxa"/>
            <w:shd w:val="clear" w:color="auto" w:fill="ECD4F0"/>
            <w:noWrap/>
            <w:vAlign w:val="center"/>
          </w:tcPr>
          <w:p w14:paraId="00BDBE28" w14:textId="06C02299" w:rsidR="004B375F" w:rsidRPr="00C27C63"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b/>
                <w:bCs/>
                <w:lang w:val="en-GB"/>
              </w:rPr>
            </w:pPr>
            <w:r w:rsidRPr="00C27C63">
              <w:rPr>
                <w:rFonts w:eastAsia="Times New Roman"/>
                <w:b/>
                <w:bCs/>
                <w:color w:val="000000"/>
                <w:szCs w:val="21"/>
                <w:lang w:val="en-GB" w:eastAsia="en-AU"/>
              </w:rPr>
              <w:t>55,207</w:t>
            </w:r>
          </w:p>
        </w:tc>
        <w:tc>
          <w:tcPr>
            <w:tcW w:w="1134" w:type="dxa"/>
            <w:shd w:val="clear" w:color="auto" w:fill="ECD4F0"/>
            <w:noWrap/>
            <w:vAlign w:val="center"/>
          </w:tcPr>
          <w:p w14:paraId="0A34C0C7" w14:textId="13FBEA47" w:rsidR="004B375F" w:rsidRPr="00C27C63"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b/>
                <w:bCs/>
                <w:lang w:val="en-GB"/>
              </w:rPr>
            </w:pPr>
            <w:r w:rsidRPr="00C27C63">
              <w:rPr>
                <w:rFonts w:eastAsia="Times New Roman"/>
                <w:b/>
                <w:bCs/>
                <w:color w:val="000000"/>
                <w:szCs w:val="21"/>
                <w:lang w:val="en-GB" w:eastAsia="en-AU"/>
              </w:rPr>
              <w:t>60,190</w:t>
            </w:r>
          </w:p>
        </w:tc>
        <w:tc>
          <w:tcPr>
            <w:tcW w:w="1134" w:type="dxa"/>
            <w:shd w:val="clear" w:color="auto" w:fill="ECD4F0"/>
            <w:noWrap/>
            <w:vAlign w:val="center"/>
          </w:tcPr>
          <w:p w14:paraId="24D44745" w14:textId="42575D17" w:rsidR="004B375F" w:rsidRPr="00C27C63"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b/>
                <w:bCs/>
                <w:lang w:val="en-GB"/>
              </w:rPr>
            </w:pPr>
            <w:r w:rsidRPr="00C27C63">
              <w:rPr>
                <w:rFonts w:eastAsia="Times New Roman"/>
                <w:b/>
                <w:bCs/>
                <w:color w:val="000000"/>
                <w:szCs w:val="21"/>
                <w:lang w:val="en-GB" w:eastAsia="en-AU"/>
              </w:rPr>
              <w:t>212,561</w:t>
            </w:r>
          </w:p>
        </w:tc>
      </w:tr>
      <w:tr w:rsidR="004B375F" w:rsidRPr="00A33264" w14:paraId="53E624E3" w14:textId="77777777" w:rsidTr="00C27C63">
        <w:trPr>
          <w:trHeight w:val="397"/>
        </w:trPr>
        <w:tc>
          <w:tcPr>
            <w:cnfStyle w:val="001000000000" w:firstRow="0" w:lastRow="0" w:firstColumn="1" w:lastColumn="0" w:oddVBand="0" w:evenVBand="0" w:oddHBand="0" w:evenHBand="0" w:firstRowFirstColumn="0" w:firstRowLastColumn="0" w:lastRowFirstColumn="0" w:lastRowLastColumn="0"/>
            <w:tcW w:w="3397" w:type="dxa"/>
            <w:shd w:val="clear" w:color="auto" w:fill="F9F0FA"/>
            <w:vAlign w:val="center"/>
          </w:tcPr>
          <w:p w14:paraId="4BEDC96A" w14:textId="680A630E" w:rsidR="004B375F" w:rsidRPr="00C27C63" w:rsidRDefault="004B375F" w:rsidP="004B375F">
            <w:pPr>
              <w:pStyle w:val="TableBody"/>
              <w:rPr>
                <w:b w:val="0"/>
                <w:bCs w:val="0"/>
                <w:lang w:val="en-GB"/>
              </w:rPr>
            </w:pPr>
            <w:r w:rsidRPr="00C27C63">
              <w:rPr>
                <w:rFonts w:eastAsia="Times New Roman"/>
                <w:b w:val="0"/>
                <w:bCs w:val="0"/>
                <w:color w:val="000000"/>
                <w:szCs w:val="21"/>
                <w:lang w:val="en-GB" w:eastAsia="en-AU"/>
              </w:rPr>
              <w:t>Participant</w:t>
            </w:r>
            <w:r w:rsidR="00AF2B54">
              <w:rPr>
                <w:rFonts w:eastAsia="Times New Roman"/>
                <w:b w:val="0"/>
                <w:bCs w:val="0"/>
                <w:color w:val="000000"/>
                <w:szCs w:val="21"/>
                <w:lang w:val="en-GB" w:eastAsia="en-AU"/>
              </w:rPr>
              <w:t>-</w:t>
            </w:r>
            <w:r w:rsidRPr="00C27C63">
              <w:rPr>
                <w:rFonts w:eastAsia="Times New Roman"/>
                <w:b w:val="0"/>
                <w:bCs w:val="0"/>
                <w:color w:val="000000"/>
                <w:szCs w:val="21"/>
                <w:lang w:val="en-GB" w:eastAsia="en-AU"/>
              </w:rPr>
              <w:t xml:space="preserve">related updates </w:t>
            </w:r>
          </w:p>
        </w:tc>
        <w:tc>
          <w:tcPr>
            <w:tcW w:w="1134" w:type="dxa"/>
            <w:shd w:val="clear" w:color="auto" w:fill="auto"/>
            <w:noWrap/>
            <w:vAlign w:val="center"/>
          </w:tcPr>
          <w:p w14:paraId="036242D6" w14:textId="2C9B1725" w:rsidR="004B375F" w:rsidRPr="00A33264"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rFonts w:eastAsia="Times New Roman"/>
                <w:color w:val="000000"/>
                <w:szCs w:val="21"/>
                <w:lang w:val="en-GB" w:eastAsia="en-AU"/>
              </w:rPr>
              <w:t>-196</w:t>
            </w:r>
          </w:p>
        </w:tc>
        <w:tc>
          <w:tcPr>
            <w:tcW w:w="1134" w:type="dxa"/>
            <w:shd w:val="clear" w:color="auto" w:fill="auto"/>
            <w:noWrap/>
            <w:vAlign w:val="center"/>
          </w:tcPr>
          <w:p w14:paraId="6BAAC1EA" w14:textId="54D3AD79" w:rsidR="004B375F" w:rsidRPr="00A33264"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rFonts w:eastAsia="Times New Roman"/>
                <w:color w:val="000000"/>
                <w:szCs w:val="21"/>
                <w:lang w:val="en-GB" w:eastAsia="en-AU"/>
              </w:rPr>
              <w:t>37</w:t>
            </w:r>
          </w:p>
        </w:tc>
        <w:tc>
          <w:tcPr>
            <w:tcW w:w="1134" w:type="dxa"/>
            <w:shd w:val="clear" w:color="auto" w:fill="auto"/>
            <w:noWrap/>
            <w:vAlign w:val="center"/>
          </w:tcPr>
          <w:p w14:paraId="10DE145D" w14:textId="57B2DC4A" w:rsidR="004B375F" w:rsidRPr="00A33264"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rFonts w:eastAsia="Times New Roman"/>
                <w:color w:val="000000"/>
                <w:szCs w:val="21"/>
                <w:lang w:val="en-GB" w:eastAsia="en-AU"/>
              </w:rPr>
              <w:t>395</w:t>
            </w:r>
          </w:p>
        </w:tc>
        <w:tc>
          <w:tcPr>
            <w:tcW w:w="1134" w:type="dxa"/>
            <w:shd w:val="clear" w:color="auto" w:fill="auto"/>
            <w:noWrap/>
            <w:vAlign w:val="center"/>
          </w:tcPr>
          <w:p w14:paraId="32BFEC0F" w14:textId="03B9DADA" w:rsidR="004B375F" w:rsidRPr="00A33264"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rFonts w:eastAsia="Times New Roman"/>
                <w:color w:val="000000"/>
                <w:szCs w:val="21"/>
                <w:lang w:val="en-GB" w:eastAsia="en-AU"/>
              </w:rPr>
              <w:t>705</w:t>
            </w:r>
          </w:p>
        </w:tc>
        <w:tc>
          <w:tcPr>
            <w:tcW w:w="1134" w:type="dxa"/>
            <w:shd w:val="clear" w:color="auto" w:fill="auto"/>
            <w:noWrap/>
            <w:vAlign w:val="center"/>
          </w:tcPr>
          <w:p w14:paraId="07CFBEBD" w14:textId="0C0D9A1E" w:rsidR="004B375F" w:rsidRPr="00A33264"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lang w:val="en-GB"/>
              </w:rPr>
            </w:pPr>
            <w:r w:rsidRPr="00A33264">
              <w:rPr>
                <w:rFonts w:eastAsia="Times New Roman"/>
                <w:color w:val="000000"/>
                <w:szCs w:val="21"/>
                <w:lang w:val="en-GB" w:eastAsia="en-AU"/>
              </w:rPr>
              <w:t>941</w:t>
            </w:r>
          </w:p>
        </w:tc>
      </w:tr>
      <w:tr w:rsidR="004B375F" w:rsidRPr="00A33264" w14:paraId="577BFEB5" w14:textId="77777777" w:rsidTr="00C27C63">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3397" w:type="dxa"/>
            <w:shd w:val="clear" w:color="auto" w:fill="F9F0FA"/>
            <w:vAlign w:val="center"/>
          </w:tcPr>
          <w:p w14:paraId="5BB5378D" w14:textId="7186FE9A" w:rsidR="004B375F" w:rsidRPr="00C27C63" w:rsidRDefault="004B375F" w:rsidP="004B375F">
            <w:pPr>
              <w:pStyle w:val="TableBody"/>
              <w:rPr>
                <w:b w:val="0"/>
                <w:bCs w:val="0"/>
                <w:lang w:val="en-GB"/>
              </w:rPr>
            </w:pPr>
            <w:r w:rsidRPr="00C27C63">
              <w:rPr>
                <w:rFonts w:eastAsia="Times New Roman"/>
                <w:b w:val="0"/>
                <w:bCs w:val="0"/>
                <w:color w:val="000000"/>
                <w:szCs w:val="21"/>
                <w:lang w:val="en-GB" w:eastAsia="en-AU"/>
              </w:rPr>
              <w:t>Payment</w:t>
            </w:r>
            <w:r w:rsidR="00AF2B54">
              <w:rPr>
                <w:rFonts w:eastAsia="Times New Roman"/>
                <w:b w:val="0"/>
                <w:bCs w:val="0"/>
                <w:color w:val="000000"/>
                <w:szCs w:val="21"/>
                <w:lang w:val="en-GB" w:eastAsia="en-AU"/>
              </w:rPr>
              <w:t>-</w:t>
            </w:r>
            <w:r w:rsidRPr="00C27C63">
              <w:rPr>
                <w:rFonts w:eastAsia="Times New Roman"/>
                <w:b w:val="0"/>
                <w:bCs w:val="0"/>
                <w:color w:val="000000"/>
                <w:szCs w:val="21"/>
                <w:lang w:val="en-GB" w:eastAsia="en-AU"/>
              </w:rPr>
              <w:t>related updates</w:t>
            </w:r>
          </w:p>
        </w:tc>
        <w:tc>
          <w:tcPr>
            <w:tcW w:w="1134" w:type="dxa"/>
            <w:shd w:val="clear" w:color="auto" w:fill="auto"/>
            <w:noWrap/>
            <w:vAlign w:val="center"/>
          </w:tcPr>
          <w:p w14:paraId="3F21E903" w14:textId="00DE17DE" w:rsidR="004B375F" w:rsidRPr="00A33264"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2,356</w:t>
            </w:r>
          </w:p>
        </w:tc>
        <w:tc>
          <w:tcPr>
            <w:tcW w:w="1134" w:type="dxa"/>
            <w:shd w:val="clear" w:color="auto" w:fill="auto"/>
            <w:noWrap/>
            <w:vAlign w:val="center"/>
          </w:tcPr>
          <w:p w14:paraId="12F4FC0C" w14:textId="63463E24" w:rsidR="004B375F" w:rsidRPr="00A33264"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3,610</w:t>
            </w:r>
          </w:p>
        </w:tc>
        <w:tc>
          <w:tcPr>
            <w:tcW w:w="1134" w:type="dxa"/>
            <w:shd w:val="clear" w:color="auto" w:fill="auto"/>
            <w:noWrap/>
            <w:vAlign w:val="center"/>
          </w:tcPr>
          <w:p w14:paraId="5B7617AC" w14:textId="18CAE883" w:rsidR="004B375F" w:rsidRPr="00A33264"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4,638</w:t>
            </w:r>
          </w:p>
        </w:tc>
        <w:tc>
          <w:tcPr>
            <w:tcW w:w="1134" w:type="dxa"/>
            <w:shd w:val="clear" w:color="auto" w:fill="auto"/>
            <w:noWrap/>
            <w:vAlign w:val="center"/>
          </w:tcPr>
          <w:p w14:paraId="5C770DFB" w14:textId="3B46AB14" w:rsidR="004B375F" w:rsidRPr="00A33264"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5,412</w:t>
            </w:r>
          </w:p>
        </w:tc>
        <w:tc>
          <w:tcPr>
            <w:tcW w:w="1134" w:type="dxa"/>
            <w:shd w:val="clear" w:color="auto" w:fill="auto"/>
            <w:noWrap/>
            <w:vAlign w:val="center"/>
          </w:tcPr>
          <w:p w14:paraId="5E60309F" w14:textId="211DEEAA" w:rsidR="004B375F" w:rsidRPr="00A33264" w:rsidRDefault="004B375F" w:rsidP="005A19C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16,015</w:t>
            </w:r>
          </w:p>
        </w:tc>
      </w:tr>
      <w:tr w:rsidR="004B375F" w:rsidRPr="00A33264" w14:paraId="6939BB68" w14:textId="77777777" w:rsidTr="00C27C63">
        <w:trPr>
          <w:trHeight w:val="397"/>
        </w:trPr>
        <w:tc>
          <w:tcPr>
            <w:cnfStyle w:val="001000000000" w:firstRow="0" w:lastRow="0" w:firstColumn="1" w:lastColumn="0" w:oddVBand="0" w:evenVBand="0" w:oddHBand="0" w:evenHBand="0" w:firstRowFirstColumn="0" w:firstRowLastColumn="0" w:lastRowFirstColumn="0" w:lastRowLastColumn="0"/>
            <w:tcW w:w="3397" w:type="dxa"/>
            <w:shd w:val="clear" w:color="auto" w:fill="F9F0FA"/>
            <w:vAlign w:val="center"/>
          </w:tcPr>
          <w:p w14:paraId="5A43DF2B" w14:textId="3373357A" w:rsidR="004B375F" w:rsidRPr="00A33264" w:rsidRDefault="004B375F" w:rsidP="004B375F">
            <w:pPr>
              <w:pStyle w:val="TableBody"/>
              <w:rPr>
                <w:lang w:val="en-GB"/>
              </w:rPr>
            </w:pPr>
            <w:r w:rsidRPr="00A33264">
              <w:rPr>
                <w:rFonts w:eastAsia="Times New Roman"/>
                <w:color w:val="000000"/>
                <w:szCs w:val="21"/>
                <w:lang w:val="en-GB" w:eastAsia="en-AU"/>
              </w:rPr>
              <w:t xml:space="preserve">Total movement before </w:t>
            </w:r>
            <w:r w:rsidR="00966323">
              <w:rPr>
                <w:rFonts w:eastAsia="Times New Roman"/>
                <w:color w:val="000000"/>
                <w:szCs w:val="21"/>
                <w:lang w:val="en-GB" w:eastAsia="en-AU"/>
              </w:rPr>
              <w:t xml:space="preserve">Recent and </w:t>
            </w:r>
            <w:r w:rsidRPr="00A33264">
              <w:rPr>
                <w:rFonts w:eastAsia="Times New Roman"/>
                <w:color w:val="000000"/>
                <w:szCs w:val="21"/>
                <w:lang w:val="en-GB" w:eastAsia="en-AU"/>
              </w:rPr>
              <w:t>Proposed Reforms</w:t>
            </w:r>
          </w:p>
        </w:tc>
        <w:tc>
          <w:tcPr>
            <w:tcW w:w="1134" w:type="dxa"/>
            <w:shd w:val="clear" w:color="auto" w:fill="E0E0E0" w:themeFill="background1" w:themeFillShade="E6"/>
            <w:noWrap/>
            <w:vAlign w:val="center"/>
          </w:tcPr>
          <w:p w14:paraId="4AE75D57" w14:textId="1459C5C7"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rFonts w:eastAsia="Times New Roman"/>
                <w:b/>
                <w:bCs/>
                <w:color w:val="000000"/>
                <w:szCs w:val="21"/>
                <w:lang w:val="en-GB" w:eastAsia="en-AU"/>
              </w:rPr>
              <w:t>2,159</w:t>
            </w:r>
          </w:p>
        </w:tc>
        <w:tc>
          <w:tcPr>
            <w:tcW w:w="1134" w:type="dxa"/>
            <w:shd w:val="clear" w:color="auto" w:fill="E0E0E0" w:themeFill="background1" w:themeFillShade="E6"/>
            <w:noWrap/>
            <w:vAlign w:val="center"/>
          </w:tcPr>
          <w:p w14:paraId="28F4A88D" w14:textId="53052AD9"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rFonts w:eastAsia="Times New Roman"/>
                <w:b/>
                <w:bCs/>
                <w:color w:val="000000"/>
                <w:szCs w:val="21"/>
                <w:lang w:val="en-GB" w:eastAsia="en-AU"/>
              </w:rPr>
              <w:t>3,647</w:t>
            </w:r>
          </w:p>
        </w:tc>
        <w:tc>
          <w:tcPr>
            <w:tcW w:w="1134" w:type="dxa"/>
            <w:shd w:val="clear" w:color="auto" w:fill="E0E0E0" w:themeFill="background1" w:themeFillShade="E6"/>
            <w:noWrap/>
            <w:vAlign w:val="center"/>
          </w:tcPr>
          <w:p w14:paraId="4CF2E9CF" w14:textId="0849B295"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rFonts w:eastAsia="Times New Roman"/>
                <w:b/>
                <w:bCs/>
                <w:color w:val="000000"/>
                <w:szCs w:val="21"/>
                <w:lang w:val="en-GB" w:eastAsia="en-AU"/>
              </w:rPr>
              <w:t>5,033</w:t>
            </w:r>
          </w:p>
        </w:tc>
        <w:tc>
          <w:tcPr>
            <w:tcW w:w="1134" w:type="dxa"/>
            <w:shd w:val="clear" w:color="auto" w:fill="E0E0E0" w:themeFill="background1" w:themeFillShade="E6"/>
            <w:noWrap/>
            <w:vAlign w:val="center"/>
          </w:tcPr>
          <w:p w14:paraId="1E009A12" w14:textId="0E54B940"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rFonts w:eastAsia="Times New Roman"/>
                <w:b/>
                <w:bCs/>
                <w:color w:val="000000"/>
                <w:szCs w:val="21"/>
                <w:lang w:val="en-GB" w:eastAsia="en-AU"/>
              </w:rPr>
              <w:t>6,117</w:t>
            </w:r>
          </w:p>
        </w:tc>
        <w:tc>
          <w:tcPr>
            <w:tcW w:w="1134" w:type="dxa"/>
            <w:shd w:val="clear" w:color="auto" w:fill="E0E0E0" w:themeFill="background1" w:themeFillShade="E6"/>
            <w:noWrap/>
            <w:vAlign w:val="center"/>
          </w:tcPr>
          <w:p w14:paraId="18235F49" w14:textId="63538BCA"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rFonts w:eastAsia="Times New Roman"/>
                <w:b/>
                <w:bCs/>
                <w:color w:val="000000"/>
                <w:szCs w:val="21"/>
                <w:lang w:val="en-GB" w:eastAsia="en-AU"/>
              </w:rPr>
              <w:t>16,956</w:t>
            </w:r>
          </w:p>
        </w:tc>
      </w:tr>
      <w:tr w:rsidR="00BB40DF" w:rsidRPr="00A33264" w14:paraId="2AA9E2D7" w14:textId="77777777" w:rsidTr="00BB40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F9F0FA"/>
            <w:vAlign w:val="center"/>
          </w:tcPr>
          <w:p w14:paraId="29721F14" w14:textId="1FA40392" w:rsidR="004B375F" w:rsidRPr="00C27C63" w:rsidRDefault="004B375F" w:rsidP="004B375F">
            <w:pPr>
              <w:pStyle w:val="TableBody"/>
              <w:rPr>
                <w:b w:val="0"/>
                <w:bCs w:val="0"/>
                <w:lang w:val="en-GB"/>
              </w:rPr>
            </w:pPr>
            <w:r w:rsidRPr="00C27C63">
              <w:rPr>
                <w:rFonts w:eastAsia="Times New Roman"/>
                <w:b w:val="0"/>
                <w:bCs w:val="0"/>
                <w:color w:val="000000"/>
                <w:szCs w:val="21"/>
                <w:lang w:val="en-GB" w:eastAsia="en-AU"/>
              </w:rPr>
              <w:t xml:space="preserve">Allowance for </w:t>
            </w:r>
            <w:r w:rsidR="00966323" w:rsidRPr="00C27C63">
              <w:rPr>
                <w:rFonts w:eastAsia="Times New Roman"/>
                <w:b w:val="0"/>
                <w:bCs w:val="0"/>
                <w:color w:val="000000"/>
                <w:szCs w:val="21"/>
                <w:lang w:val="en-GB" w:eastAsia="en-AU"/>
              </w:rPr>
              <w:t xml:space="preserve">Recent and </w:t>
            </w:r>
            <w:r w:rsidRPr="00C27C63">
              <w:rPr>
                <w:rFonts w:eastAsia="Times New Roman"/>
                <w:b w:val="0"/>
                <w:bCs w:val="0"/>
                <w:color w:val="000000"/>
                <w:szCs w:val="21"/>
                <w:lang w:val="en-GB" w:eastAsia="en-AU"/>
              </w:rPr>
              <w:t>Proposed Reforms</w:t>
            </w:r>
          </w:p>
        </w:tc>
        <w:tc>
          <w:tcPr>
            <w:tcW w:w="0" w:type="dxa"/>
            <w:shd w:val="clear" w:color="auto" w:fill="auto"/>
            <w:noWrap/>
            <w:vAlign w:val="center"/>
          </w:tcPr>
          <w:p w14:paraId="66D77758" w14:textId="17269F6C" w:rsidR="004B375F" w:rsidRPr="00A33264" w:rsidRDefault="004B375F" w:rsidP="00BB40DF">
            <w:pPr>
              <w:spacing w:after="0"/>
              <w:jc w:val="right"/>
              <w:cnfStyle w:val="000000100000" w:firstRow="0" w:lastRow="0" w:firstColumn="0" w:lastColumn="0" w:oddVBand="0" w:evenVBand="0" w:oddHBand="1" w:evenHBand="0" w:firstRowFirstColumn="0" w:firstRowLastColumn="0" w:lastRowFirstColumn="0" w:lastRowLastColumn="0"/>
              <w:rPr>
                <w:lang w:val="en-GB"/>
              </w:rPr>
            </w:pPr>
            <w:r w:rsidRPr="00A33264">
              <w:rPr>
                <w:lang w:val="en-GB" w:eastAsia="en-AU"/>
              </w:rPr>
              <w:t>-1,670</w:t>
            </w:r>
          </w:p>
        </w:tc>
        <w:tc>
          <w:tcPr>
            <w:tcW w:w="0" w:type="dxa"/>
            <w:shd w:val="clear" w:color="auto" w:fill="auto"/>
            <w:noWrap/>
            <w:vAlign w:val="center"/>
          </w:tcPr>
          <w:p w14:paraId="730A60C1" w14:textId="3FBEC04F" w:rsidR="004B375F" w:rsidRPr="00A33264" w:rsidRDefault="004B375F" w:rsidP="00D26F9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-3,647</w:t>
            </w:r>
          </w:p>
        </w:tc>
        <w:tc>
          <w:tcPr>
            <w:tcW w:w="0" w:type="dxa"/>
            <w:shd w:val="clear" w:color="auto" w:fill="auto"/>
            <w:noWrap/>
            <w:vAlign w:val="center"/>
          </w:tcPr>
          <w:p w14:paraId="702EBAA1" w14:textId="13E47AE2" w:rsidR="004B375F" w:rsidRPr="00A33264" w:rsidRDefault="004B375F" w:rsidP="00D26F9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-6,025</w:t>
            </w:r>
          </w:p>
        </w:tc>
        <w:tc>
          <w:tcPr>
            <w:tcW w:w="0" w:type="dxa"/>
            <w:shd w:val="clear" w:color="auto" w:fill="auto"/>
            <w:noWrap/>
            <w:vAlign w:val="center"/>
          </w:tcPr>
          <w:p w14:paraId="4BBAAFB1" w14:textId="3F4ADDF5" w:rsidR="004B375F" w:rsidRPr="00A33264" w:rsidRDefault="004B375F" w:rsidP="00D26F9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-7,917</w:t>
            </w:r>
          </w:p>
        </w:tc>
        <w:tc>
          <w:tcPr>
            <w:tcW w:w="0" w:type="dxa"/>
            <w:shd w:val="clear" w:color="auto" w:fill="auto"/>
            <w:noWrap/>
            <w:vAlign w:val="center"/>
          </w:tcPr>
          <w:p w14:paraId="53F30738" w14:textId="3631E023" w:rsidR="004B375F" w:rsidRPr="00A33264" w:rsidRDefault="004B375F" w:rsidP="00D26F9A">
            <w:pPr>
              <w:pStyle w:val="TableBody"/>
              <w:jc w:val="right"/>
              <w:cnfStyle w:val="000000100000" w:firstRow="0" w:lastRow="0" w:firstColumn="0" w:lastColumn="0" w:oddVBand="0" w:evenVBand="0" w:oddHBand="1" w:evenHBand="0" w:firstRowFirstColumn="0" w:firstRowLastColumn="0" w:lastRowFirstColumn="0" w:lastRowLastColumn="0"/>
              <w:rPr>
                <w:lang w:val="en-GB"/>
              </w:rPr>
            </w:pPr>
            <w:r w:rsidRPr="00A33264">
              <w:rPr>
                <w:rFonts w:eastAsia="Times New Roman"/>
                <w:color w:val="000000"/>
                <w:szCs w:val="21"/>
                <w:lang w:val="en-GB" w:eastAsia="en-AU"/>
              </w:rPr>
              <w:t>-19,259</w:t>
            </w:r>
          </w:p>
        </w:tc>
      </w:tr>
      <w:tr w:rsidR="004B375F" w:rsidRPr="00A33264" w14:paraId="47C27CAA" w14:textId="77777777" w:rsidTr="00C27C63">
        <w:trPr>
          <w:trHeight w:val="397"/>
        </w:trPr>
        <w:tc>
          <w:tcPr>
            <w:cnfStyle w:val="001000000000" w:firstRow="0" w:lastRow="0" w:firstColumn="1" w:lastColumn="0" w:oddVBand="0" w:evenVBand="0" w:oddHBand="0" w:evenHBand="0" w:firstRowFirstColumn="0" w:firstRowLastColumn="0" w:lastRowFirstColumn="0" w:lastRowLastColumn="0"/>
            <w:tcW w:w="3397" w:type="dxa"/>
            <w:shd w:val="clear" w:color="auto" w:fill="F9F0FA"/>
            <w:vAlign w:val="center"/>
          </w:tcPr>
          <w:p w14:paraId="31394686" w14:textId="3233206E" w:rsidR="004B375F" w:rsidRPr="00A33264" w:rsidRDefault="004B375F" w:rsidP="004B375F">
            <w:pPr>
              <w:pStyle w:val="TableBody"/>
              <w:rPr>
                <w:lang w:val="en-GB"/>
              </w:rPr>
            </w:pPr>
            <w:r w:rsidRPr="00A33264">
              <w:rPr>
                <w:rFonts w:eastAsia="Times New Roman"/>
                <w:color w:val="000000"/>
                <w:szCs w:val="21"/>
                <w:lang w:val="en-GB" w:eastAsia="en-AU"/>
              </w:rPr>
              <w:t>June 2024 projections</w:t>
            </w:r>
          </w:p>
        </w:tc>
        <w:tc>
          <w:tcPr>
            <w:tcW w:w="1134" w:type="dxa"/>
            <w:shd w:val="clear" w:color="auto" w:fill="F2E2F2"/>
            <w:noWrap/>
            <w:vAlign w:val="center"/>
          </w:tcPr>
          <w:p w14:paraId="527011A5" w14:textId="32707A47"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b/>
                <w:bCs/>
                <w:color w:val="000000"/>
                <w:lang w:val="en-GB"/>
              </w:rPr>
              <w:t>46,865</w:t>
            </w:r>
          </w:p>
        </w:tc>
        <w:tc>
          <w:tcPr>
            <w:tcW w:w="1134" w:type="dxa"/>
            <w:shd w:val="clear" w:color="auto" w:fill="F2E2F2"/>
            <w:noWrap/>
            <w:vAlign w:val="center"/>
          </w:tcPr>
          <w:p w14:paraId="3061C1FB" w14:textId="200FCE49"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b/>
                <w:bCs/>
                <w:color w:val="000000"/>
                <w:lang w:val="en-GB"/>
              </w:rPr>
              <w:t>50,789</w:t>
            </w:r>
          </w:p>
        </w:tc>
        <w:tc>
          <w:tcPr>
            <w:tcW w:w="1134" w:type="dxa"/>
            <w:shd w:val="clear" w:color="auto" w:fill="F2E2F2"/>
            <w:noWrap/>
            <w:vAlign w:val="center"/>
          </w:tcPr>
          <w:p w14:paraId="315B8843" w14:textId="19698DDB"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b/>
                <w:bCs/>
                <w:color w:val="000000"/>
                <w:lang w:val="en-GB"/>
              </w:rPr>
              <w:t>54,215</w:t>
            </w:r>
          </w:p>
        </w:tc>
        <w:tc>
          <w:tcPr>
            <w:tcW w:w="1134" w:type="dxa"/>
            <w:shd w:val="clear" w:color="auto" w:fill="F2E2F2"/>
            <w:noWrap/>
            <w:vAlign w:val="center"/>
          </w:tcPr>
          <w:p w14:paraId="1F873028" w14:textId="0173BB0B"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b/>
                <w:bCs/>
                <w:color w:val="000000"/>
                <w:lang w:val="en-GB"/>
              </w:rPr>
              <w:t>58,390</w:t>
            </w:r>
          </w:p>
        </w:tc>
        <w:tc>
          <w:tcPr>
            <w:tcW w:w="1134" w:type="dxa"/>
            <w:shd w:val="clear" w:color="auto" w:fill="F2E2F2"/>
            <w:noWrap/>
            <w:vAlign w:val="center"/>
          </w:tcPr>
          <w:p w14:paraId="204F42C1" w14:textId="4FDB361D" w:rsidR="004B375F" w:rsidRPr="00C27C63" w:rsidRDefault="004B375F" w:rsidP="005A19CA">
            <w:pPr>
              <w:pStyle w:val="TableBody"/>
              <w:jc w:val="right"/>
              <w:cnfStyle w:val="000000000000" w:firstRow="0" w:lastRow="0" w:firstColumn="0" w:lastColumn="0" w:oddVBand="0" w:evenVBand="0" w:oddHBand="0" w:evenHBand="0" w:firstRowFirstColumn="0" w:firstRowLastColumn="0" w:lastRowFirstColumn="0" w:lastRowLastColumn="0"/>
              <w:rPr>
                <w:b/>
                <w:bCs/>
                <w:lang w:val="en-GB"/>
              </w:rPr>
            </w:pPr>
            <w:r w:rsidRPr="00C27C63">
              <w:rPr>
                <w:b/>
                <w:bCs/>
                <w:color w:val="000000"/>
                <w:lang w:val="en-GB"/>
              </w:rPr>
              <w:t>210,258</w:t>
            </w:r>
          </w:p>
        </w:tc>
      </w:tr>
    </w:tbl>
    <w:p w14:paraId="2F11EC47" w14:textId="62E25713" w:rsidR="00D76E73" w:rsidRDefault="00AF2B54" w:rsidP="00B27FA1">
      <w:pPr>
        <w:pStyle w:val="Tablenote"/>
      </w:pPr>
      <w:r>
        <w:t>N</w:t>
      </w:r>
      <w:r w:rsidR="00D76E73">
        <w:t xml:space="preserve">ote: </w:t>
      </w:r>
      <w:r w:rsidR="00D76E73" w:rsidRPr="00D76E73">
        <w:t xml:space="preserve">Values have been rounded to </w:t>
      </w:r>
      <w:r w:rsidR="00D76E73" w:rsidRPr="00F86FC3">
        <w:t xml:space="preserve">the </w:t>
      </w:r>
      <w:r w:rsidR="00D76E73" w:rsidRPr="00D76E73">
        <w:t>nearest whole number; differences are calculated from unrounded metrics.</w:t>
      </w:r>
    </w:p>
    <w:p w14:paraId="49BE62EF" w14:textId="7E04838A" w:rsidR="00966323" w:rsidRDefault="00AF2B54" w:rsidP="004B375F">
      <w:pPr>
        <w:rPr>
          <w:lang w:val="en-GB"/>
        </w:rPr>
      </w:pPr>
      <w:r>
        <w:rPr>
          <w:lang w:val="en-GB"/>
        </w:rPr>
        <w:t>T</w:t>
      </w:r>
      <w:r w:rsidR="004B375F" w:rsidRPr="00A33264">
        <w:rPr>
          <w:lang w:val="en-GB"/>
        </w:rPr>
        <w:t xml:space="preserve">he June 2024 projections assume </w:t>
      </w:r>
      <w:r w:rsidR="00586997">
        <w:rPr>
          <w:lang w:val="en-GB"/>
        </w:rPr>
        <w:t>NDIA</w:t>
      </w:r>
      <w:r w:rsidR="00586997" w:rsidRPr="00A33264">
        <w:rPr>
          <w:lang w:val="en-GB"/>
        </w:rPr>
        <w:t xml:space="preserve"> </w:t>
      </w:r>
      <w:r w:rsidR="004B375F" w:rsidRPr="00A33264">
        <w:rPr>
          <w:lang w:val="en-GB"/>
        </w:rPr>
        <w:t>resourcing remains relatively constant in real terms</w:t>
      </w:r>
      <w:r>
        <w:rPr>
          <w:lang w:val="en-GB"/>
        </w:rPr>
        <w:t>.</w:t>
      </w:r>
      <w:r w:rsidR="00966323">
        <w:rPr>
          <w:lang w:val="en-GB"/>
        </w:rPr>
        <w:t xml:space="preserve"> </w:t>
      </w:r>
      <w:r>
        <w:rPr>
          <w:lang w:val="en-GB"/>
        </w:rPr>
        <w:t>I</w:t>
      </w:r>
      <w:r w:rsidR="00966323">
        <w:rPr>
          <w:lang w:val="en-GB"/>
        </w:rPr>
        <w:t xml:space="preserve">f </w:t>
      </w:r>
      <w:r>
        <w:rPr>
          <w:lang w:val="en-GB"/>
        </w:rPr>
        <w:t>it</w:t>
      </w:r>
      <w:r w:rsidR="00966323">
        <w:rPr>
          <w:lang w:val="en-GB"/>
        </w:rPr>
        <w:t xml:space="preserve"> do</w:t>
      </w:r>
      <w:r>
        <w:rPr>
          <w:lang w:val="en-GB"/>
        </w:rPr>
        <w:t>es</w:t>
      </w:r>
      <w:r w:rsidR="00966323">
        <w:rPr>
          <w:lang w:val="en-GB"/>
        </w:rPr>
        <w:t xml:space="preserve"> not</w:t>
      </w:r>
      <w:r>
        <w:rPr>
          <w:lang w:val="en-GB"/>
        </w:rPr>
        <w:t>,</w:t>
      </w:r>
      <w:r w:rsidR="00966323">
        <w:rPr>
          <w:lang w:val="en-GB"/>
        </w:rPr>
        <w:t xml:space="preserve"> NDIS expenses would be expected to be higher than those shown at this review</w:t>
      </w:r>
      <w:r w:rsidR="004B375F" w:rsidRPr="00A33264">
        <w:rPr>
          <w:lang w:val="en-GB"/>
        </w:rPr>
        <w:t xml:space="preserve">. In the 2024–25 Budget, </w:t>
      </w:r>
      <w:r w:rsidR="00586997">
        <w:rPr>
          <w:lang w:val="en-GB"/>
        </w:rPr>
        <w:t>NDIA</w:t>
      </w:r>
      <w:r w:rsidR="00586997" w:rsidRPr="00A33264">
        <w:rPr>
          <w:lang w:val="en-GB"/>
        </w:rPr>
        <w:t xml:space="preserve"> </w:t>
      </w:r>
      <w:r w:rsidR="004B375F" w:rsidRPr="00A33264">
        <w:rPr>
          <w:lang w:val="en-GB"/>
        </w:rPr>
        <w:t xml:space="preserve">operating expenses reduce by 35% in 2025–26. </w:t>
      </w:r>
    </w:p>
    <w:p w14:paraId="012A87E4" w14:textId="23AADF54" w:rsidR="00CC73B2" w:rsidRPr="00CC73B2" w:rsidRDefault="00966323" w:rsidP="00CC73B2">
      <w:r>
        <w:rPr>
          <w:lang w:val="en-GB"/>
        </w:rPr>
        <w:t xml:space="preserve">More discussion </w:t>
      </w:r>
      <w:r w:rsidR="00AF2B54">
        <w:rPr>
          <w:lang w:val="en-GB"/>
        </w:rPr>
        <w:t>on</w:t>
      </w:r>
      <w:r>
        <w:rPr>
          <w:lang w:val="en-GB"/>
        </w:rPr>
        <w:t xml:space="preserve"> recent NDIS experience, the June 2024 projection results and the assumptions underlying the projections is in the 2023</w:t>
      </w:r>
      <w:r w:rsidR="00760DED">
        <w:rPr>
          <w:lang w:val="en-GB"/>
        </w:rPr>
        <w:t>–</w:t>
      </w:r>
      <w:r>
        <w:rPr>
          <w:lang w:val="en-GB"/>
        </w:rPr>
        <w:t>24 AFSR.</w:t>
      </w:r>
      <w:bookmarkStart w:id="268" w:name="_Toc169592970"/>
      <w:bookmarkStart w:id="269" w:name="_Toc174354195"/>
      <w:bookmarkStart w:id="270" w:name="_Toc175316899"/>
      <w:bookmarkStart w:id="271" w:name="_Toc176786390"/>
      <w:r w:rsidR="00CC73B2" w:rsidRPr="00CC73B2">
        <w:br w:type="page"/>
      </w:r>
    </w:p>
    <w:p w14:paraId="764A0ADD" w14:textId="1CFBC112" w:rsidR="00D7463A" w:rsidRPr="00A33264" w:rsidRDefault="00D7463A" w:rsidP="00D7463A">
      <w:pPr>
        <w:pStyle w:val="Heading3"/>
        <w:rPr>
          <w:lang w:val="en-GB"/>
        </w:rPr>
      </w:pPr>
      <w:bookmarkStart w:id="272" w:name="_Toc180505672"/>
      <w:r w:rsidRPr="00A33264">
        <w:rPr>
          <w:lang w:val="en-GB"/>
        </w:rPr>
        <w:lastRenderedPageBreak/>
        <w:t>Letter from Independent Actuary</w:t>
      </w:r>
      <w:bookmarkEnd w:id="268"/>
      <w:bookmarkEnd w:id="269"/>
      <w:bookmarkEnd w:id="270"/>
      <w:bookmarkEnd w:id="271"/>
      <w:bookmarkEnd w:id="272"/>
    </w:p>
    <w:p w14:paraId="7C243CD1" w14:textId="38BC798C" w:rsidR="00D7463A" w:rsidRPr="00A33264" w:rsidRDefault="00CC73B2" w:rsidP="00D7463A">
      <w:pPr>
        <w:rPr>
          <w:lang w:val="en-GB"/>
        </w:rPr>
      </w:pPr>
      <w:r>
        <w:rPr>
          <w:noProof/>
        </w:rPr>
        <w:drawing>
          <wp:inline distT="0" distB="0" distL="0" distR="0" wp14:anchorId="0013D61E" wp14:editId="2193F41E">
            <wp:extent cx="5448300" cy="7686675"/>
            <wp:effectExtent l="0" t="0" r="0" b="9525"/>
            <wp:docPr id="590880903" name="Picture 1" descr="A letter from the Australian Government Actuary confirming his review of the June 2024 financial sustainabil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80903" name="Picture 1" descr="A letter from the Australian Government Actuary confirming his review of the June 2024 financial sustainability report."/>
                    <pic:cNvPicPr/>
                  </pic:nvPicPr>
                  <pic:blipFill>
                    <a:blip r:embed="rId63"/>
                    <a:stretch>
                      <a:fillRect/>
                    </a:stretch>
                  </pic:blipFill>
                  <pic:spPr>
                    <a:xfrm>
                      <a:off x="0" y="0"/>
                      <a:ext cx="5448300" cy="7686675"/>
                    </a:xfrm>
                    <a:prstGeom prst="rect">
                      <a:avLst/>
                    </a:prstGeom>
                  </pic:spPr>
                </pic:pic>
              </a:graphicData>
            </a:graphic>
          </wp:inline>
        </w:drawing>
      </w:r>
    </w:p>
    <w:p w14:paraId="45D44011" w14:textId="77777777" w:rsidR="00E70ACE" w:rsidRPr="00A33264" w:rsidRDefault="00E70ACE" w:rsidP="00D7463A">
      <w:pPr>
        <w:pStyle w:val="Heading2"/>
        <w:rPr>
          <w:lang w:val="en-GB"/>
        </w:rPr>
        <w:sectPr w:rsidR="00E70ACE" w:rsidRPr="00A33264" w:rsidSect="004B52CB">
          <w:headerReference w:type="default" r:id="rId64"/>
          <w:headerReference w:type="first" r:id="rId65"/>
          <w:pgSz w:w="11906" w:h="16838" w:code="9"/>
          <w:pgMar w:top="1361" w:right="1361" w:bottom="1361" w:left="1361" w:header="561" w:footer="374" w:gutter="0"/>
          <w:cols w:space="708"/>
          <w:titlePg/>
          <w:docGrid w:linePitch="360"/>
        </w:sectPr>
      </w:pPr>
      <w:bookmarkStart w:id="273" w:name="_Toc169592971"/>
      <w:bookmarkStart w:id="274" w:name="_Toc174354196"/>
      <w:bookmarkStart w:id="275" w:name="_Toc174354232"/>
    </w:p>
    <w:p w14:paraId="28450D84" w14:textId="2D978935" w:rsidR="00D7463A" w:rsidRPr="00A33264" w:rsidRDefault="00D7463A" w:rsidP="00D7463A">
      <w:pPr>
        <w:pStyle w:val="Heading2"/>
        <w:rPr>
          <w:lang w:val="en-GB"/>
        </w:rPr>
      </w:pPr>
      <w:bookmarkStart w:id="276" w:name="_Toc175316900"/>
      <w:bookmarkStart w:id="277" w:name="_Toc176786391"/>
      <w:bookmarkStart w:id="278" w:name="_Toc180505673"/>
      <w:r w:rsidRPr="00A33264">
        <w:rPr>
          <w:lang w:val="en-GB"/>
        </w:rPr>
        <w:lastRenderedPageBreak/>
        <w:t>Management and accountability</w:t>
      </w:r>
      <w:bookmarkEnd w:id="273"/>
      <w:bookmarkEnd w:id="274"/>
      <w:bookmarkEnd w:id="275"/>
      <w:bookmarkEnd w:id="276"/>
      <w:bookmarkEnd w:id="277"/>
      <w:bookmarkEnd w:id="278"/>
    </w:p>
    <w:p w14:paraId="6ABA5C12" w14:textId="4E846375" w:rsidR="00D7463A" w:rsidRPr="00A33264" w:rsidRDefault="00D7463A" w:rsidP="00D7463A">
      <w:pPr>
        <w:pStyle w:val="Heading3"/>
        <w:rPr>
          <w:lang w:val="en-GB"/>
        </w:rPr>
      </w:pPr>
      <w:bookmarkStart w:id="279" w:name="_Toc169592972"/>
      <w:bookmarkStart w:id="280" w:name="_Toc174354197"/>
      <w:bookmarkStart w:id="281" w:name="_Toc175316901"/>
      <w:bookmarkStart w:id="282" w:name="_Toc176786392"/>
      <w:bookmarkStart w:id="283" w:name="_Toc180505674"/>
      <w:r w:rsidRPr="00A33264">
        <w:rPr>
          <w:lang w:val="en-GB"/>
        </w:rPr>
        <w:t>Governance</w:t>
      </w:r>
      <w:bookmarkEnd w:id="279"/>
      <w:bookmarkEnd w:id="280"/>
      <w:bookmarkEnd w:id="281"/>
      <w:bookmarkEnd w:id="282"/>
      <w:bookmarkEnd w:id="283"/>
    </w:p>
    <w:p w14:paraId="1BEA7ED8" w14:textId="26376B58" w:rsidR="0047222D" w:rsidRPr="00A33264" w:rsidRDefault="0047222D" w:rsidP="0047222D">
      <w:pPr>
        <w:rPr>
          <w:lang w:val="en-GB"/>
        </w:rPr>
      </w:pPr>
      <w:r w:rsidRPr="00A33264">
        <w:rPr>
          <w:lang w:val="en-GB"/>
        </w:rPr>
        <w:t xml:space="preserve">The governance model for the NDIA is set out in the </w:t>
      </w:r>
      <w:r w:rsidR="004E5432">
        <w:rPr>
          <w:i/>
          <w:iCs/>
          <w:lang w:val="en-GB"/>
        </w:rPr>
        <w:t xml:space="preserve">National Disability Insurance Scheme Act 2013 </w:t>
      </w:r>
      <w:r w:rsidR="004E5432">
        <w:rPr>
          <w:lang w:val="en-GB"/>
        </w:rPr>
        <w:t>(Cth) (</w:t>
      </w:r>
      <w:r w:rsidRPr="00A33264">
        <w:rPr>
          <w:lang w:val="en-GB"/>
        </w:rPr>
        <w:t>NDIS Act</w:t>
      </w:r>
      <w:r w:rsidR="004E5432">
        <w:rPr>
          <w:lang w:val="en-GB"/>
        </w:rPr>
        <w:t>)</w:t>
      </w:r>
      <w:r w:rsidR="007D4FB6">
        <w:rPr>
          <w:lang w:val="en-GB"/>
        </w:rPr>
        <w:t xml:space="preserve"> and outlined below</w:t>
      </w:r>
      <w:r w:rsidRPr="00A33264">
        <w:rPr>
          <w:lang w:val="en-GB"/>
        </w:rPr>
        <w:t>.</w:t>
      </w:r>
    </w:p>
    <w:p w14:paraId="78537387" w14:textId="7C5526DB" w:rsidR="0047222D" w:rsidRPr="00A33264" w:rsidRDefault="0047222D" w:rsidP="0047222D">
      <w:pPr>
        <w:rPr>
          <w:u w:val="single"/>
          <w:lang w:val="en-GB"/>
        </w:rPr>
      </w:pPr>
      <w:r w:rsidRPr="00A33264">
        <w:rPr>
          <w:u w:val="single"/>
          <w:lang w:val="en-GB"/>
        </w:rPr>
        <w:t xml:space="preserve">Figure </w:t>
      </w:r>
      <w:r w:rsidR="0035317C">
        <w:rPr>
          <w:u w:val="single"/>
          <w:lang w:val="en-GB"/>
        </w:rPr>
        <w:t>2</w:t>
      </w:r>
      <w:r w:rsidRPr="00A33264">
        <w:rPr>
          <w:u w:val="single"/>
          <w:lang w:val="en-GB"/>
        </w:rPr>
        <w:t xml:space="preserve">: </w:t>
      </w:r>
      <w:r w:rsidR="007D4FB6">
        <w:rPr>
          <w:u w:val="single"/>
          <w:lang w:val="en-GB"/>
        </w:rPr>
        <w:t>NDIA</w:t>
      </w:r>
      <w:r w:rsidR="007D4FB6" w:rsidRPr="00A33264">
        <w:rPr>
          <w:u w:val="single"/>
          <w:lang w:val="en-GB"/>
        </w:rPr>
        <w:t xml:space="preserve"> </w:t>
      </w:r>
      <w:r w:rsidRPr="00A33264">
        <w:rPr>
          <w:u w:val="single"/>
          <w:lang w:val="en-GB"/>
        </w:rPr>
        <w:t>governance</w:t>
      </w:r>
    </w:p>
    <w:p w14:paraId="2E60E2C4" w14:textId="3A0F9F6F" w:rsidR="0047222D" w:rsidRPr="00A33264" w:rsidRDefault="0047222D" w:rsidP="0047222D">
      <w:pPr>
        <w:rPr>
          <w:u w:val="single"/>
          <w:lang w:val="en-GB"/>
        </w:rPr>
      </w:pPr>
      <w:r w:rsidRPr="00A33264">
        <w:rPr>
          <w:rFonts w:eastAsia="DengXian"/>
          <w:noProof/>
          <w:lang w:val="en-GB" w:eastAsia="en-AU"/>
        </w:rPr>
        <w:drawing>
          <wp:inline distT="0" distB="0" distL="0" distR="0" wp14:anchorId="0464271D" wp14:editId="28123B88">
            <wp:extent cx="5715000" cy="2289534"/>
            <wp:effectExtent l="0" t="0" r="0" b="0"/>
            <wp:docPr id="1" name="Picture 1" descr="A diagram showing the Agency governance model. This is in 3 layers. At the top there is Federal Parliament (Commonwealth Minister) and the Ministerial Council.&#10;The second level is the NDIA Board and the Independent Advisory Council.&#10;The third level is the NDIA C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showing the Agency governance model. This is in 3 layers. At the top there is Federal Parliament (Commonwealth Minister) and the Ministerial Council.&#10;The second level is the NDIA Board and the Independent Advisory Council.&#10;The third level is the NDIA CEO."/>
                    <pic:cNvPicPr>
                      <a:picLocks noChangeAspect="1" noChangeArrowheads="1"/>
                    </pic:cNvPicPr>
                  </pic:nvPicPr>
                  <pic:blipFill rotWithShape="1">
                    <a:blip r:embed="rId66">
                      <a:extLst>
                        <a:ext uri="{28A0092B-C50C-407E-A947-70E740481C1C}">
                          <a14:useLocalDpi xmlns:a14="http://schemas.microsoft.com/office/drawing/2010/main" val="0"/>
                        </a:ext>
                      </a:extLst>
                    </a:blip>
                    <a:srcRect l="12381" r="12270"/>
                    <a:stretch/>
                  </pic:blipFill>
                  <pic:spPr bwMode="auto">
                    <a:xfrm>
                      <a:off x="0" y="0"/>
                      <a:ext cx="5727907" cy="2294705"/>
                    </a:xfrm>
                    <a:prstGeom prst="rect">
                      <a:avLst/>
                    </a:prstGeom>
                    <a:noFill/>
                    <a:ln>
                      <a:noFill/>
                    </a:ln>
                    <a:extLst>
                      <a:ext uri="{53640926-AAD7-44D8-BBD7-CCE9431645EC}">
                        <a14:shadowObscured xmlns:a14="http://schemas.microsoft.com/office/drawing/2010/main"/>
                      </a:ext>
                    </a:extLst>
                  </pic:spPr>
                </pic:pic>
              </a:graphicData>
            </a:graphic>
          </wp:inline>
        </w:drawing>
      </w:r>
    </w:p>
    <w:p w14:paraId="0FFCB92D" w14:textId="463635BD" w:rsidR="00D7463A" w:rsidRPr="00A33264" w:rsidRDefault="005E78D1" w:rsidP="00D7463A">
      <w:pPr>
        <w:pStyle w:val="Heading4"/>
        <w:rPr>
          <w:lang w:val="en-GB"/>
        </w:rPr>
      </w:pPr>
      <w:bookmarkStart w:id="284" w:name="_Toc169592973"/>
      <w:r>
        <w:rPr>
          <w:lang w:val="en-GB"/>
        </w:rPr>
        <w:t>Minister</w:t>
      </w:r>
      <w:bookmarkEnd w:id="284"/>
      <w:r>
        <w:rPr>
          <w:lang w:val="en-GB"/>
        </w:rPr>
        <w:t xml:space="preserve"> for the NDIS</w:t>
      </w:r>
    </w:p>
    <w:p w14:paraId="141A80FF" w14:textId="6254D3AF" w:rsidR="006520F1" w:rsidRPr="00A33264" w:rsidRDefault="005E78D1" w:rsidP="006520F1">
      <w:pPr>
        <w:rPr>
          <w:lang w:val="en-GB"/>
        </w:rPr>
      </w:pPr>
      <w:r w:rsidRPr="005E78D1">
        <w:rPr>
          <w:lang w:val="en-GB"/>
        </w:rPr>
        <w:t>On 30 June 2024 the responsible minister for the NDIS was the Hon Bill Shorten MP.</w:t>
      </w:r>
    </w:p>
    <w:p w14:paraId="631312B6" w14:textId="57D3617F" w:rsidR="00D7463A" w:rsidRPr="00A33264" w:rsidRDefault="006520F1" w:rsidP="006520F1">
      <w:pPr>
        <w:rPr>
          <w:lang w:val="en-GB"/>
        </w:rPr>
      </w:pPr>
      <w:r w:rsidRPr="00A33264">
        <w:rPr>
          <w:lang w:val="en-GB"/>
        </w:rPr>
        <w:t>The Minister for the NDIS is responsible for administering the NDIS Act and, with the agreement of states and territories, exercises statutory powers, including the power to make delegated legislation in the form of NDIS Rules and to direct the NDIA.</w:t>
      </w:r>
    </w:p>
    <w:p w14:paraId="333DC09D" w14:textId="220F1D7A" w:rsidR="00D7463A" w:rsidRPr="00A33264" w:rsidRDefault="00704E0E" w:rsidP="00D7463A">
      <w:pPr>
        <w:pStyle w:val="Heading4"/>
        <w:rPr>
          <w:lang w:val="en-GB"/>
        </w:rPr>
      </w:pPr>
      <w:bookmarkStart w:id="285" w:name="_Toc169592974"/>
      <w:r w:rsidRPr="00880C4D">
        <w:rPr>
          <w:lang w:val="en-GB"/>
        </w:rPr>
        <w:t>Disability Reform</w:t>
      </w:r>
      <w:r>
        <w:rPr>
          <w:lang w:val="en-GB"/>
        </w:rPr>
        <w:t xml:space="preserve"> </w:t>
      </w:r>
      <w:r w:rsidR="00D7463A" w:rsidRPr="00A33264">
        <w:rPr>
          <w:lang w:val="en-GB"/>
        </w:rPr>
        <w:t>Ministerial Council</w:t>
      </w:r>
      <w:bookmarkEnd w:id="285"/>
    </w:p>
    <w:p w14:paraId="3BFD71D1" w14:textId="4E876B9C" w:rsidR="00D7463A" w:rsidRPr="00A33264" w:rsidRDefault="00CC2BD5" w:rsidP="00D7463A">
      <w:pPr>
        <w:rPr>
          <w:lang w:val="en-GB"/>
        </w:rPr>
      </w:pPr>
      <w:r w:rsidRPr="00A33264">
        <w:rPr>
          <w:lang w:val="en-GB"/>
        </w:rPr>
        <w:t>Commonwealth and state and territory ministers with responsibility for disability policy meet regularly through the Disability Reform Ministerial Council</w:t>
      </w:r>
      <w:r w:rsidR="004E5432">
        <w:rPr>
          <w:lang w:val="en-GB"/>
        </w:rPr>
        <w:t xml:space="preserve"> (Ministerial Council)</w:t>
      </w:r>
      <w:r w:rsidRPr="00A33264">
        <w:rPr>
          <w:lang w:val="en-GB"/>
        </w:rPr>
        <w:t>. The Ministerial Council discuss</w:t>
      </w:r>
      <w:r w:rsidR="009B61F9" w:rsidRPr="00A33264">
        <w:rPr>
          <w:lang w:val="en-GB"/>
        </w:rPr>
        <w:t>es</w:t>
      </w:r>
      <w:r w:rsidRPr="00A33264">
        <w:rPr>
          <w:lang w:val="en-GB"/>
        </w:rPr>
        <w:t xml:space="preserve"> ways to improve and implement policy through Australia’s Disability Strategy and the </w:t>
      </w:r>
      <w:r w:rsidR="001A6947">
        <w:rPr>
          <w:lang w:val="en-GB"/>
        </w:rPr>
        <w:t>NDIS</w:t>
      </w:r>
      <w:r w:rsidRPr="00A33264">
        <w:rPr>
          <w:lang w:val="en-GB"/>
        </w:rPr>
        <w:t xml:space="preserve">. </w:t>
      </w:r>
      <w:r w:rsidR="004E5432">
        <w:rPr>
          <w:lang w:val="en-GB"/>
        </w:rPr>
        <w:t>It</w:t>
      </w:r>
      <w:r w:rsidRPr="00A33264">
        <w:rPr>
          <w:lang w:val="en-GB"/>
        </w:rPr>
        <w:t xml:space="preserve"> reports to National Cabinet.</w:t>
      </w:r>
    </w:p>
    <w:p w14:paraId="3A6477DD" w14:textId="77F6B9A9" w:rsidR="00D7463A" w:rsidRPr="00A33264" w:rsidRDefault="00ED204F" w:rsidP="00D7463A">
      <w:pPr>
        <w:pStyle w:val="Heading3"/>
        <w:rPr>
          <w:lang w:val="en-GB"/>
        </w:rPr>
      </w:pPr>
      <w:bookmarkStart w:id="286" w:name="_Toc169592975"/>
      <w:bookmarkStart w:id="287" w:name="_Toc174354198"/>
      <w:bookmarkStart w:id="288" w:name="_Toc175316902"/>
      <w:bookmarkStart w:id="289" w:name="_Toc176786393"/>
      <w:bookmarkStart w:id="290" w:name="_Toc180505675"/>
      <w:r>
        <w:rPr>
          <w:lang w:val="en-GB"/>
        </w:rPr>
        <w:t xml:space="preserve">NDIA </w:t>
      </w:r>
      <w:r w:rsidR="00D7463A" w:rsidRPr="00A33264">
        <w:rPr>
          <w:lang w:val="en-GB"/>
        </w:rPr>
        <w:t>Board</w:t>
      </w:r>
      <w:bookmarkEnd w:id="286"/>
      <w:bookmarkEnd w:id="287"/>
      <w:bookmarkEnd w:id="288"/>
      <w:bookmarkEnd w:id="289"/>
      <w:bookmarkEnd w:id="290"/>
    </w:p>
    <w:p w14:paraId="438F3E63" w14:textId="69592F82" w:rsidR="006418CC" w:rsidRDefault="002B17B8" w:rsidP="006418CC">
      <w:pPr>
        <w:rPr>
          <w:lang w:val="en-GB"/>
        </w:rPr>
      </w:pPr>
      <w:r w:rsidRPr="5DD3BBE8">
        <w:t xml:space="preserve">The NDIA is overseen by the NDIA Board, the accountable authority under the </w:t>
      </w:r>
      <w:r w:rsidR="004E5432" w:rsidRPr="5DD3BBE8">
        <w:rPr>
          <w:i/>
        </w:rPr>
        <w:t>Public Governance, Performance and Accountability Act 2013</w:t>
      </w:r>
      <w:r w:rsidR="004E5432" w:rsidRPr="5DD3BBE8">
        <w:t xml:space="preserve"> (Cth) (PGPA Act) (see Table 3 for details of accountable authority).</w:t>
      </w:r>
      <w:r w:rsidR="006418CC">
        <w:rPr>
          <w:lang w:val="en-GB"/>
        </w:rPr>
        <w:br w:type="page"/>
      </w:r>
    </w:p>
    <w:p w14:paraId="7B3104DB" w14:textId="07BB9D53" w:rsidR="0047222D" w:rsidRPr="00A33264" w:rsidRDefault="002B17B8" w:rsidP="00C3116F">
      <w:pPr>
        <w:rPr>
          <w:lang w:val="en-GB"/>
        </w:rPr>
      </w:pPr>
      <w:r w:rsidRPr="00A33264">
        <w:rPr>
          <w:lang w:val="en-GB"/>
        </w:rPr>
        <w:lastRenderedPageBreak/>
        <w:t>Under</w:t>
      </w:r>
      <w:r w:rsidR="0047222D" w:rsidRPr="00A33264">
        <w:rPr>
          <w:lang w:val="en-GB"/>
        </w:rPr>
        <w:t xml:space="preserve"> section 124 of the NDIS Act, the Board operates to:</w:t>
      </w:r>
    </w:p>
    <w:p w14:paraId="22944D55" w14:textId="4A67BA03" w:rsidR="0047222D" w:rsidRPr="00A33264" w:rsidRDefault="0047222D" w:rsidP="0047222D">
      <w:pPr>
        <w:pStyle w:val="Bullet1"/>
        <w:rPr>
          <w:lang w:val="en-GB"/>
        </w:rPr>
      </w:pPr>
      <w:r w:rsidRPr="00A33264">
        <w:rPr>
          <w:lang w:val="en-GB"/>
        </w:rPr>
        <w:t>ensure the proper, efficient and effective performance of the NDIA’s functions</w:t>
      </w:r>
    </w:p>
    <w:p w14:paraId="2E678587" w14:textId="2F075703" w:rsidR="0047222D" w:rsidRPr="00A33264" w:rsidRDefault="0047222D" w:rsidP="0047222D">
      <w:pPr>
        <w:pStyle w:val="Bullet1"/>
        <w:rPr>
          <w:lang w:val="en-GB"/>
        </w:rPr>
      </w:pPr>
      <w:r w:rsidRPr="00A33264">
        <w:rPr>
          <w:lang w:val="en-GB"/>
        </w:rPr>
        <w:t>determine objectives, strategies and policies to be followed by the NDIA</w:t>
      </w:r>
    </w:p>
    <w:p w14:paraId="547A691A" w14:textId="34DFB6F0" w:rsidR="0047222D" w:rsidRPr="00A33264" w:rsidRDefault="001A6947" w:rsidP="0047222D">
      <w:pPr>
        <w:pStyle w:val="Bullet1"/>
        <w:rPr>
          <w:lang w:val="en-GB"/>
        </w:rPr>
      </w:pPr>
      <w:r>
        <w:rPr>
          <w:lang w:val="en-GB"/>
        </w:rPr>
        <w:t xml:space="preserve">carry out </w:t>
      </w:r>
      <w:r w:rsidR="0047222D" w:rsidRPr="00A33264">
        <w:rPr>
          <w:lang w:val="en-GB"/>
        </w:rPr>
        <w:t xml:space="preserve">any other functions conferred on </w:t>
      </w:r>
      <w:r>
        <w:rPr>
          <w:lang w:val="en-GB"/>
        </w:rPr>
        <w:t>it</w:t>
      </w:r>
      <w:r w:rsidR="0047222D" w:rsidRPr="00A33264">
        <w:rPr>
          <w:lang w:val="en-GB"/>
        </w:rPr>
        <w:t xml:space="preserve"> by or under the NDIS Act, regulations or instruments made under the NDIS Act, or any other law of the Commonwealth.</w:t>
      </w:r>
    </w:p>
    <w:p w14:paraId="771EFB36" w14:textId="50BE76AC" w:rsidR="0047222D" w:rsidRPr="00A33264" w:rsidRDefault="0047222D" w:rsidP="0047222D">
      <w:pPr>
        <w:rPr>
          <w:lang w:val="en-GB"/>
        </w:rPr>
      </w:pPr>
      <w:r w:rsidRPr="00A33264">
        <w:rPr>
          <w:lang w:val="en-GB"/>
        </w:rPr>
        <w:t xml:space="preserve">Board members are appointed by the responsible Commonwealth </w:t>
      </w:r>
      <w:r w:rsidR="001A6947">
        <w:rPr>
          <w:lang w:val="en-GB"/>
        </w:rPr>
        <w:t>m</w:t>
      </w:r>
      <w:r w:rsidRPr="00A33264">
        <w:rPr>
          <w:lang w:val="en-GB"/>
        </w:rPr>
        <w:t>inister in consultation with the Disability Ministers of each state and territory. In 2023–24 Board appointments were made by the Minister for the NDIS.</w:t>
      </w:r>
    </w:p>
    <w:p w14:paraId="7A982E9D" w14:textId="77777777" w:rsidR="0047222D" w:rsidRPr="00A33264" w:rsidRDefault="0047222D" w:rsidP="0047222D">
      <w:pPr>
        <w:rPr>
          <w:lang w:val="en-GB"/>
        </w:rPr>
      </w:pPr>
      <w:r w:rsidRPr="00A33264">
        <w:rPr>
          <w:lang w:val="en-GB"/>
        </w:rPr>
        <w:t>The Board undertakes an annual review of its functions and committees as part of its commitment to best practice corporate governance. This includes:</w:t>
      </w:r>
    </w:p>
    <w:p w14:paraId="3B4141BC" w14:textId="7858C62C" w:rsidR="0047222D" w:rsidRPr="00A33264" w:rsidRDefault="0047222D" w:rsidP="0047222D">
      <w:pPr>
        <w:pStyle w:val="Bullet1"/>
        <w:rPr>
          <w:lang w:val="en-GB"/>
        </w:rPr>
      </w:pPr>
      <w:r w:rsidRPr="00A33264">
        <w:rPr>
          <w:lang w:val="en-GB"/>
        </w:rPr>
        <w:t xml:space="preserve">review of Board committee charters to ensure the focus and work effort of the committees uphold the Board’s responsibility as </w:t>
      </w:r>
      <w:r w:rsidR="001A6947">
        <w:rPr>
          <w:lang w:val="en-GB"/>
        </w:rPr>
        <w:t>the</w:t>
      </w:r>
      <w:r w:rsidRPr="00A33264">
        <w:rPr>
          <w:lang w:val="en-GB"/>
        </w:rPr>
        <w:t xml:space="preserve"> accountability authority of the NDIA</w:t>
      </w:r>
    </w:p>
    <w:p w14:paraId="7352F332" w14:textId="73350050" w:rsidR="00D7463A" w:rsidRPr="00A33264" w:rsidRDefault="0047222D" w:rsidP="0047222D">
      <w:pPr>
        <w:pStyle w:val="Bullet1"/>
        <w:rPr>
          <w:lang w:val="en-GB"/>
        </w:rPr>
      </w:pPr>
      <w:r w:rsidRPr="00A33264">
        <w:rPr>
          <w:lang w:val="en-GB"/>
        </w:rPr>
        <w:t>review of committee membership to ensure members have appropriate qualifications, knowledge, skills or experience to assist each committee to perform its functions.</w:t>
      </w:r>
    </w:p>
    <w:p w14:paraId="6774CBE1" w14:textId="1825B955" w:rsidR="002B17B8" w:rsidRDefault="002B17B8" w:rsidP="00A9438A">
      <w:pPr>
        <w:rPr>
          <w:lang w:val="en-GB"/>
        </w:rPr>
      </w:pPr>
      <w:r w:rsidRPr="00A33264">
        <w:rPr>
          <w:lang w:val="en-GB"/>
        </w:rPr>
        <w:t xml:space="preserve">The Board receives advice from the Independent Advisory Council and the Scheme Actuary, </w:t>
      </w:r>
      <w:r w:rsidR="004E5CA0">
        <w:rPr>
          <w:lang w:val="en-GB"/>
        </w:rPr>
        <w:t>in accordance with the</w:t>
      </w:r>
      <w:r w:rsidRPr="00A33264">
        <w:rPr>
          <w:lang w:val="en-GB"/>
        </w:rPr>
        <w:t xml:space="preserve"> functions and duties </w:t>
      </w:r>
      <w:r w:rsidR="004E5CA0">
        <w:rPr>
          <w:lang w:val="en-GB"/>
        </w:rPr>
        <w:t>outlined in</w:t>
      </w:r>
      <w:r w:rsidRPr="00A33264">
        <w:rPr>
          <w:lang w:val="en-GB"/>
        </w:rPr>
        <w:t xml:space="preserve"> the NDIS Act.</w:t>
      </w:r>
    </w:p>
    <w:p w14:paraId="1F306076" w14:textId="00708820" w:rsidR="004E5432" w:rsidRPr="00A33264" w:rsidRDefault="004E5432" w:rsidP="00A9438A">
      <w:pPr>
        <w:rPr>
          <w:lang w:val="en-GB"/>
        </w:rPr>
      </w:pPr>
      <w:r>
        <w:rPr>
          <w:lang w:val="en-GB"/>
        </w:rPr>
        <w:t>See Table 5 for details on Board member attendance at meetings.</w:t>
      </w:r>
    </w:p>
    <w:p w14:paraId="61E6EE5B" w14:textId="56AD9FC4" w:rsidR="00D7463A" w:rsidRPr="00A33264" w:rsidRDefault="00280054" w:rsidP="00D7463A">
      <w:pPr>
        <w:pStyle w:val="Heading4"/>
        <w:rPr>
          <w:lang w:val="en-GB"/>
        </w:rPr>
      </w:pPr>
      <w:r w:rsidRPr="00A33264">
        <w:rPr>
          <w:lang w:val="en-GB"/>
        </w:rPr>
        <w:t>Members as at 30 June 2024</w:t>
      </w:r>
    </w:p>
    <w:p w14:paraId="3DF42FD9" w14:textId="2C718ED4" w:rsidR="0047222D" w:rsidRPr="00A33264" w:rsidRDefault="0047222D" w:rsidP="00D7463A">
      <w:pPr>
        <w:rPr>
          <w:lang w:val="en-GB"/>
        </w:rPr>
      </w:pPr>
      <w:r w:rsidRPr="00A33264">
        <w:rPr>
          <w:noProof/>
          <w:lang w:val="en-GB"/>
          <w14:ligatures w14:val="standardContextual"/>
        </w:rPr>
        <w:drawing>
          <wp:inline distT="0" distB="0" distL="0" distR="0" wp14:anchorId="1B811ED4" wp14:editId="43886D41">
            <wp:extent cx="1256400" cy="1893600"/>
            <wp:effectExtent l="0" t="0" r="1270" b="0"/>
            <wp:docPr id="934161242" name="Picture 934161242" descr="A photograph of Mr Kurt Fearnley AO, Chair of the Bo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61242" name="Picture 934161242" descr="A photograph of Mr Kurt Fearnley AO, Chair of the Board.">
                      <a:extLst>
                        <a:ext uri="{C183D7F6-B498-43B3-948B-1728B52AA6E4}">
                          <adec:decorative xmlns:adec="http://schemas.microsoft.com/office/drawing/2017/decorative" val="0"/>
                        </a:ext>
                      </a:extLst>
                    </pic:cNvPr>
                    <pic:cNvPicPr/>
                  </pic:nvPicPr>
                  <pic:blipFill>
                    <a:blip r:embed="rId67">
                      <a:extLst>
                        <a:ext uri="{28A0092B-C50C-407E-A947-70E740481C1C}">
                          <a14:useLocalDpi xmlns:a14="http://schemas.microsoft.com/office/drawing/2010/main" val="0"/>
                        </a:ext>
                      </a:extLst>
                    </a:blip>
                    <a:stretch>
                      <a:fillRect/>
                    </a:stretch>
                  </pic:blipFill>
                  <pic:spPr>
                    <a:xfrm>
                      <a:off x="0" y="0"/>
                      <a:ext cx="1256400" cy="1893600"/>
                    </a:xfrm>
                    <a:prstGeom prst="rect">
                      <a:avLst/>
                    </a:prstGeom>
                  </pic:spPr>
                </pic:pic>
              </a:graphicData>
            </a:graphic>
          </wp:inline>
        </w:drawing>
      </w:r>
    </w:p>
    <w:p w14:paraId="1B518633" w14:textId="77777777" w:rsidR="0047222D" w:rsidRPr="00A33264" w:rsidRDefault="0047222D" w:rsidP="0047222D">
      <w:pPr>
        <w:rPr>
          <w:b/>
          <w:lang w:val="en-GB"/>
        </w:rPr>
      </w:pPr>
      <w:r w:rsidRPr="00A33264">
        <w:rPr>
          <w:b/>
          <w:lang w:val="en-GB"/>
        </w:rPr>
        <w:t xml:space="preserve">Mr Kurt Fearnley AO, Chair </w:t>
      </w:r>
    </w:p>
    <w:p w14:paraId="21960961" w14:textId="77777777" w:rsidR="0047222D" w:rsidRPr="00A33264" w:rsidRDefault="0047222D" w:rsidP="0047222D">
      <w:pPr>
        <w:rPr>
          <w:bCs/>
          <w:lang w:val="en-GB"/>
        </w:rPr>
      </w:pPr>
      <w:r w:rsidRPr="00A33264">
        <w:rPr>
          <w:bCs/>
          <w:lang w:val="en-GB"/>
        </w:rPr>
        <w:t>Mr Kurt Fearnley AO is an experienced government and non-government director and 5-time Australian Paralympian.</w:t>
      </w:r>
    </w:p>
    <w:p w14:paraId="13F28038" w14:textId="77777777" w:rsidR="0047222D" w:rsidRPr="00A33264" w:rsidRDefault="0047222D" w:rsidP="0047222D">
      <w:pPr>
        <w:rPr>
          <w:bCs/>
          <w:lang w:val="en-GB"/>
        </w:rPr>
      </w:pPr>
      <w:r w:rsidRPr="00A33264">
        <w:rPr>
          <w:bCs/>
          <w:lang w:val="en-GB"/>
        </w:rPr>
        <w:lastRenderedPageBreak/>
        <w:t>He is a current Board Commissioner of the Australian Sports Commission, Board Director of the Brisbane 2032 Olympic and Paralympic Organising Committee, and member of the NSW TAFE Commission Advisory Board.</w:t>
      </w:r>
    </w:p>
    <w:p w14:paraId="592D9DBD" w14:textId="2FD962AD" w:rsidR="0047222D" w:rsidRPr="00A33264" w:rsidRDefault="0047222D" w:rsidP="00482705">
      <w:pPr>
        <w:tabs>
          <w:tab w:val="left" w:pos="1560"/>
        </w:tabs>
        <w:rPr>
          <w:bCs/>
          <w:lang w:val="en-GB"/>
        </w:rPr>
      </w:pPr>
      <w:r w:rsidRPr="00A33264">
        <w:rPr>
          <w:bCs/>
          <w:lang w:val="en-GB"/>
        </w:rPr>
        <w:t>Mr Fearnley is a former member of the boards of several organisations</w:t>
      </w:r>
      <w:r w:rsidR="004E5432">
        <w:rPr>
          <w:bCs/>
          <w:lang w:val="en-GB"/>
        </w:rPr>
        <w:t>,</w:t>
      </w:r>
      <w:r w:rsidRPr="00A33264">
        <w:rPr>
          <w:bCs/>
          <w:lang w:val="en-GB"/>
        </w:rPr>
        <w:t xml:space="preserve"> including Paralympics Australia, Life Without Barriers, Australian Volunteers International and the Newcastle Permanent Charitable Foundation.</w:t>
      </w:r>
    </w:p>
    <w:p w14:paraId="46093ABE" w14:textId="77777777" w:rsidR="0047222D" w:rsidRPr="00A33264" w:rsidRDefault="0047222D" w:rsidP="0047222D">
      <w:pPr>
        <w:rPr>
          <w:bCs/>
          <w:lang w:val="en-GB"/>
        </w:rPr>
      </w:pPr>
      <w:r w:rsidRPr="00A33264">
        <w:rPr>
          <w:bCs/>
          <w:lang w:val="en-GB"/>
        </w:rPr>
        <w:t>He was a member of the inaugural NDIS Independent Advisory Council, was Vice Chairperson of the International Paralympic Committee Athletes’ Council, carried out a number of roles for the Gold Coast 2018 Commonwealth Games Organising Committee, and was Co-Captain of the Australian Paralympic Team at the Rio 2016 Paralympics.</w:t>
      </w:r>
    </w:p>
    <w:p w14:paraId="6B1F781E" w14:textId="30BEC15F" w:rsidR="0047222D" w:rsidRPr="00A33264" w:rsidRDefault="0047222D" w:rsidP="0047222D">
      <w:pPr>
        <w:rPr>
          <w:bCs/>
          <w:lang w:val="en-GB"/>
        </w:rPr>
      </w:pPr>
      <w:r w:rsidRPr="00A33264">
        <w:rPr>
          <w:bCs/>
          <w:lang w:val="en-GB"/>
        </w:rPr>
        <w:t xml:space="preserve">Mr Fearnley was </w:t>
      </w:r>
      <w:r w:rsidR="000A7258" w:rsidRPr="00A33264">
        <w:rPr>
          <w:bCs/>
          <w:lang w:val="en-GB"/>
        </w:rPr>
        <w:t>appointed</w:t>
      </w:r>
      <w:r w:rsidRPr="00A33264">
        <w:rPr>
          <w:bCs/>
          <w:lang w:val="en-GB"/>
        </w:rPr>
        <w:t xml:space="preserve"> an Officer of the Order of Australia (AO) in the General Division in 2018 for his distinguished service to people with disability; as a supporter of, and fundraiser for, Indigenous athletics and charitable organisations; and as a Paralympic athlete.</w:t>
      </w:r>
    </w:p>
    <w:p w14:paraId="315002B9" w14:textId="7A43B490" w:rsidR="0047222D" w:rsidRPr="00A33264" w:rsidRDefault="0047222D" w:rsidP="0047222D">
      <w:pPr>
        <w:rPr>
          <w:bCs/>
          <w:lang w:val="en-GB"/>
        </w:rPr>
      </w:pPr>
      <w:r w:rsidRPr="00A33264">
        <w:rPr>
          <w:bCs/>
          <w:lang w:val="en-GB"/>
        </w:rPr>
        <w:t xml:space="preserve">He was the 2019 NSW Australian of the Year and was awarded an </w:t>
      </w:r>
      <w:r w:rsidR="001A6947">
        <w:rPr>
          <w:bCs/>
          <w:lang w:val="en-GB"/>
        </w:rPr>
        <w:t>h</w:t>
      </w:r>
      <w:r w:rsidRPr="00A33264">
        <w:rPr>
          <w:bCs/>
          <w:lang w:val="en-GB"/>
        </w:rPr>
        <w:t xml:space="preserve">onorary </w:t>
      </w:r>
      <w:r w:rsidR="001A6947">
        <w:rPr>
          <w:bCs/>
          <w:lang w:val="en-GB"/>
        </w:rPr>
        <w:t>d</w:t>
      </w:r>
      <w:r w:rsidRPr="00A33264">
        <w:rPr>
          <w:bCs/>
          <w:lang w:val="en-GB"/>
        </w:rPr>
        <w:t>octorate from Griffith University for his contribution to sport and disability advocacy.</w:t>
      </w:r>
    </w:p>
    <w:p w14:paraId="6585355E" w14:textId="77777777" w:rsidR="0047222D" w:rsidRPr="00A33264" w:rsidRDefault="0047222D" w:rsidP="0047222D">
      <w:pPr>
        <w:rPr>
          <w:bCs/>
          <w:lang w:val="en-GB"/>
        </w:rPr>
      </w:pPr>
      <w:r w:rsidRPr="00A33264">
        <w:rPr>
          <w:bCs/>
          <w:lang w:val="en-GB"/>
        </w:rPr>
        <w:t>Mr Fearnley is a high-school teacher, television presenter, podcaster and broadcaster, and former professional wheelchair athlete.</w:t>
      </w:r>
    </w:p>
    <w:p w14:paraId="425D3FE6" w14:textId="77777777" w:rsidR="0047222D" w:rsidRPr="00A33264" w:rsidRDefault="0047222D" w:rsidP="0047222D">
      <w:pPr>
        <w:rPr>
          <w:bCs/>
          <w:lang w:val="en-GB"/>
        </w:rPr>
      </w:pPr>
      <w:r w:rsidRPr="00A33264">
        <w:rPr>
          <w:bCs/>
          <w:lang w:val="en-GB"/>
        </w:rPr>
        <w:t>Mr Fearnley commenced as Chair of the Board on 18 October 2022.</w:t>
      </w:r>
    </w:p>
    <w:p w14:paraId="0E6931D9" w14:textId="77777777" w:rsidR="0047222D" w:rsidRPr="00A33264" w:rsidRDefault="0047222D" w:rsidP="0047222D">
      <w:pPr>
        <w:rPr>
          <w:bCs/>
          <w:lang w:val="en-GB"/>
        </w:rPr>
      </w:pPr>
      <w:r w:rsidRPr="00A33264">
        <w:rPr>
          <w:b/>
          <w:bCs/>
          <w:lang w:val="en-GB"/>
        </w:rPr>
        <w:t>Qualifications:</w:t>
      </w:r>
      <w:r w:rsidRPr="00A33264">
        <w:rPr>
          <w:bCs/>
          <w:lang w:val="en-GB"/>
        </w:rPr>
        <w:t xml:space="preserve"> Bachelor of Education and Bachelor of Human Movement, Charles Sturt University.</w:t>
      </w:r>
    </w:p>
    <w:p w14:paraId="154B3CD0" w14:textId="0268AAF8" w:rsidR="00482705" w:rsidRDefault="0047222D" w:rsidP="00482705">
      <w:pPr>
        <w:rPr>
          <w:b/>
          <w:lang w:val="en-GB"/>
        </w:rPr>
      </w:pPr>
      <w:r w:rsidRPr="00A33264">
        <w:rPr>
          <w:b/>
          <w:bCs/>
          <w:lang w:val="en-GB"/>
        </w:rPr>
        <w:t>Member:</w:t>
      </w:r>
      <w:r w:rsidRPr="00A33264">
        <w:rPr>
          <w:bCs/>
          <w:lang w:val="en-GB"/>
        </w:rPr>
        <w:t xml:space="preserve"> Sustainability Committee</w:t>
      </w:r>
      <w:r w:rsidR="001A6947">
        <w:rPr>
          <w:bCs/>
          <w:lang w:val="en-GB"/>
        </w:rPr>
        <w:t>;</w:t>
      </w:r>
      <w:r w:rsidRPr="00A33264">
        <w:rPr>
          <w:bCs/>
          <w:lang w:val="en-GB"/>
        </w:rPr>
        <w:t xml:space="preserve"> Strategic Direction and Participant Outcomes Committee.</w:t>
      </w:r>
      <w:r w:rsidR="00482705">
        <w:rPr>
          <w:b/>
          <w:lang w:val="en-GB"/>
        </w:rPr>
        <w:br w:type="page"/>
      </w:r>
    </w:p>
    <w:p w14:paraId="3A37759E" w14:textId="12CE742A" w:rsidR="0047222D" w:rsidRPr="00A33264" w:rsidRDefault="0047222D" w:rsidP="0047222D">
      <w:pPr>
        <w:rPr>
          <w:b/>
          <w:lang w:val="en-GB"/>
        </w:rPr>
      </w:pPr>
      <w:r w:rsidRPr="00A33264">
        <w:rPr>
          <w:noProof/>
          <w:lang w:val="en-GB"/>
          <w14:ligatures w14:val="standardContextual"/>
        </w:rPr>
        <w:lastRenderedPageBreak/>
        <w:drawing>
          <wp:inline distT="0" distB="0" distL="0" distR="0" wp14:anchorId="2F929804" wp14:editId="25DEB14A">
            <wp:extent cx="1414800" cy="1886400"/>
            <wp:effectExtent l="0" t="0" r="0" b="0"/>
            <wp:docPr id="1459425494" name="Picture 1459425494" descr="Photograph of Ms Meredith Alla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25494" name="Picture 1459425494" descr="Photograph of Ms Meredith Allan.">
                      <a:extLst>
                        <a:ext uri="{C183D7F6-B498-43B3-948B-1728B52AA6E4}">
                          <adec:decorative xmlns:adec="http://schemas.microsoft.com/office/drawing/2017/decorative" val="0"/>
                        </a:ext>
                      </a:extLst>
                    </pic:cNvPr>
                    <pic:cNvPicPr/>
                  </pic:nvPicPr>
                  <pic:blipFill>
                    <a:blip r:embed="rId68">
                      <a:extLst>
                        <a:ext uri="{28A0092B-C50C-407E-A947-70E740481C1C}">
                          <a14:useLocalDpi xmlns:a14="http://schemas.microsoft.com/office/drawing/2010/main" val="0"/>
                        </a:ext>
                      </a:extLst>
                    </a:blip>
                    <a:stretch>
                      <a:fillRect/>
                    </a:stretch>
                  </pic:blipFill>
                  <pic:spPr>
                    <a:xfrm>
                      <a:off x="0" y="0"/>
                      <a:ext cx="1414800" cy="1886400"/>
                    </a:xfrm>
                    <a:prstGeom prst="rect">
                      <a:avLst/>
                    </a:prstGeom>
                  </pic:spPr>
                </pic:pic>
              </a:graphicData>
            </a:graphic>
          </wp:inline>
        </w:drawing>
      </w:r>
    </w:p>
    <w:p w14:paraId="7CA7F55A" w14:textId="77777777" w:rsidR="0047222D" w:rsidRPr="00A33264" w:rsidRDefault="0047222D" w:rsidP="0047222D">
      <w:pPr>
        <w:rPr>
          <w:b/>
          <w:lang w:val="en-GB"/>
        </w:rPr>
      </w:pPr>
      <w:r w:rsidRPr="00A33264">
        <w:rPr>
          <w:b/>
          <w:lang w:val="en-GB"/>
        </w:rPr>
        <w:t>Ms Meredith Allan</w:t>
      </w:r>
    </w:p>
    <w:p w14:paraId="527C7E6C" w14:textId="5D6FF58F" w:rsidR="0047222D" w:rsidRPr="00A33264" w:rsidRDefault="0047222D" w:rsidP="0047222D">
      <w:pPr>
        <w:rPr>
          <w:lang w:val="en-GB"/>
        </w:rPr>
      </w:pPr>
      <w:r w:rsidRPr="00A33264">
        <w:rPr>
          <w:lang w:val="en-GB"/>
        </w:rPr>
        <w:t>Ms Meredith Allan is a former president of the International Society of Alternative and Augmentative Communication, an organisation working to improve the lives of children and adults with complex communication needs. She was the first president to speak via alternative and augmentative communication.</w:t>
      </w:r>
    </w:p>
    <w:p w14:paraId="0D0AD179" w14:textId="35DB8CDC" w:rsidR="0047222D" w:rsidRPr="00A33264" w:rsidRDefault="0047222D" w:rsidP="0047222D">
      <w:pPr>
        <w:rPr>
          <w:lang w:val="en-GB"/>
        </w:rPr>
      </w:pPr>
      <w:r w:rsidRPr="00A33264">
        <w:rPr>
          <w:lang w:val="en-GB"/>
        </w:rPr>
        <w:t xml:space="preserve">Ms Allan is retired from her 30-year career in the public </w:t>
      </w:r>
      <w:r w:rsidR="007751BE" w:rsidRPr="00A33264">
        <w:rPr>
          <w:lang w:val="en-GB"/>
        </w:rPr>
        <w:t>service but</w:t>
      </w:r>
      <w:r w:rsidRPr="00A33264">
        <w:rPr>
          <w:lang w:val="en-GB"/>
        </w:rPr>
        <w:t xml:space="preserve"> continues working as a communication assessor for Scope and </w:t>
      </w:r>
      <w:r w:rsidR="000A7258" w:rsidRPr="00A33264">
        <w:rPr>
          <w:lang w:val="en-GB"/>
        </w:rPr>
        <w:t xml:space="preserve">a </w:t>
      </w:r>
      <w:r w:rsidRPr="00A33264">
        <w:rPr>
          <w:lang w:val="en-GB"/>
        </w:rPr>
        <w:t>casual lecturer for Deakin University.</w:t>
      </w:r>
    </w:p>
    <w:p w14:paraId="7312D96F" w14:textId="77777777" w:rsidR="0047222D" w:rsidRPr="00A33264" w:rsidRDefault="0047222D" w:rsidP="0047222D">
      <w:pPr>
        <w:rPr>
          <w:lang w:val="en-GB"/>
        </w:rPr>
      </w:pPr>
      <w:r w:rsidRPr="00A33264">
        <w:rPr>
          <w:b/>
          <w:bCs/>
          <w:lang w:val="en-GB"/>
        </w:rPr>
        <w:t>Qualifications:</w:t>
      </w:r>
      <w:r w:rsidRPr="00A33264">
        <w:rPr>
          <w:lang w:val="en-GB"/>
        </w:rPr>
        <w:t xml:space="preserve"> Bachelor of Economics and Bachelor of Arts, Monash University.</w:t>
      </w:r>
    </w:p>
    <w:p w14:paraId="352C664B" w14:textId="77777777" w:rsidR="0047222D" w:rsidRPr="00A33264" w:rsidRDefault="0047222D" w:rsidP="0047222D">
      <w:pPr>
        <w:rPr>
          <w:lang w:val="en-GB"/>
        </w:rPr>
      </w:pPr>
      <w:r w:rsidRPr="00A33264">
        <w:rPr>
          <w:b/>
          <w:bCs/>
          <w:lang w:val="en-GB"/>
        </w:rPr>
        <w:t>Member:</w:t>
      </w:r>
      <w:r w:rsidRPr="00A33264">
        <w:rPr>
          <w:lang w:val="en-GB"/>
        </w:rPr>
        <w:t xml:space="preserve"> Audit and Risk Committee.</w:t>
      </w:r>
    </w:p>
    <w:p w14:paraId="4AFF8154" w14:textId="77777777" w:rsidR="009073D2" w:rsidRPr="00A33264" w:rsidRDefault="009073D2" w:rsidP="0047222D">
      <w:pPr>
        <w:rPr>
          <w:b/>
          <w:lang w:val="en-GB"/>
        </w:rPr>
      </w:pPr>
      <w:r w:rsidRPr="00A33264">
        <w:rPr>
          <w:noProof/>
          <w:lang w:val="en-GB"/>
        </w:rPr>
        <w:drawing>
          <wp:inline distT="0" distB="0" distL="0" distR="0" wp14:anchorId="2242FC90" wp14:editId="25F15ECA">
            <wp:extent cx="1258251" cy="1886400"/>
            <wp:effectExtent l="0" t="0" r="0" b="0"/>
            <wp:docPr id="1706847839" name="Picture 1" descr="Photograph of Mr Mark D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47839" name="Picture 1" descr="Photograph of Mr Mark Darra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58251" cy="1886400"/>
                    </a:xfrm>
                    <a:prstGeom prst="rect">
                      <a:avLst/>
                    </a:prstGeom>
                    <a:noFill/>
                    <a:ln>
                      <a:noFill/>
                    </a:ln>
                  </pic:spPr>
                </pic:pic>
              </a:graphicData>
            </a:graphic>
          </wp:inline>
        </w:drawing>
      </w:r>
    </w:p>
    <w:p w14:paraId="2775CDE4" w14:textId="52FCE58F" w:rsidR="0047222D" w:rsidRPr="00A33264" w:rsidRDefault="0047222D" w:rsidP="0047222D">
      <w:pPr>
        <w:rPr>
          <w:b/>
          <w:lang w:val="en-GB"/>
        </w:rPr>
      </w:pPr>
      <w:r w:rsidRPr="00A33264">
        <w:rPr>
          <w:b/>
          <w:lang w:val="en-GB"/>
        </w:rPr>
        <w:t>Mr Mark Darras</w:t>
      </w:r>
    </w:p>
    <w:p w14:paraId="6078CFD6" w14:textId="06EC1895" w:rsidR="00482705" w:rsidRDefault="000A7258" w:rsidP="00482705">
      <w:pPr>
        <w:rPr>
          <w:bCs/>
          <w:lang w:val="en-GB"/>
        </w:rPr>
      </w:pPr>
      <w:r w:rsidRPr="00A33264">
        <w:rPr>
          <w:bCs/>
          <w:lang w:val="en-GB"/>
        </w:rPr>
        <w:t xml:space="preserve">Mr </w:t>
      </w:r>
      <w:r w:rsidR="0047222D" w:rsidRPr="00A33264">
        <w:rPr>
          <w:bCs/>
          <w:lang w:val="en-GB"/>
        </w:rPr>
        <w:t xml:space="preserve">Mark Darras was appointed a </w:t>
      </w:r>
      <w:r w:rsidR="001A6947">
        <w:rPr>
          <w:bCs/>
          <w:lang w:val="en-GB"/>
        </w:rPr>
        <w:t>d</w:t>
      </w:r>
      <w:r w:rsidR="0047222D" w:rsidRPr="00A33264">
        <w:rPr>
          <w:bCs/>
          <w:lang w:val="en-GB"/>
        </w:rPr>
        <w:t xml:space="preserve">irector of the NDIA on 24 November 2023. </w:t>
      </w:r>
      <w:r w:rsidR="001A6947">
        <w:rPr>
          <w:bCs/>
          <w:lang w:val="en-GB"/>
        </w:rPr>
        <w:t>He</w:t>
      </w:r>
      <w:r w:rsidR="001A6947" w:rsidRPr="00A33264">
        <w:rPr>
          <w:bCs/>
          <w:lang w:val="en-GB"/>
        </w:rPr>
        <w:t xml:space="preserve"> </w:t>
      </w:r>
      <w:r w:rsidR="0047222D" w:rsidRPr="00A33264">
        <w:rPr>
          <w:bCs/>
          <w:lang w:val="en-GB"/>
        </w:rPr>
        <w:t>is also Acting Chairman and a Commissioner of the Essential Services Commission of South Australia.</w:t>
      </w:r>
    </w:p>
    <w:p w14:paraId="774E0EC4" w14:textId="04739070" w:rsidR="00936CCC" w:rsidRPr="00A33264" w:rsidRDefault="00084F52" w:rsidP="0047222D">
      <w:pPr>
        <w:rPr>
          <w:bCs/>
          <w:lang w:val="en-GB"/>
        </w:rPr>
      </w:pPr>
      <w:r w:rsidRPr="00A33264">
        <w:rPr>
          <w:bCs/>
          <w:lang w:val="en-GB"/>
        </w:rPr>
        <w:t>M</w:t>
      </w:r>
      <w:r w:rsidR="001A6947">
        <w:rPr>
          <w:bCs/>
          <w:lang w:val="en-GB"/>
        </w:rPr>
        <w:t>r Darras</w:t>
      </w:r>
      <w:r w:rsidRPr="00A33264">
        <w:rPr>
          <w:bCs/>
          <w:lang w:val="en-GB"/>
        </w:rPr>
        <w:t xml:space="preserve"> is a former corporate lawyer and adviser at a national law firm</w:t>
      </w:r>
      <w:r w:rsidR="001A6947">
        <w:rPr>
          <w:bCs/>
          <w:lang w:val="en-GB"/>
        </w:rPr>
        <w:t>. He is</w:t>
      </w:r>
      <w:r w:rsidRPr="00A33264">
        <w:rPr>
          <w:bCs/>
          <w:lang w:val="en-GB"/>
        </w:rPr>
        <w:t xml:space="preserve"> an experienced company director, having served as a </w:t>
      </w:r>
      <w:r w:rsidR="001A6947">
        <w:rPr>
          <w:bCs/>
          <w:lang w:val="en-GB"/>
        </w:rPr>
        <w:t>d</w:t>
      </w:r>
      <w:r w:rsidRPr="00A33264">
        <w:rPr>
          <w:bCs/>
          <w:lang w:val="en-GB"/>
        </w:rPr>
        <w:t xml:space="preserve">irector, and in </w:t>
      </w:r>
      <w:r w:rsidR="001A6947">
        <w:rPr>
          <w:bCs/>
          <w:lang w:val="en-GB"/>
        </w:rPr>
        <w:t xml:space="preserve">board </w:t>
      </w:r>
      <w:r w:rsidRPr="00A33264">
        <w:rPr>
          <w:bCs/>
          <w:lang w:val="en-GB"/>
        </w:rPr>
        <w:t>leadership roles</w:t>
      </w:r>
      <w:r w:rsidR="001A6947">
        <w:rPr>
          <w:bCs/>
          <w:lang w:val="en-GB"/>
        </w:rPr>
        <w:t>,</w:t>
      </w:r>
      <w:r w:rsidRPr="00A33264">
        <w:rPr>
          <w:bCs/>
          <w:lang w:val="en-GB"/>
        </w:rPr>
        <w:t xml:space="preserve"> including </w:t>
      </w:r>
      <w:r w:rsidR="001A6947">
        <w:rPr>
          <w:bCs/>
          <w:lang w:val="en-GB"/>
        </w:rPr>
        <w:t xml:space="preserve">on the boards of </w:t>
      </w:r>
      <w:r w:rsidRPr="00A33264">
        <w:rPr>
          <w:bCs/>
          <w:lang w:val="en-GB"/>
        </w:rPr>
        <w:t xml:space="preserve">Australia Post and Australia Post Superannuation, </w:t>
      </w:r>
      <w:r w:rsidRPr="00A33264">
        <w:rPr>
          <w:bCs/>
          <w:lang w:val="en-GB"/>
        </w:rPr>
        <w:lastRenderedPageBreak/>
        <w:t>Southern Rural Water, John Holland Engineering and John Holland Queensland, and the South Australian Forestry Corporation.</w:t>
      </w:r>
    </w:p>
    <w:p w14:paraId="58E4063F" w14:textId="4990CBF8" w:rsidR="0047222D" w:rsidRPr="00A33264" w:rsidRDefault="001A6947" w:rsidP="0047222D">
      <w:pPr>
        <w:rPr>
          <w:bCs/>
          <w:lang w:val="en-GB"/>
        </w:rPr>
      </w:pPr>
      <w:r>
        <w:rPr>
          <w:bCs/>
          <w:lang w:val="en-GB"/>
        </w:rPr>
        <w:t>Mr Darras</w:t>
      </w:r>
      <w:r w:rsidR="0047222D" w:rsidRPr="00A33264">
        <w:rPr>
          <w:bCs/>
          <w:lang w:val="en-GB"/>
        </w:rPr>
        <w:t xml:space="preserve"> was formerly the </w:t>
      </w:r>
      <w:r>
        <w:rPr>
          <w:bCs/>
          <w:lang w:val="en-GB"/>
        </w:rPr>
        <w:t>chair</w:t>
      </w:r>
      <w:r w:rsidRPr="00A33264">
        <w:rPr>
          <w:bCs/>
          <w:lang w:val="en-GB"/>
        </w:rPr>
        <w:t xml:space="preserve"> </w:t>
      </w:r>
      <w:r w:rsidR="0047222D" w:rsidRPr="00A33264">
        <w:rPr>
          <w:bCs/>
          <w:lang w:val="en-GB"/>
        </w:rPr>
        <w:t xml:space="preserve">of the </w:t>
      </w:r>
      <w:r>
        <w:rPr>
          <w:bCs/>
          <w:lang w:val="en-GB"/>
        </w:rPr>
        <w:t xml:space="preserve">Australian </w:t>
      </w:r>
      <w:r w:rsidR="0047222D" w:rsidRPr="00A33264">
        <w:rPr>
          <w:bCs/>
          <w:lang w:val="en-GB"/>
        </w:rPr>
        <w:t>Government's $7</w:t>
      </w:r>
      <w:r w:rsidR="000A7258" w:rsidRPr="00A33264">
        <w:rPr>
          <w:bCs/>
          <w:lang w:val="en-GB"/>
        </w:rPr>
        <w:t xml:space="preserve"> </w:t>
      </w:r>
      <w:r w:rsidR="0047222D" w:rsidRPr="00A33264">
        <w:rPr>
          <w:bCs/>
          <w:lang w:val="en-GB"/>
        </w:rPr>
        <w:t xml:space="preserve">billion Telecommunications Universal Services Management Agency and has also served as a </w:t>
      </w:r>
      <w:r>
        <w:rPr>
          <w:bCs/>
          <w:lang w:val="en-GB"/>
        </w:rPr>
        <w:t>m</w:t>
      </w:r>
      <w:r w:rsidR="0047222D" w:rsidRPr="00A33264">
        <w:rPr>
          <w:bCs/>
          <w:lang w:val="en-GB"/>
        </w:rPr>
        <w:t>ember of the Australian Takeovers Panel.</w:t>
      </w:r>
    </w:p>
    <w:p w14:paraId="3ED07C06" w14:textId="1BB741D5" w:rsidR="0047222D" w:rsidRPr="00A33264" w:rsidRDefault="001A6947" w:rsidP="0047222D">
      <w:pPr>
        <w:rPr>
          <w:bCs/>
          <w:lang w:val="en-GB"/>
        </w:rPr>
      </w:pPr>
      <w:r>
        <w:rPr>
          <w:bCs/>
          <w:lang w:val="en-GB"/>
        </w:rPr>
        <w:t>Before</w:t>
      </w:r>
      <w:r w:rsidR="0047222D" w:rsidRPr="00A33264">
        <w:rPr>
          <w:bCs/>
          <w:lang w:val="en-GB"/>
        </w:rPr>
        <w:t xml:space="preserve"> his appointment to the </w:t>
      </w:r>
      <w:r>
        <w:rPr>
          <w:bCs/>
          <w:lang w:val="en-GB"/>
        </w:rPr>
        <w:t>NDIA</w:t>
      </w:r>
      <w:r w:rsidR="0047222D" w:rsidRPr="00A33264">
        <w:rPr>
          <w:bCs/>
          <w:lang w:val="en-GB"/>
        </w:rPr>
        <w:t xml:space="preserve">, </w:t>
      </w:r>
      <w:r>
        <w:rPr>
          <w:bCs/>
          <w:lang w:val="en-GB"/>
        </w:rPr>
        <w:t>Mr Darras</w:t>
      </w:r>
      <w:r w:rsidR="0047222D" w:rsidRPr="00A33264">
        <w:rPr>
          <w:bCs/>
          <w:lang w:val="en-GB"/>
        </w:rPr>
        <w:t xml:space="preserve"> was the </w:t>
      </w:r>
      <w:r>
        <w:rPr>
          <w:bCs/>
          <w:lang w:val="en-GB"/>
        </w:rPr>
        <w:t>i</w:t>
      </w:r>
      <w:r w:rsidR="0047222D" w:rsidRPr="00A33264">
        <w:rPr>
          <w:bCs/>
          <w:lang w:val="en-GB"/>
        </w:rPr>
        <w:t xml:space="preserve">ndependent </w:t>
      </w:r>
      <w:r>
        <w:rPr>
          <w:bCs/>
          <w:lang w:val="en-GB"/>
        </w:rPr>
        <w:t>c</w:t>
      </w:r>
      <w:r w:rsidR="0047222D" w:rsidRPr="00A33264">
        <w:rPr>
          <w:bCs/>
          <w:lang w:val="en-GB"/>
        </w:rPr>
        <w:t>hair of the N</w:t>
      </w:r>
      <w:r>
        <w:rPr>
          <w:bCs/>
          <w:lang w:val="en-GB"/>
        </w:rPr>
        <w:t xml:space="preserve">ew </w:t>
      </w:r>
      <w:r w:rsidR="0047222D" w:rsidRPr="00A33264">
        <w:rPr>
          <w:bCs/>
          <w:lang w:val="en-GB"/>
        </w:rPr>
        <w:t>S</w:t>
      </w:r>
      <w:r>
        <w:rPr>
          <w:bCs/>
          <w:lang w:val="en-GB"/>
        </w:rPr>
        <w:t xml:space="preserve">outh </w:t>
      </w:r>
      <w:r w:rsidR="0047222D" w:rsidRPr="00A33264">
        <w:rPr>
          <w:bCs/>
          <w:lang w:val="en-GB"/>
        </w:rPr>
        <w:t>W</w:t>
      </w:r>
      <w:r>
        <w:rPr>
          <w:bCs/>
          <w:lang w:val="en-GB"/>
        </w:rPr>
        <w:t>ales</w:t>
      </w:r>
      <w:r w:rsidR="0047222D" w:rsidRPr="00A33264">
        <w:rPr>
          <w:bCs/>
          <w:lang w:val="en-GB"/>
        </w:rPr>
        <w:t xml:space="preserve"> Government</w:t>
      </w:r>
      <w:r w:rsidR="004E5432">
        <w:rPr>
          <w:bCs/>
          <w:lang w:val="en-GB"/>
        </w:rPr>
        <w:t>’</w:t>
      </w:r>
      <w:r w:rsidR="0047222D" w:rsidRPr="00A33264">
        <w:rPr>
          <w:bCs/>
          <w:lang w:val="en-GB"/>
        </w:rPr>
        <w:t xml:space="preserve">s Advisory </w:t>
      </w:r>
      <w:r>
        <w:rPr>
          <w:bCs/>
          <w:lang w:val="en-GB"/>
        </w:rPr>
        <w:t>Body</w:t>
      </w:r>
      <w:r w:rsidRPr="00A33264">
        <w:rPr>
          <w:bCs/>
          <w:lang w:val="en-GB"/>
        </w:rPr>
        <w:t xml:space="preserve"> </w:t>
      </w:r>
      <w:r w:rsidR="0047222D" w:rsidRPr="00A33264">
        <w:rPr>
          <w:bCs/>
          <w:lang w:val="en-GB"/>
        </w:rPr>
        <w:t xml:space="preserve">for Strategic Release. </w:t>
      </w:r>
      <w:r>
        <w:rPr>
          <w:bCs/>
          <w:lang w:val="en-GB"/>
        </w:rPr>
        <w:t>He</w:t>
      </w:r>
      <w:r w:rsidRPr="00A33264">
        <w:rPr>
          <w:bCs/>
          <w:lang w:val="en-GB"/>
        </w:rPr>
        <w:t xml:space="preserve"> </w:t>
      </w:r>
      <w:r w:rsidR="0047222D" w:rsidRPr="00A33264">
        <w:rPr>
          <w:bCs/>
          <w:lang w:val="en-GB"/>
        </w:rPr>
        <w:t>is from South Australia</w:t>
      </w:r>
      <w:r w:rsidR="004E5432">
        <w:rPr>
          <w:bCs/>
          <w:lang w:val="en-GB"/>
        </w:rPr>
        <w:t>’</w:t>
      </w:r>
      <w:r w:rsidR="0047222D" w:rsidRPr="00A33264">
        <w:rPr>
          <w:bCs/>
          <w:lang w:val="en-GB"/>
        </w:rPr>
        <w:t>s Riverland area.</w:t>
      </w:r>
    </w:p>
    <w:p w14:paraId="5F32C38D" w14:textId="751D7506" w:rsidR="0047222D" w:rsidRPr="00A33264" w:rsidRDefault="0047222D" w:rsidP="0047222D">
      <w:pPr>
        <w:rPr>
          <w:bCs/>
          <w:lang w:val="en-GB"/>
        </w:rPr>
      </w:pPr>
      <w:r w:rsidRPr="00A33264">
        <w:rPr>
          <w:b/>
          <w:bCs/>
          <w:lang w:val="en-GB"/>
        </w:rPr>
        <w:t>Qualifications:</w:t>
      </w:r>
      <w:r w:rsidRPr="00A33264">
        <w:rPr>
          <w:bCs/>
          <w:lang w:val="en-GB"/>
        </w:rPr>
        <w:t xml:space="preserve"> Bachelor of Arts and Bachelor of Laws</w:t>
      </w:r>
      <w:r w:rsidR="000A7258" w:rsidRPr="00A33264">
        <w:rPr>
          <w:bCs/>
          <w:lang w:val="en-GB"/>
        </w:rPr>
        <w:t>,</w:t>
      </w:r>
      <w:r w:rsidRPr="00A33264">
        <w:rPr>
          <w:bCs/>
          <w:lang w:val="en-GB"/>
        </w:rPr>
        <w:t xml:space="preserve"> University of Tasmania</w:t>
      </w:r>
      <w:r w:rsidR="001A6947">
        <w:rPr>
          <w:bCs/>
          <w:lang w:val="en-GB"/>
        </w:rPr>
        <w:t>;</w:t>
      </w:r>
      <w:r w:rsidRPr="00A33264">
        <w:rPr>
          <w:bCs/>
          <w:lang w:val="en-GB"/>
        </w:rPr>
        <w:t xml:space="preserve"> Master of Laws</w:t>
      </w:r>
      <w:r w:rsidR="000A7258" w:rsidRPr="00A33264">
        <w:rPr>
          <w:bCs/>
          <w:lang w:val="en-GB"/>
        </w:rPr>
        <w:t>,</w:t>
      </w:r>
      <w:r w:rsidRPr="00A33264">
        <w:rPr>
          <w:bCs/>
          <w:lang w:val="en-GB"/>
        </w:rPr>
        <w:t xml:space="preserve"> </w:t>
      </w:r>
      <w:r w:rsidR="000A7258" w:rsidRPr="00A33264">
        <w:rPr>
          <w:bCs/>
          <w:lang w:val="en-GB"/>
        </w:rPr>
        <w:t>Australian National University</w:t>
      </w:r>
      <w:r w:rsidR="001A6947">
        <w:rPr>
          <w:bCs/>
          <w:lang w:val="en-GB"/>
        </w:rPr>
        <w:t>;</w:t>
      </w:r>
      <w:r w:rsidRPr="00A33264">
        <w:rPr>
          <w:bCs/>
          <w:lang w:val="en-GB"/>
        </w:rPr>
        <w:t xml:space="preserve"> Bachelor of Education</w:t>
      </w:r>
      <w:r w:rsidR="000A7258" w:rsidRPr="00A33264">
        <w:rPr>
          <w:bCs/>
          <w:lang w:val="en-GB"/>
        </w:rPr>
        <w:t>,</w:t>
      </w:r>
      <w:r w:rsidRPr="00A33264">
        <w:rPr>
          <w:bCs/>
          <w:lang w:val="en-GB"/>
        </w:rPr>
        <w:t xml:space="preserve"> Uni</w:t>
      </w:r>
      <w:r w:rsidR="000A7258" w:rsidRPr="00A33264">
        <w:rPr>
          <w:bCs/>
          <w:lang w:val="en-GB"/>
        </w:rPr>
        <w:t>versity</w:t>
      </w:r>
      <w:r w:rsidRPr="00A33264">
        <w:rPr>
          <w:bCs/>
          <w:lang w:val="en-GB"/>
        </w:rPr>
        <w:t xml:space="preserve"> of South Australia.</w:t>
      </w:r>
    </w:p>
    <w:p w14:paraId="3984DC1A" w14:textId="77777777" w:rsidR="0047222D" w:rsidRPr="00A33264" w:rsidRDefault="0047222D" w:rsidP="0047222D">
      <w:pPr>
        <w:rPr>
          <w:bCs/>
          <w:lang w:val="en-GB"/>
        </w:rPr>
      </w:pPr>
      <w:r w:rsidRPr="00A33264">
        <w:rPr>
          <w:b/>
          <w:bCs/>
          <w:lang w:val="en-GB"/>
        </w:rPr>
        <w:t>Member:</w:t>
      </w:r>
      <w:r w:rsidRPr="00A33264">
        <w:rPr>
          <w:bCs/>
          <w:lang w:val="en-GB"/>
        </w:rPr>
        <w:t xml:space="preserve"> Audit and Risk Committee.</w:t>
      </w:r>
    </w:p>
    <w:p w14:paraId="38FCB028" w14:textId="77777777" w:rsidR="0047222D" w:rsidRPr="00A33264" w:rsidRDefault="0047222D" w:rsidP="0047222D">
      <w:pPr>
        <w:rPr>
          <w:b/>
          <w:lang w:val="en-GB"/>
        </w:rPr>
      </w:pPr>
      <w:r w:rsidRPr="00A33264">
        <w:rPr>
          <w:noProof/>
          <w:lang w:val="en-GB"/>
          <w14:ligatures w14:val="standardContextual"/>
        </w:rPr>
        <w:drawing>
          <wp:inline distT="0" distB="0" distL="0" distR="0" wp14:anchorId="6B442392" wp14:editId="30158104">
            <wp:extent cx="1260000" cy="1900800"/>
            <wp:effectExtent l="0" t="0" r="0" b="4445"/>
            <wp:docPr id="21650407" name="Picture 21650407" descr="Photograph of Ms Maryanne Diamond A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0407" name="Picture 21650407" descr="Photograph of Ms Maryanne Diamond AO.">
                      <a:extLst>
                        <a:ext uri="{C183D7F6-B498-43B3-948B-1728B52AA6E4}">
                          <adec:decorative xmlns:adec="http://schemas.microsoft.com/office/drawing/2017/decorative" val="0"/>
                        </a:ext>
                      </a:extLst>
                    </pic:cNvPr>
                    <pic:cNvPicPr/>
                  </pic:nvPicPr>
                  <pic:blipFill>
                    <a:blip r:embed="rId70">
                      <a:extLst>
                        <a:ext uri="{28A0092B-C50C-407E-A947-70E740481C1C}">
                          <a14:useLocalDpi xmlns:a14="http://schemas.microsoft.com/office/drawing/2010/main" val="0"/>
                        </a:ext>
                      </a:extLst>
                    </a:blip>
                    <a:stretch>
                      <a:fillRect/>
                    </a:stretch>
                  </pic:blipFill>
                  <pic:spPr>
                    <a:xfrm>
                      <a:off x="0" y="0"/>
                      <a:ext cx="1260000" cy="1900800"/>
                    </a:xfrm>
                    <a:prstGeom prst="rect">
                      <a:avLst/>
                    </a:prstGeom>
                  </pic:spPr>
                </pic:pic>
              </a:graphicData>
            </a:graphic>
          </wp:inline>
        </w:drawing>
      </w:r>
    </w:p>
    <w:p w14:paraId="50FEB8C9" w14:textId="77777777" w:rsidR="0047222D" w:rsidRPr="00A33264" w:rsidRDefault="0047222D" w:rsidP="0047222D">
      <w:pPr>
        <w:rPr>
          <w:lang w:val="en-GB"/>
        </w:rPr>
      </w:pPr>
      <w:r w:rsidRPr="00A33264">
        <w:rPr>
          <w:b/>
          <w:lang w:val="en-GB"/>
        </w:rPr>
        <w:t xml:space="preserve">Ms Maryanne Diamond AO </w:t>
      </w:r>
    </w:p>
    <w:p w14:paraId="5703D115" w14:textId="77777777" w:rsidR="0047222D" w:rsidRPr="00A33264" w:rsidRDefault="0047222D" w:rsidP="0047222D">
      <w:pPr>
        <w:rPr>
          <w:lang w:val="en-GB"/>
        </w:rPr>
      </w:pPr>
      <w:r w:rsidRPr="00A33264">
        <w:rPr>
          <w:lang w:val="en-GB"/>
        </w:rPr>
        <w:t>Ms Maryanne Diamond AO has lived with disability all her life. She is an NDIS participant and was employed as a senior executive at the NDIA for 5 years.</w:t>
      </w:r>
    </w:p>
    <w:p w14:paraId="4878F935" w14:textId="2A1D0B0C" w:rsidR="0047222D" w:rsidRPr="00A33264" w:rsidRDefault="0047222D" w:rsidP="0047222D">
      <w:pPr>
        <w:rPr>
          <w:lang w:val="en-GB"/>
        </w:rPr>
      </w:pPr>
      <w:r w:rsidRPr="00A33264">
        <w:rPr>
          <w:lang w:val="en-GB"/>
        </w:rPr>
        <w:t xml:space="preserve">Ms Diamond has been employed in the information technology industry, the disability sector and government. She has extensive experience leading organisations in Australia, including being Executive Officer of Blind Citizens Australia, and inaugural </w:t>
      </w:r>
      <w:r w:rsidR="004E5432">
        <w:rPr>
          <w:lang w:val="en-GB"/>
        </w:rPr>
        <w:t>Chief Executive Officer (</w:t>
      </w:r>
      <w:r w:rsidRPr="00A33264">
        <w:rPr>
          <w:lang w:val="en-GB"/>
        </w:rPr>
        <w:t>CEO</w:t>
      </w:r>
      <w:r w:rsidR="004E5432">
        <w:rPr>
          <w:lang w:val="en-GB"/>
        </w:rPr>
        <w:t>)</w:t>
      </w:r>
      <w:r w:rsidRPr="00A33264">
        <w:rPr>
          <w:lang w:val="en-GB"/>
        </w:rPr>
        <w:t xml:space="preserve"> of the Australian Federation of Disability Organisations. At the international level, Ms Diamond was President of the World Blind Union </w:t>
      </w:r>
      <w:r w:rsidR="000A7258" w:rsidRPr="00A33264">
        <w:rPr>
          <w:lang w:val="en-GB"/>
        </w:rPr>
        <w:t xml:space="preserve">(WBU) </w:t>
      </w:r>
      <w:r w:rsidRPr="00A33264">
        <w:rPr>
          <w:lang w:val="en-GB"/>
        </w:rPr>
        <w:t xml:space="preserve">from 2008 to 2012 and Chair of the International Disability Alliance from 2014 to 2016. As president of the </w:t>
      </w:r>
      <w:r w:rsidR="000A7258" w:rsidRPr="00A33264">
        <w:rPr>
          <w:lang w:val="en-GB"/>
        </w:rPr>
        <w:t>WBU</w:t>
      </w:r>
      <w:r w:rsidRPr="00A33264">
        <w:rPr>
          <w:lang w:val="en-GB"/>
        </w:rPr>
        <w:t xml:space="preserve">, </w:t>
      </w:r>
      <w:r w:rsidR="001A6947">
        <w:rPr>
          <w:lang w:val="en-GB"/>
        </w:rPr>
        <w:t>she</w:t>
      </w:r>
      <w:r w:rsidRPr="00A33264">
        <w:rPr>
          <w:lang w:val="en-GB"/>
        </w:rPr>
        <w:t xml:space="preserve"> led</w:t>
      </w:r>
      <w:r w:rsidR="000A7258" w:rsidRPr="00A33264">
        <w:rPr>
          <w:lang w:val="en-GB"/>
        </w:rPr>
        <w:t xml:space="preserve"> the WBU delegation during</w:t>
      </w:r>
      <w:r w:rsidRPr="00A33264">
        <w:rPr>
          <w:lang w:val="en-GB"/>
        </w:rPr>
        <w:t xml:space="preserve"> </w:t>
      </w:r>
      <w:r w:rsidR="001A6947">
        <w:rPr>
          <w:lang w:val="en-GB"/>
        </w:rPr>
        <w:t>5</w:t>
      </w:r>
      <w:r w:rsidRPr="00A33264">
        <w:rPr>
          <w:lang w:val="en-GB"/>
        </w:rPr>
        <w:t xml:space="preserve"> years </w:t>
      </w:r>
      <w:r w:rsidR="000A7258" w:rsidRPr="00A33264">
        <w:rPr>
          <w:lang w:val="en-GB"/>
        </w:rPr>
        <w:t xml:space="preserve">of </w:t>
      </w:r>
      <w:r w:rsidRPr="00A33264">
        <w:rPr>
          <w:lang w:val="en-GB"/>
        </w:rPr>
        <w:t>negotiation</w:t>
      </w:r>
      <w:r w:rsidR="000A7258" w:rsidRPr="00A33264">
        <w:rPr>
          <w:lang w:val="en-GB"/>
        </w:rPr>
        <w:t>s</w:t>
      </w:r>
      <w:r w:rsidRPr="00A33264">
        <w:rPr>
          <w:lang w:val="en-GB"/>
        </w:rPr>
        <w:t xml:space="preserve"> </w:t>
      </w:r>
      <w:r w:rsidR="000A7258" w:rsidRPr="00A33264">
        <w:rPr>
          <w:lang w:val="en-GB"/>
        </w:rPr>
        <w:t>that led to the adoption in 2013 of the Marrakesh Treaty to Facilitate Access to Published Words for Persons Who Are Blind, Visually Impaired or Otherwise Print Disabled</w:t>
      </w:r>
      <w:r w:rsidRPr="00A33264">
        <w:rPr>
          <w:lang w:val="en-GB"/>
        </w:rPr>
        <w:t>.</w:t>
      </w:r>
    </w:p>
    <w:p w14:paraId="63FD3347" w14:textId="4FBE6C51" w:rsidR="0047222D" w:rsidRPr="00A33264" w:rsidRDefault="0047222D" w:rsidP="0047222D">
      <w:pPr>
        <w:rPr>
          <w:lang w:val="en-GB"/>
        </w:rPr>
      </w:pPr>
      <w:r w:rsidRPr="00A33264">
        <w:rPr>
          <w:lang w:val="en-GB"/>
        </w:rPr>
        <w:lastRenderedPageBreak/>
        <w:t>In 2014 Ms Diamond was appointed an Officer of the Order of Australia (AO) for her distinguished service to people who are blind or have low vision and her international leadership roles and advocacy for best practice employment opportunities.</w:t>
      </w:r>
    </w:p>
    <w:p w14:paraId="03A52082" w14:textId="0BE53F2F" w:rsidR="0047222D" w:rsidRPr="00A33264" w:rsidRDefault="0047222D" w:rsidP="0047222D">
      <w:pPr>
        <w:rPr>
          <w:lang w:val="en-GB"/>
        </w:rPr>
      </w:pPr>
      <w:r w:rsidRPr="00A33264">
        <w:rPr>
          <w:b/>
          <w:bCs/>
          <w:lang w:val="en-GB"/>
        </w:rPr>
        <w:t>Qualifications:</w:t>
      </w:r>
      <w:r w:rsidRPr="00A33264">
        <w:rPr>
          <w:lang w:val="en-GB"/>
        </w:rPr>
        <w:t xml:space="preserve"> Bachelor of Science, Monash University</w:t>
      </w:r>
      <w:r w:rsidR="001A6947">
        <w:rPr>
          <w:lang w:val="en-GB"/>
        </w:rPr>
        <w:t>;</w:t>
      </w:r>
      <w:r w:rsidRPr="00A33264">
        <w:rPr>
          <w:lang w:val="en-GB"/>
        </w:rPr>
        <w:t xml:space="preserve"> Graduate Diploma Information Technology, Caulfield Institute of Technology</w:t>
      </w:r>
      <w:r w:rsidR="001A6947">
        <w:rPr>
          <w:lang w:val="en-GB"/>
        </w:rPr>
        <w:t>;</w:t>
      </w:r>
      <w:r w:rsidRPr="00A33264">
        <w:rPr>
          <w:lang w:val="en-GB"/>
        </w:rPr>
        <w:t xml:space="preserve"> Graduate of the Australian Institute of Company Directors.</w:t>
      </w:r>
    </w:p>
    <w:p w14:paraId="70DCDC69" w14:textId="77777777" w:rsidR="0047222D" w:rsidRPr="00A33264" w:rsidRDefault="0047222D" w:rsidP="0047222D">
      <w:pPr>
        <w:rPr>
          <w:lang w:val="en-GB"/>
        </w:rPr>
      </w:pPr>
      <w:r w:rsidRPr="00A33264">
        <w:rPr>
          <w:b/>
          <w:bCs/>
          <w:lang w:val="en-GB"/>
        </w:rPr>
        <w:t>Deputy Chair:</w:t>
      </w:r>
      <w:r w:rsidRPr="00A33264">
        <w:rPr>
          <w:lang w:val="en-GB"/>
        </w:rPr>
        <w:t xml:space="preserve"> Audit and Risk Committee.</w:t>
      </w:r>
    </w:p>
    <w:p w14:paraId="6400A965" w14:textId="77777777" w:rsidR="0047222D" w:rsidRPr="00A33264" w:rsidRDefault="0047222D" w:rsidP="0047222D">
      <w:pPr>
        <w:rPr>
          <w:lang w:val="en-GB"/>
        </w:rPr>
      </w:pPr>
      <w:r w:rsidRPr="00A33264">
        <w:rPr>
          <w:b/>
          <w:bCs/>
          <w:lang w:val="en-GB"/>
        </w:rPr>
        <w:t>Member:</w:t>
      </w:r>
      <w:r w:rsidRPr="00A33264">
        <w:rPr>
          <w:lang w:val="en-GB"/>
        </w:rPr>
        <w:t xml:space="preserve"> Sustainability Committee.</w:t>
      </w:r>
    </w:p>
    <w:p w14:paraId="086F6E46" w14:textId="77777777" w:rsidR="0047222D" w:rsidRPr="00A33264" w:rsidRDefault="0047222D" w:rsidP="0047222D">
      <w:pPr>
        <w:rPr>
          <w:b/>
          <w:lang w:val="en-GB"/>
        </w:rPr>
      </w:pPr>
      <w:r w:rsidRPr="00A33264">
        <w:rPr>
          <w:noProof/>
          <w:lang w:val="en-GB"/>
          <w14:ligatures w14:val="standardContextual"/>
        </w:rPr>
        <w:drawing>
          <wp:inline distT="0" distB="0" distL="0" distR="0" wp14:anchorId="44033C5C" wp14:editId="4B2F8151">
            <wp:extent cx="1389600" cy="1828800"/>
            <wp:effectExtent l="0" t="0" r="1270" b="0"/>
            <wp:docPr id="1595145766" name="Picture 1595145766" descr="Photograph of Dr Richard Fej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5145766" name="Picture 1595145766" descr="Photograph of Dr Richard Fejo."/>
                    <pic:cNvPicPr/>
                  </pic:nvPicPr>
                  <pic:blipFill>
                    <a:blip r:embed="rId71"/>
                    <a:stretch>
                      <a:fillRect/>
                    </a:stretch>
                  </pic:blipFill>
                  <pic:spPr>
                    <a:xfrm>
                      <a:off x="0" y="0"/>
                      <a:ext cx="1389600" cy="1828800"/>
                    </a:xfrm>
                    <a:prstGeom prst="rect">
                      <a:avLst/>
                    </a:prstGeom>
                  </pic:spPr>
                </pic:pic>
              </a:graphicData>
            </a:graphic>
          </wp:inline>
        </w:drawing>
      </w:r>
    </w:p>
    <w:p w14:paraId="35E61A18" w14:textId="77777777" w:rsidR="0047222D" w:rsidRPr="00A33264" w:rsidRDefault="0047222D" w:rsidP="0047222D">
      <w:pPr>
        <w:rPr>
          <w:b/>
          <w:lang w:val="en-GB"/>
        </w:rPr>
      </w:pPr>
      <w:r w:rsidRPr="00A33264">
        <w:rPr>
          <w:b/>
          <w:lang w:val="en-GB"/>
        </w:rPr>
        <w:t xml:space="preserve">Dr Richard Fejo </w:t>
      </w:r>
    </w:p>
    <w:p w14:paraId="5783DA11" w14:textId="77777777" w:rsidR="0047222D" w:rsidRPr="00A33264" w:rsidRDefault="0047222D" w:rsidP="0047222D">
      <w:pPr>
        <w:rPr>
          <w:lang w:val="en-GB"/>
        </w:rPr>
      </w:pPr>
      <w:r w:rsidRPr="00A33264">
        <w:rPr>
          <w:lang w:val="en-GB"/>
        </w:rPr>
        <w:t>Dr Richard Fejo, better known as Richie, is a Larrakia man of direct male descent, through his father, grandfather and great-grandfather.</w:t>
      </w:r>
    </w:p>
    <w:p w14:paraId="7851A5B9" w14:textId="74B59F86" w:rsidR="0047222D" w:rsidRPr="00A33264" w:rsidRDefault="0047222D" w:rsidP="0047222D">
      <w:pPr>
        <w:rPr>
          <w:lang w:val="en-GB"/>
        </w:rPr>
      </w:pPr>
      <w:r w:rsidRPr="00A33264">
        <w:rPr>
          <w:lang w:val="en-GB"/>
        </w:rPr>
        <w:t xml:space="preserve">Dr Fejo has devoted his life to improving education and health outcomes for </w:t>
      </w:r>
      <w:r w:rsidR="001A6947">
        <w:rPr>
          <w:lang w:val="en-GB"/>
        </w:rPr>
        <w:t>First Nations</w:t>
      </w:r>
      <w:r w:rsidRPr="00A33264">
        <w:rPr>
          <w:lang w:val="en-GB"/>
        </w:rPr>
        <w:t xml:space="preserve"> people in urban, rural and remote communities. </w:t>
      </w:r>
    </w:p>
    <w:p w14:paraId="6F4FAB75" w14:textId="68550A22" w:rsidR="0047222D" w:rsidRPr="00A33264" w:rsidRDefault="0047222D" w:rsidP="0047222D">
      <w:pPr>
        <w:rPr>
          <w:lang w:val="en-GB"/>
        </w:rPr>
      </w:pPr>
      <w:r w:rsidRPr="00A33264">
        <w:rPr>
          <w:lang w:val="en-GB"/>
        </w:rPr>
        <w:t xml:space="preserve">He is a former </w:t>
      </w:r>
      <w:r w:rsidR="001A6947">
        <w:rPr>
          <w:lang w:val="en-GB"/>
        </w:rPr>
        <w:t>c</w:t>
      </w:r>
      <w:r w:rsidRPr="00A33264">
        <w:rPr>
          <w:lang w:val="en-GB"/>
        </w:rPr>
        <w:t>hairman of the Larrakia Nation Aboriginal Corporation</w:t>
      </w:r>
      <w:r w:rsidR="001A6947">
        <w:rPr>
          <w:lang w:val="en-GB"/>
        </w:rPr>
        <w:t xml:space="preserve"> and</w:t>
      </w:r>
      <w:r w:rsidRPr="00A33264">
        <w:rPr>
          <w:lang w:val="en-GB"/>
        </w:rPr>
        <w:t xml:space="preserve"> former </w:t>
      </w:r>
      <w:r w:rsidR="001A6947">
        <w:rPr>
          <w:lang w:val="en-GB"/>
        </w:rPr>
        <w:t>v</w:t>
      </w:r>
      <w:r w:rsidRPr="00A33264">
        <w:rPr>
          <w:lang w:val="en-GB"/>
        </w:rPr>
        <w:t>ice-</w:t>
      </w:r>
      <w:r w:rsidR="001A6947">
        <w:rPr>
          <w:lang w:val="en-GB"/>
        </w:rPr>
        <w:t>p</w:t>
      </w:r>
      <w:r w:rsidRPr="00A33264">
        <w:rPr>
          <w:lang w:val="en-GB"/>
        </w:rPr>
        <w:t xml:space="preserve">resident of Darwin Buffaloes Football </w:t>
      </w:r>
      <w:r w:rsidR="002F48B3" w:rsidRPr="00A33264">
        <w:rPr>
          <w:lang w:val="en-GB"/>
        </w:rPr>
        <w:t>Club</w:t>
      </w:r>
      <w:r w:rsidR="004E5432">
        <w:rPr>
          <w:lang w:val="en-GB"/>
        </w:rPr>
        <w:t>.</w:t>
      </w:r>
      <w:r w:rsidR="002F48B3">
        <w:rPr>
          <w:lang w:val="en-GB"/>
        </w:rPr>
        <w:t xml:space="preserve"> </w:t>
      </w:r>
      <w:r w:rsidR="004E5432">
        <w:rPr>
          <w:lang w:val="en-GB"/>
        </w:rPr>
        <w:t>He</w:t>
      </w:r>
      <w:r w:rsidRPr="00A33264">
        <w:rPr>
          <w:lang w:val="en-GB"/>
        </w:rPr>
        <w:t xml:space="preserve"> sat on the City of Darwin’s International Relations Committee</w:t>
      </w:r>
      <w:r w:rsidR="004E5432">
        <w:rPr>
          <w:lang w:val="en-GB"/>
        </w:rPr>
        <w:t xml:space="preserve"> and</w:t>
      </w:r>
      <w:r w:rsidR="00924C91">
        <w:rPr>
          <w:lang w:val="en-GB"/>
        </w:rPr>
        <w:t xml:space="preserve"> </w:t>
      </w:r>
      <w:r w:rsidR="004E5432">
        <w:rPr>
          <w:lang w:val="en-GB"/>
        </w:rPr>
        <w:t>spent 5 years as</w:t>
      </w:r>
      <w:r w:rsidRPr="00A33264">
        <w:rPr>
          <w:lang w:val="en-GB"/>
        </w:rPr>
        <w:t xml:space="preserve"> the </w:t>
      </w:r>
      <w:r w:rsidR="001A6947">
        <w:rPr>
          <w:lang w:val="en-GB"/>
        </w:rPr>
        <w:t>c</w:t>
      </w:r>
      <w:r w:rsidRPr="00A33264">
        <w:rPr>
          <w:lang w:val="en-GB"/>
        </w:rPr>
        <w:t>hair of the National Cultural Educators</w:t>
      </w:r>
      <w:r w:rsidR="001A6947">
        <w:rPr>
          <w:lang w:val="en-GB"/>
        </w:rPr>
        <w:t xml:space="preserve"> and</w:t>
      </w:r>
      <w:r w:rsidRPr="00A33264">
        <w:rPr>
          <w:lang w:val="en-GB"/>
        </w:rPr>
        <w:t xml:space="preserve"> </w:t>
      </w:r>
      <w:r w:rsidR="003626AF">
        <w:rPr>
          <w:lang w:val="en-GB"/>
        </w:rPr>
        <w:t xml:space="preserve">Cultural </w:t>
      </w:r>
      <w:r w:rsidRPr="00A33264">
        <w:rPr>
          <w:lang w:val="en-GB"/>
        </w:rPr>
        <w:t xml:space="preserve">Mentors Network during </w:t>
      </w:r>
      <w:r w:rsidR="001A6947">
        <w:rPr>
          <w:lang w:val="en-GB"/>
        </w:rPr>
        <w:t xml:space="preserve">his </w:t>
      </w:r>
      <w:r w:rsidR="000A7258" w:rsidRPr="00A33264">
        <w:rPr>
          <w:lang w:val="en-GB"/>
        </w:rPr>
        <w:t>11-</w:t>
      </w:r>
      <w:r w:rsidRPr="00A33264">
        <w:rPr>
          <w:lang w:val="en-GB"/>
        </w:rPr>
        <w:t xml:space="preserve">year employment </w:t>
      </w:r>
      <w:r w:rsidR="000A7258" w:rsidRPr="00A33264">
        <w:rPr>
          <w:lang w:val="en-GB"/>
        </w:rPr>
        <w:t xml:space="preserve">as Senior Cultural Educator </w:t>
      </w:r>
      <w:r w:rsidRPr="00A33264">
        <w:rPr>
          <w:lang w:val="en-GB"/>
        </w:rPr>
        <w:t>with Northern Territory General Practice Educatio</w:t>
      </w:r>
      <w:r w:rsidR="000A7258" w:rsidRPr="00A33264">
        <w:rPr>
          <w:lang w:val="en-GB"/>
        </w:rPr>
        <w:t>n</w:t>
      </w:r>
      <w:r w:rsidRPr="00A33264">
        <w:rPr>
          <w:lang w:val="en-GB"/>
        </w:rPr>
        <w:t>.</w:t>
      </w:r>
    </w:p>
    <w:p w14:paraId="5E718E14" w14:textId="2172AD12" w:rsidR="0047222D" w:rsidRPr="00A33264" w:rsidRDefault="0047222D" w:rsidP="0047222D">
      <w:pPr>
        <w:rPr>
          <w:lang w:val="en-GB"/>
        </w:rPr>
      </w:pPr>
      <w:r w:rsidRPr="00A33264">
        <w:rPr>
          <w:lang w:val="en-GB"/>
        </w:rPr>
        <w:t>In 2022 Dr Fejo was awarded an honorary doctorate by Flinders University in recognition of his contribution to education and Indigenous health.</w:t>
      </w:r>
    </w:p>
    <w:p w14:paraId="456488BB" w14:textId="4F81380A" w:rsidR="0047222D" w:rsidRPr="00A33264" w:rsidRDefault="0047222D" w:rsidP="0047222D">
      <w:pPr>
        <w:rPr>
          <w:lang w:val="en-GB"/>
        </w:rPr>
      </w:pPr>
      <w:r w:rsidRPr="00A33264">
        <w:rPr>
          <w:lang w:val="en-GB"/>
        </w:rPr>
        <w:t>Dr Fejo currently holds the positions of Senior Elder on campus with Flinders University, Chair of the Darwin Waterfront Corporation</w:t>
      </w:r>
      <w:r w:rsidR="000A7258" w:rsidRPr="00A33264">
        <w:rPr>
          <w:lang w:val="en-GB"/>
        </w:rPr>
        <w:t xml:space="preserve"> and</w:t>
      </w:r>
      <w:r w:rsidRPr="00A33264">
        <w:rPr>
          <w:lang w:val="en-GB"/>
        </w:rPr>
        <w:t xml:space="preserve"> Chair of the Australia Day Council (NT).</w:t>
      </w:r>
    </w:p>
    <w:p w14:paraId="3CDE4440" w14:textId="3913680C" w:rsidR="0047222D" w:rsidRPr="00A33264" w:rsidRDefault="0047222D" w:rsidP="0047222D">
      <w:pPr>
        <w:rPr>
          <w:lang w:val="en-GB"/>
        </w:rPr>
      </w:pPr>
      <w:r w:rsidRPr="00A33264">
        <w:rPr>
          <w:lang w:val="en-GB"/>
        </w:rPr>
        <w:t xml:space="preserve">In addition to his service to the community, Dr Fejo is </w:t>
      </w:r>
      <w:r w:rsidR="001A6947">
        <w:rPr>
          <w:lang w:val="en-GB"/>
        </w:rPr>
        <w:t>c</w:t>
      </w:r>
      <w:r w:rsidRPr="00A33264">
        <w:rPr>
          <w:lang w:val="en-GB"/>
        </w:rPr>
        <w:t xml:space="preserve">ultural </w:t>
      </w:r>
      <w:r w:rsidR="001A6947">
        <w:rPr>
          <w:lang w:val="en-GB"/>
        </w:rPr>
        <w:t>a</w:t>
      </w:r>
      <w:r w:rsidRPr="00A33264">
        <w:rPr>
          <w:lang w:val="en-GB"/>
        </w:rPr>
        <w:t xml:space="preserve">mbassador of </w:t>
      </w:r>
      <w:r w:rsidR="000A7258" w:rsidRPr="00A33264">
        <w:rPr>
          <w:lang w:val="en-GB"/>
        </w:rPr>
        <w:t xml:space="preserve">the </w:t>
      </w:r>
      <w:r w:rsidRPr="00A33264">
        <w:rPr>
          <w:lang w:val="en-GB"/>
        </w:rPr>
        <w:t xml:space="preserve">Darwin Salties </w:t>
      </w:r>
      <w:r w:rsidR="000A7258" w:rsidRPr="00A33264">
        <w:rPr>
          <w:lang w:val="en-GB"/>
        </w:rPr>
        <w:t>b</w:t>
      </w:r>
      <w:r w:rsidRPr="00A33264">
        <w:rPr>
          <w:lang w:val="en-GB"/>
        </w:rPr>
        <w:t xml:space="preserve">asketball </w:t>
      </w:r>
      <w:r w:rsidR="000A7258" w:rsidRPr="00A33264">
        <w:rPr>
          <w:lang w:val="en-GB"/>
        </w:rPr>
        <w:t xml:space="preserve">club </w:t>
      </w:r>
      <w:r w:rsidRPr="00A33264">
        <w:rPr>
          <w:lang w:val="en-GB"/>
        </w:rPr>
        <w:t>and a talented comedian and singer</w:t>
      </w:r>
      <w:r w:rsidR="004E5432" w:rsidRPr="00650775">
        <w:rPr>
          <w:rFonts w:ascii="Symbol" w:eastAsia="Symbol" w:hAnsi="Symbol" w:cs="Symbol"/>
          <w:lang w:val="en-GB"/>
        </w:rPr>
        <w:sym w:font="Symbol" w:char="F02D"/>
      </w:r>
      <w:r w:rsidRPr="00A33264">
        <w:rPr>
          <w:lang w:val="en-GB"/>
        </w:rPr>
        <w:t xml:space="preserve">songwriter, </w:t>
      </w:r>
      <w:r w:rsidRPr="00A33264">
        <w:rPr>
          <w:lang w:val="en-GB"/>
        </w:rPr>
        <w:lastRenderedPageBreak/>
        <w:t>performing regularly around town and nurturing the next generation of comics and aspiring singer</w:t>
      </w:r>
      <w:r w:rsidR="004E5432" w:rsidRPr="00650775">
        <w:rPr>
          <w:rFonts w:ascii="Symbol" w:eastAsia="Symbol" w:hAnsi="Symbol" w:cs="Symbol"/>
          <w:lang w:val="en-GB"/>
        </w:rPr>
        <w:sym w:font="Symbol" w:char="F02D"/>
      </w:r>
      <w:r w:rsidRPr="00A33264">
        <w:rPr>
          <w:lang w:val="en-GB"/>
        </w:rPr>
        <w:t>songwriters.</w:t>
      </w:r>
    </w:p>
    <w:p w14:paraId="35ED2EAE" w14:textId="09E0BD1B" w:rsidR="0047222D" w:rsidRPr="00A33264" w:rsidRDefault="0047222D" w:rsidP="0047222D">
      <w:pPr>
        <w:rPr>
          <w:lang w:val="en-GB"/>
        </w:rPr>
      </w:pPr>
      <w:r w:rsidRPr="00A33264">
        <w:rPr>
          <w:b/>
          <w:bCs/>
          <w:lang w:val="en-GB"/>
        </w:rPr>
        <w:t>Qualifications:</w:t>
      </w:r>
      <w:r w:rsidRPr="00A33264">
        <w:rPr>
          <w:lang w:val="en-GB"/>
        </w:rPr>
        <w:t xml:space="preserve"> Honorary </w:t>
      </w:r>
      <w:r w:rsidR="001A6947">
        <w:rPr>
          <w:lang w:val="en-GB"/>
        </w:rPr>
        <w:t>d</w:t>
      </w:r>
      <w:r w:rsidRPr="00A33264">
        <w:rPr>
          <w:lang w:val="en-GB"/>
        </w:rPr>
        <w:t>octorate, Flinders University.</w:t>
      </w:r>
    </w:p>
    <w:p w14:paraId="6724A479" w14:textId="77777777" w:rsidR="0047222D" w:rsidRPr="00A33264" w:rsidRDefault="0047222D" w:rsidP="0047222D">
      <w:pPr>
        <w:rPr>
          <w:b/>
          <w:bCs/>
          <w:lang w:val="en-GB"/>
        </w:rPr>
      </w:pPr>
      <w:r w:rsidRPr="00A33264">
        <w:rPr>
          <w:b/>
          <w:bCs/>
          <w:lang w:val="en-GB"/>
        </w:rPr>
        <w:t xml:space="preserve">Member: </w:t>
      </w:r>
      <w:r w:rsidRPr="00A33264">
        <w:rPr>
          <w:lang w:val="en-GB"/>
        </w:rPr>
        <w:t>Strategic Direction and Participant Outcomes Committee.</w:t>
      </w:r>
    </w:p>
    <w:p w14:paraId="03C698F1" w14:textId="77777777" w:rsidR="0047222D" w:rsidRPr="00A33264" w:rsidRDefault="0047222D" w:rsidP="0047222D">
      <w:pPr>
        <w:rPr>
          <w:b/>
          <w:lang w:val="en-GB"/>
        </w:rPr>
      </w:pPr>
      <w:r w:rsidRPr="00A33264">
        <w:rPr>
          <w:noProof/>
          <w:lang w:val="en-GB"/>
          <w14:ligatures w14:val="standardContextual"/>
        </w:rPr>
        <w:drawing>
          <wp:inline distT="0" distB="0" distL="0" distR="0" wp14:anchorId="7880EFD7" wp14:editId="057E0F22">
            <wp:extent cx="1371600" cy="2008800"/>
            <wp:effectExtent l="0" t="0" r="0" b="0"/>
            <wp:docPr id="1256285001" name="Picture 1256285001" descr="Photograph of Dr Graeme Innes 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85001" name="Picture 1256285001" descr="Photograph of Dr Graeme Innes AM.">
                      <a:extLst>
                        <a:ext uri="{C183D7F6-B498-43B3-948B-1728B52AA6E4}">
                          <adec:decorative xmlns:adec="http://schemas.microsoft.com/office/drawing/2017/decorative" val="0"/>
                        </a:ext>
                      </a:extLst>
                    </pic:cNvPr>
                    <pic:cNvPicPr/>
                  </pic:nvPicPr>
                  <pic:blipFill>
                    <a:blip r:embed="rId72">
                      <a:extLst>
                        <a:ext uri="{28A0092B-C50C-407E-A947-70E740481C1C}">
                          <a14:useLocalDpi xmlns:a14="http://schemas.microsoft.com/office/drawing/2010/main" val="0"/>
                        </a:ext>
                      </a:extLst>
                    </a:blip>
                    <a:stretch>
                      <a:fillRect/>
                    </a:stretch>
                  </pic:blipFill>
                  <pic:spPr>
                    <a:xfrm>
                      <a:off x="0" y="0"/>
                      <a:ext cx="1371600" cy="2008800"/>
                    </a:xfrm>
                    <a:prstGeom prst="rect">
                      <a:avLst/>
                    </a:prstGeom>
                  </pic:spPr>
                </pic:pic>
              </a:graphicData>
            </a:graphic>
          </wp:inline>
        </w:drawing>
      </w:r>
    </w:p>
    <w:p w14:paraId="74E60700" w14:textId="77777777" w:rsidR="0047222D" w:rsidRPr="00A33264" w:rsidRDefault="0047222D" w:rsidP="0047222D">
      <w:pPr>
        <w:rPr>
          <w:lang w:val="en-GB"/>
        </w:rPr>
      </w:pPr>
      <w:r w:rsidRPr="00A33264">
        <w:rPr>
          <w:b/>
          <w:lang w:val="en-GB"/>
        </w:rPr>
        <w:t>Dr Graeme Innes AM</w:t>
      </w:r>
    </w:p>
    <w:p w14:paraId="37A786B5" w14:textId="4E7E19C9" w:rsidR="0047222D" w:rsidRPr="00A33264" w:rsidRDefault="0047222D" w:rsidP="0047222D">
      <w:pPr>
        <w:rPr>
          <w:lang w:val="en-GB"/>
        </w:rPr>
      </w:pPr>
      <w:r w:rsidRPr="00A33264">
        <w:rPr>
          <w:lang w:val="en-GB"/>
        </w:rPr>
        <w:t>Dr Graeme Innes AM is a lawyer, author and company director who was Australia’s Disability Discrimination Commissioner for 9 years.</w:t>
      </w:r>
    </w:p>
    <w:p w14:paraId="30E7A366" w14:textId="77777777" w:rsidR="0047222D" w:rsidRPr="00A33264" w:rsidRDefault="0047222D" w:rsidP="0047222D">
      <w:pPr>
        <w:rPr>
          <w:lang w:val="en-GB"/>
        </w:rPr>
      </w:pPr>
      <w:r w:rsidRPr="00A33264">
        <w:rPr>
          <w:lang w:val="en-GB"/>
        </w:rPr>
        <w:t>Dr Innes has been a human rights practitioner for more than 30 years and has been responsible for issues relating to disability, race and human rights.</w:t>
      </w:r>
    </w:p>
    <w:p w14:paraId="41744B22" w14:textId="1B3FC502" w:rsidR="0047222D" w:rsidRPr="00A33264" w:rsidRDefault="0047222D" w:rsidP="0047222D">
      <w:pPr>
        <w:rPr>
          <w:lang w:val="en-GB"/>
        </w:rPr>
      </w:pPr>
      <w:r w:rsidRPr="00A33264">
        <w:rPr>
          <w:lang w:val="en-GB"/>
        </w:rPr>
        <w:t xml:space="preserve">Dr Innes was </w:t>
      </w:r>
      <w:r w:rsidR="000A7258" w:rsidRPr="00A33264">
        <w:rPr>
          <w:lang w:val="en-GB"/>
        </w:rPr>
        <w:t xml:space="preserve">appointed </w:t>
      </w:r>
      <w:r w:rsidRPr="00A33264">
        <w:rPr>
          <w:lang w:val="en-GB"/>
        </w:rPr>
        <w:t>a Member of the Order of Australia (AM) for his work on the development of the Disability Discrimination Act and was a finalist for Australian of the Year. On the international stage, he was a member of the Australian delegation that participated in negotiating the UN Convention on the Rights of People with Disabilities.</w:t>
      </w:r>
    </w:p>
    <w:p w14:paraId="25733158" w14:textId="388B6BE0" w:rsidR="0047222D" w:rsidRPr="00A33264" w:rsidRDefault="0047222D" w:rsidP="0047222D">
      <w:pPr>
        <w:rPr>
          <w:lang w:val="en-GB"/>
        </w:rPr>
      </w:pPr>
      <w:r w:rsidRPr="00A33264">
        <w:rPr>
          <w:lang w:val="en-GB"/>
        </w:rPr>
        <w:t xml:space="preserve">Dr Innes led the merger of 4 blindness agencies to form Vision Australia and chaired the board of that agency. He is Chancellor of Central Queensland University and a </w:t>
      </w:r>
      <w:r w:rsidR="00C97790">
        <w:rPr>
          <w:lang w:val="en-GB"/>
        </w:rPr>
        <w:t>d</w:t>
      </w:r>
      <w:r w:rsidRPr="00A33264">
        <w:rPr>
          <w:lang w:val="en-GB"/>
        </w:rPr>
        <w:t>irector of the State Insurance Regulatory Authority</w:t>
      </w:r>
      <w:r w:rsidR="001A6947">
        <w:rPr>
          <w:lang w:val="en-GB"/>
        </w:rPr>
        <w:t xml:space="preserve"> in New South Wales</w:t>
      </w:r>
      <w:r w:rsidRPr="00A33264">
        <w:rPr>
          <w:lang w:val="en-GB"/>
        </w:rPr>
        <w:t xml:space="preserve">, regulating workers’ compensation and motor vehicle accident insurance. </w:t>
      </w:r>
      <w:r w:rsidR="007D04C8">
        <w:rPr>
          <w:lang w:val="en-GB"/>
        </w:rPr>
        <w:t>He is a member of the board</w:t>
      </w:r>
      <w:r w:rsidR="00C97790">
        <w:rPr>
          <w:lang w:val="en-GB"/>
        </w:rPr>
        <w:t>s</w:t>
      </w:r>
      <w:r w:rsidR="007D04C8">
        <w:rPr>
          <w:lang w:val="en-GB"/>
        </w:rPr>
        <w:t xml:space="preserve"> of Healthy North Coast and the Jeffrey Blyth Foundation. </w:t>
      </w:r>
      <w:r w:rsidRPr="00A33264">
        <w:rPr>
          <w:lang w:val="en-GB"/>
        </w:rPr>
        <w:t xml:space="preserve">His autobiography </w:t>
      </w:r>
      <w:r w:rsidRPr="00A33264">
        <w:rPr>
          <w:i/>
          <w:iCs/>
          <w:lang w:val="en-GB"/>
        </w:rPr>
        <w:t xml:space="preserve">Finding a </w:t>
      </w:r>
      <w:r w:rsidR="004E5432">
        <w:rPr>
          <w:i/>
          <w:iCs/>
          <w:lang w:val="en-GB"/>
        </w:rPr>
        <w:t>w</w:t>
      </w:r>
      <w:r w:rsidRPr="00A33264">
        <w:rPr>
          <w:i/>
          <w:iCs/>
          <w:lang w:val="en-GB"/>
        </w:rPr>
        <w:t>ay</w:t>
      </w:r>
      <w:r w:rsidRPr="00A33264">
        <w:rPr>
          <w:lang w:val="en-GB"/>
        </w:rPr>
        <w:t xml:space="preserve"> achieved popular acclaim in 2016.</w:t>
      </w:r>
    </w:p>
    <w:p w14:paraId="4F38B637" w14:textId="1789B014" w:rsidR="0047222D" w:rsidRPr="00A33264" w:rsidRDefault="0047222D" w:rsidP="0047222D">
      <w:pPr>
        <w:rPr>
          <w:lang w:val="en-GB"/>
        </w:rPr>
      </w:pPr>
      <w:r w:rsidRPr="00A33264">
        <w:rPr>
          <w:b/>
          <w:bCs/>
          <w:lang w:val="en-GB"/>
        </w:rPr>
        <w:t>Qualifications:</w:t>
      </w:r>
      <w:r w:rsidRPr="00A33264">
        <w:rPr>
          <w:lang w:val="en-GB"/>
        </w:rPr>
        <w:t xml:space="preserve"> Bachelor of Law</w:t>
      </w:r>
      <w:r w:rsidR="00C97790">
        <w:rPr>
          <w:lang w:val="en-GB"/>
        </w:rPr>
        <w:t>s</w:t>
      </w:r>
      <w:r w:rsidRPr="00A33264">
        <w:rPr>
          <w:lang w:val="en-GB"/>
        </w:rPr>
        <w:t>, Sydney University</w:t>
      </w:r>
      <w:r w:rsidR="007D04C8">
        <w:rPr>
          <w:lang w:val="en-GB"/>
        </w:rPr>
        <w:t>;</w:t>
      </w:r>
      <w:r w:rsidRPr="00A33264">
        <w:rPr>
          <w:lang w:val="en-GB"/>
        </w:rPr>
        <w:t xml:space="preserve"> </w:t>
      </w:r>
      <w:r w:rsidR="007D04C8">
        <w:rPr>
          <w:lang w:val="en-GB"/>
        </w:rPr>
        <w:t>m</w:t>
      </w:r>
      <w:r w:rsidRPr="00A33264">
        <w:rPr>
          <w:lang w:val="en-GB"/>
        </w:rPr>
        <w:t>ediator courses</w:t>
      </w:r>
      <w:r w:rsidR="007D04C8">
        <w:rPr>
          <w:lang w:val="en-GB"/>
        </w:rPr>
        <w:t>,</w:t>
      </w:r>
      <w:r w:rsidRPr="00A33264">
        <w:rPr>
          <w:lang w:val="en-GB"/>
        </w:rPr>
        <w:t xml:space="preserve"> Community Justice Centre NSW</w:t>
      </w:r>
      <w:r w:rsidR="007D04C8">
        <w:rPr>
          <w:lang w:val="en-GB"/>
        </w:rPr>
        <w:t>,</w:t>
      </w:r>
      <w:r w:rsidRPr="00A33264">
        <w:rPr>
          <w:lang w:val="en-GB"/>
        </w:rPr>
        <w:t xml:space="preserve"> Australian Commercial Dispute Centre</w:t>
      </w:r>
      <w:r w:rsidR="007D04C8">
        <w:rPr>
          <w:lang w:val="en-GB"/>
        </w:rPr>
        <w:t>;</w:t>
      </w:r>
      <w:r w:rsidRPr="00A33264">
        <w:rPr>
          <w:lang w:val="en-GB"/>
        </w:rPr>
        <w:t xml:space="preserve"> </w:t>
      </w:r>
      <w:r w:rsidR="007D04C8">
        <w:rPr>
          <w:lang w:val="en-GB"/>
        </w:rPr>
        <w:t>h</w:t>
      </w:r>
      <w:r w:rsidRPr="00A33264">
        <w:rPr>
          <w:lang w:val="en-GB"/>
        </w:rPr>
        <w:t>onorary doctorates</w:t>
      </w:r>
      <w:r w:rsidR="00C97790">
        <w:rPr>
          <w:lang w:val="en-GB"/>
        </w:rPr>
        <w:t>,</w:t>
      </w:r>
      <w:r w:rsidRPr="00A33264">
        <w:rPr>
          <w:lang w:val="en-GB"/>
        </w:rPr>
        <w:t xml:space="preserve"> University of Canberra, RMIT University, University of N</w:t>
      </w:r>
      <w:r w:rsidR="007D04C8">
        <w:rPr>
          <w:lang w:val="en-GB"/>
        </w:rPr>
        <w:t xml:space="preserve">ew </w:t>
      </w:r>
      <w:r w:rsidRPr="00A33264">
        <w:rPr>
          <w:lang w:val="en-GB"/>
        </w:rPr>
        <w:t>S</w:t>
      </w:r>
      <w:r w:rsidR="007D04C8">
        <w:rPr>
          <w:lang w:val="en-GB"/>
        </w:rPr>
        <w:t xml:space="preserve">outh </w:t>
      </w:r>
      <w:r w:rsidRPr="00A33264">
        <w:rPr>
          <w:lang w:val="en-GB"/>
        </w:rPr>
        <w:t>W</w:t>
      </w:r>
      <w:r w:rsidR="007D04C8">
        <w:rPr>
          <w:lang w:val="en-GB"/>
        </w:rPr>
        <w:t>ales</w:t>
      </w:r>
      <w:r w:rsidR="00C97790">
        <w:rPr>
          <w:lang w:val="en-GB"/>
        </w:rPr>
        <w:t>,</w:t>
      </w:r>
      <w:r w:rsidRPr="00A33264">
        <w:rPr>
          <w:lang w:val="en-GB"/>
        </w:rPr>
        <w:t xml:space="preserve"> Edith Cowan University</w:t>
      </w:r>
      <w:r w:rsidR="007D04C8">
        <w:rPr>
          <w:lang w:val="en-GB"/>
        </w:rPr>
        <w:t>;</w:t>
      </w:r>
      <w:r w:rsidRPr="00A33264">
        <w:rPr>
          <w:lang w:val="en-GB"/>
        </w:rPr>
        <w:t xml:space="preserve"> Fellow of the Australian Institute of Company Directors.</w:t>
      </w:r>
    </w:p>
    <w:p w14:paraId="6DD719F6" w14:textId="77777777" w:rsidR="0047222D" w:rsidRPr="00A33264" w:rsidRDefault="0047222D" w:rsidP="0047222D">
      <w:pPr>
        <w:rPr>
          <w:lang w:val="en-GB"/>
        </w:rPr>
      </w:pPr>
      <w:r w:rsidRPr="00A33264">
        <w:rPr>
          <w:b/>
          <w:bCs/>
          <w:lang w:val="en-GB"/>
        </w:rPr>
        <w:t xml:space="preserve">Chair: </w:t>
      </w:r>
      <w:r w:rsidRPr="00A33264">
        <w:rPr>
          <w:lang w:val="en-GB"/>
        </w:rPr>
        <w:t>Audit and Risk Committee.</w:t>
      </w:r>
    </w:p>
    <w:p w14:paraId="700BDD70" w14:textId="77777777" w:rsidR="0047222D" w:rsidRPr="00A33264" w:rsidRDefault="0047222D" w:rsidP="0047222D">
      <w:pPr>
        <w:rPr>
          <w:b/>
          <w:lang w:val="en-GB"/>
        </w:rPr>
      </w:pPr>
      <w:r w:rsidRPr="00A33264">
        <w:rPr>
          <w:rStyle w:val="FGCEMPHASIS"/>
          <w:noProof/>
          <w:lang w:val="en-GB"/>
        </w:rPr>
        <w:lastRenderedPageBreak/>
        <w:drawing>
          <wp:inline distT="0" distB="0" distL="0" distR="0" wp14:anchorId="501740ED" wp14:editId="27229911">
            <wp:extent cx="1371600" cy="1774800"/>
            <wp:effectExtent l="0" t="0" r="0" b="0"/>
            <wp:docPr id="1485613013" name="Picture 1485613013" descr="Photograph of Mrs Joan McKenna Ker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13013" name="Picture 1485613013" descr="Photograph of Mrs Joan McKenna Kerr.">
                      <a:extLst>
                        <a:ext uri="{C183D7F6-B498-43B3-948B-1728B52AA6E4}">
                          <adec:decorative xmlns:adec="http://schemas.microsoft.com/office/drawing/2017/decorative" val="0"/>
                        </a:ext>
                      </a:extLst>
                    </pic:cNvPr>
                    <pic:cNvPicPr/>
                  </pic:nvPicPr>
                  <pic:blipFill>
                    <a:blip r:embed="rId73">
                      <a:extLst>
                        <a:ext uri="{28A0092B-C50C-407E-A947-70E740481C1C}">
                          <a14:useLocalDpi xmlns:a14="http://schemas.microsoft.com/office/drawing/2010/main" val="0"/>
                        </a:ext>
                      </a:extLst>
                    </a:blip>
                    <a:stretch>
                      <a:fillRect/>
                    </a:stretch>
                  </pic:blipFill>
                  <pic:spPr>
                    <a:xfrm>
                      <a:off x="0" y="0"/>
                      <a:ext cx="1371600" cy="1774800"/>
                    </a:xfrm>
                    <a:prstGeom prst="rect">
                      <a:avLst/>
                    </a:prstGeom>
                  </pic:spPr>
                </pic:pic>
              </a:graphicData>
            </a:graphic>
          </wp:inline>
        </w:drawing>
      </w:r>
    </w:p>
    <w:p w14:paraId="123B0142" w14:textId="77777777" w:rsidR="0047222D" w:rsidRPr="00A33264" w:rsidRDefault="0047222D" w:rsidP="0047222D">
      <w:pPr>
        <w:rPr>
          <w:lang w:val="en-GB"/>
        </w:rPr>
      </w:pPr>
      <w:r w:rsidRPr="00A33264">
        <w:rPr>
          <w:b/>
          <w:lang w:val="en-GB"/>
        </w:rPr>
        <w:t>Mrs Joan McKenna Kerr</w:t>
      </w:r>
    </w:p>
    <w:p w14:paraId="7CAC0648" w14:textId="697C56D0" w:rsidR="0047222D" w:rsidRPr="00A33264" w:rsidRDefault="0047222D" w:rsidP="0047222D">
      <w:pPr>
        <w:rPr>
          <w:lang w:val="en-GB"/>
        </w:rPr>
      </w:pPr>
      <w:r w:rsidRPr="00A33264">
        <w:rPr>
          <w:lang w:val="en-GB"/>
        </w:rPr>
        <w:t xml:space="preserve">Mrs Joan McKenna Kerr is an experienced </w:t>
      </w:r>
      <w:r w:rsidR="007D04C8">
        <w:rPr>
          <w:lang w:val="en-GB"/>
        </w:rPr>
        <w:t>CEO</w:t>
      </w:r>
      <w:r w:rsidRPr="00A33264">
        <w:rPr>
          <w:lang w:val="en-GB"/>
        </w:rPr>
        <w:t xml:space="preserve"> in the field of disability with significant experience as a board director.</w:t>
      </w:r>
    </w:p>
    <w:p w14:paraId="6E79F908" w14:textId="57B65035" w:rsidR="0047222D" w:rsidRPr="00A33264" w:rsidRDefault="0047222D" w:rsidP="0047222D">
      <w:pPr>
        <w:rPr>
          <w:lang w:val="en-GB"/>
        </w:rPr>
      </w:pPr>
      <w:r w:rsidRPr="00A33264">
        <w:rPr>
          <w:lang w:val="en-GB"/>
        </w:rPr>
        <w:t xml:space="preserve">She was a member of the </w:t>
      </w:r>
      <w:r w:rsidR="007D04C8">
        <w:rPr>
          <w:lang w:val="en-GB"/>
        </w:rPr>
        <w:t>e</w:t>
      </w:r>
      <w:r w:rsidRPr="00A33264">
        <w:rPr>
          <w:lang w:val="en-GB"/>
        </w:rPr>
        <w:t xml:space="preserve">xpert </w:t>
      </w:r>
      <w:r w:rsidR="007D04C8">
        <w:rPr>
          <w:lang w:val="en-GB"/>
        </w:rPr>
        <w:t>a</w:t>
      </w:r>
      <w:r w:rsidRPr="00A33264">
        <w:rPr>
          <w:lang w:val="en-GB"/>
        </w:rPr>
        <w:t xml:space="preserve">dvisory </w:t>
      </w:r>
      <w:r w:rsidR="007D04C8">
        <w:rPr>
          <w:lang w:val="en-GB"/>
        </w:rPr>
        <w:t>g</w:t>
      </w:r>
      <w:r w:rsidRPr="00A33264">
        <w:rPr>
          <w:lang w:val="en-GB"/>
        </w:rPr>
        <w:t xml:space="preserve">roup reporting to the Council of </w:t>
      </w:r>
      <w:r w:rsidR="007D04C8">
        <w:rPr>
          <w:lang w:val="en-GB"/>
        </w:rPr>
        <w:t>Australian Governments select council of t</w:t>
      </w:r>
      <w:r w:rsidRPr="00A33264">
        <w:rPr>
          <w:lang w:val="en-GB"/>
        </w:rPr>
        <w:t xml:space="preserve">reasurers and </w:t>
      </w:r>
      <w:r w:rsidR="007D04C8">
        <w:rPr>
          <w:lang w:val="en-GB"/>
        </w:rPr>
        <w:t>m</w:t>
      </w:r>
      <w:r w:rsidRPr="00A33264">
        <w:rPr>
          <w:lang w:val="en-GB"/>
        </w:rPr>
        <w:t>inisters on the development and establishment of the NDIS.</w:t>
      </w:r>
    </w:p>
    <w:p w14:paraId="585391EE" w14:textId="6A57D47B" w:rsidR="0047222D" w:rsidRPr="00A33264" w:rsidRDefault="0047222D" w:rsidP="0047222D">
      <w:pPr>
        <w:rPr>
          <w:lang w:val="en-GB"/>
        </w:rPr>
      </w:pPr>
      <w:r w:rsidRPr="00A33264">
        <w:rPr>
          <w:lang w:val="en-GB"/>
        </w:rPr>
        <w:t xml:space="preserve">Mrs McKenna Kerr was a member of the inaugural NDIS Independent Advisory Council and </w:t>
      </w:r>
      <w:r w:rsidR="007D04C8">
        <w:rPr>
          <w:lang w:val="en-GB"/>
        </w:rPr>
        <w:t>c</w:t>
      </w:r>
      <w:r w:rsidRPr="00A33264">
        <w:rPr>
          <w:lang w:val="en-GB"/>
        </w:rPr>
        <w:t>o-</w:t>
      </w:r>
      <w:r w:rsidR="007D04C8">
        <w:rPr>
          <w:lang w:val="en-GB"/>
        </w:rPr>
        <w:t>c</w:t>
      </w:r>
      <w:r w:rsidRPr="00A33264">
        <w:rPr>
          <w:lang w:val="en-GB"/>
        </w:rPr>
        <w:t>hair of the NDIS Working Party on Eligibility and Assessment.</w:t>
      </w:r>
    </w:p>
    <w:p w14:paraId="19123234" w14:textId="467F5B6F" w:rsidR="0047222D" w:rsidRPr="00A33264" w:rsidRDefault="000A7258" w:rsidP="0047222D">
      <w:pPr>
        <w:rPr>
          <w:lang w:val="en-GB"/>
        </w:rPr>
      </w:pPr>
      <w:r w:rsidRPr="00A33264">
        <w:rPr>
          <w:lang w:val="en-GB"/>
        </w:rPr>
        <w:t>Throughout her career, she has also</w:t>
      </w:r>
      <w:r w:rsidR="0047222D" w:rsidRPr="00A33264">
        <w:rPr>
          <w:lang w:val="en-GB"/>
        </w:rPr>
        <w:t xml:space="preserve"> chair</w:t>
      </w:r>
      <w:r w:rsidRPr="00A33264">
        <w:rPr>
          <w:lang w:val="en-GB"/>
        </w:rPr>
        <w:t>ed</w:t>
      </w:r>
      <w:r w:rsidR="0047222D" w:rsidRPr="00A33264">
        <w:rPr>
          <w:lang w:val="en-GB"/>
        </w:rPr>
        <w:t xml:space="preserve"> and serv</w:t>
      </w:r>
      <w:r w:rsidRPr="00A33264">
        <w:rPr>
          <w:lang w:val="en-GB"/>
        </w:rPr>
        <w:t>ed</w:t>
      </w:r>
      <w:r w:rsidR="0047222D" w:rsidRPr="00A33264">
        <w:rPr>
          <w:lang w:val="en-GB"/>
        </w:rPr>
        <w:t xml:space="preserve"> </w:t>
      </w:r>
      <w:r w:rsidR="007D04C8">
        <w:rPr>
          <w:lang w:val="en-GB"/>
        </w:rPr>
        <w:t>in</w:t>
      </w:r>
      <w:r w:rsidR="0047222D" w:rsidRPr="00A33264">
        <w:rPr>
          <w:lang w:val="en-GB"/>
        </w:rPr>
        <w:t xml:space="preserve"> numerous working parties</w:t>
      </w:r>
      <w:r w:rsidRPr="00A33264">
        <w:rPr>
          <w:lang w:val="en-GB"/>
        </w:rPr>
        <w:t xml:space="preserve"> </w:t>
      </w:r>
      <w:r w:rsidR="0047222D" w:rsidRPr="00A33264">
        <w:rPr>
          <w:lang w:val="en-GB"/>
        </w:rPr>
        <w:t>tasked with disability sector reform and sustainability.</w:t>
      </w:r>
    </w:p>
    <w:p w14:paraId="68431204" w14:textId="7D311A0A" w:rsidR="0047222D" w:rsidRPr="00A33264" w:rsidRDefault="0047222D" w:rsidP="0047222D">
      <w:pPr>
        <w:rPr>
          <w:lang w:val="en-GB"/>
        </w:rPr>
      </w:pPr>
      <w:r w:rsidRPr="00A33264">
        <w:rPr>
          <w:lang w:val="en-GB"/>
        </w:rPr>
        <w:t xml:space="preserve">Mrs McKenna Kerr is a former </w:t>
      </w:r>
      <w:r w:rsidR="007D04C8">
        <w:rPr>
          <w:lang w:val="en-GB"/>
        </w:rPr>
        <w:t>p</w:t>
      </w:r>
      <w:r w:rsidRPr="00A33264">
        <w:rPr>
          <w:lang w:val="en-GB"/>
        </w:rPr>
        <w:t xml:space="preserve">resident of National Disability Services and the former </w:t>
      </w:r>
      <w:r w:rsidR="007D04C8">
        <w:rPr>
          <w:lang w:val="en-GB"/>
        </w:rPr>
        <w:t>n</w:t>
      </w:r>
      <w:r w:rsidRPr="00A33264">
        <w:rPr>
          <w:lang w:val="en-GB"/>
        </w:rPr>
        <w:t xml:space="preserve">ational </w:t>
      </w:r>
      <w:r w:rsidR="007D04C8">
        <w:rPr>
          <w:lang w:val="en-GB"/>
        </w:rPr>
        <w:t>c</w:t>
      </w:r>
      <w:r w:rsidRPr="00A33264">
        <w:rPr>
          <w:lang w:val="en-GB"/>
        </w:rPr>
        <w:t>hair of the Australian Advisory Board on Autism.</w:t>
      </w:r>
    </w:p>
    <w:p w14:paraId="70171C89" w14:textId="77777777" w:rsidR="0047222D" w:rsidRPr="00A33264" w:rsidRDefault="0047222D" w:rsidP="0047222D">
      <w:pPr>
        <w:rPr>
          <w:lang w:val="en-GB"/>
        </w:rPr>
      </w:pPr>
      <w:r w:rsidRPr="00A33264">
        <w:rPr>
          <w:lang w:val="en-GB"/>
        </w:rPr>
        <w:t>She has also been involved for the last decade in the sister-state initiative between the Western Australian Government and East Java, Indonesia, assisting in the development of disability services in 5 regional government areas of East Java.</w:t>
      </w:r>
    </w:p>
    <w:p w14:paraId="41AEA1FD" w14:textId="082FE74F" w:rsidR="0047222D" w:rsidRPr="00A33264" w:rsidRDefault="0047222D" w:rsidP="0047222D">
      <w:pPr>
        <w:rPr>
          <w:lang w:val="en-GB"/>
        </w:rPr>
      </w:pPr>
      <w:r w:rsidRPr="00A33264">
        <w:rPr>
          <w:lang w:val="en-GB"/>
        </w:rPr>
        <w:t>In 2017 Mrs McKenna Kerr was awarded the Asia Pacific Autism Award for a lifetime of service to people with autism and their families.</w:t>
      </w:r>
    </w:p>
    <w:p w14:paraId="6389483D" w14:textId="4B24F71E" w:rsidR="0047222D" w:rsidRPr="00A33264" w:rsidRDefault="0047222D" w:rsidP="0047222D">
      <w:pPr>
        <w:rPr>
          <w:lang w:val="en-GB"/>
        </w:rPr>
      </w:pPr>
      <w:r w:rsidRPr="00A33264">
        <w:rPr>
          <w:b/>
          <w:bCs/>
          <w:lang w:val="en-GB"/>
        </w:rPr>
        <w:t>Qualifications:</w:t>
      </w:r>
      <w:r w:rsidRPr="00A33264">
        <w:rPr>
          <w:lang w:val="en-GB"/>
        </w:rPr>
        <w:t xml:space="preserve"> Bachelor of Arts, Moderatorship in Sociology, Trinity College Dublin.</w:t>
      </w:r>
    </w:p>
    <w:p w14:paraId="24A54A7E" w14:textId="77777777" w:rsidR="0047222D" w:rsidRPr="00A33264" w:rsidRDefault="0047222D" w:rsidP="0047222D">
      <w:pPr>
        <w:rPr>
          <w:lang w:val="en-GB"/>
        </w:rPr>
      </w:pPr>
      <w:r w:rsidRPr="00A33264">
        <w:rPr>
          <w:b/>
          <w:bCs/>
          <w:lang w:val="en-GB"/>
        </w:rPr>
        <w:t>Member:</w:t>
      </w:r>
      <w:r w:rsidRPr="00A33264">
        <w:rPr>
          <w:lang w:val="en-GB"/>
        </w:rPr>
        <w:t xml:space="preserve"> Strategic Direction and Participant Outcomes Committee.</w:t>
      </w:r>
    </w:p>
    <w:p w14:paraId="742780B0" w14:textId="77777777" w:rsidR="0047222D" w:rsidRPr="00A33264" w:rsidRDefault="0047222D" w:rsidP="0047222D">
      <w:pPr>
        <w:rPr>
          <w:b/>
          <w:lang w:val="en-GB"/>
        </w:rPr>
      </w:pPr>
      <w:bookmarkStart w:id="291" w:name="_Hlk141959052"/>
      <w:r w:rsidRPr="00A33264">
        <w:rPr>
          <w:noProof/>
          <w:lang w:val="en-GB"/>
          <w14:ligatures w14:val="standardContextual"/>
        </w:rPr>
        <w:lastRenderedPageBreak/>
        <w:drawing>
          <wp:inline distT="0" distB="0" distL="0" distR="0" wp14:anchorId="7556FA43" wp14:editId="24CBDB6C">
            <wp:extent cx="1256030" cy="1939925"/>
            <wp:effectExtent l="0" t="0" r="1270" b="3175"/>
            <wp:docPr id="789038397" name="Picture 789038397" descr="Photograph of Dr Denis Napthine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38397" name="Picture 789038397" descr="Photograph of Dr Denis Napthine AO."/>
                    <pic:cNvPicPr/>
                  </pic:nvPicPr>
                  <pic:blipFill>
                    <a:blip r:embed="rId74">
                      <a:extLst>
                        <a:ext uri="{28A0092B-C50C-407E-A947-70E740481C1C}">
                          <a14:useLocalDpi xmlns:a14="http://schemas.microsoft.com/office/drawing/2010/main" val="0"/>
                        </a:ext>
                      </a:extLst>
                    </a:blip>
                    <a:stretch>
                      <a:fillRect/>
                    </a:stretch>
                  </pic:blipFill>
                  <pic:spPr>
                    <a:xfrm>
                      <a:off x="0" y="0"/>
                      <a:ext cx="1256030" cy="1939925"/>
                    </a:xfrm>
                    <a:prstGeom prst="rect">
                      <a:avLst/>
                    </a:prstGeom>
                  </pic:spPr>
                </pic:pic>
              </a:graphicData>
            </a:graphic>
          </wp:inline>
        </w:drawing>
      </w:r>
    </w:p>
    <w:p w14:paraId="2A80D3A1" w14:textId="77777777" w:rsidR="0047222D" w:rsidRPr="00A33264" w:rsidRDefault="0047222D" w:rsidP="0047222D">
      <w:pPr>
        <w:rPr>
          <w:lang w:val="en-GB"/>
        </w:rPr>
      </w:pPr>
      <w:r w:rsidRPr="00A33264">
        <w:rPr>
          <w:b/>
          <w:lang w:val="en-GB"/>
        </w:rPr>
        <w:t xml:space="preserve">Dr Denis Napthine </w:t>
      </w:r>
      <w:bookmarkEnd w:id="291"/>
      <w:r w:rsidRPr="00A33264">
        <w:rPr>
          <w:b/>
          <w:lang w:val="en-GB"/>
        </w:rPr>
        <w:t>AO</w:t>
      </w:r>
    </w:p>
    <w:p w14:paraId="2B438C59" w14:textId="76B3F163" w:rsidR="0047222D" w:rsidRPr="00A33264" w:rsidRDefault="0047222D" w:rsidP="0047222D">
      <w:pPr>
        <w:rPr>
          <w:lang w:val="en-GB"/>
        </w:rPr>
      </w:pPr>
      <w:r w:rsidRPr="00A33264">
        <w:rPr>
          <w:lang w:val="en-GB"/>
        </w:rPr>
        <w:t xml:space="preserve">Dr Denis Napthine </w:t>
      </w:r>
      <w:r w:rsidR="000D6CF7">
        <w:rPr>
          <w:lang w:val="en-GB"/>
        </w:rPr>
        <w:t xml:space="preserve">AO </w:t>
      </w:r>
      <w:r w:rsidRPr="00A33264">
        <w:rPr>
          <w:lang w:val="en-GB"/>
        </w:rPr>
        <w:t xml:space="preserve">has held various senior positions in government and was the 47th </w:t>
      </w:r>
      <w:r w:rsidR="007D04C8">
        <w:rPr>
          <w:lang w:val="en-GB"/>
        </w:rPr>
        <w:t>p</w:t>
      </w:r>
      <w:r w:rsidRPr="00A33264">
        <w:rPr>
          <w:lang w:val="en-GB"/>
        </w:rPr>
        <w:t>remier of Victoria.</w:t>
      </w:r>
    </w:p>
    <w:p w14:paraId="596C0966" w14:textId="46358521" w:rsidR="0047222D" w:rsidRPr="00A33264" w:rsidRDefault="0047222D" w:rsidP="0047222D">
      <w:pPr>
        <w:rPr>
          <w:lang w:val="en-GB"/>
        </w:rPr>
      </w:pPr>
      <w:r w:rsidRPr="00A33264">
        <w:rPr>
          <w:lang w:val="en-GB"/>
        </w:rPr>
        <w:t xml:space="preserve">As the </w:t>
      </w:r>
      <w:r w:rsidR="007D04C8">
        <w:rPr>
          <w:lang w:val="en-GB"/>
        </w:rPr>
        <w:t>p</w:t>
      </w:r>
      <w:r w:rsidRPr="00A33264">
        <w:rPr>
          <w:lang w:val="en-GB"/>
        </w:rPr>
        <w:t xml:space="preserve">remier, Dr Napthine led the Victorian Government to sign the NDIS </w:t>
      </w:r>
      <w:r w:rsidR="007D04C8">
        <w:rPr>
          <w:lang w:val="en-GB"/>
        </w:rPr>
        <w:t>a</w:t>
      </w:r>
      <w:r w:rsidRPr="00A33264">
        <w:rPr>
          <w:lang w:val="en-GB"/>
        </w:rPr>
        <w:t xml:space="preserve">greement with the then </w:t>
      </w:r>
      <w:r w:rsidR="007D04C8">
        <w:rPr>
          <w:lang w:val="en-GB"/>
        </w:rPr>
        <w:t>p</w:t>
      </w:r>
      <w:r w:rsidRPr="00A33264">
        <w:rPr>
          <w:lang w:val="en-GB"/>
        </w:rPr>
        <w:t xml:space="preserve">rime </w:t>
      </w:r>
      <w:r w:rsidR="007D04C8">
        <w:rPr>
          <w:lang w:val="en-GB"/>
        </w:rPr>
        <w:t>m</w:t>
      </w:r>
      <w:r w:rsidRPr="00A33264">
        <w:rPr>
          <w:lang w:val="en-GB"/>
        </w:rPr>
        <w:t>inister</w:t>
      </w:r>
      <w:r w:rsidR="003053C7" w:rsidRPr="00A33264">
        <w:rPr>
          <w:lang w:val="en-GB"/>
        </w:rPr>
        <w:t>,</w:t>
      </w:r>
      <w:r w:rsidRPr="00A33264">
        <w:rPr>
          <w:lang w:val="en-GB"/>
        </w:rPr>
        <w:t xml:space="preserve"> Julia Gillard. He has a long history of active involvement in local and regional services for people with disabilities and their families and carers. Dr Napthine is the parent of a person with disabilities and has previously worked in frontline services for people with disabilities.</w:t>
      </w:r>
    </w:p>
    <w:p w14:paraId="20B16A72" w14:textId="30C98450" w:rsidR="0047222D" w:rsidRPr="00A33264" w:rsidRDefault="0047222D" w:rsidP="0047222D">
      <w:pPr>
        <w:rPr>
          <w:lang w:val="en-GB"/>
        </w:rPr>
      </w:pPr>
      <w:r w:rsidRPr="00A33264">
        <w:rPr>
          <w:lang w:val="en-GB"/>
        </w:rPr>
        <w:t xml:space="preserve">In 2020 Dr Napthine was </w:t>
      </w:r>
      <w:r w:rsidR="003053C7" w:rsidRPr="00A33264">
        <w:rPr>
          <w:lang w:val="en-GB"/>
        </w:rPr>
        <w:t>appointed</w:t>
      </w:r>
      <w:r w:rsidRPr="00A33264">
        <w:rPr>
          <w:lang w:val="en-GB"/>
        </w:rPr>
        <w:t xml:space="preserve"> an Officer of the Order of Australia (AO) for distinguished service to the people and Parliament of Victoria, particularly as </w:t>
      </w:r>
      <w:r w:rsidR="007D04C8">
        <w:rPr>
          <w:lang w:val="en-GB"/>
        </w:rPr>
        <w:t>p</w:t>
      </w:r>
      <w:r w:rsidRPr="00A33264">
        <w:rPr>
          <w:lang w:val="en-GB"/>
        </w:rPr>
        <w:t>remier, to veterinary science, and to the community. Previously he was the Victorian Minister for Community Services, which included disability services.</w:t>
      </w:r>
    </w:p>
    <w:p w14:paraId="514D4977" w14:textId="0901512F" w:rsidR="0047222D" w:rsidRPr="00A33264" w:rsidRDefault="0047222D" w:rsidP="0047222D">
      <w:pPr>
        <w:rPr>
          <w:lang w:val="en-GB"/>
        </w:rPr>
      </w:pPr>
      <w:r w:rsidRPr="00A33264">
        <w:rPr>
          <w:lang w:val="en-GB"/>
        </w:rPr>
        <w:t xml:space="preserve">Dr Napthine was appointed as </w:t>
      </w:r>
      <w:r w:rsidR="007D04C8">
        <w:rPr>
          <w:lang w:val="en-GB"/>
        </w:rPr>
        <w:t>c</w:t>
      </w:r>
      <w:r w:rsidRPr="00A33264">
        <w:rPr>
          <w:lang w:val="en-GB"/>
        </w:rPr>
        <w:t xml:space="preserve">hair of the NDIA Board on 1 April 2022. He resigned on 18 July 2022. </w:t>
      </w:r>
      <w:r w:rsidR="007D04C8">
        <w:rPr>
          <w:lang w:val="en-GB"/>
        </w:rPr>
        <w:t xml:space="preserve">He </w:t>
      </w:r>
      <w:r w:rsidRPr="00A33264">
        <w:rPr>
          <w:lang w:val="en-GB"/>
        </w:rPr>
        <w:t>was reappointed to the Board in October 2022.</w:t>
      </w:r>
    </w:p>
    <w:p w14:paraId="1D0840F6" w14:textId="12943957" w:rsidR="0047222D" w:rsidRPr="00A33264" w:rsidRDefault="0047222D" w:rsidP="0047222D">
      <w:pPr>
        <w:rPr>
          <w:lang w:val="en-GB"/>
        </w:rPr>
      </w:pPr>
      <w:r w:rsidRPr="00A33264">
        <w:rPr>
          <w:lang w:val="en-GB"/>
        </w:rPr>
        <w:t xml:space="preserve">Dr Napthine is a </w:t>
      </w:r>
      <w:r w:rsidR="007D04C8">
        <w:rPr>
          <w:lang w:val="en-GB"/>
        </w:rPr>
        <w:t>d</w:t>
      </w:r>
      <w:r w:rsidRPr="00A33264">
        <w:rPr>
          <w:lang w:val="en-GB"/>
        </w:rPr>
        <w:t>irector of GMHBA Limited.</w:t>
      </w:r>
    </w:p>
    <w:p w14:paraId="60B0D1F7" w14:textId="39847FF8" w:rsidR="0047222D" w:rsidRPr="00A33264" w:rsidRDefault="0047222D" w:rsidP="0047222D">
      <w:pPr>
        <w:rPr>
          <w:lang w:val="en-GB"/>
        </w:rPr>
      </w:pPr>
      <w:r w:rsidRPr="00A33264">
        <w:rPr>
          <w:b/>
          <w:bCs/>
          <w:lang w:val="en-GB"/>
        </w:rPr>
        <w:t>Qualifications:</w:t>
      </w:r>
      <w:r w:rsidRPr="00A33264">
        <w:rPr>
          <w:lang w:val="en-GB"/>
        </w:rPr>
        <w:t xml:space="preserve"> B</w:t>
      </w:r>
      <w:r w:rsidR="007D04C8">
        <w:rPr>
          <w:lang w:val="en-GB"/>
        </w:rPr>
        <w:t xml:space="preserve">achelor of </w:t>
      </w:r>
      <w:r w:rsidRPr="00A33264">
        <w:rPr>
          <w:lang w:val="en-GB"/>
        </w:rPr>
        <w:t>V</w:t>
      </w:r>
      <w:r w:rsidR="007D04C8">
        <w:rPr>
          <w:lang w:val="en-GB"/>
        </w:rPr>
        <w:t xml:space="preserve">eterinary </w:t>
      </w:r>
      <w:r w:rsidRPr="00A33264">
        <w:rPr>
          <w:lang w:val="en-GB"/>
        </w:rPr>
        <w:t>Sc</w:t>
      </w:r>
      <w:r w:rsidR="007D04C8">
        <w:rPr>
          <w:lang w:val="en-GB"/>
        </w:rPr>
        <w:t>ience</w:t>
      </w:r>
      <w:r w:rsidR="00C97790">
        <w:rPr>
          <w:lang w:val="en-GB"/>
        </w:rPr>
        <w:t>,</w:t>
      </w:r>
      <w:r w:rsidRPr="00A33264">
        <w:rPr>
          <w:lang w:val="en-GB"/>
        </w:rPr>
        <w:t xml:space="preserve"> M</w:t>
      </w:r>
      <w:r w:rsidR="007D04C8">
        <w:rPr>
          <w:lang w:val="en-GB"/>
        </w:rPr>
        <w:t xml:space="preserve">aster of </w:t>
      </w:r>
      <w:r w:rsidRPr="00A33264">
        <w:rPr>
          <w:lang w:val="en-GB"/>
        </w:rPr>
        <w:t>V</w:t>
      </w:r>
      <w:r w:rsidR="007D04C8">
        <w:rPr>
          <w:lang w:val="en-GB"/>
        </w:rPr>
        <w:t xml:space="preserve">eterinary </w:t>
      </w:r>
      <w:r w:rsidRPr="00A33264">
        <w:rPr>
          <w:lang w:val="en-GB"/>
        </w:rPr>
        <w:t>S</w:t>
      </w:r>
      <w:r w:rsidR="007D04C8">
        <w:rPr>
          <w:lang w:val="en-GB"/>
        </w:rPr>
        <w:t>cience</w:t>
      </w:r>
      <w:r w:rsidRPr="00A33264">
        <w:rPr>
          <w:lang w:val="en-GB"/>
        </w:rPr>
        <w:t xml:space="preserve"> (Epidemiology and Preventive Medicine), University of Melbourne</w:t>
      </w:r>
      <w:r w:rsidR="007D04C8">
        <w:rPr>
          <w:lang w:val="en-GB"/>
        </w:rPr>
        <w:t>;</w:t>
      </w:r>
      <w:r w:rsidRPr="00A33264">
        <w:rPr>
          <w:lang w:val="en-GB"/>
        </w:rPr>
        <w:t xml:space="preserve"> Master of Business Administration, Deakin University.</w:t>
      </w:r>
    </w:p>
    <w:p w14:paraId="7A73DE33" w14:textId="77777777" w:rsidR="0047222D" w:rsidRPr="00A33264" w:rsidRDefault="0047222D" w:rsidP="0047222D">
      <w:pPr>
        <w:rPr>
          <w:lang w:val="en-GB"/>
        </w:rPr>
      </w:pPr>
      <w:r w:rsidRPr="00A33264">
        <w:rPr>
          <w:b/>
          <w:bCs/>
          <w:lang w:val="en-GB"/>
        </w:rPr>
        <w:t>Member:</w:t>
      </w:r>
      <w:r w:rsidRPr="00A33264">
        <w:rPr>
          <w:lang w:val="en-GB"/>
        </w:rPr>
        <w:t xml:space="preserve"> Audit and Risk Committee.</w:t>
      </w:r>
    </w:p>
    <w:p w14:paraId="4A2032D4" w14:textId="77777777" w:rsidR="0047222D" w:rsidRPr="00A33264" w:rsidRDefault="0047222D" w:rsidP="0047222D">
      <w:pPr>
        <w:rPr>
          <w:b/>
          <w:lang w:val="en-GB"/>
        </w:rPr>
      </w:pPr>
      <w:r w:rsidRPr="00A33264">
        <w:rPr>
          <w:noProof/>
          <w:lang w:val="en-GB"/>
          <w14:ligatures w14:val="standardContextual"/>
        </w:rPr>
        <w:lastRenderedPageBreak/>
        <w:drawing>
          <wp:inline distT="0" distB="0" distL="0" distR="0" wp14:anchorId="3BAD741C" wp14:editId="084C20A8">
            <wp:extent cx="1148400" cy="1879200"/>
            <wp:effectExtent l="0" t="0" r="0" b="6985"/>
            <wp:docPr id="750659303" name="Picture 750659303" descr="Photograph of Ms Estelle Pears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59303" name="Picture 750659303" descr="Photograph of Ms Estelle Pearson.">
                      <a:extLst>
                        <a:ext uri="{C183D7F6-B498-43B3-948B-1728B52AA6E4}">
                          <adec:decorative xmlns:adec="http://schemas.microsoft.com/office/drawing/2017/decorative" val="0"/>
                        </a:ext>
                      </a:extLst>
                    </pic:cNvPr>
                    <pic:cNvPicPr/>
                  </pic:nvPicPr>
                  <pic:blipFill>
                    <a:blip r:embed="rId75">
                      <a:extLst>
                        <a:ext uri="{28A0092B-C50C-407E-A947-70E740481C1C}">
                          <a14:useLocalDpi xmlns:a14="http://schemas.microsoft.com/office/drawing/2010/main" val="0"/>
                        </a:ext>
                      </a:extLst>
                    </a:blip>
                    <a:stretch>
                      <a:fillRect/>
                    </a:stretch>
                  </pic:blipFill>
                  <pic:spPr>
                    <a:xfrm>
                      <a:off x="0" y="0"/>
                      <a:ext cx="1148400" cy="1879200"/>
                    </a:xfrm>
                    <a:prstGeom prst="rect">
                      <a:avLst/>
                    </a:prstGeom>
                  </pic:spPr>
                </pic:pic>
              </a:graphicData>
            </a:graphic>
          </wp:inline>
        </w:drawing>
      </w:r>
    </w:p>
    <w:p w14:paraId="504AC2DC" w14:textId="77777777" w:rsidR="0047222D" w:rsidRPr="00A33264" w:rsidRDefault="0047222D" w:rsidP="0047222D">
      <w:pPr>
        <w:rPr>
          <w:lang w:val="en-GB"/>
        </w:rPr>
      </w:pPr>
      <w:r w:rsidRPr="00A33264">
        <w:rPr>
          <w:b/>
          <w:lang w:val="en-GB"/>
        </w:rPr>
        <w:t xml:space="preserve">Ms Estelle Pearson </w:t>
      </w:r>
    </w:p>
    <w:p w14:paraId="5F225593" w14:textId="52D8F56F" w:rsidR="0047222D" w:rsidRPr="00D003CF" w:rsidRDefault="0047222D" w:rsidP="0047222D">
      <w:pPr>
        <w:rPr>
          <w:lang w:val="en-GB"/>
        </w:rPr>
      </w:pPr>
      <w:r w:rsidRPr="00D003CF">
        <w:rPr>
          <w:lang w:val="en-GB"/>
        </w:rPr>
        <w:t xml:space="preserve">Ms Estelle Pearson has extensive experience in the insurance and injury compensation sector, having worked as an actuary and consultant in this sector since 1989. She is currently a </w:t>
      </w:r>
      <w:r w:rsidR="007D04C8">
        <w:rPr>
          <w:lang w:val="en-GB"/>
        </w:rPr>
        <w:t>d</w:t>
      </w:r>
      <w:r w:rsidRPr="00D003CF">
        <w:rPr>
          <w:lang w:val="en-GB"/>
        </w:rPr>
        <w:t xml:space="preserve">irector of Finity Consulting Pty Limited and was previously on the Council of the Actuaries Institute, including a term as </w:t>
      </w:r>
      <w:r w:rsidR="007D04C8">
        <w:rPr>
          <w:lang w:val="en-GB"/>
        </w:rPr>
        <w:t>p</w:t>
      </w:r>
      <w:r w:rsidRPr="00D003CF">
        <w:rPr>
          <w:lang w:val="en-GB"/>
        </w:rPr>
        <w:t>resident in 2015.</w:t>
      </w:r>
    </w:p>
    <w:p w14:paraId="4339D892" w14:textId="6E1D47FF" w:rsidR="0047222D" w:rsidRPr="00D003CF" w:rsidRDefault="0047222D" w:rsidP="0047222D">
      <w:pPr>
        <w:rPr>
          <w:lang w:val="en-GB"/>
        </w:rPr>
      </w:pPr>
      <w:r w:rsidRPr="00D003CF">
        <w:rPr>
          <w:b/>
          <w:bCs/>
          <w:lang w:val="en-GB"/>
        </w:rPr>
        <w:t>Qualifications:</w:t>
      </w:r>
      <w:r w:rsidRPr="00D003CF">
        <w:rPr>
          <w:lang w:val="en-GB"/>
        </w:rPr>
        <w:t xml:space="preserve"> B</w:t>
      </w:r>
      <w:r w:rsidR="007D04C8">
        <w:rPr>
          <w:lang w:val="en-GB"/>
        </w:rPr>
        <w:t xml:space="preserve">achelor of </w:t>
      </w:r>
      <w:r w:rsidRPr="00D003CF">
        <w:rPr>
          <w:lang w:val="en-GB"/>
        </w:rPr>
        <w:t>A</w:t>
      </w:r>
      <w:r w:rsidR="007D04C8">
        <w:rPr>
          <w:lang w:val="en-GB"/>
        </w:rPr>
        <w:t>rts</w:t>
      </w:r>
      <w:r w:rsidRPr="00D003CF">
        <w:rPr>
          <w:lang w:val="en-GB"/>
        </w:rPr>
        <w:t xml:space="preserve"> (Hons) </w:t>
      </w:r>
      <w:r w:rsidR="007D04C8">
        <w:rPr>
          <w:lang w:val="en-GB"/>
        </w:rPr>
        <w:t>(</w:t>
      </w:r>
      <w:r w:rsidRPr="00D003CF">
        <w:rPr>
          <w:lang w:val="en-GB"/>
        </w:rPr>
        <w:t>Mathematics</w:t>
      </w:r>
      <w:r w:rsidR="007D04C8">
        <w:rPr>
          <w:lang w:val="en-GB"/>
        </w:rPr>
        <w:t>)</w:t>
      </w:r>
      <w:r w:rsidRPr="00D003CF">
        <w:rPr>
          <w:lang w:val="en-GB"/>
        </w:rPr>
        <w:t>, University of Oxford; Fellow of the Institutes of Actuaries of Australia.</w:t>
      </w:r>
    </w:p>
    <w:p w14:paraId="1D362FA9" w14:textId="77777777" w:rsidR="0047222D" w:rsidRPr="00A33264" w:rsidRDefault="0047222D" w:rsidP="0047222D">
      <w:pPr>
        <w:rPr>
          <w:lang w:val="en-GB"/>
        </w:rPr>
      </w:pPr>
      <w:r w:rsidRPr="00D003CF">
        <w:rPr>
          <w:b/>
          <w:bCs/>
          <w:lang w:val="en-GB"/>
        </w:rPr>
        <w:t>Chair:</w:t>
      </w:r>
      <w:r w:rsidRPr="00D003CF">
        <w:rPr>
          <w:lang w:val="en-GB"/>
        </w:rPr>
        <w:t xml:space="preserve"> Sustainability Committee.</w:t>
      </w:r>
    </w:p>
    <w:p w14:paraId="42CF18F9" w14:textId="77777777" w:rsidR="0047222D" w:rsidRPr="00A33264" w:rsidRDefault="0047222D" w:rsidP="0047222D">
      <w:pPr>
        <w:rPr>
          <w:b/>
          <w:lang w:val="en-GB"/>
        </w:rPr>
      </w:pPr>
      <w:r w:rsidRPr="00A33264">
        <w:rPr>
          <w:noProof/>
          <w:lang w:val="en-GB"/>
          <w14:ligatures w14:val="standardContextual"/>
        </w:rPr>
        <w:drawing>
          <wp:inline distT="0" distB="0" distL="0" distR="0" wp14:anchorId="6B8D6F45" wp14:editId="2BF2AAA5">
            <wp:extent cx="1245600" cy="1832400"/>
            <wp:effectExtent l="0" t="0" r="0" b="0"/>
            <wp:docPr id="1455829345" name="Picture 1455829345" descr="Photograph of Ms Leah van Po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9345" name="Picture 1455829345" descr="Photograph of Ms Leah van Poppel."/>
                    <pic:cNvPicPr/>
                  </pic:nvPicPr>
                  <pic:blipFill>
                    <a:blip r:embed="rId76"/>
                    <a:stretch>
                      <a:fillRect/>
                    </a:stretch>
                  </pic:blipFill>
                  <pic:spPr>
                    <a:xfrm>
                      <a:off x="0" y="0"/>
                      <a:ext cx="1245600" cy="1832400"/>
                    </a:xfrm>
                    <a:prstGeom prst="rect">
                      <a:avLst/>
                    </a:prstGeom>
                  </pic:spPr>
                </pic:pic>
              </a:graphicData>
            </a:graphic>
          </wp:inline>
        </w:drawing>
      </w:r>
    </w:p>
    <w:p w14:paraId="1DFDD33D" w14:textId="77777777" w:rsidR="0047222D" w:rsidRPr="00A33264" w:rsidRDefault="0047222D" w:rsidP="0047222D">
      <w:pPr>
        <w:rPr>
          <w:b/>
          <w:lang w:val="en-GB"/>
        </w:rPr>
      </w:pPr>
      <w:r w:rsidRPr="00A33264">
        <w:rPr>
          <w:b/>
          <w:lang w:val="en-GB"/>
        </w:rPr>
        <w:t xml:space="preserve">Ms Leah van Poppel </w:t>
      </w:r>
    </w:p>
    <w:p w14:paraId="2D9D8947" w14:textId="745FF7CC" w:rsidR="0047222D" w:rsidRPr="00D003CF" w:rsidRDefault="0047222D" w:rsidP="0047222D">
      <w:pPr>
        <w:rPr>
          <w:lang w:val="en-GB"/>
        </w:rPr>
      </w:pPr>
      <w:r w:rsidRPr="00D003CF">
        <w:rPr>
          <w:lang w:val="en-GB"/>
        </w:rPr>
        <w:t xml:space="preserve">Ms Leah van Poppel is Chair of the Victorian NDIS Community Advisory </w:t>
      </w:r>
      <w:r w:rsidR="007D04C8">
        <w:rPr>
          <w:lang w:val="en-GB"/>
        </w:rPr>
        <w:t xml:space="preserve">Council </w:t>
      </w:r>
      <w:r w:rsidRPr="00D003CF">
        <w:rPr>
          <w:lang w:val="en-GB"/>
        </w:rPr>
        <w:t xml:space="preserve">and a </w:t>
      </w:r>
      <w:r w:rsidR="007D04C8">
        <w:rPr>
          <w:lang w:val="en-GB"/>
        </w:rPr>
        <w:t>Principal M</w:t>
      </w:r>
      <w:r w:rsidRPr="00D003CF">
        <w:rPr>
          <w:lang w:val="en-GB"/>
        </w:rPr>
        <w:t>ember of the NDIS Independent Advisory Council.</w:t>
      </w:r>
    </w:p>
    <w:p w14:paraId="0FA83287" w14:textId="77777777" w:rsidR="0047222D" w:rsidRPr="00D003CF" w:rsidRDefault="0047222D" w:rsidP="0047222D">
      <w:pPr>
        <w:rPr>
          <w:lang w:val="en-GB"/>
        </w:rPr>
      </w:pPr>
      <w:r w:rsidRPr="00D003CF">
        <w:rPr>
          <w:lang w:val="en-GB"/>
        </w:rPr>
        <w:t>A highly respected leader and disability rights advocate, Ms van Poppel was CEO of Women with Disabilities Victoria from 2018 to 2021.</w:t>
      </w:r>
    </w:p>
    <w:p w14:paraId="42A70E54" w14:textId="77777777" w:rsidR="0047222D" w:rsidRPr="00D003CF" w:rsidRDefault="0047222D" w:rsidP="00E970BA">
      <w:pPr>
        <w:spacing w:line="276" w:lineRule="auto"/>
        <w:rPr>
          <w:lang w:val="en-GB"/>
        </w:rPr>
      </w:pPr>
      <w:r w:rsidRPr="00D003CF">
        <w:rPr>
          <w:lang w:val="en-GB"/>
        </w:rPr>
        <w:t>In this position, she worked to empower marginalised women in the community through education and mentoring, as well as research, policy advice and government advocacy.</w:t>
      </w:r>
    </w:p>
    <w:p w14:paraId="1DDD8994" w14:textId="6A098B63" w:rsidR="0047222D" w:rsidRPr="00D003CF" w:rsidRDefault="0047222D" w:rsidP="00E970BA">
      <w:pPr>
        <w:spacing w:line="276" w:lineRule="auto"/>
        <w:rPr>
          <w:lang w:val="en-GB"/>
        </w:rPr>
      </w:pPr>
      <w:r w:rsidRPr="00D003CF">
        <w:rPr>
          <w:lang w:val="en-GB"/>
        </w:rPr>
        <w:lastRenderedPageBreak/>
        <w:t xml:space="preserve">Previously Ms van Poppel was CEO of Blind Citizens Australia, </w:t>
      </w:r>
      <w:r w:rsidR="007D04C8">
        <w:rPr>
          <w:lang w:val="en-GB"/>
        </w:rPr>
        <w:t>m</w:t>
      </w:r>
      <w:r w:rsidRPr="00D003CF">
        <w:rPr>
          <w:lang w:val="en-GB"/>
        </w:rPr>
        <w:t xml:space="preserve">anager at Youth Disability Advocacy Service, and NDIS </w:t>
      </w:r>
      <w:r w:rsidR="007D04C8">
        <w:rPr>
          <w:lang w:val="en-GB"/>
        </w:rPr>
        <w:t>r</w:t>
      </w:r>
      <w:r w:rsidRPr="00D003CF">
        <w:rPr>
          <w:lang w:val="en-GB"/>
        </w:rPr>
        <w:t xml:space="preserve">eadiness </w:t>
      </w:r>
      <w:r w:rsidR="007D04C8">
        <w:rPr>
          <w:lang w:val="en-GB"/>
        </w:rPr>
        <w:t>p</w:t>
      </w:r>
      <w:r w:rsidRPr="00D003CF">
        <w:rPr>
          <w:lang w:val="en-GB"/>
        </w:rPr>
        <w:t xml:space="preserve">roject </w:t>
      </w:r>
      <w:r w:rsidR="007D04C8">
        <w:rPr>
          <w:lang w:val="en-GB"/>
        </w:rPr>
        <w:t>o</w:t>
      </w:r>
      <w:r w:rsidRPr="00D003CF">
        <w:rPr>
          <w:lang w:val="en-GB"/>
        </w:rPr>
        <w:t>fficer at</w:t>
      </w:r>
      <w:r w:rsidR="007D04C8">
        <w:rPr>
          <w:lang w:val="en-GB"/>
        </w:rPr>
        <w:t xml:space="preserve"> the</w:t>
      </w:r>
      <w:r w:rsidRPr="00D003CF">
        <w:rPr>
          <w:lang w:val="en-GB"/>
        </w:rPr>
        <w:t xml:space="preserve"> Australian Federation of Disability Organisations.</w:t>
      </w:r>
    </w:p>
    <w:p w14:paraId="56F3BD2B" w14:textId="77777777" w:rsidR="0047222D" w:rsidRPr="00D003CF" w:rsidRDefault="0047222D" w:rsidP="008361EE">
      <w:pPr>
        <w:spacing w:line="276" w:lineRule="auto"/>
        <w:rPr>
          <w:lang w:val="en-GB"/>
        </w:rPr>
      </w:pPr>
      <w:r w:rsidRPr="00D003CF">
        <w:rPr>
          <w:b/>
          <w:bCs/>
          <w:lang w:val="en-GB"/>
        </w:rPr>
        <w:t>Qualifications:</w:t>
      </w:r>
      <w:r w:rsidRPr="00D003CF">
        <w:rPr>
          <w:lang w:val="en-GB"/>
        </w:rPr>
        <w:t xml:space="preserve"> Bachelor of Arts, Macquarie University.</w:t>
      </w:r>
    </w:p>
    <w:p w14:paraId="5FAD029F" w14:textId="0B354EE0" w:rsidR="0047222D" w:rsidRPr="00A33264" w:rsidRDefault="0047222D" w:rsidP="008361EE">
      <w:pPr>
        <w:spacing w:after="120" w:line="276" w:lineRule="auto"/>
        <w:rPr>
          <w:lang w:val="en-GB"/>
        </w:rPr>
      </w:pPr>
      <w:r w:rsidRPr="00D003CF">
        <w:rPr>
          <w:b/>
          <w:bCs/>
          <w:lang w:val="en-GB"/>
        </w:rPr>
        <w:t>Member:</w:t>
      </w:r>
      <w:r w:rsidRPr="00D003CF">
        <w:rPr>
          <w:lang w:val="en-GB"/>
        </w:rPr>
        <w:t xml:space="preserve"> Sustainability Committee</w:t>
      </w:r>
      <w:r w:rsidR="007D04C8">
        <w:rPr>
          <w:lang w:val="en-GB"/>
        </w:rPr>
        <w:t>;</w:t>
      </w:r>
      <w:r w:rsidRPr="00D003CF">
        <w:rPr>
          <w:lang w:val="en-GB"/>
        </w:rPr>
        <w:t xml:space="preserve"> Strategic Direction and Participant Outcomes Committee.</w:t>
      </w:r>
    </w:p>
    <w:p w14:paraId="0B4A6C1A" w14:textId="77777777" w:rsidR="0047222D" w:rsidRPr="00A33264" w:rsidRDefault="0047222D" w:rsidP="0047222D">
      <w:pPr>
        <w:rPr>
          <w:b/>
          <w:lang w:val="en-GB"/>
        </w:rPr>
      </w:pPr>
      <w:r w:rsidRPr="00A33264">
        <w:rPr>
          <w:b/>
          <w:bCs/>
          <w:noProof/>
          <w:lang w:val="en-GB"/>
          <w14:ligatures w14:val="standardContextual"/>
        </w:rPr>
        <w:drawing>
          <wp:inline distT="0" distB="0" distL="0" distR="0" wp14:anchorId="17894A18" wp14:editId="08EC3F82">
            <wp:extent cx="1270635" cy="1969135"/>
            <wp:effectExtent l="0" t="0" r="5715" b="0"/>
            <wp:docPr id="1393345263" name="Picture 1393345263" descr="Photograph of Dr Peta Seaton 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5263" name="Picture 1393345263" descr="Photograph of Dr Peta Seaton AM.">
                      <a:extLst>
                        <a:ext uri="{C183D7F6-B498-43B3-948B-1728B52AA6E4}">
                          <adec:decorative xmlns:adec="http://schemas.microsoft.com/office/drawing/2017/decorative" val="0"/>
                        </a:ext>
                      </a:extLst>
                    </pic:cNvPr>
                    <pic:cNvPicPr/>
                  </pic:nvPicPr>
                  <pic:blipFill>
                    <a:blip r:embed="rId77">
                      <a:extLst>
                        <a:ext uri="{28A0092B-C50C-407E-A947-70E740481C1C}">
                          <a14:useLocalDpi xmlns:a14="http://schemas.microsoft.com/office/drawing/2010/main" val="0"/>
                        </a:ext>
                      </a:extLst>
                    </a:blip>
                    <a:stretch>
                      <a:fillRect/>
                    </a:stretch>
                  </pic:blipFill>
                  <pic:spPr>
                    <a:xfrm>
                      <a:off x="0" y="0"/>
                      <a:ext cx="1270635" cy="1969135"/>
                    </a:xfrm>
                    <a:prstGeom prst="rect">
                      <a:avLst/>
                    </a:prstGeom>
                  </pic:spPr>
                </pic:pic>
              </a:graphicData>
            </a:graphic>
          </wp:inline>
        </w:drawing>
      </w:r>
    </w:p>
    <w:p w14:paraId="4121C8DC" w14:textId="77777777" w:rsidR="0047222D" w:rsidRPr="00A33264" w:rsidRDefault="0047222D" w:rsidP="0047222D">
      <w:pPr>
        <w:rPr>
          <w:lang w:val="en-GB"/>
        </w:rPr>
      </w:pPr>
      <w:r w:rsidRPr="00A33264">
        <w:rPr>
          <w:b/>
          <w:lang w:val="en-GB"/>
        </w:rPr>
        <w:t xml:space="preserve">Dr Peta Seaton AM </w:t>
      </w:r>
    </w:p>
    <w:p w14:paraId="4823683A" w14:textId="74470E65" w:rsidR="0047222D" w:rsidRPr="00A33264" w:rsidRDefault="0047222D" w:rsidP="00E970BA">
      <w:pPr>
        <w:spacing w:line="276" w:lineRule="auto"/>
        <w:rPr>
          <w:lang w:val="en-GB"/>
        </w:rPr>
      </w:pPr>
      <w:r w:rsidRPr="00A33264">
        <w:rPr>
          <w:lang w:val="en-GB"/>
        </w:rPr>
        <w:t xml:space="preserve">Dr Peta Seaton </w:t>
      </w:r>
      <w:r w:rsidR="00723B6B">
        <w:rPr>
          <w:lang w:val="en-GB"/>
        </w:rPr>
        <w:t xml:space="preserve">AM </w:t>
      </w:r>
      <w:r w:rsidRPr="00A33264">
        <w:rPr>
          <w:lang w:val="en-GB"/>
        </w:rPr>
        <w:t xml:space="preserve">is an experienced non-executive </w:t>
      </w:r>
      <w:r w:rsidR="00BF7483">
        <w:rPr>
          <w:lang w:val="en-GB"/>
        </w:rPr>
        <w:t>d</w:t>
      </w:r>
      <w:r w:rsidRPr="00A33264">
        <w:rPr>
          <w:lang w:val="en-GB"/>
        </w:rPr>
        <w:t>irector</w:t>
      </w:r>
      <w:r w:rsidR="00C97790">
        <w:rPr>
          <w:lang w:val="en-GB"/>
        </w:rPr>
        <w:t>,</w:t>
      </w:r>
      <w:r w:rsidRPr="00A33264">
        <w:rPr>
          <w:lang w:val="en-GB"/>
        </w:rPr>
        <w:t xml:space="preserve"> including </w:t>
      </w:r>
      <w:r w:rsidR="00C97790">
        <w:rPr>
          <w:lang w:val="en-GB"/>
        </w:rPr>
        <w:t xml:space="preserve">in </w:t>
      </w:r>
      <w:r w:rsidRPr="00A33264">
        <w:rPr>
          <w:lang w:val="en-GB"/>
        </w:rPr>
        <w:t xml:space="preserve">former board roles as </w:t>
      </w:r>
      <w:r w:rsidR="00BF7483">
        <w:rPr>
          <w:lang w:val="en-GB"/>
        </w:rPr>
        <w:t>c</w:t>
      </w:r>
      <w:r w:rsidRPr="00A33264">
        <w:rPr>
          <w:lang w:val="en-GB"/>
        </w:rPr>
        <w:t xml:space="preserve">hair of Hearing Australia, </w:t>
      </w:r>
      <w:r w:rsidR="00BF7483">
        <w:rPr>
          <w:lang w:val="en-GB"/>
        </w:rPr>
        <w:t>c</w:t>
      </w:r>
      <w:r w:rsidRPr="00A33264">
        <w:rPr>
          <w:lang w:val="en-GB"/>
        </w:rPr>
        <w:t xml:space="preserve">hair of Near Eastern Archaeology Foundation (University of Sydney), </w:t>
      </w:r>
      <w:r w:rsidR="00BF7483">
        <w:rPr>
          <w:lang w:val="en-GB"/>
        </w:rPr>
        <w:t>and d</w:t>
      </w:r>
      <w:r w:rsidRPr="00A33264">
        <w:rPr>
          <w:lang w:val="en-GB"/>
        </w:rPr>
        <w:t xml:space="preserve">eputy </w:t>
      </w:r>
      <w:r w:rsidR="00BF7483">
        <w:rPr>
          <w:lang w:val="en-GB"/>
        </w:rPr>
        <w:t>c</w:t>
      </w:r>
      <w:r w:rsidRPr="00A33264">
        <w:rPr>
          <w:lang w:val="en-GB"/>
        </w:rPr>
        <w:t xml:space="preserve">hair of the Bradman Foundation, Nepean Blue Mountains Local Health District, Menzies Research Centre, BDCU Alliance Bank, and CARE Australia. </w:t>
      </w:r>
    </w:p>
    <w:p w14:paraId="11625DC7" w14:textId="62B405F4" w:rsidR="0047222D" w:rsidRPr="00A33264" w:rsidRDefault="0047222D" w:rsidP="00E970BA">
      <w:pPr>
        <w:spacing w:line="276" w:lineRule="auto"/>
        <w:rPr>
          <w:lang w:val="en-GB"/>
        </w:rPr>
      </w:pPr>
      <w:r w:rsidRPr="00A33264">
        <w:rPr>
          <w:lang w:val="en-GB"/>
        </w:rPr>
        <w:t>A former N</w:t>
      </w:r>
      <w:r w:rsidR="004E5432">
        <w:rPr>
          <w:lang w:val="en-GB"/>
        </w:rPr>
        <w:t xml:space="preserve">ew </w:t>
      </w:r>
      <w:r w:rsidRPr="00A33264">
        <w:rPr>
          <w:lang w:val="en-GB"/>
        </w:rPr>
        <w:t>S</w:t>
      </w:r>
      <w:r w:rsidR="004E5432">
        <w:rPr>
          <w:lang w:val="en-GB"/>
        </w:rPr>
        <w:t xml:space="preserve">outh </w:t>
      </w:r>
      <w:r w:rsidRPr="00A33264">
        <w:rPr>
          <w:lang w:val="en-GB"/>
        </w:rPr>
        <w:t>W</w:t>
      </w:r>
      <w:r w:rsidR="004E5432">
        <w:rPr>
          <w:lang w:val="en-GB"/>
        </w:rPr>
        <w:t>ales</w:t>
      </w:r>
      <w:r w:rsidRPr="00A33264">
        <w:rPr>
          <w:lang w:val="en-GB"/>
        </w:rPr>
        <w:t xml:space="preserve"> parliamentarian and frontbencher, Dr Seaton served as </w:t>
      </w:r>
      <w:r w:rsidR="00BF7483">
        <w:rPr>
          <w:lang w:val="en-GB"/>
        </w:rPr>
        <w:t>d</w:t>
      </w:r>
      <w:r w:rsidRPr="00A33264">
        <w:rPr>
          <w:lang w:val="en-GB"/>
        </w:rPr>
        <w:t xml:space="preserve">irector of </w:t>
      </w:r>
      <w:r w:rsidR="00BF7483">
        <w:rPr>
          <w:lang w:val="en-GB"/>
        </w:rPr>
        <w:t>t</w:t>
      </w:r>
      <w:r w:rsidRPr="00A33264">
        <w:rPr>
          <w:lang w:val="en-GB"/>
        </w:rPr>
        <w:t xml:space="preserve">ransition and </w:t>
      </w:r>
      <w:r w:rsidR="00BF7483">
        <w:rPr>
          <w:lang w:val="en-GB"/>
        </w:rPr>
        <w:t>d</w:t>
      </w:r>
      <w:r w:rsidRPr="00A33264">
        <w:rPr>
          <w:lang w:val="en-GB"/>
        </w:rPr>
        <w:t xml:space="preserve">irector of </w:t>
      </w:r>
      <w:r w:rsidR="00BF7483">
        <w:rPr>
          <w:lang w:val="en-GB"/>
        </w:rPr>
        <w:t>s</w:t>
      </w:r>
      <w:r w:rsidRPr="00A33264">
        <w:rPr>
          <w:lang w:val="en-GB"/>
        </w:rPr>
        <w:t xml:space="preserve">trategic </w:t>
      </w:r>
      <w:r w:rsidR="00BF7483">
        <w:rPr>
          <w:lang w:val="en-GB"/>
        </w:rPr>
        <w:t>p</w:t>
      </w:r>
      <w:r w:rsidRPr="00A33264">
        <w:rPr>
          <w:lang w:val="en-GB"/>
        </w:rPr>
        <w:t>riorities in the N</w:t>
      </w:r>
      <w:r w:rsidR="004E5432">
        <w:rPr>
          <w:lang w:val="en-GB"/>
        </w:rPr>
        <w:t xml:space="preserve">ew </w:t>
      </w:r>
      <w:r w:rsidRPr="00A33264">
        <w:rPr>
          <w:lang w:val="en-GB"/>
        </w:rPr>
        <w:t>S</w:t>
      </w:r>
      <w:r w:rsidR="004E5432">
        <w:rPr>
          <w:lang w:val="en-GB"/>
        </w:rPr>
        <w:t xml:space="preserve">outh </w:t>
      </w:r>
      <w:r w:rsidRPr="00A33264">
        <w:rPr>
          <w:lang w:val="en-GB"/>
        </w:rPr>
        <w:t>W</w:t>
      </w:r>
      <w:r w:rsidR="004E5432">
        <w:rPr>
          <w:lang w:val="en-GB"/>
        </w:rPr>
        <w:t>ales</w:t>
      </w:r>
      <w:r w:rsidRPr="00A33264">
        <w:rPr>
          <w:lang w:val="en-GB"/>
        </w:rPr>
        <w:t xml:space="preserve"> Premier’s Office from 2011 to 2014.</w:t>
      </w:r>
    </w:p>
    <w:p w14:paraId="05B45391" w14:textId="30A6541F" w:rsidR="0047222D" w:rsidRPr="00A33264" w:rsidRDefault="0047222D" w:rsidP="00E970BA">
      <w:pPr>
        <w:spacing w:line="276" w:lineRule="auto"/>
        <w:rPr>
          <w:lang w:val="en-GB"/>
        </w:rPr>
      </w:pPr>
      <w:r w:rsidRPr="00A33264">
        <w:rPr>
          <w:lang w:val="en-GB"/>
        </w:rPr>
        <w:t xml:space="preserve">In 2017 Dr Seaton </w:t>
      </w:r>
      <w:r w:rsidR="003053C7" w:rsidRPr="00A33264">
        <w:rPr>
          <w:lang w:val="en-GB"/>
        </w:rPr>
        <w:t xml:space="preserve">was appointed </w:t>
      </w:r>
      <w:r w:rsidRPr="00A33264">
        <w:rPr>
          <w:lang w:val="en-GB"/>
        </w:rPr>
        <w:t xml:space="preserve">a Member of the Order of Australia (AM) and an </w:t>
      </w:r>
      <w:r w:rsidR="00C97790">
        <w:rPr>
          <w:lang w:val="en-GB"/>
        </w:rPr>
        <w:t>h</w:t>
      </w:r>
      <w:r w:rsidRPr="00A33264">
        <w:rPr>
          <w:lang w:val="en-GB"/>
        </w:rPr>
        <w:t xml:space="preserve">onorary </w:t>
      </w:r>
      <w:r w:rsidR="00C97790">
        <w:rPr>
          <w:lang w:val="en-GB"/>
        </w:rPr>
        <w:t>a</w:t>
      </w:r>
      <w:r w:rsidRPr="00A33264">
        <w:rPr>
          <w:lang w:val="en-GB"/>
        </w:rPr>
        <w:t xml:space="preserve">ssociate at </w:t>
      </w:r>
      <w:r w:rsidR="003053C7" w:rsidRPr="00A33264">
        <w:rPr>
          <w:lang w:val="en-GB"/>
        </w:rPr>
        <w:t xml:space="preserve">the </w:t>
      </w:r>
      <w:r w:rsidRPr="00A33264">
        <w:rPr>
          <w:lang w:val="en-GB"/>
        </w:rPr>
        <w:t>University of Sydney (Archaeology). She lives in regional New South Wales</w:t>
      </w:r>
      <w:r w:rsidR="00BF7483">
        <w:rPr>
          <w:lang w:val="en-GB"/>
        </w:rPr>
        <w:t xml:space="preserve"> and</w:t>
      </w:r>
      <w:r w:rsidRPr="00A33264">
        <w:rPr>
          <w:lang w:val="en-GB"/>
        </w:rPr>
        <w:t xml:space="preserve"> runs a small farm enterprise and a public policy consultancy.</w:t>
      </w:r>
    </w:p>
    <w:p w14:paraId="71F6A4F5" w14:textId="2602CC49" w:rsidR="0047222D" w:rsidRPr="00A33264" w:rsidRDefault="0047222D" w:rsidP="0047222D">
      <w:pPr>
        <w:rPr>
          <w:lang w:val="en-GB"/>
        </w:rPr>
      </w:pPr>
      <w:r w:rsidRPr="00A33264">
        <w:rPr>
          <w:b/>
          <w:bCs/>
          <w:lang w:val="en-GB"/>
        </w:rPr>
        <w:t>Qualifications:</w:t>
      </w:r>
      <w:r w:rsidRPr="00A33264">
        <w:rPr>
          <w:lang w:val="en-GB"/>
        </w:rPr>
        <w:t xml:space="preserve"> B</w:t>
      </w:r>
      <w:r w:rsidR="00BF7483">
        <w:rPr>
          <w:lang w:val="en-GB"/>
        </w:rPr>
        <w:t xml:space="preserve">achelor of </w:t>
      </w:r>
      <w:r w:rsidRPr="00A33264">
        <w:rPr>
          <w:lang w:val="en-GB"/>
        </w:rPr>
        <w:t>A</w:t>
      </w:r>
      <w:r w:rsidR="00BF7483">
        <w:rPr>
          <w:lang w:val="en-GB"/>
        </w:rPr>
        <w:t>rts</w:t>
      </w:r>
      <w:r w:rsidRPr="00A33264">
        <w:rPr>
          <w:lang w:val="en-GB"/>
        </w:rPr>
        <w:t xml:space="preserve"> (Hons), </w:t>
      </w:r>
      <w:r w:rsidR="00BF7483">
        <w:rPr>
          <w:lang w:val="en-GB"/>
        </w:rPr>
        <w:t xml:space="preserve">Doctor of Philosophy, </w:t>
      </w:r>
      <w:r w:rsidRPr="00A33264">
        <w:rPr>
          <w:lang w:val="en-GB"/>
        </w:rPr>
        <w:t>University of Sydney; Graduate of the Australian Institute of Company Directors.</w:t>
      </w:r>
    </w:p>
    <w:p w14:paraId="1E234F8E" w14:textId="77777777" w:rsidR="0047222D" w:rsidRPr="00A33264" w:rsidRDefault="0047222D" w:rsidP="0047222D">
      <w:pPr>
        <w:rPr>
          <w:lang w:val="en-GB"/>
        </w:rPr>
      </w:pPr>
      <w:r w:rsidRPr="00A33264">
        <w:rPr>
          <w:b/>
          <w:bCs/>
          <w:lang w:val="en-GB"/>
        </w:rPr>
        <w:t>Chair:</w:t>
      </w:r>
      <w:r w:rsidRPr="00A33264">
        <w:rPr>
          <w:lang w:val="en-GB"/>
        </w:rPr>
        <w:t xml:space="preserve"> Strategic Direction and Participant Outcomes Committee.</w:t>
      </w:r>
    </w:p>
    <w:p w14:paraId="4BAFBA80" w14:textId="77777777" w:rsidR="0047222D" w:rsidRPr="00A33264" w:rsidRDefault="0047222D" w:rsidP="0047222D">
      <w:pPr>
        <w:rPr>
          <w:lang w:val="en-GB"/>
        </w:rPr>
      </w:pPr>
      <w:r w:rsidRPr="00A33264">
        <w:rPr>
          <w:b/>
          <w:bCs/>
          <w:lang w:val="en-GB"/>
        </w:rPr>
        <w:t>Member:</w:t>
      </w:r>
      <w:r w:rsidRPr="00A33264">
        <w:rPr>
          <w:lang w:val="en-GB"/>
        </w:rPr>
        <w:t xml:space="preserve"> Sustainability Committee.</w:t>
      </w:r>
    </w:p>
    <w:p w14:paraId="619C8282" w14:textId="77777777" w:rsidR="00392276" w:rsidRPr="00A33264" w:rsidRDefault="00392276" w:rsidP="0047222D">
      <w:pPr>
        <w:rPr>
          <w:u w:val="single"/>
          <w:lang w:val="en-GB"/>
        </w:rPr>
        <w:sectPr w:rsidR="00392276" w:rsidRPr="00A33264" w:rsidSect="00482705">
          <w:headerReference w:type="first" r:id="rId78"/>
          <w:pgSz w:w="11906" w:h="16838" w:code="9"/>
          <w:pgMar w:top="1361" w:right="1361" w:bottom="1361" w:left="1361" w:header="561" w:footer="374" w:gutter="0"/>
          <w:cols w:space="708"/>
          <w:titlePg/>
          <w:docGrid w:linePitch="360"/>
        </w:sectPr>
      </w:pPr>
    </w:p>
    <w:p w14:paraId="62D39D3D" w14:textId="5AC84D72" w:rsidR="00392276" w:rsidRPr="00E31597" w:rsidRDefault="00392276" w:rsidP="0047222D">
      <w:pPr>
        <w:rPr>
          <w:u w:val="single"/>
          <w:lang w:val="en-GB"/>
        </w:rPr>
      </w:pPr>
      <w:r w:rsidRPr="00A33264">
        <w:rPr>
          <w:u w:val="single"/>
          <w:lang w:val="en-GB"/>
        </w:rPr>
        <w:lastRenderedPageBreak/>
        <w:t xml:space="preserve">Table </w:t>
      </w:r>
      <w:r w:rsidR="00A27A9C">
        <w:rPr>
          <w:u w:val="single"/>
          <w:lang w:val="en-GB"/>
        </w:rPr>
        <w:t>3</w:t>
      </w:r>
      <w:r w:rsidR="00C25B9C">
        <w:rPr>
          <w:u w:val="single"/>
          <w:lang w:val="en-GB"/>
        </w:rPr>
        <w:t>:</w:t>
      </w:r>
      <w:r w:rsidRPr="00A33264">
        <w:rPr>
          <w:u w:val="single"/>
          <w:lang w:val="en-GB"/>
        </w:rPr>
        <w:t xml:space="preserve"> Details of </w:t>
      </w:r>
      <w:r w:rsidR="00BF7483">
        <w:rPr>
          <w:u w:val="single"/>
          <w:lang w:val="en-GB"/>
        </w:rPr>
        <w:t>a</w:t>
      </w:r>
      <w:r w:rsidRPr="00A33264">
        <w:rPr>
          <w:u w:val="single"/>
          <w:lang w:val="en-GB"/>
        </w:rPr>
        <w:t xml:space="preserve">ccountable </w:t>
      </w:r>
      <w:r w:rsidR="00BF7483">
        <w:rPr>
          <w:u w:val="single"/>
          <w:lang w:val="en-GB"/>
        </w:rPr>
        <w:t>a</w:t>
      </w:r>
      <w:r w:rsidRPr="00A33264">
        <w:rPr>
          <w:u w:val="single"/>
          <w:lang w:val="en-GB"/>
        </w:rPr>
        <w:t>uthority</w:t>
      </w:r>
      <w:r w:rsidR="00BF7483">
        <w:rPr>
          <w:u w:val="single"/>
          <w:lang w:val="en-GB"/>
        </w:rPr>
        <w:t xml:space="preserve"> (the Board)</w:t>
      </w:r>
      <w:r w:rsidRPr="00A33264">
        <w:rPr>
          <w:u w:val="single"/>
          <w:lang w:val="en-GB"/>
        </w:rPr>
        <w:t xml:space="preserve"> during the reporting period (2023</w:t>
      </w:r>
      <w:r w:rsidR="00BF7483">
        <w:rPr>
          <w:u w:val="single"/>
          <w:lang w:val="en-GB"/>
        </w:rPr>
        <w:t>–</w:t>
      </w:r>
      <w:r w:rsidRPr="00A33264">
        <w:rPr>
          <w:u w:val="single"/>
          <w:lang w:val="en-GB"/>
        </w:rPr>
        <w:t>24)</w:t>
      </w:r>
    </w:p>
    <w:tbl>
      <w:tblPr>
        <w:tblW w:w="143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984"/>
        <w:gridCol w:w="1976"/>
        <w:gridCol w:w="4110"/>
        <w:gridCol w:w="1418"/>
        <w:gridCol w:w="1559"/>
        <w:gridCol w:w="1559"/>
        <w:gridCol w:w="1701"/>
      </w:tblGrid>
      <w:tr w:rsidR="00E01837" w:rsidRPr="00A33264" w14:paraId="7598324B" w14:textId="77777777" w:rsidTr="00BC1253">
        <w:trPr>
          <w:cantSplit/>
          <w:trHeight w:val="3345"/>
          <w:tblHeader/>
        </w:trPr>
        <w:tc>
          <w:tcPr>
            <w:tcW w:w="1984" w:type="dxa"/>
            <w:tcBorders>
              <w:top w:val="single" w:sz="4" w:space="0" w:color="656565"/>
              <w:left w:val="single" w:sz="4" w:space="0" w:color="000000"/>
              <w:bottom w:val="single" w:sz="4" w:space="0" w:color="656565"/>
              <w:right w:val="single" w:sz="4" w:space="0" w:color="F9F9F9" w:themeColor="background1"/>
            </w:tcBorders>
            <w:shd w:val="clear" w:color="auto" w:fill="6B2876" w:themeFill="text1"/>
            <w:hideMark/>
          </w:tcPr>
          <w:p w14:paraId="0CB95833" w14:textId="740FA177" w:rsidR="00E01837" w:rsidRPr="00A33264" w:rsidRDefault="002C4D52" w:rsidP="00385962">
            <w:pPr>
              <w:spacing w:after="0" w:line="240" w:lineRule="auto"/>
              <w:rPr>
                <w:b/>
                <w:color w:val="F9F9F9" w:themeColor="background1"/>
                <w:lang w:val="en-GB"/>
              </w:rPr>
            </w:pPr>
            <w:bookmarkStart w:id="292" w:name="_Toc169592977"/>
            <w:r>
              <w:rPr>
                <w:b/>
                <w:color w:val="F9F9F9" w:themeColor="background1"/>
                <w:lang w:val="en-GB"/>
              </w:rPr>
              <w:t>Member</w:t>
            </w:r>
          </w:p>
        </w:tc>
        <w:tc>
          <w:tcPr>
            <w:tcW w:w="1976" w:type="dxa"/>
            <w:tcBorders>
              <w:top w:val="single" w:sz="4" w:space="0" w:color="656565"/>
              <w:left w:val="single" w:sz="4" w:space="0" w:color="F9F9F9" w:themeColor="background1"/>
              <w:bottom w:val="single" w:sz="4" w:space="0" w:color="656565"/>
              <w:right w:val="single" w:sz="4" w:space="0" w:color="F9F9F9" w:themeColor="background1"/>
            </w:tcBorders>
            <w:shd w:val="clear" w:color="auto" w:fill="6B2876" w:themeFill="text1"/>
            <w:hideMark/>
          </w:tcPr>
          <w:p w14:paraId="3D796429" w14:textId="77777777" w:rsidR="00E01837" w:rsidRPr="00A33264" w:rsidRDefault="00E01837" w:rsidP="00385962">
            <w:pPr>
              <w:spacing w:after="0" w:line="240" w:lineRule="auto"/>
              <w:rPr>
                <w:b/>
                <w:color w:val="F9F9F9" w:themeColor="background1"/>
                <w:lang w:val="en-GB"/>
              </w:rPr>
            </w:pPr>
            <w:r w:rsidRPr="00A33264">
              <w:rPr>
                <w:b/>
                <w:color w:val="F9F9F9" w:themeColor="background1"/>
                <w:lang w:val="en-GB"/>
              </w:rPr>
              <w:t>Qualifications of the accountable authority</w:t>
            </w:r>
          </w:p>
        </w:tc>
        <w:tc>
          <w:tcPr>
            <w:tcW w:w="4110" w:type="dxa"/>
            <w:tcBorders>
              <w:top w:val="single" w:sz="4" w:space="0" w:color="656565"/>
              <w:left w:val="single" w:sz="4" w:space="0" w:color="F9F9F9" w:themeColor="background1"/>
              <w:bottom w:val="single" w:sz="4" w:space="0" w:color="656565"/>
              <w:right w:val="single" w:sz="4" w:space="0" w:color="F9F9F9" w:themeColor="background1"/>
            </w:tcBorders>
            <w:shd w:val="clear" w:color="auto" w:fill="6B2876" w:themeFill="text1"/>
            <w:hideMark/>
          </w:tcPr>
          <w:p w14:paraId="7504453E" w14:textId="77777777" w:rsidR="00E01837" w:rsidRPr="00A33264" w:rsidRDefault="00E01837" w:rsidP="00385962">
            <w:pPr>
              <w:spacing w:after="0" w:line="240" w:lineRule="auto"/>
              <w:rPr>
                <w:b/>
                <w:color w:val="F9F9F9" w:themeColor="background1"/>
                <w:lang w:val="en-GB"/>
              </w:rPr>
            </w:pPr>
            <w:r w:rsidRPr="00A33264">
              <w:rPr>
                <w:b/>
                <w:color w:val="F9F9F9" w:themeColor="background1"/>
                <w:lang w:val="en-GB"/>
              </w:rPr>
              <w:t xml:space="preserve">Experience of the </w:t>
            </w:r>
            <w:r>
              <w:rPr>
                <w:b/>
                <w:color w:val="F9F9F9" w:themeColor="background1"/>
                <w:lang w:val="en-GB"/>
              </w:rPr>
              <w:t>a</w:t>
            </w:r>
            <w:r w:rsidRPr="00A33264">
              <w:rPr>
                <w:b/>
                <w:color w:val="F9F9F9" w:themeColor="background1"/>
                <w:lang w:val="en-GB"/>
              </w:rPr>
              <w:t xml:space="preserve">ccountable </w:t>
            </w:r>
            <w:r>
              <w:rPr>
                <w:b/>
                <w:color w:val="F9F9F9" w:themeColor="background1"/>
                <w:lang w:val="en-GB"/>
              </w:rPr>
              <w:t>a</w:t>
            </w:r>
            <w:r w:rsidRPr="00A33264">
              <w:rPr>
                <w:b/>
                <w:color w:val="F9F9F9" w:themeColor="background1"/>
                <w:lang w:val="en-GB"/>
              </w:rPr>
              <w:t>uthority</w:t>
            </w:r>
          </w:p>
        </w:tc>
        <w:tc>
          <w:tcPr>
            <w:tcW w:w="1418" w:type="dxa"/>
            <w:tcBorders>
              <w:top w:val="single" w:sz="4" w:space="0" w:color="656565"/>
              <w:left w:val="single" w:sz="4" w:space="0" w:color="F9F9F9" w:themeColor="background1"/>
              <w:bottom w:val="single" w:sz="4" w:space="0" w:color="656565"/>
              <w:right w:val="single" w:sz="4" w:space="0" w:color="F9F9F9" w:themeColor="background1"/>
            </w:tcBorders>
            <w:shd w:val="clear" w:color="auto" w:fill="6B2876" w:themeFill="text1"/>
            <w:hideMark/>
          </w:tcPr>
          <w:p w14:paraId="3FE15F3F" w14:textId="77777777" w:rsidR="00E01837" w:rsidRPr="00A33264" w:rsidRDefault="00E01837" w:rsidP="00385962">
            <w:pPr>
              <w:spacing w:after="0" w:line="240" w:lineRule="auto"/>
              <w:rPr>
                <w:b/>
                <w:color w:val="F9F9F9" w:themeColor="background1"/>
                <w:lang w:val="en-GB"/>
              </w:rPr>
            </w:pPr>
            <w:r w:rsidRPr="00A33264">
              <w:rPr>
                <w:b/>
                <w:color w:val="F9F9F9" w:themeColor="background1"/>
                <w:lang w:val="en-GB"/>
              </w:rPr>
              <w:t xml:space="preserve">Position </w:t>
            </w:r>
            <w:r>
              <w:rPr>
                <w:b/>
                <w:color w:val="F9F9F9" w:themeColor="background1"/>
                <w:lang w:val="en-GB"/>
              </w:rPr>
              <w:t>t</w:t>
            </w:r>
            <w:r w:rsidRPr="00A33264">
              <w:rPr>
                <w:b/>
                <w:color w:val="F9F9F9" w:themeColor="background1"/>
                <w:lang w:val="en-GB"/>
              </w:rPr>
              <w:t>itle / Position held Executive / Non</w:t>
            </w:r>
            <w:r w:rsidRPr="00A33264">
              <w:rPr>
                <w:rFonts w:ascii="Cambria Math" w:hAnsi="Cambria Math" w:cs="Cambria Math"/>
                <w:b/>
                <w:color w:val="F9F9F9" w:themeColor="background1"/>
                <w:lang w:val="en-GB"/>
              </w:rPr>
              <w:t>‐</w:t>
            </w:r>
            <w:r>
              <w:rPr>
                <w:rFonts w:ascii="Cambria Math" w:hAnsi="Cambria Math" w:cs="Cambria Math"/>
                <w:b/>
                <w:color w:val="F9F9F9" w:themeColor="background1"/>
                <w:lang w:val="en-GB"/>
              </w:rPr>
              <w:t>e</w:t>
            </w:r>
            <w:r w:rsidRPr="00A33264">
              <w:rPr>
                <w:b/>
                <w:color w:val="F9F9F9" w:themeColor="background1"/>
                <w:lang w:val="en-GB"/>
              </w:rPr>
              <w:t>xecutive</w:t>
            </w:r>
          </w:p>
        </w:tc>
        <w:tc>
          <w:tcPr>
            <w:tcW w:w="1559" w:type="dxa"/>
            <w:tcBorders>
              <w:top w:val="single" w:sz="4" w:space="0" w:color="656565"/>
              <w:left w:val="single" w:sz="4" w:space="0" w:color="F9F9F9" w:themeColor="background1"/>
              <w:bottom w:val="single" w:sz="4" w:space="0" w:color="656565"/>
              <w:right w:val="single" w:sz="4" w:space="0" w:color="F9F9F9" w:themeColor="background1"/>
            </w:tcBorders>
            <w:shd w:val="clear" w:color="auto" w:fill="6B2876" w:themeFill="text1"/>
            <w:hideMark/>
          </w:tcPr>
          <w:p w14:paraId="638E142D" w14:textId="77777777" w:rsidR="00306DBB" w:rsidRDefault="00306DBB" w:rsidP="00385962">
            <w:pPr>
              <w:spacing w:after="0" w:line="240" w:lineRule="auto"/>
              <w:rPr>
                <w:b/>
                <w:bCs/>
                <w:color w:val="F9F9F9" w:themeColor="background1"/>
                <w:lang w:val="en-GB"/>
              </w:rPr>
            </w:pPr>
            <w:r>
              <w:rPr>
                <w:b/>
                <w:bCs/>
                <w:color w:val="F9F9F9" w:themeColor="background1"/>
              </w:rPr>
              <w:t>P</w:t>
            </w:r>
            <w:r w:rsidRPr="001607D3">
              <w:rPr>
                <w:b/>
                <w:bCs/>
                <w:color w:val="F9F9F9" w:themeColor="background1"/>
              </w:rPr>
              <w:t>eriod as the accountable authority or member within the reporting period</w:t>
            </w:r>
            <w:r>
              <w:rPr>
                <w:b/>
                <w:bCs/>
                <w:color w:val="F9F9F9" w:themeColor="background1"/>
                <w:lang w:val="en-GB"/>
              </w:rPr>
              <w:t xml:space="preserve"> </w:t>
            </w:r>
          </w:p>
          <w:p w14:paraId="440FDA50" w14:textId="4A135AC5" w:rsidR="00E01837" w:rsidRPr="00A33264" w:rsidRDefault="00E01837" w:rsidP="00385962">
            <w:pPr>
              <w:spacing w:after="0" w:line="240" w:lineRule="auto"/>
              <w:rPr>
                <w:b/>
                <w:bCs/>
                <w:color w:val="F9F9F9" w:themeColor="background1"/>
                <w:lang w:val="en-GB"/>
              </w:rPr>
            </w:pPr>
            <w:r>
              <w:rPr>
                <w:b/>
                <w:bCs/>
                <w:color w:val="F9F9F9" w:themeColor="background1"/>
                <w:lang w:val="en-GB"/>
              </w:rPr>
              <w:t>S</w:t>
            </w:r>
            <w:r w:rsidRPr="00A33264">
              <w:rPr>
                <w:b/>
                <w:bCs/>
                <w:color w:val="F9F9F9" w:themeColor="background1"/>
                <w:lang w:val="en-GB"/>
              </w:rPr>
              <w:t xml:space="preserve">tart date </w:t>
            </w:r>
            <w:r w:rsidRPr="00A33264">
              <w:rPr>
                <w:color w:val="F9F9F9" w:themeColor="background1"/>
                <w:lang w:val="en-GB"/>
              </w:rPr>
              <w:t>(1 July 2023 or after)</w:t>
            </w:r>
          </w:p>
        </w:tc>
        <w:tc>
          <w:tcPr>
            <w:tcW w:w="1559" w:type="dxa"/>
            <w:tcBorders>
              <w:top w:val="single" w:sz="4" w:space="0" w:color="656565"/>
              <w:left w:val="single" w:sz="4" w:space="0" w:color="F9F9F9" w:themeColor="background1"/>
              <w:bottom w:val="single" w:sz="4" w:space="0" w:color="656565"/>
              <w:right w:val="single" w:sz="4" w:space="0" w:color="F9F9F9" w:themeColor="background1"/>
            </w:tcBorders>
            <w:shd w:val="clear" w:color="auto" w:fill="6B2876" w:themeFill="text1"/>
            <w:hideMark/>
          </w:tcPr>
          <w:p w14:paraId="57FF4D7C" w14:textId="77777777" w:rsidR="00306DBB" w:rsidRDefault="00306DBB" w:rsidP="00385962">
            <w:pPr>
              <w:spacing w:after="0" w:line="240" w:lineRule="auto"/>
              <w:rPr>
                <w:b/>
                <w:bCs/>
                <w:color w:val="F9F9F9" w:themeColor="background1"/>
                <w:lang w:val="en-GB"/>
              </w:rPr>
            </w:pPr>
            <w:r>
              <w:rPr>
                <w:b/>
                <w:bCs/>
                <w:color w:val="F9F9F9" w:themeColor="background1"/>
              </w:rPr>
              <w:t>P</w:t>
            </w:r>
            <w:r w:rsidRPr="001607D3">
              <w:rPr>
                <w:b/>
                <w:bCs/>
                <w:color w:val="F9F9F9" w:themeColor="background1"/>
              </w:rPr>
              <w:t>eriod as the accountable authority or member within the reporting period</w:t>
            </w:r>
            <w:r>
              <w:rPr>
                <w:b/>
                <w:bCs/>
                <w:color w:val="F9F9F9" w:themeColor="background1"/>
                <w:lang w:val="en-GB"/>
              </w:rPr>
              <w:t xml:space="preserve"> </w:t>
            </w:r>
          </w:p>
          <w:p w14:paraId="2F371484" w14:textId="5CA8EFAB" w:rsidR="00E01837" w:rsidRPr="00A33264" w:rsidRDefault="00E01837" w:rsidP="00385962">
            <w:pPr>
              <w:spacing w:after="0" w:line="240" w:lineRule="auto"/>
              <w:rPr>
                <w:b/>
                <w:bCs/>
                <w:color w:val="F9F9F9" w:themeColor="background1"/>
                <w:lang w:val="en-GB"/>
              </w:rPr>
            </w:pPr>
            <w:r>
              <w:rPr>
                <w:b/>
                <w:bCs/>
                <w:color w:val="F9F9F9" w:themeColor="background1"/>
                <w:lang w:val="en-GB"/>
              </w:rPr>
              <w:t>E</w:t>
            </w:r>
            <w:r w:rsidRPr="00A33264">
              <w:rPr>
                <w:b/>
                <w:bCs/>
                <w:color w:val="F9F9F9" w:themeColor="background1"/>
                <w:lang w:val="en-GB"/>
              </w:rPr>
              <w:t xml:space="preserve">nd </w:t>
            </w:r>
            <w:r>
              <w:rPr>
                <w:b/>
                <w:bCs/>
                <w:color w:val="F9F9F9" w:themeColor="background1"/>
                <w:lang w:val="en-GB"/>
              </w:rPr>
              <w:t>d</w:t>
            </w:r>
            <w:r w:rsidRPr="00A33264">
              <w:rPr>
                <w:b/>
                <w:bCs/>
                <w:color w:val="F9F9F9" w:themeColor="background1"/>
                <w:lang w:val="en-GB"/>
              </w:rPr>
              <w:t xml:space="preserve">ate </w:t>
            </w:r>
            <w:r w:rsidRPr="00A33264">
              <w:rPr>
                <w:color w:val="F9F9F9" w:themeColor="background1"/>
                <w:lang w:val="en-GB"/>
              </w:rPr>
              <w:t>(30 June 2024 or before)</w:t>
            </w:r>
          </w:p>
        </w:tc>
        <w:tc>
          <w:tcPr>
            <w:tcW w:w="1701" w:type="dxa"/>
            <w:tcBorders>
              <w:top w:val="single" w:sz="4" w:space="0" w:color="656565"/>
              <w:left w:val="single" w:sz="4" w:space="0" w:color="F9F9F9" w:themeColor="background1"/>
              <w:bottom w:val="single" w:sz="4" w:space="0" w:color="656565"/>
              <w:right w:val="single" w:sz="4" w:space="0" w:color="auto"/>
            </w:tcBorders>
            <w:shd w:val="clear" w:color="auto" w:fill="6B2876" w:themeFill="text1"/>
            <w:hideMark/>
          </w:tcPr>
          <w:p w14:paraId="6F1AE38B" w14:textId="27A04211" w:rsidR="00E01837" w:rsidRPr="00A33264" w:rsidRDefault="00306DBB" w:rsidP="00385962">
            <w:pPr>
              <w:spacing w:after="0" w:line="240" w:lineRule="auto"/>
              <w:rPr>
                <w:b/>
                <w:color w:val="F9F9F9" w:themeColor="background1"/>
                <w:lang w:val="en-GB"/>
              </w:rPr>
            </w:pPr>
            <w:r>
              <w:rPr>
                <w:b/>
                <w:bCs/>
                <w:color w:val="F9F9F9" w:themeColor="background1"/>
              </w:rPr>
              <w:t>P</w:t>
            </w:r>
            <w:r w:rsidRPr="001607D3">
              <w:rPr>
                <w:b/>
                <w:bCs/>
                <w:color w:val="F9F9F9" w:themeColor="background1"/>
              </w:rPr>
              <w:t>eriod as the accountable authority or member within the reporting period</w:t>
            </w:r>
            <w:r>
              <w:rPr>
                <w:b/>
                <w:color w:val="F9F9F9" w:themeColor="background1"/>
                <w:lang w:val="en-GB"/>
              </w:rPr>
              <w:t xml:space="preserve"> </w:t>
            </w:r>
            <w:r w:rsidR="00E01837">
              <w:rPr>
                <w:b/>
                <w:color w:val="F9F9F9" w:themeColor="background1"/>
                <w:lang w:val="en-GB"/>
              </w:rPr>
              <w:t>N</w:t>
            </w:r>
            <w:r w:rsidR="00E01837" w:rsidRPr="00A33264">
              <w:rPr>
                <w:b/>
                <w:color w:val="F9F9F9" w:themeColor="background1"/>
                <w:lang w:val="en-GB"/>
              </w:rPr>
              <w:t>umber of meetings of accountable authority attended</w:t>
            </w:r>
          </w:p>
        </w:tc>
      </w:tr>
    </w:tbl>
    <w:p w14:paraId="5653D199" w14:textId="77777777" w:rsidR="000270A5" w:rsidRDefault="000270A5"/>
    <w:tbl>
      <w:tblPr>
        <w:tblW w:w="1388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984"/>
        <w:gridCol w:w="1976"/>
        <w:gridCol w:w="3827"/>
        <w:gridCol w:w="1559"/>
        <w:gridCol w:w="1532"/>
        <w:gridCol w:w="1532"/>
        <w:gridCol w:w="1475"/>
      </w:tblGrid>
      <w:tr w:rsidR="00E01837" w:rsidRPr="00A33264" w14:paraId="51F9E265" w14:textId="77777777">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F7EEF7"/>
          </w:tcPr>
          <w:p w14:paraId="6ACE6F8A" w14:textId="77777777" w:rsidR="00E01837" w:rsidRPr="00A33264" w:rsidRDefault="00E01837">
            <w:pPr>
              <w:spacing w:after="0" w:line="264" w:lineRule="auto"/>
              <w:rPr>
                <w:lang w:val="en-GB"/>
              </w:rPr>
            </w:pPr>
            <w:r w:rsidRPr="00A33264">
              <w:rPr>
                <w:lang w:val="en-GB"/>
              </w:rPr>
              <w:lastRenderedPageBreak/>
              <w:t>Mr Kurt Fearnley AO</w:t>
            </w:r>
          </w:p>
        </w:tc>
        <w:tc>
          <w:tcPr>
            <w:tcW w:w="1976" w:type="dxa"/>
            <w:tcBorders>
              <w:top w:val="single" w:sz="4" w:space="0" w:color="656565"/>
              <w:left w:val="single" w:sz="4" w:space="0" w:color="000000"/>
              <w:bottom w:val="single" w:sz="4" w:space="0" w:color="656565"/>
              <w:right w:val="single" w:sz="4" w:space="0" w:color="000000"/>
            </w:tcBorders>
            <w:shd w:val="clear" w:color="auto" w:fill="F7EEF7"/>
          </w:tcPr>
          <w:p w14:paraId="0C99EA8F" w14:textId="77777777" w:rsidR="00E01837" w:rsidRPr="00A33264" w:rsidRDefault="00E01837">
            <w:pPr>
              <w:spacing w:after="0" w:line="264" w:lineRule="auto"/>
              <w:rPr>
                <w:lang w:val="en-GB"/>
              </w:rPr>
            </w:pPr>
            <w:r>
              <w:rPr>
                <w:lang w:val="en-GB"/>
              </w:rPr>
              <w:t>BE</w:t>
            </w:r>
            <w:r w:rsidRPr="00E17B60">
              <w:rPr>
                <w:lang w:val="en-GB"/>
              </w:rPr>
              <w:t>d</w:t>
            </w:r>
            <w:r>
              <w:rPr>
                <w:lang w:val="en-GB"/>
              </w:rPr>
              <w:t>,</w:t>
            </w:r>
            <w:r w:rsidRPr="00E17B60">
              <w:rPr>
                <w:lang w:val="en-GB"/>
              </w:rPr>
              <w:t xml:space="preserve"> </w:t>
            </w:r>
            <w:r w:rsidRPr="00400C49">
              <w:rPr>
                <w:lang w:val="en-GB"/>
              </w:rPr>
              <w:t>BHumanMvt</w:t>
            </w:r>
            <w:r w:rsidRPr="00E17B60">
              <w:rPr>
                <w:lang w:val="en-GB"/>
              </w:rPr>
              <w:t>, Charles Sturt University</w:t>
            </w:r>
          </w:p>
        </w:tc>
        <w:tc>
          <w:tcPr>
            <w:tcW w:w="3827" w:type="dxa"/>
            <w:tcBorders>
              <w:top w:val="single" w:sz="4" w:space="0" w:color="656565"/>
              <w:left w:val="single" w:sz="4" w:space="0" w:color="000000"/>
              <w:bottom w:val="single" w:sz="4" w:space="0" w:color="656565"/>
              <w:right w:val="single" w:sz="4" w:space="0" w:color="656565"/>
            </w:tcBorders>
            <w:shd w:val="clear" w:color="auto" w:fill="F7EEF7"/>
          </w:tcPr>
          <w:p w14:paraId="274B3882" w14:textId="77777777" w:rsidR="00E01837" w:rsidRPr="00A33264" w:rsidRDefault="00E01837" w:rsidP="00E01837">
            <w:pPr>
              <w:pStyle w:val="Tablebullet"/>
              <w:tabs>
                <w:tab w:val="num" w:pos="397"/>
              </w:tabs>
              <w:spacing w:before="0" w:after="0" w:line="240" w:lineRule="auto"/>
              <w:ind w:left="399" w:hanging="286"/>
              <w:contextualSpacing w:val="0"/>
            </w:pPr>
            <w:r w:rsidRPr="00A33264">
              <w:t>Director, Life Without Barriers, 2021</w:t>
            </w:r>
            <w:r>
              <w:t>–</w:t>
            </w:r>
            <w:r w:rsidRPr="00A33264">
              <w:t>2022</w:t>
            </w:r>
          </w:p>
          <w:p w14:paraId="0BC39E88" w14:textId="77777777" w:rsidR="00E01837" w:rsidRDefault="00E01837" w:rsidP="00E01837">
            <w:pPr>
              <w:pStyle w:val="Tablebullet"/>
              <w:tabs>
                <w:tab w:val="num" w:pos="397"/>
              </w:tabs>
              <w:spacing w:before="0" w:after="0" w:line="240" w:lineRule="auto"/>
              <w:ind w:left="399" w:hanging="286"/>
              <w:contextualSpacing w:val="0"/>
            </w:pPr>
            <w:r w:rsidRPr="00A33264">
              <w:t>Board Director</w:t>
            </w:r>
            <w:r>
              <w:t>:</w:t>
            </w:r>
          </w:p>
          <w:p w14:paraId="54E4C007" w14:textId="6D0B9025" w:rsidR="0034591B" w:rsidRPr="00AA0637" w:rsidRDefault="0034591B" w:rsidP="00AA0637">
            <w:pPr>
              <w:pStyle w:val="ListParagraph"/>
              <w:widowControl w:val="0"/>
              <w:numPr>
                <w:ilvl w:val="0"/>
                <w:numId w:val="24"/>
              </w:numPr>
              <w:autoSpaceDE w:val="0"/>
              <w:autoSpaceDN w:val="0"/>
              <w:spacing w:after="0" w:line="264" w:lineRule="auto"/>
              <w:ind w:left="824"/>
              <w:contextualSpacing w:val="0"/>
              <w:rPr>
                <w:rFonts w:eastAsia="Calibri" w:cs="Arial"/>
              </w:rPr>
            </w:pPr>
            <w:r w:rsidRPr="00AA0637">
              <w:rPr>
                <w:rFonts w:eastAsia="Calibri" w:cs="Arial"/>
                <w:lang w:val="en-GB"/>
              </w:rPr>
              <w:t xml:space="preserve">Australian Sports Commission </w:t>
            </w:r>
          </w:p>
          <w:p w14:paraId="6AA58FEF" w14:textId="77777777" w:rsidR="00E01837" w:rsidRPr="00811517"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811517">
              <w:rPr>
                <w:rFonts w:eastAsia="Calibri" w:cs="Arial"/>
                <w:lang w:val="en-GB"/>
              </w:rPr>
              <w:t>Brisbane Organising Committee for the 2032 Olympic and Paralympic Games, 2021</w:t>
            </w:r>
          </w:p>
          <w:p w14:paraId="6C8FBD6E" w14:textId="77777777" w:rsidR="00E01837" w:rsidRPr="00811517"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811517">
              <w:rPr>
                <w:rFonts w:eastAsia="Calibri" w:cs="Arial"/>
                <w:lang w:val="en-GB"/>
              </w:rPr>
              <w:t>Newcastle Permanent Charitable Foundation, 2018–2022</w:t>
            </w:r>
          </w:p>
          <w:p w14:paraId="61631D98" w14:textId="77777777" w:rsidR="00E01837" w:rsidRPr="00811517"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811517">
              <w:rPr>
                <w:rFonts w:eastAsia="Calibri" w:cs="Arial"/>
                <w:lang w:val="en-GB"/>
              </w:rPr>
              <w:t>Paralympics Australia, 2016–2019</w:t>
            </w:r>
          </w:p>
          <w:p w14:paraId="32733B24" w14:textId="77777777" w:rsidR="00E01837" w:rsidRPr="00811517"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811517">
              <w:rPr>
                <w:rFonts w:eastAsia="Calibri" w:cs="Arial"/>
                <w:lang w:val="en-GB"/>
              </w:rPr>
              <w:t>Australian Volunteers International, 2007–2015</w:t>
            </w:r>
          </w:p>
          <w:p w14:paraId="09B0B5A3" w14:textId="77777777" w:rsidR="00E01837" w:rsidRDefault="00E01837" w:rsidP="00E01837">
            <w:pPr>
              <w:pStyle w:val="Tablebullet"/>
              <w:tabs>
                <w:tab w:val="num" w:pos="397"/>
              </w:tabs>
              <w:spacing w:before="0" w:after="0" w:line="240" w:lineRule="auto"/>
              <w:ind w:left="399" w:hanging="286"/>
              <w:contextualSpacing w:val="0"/>
            </w:pPr>
            <w:r w:rsidRPr="004E5432">
              <w:t>Member</w:t>
            </w:r>
            <w:r>
              <w:t>:</w:t>
            </w:r>
          </w:p>
          <w:p w14:paraId="5B34F4B9" w14:textId="77777777" w:rsidR="00E01837" w:rsidRPr="00A625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62564">
              <w:rPr>
                <w:rFonts w:eastAsia="Calibri" w:cs="Arial"/>
                <w:lang w:val="en-GB"/>
              </w:rPr>
              <w:t>Hunter Regional Advisory Council, 2021–2023</w:t>
            </w:r>
          </w:p>
          <w:p w14:paraId="199D3420" w14:textId="77777777" w:rsidR="00E01837" w:rsidRPr="00A62564" w:rsidRDefault="00E01837" w:rsidP="00E01837">
            <w:pPr>
              <w:pStyle w:val="ListParagraph"/>
              <w:widowControl w:val="0"/>
              <w:numPr>
                <w:ilvl w:val="0"/>
                <w:numId w:val="24"/>
              </w:numPr>
              <w:autoSpaceDE w:val="0"/>
              <w:autoSpaceDN w:val="0"/>
              <w:spacing w:after="0" w:line="264" w:lineRule="auto"/>
              <w:ind w:left="824"/>
              <w:contextualSpacing w:val="0"/>
              <w:rPr>
                <w:lang w:val="en-GB"/>
              </w:rPr>
            </w:pPr>
            <w:r w:rsidRPr="00A62564">
              <w:rPr>
                <w:rFonts w:eastAsia="Calibri" w:cs="Arial"/>
                <w:lang w:val="en-GB"/>
              </w:rPr>
              <w:t>NDIS Independent Advisory Council, 2013–2015</w:t>
            </w:r>
          </w:p>
          <w:p w14:paraId="3EE57E13" w14:textId="77777777" w:rsidR="00E01837" w:rsidRPr="00A33264" w:rsidRDefault="00E01837" w:rsidP="00E01837">
            <w:pPr>
              <w:pStyle w:val="Tablebullet"/>
              <w:tabs>
                <w:tab w:val="num" w:pos="397"/>
              </w:tabs>
              <w:spacing w:before="0" w:after="0" w:line="240" w:lineRule="auto"/>
              <w:ind w:left="399" w:hanging="286"/>
              <w:contextualSpacing w:val="0"/>
            </w:pPr>
            <w:r w:rsidRPr="00A62564">
              <w:t>Athlete</w:t>
            </w:r>
            <w:r w:rsidRPr="00A33264">
              <w:t xml:space="preserve"> Council Member, International Paralympic Committee, 2016</w:t>
            </w:r>
            <w:r>
              <w:t>–</w:t>
            </w:r>
            <w:r w:rsidRPr="00A33264">
              <w:t>2021</w:t>
            </w:r>
          </w:p>
        </w:tc>
        <w:tc>
          <w:tcPr>
            <w:tcW w:w="1559" w:type="dxa"/>
            <w:tcBorders>
              <w:top w:val="single" w:sz="4" w:space="0" w:color="656565"/>
              <w:left w:val="single" w:sz="4" w:space="0" w:color="656565"/>
              <w:bottom w:val="single" w:sz="4" w:space="0" w:color="656565"/>
              <w:right w:val="single" w:sz="4" w:space="0" w:color="656565"/>
            </w:tcBorders>
            <w:shd w:val="clear" w:color="auto" w:fill="F7EEF7"/>
          </w:tcPr>
          <w:p w14:paraId="05227F90" w14:textId="77777777" w:rsidR="00E01837" w:rsidRPr="00A33264" w:rsidRDefault="00E01837">
            <w:pPr>
              <w:spacing w:after="0" w:line="264" w:lineRule="auto"/>
              <w:rPr>
                <w:lang w:val="en-GB"/>
              </w:rPr>
            </w:pPr>
            <w:r w:rsidRPr="00A33264">
              <w:rPr>
                <w:lang w:val="en-GB"/>
              </w:rPr>
              <w:t xml:space="preserve">NDIA Board </w:t>
            </w:r>
            <w:r>
              <w:rPr>
                <w:lang w:val="en-GB"/>
              </w:rPr>
              <w:t>c</w:t>
            </w:r>
            <w:r w:rsidRPr="00A33264">
              <w:rPr>
                <w:lang w:val="en-GB"/>
              </w:rPr>
              <w:t xml:space="preserve">hair / </w:t>
            </w:r>
            <w:r>
              <w:rPr>
                <w:lang w:val="en-GB"/>
              </w:rPr>
              <w:t>n</w:t>
            </w:r>
            <w:r w:rsidRPr="00A33264">
              <w:rPr>
                <w:lang w:val="en-GB"/>
              </w:rPr>
              <w:t>on-</w:t>
            </w:r>
            <w:r>
              <w:rPr>
                <w:lang w:val="en-GB"/>
              </w:rPr>
              <w:t>e</w:t>
            </w:r>
            <w:r w:rsidRPr="00A33264">
              <w:rPr>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F7EEF7"/>
          </w:tcPr>
          <w:p w14:paraId="178476EE" w14:textId="77777777" w:rsidR="00E01837" w:rsidRPr="00A33264" w:rsidRDefault="00E01837">
            <w:pPr>
              <w:spacing w:after="0" w:line="264" w:lineRule="auto"/>
              <w:rPr>
                <w:lang w:val="en-GB"/>
              </w:rPr>
            </w:pPr>
            <w:r w:rsidRPr="00A33264">
              <w:rPr>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F7EEF7"/>
          </w:tcPr>
          <w:p w14:paraId="4FD3441A" w14:textId="77777777" w:rsidR="00E01837" w:rsidRPr="00A33264" w:rsidRDefault="00E01837">
            <w:pPr>
              <w:spacing w:after="0" w:line="264" w:lineRule="auto"/>
              <w:rPr>
                <w:lang w:val="en-GB"/>
              </w:rPr>
            </w:pPr>
            <w:r w:rsidRPr="00A33264">
              <w:rPr>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F7EEF7"/>
          </w:tcPr>
          <w:p w14:paraId="76E889C3" w14:textId="77777777" w:rsidR="00E01837" w:rsidRPr="00A33264" w:rsidRDefault="00E01837">
            <w:pPr>
              <w:spacing w:after="0" w:line="264" w:lineRule="auto"/>
              <w:jc w:val="right"/>
              <w:rPr>
                <w:lang w:val="en-GB"/>
              </w:rPr>
            </w:pPr>
            <w:r w:rsidRPr="00A33264">
              <w:rPr>
                <w:lang w:val="en-GB"/>
              </w:rPr>
              <w:t>11</w:t>
            </w:r>
          </w:p>
        </w:tc>
      </w:tr>
      <w:tr w:rsidR="00E01837" w:rsidRPr="00A33264" w14:paraId="1C16CA0E" w14:textId="77777777">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auto"/>
          </w:tcPr>
          <w:p w14:paraId="7A6F0D89" w14:textId="77777777" w:rsidR="00E01837" w:rsidRPr="00A33264" w:rsidRDefault="00E01837">
            <w:pPr>
              <w:spacing w:after="0" w:line="264" w:lineRule="auto"/>
              <w:rPr>
                <w:rFonts w:cs="Arial"/>
                <w:lang w:val="en-GB"/>
              </w:rPr>
            </w:pPr>
            <w:r w:rsidRPr="00A33264">
              <w:rPr>
                <w:rFonts w:cs="Arial"/>
                <w:lang w:val="en-GB"/>
              </w:rPr>
              <w:lastRenderedPageBreak/>
              <w:t>Dr Graeme Innes AM</w:t>
            </w:r>
          </w:p>
        </w:tc>
        <w:tc>
          <w:tcPr>
            <w:tcW w:w="1976" w:type="dxa"/>
            <w:tcBorders>
              <w:top w:val="single" w:sz="4" w:space="0" w:color="656565"/>
              <w:left w:val="single" w:sz="4" w:space="0" w:color="000000"/>
              <w:bottom w:val="single" w:sz="4" w:space="0" w:color="656565"/>
              <w:right w:val="single" w:sz="4" w:space="0" w:color="000000"/>
            </w:tcBorders>
            <w:shd w:val="clear" w:color="auto" w:fill="auto"/>
          </w:tcPr>
          <w:p w14:paraId="1167409A" w14:textId="05847C1C" w:rsidR="00E01837" w:rsidRPr="00A33264" w:rsidRDefault="00E01837">
            <w:pPr>
              <w:spacing w:after="0" w:line="264" w:lineRule="auto"/>
              <w:rPr>
                <w:rFonts w:cs="Arial"/>
                <w:lang w:val="en-GB"/>
              </w:rPr>
            </w:pPr>
            <w:r>
              <w:rPr>
                <w:rFonts w:cs="Arial"/>
                <w:lang w:val="en-GB"/>
              </w:rPr>
              <w:t>LLB</w:t>
            </w:r>
            <w:r w:rsidRPr="00E17B60">
              <w:rPr>
                <w:rFonts w:cs="Arial"/>
                <w:lang w:val="en-GB"/>
              </w:rPr>
              <w:t xml:space="preserve">, Sydney University; honorary doctorates </w:t>
            </w:r>
            <w:r>
              <w:rPr>
                <w:rFonts w:cs="Arial"/>
                <w:lang w:val="en-GB"/>
              </w:rPr>
              <w:t>(</w:t>
            </w:r>
            <w:r w:rsidRPr="00E17B60">
              <w:rPr>
                <w:rFonts w:cs="Arial"/>
                <w:lang w:val="en-GB"/>
              </w:rPr>
              <w:t xml:space="preserve">University of Canberra, RMIT University, University of </w:t>
            </w:r>
            <w:r>
              <w:rPr>
                <w:rFonts w:cs="Arial"/>
                <w:lang w:val="en-GB"/>
              </w:rPr>
              <w:t>NSW</w:t>
            </w:r>
            <w:r w:rsidRPr="00E17B60">
              <w:rPr>
                <w:rFonts w:cs="Arial"/>
                <w:lang w:val="en-GB"/>
              </w:rPr>
              <w:t>, Edith Cowan University</w:t>
            </w:r>
            <w:r>
              <w:rPr>
                <w:rFonts w:cs="Arial"/>
                <w:lang w:val="en-GB"/>
              </w:rPr>
              <w:t>)</w:t>
            </w:r>
            <w:r w:rsidRPr="00E17B60">
              <w:rPr>
                <w:rFonts w:cs="Arial"/>
                <w:lang w:val="en-GB"/>
              </w:rPr>
              <w:t>; Fellow of the Australian Institute of Company Directors</w:t>
            </w:r>
            <w:r>
              <w:rPr>
                <w:rFonts w:cs="Arial"/>
                <w:lang w:val="en-GB"/>
              </w:rPr>
              <w:t xml:space="preserve"> (AICD)</w:t>
            </w:r>
          </w:p>
        </w:tc>
        <w:tc>
          <w:tcPr>
            <w:tcW w:w="3827" w:type="dxa"/>
            <w:tcBorders>
              <w:top w:val="single" w:sz="4" w:space="0" w:color="656565"/>
              <w:left w:val="single" w:sz="4" w:space="0" w:color="000000"/>
              <w:bottom w:val="single" w:sz="4" w:space="0" w:color="656565"/>
              <w:right w:val="single" w:sz="4" w:space="0" w:color="656565"/>
            </w:tcBorders>
            <w:shd w:val="clear" w:color="auto" w:fill="auto"/>
          </w:tcPr>
          <w:p w14:paraId="412602ED" w14:textId="77777777" w:rsidR="00E01837" w:rsidRPr="00C85B76" w:rsidRDefault="00E01837" w:rsidP="00E01837">
            <w:pPr>
              <w:pStyle w:val="Tablebullet"/>
              <w:tabs>
                <w:tab w:val="num" w:pos="397"/>
              </w:tabs>
              <w:spacing w:before="0" w:after="0" w:line="240" w:lineRule="auto"/>
              <w:ind w:left="399" w:hanging="286"/>
              <w:contextualSpacing w:val="0"/>
            </w:pPr>
            <w:r w:rsidRPr="00C85B76">
              <w:t>Chancellor, Central Queensland University</w:t>
            </w:r>
          </w:p>
          <w:p w14:paraId="6A4B13AA" w14:textId="77777777" w:rsidR="00E01837" w:rsidRPr="00C85B76" w:rsidRDefault="00E01837" w:rsidP="00E01837">
            <w:pPr>
              <w:pStyle w:val="Tablebullet"/>
              <w:tabs>
                <w:tab w:val="num" w:pos="397"/>
              </w:tabs>
              <w:spacing w:before="0" w:after="0" w:line="240" w:lineRule="auto"/>
              <w:ind w:left="399" w:hanging="286"/>
              <w:contextualSpacing w:val="0"/>
            </w:pPr>
            <w:r w:rsidRPr="00C85B76">
              <w:t>Disability Discrimination Commissioner, 2005–2014</w:t>
            </w:r>
          </w:p>
          <w:p w14:paraId="5D3E4B3B" w14:textId="77777777" w:rsidR="00E01837" w:rsidRPr="00C85B76" w:rsidRDefault="00E01837" w:rsidP="00E01837">
            <w:pPr>
              <w:pStyle w:val="Tablebullet"/>
              <w:tabs>
                <w:tab w:val="num" w:pos="397"/>
              </w:tabs>
              <w:spacing w:before="0" w:after="0" w:line="240" w:lineRule="auto"/>
              <w:ind w:left="399" w:hanging="286"/>
              <w:contextualSpacing w:val="0"/>
            </w:pPr>
            <w:r w:rsidRPr="00C85B76">
              <w:t>Director, State Insurance Regulatory Authority of NSW</w:t>
            </w:r>
          </w:p>
          <w:p w14:paraId="39D8F48B" w14:textId="77777777" w:rsidR="00E01837" w:rsidRPr="00C85B76" w:rsidRDefault="00E01837" w:rsidP="00E01837">
            <w:pPr>
              <w:pStyle w:val="Tablebullet"/>
              <w:tabs>
                <w:tab w:val="num" w:pos="397"/>
              </w:tabs>
              <w:spacing w:before="0" w:after="0" w:line="240" w:lineRule="auto"/>
              <w:ind w:left="399" w:hanging="286"/>
              <w:contextualSpacing w:val="0"/>
            </w:pPr>
            <w:r w:rsidRPr="00C85B76">
              <w:t>Board member, Healthy North Coast</w:t>
            </w:r>
          </w:p>
          <w:p w14:paraId="532A57BB" w14:textId="77777777" w:rsidR="00E01837" w:rsidRPr="00C85B76" w:rsidRDefault="00E01837" w:rsidP="00E01837">
            <w:pPr>
              <w:pStyle w:val="Tablebullet"/>
              <w:tabs>
                <w:tab w:val="num" w:pos="397"/>
              </w:tabs>
              <w:spacing w:before="0" w:after="0" w:line="240" w:lineRule="auto"/>
              <w:ind w:left="399" w:hanging="286"/>
              <w:contextualSpacing w:val="0"/>
            </w:pPr>
            <w:r w:rsidRPr="00C85B76">
              <w:t>Board member, Jeffrey Blyth Foundation</w:t>
            </w:r>
          </w:p>
          <w:p w14:paraId="1A74759B" w14:textId="77777777" w:rsidR="00E01837" w:rsidRPr="00C85B76" w:rsidRDefault="00E01837" w:rsidP="00E01837">
            <w:pPr>
              <w:pStyle w:val="Tablebullet"/>
              <w:tabs>
                <w:tab w:val="num" w:pos="397"/>
              </w:tabs>
              <w:spacing w:before="0" w:after="0" w:line="240" w:lineRule="auto"/>
              <w:ind w:left="399" w:hanging="286"/>
              <w:contextualSpacing w:val="0"/>
            </w:pPr>
            <w:r w:rsidRPr="00C85B76">
              <w:t>Mediator training, Community Justice Centre NSW, Australian Commercial Dispute Centre</w:t>
            </w:r>
          </w:p>
        </w:tc>
        <w:tc>
          <w:tcPr>
            <w:tcW w:w="1559" w:type="dxa"/>
            <w:tcBorders>
              <w:top w:val="single" w:sz="4" w:space="0" w:color="656565"/>
              <w:left w:val="single" w:sz="4" w:space="0" w:color="656565"/>
              <w:bottom w:val="single" w:sz="4" w:space="0" w:color="656565"/>
              <w:right w:val="single" w:sz="4" w:space="0" w:color="656565"/>
            </w:tcBorders>
            <w:shd w:val="clear" w:color="auto" w:fill="auto"/>
          </w:tcPr>
          <w:p w14:paraId="00D07887" w14:textId="77777777" w:rsidR="00E01837" w:rsidRPr="00A33264" w:rsidRDefault="00E01837">
            <w:pPr>
              <w:spacing w:after="0" w:line="264" w:lineRule="auto"/>
              <w:rPr>
                <w:rFonts w:cs="Arial"/>
                <w:lang w:val="en-GB"/>
              </w:rPr>
            </w:pPr>
            <w:r w:rsidRPr="00A33264">
              <w:rPr>
                <w:rFonts w:cs="Arial"/>
                <w:lang w:val="en-GB"/>
              </w:rPr>
              <w:t xml:space="preserve">Board </w:t>
            </w:r>
            <w:r>
              <w:rPr>
                <w:rFonts w:cs="Arial"/>
                <w:lang w:val="en-GB"/>
              </w:rPr>
              <w:t>m</w:t>
            </w:r>
            <w:r w:rsidRPr="00A33264">
              <w:rPr>
                <w:rFonts w:cs="Arial"/>
                <w:lang w:val="en-GB"/>
              </w:rPr>
              <w:t xml:space="preserve">ember / </w:t>
            </w:r>
            <w:r>
              <w:rPr>
                <w:rFonts w:cs="Arial"/>
                <w:lang w:val="en-GB"/>
              </w:rPr>
              <w:t>n</w:t>
            </w:r>
            <w:r w:rsidRPr="00A33264">
              <w:rPr>
                <w:rFonts w:cs="Arial"/>
                <w:lang w:val="en-GB"/>
              </w:rPr>
              <w:t>on-</w:t>
            </w:r>
            <w:r>
              <w:rPr>
                <w:rFonts w:cs="Arial"/>
                <w:lang w:val="en-GB"/>
              </w:rPr>
              <w:t>e</w:t>
            </w:r>
            <w:r w:rsidRPr="00A33264">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auto"/>
          </w:tcPr>
          <w:p w14:paraId="58AC95E1" w14:textId="77777777" w:rsidR="00E01837" w:rsidRPr="00A33264" w:rsidRDefault="00E01837">
            <w:pPr>
              <w:spacing w:after="0" w:line="264" w:lineRule="auto"/>
              <w:rPr>
                <w:rFonts w:cs="Arial"/>
                <w:lang w:val="en-GB"/>
              </w:rPr>
            </w:pPr>
            <w:r w:rsidRPr="00A33264">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auto"/>
          </w:tcPr>
          <w:p w14:paraId="6FFEB37A" w14:textId="77777777" w:rsidR="00E01837" w:rsidRPr="00A33264" w:rsidRDefault="00E01837">
            <w:pPr>
              <w:spacing w:after="0" w:line="264" w:lineRule="auto"/>
              <w:rPr>
                <w:rFonts w:cs="Arial"/>
                <w:lang w:val="en-GB"/>
              </w:rPr>
            </w:pPr>
            <w:r w:rsidRPr="00A33264">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auto"/>
          </w:tcPr>
          <w:p w14:paraId="1938335A" w14:textId="77777777" w:rsidR="00E01837" w:rsidRPr="00A33264" w:rsidRDefault="00E01837">
            <w:pPr>
              <w:spacing w:after="0" w:line="264" w:lineRule="auto"/>
              <w:jc w:val="right"/>
              <w:rPr>
                <w:rFonts w:cs="Arial"/>
                <w:lang w:val="en-GB"/>
              </w:rPr>
            </w:pPr>
            <w:r w:rsidRPr="00A33264">
              <w:rPr>
                <w:rFonts w:cs="Arial"/>
                <w:lang w:val="en-GB"/>
              </w:rPr>
              <w:t>9</w:t>
            </w:r>
          </w:p>
        </w:tc>
      </w:tr>
      <w:tr w:rsidR="00E01837" w:rsidRPr="00A33264" w14:paraId="3BD36B20" w14:textId="77777777" w:rsidTr="006418CC">
        <w:trPr>
          <w:cantSplit/>
          <w:trHeight w:val="519"/>
        </w:trPr>
        <w:tc>
          <w:tcPr>
            <w:tcW w:w="1984" w:type="dxa"/>
            <w:tcBorders>
              <w:top w:val="single" w:sz="4" w:space="0" w:color="656565"/>
              <w:left w:val="single" w:sz="4" w:space="0" w:color="000000"/>
              <w:bottom w:val="single" w:sz="4" w:space="0" w:color="656565"/>
              <w:right w:val="single" w:sz="4" w:space="0" w:color="000000"/>
            </w:tcBorders>
            <w:shd w:val="clear" w:color="auto" w:fill="F7EEF7"/>
          </w:tcPr>
          <w:p w14:paraId="31524411" w14:textId="77777777" w:rsidR="00E01837" w:rsidRPr="00A33264" w:rsidRDefault="00E01837">
            <w:pPr>
              <w:spacing w:after="0" w:line="264" w:lineRule="auto"/>
              <w:rPr>
                <w:lang w:val="en-GB"/>
              </w:rPr>
            </w:pPr>
            <w:r w:rsidRPr="00A33264">
              <w:rPr>
                <w:lang w:val="en-GB"/>
              </w:rPr>
              <w:t>Ms Maryanne Diamond AO</w:t>
            </w:r>
          </w:p>
        </w:tc>
        <w:tc>
          <w:tcPr>
            <w:tcW w:w="1976" w:type="dxa"/>
            <w:tcBorders>
              <w:top w:val="single" w:sz="4" w:space="0" w:color="656565"/>
              <w:left w:val="single" w:sz="4" w:space="0" w:color="000000"/>
              <w:bottom w:val="single" w:sz="4" w:space="0" w:color="656565"/>
              <w:right w:val="single" w:sz="4" w:space="0" w:color="000000"/>
            </w:tcBorders>
            <w:shd w:val="clear" w:color="auto" w:fill="F7EEF7"/>
          </w:tcPr>
          <w:p w14:paraId="3C0A16DE" w14:textId="77777777" w:rsidR="00E01837" w:rsidRPr="00A33264" w:rsidRDefault="00E01837">
            <w:pPr>
              <w:spacing w:after="0" w:line="264" w:lineRule="auto"/>
              <w:rPr>
                <w:lang w:val="en-GB"/>
              </w:rPr>
            </w:pPr>
            <w:r w:rsidRPr="00E17B60">
              <w:rPr>
                <w:lang w:val="en-GB"/>
              </w:rPr>
              <w:t>BSc, Monash University; GradDip</w:t>
            </w:r>
            <w:r>
              <w:rPr>
                <w:lang w:val="en-GB"/>
              </w:rPr>
              <w:t>IT</w:t>
            </w:r>
            <w:r w:rsidRPr="00E17B60">
              <w:rPr>
                <w:lang w:val="en-GB"/>
              </w:rPr>
              <w:t xml:space="preserve">, Caulfield Institute of Technology; Graduate of the </w:t>
            </w:r>
            <w:r>
              <w:rPr>
                <w:rFonts w:cs="Arial"/>
                <w:lang w:val="en-GB"/>
              </w:rPr>
              <w:t>AICD</w:t>
            </w:r>
          </w:p>
        </w:tc>
        <w:tc>
          <w:tcPr>
            <w:tcW w:w="3827" w:type="dxa"/>
            <w:tcBorders>
              <w:top w:val="single" w:sz="4" w:space="0" w:color="656565"/>
              <w:left w:val="single" w:sz="4" w:space="0" w:color="000000"/>
              <w:bottom w:val="single" w:sz="4" w:space="0" w:color="656565"/>
              <w:right w:val="single" w:sz="4" w:space="0" w:color="656565"/>
            </w:tcBorders>
            <w:shd w:val="clear" w:color="auto" w:fill="F7EEF7"/>
          </w:tcPr>
          <w:p w14:paraId="6A1C228E" w14:textId="77777777" w:rsidR="00E01837" w:rsidRDefault="00E01837" w:rsidP="00E01837">
            <w:pPr>
              <w:pStyle w:val="Tablebullet"/>
              <w:tabs>
                <w:tab w:val="num" w:pos="397"/>
              </w:tabs>
              <w:spacing w:before="0" w:after="0" w:line="240" w:lineRule="auto"/>
              <w:ind w:left="399" w:hanging="286"/>
              <w:contextualSpacing w:val="0"/>
              <w:rPr>
                <w:rFonts w:cs="Arial"/>
              </w:rPr>
            </w:pPr>
            <w:r w:rsidRPr="00A33264">
              <w:rPr>
                <w:rFonts w:cs="Arial"/>
              </w:rPr>
              <w:t>Chair</w:t>
            </w:r>
            <w:r>
              <w:rPr>
                <w:rFonts w:cs="Arial"/>
              </w:rPr>
              <w:t>,</w:t>
            </w:r>
            <w:r w:rsidRPr="00A33264">
              <w:rPr>
                <w:rFonts w:cs="Arial"/>
              </w:rPr>
              <w:t xml:space="preserve"> International Disability Alliance</w:t>
            </w:r>
            <w:r>
              <w:rPr>
                <w:rFonts w:cs="Arial"/>
              </w:rPr>
              <w:t>,</w:t>
            </w:r>
            <w:r w:rsidRPr="00A33264">
              <w:rPr>
                <w:rFonts w:cs="Arial"/>
              </w:rPr>
              <w:t xml:space="preserve"> 2014</w:t>
            </w:r>
            <w:r>
              <w:rPr>
                <w:rFonts w:cs="Arial"/>
              </w:rPr>
              <w:t>–</w:t>
            </w:r>
            <w:r w:rsidRPr="00A33264">
              <w:rPr>
                <w:rFonts w:cs="Arial"/>
              </w:rPr>
              <w:t xml:space="preserve">2016 </w:t>
            </w:r>
          </w:p>
          <w:p w14:paraId="54668E9B" w14:textId="14121613" w:rsidR="00E01837" w:rsidRDefault="00E01837" w:rsidP="00E01837">
            <w:pPr>
              <w:pStyle w:val="Tablebullet"/>
              <w:tabs>
                <w:tab w:val="num" w:pos="397"/>
              </w:tabs>
              <w:spacing w:before="0" w:after="0" w:line="240" w:lineRule="auto"/>
              <w:ind w:left="399" w:hanging="286"/>
              <w:contextualSpacing w:val="0"/>
              <w:rPr>
                <w:rFonts w:cs="Arial"/>
              </w:rPr>
            </w:pPr>
            <w:r w:rsidRPr="00A33264">
              <w:rPr>
                <w:rFonts w:cs="Arial"/>
              </w:rPr>
              <w:t>President</w:t>
            </w:r>
            <w:r>
              <w:rPr>
                <w:rFonts w:cs="Arial"/>
              </w:rPr>
              <w:t>,</w:t>
            </w:r>
            <w:r w:rsidRPr="00A33264">
              <w:rPr>
                <w:rFonts w:cs="Arial"/>
              </w:rPr>
              <w:t xml:space="preserve"> World Blind Union</w:t>
            </w:r>
            <w:r>
              <w:rPr>
                <w:rFonts w:cs="Arial"/>
              </w:rPr>
              <w:t>,</w:t>
            </w:r>
            <w:r w:rsidRPr="00A33264">
              <w:rPr>
                <w:rFonts w:cs="Arial"/>
              </w:rPr>
              <w:t xml:space="preserve"> 2008</w:t>
            </w:r>
            <w:r>
              <w:rPr>
                <w:rFonts w:cs="Arial"/>
              </w:rPr>
              <w:t>–</w:t>
            </w:r>
            <w:r w:rsidRPr="00A33264">
              <w:rPr>
                <w:rFonts w:cs="Arial"/>
              </w:rPr>
              <w:t xml:space="preserve">2012 </w:t>
            </w:r>
          </w:p>
          <w:p w14:paraId="7D79B529" w14:textId="77777777" w:rsidR="00E01837" w:rsidRPr="00A33264" w:rsidRDefault="00E01837" w:rsidP="00E01837">
            <w:pPr>
              <w:pStyle w:val="Tablebullet"/>
              <w:tabs>
                <w:tab w:val="num" w:pos="397"/>
              </w:tabs>
              <w:spacing w:before="0" w:after="0" w:line="240" w:lineRule="auto"/>
              <w:ind w:left="399" w:hanging="286"/>
              <w:contextualSpacing w:val="0"/>
            </w:pPr>
            <w:r w:rsidRPr="00A33264">
              <w:t>CEO</w:t>
            </w:r>
            <w:r>
              <w:t>,</w:t>
            </w:r>
            <w:r w:rsidRPr="00A33264">
              <w:t xml:space="preserve"> Australian Federation of Disability Organisations</w:t>
            </w:r>
            <w:r>
              <w:t>, 2004–2007</w:t>
            </w:r>
          </w:p>
          <w:p w14:paraId="4127D277" w14:textId="77777777" w:rsidR="00E01837" w:rsidRDefault="00E01837" w:rsidP="00E01837">
            <w:pPr>
              <w:pStyle w:val="Tablebullet"/>
              <w:tabs>
                <w:tab w:val="num" w:pos="397"/>
              </w:tabs>
              <w:spacing w:before="0" w:after="0" w:line="240" w:lineRule="auto"/>
              <w:ind w:left="399" w:hanging="286"/>
              <w:contextualSpacing w:val="0"/>
            </w:pPr>
            <w:r w:rsidRPr="00A33264">
              <w:t>Executive Officer</w:t>
            </w:r>
            <w:r>
              <w:t>,</w:t>
            </w:r>
            <w:r w:rsidRPr="00A33264">
              <w:t xml:space="preserve"> Blind Citizens Australia </w:t>
            </w:r>
          </w:p>
          <w:p w14:paraId="2FC200B7" w14:textId="77777777" w:rsidR="00E01837" w:rsidRPr="00A33264" w:rsidRDefault="00E01837" w:rsidP="00E01837">
            <w:pPr>
              <w:pStyle w:val="Tablebullet"/>
              <w:tabs>
                <w:tab w:val="num" w:pos="397"/>
              </w:tabs>
              <w:spacing w:before="0" w:after="0" w:line="240" w:lineRule="auto"/>
              <w:ind w:left="399" w:hanging="286"/>
              <w:contextualSpacing w:val="0"/>
              <w:rPr>
                <w:rFonts w:cs="Arial"/>
              </w:rPr>
            </w:pPr>
            <w:r>
              <w:rPr>
                <w:rFonts w:cs="Arial"/>
              </w:rPr>
              <w:t>E</w:t>
            </w:r>
            <w:r w:rsidRPr="00A33264">
              <w:rPr>
                <w:rFonts w:cs="Arial"/>
              </w:rPr>
              <w:t>mploy</w:t>
            </w:r>
            <w:r>
              <w:rPr>
                <w:rFonts w:cs="Arial"/>
              </w:rPr>
              <w:t>ment experience</w:t>
            </w:r>
            <w:r w:rsidRPr="00A33264">
              <w:rPr>
                <w:rFonts w:cs="Arial"/>
              </w:rPr>
              <w:t xml:space="preserve"> in the information technology industry, the disability sector and government</w:t>
            </w:r>
          </w:p>
        </w:tc>
        <w:tc>
          <w:tcPr>
            <w:tcW w:w="1559" w:type="dxa"/>
            <w:tcBorders>
              <w:top w:val="single" w:sz="4" w:space="0" w:color="656565"/>
              <w:left w:val="single" w:sz="4" w:space="0" w:color="656565"/>
              <w:bottom w:val="single" w:sz="4" w:space="0" w:color="656565"/>
              <w:right w:val="single" w:sz="4" w:space="0" w:color="656565"/>
            </w:tcBorders>
            <w:shd w:val="clear" w:color="auto" w:fill="F7EEF7"/>
          </w:tcPr>
          <w:p w14:paraId="40A22C05" w14:textId="77777777" w:rsidR="00E01837" w:rsidRPr="00A33264" w:rsidRDefault="00E01837">
            <w:pPr>
              <w:spacing w:after="0" w:line="264" w:lineRule="auto"/>
              <w:rPr>
                <w:lang w:val="en-GB"/>
              </w:rPr>
            </w:pPr>
            <w:r w:rsidRPr="00A33264">
              <w:rPr>
                <w:lang w:val="en-GB"/>
              </w:rPr>
              <w:t xml:space="preserve">Board </w:t>
            </w:r>
            <w:r>
              <w:rPr>
                <w:lang w:val="en-GB"/>
              </w:rPr>
              <w:t>m</w:t>
            </w:r>
            <w:r w:rsidRPr="00A33264">
              <w:rPr>
                <w:lang w:val="en-GB"/>
              </w:rPr>
              <w:t xml:space="preserve">ember / </w:t>
            </w:r>
            <w:r>
              <w:rPr>
                <w:lang w:val="en-GB"/>
              </w:rPr>
              <w:t>n</w:t>
            </w:r>
            <w:r w:rsidRPr="00A33264">
              <w:rPr>
                <w:lang w:val="en-GB"/>
              </w:rPr>
              <w:t>on-</w:t>
            </w:r>
            <w:r>
              <w:rPr>
                <w:lang w:val="en-GB"/>
              </w:rPr>
              <w:t>e</w:t>
            </w:r>
            <w:r w:rsidRPr="00A33264">
              <w:rPr>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F7EEF7"/>
          </w:tcPr>
          <w:p w14:paraId="287F96DB" w14:textId="77777777" w:rsidR="00E01837" w:rsidRPr="00A33264" w:rsidRDefault="00E01837">
            <w:pPr>
              <w:spacing w:after="0" w:line="264" w:lineRule="auto"/>
              <w:rPr>
                <w:lang w:val="en-GB"/>
              </w:rPr>
            </w:pPr>
            <w:r w:rsidRPr="00A33264">
              <w:rPr>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F7EEF7"/>
          </w:tcPr>
          <w:p w14:paraId="41CB1DA2" w14:textId="77777777" w:rsidR="00E01837" w:rsidRPr="00A33264" w:rsidRDefault="00E01837">
            <w:pPr>
              <w:spacing w:after="0" w:line="264" w:lineRule="auto"/>
              <w:rPr>
                <w:lang w:val="en-GB"/>
              </w:rPr>
            </w:pPr>
            <w:r w:rsidRPr="00A33264">
              <w:rPr>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F7EEF7"/>
          </w:tcPr>
          <w:p w14:paraId="283CB408" w14:textId="77777777" w:rsidR="00E01837" w:rsidRPr="00A33264" w:rsidRDefault="00E01837">
            <w:pPr>
              <w:spacing w:after="0" w:line="264" w:lineRule="auto"/>
              <w:jc w:val="right"/>
              <w:rPr>
                <w:lang w:val="en-GB"/>
              </w:rPr>
            </w:pPr>
            <w:r w:rsidRPr="00A33264">
              <w:rPr>
                <w:lang w:val="en-GB"/>
              </w:rPr>
              <w:t>11</w:t>
            </w:r>
          </w:p>
        </w:tc>
      </w:tr>
      <w:tr w:rsidR="00E01837" w:rsidRPr="00A33264" w14:paraId="21428D43"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auto"/>
          </w:tcPr>
          <w:p w14:paraId="38C18AC2" w14:textId="77777777" w:rsidR="00E01837" w:rsidRPr="00A33264" w:rsidRDefault="00E01837">
            <w:pPr>
              <w:spacing w:after="0" w:line="264" w:lineRule="auto"/>
              <w:rPr>
                <w:lang w:val="en-GB"/>
              </w:rPr>
            </w:pPr>
            <w:r w:rsidRPr="00A33264">
              <w:rPr>
                <w:lang w:val="en-GB"/>
              </w:rPr>
              <w:lastRenderedPageBreak/>
              <w:t>Dr Denis Napthine AO</w:t>
            </w:r>
          </w:p>
        </w:tc>
        <w:tc>
          <w:tcPr>
            <w:tcW w:w="1976" w:type="dxa"/>
            <w:tcBorders>
              <w:top w:val="single" w:sz="4" w:space="0" w:color="656565"/>
              <w:left w:val="single" w:sz="4" w:space="0" w:color="000000"/>
              <w:bottom w:val="single" w:sz="4" w:space="0" w:color="656565"/>
              <w:right w:val="single" w:sz="4" w:space="0" w:color="000000"/>
            </w:tcBorders>
            <w:shd w:val="clear" w:color="auto" w:fill="auto"/>
          </w:tcPr>
          <w:p w14:paraId="73F51009" w14:textId="14E5A248" w:rsidR="00E01837" w:rsidRPr="00A33264" w:rsidRDefault="00E01837">
            <w:pPr>
              <w:spacing w:after="0" w:line="264" w:lineRule="auto"/>
              <w:rPr>
                <w:lang w:val="en-GB"/>
              </w:rPr>
            </w:pPr>
            <w:r>
              <w:rPr>
                <w:lang w:val="en-GB"/>
              </w:rPr>
              <w:t>B</w:t>
            </w:r>
            <w:r w:rsidRPr="00333916">
              <w:rPr>
                <w:lang w:val="en-GB"/>
              </w:rPr>
              <w:t>VSc, MVetSc, University of Melbourne; M</w:t>
            </w:r>
            <w:r>
              <w:rPr>
                <w:lang w:val="en-GB"/>
              </w:rPr>
              <w:t>BA</w:t>
            </w:r>
            <w:r w:rsidRPr="00333916">
              <w:rPr>
                <w:lang w:val="en-GB"/>
              </w:rPr>
              <w:t>, Deakin University</w:t>
            </w:r>
          </w:p>
        </w:tc>
        <w:tc>
          <w:tcPr>
            <w:tcW w:w="3827" w:type="dxa"/>
            <w:tcBorders>
              <w:top w:val="single" w:sz="4" w:space="0" w:color="656565"/>
              <w:left w:val="single" w:sz="4" w:space="0" w:color="000000"/>
              <w:bottom w:val="single" w:sz="4" w:space="0" w:color="656565"/>
              <w:right w:val="single" w:sz="4" w:space="0" w:color="656565"/>
            </w:tcBorders>
            <w:shd w:val="clear" w:color="auto" w:fill="auto"/>
          </w:tcPr>
          <w:p w14:paraId="1B752820" w14:textId="77777777" w:rsidR="00E01837" w:rsidRDefault="00E01837" w:rsidP="00E01837">
            <w:pPr>
              <w:pStyle w:val="Tablebullet"/>
              <w:tabs>
                <w:tab w:val="num" w:pos="397"/>
              </w:tabs>
              <w:spacing w:before="0" w:after="0" w:line="240" w:lineRule="auto"/>
              <w:ind w:left="399" w:hanging="286"/>
              <w:contextualSpacing w:val="0"/>
            </w:pPr>
            <w:r w:rsidRPr="00A33264">
              <w:t>NDIA Board Chair</w:t>
            </w:r>
            <w:r>
              <w:t>, 2022</w:t>
            </w:r>
            <w:r w:rsidRPr="00A33264">
              <w:t xml:space="preserve"> </w:t>
            </w:r>
          </w:p>
          <w:p w14:paraId="78911B07" w14:textId="77777777" w:rsidR="00E01837" w:rsidRDefault="00E01837" w:rsidP="00E01837">
            <w:pPr>
              <w:pStyle w:val="Tablebullet"/>
              <w:tabs>
                <w:tab w:val="num" w:pos="397"/>
              </w:tabs>
              <w:spacing w:before="0" w:after="0" w:line="240" w:lineRule="auto"/>
              <w:ind w:left="399" w:hanging="286"/>
              <w:contextualSpacing w:val="0"/>
            </w:pPr>
            <w:r w:rsidRPr="00A33264">
              <w:t>Premier of Victoria</w:t>
            </w:r>
            <w:r>
              <w:t>, 2013–2014</w:t>
            </w:r>
          </w:p>
          <w:p w14:paraId="71C6DFB7" w14:textId="77777777" w:rsidR="00E01837" w:rsidRDefault="00E01837" w:rsidP="00E01837">
            <w:pPr>
              <w:pStyle w:val="Tablebullet"/>
              <w:tabs>
                <w:tab w:val="num" w:pos="397"/>
              </w:tabs>
              <w:spacing w:before="0" w:after="0" w:line="240" w:lineRule="auto"/>
              <w:ind w:left="399" w:hanging="286"/>
              <w:contextualSpacing w:val="0"/>
            </w:pPr>
            <w:r w:rsidRPr="00A33264">
              <w:t>Minister for Community Services</w:t>
            </w:r>
            <w:r>
              <w:t xml:space="preserve"> (</w:t>
            </w:r>
            <w:r w:rsidRPr="00A33264">
              <w:t>inc disability services</w:t>
            </w:r>
            <w:r>
              <w:t>), 1996–1999</w:t>
            </w:r>
            <w:r w:rsidRPr="00A33264">
              <w:t xml:space="preserve"> </w:t>
            </w:r>
          </w:p>
          <w:p w14:paraId="75815934" w14:textId="77777777" w:rsidR="00E01837" w:rsidRDefault="00E01837" w:rsidP="00E01837">
            <w:pPr>
              <w:pStyle w:val="Tablebullet"/>
              <w:tabs>
                <w:tab w:val="num" w:pos="397"/>
              </w:tabs>
              <w:spacing w:before="0" w:after="0" w:line="240" w:lineRule="auto"/>
              <w:ind w:left="399" w:hanging="286"/>
              <w:contextualSpacing w:val="0"/>
            </w:pPr>
            <w:r w:rsidRPr="00A33264">
              <w:t>Director</w:t>
            </w:r>
            <w:r>
              <w:t>,</w:t>
            </w:r>
            <w:r w:rsidRPr="00A33264">
              <w:t xml:space="preserve"> GMHBA Limited</w:t>
            </w:r>
          </w:p>
          <w:p w14:paraId="7E48051E" w14:textId="77777777" w:rsidR="00E01837" w:rsidRDefault="00E01837" w:rsidP="00E01837">
            <w:pPr>
              <w:pStyle w:val="Tablebullet"/>
              <w:tabs>
                <w:tab w:val="num" w:pos="397"/>
              </w:tabs>
              <w:spacing w:before="0" w:after="0" w:line="240" w:lineRule="auto"/>
              <w:ind w:left="399" w:hanging="286"/>
              <w:contextualSpacing w:val="0"/>
            </w:pPr>
            <w:r>
              <w:t>V</w:t>
            </w:r>
            <w:r w:rsidRPr="00A33264">
              <w:t>arious senior government positions</w:t>
            </w:r>
          </w:p>
          <w:p w14:paraId="2BF93906" w14:textId="77777777" w:rsidR="00E01837" w:rsidRPr="00A33264" w:rsidRDefault="00E01837" w:rsidP="00E01837">
            <w:pPr>
              <w:pStyle w:val="Tablebullet"/>
              <w:tabs>
                <w:tab w:val="num" w:pos="397"/>
              </w:tabs>
              <w:spacing w:before="0" w:after="0" w:line="240" w:lineRule="auto"/>
              <w:ind w:left="399" w:hanging="286"/>
              <w:contextualSpacing w:val="0"/>
            </w:pPr>
            <w:r>
              <w:t>E</w:t>
            </w:r>
            <w:r w:rsidRPr="00A33264">
              <w:t>xperience in disability services, financial management</w:t>
            </w:r>
            <w:r>
              <w:t xml:space="preserve"> and</w:t>
            </w:r>
            <w:r w:rsidRPr="00A33264">
              <w:t xml:space="preserve"> corporate governance </w:t>
            </w:r>
          </w:p>
        </w:tc>
        <w:tc>
          <w:tcPr>
            <w:tcW w:w="1559" w:type="dxa"/>
            <w:tcBorders>
              <w:top w:val="single" w:sz="4" w:space="0" w:color="656565"/>
              <w:left w:val="single" w:sz="4" w:space="0" w:color="656565"/>
              <w:bottom w:val="single" w:sz="4" w:space="0" w:color="656565"/>
              <w:right w:val="single" w:sz="4" w:space="0" w:color="656565"/>
            </w:tcBorders>
            <w:shd w:val="clear" w:color="auto" w:fill="auto"/>
          </w:tcPr>
          <w:p w14:paraId="130D6F07" w14:textId="77777777" w:rsidR="00E01837" w:rsidRPr="00A33264" w:rsidRDefault="00E01837">
            <w:pPr>
              <w:spacing w:after="0" w:line="264" w:lineRule="auto"/>
              <w:rPr>
                <w:lang w:val="en-GB"/>
              </w:rPr>
            </w:pPr>
            <w:r w:rsidRPr="00A33264">
              <w:rPr>
                <w:lang w:val="en-GB"/>
              </w:rPr>
              <w:t xml:space="preserve">Board </w:t>
            </w:r>
            <w:r>
              <w:rPr>
                <w:lang w:val="en-GB"/>
              </w:rPr>
              <w:t>m</w:t>
            </w:r>
            <w:r w:rsidRPr="00A33264">
              <w:rPr>
                <w:lang w:val="en-GB"/>
              </w:rPr>
              <w:t xml:space="preserve">ember / </w:t>
            </w:r>
            <w:r>
              <w:rPr>
                <w:lang w:val="en-GB"/>
              </w:rPr>
              <w:t>n</w:t>
            </w:r>
            <w:r w:rsidRPr="00A33264">
              <w:rPr>
                <w:lang w:val="en-GB"/>
              </w:rPr>
              <w:t>on-</w:t>
            </w:r>
            <w:r>
              <w:rPr>
                <w:lang w:val="en-GB"/>
              </w:rPr>
              <w:t>e</w:t>
            </w:r>
            <w:r w:rsidRPr="00A33264">
              <w:rPr>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auto"/>
          </w:tcPr>
          <w:p w14:paraId="05691CD7" w14:textId="77777777" w:rsidR="00E01837" w:rsidRPr="00A33264" w:rsidRDefault="00E01837">
            <w:pPr>
              <w:spacing w:after="0" w:line="264" w:lineRule="auto"/>
              <w:rPr>
                <w:lang w:val="en-GB"/>
              </w:rPr>
            </w:pPr>
            <w:r w:rsidRPr="00A33264">
              <w:rPr>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auto"/>
          </w:tcPr>
          <w:p w14:paraId="2C84078C" w14:textId="77777777" w:rsidR="00E01837" w:rsidRPr="00A33264" w:rsidRDefault="00E01837">
            <w:pPr>
              <w:spacing w:after="0" w:line="264" w:lineRule="auto"/>
              <w:rPr>
                <w:lang w:val="en-GB"/>
              </w:rPr>
            </w:pPr>
            <w:r w:rsidRPr="00A33264">
              <w:rPr>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auto"/>
          </w:tcPr>
          <w:p w14:paraId="60225C7A" w14:textId="77777777" w:rsidR="00E01837" w:rsidRPr="00A33264" w:rsidRDefault="00E01837">
            <w:pPr>
              <w:spacing w:after="0" w:line="264" w:lineRule="auto"/>
              <w:jc w:val="right"/>
              <w:rPr>
                <w:lang w:val="en-GB"/>
              </w:rPr>
            </w:pPr>
            <w:r w:rsidRPr="00A33264">
              <w:rPr>
                <w:lang w:val="en-GB"/>
              </w:rPr>
              <w:t>11</w:t>
            </w:r>
          </w:p>
        </w:tc>
      </w:tr>
      <w:tr w:rsidR="00E01837" w:rsidRPr="00A33264" w14:paraId="5DD772DA"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F7EEF7"/>
          </w:tcPr>
          <w:p w14:paraId="11320E1F" w14:textId="77777777" w:rsidR="00E01837" w:rsidRPr="002A6373" w:rsidRDefault="00E01837">
            <w:pPr>
              <w:spacing w:after="0" w:line="264" w:lineRule="auto"/>
              <w:rPr>
                <w:rFonts w:cs="Arial"/>
                <w:lang w:val="en-GB"/>
              </w:rPr>
            </w:pPr>
            <w:r w:rsidRPr="002A6373">
              <w:rPr>
                <w:rFonts w:cs="Arial"/>
                <w:lang w:val="en-GB"/>
              </w:rPr>
              <w:t>Ms Estelle Pearson</w:t>
            </w:r>
          </w:p>
        </w:tc>
        <w:tc>
          <w:tcPr>
            <w:tcW w:w="1976" w:type="dxa"/>
            <w:tcBorders>
              <w:top w:val="single" w:sz="4" w:space="0" w:color="656565"/>
              <w:left w:val="single" w:sz="4" w:space="0" w:color="000000"/>
              <w:bottom w:val="single" w:sz="4" w:space="0" w:color="656565"/>
              <w:right w:val="single" w:sz="4" w:space="0" w:color="000000"/>
            </w:tcBorders>
            <w:shd w:val="clear" w:color="auto" w:fill="F7EEF7"/>
          </w:tcPr>
          <w:p w14:paraId="48547961" w14:textId="77777777" w:rsidR="00E01837" w:rsidRPr="002A6373" w:rsidRDefault="00E01837">
            <w:pPr>
              <w:spacing w:after="0" w:line="264" w:lineRule="auto"/>
              <w:rPr>
                <w:rFonts w:cs="Arial"/>
                <w:lang w:val="en-GB"/>
              </w:rPr>
            </w:pPr>
            <w:r>
              <w:rPr>
                <w:rFonts w:cs="Arial"/>
                <w:lang w:val="en-GB"/>
              </w:rPr>
              <w:t>BA</w:t>
            </w:r>
            <w:r w:rsidRPr="00333916">
              <w:rPr>
                <w:rFonts w:cs="Arial"/>
                <w:lang w:val="en-GB"/>
              </w:rPr>
              <w:t xml:space="preserve"> (Hons) (Mathematics), University of Oxford; Fellow of the Institute of Actuaries of Australia</w:t>
            </w:r>
          </w:p>
        </w:tc>
        <w:tc>
          <w:tcPr>
            <w:tcW w:w="3827" w:type="dxa"/>
            <w:tcBorders>
              <w:top w:val="single" w:sz="4" w:space="0" w:color="656565"/>
              <w:left w:val="single" w:sz="4" w:space="0" w:color="000000"/>
              <w:bottom w:val="single" w:sz="4" w:space="0" w:color="656565"/>
              <w:right w:val="single" w:sz="4" w:space="0" w:color="656565"/>
            </w:tcBorders>
            <w:shd w:val="clear" w:color="auto" w:fill="F7EEF7"/>
          </w:tcPr>
          <w:p w14:paraId="6BC147F7" w14:textId="77777777" w:rsidR="00E01837" w:rsidRDefault="00E01837" w:rsidP="00E01837">
            <w:pPr>
              <w:pStyle w:val="Tablebullet"/>
              <w:tabs>
                <w:tab w:val="num" w:pos="397"/>
              </w:tabs>
              <w:spacing w:before="0" w:after="0" w:line="240" w:lineRule="auto"/>
              <w:ind w:left="399" w:hanging="286"/>
              <w:contextualSpacing w:val="0"/>
              <w:rPr>
                <w:rFonts w:cs="Arial"/>
              </w:rPr>
            </w:pPr>
            <w:r w:rsidRPr="0048732D">
              <w:rPr>
                <w:rFonts w:cs="Arial"/>
              </w:rPr>
              <w:t>Director</w:t>
            </w:r>
            <w:r>
              <w:rPr>
                <w:rFonts w:cs="Arial"/>
              </w:rPr>
              <w:t>,</w:t>
            </w:r>
            <w:r w:rsidRPr="0048732D">
              <w:rPr>
                <w:rFonts w:cs="Arial"/>
              </w:rPr>
              <w:t xml:space="preserve"> </w:t>
            </w:r>
            <w:r w:rsidRPr="00020F70">
              <w:t>Finity</w:t>
            </w:r>
            <w:r w:rsidRPr="0048732D">
              <w:rPr>
                <w:rFonts w:cs="Arial"/>
              </w:rPr>
              <w:t xml:space="preserve"> Consulting Pty Limited </w:t>
            </w:r>
          </w:p>
          <w:p w14:paraId="70F2C4BD" w14:textId="77777777" w:rsidR="00E01837" w:rsidRDefault="00E01837" w:rsidP="00E01837">
            <w:pPr>
              <w:pStyle w:val="Tablebullet"/>
              <w:tabs>
                <w:tab w:val="num" w:pos="397"/>
              </w:tabs>
              <w:spacing w:before="0" w:after="0" w:line="240" w:lineRule="auto"/>
              <w:ind w:left="399" w:hanging="286"/>
              <w:contextualSpacing w:val="0"/>
              <w:rPr>
                <w:rFonts w:cs="Arial"/>
              </w:rPr>
            </w:pPr>
            <w:r w:rsidRPr="0048732D">
              <w:rPr>
                <w:rFonts w:cs="Arial"/>
              </w:rPr>
              <w:t>President</w:t>
            </w:r>
            <w:r>
              <w:rPr>
                <w:rFonts w:cs="Arial"/>
              </w:rPr>
              <w:t>,</w:t>
            </w:r>
            <w:r w:rsidRPr="0048732D">
              <w:rPr>
                <w:rFonts w:cs="Arial"/>
              </w:rPr>
              <w:t xml:space="preserve"> Council of the Actuaries Institute, 2015</w:t>
            </w:r>
          </w:p>
          <w:p w14:paraId="2C728A29" w14:textId="77777777" w:rsidR="00E01837" w:rsidRPr="002A6373" w:rsidRDefault="00E01837" w:rsidP="00E01837">
            <w:pPr>
              <w:pStyle w:val="Tablebullet"/>
              <w:tabs>
                <w:tab w:val="num" w:pos="397"/>
              </w:tabs>
              <w:spacing w:before="0" w:after="0" w:line="240" w:lineRule="auto"/>
              <w:ind w:left="399" w:hanging="286"/>
              <w:contextualSpacing w:val="0"/>
              <w:rPr>
                <w:rFonts w:cs="Arial"/>
              </w:rPr>
            </w:pPr>
            <w:r>
              <w:rPr>
                <w:rFonts w:cs="Arial"/>
              </w:rPr>
              <w:t>A</w:t>
            </w:r>
            <w:r w:rsidRPr="0048732D">
              <w:rPr>
                <w:rFonts w:cs="Arial"/>
              </w:rPr>
              <w:t>ctuary and consultant since 1989</w:t>
            </w:r>
            <w:r>
              <w:rPr>
                <w:rFonts w:cs="Arial"/>
              </w:rPr>
              <w:t xml:space="preserve"> (inc e</w:t>
            </w:r>
            <w:r w:rsidRPr="0048732D">
              <w:rPr>
                <w:rFonts w:cs="Arial"/>
              </w:rPr>
              <w:t>xperience in insurance and injury compensation</w:t>
            </w:r>
            <w:r>
              <w:rPr>
                <w:rFonts w:cs="Arial"/>
              </w:rPr>
              <w:t>)</w:t>
            </w:r>
          </w:p>
        </w:tc>
        <w:tc>
          <w:tcPr>
            <w:tcW w:w="1559" w:type="dxa"/>
            <w:tcBorders>
              <w:top w:val="single" w:sz="4" w:space="0" w:color="656565"/>
              <w:left w:val="single" w:sz="4" w:space="0" w:color="656565"/>
              <w:bottom w:val="single" w:sz="4" w:space="0" w:color="656565"/>
              <w:right w:val="single" w:sz="4" w:space="0" w:color="656565"/>
            </w:tcBorders>
            <w:shd w:val="clear" w:color="auto" w:fill="F7EEF7"/>
          </w:tcPr>
          <w:p w14:paraId="412B1858" w14:textId="77777777" w:rsidR="00E01837" w:rsidRPr="002A6373" w:rsidRDefault="00E01837">
            <w:pPr>
              <w:spacing w:after="0" w:line="264" w:lineRule="auto"/>
              <w:rPr>
                <w:rFonts w:cs="Arial"/>
                <w:lang w:val="en-GB"/>
              </w:rPr>
            </w:pPr>
            <w:r w:rsidRPr="002A6373">
              <w:rPr>
                <w:rFonts w:cs="Arial"/>
                <w:lang w:val="en-GB"/>
              </w:rPr>
              <w:t xml:space="preserve">Board </w:t>
            </w:r>
            <w:r>
              <w:rPr>
                <w:rFonts w:cs="Arial"/>
                <w:lang w:val="en-GB"/>
              </w:rPr>
              <w:t>m</w:t>
            </w:r>
            <w:r w:rsidRPr="002A6373">
              <w:rPr>
                <w:rFonts w:cs="Arial"/>
                <w:lang w:val="en-GB"/>
              </w:rPr>
              <w:t xml:space="preserve">ember / </w:t>
            </w:r>
            <w:r>
              <w:rPr>
                <w:rFonts w:cs="Arial"/>
                <w:lang w:val="en-GB"/>
              </w:rPr>
              <w:t>n</w:t>
            </w:r>
            <w:r w:rsidRPr="002A6373">
              <w:rPr>
                <w:rFonts w:cs="Arial"/>
                <w:lang w:val="en-GB"/>
              </w:rPr>
              <w:t>on-</w:t>
            </w:r>
            <w:r>
              <w:rPr>
                <w:rFonts w:cs="Arial"/>
                <w:lang w:val="en-GB"/>
              </w:rPr>
              <w:t>e</w:t>
            </w:r>
            <w:r w:rsidRPr="002A6373">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F7EEF7"/>
          </w:tcPr>
          <w:p w14:paraId="2D51AC74" w14:textId="77777777" w:rsidR="00E01837" w:rsidRPr="002A6373" w:rsidRDefault="00E01837">
            <w:pPr>
              <w:spacing w:after="0" w:line="264" w:lineRule="auto"/>
              <w:rPr>
                <w:rFonts w:cs="Arial"/>
                <w:lang w:val="en-GB"/>
              </w:rPr>
            </w:pPr>
            <w:r w:rsidRPr="002A6373">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F7EEF7"/>
          </w:tcPr>
          <w:p w14:paraId="3151B8BB" w14:textId="77777777" w:rsidR="00E01837" w:rsidRPr="002A6373" w:rsidRDefault="00E01837">
            <w:pPr>
              <w:spacing w:after="0" w:line="264" w:lineRule="auto"/>
              <w:rPr>
                <w:rFonts w:cs="Arial"/>
                <w:lang w:val="en-GB"/>
              </w:rPr>
            </w:pPr>
            <w:r w:rsidRPr="002A6373">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F7EEF7"/>
          </w:tcPr>
          <w:p w14:paraId="2728A890" w14:textId="77777777" w:rsidR="00E01837" w:rsidRPr="002A6373" w:rsidRDefault="00E01837">
            <w:pPr>
              <w:spacing w:after="0" w:line="264" w:lineRule="auto"/>
              <w:jc w:val="right"/>
              <w:rPr>
                <w:rFonts w:cs="Arial"/>
                <w:lang w:val="en-GB"/>
              </w:rPr>
            </w:pPr>
            <w:r w:rsidRPr="002A6373">
              <w:rPr>
                <w:rFonts w:cs="Arial"/>
                <w:lang w:val="en-GB"/>
              </w:rPr>
              <w:t>9</w:t>
            </w:r>
          </w:p>
        </w:tc>
      </w:tr>
      <w:tr w:rsidR="00E01837" w:rsidRPr="00A33264" w14:paraId="4B6CA3A4" w14:textId="77777777" w:rsidTr="006418CC">
        <w:trPr>
          <w:cantSplit/>
          <w:trHeight w:val="519"/>
        </w:trPr>
        <w:tc>
          <w:tcPr>
            <w:tcW w:w="1984" w:type="dxa"/>
            <w:tcBorders>
              <w:top w:val="single" w:sz="4" w:space="0" w:color="656565"/>
              <w:left w:val="single" w:sz="4" w:space="0" w:color="000000"/>
              <w:bottom w:val="single" w:sz="4" w:space="0" w:color="656565"/>
              <w:right w:val="single" w:sz="4" w:space="0" w:color="000000"/>
            </w:tcBorders>
            <w:shd w:val="clear" w:color="auto" w:fill="auto"/>
          </w:tcPr>
          <w:p w14:paraId="2D5E0D88" w14:textId="77777777" w:rsidR="00E01837" w:rsidRPr="00A33264" w:rsidRDefault="00E01837">
            <w:pPr>
              <w:spacing w:after="0" w:line="264" w:lineRule="auto"/>
              <w:rPr>
                <w:rFonts w:cs="Arial"/>
                <w:lang w:val="en-GB"/>
              </w:rPr>
            </w:pPr>
            <w:r w:rsidRPr="00A33264">
              <w:rPr>
                <w:rFonts w:cs="Arial"/>
                <w:lang w:val="en-GB"/>
              </w:rPr>
              <w:lastRenderedPageBreak/>
              <w:t>Dr Peta Seaton AM</w:t>
            </w:r>
          </w:p>
        </w:tc>
        <w:tc>
          <w:tcPr>
            <w:tcW w:w="1976" w:type="dxa"/>
            <w:tcBorders>
              <w:top w:val="single" w:sz="4" w:space="0" w:color="656565"/>
              <w:left w:val="single" w:sz="4" w:space="0" w:color="000000"/>
              <w:bottom w:val="single" w:sz="4" w:space="0" w:color="656565"/>
              <w:right w:val="single" w:sz="4" w:space="0" w:color="000000"/>
            </w:tcBorders>
            <w:shd w:val="clear" w:color="auto" w:fill="auto"/>
          </w:tcPr>
          <w:p w14:paraId="0C39E94F" w14:textId="77777777" w:rsidR="00E01837" w:rsidRPr="00A33264" w:rsidRDefault="00E01837">
            <w:pPr>
              <w:spacing w:after="0" w:line="264" w:lineRule="auto"/>
              <w:rPr>
                <w:rFonts w:cs="Arial"/>
                <w:lang w:val="en-GB"/>
              </w:rPr>
            </w:pPr>
            <w:r>
              <w:rPr>
                <w:rFonts w:cs="Arial"/>
                <w:lang w:val="en-GB"/>
              </w:rPr>
              <w:t>BA</w:t>
            </w:r>
            <w:r w:rsidRPr="00333916">
              <w:rPr>
                <w:rFonts w:cs="Arial"/>
                <w:lang w:val="en-GB"/>
              </w:rPr>
              <w:t xml:space="preserve"> (Hons), </w:t>
            </w:r>
            <w:r>
              <w:rPr>
                <w:rFonts w:cs="Arial"/>
                <w:lang w:val="en-GB"/>
              </w:rPr>
              <w:t>PhD</w:t>
            </w:r>
            <w:r w:rsidRPr="00333916">
              <w:rPr>
                <w:rFonts w:cs="Arial"/>
                <w:lang w:val="en-GB"/>
              </w:rPr>
              <w:t xml:space="preserve">, University of Sydney; Graduate of the </w:t>
            </w:r>
            <w:r>
              <w:rPr>
                <w:rFonts w:cs="Arial"/>
                <w:lang w:val="en-GB"/>
              </w:rPr>
              <w:t>AICD</w:t>
            </w:r>
          </w:p>
        </w:tc>
        <w:tc>
          <w:tcPr>
            <w:tcW w:w="3827" w:type="dxa"/>
            <w:tcBorders>
              <w:top w:val="single" w:sz="4" w:space="0" w:color="656565"/>
              <w:left w:val="single" w:sz="4" w:space="0" w:color="000000"/>
              <w:bottom w:val="single" w:sz="4" w:space="0" w:color="656565"/>
              <w:right w:val="single" w:sz="4" w:space="0" w:color="656565"/>
            </w:tcBorders>
            <w:shd w:val="clear" w:color="auto" w:fill="auto"/>
          </w:tcPr>
          <w:p w14:paraId="24B83971" w14:textId="77777777" w:rsidR="00E01837" w:rsidRDefault="00E01837" w:rsidP="00E01837">
            <w:pPr>
              <w:pStyle w:val="TableParagraph"/>
              <w:numPr>
                <w:ilvl w:val="0"/>
                <w:numId w:val="16"/>
              </w:numPr>
              <w:spacing w:line="264" w:lineRule="auto"/>
              <w:rPr>
                <w:rFonts w:ascii="Arial" w:hAnsi="Arial" w:cs="Arial"/>
                <w:sz w:val="24"/>
                <w:szCs w:val="24"/>
                <w:lang w:val="en-GB"/>
              </w:rPr>
            </w:pPr>
            <w:r w:rsidRPr="00A33264">
              <w:rPr>
                <w:rFonts w:ascii="Arial" w:hAnsi="Arial" w:cs="Arial"/>
                <w:sz w:val="24"/>
                <w:szCs w:val="24"/>
                <w:lang w:val="en-GB"/>
              </w:rPr>
              <w:t>Chair</w:t>
            </w:r>
            <w:r>
              <w:rPr>
                <w:rFonts w:ascii="Arial" w:hAnsi="Arial" w:cs="Arial"/>
                <w:sz w:val="24"/>
                <w:szCs w:val="24"/>
                <w:lang w:val="en-GB"/>
              </w:rPr>
              <w:t>:</w:t>
            </w:r>
          </w:p>
          <w:p w14:paraId="4A80714D" w14:textId="77777777" w:rsidR="00E01837" w:rsidRPr="006602DA"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6602DA">
              <w:rPr>
                <w:rFonts w:eastAsia="Calibri" w:cs="Arial"/>
                <w:lang w:val="en-GB"/>
              </w:rPr>
              <w:t>Hearing Australia</w:t>
            </w:r>
          </w:p>
          <w:p w14:paraId="3C877B3A" w14:textId="77777777" w:rsidR="00E01837" w:rsidRPr="006602DA"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6602DA">
              <w:rPr>
                <w:rFonts w:eastAsia="Calibri" w:cs="Arial"/>
                <w:lang w:val="en-GB"/>
              </w:rPr>
              <w:t>Near Eastern Archaeology Foundation (University of Sydney)</w:t>
            </w:r>
          </w:p>
          <w:p w14:paraId="348F3B42" w14:textId="77777777" w:rsidR="00E01837" w:rsidRPr="00A33264" w:rsidRDefault="00E01837" w:rsidP="00E01837">
            <w:pPr>
              <w:pStyle w:val="TableParagraph"/>
              <w:numPr>
                <w:ilvl w:val="0"/>
                <w:numId w:val="16"/>
              </w:numPr>
              <w:spacing w:line="264" w:lineRule="auto"/>
              <w:rPr>
                <w:rFonts w:ascii="Arial" w:hAnsi="Arial" w:cs="Arial"/>
                <w:sz w:val="24"/>
                <w:szCs w:val="24"/>
                <w:lang w:val="en-GB"/>
              </w:rPr>
            </w:pPr>
            <w:r w:rsidRPr="00A33264">
              <w:rPr>
                <w:rFonts w:ascii="Arial" w:hAnsi="Arial" w:cs="Arial"/>
                <w:sz w:val="24"/>
                <w:szCs w:val="24"/>
                <w:lang w:val="en-GB"/>
              </w:rPr>
              <w:t xml:space="preserve">Deputy </w:t>
            </w:r>
            <w:r>
              <w:rPr>
                <w:rFonts w:ascii="Arial" w:hAnsi="Arial" w:cs="Arial"/>
                <w:sz w:val="24"/>
                <w:szCs w:val="24"/>
                <w:lang w:val="en-GB"/>
              </w:rPr>
              <w:t>c</w:t>
            </w:r>
            <w:r w:rsidRPr="00A33264">
              <w:rPr>
                <w:rFonts w:ascii="Arial" w:hAnsi="Arial" w:cs="Arial"/>
                <w:sz w:val="24"/>
                <w:szCs w:val="24"/>
                <w:lang w:val="en-GB"/>
              </w:rPr>
              <w:t>hair</w:t>
            </w:r>
            <w:r>
              <w:rPr>
                <w:rFonts w:ascii="Arial" w:hAnsi="Arial" w:cs="Arial"/>
                <w:sz w:val="24"/>
                <w:szCs w:val="24"/>
                <w:lang w:val="en-GB"/>
              </w:rPr>
              <w:t>,</w:t>
            </w:r>
            <w:r w:rsidRPr="00A33264">
              <w:rPr>
                <w:rFonts w:ascii="Arial" w:hAnsi="Arial" w:cs="Arial"/>
                <w:sz w:val="24"/>
                <w:szCs w:val="24"/>
                <w:lang w:val="en-GB"/>
              </w:rPr>
              <w:t xml:space="preserve"> Bradman Foundation</w:t>
            </w:r>
          </w:p>
          <w:p w14:paraId="75E12EFC" w14:textId="77777777" w:rsidR="00E01837" w:rsidRDefault="00E01837" w:rsidP="00E01837">
            <w:pPr>
              <w:pStyle w:val="TableParagraph"/>
              <w:numPr>
                <w:ilvl w:val="0"/>
                <w:numId w:val="16"/>
              </w:numPr>
              <w:spacing w:line="264" w:lineRule="auto"/>
              <w:rPr>
                <w:rFonts w:ascii="Arial" w:hAnsi="Arial" w:cs="Arial"/>
                <w:sz w:val="24"/>
                <w:szCs w:val="24"/>
                <w:lang w:val="en-GB"/>
              </w:rPr>
            </w:pPr>
            <w:r>
              <w:rPr>
                <w:rFonts w:ascii="Arial" w:hAnsi="Arial" w:cs="Arial"/>
                <w:sz w:val="24"/>
                <w:szCs w:val="24"/>
                <w:lang w:val="en-GB"/>
              </w:rPr>
              <w:t>Board member:</w:t>
            </w:r>
          </w:p>
          <w:p w14:paraId="5AD47BD9" w14:textId="77777777" w:rsidR="00E01837" w:rsidRPr="006602DA"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6602DA">
              <w:rPr>
                <w:rFonts w:eastAsia="Calibri" w:cs="Arial"/>
                <w:lang w:val="en-GB"/>
              </w:rPr>
              <w:t>Nepean Blue Mountains Local Health District</w:t>
            </w:r>
          </w:p>
          <w:p w14:paraId="24A008E1" w14:textId="77777777" w:rsidR="00E01837" w:rsidRPr="006602DA"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6602DA">
              <w:rPr>
                <w:rFonts w:eastAsia="Calibri" w:cs="Arial"/>
                <w:lang w:val="en-GB"/>
              </w:rPr>
              <w:t>Menzies Research Centre</w:t>
            </w:r>
          </w:p>
          <w:p w14:paraId="2A81596F" w14:textId="77777777" w:rsidR="00E01837" w:rsidRPr="006602DA"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6602DA">
              <w:rPr>
                <w:rFonts w:eastAsia="Calibri" w:cs="Arial"/>
                <w:lang w:val="en-GB"/>
              </w:rPr>
              <w:t>BDCU Alliance Bank</w:t>
            </w:r>
          </w:p>
          <w:p w14:paraId="3F50CBEB"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cs="Arial"/>
                <w:lang w:val="en-GB"/>
              </w:rPr>
            </w:pPr>
            <w:r w:rsidRPr="006602DA">
              <w:rPr>
                <w:rFonts w:eastAsia="Calibri" w:cs="Arial"/>
                <w:lang w:val="en-GB"/>
              </w:rPr>
              <w:t>CARE Australia</w:t>
            </w:r>
          </w:p>
          <w:p w14:paraId="19ABD2FC" w14:textId="77777777" w:rsidR="00E01837" w:rsidRDefault="00E01837" w:rsidP="00E01837">
            <w:pPr>
              <w:pStyle w:val="TableParagraph"/>
              <w:numPr>
                <w:ilvl w:val="0"/>
                <w:numId w:val="16"/>
              </w:numPr>
              <w:spacing w:line="264" w:lineRule="auto"/>
              <w:rPr>
                <w:rFonts w:ascii="Arial" w:hAnsi="Arial" w:cs="Arial"/>
                <w:sz w:val="24"/>
                <w:szCs w:val="24"/>
                <w:lang w:val="en-GB"/>
              </w:rPr>
            </w:pPr>
            <w:r w:rsidRPr="00020F70">
              <w:rPr>
                <w:rFonts w:ascii="Arial" w:hAnsi="Arial" w:cs="Arial"/>
                <w:sz w:val="24"/>
                <w:szCs w:val="24"/>
                <w:lang w:val="en-GB"/>
              </w:rPr>
              <w:t>Director of Transition and Director of Strategic Priorities (NSW Premier’s Office), 2011–2014</w:t>
            </w:r>
          </w:p>
          <w:p w14:paraId="6FC9D480" w14:textId="77777777" w:rsidR="00E01837" w:rsidRPr="00A33264" w:rsidRDefault="00E01837" w:rsidP="00E01837">
            <w:pPr>
              <w:pStyle w:val="TableParagraph"/>
              <w:numPr>
                <w:ilvl w:val="0"/>
                <w:numId w:val="16"/>
              </w:numPr>
              <w:spacing w:line="264" w:lineRule="auto"/>
              <w:rPr>
                <w:rFonts w:cs="Arial"/>
                <w:lang w:val="en-GB"/>
              </w:rPr>
            </w:pPr>
            <w:r w:rsidRPr="00020F70">
              <w:rPr>
                <w:rFonts w:ascii="Arial" w:hAnsi="Arial" w:cs="Arial"/>
                <w:sz w:val="24"/>
                <w:szCs w:val="24"/>
                <w:lang w:val="en-GB"/>
              </w:rPr>
              <w:t>NSW parliament</w:t>
            </w:r>
            <w:r>
              <w:rPr>
                <w:rFonts w:ascii="Arial" w:hAnsi="Arial" w:cs="Arial"/>
                <w:sz w:val="24"/>
                <w:szCs w:val="24"/>
                <w:lang w:val="en-GB"/>
              </w:rPr>
              <w:t>, 1996–2007</w:t>
            </w:r>
            <w:r w:rsidRPr="00020F70">
              <w:rPr>
                <w:rFonts w:ascii="Arial" w:hAnsi="Arial" w:cs="Arial"/>
                <w:sz w:val="24"/>
                <w:szCs w:val="24"/>
                <w:lang w:val="en-GB"/>
              </w:rPr>
              <w:t xml:space="preserve"> </w:t>
            </w:r>
          </w:p>
        </w:tc>
        <w:tc>
          <w:tcPr>
            <w:tcW w:w="1559" w:type="dxa"/>
            <w:tcBorders>
              <w:top w:val="single" w:sz="4" w:space="0" w:color="656565"/>
              <w:left w:val="single" w:sz="4" w:space="0" w:color="656565"/>
              <w:bottom w:val="single" w:sz="4" w:space="0" w:color="656565"/>
              <w:right w:val="single" w:sz="4" w:space="0" w:color="656565"/>
            </w:tcBorders>
            <w:shd w:val="clear" w:color="auto" w:fill="auto"/>
          </w:tcPr>
          <w:p w14:paraId="2CEA333A" w14:textId="77777777" w:rsidR="00E01837" w:rsidRPr="00A33264" w:rsidRDefault="00E01837">
            <w:pPr>
              <w:spacing w:after="0" w:line="264" w:lineRule="auto"/>
              <w:rPr>
                <w:rFonts w:cs="Arial"/>
                <w:lang w:val="en-GB"/>
              </w:rPr>
            </w:pPr>
            <w:r w:rsidRPr="00A33264">
              <w:rPr>
                <w:rFonts w:cs="Arial"/>
                <w:lang w:val="en-GB"/>
              </w:rPr>
              <w:t xml:space="preserve">Board </w:t>
            </w:r>
            <w:r>
              <w:rPr>
                <w:rFonts w:cs="Arial"/>
                <w:lang w:val="en-GB"/>
              </w:rPr>
              <w:t>m</w:t>
            </w:r>
            <w:r w:rsidRPr="00A33264">
              <w:rPr>
                <w:rFonts w:cs="Arial"/>
                <w:lang w:val="en-GB"/>
              </w:rPr>
              <w:t xml:space="preserve">ember / </w:t>
            </w:r>
            <w:r>
              <w:rPr>
                <w:rFonts w:cs="Arial"/>
                <w:lang w:val="en-GB"/>
              </w:rPr>
              <w:t>n</w:t>
            </w:r>
            <w:r w:rsidRPr="00A33264">
              <w:rPr>
                <w:rFonts w:cs="Arial"/>
                <w:lang w:val="en-GB"/>
              </w:rPr>
              <w:t>on-</w:t>
            </w:r>
            <w:r>
              <w:rPr>
                <w:rFonts w:cs="Arial"/>
                <w:lang w:val="en-GB"/>
              </w:rPr>
              <w:t>e</w:t>
            </w:r>
            <w:r w:rsidRPr="00A33264">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auto"/>
          </w:tcPr>
          <w:p w14:paraId="2FBC144F" w14:textId="77777777" w:rsidR="00E01837" w:rsidRPr="00A33264" w:rsidRDefault="00E01837">
            <w:pPr>
              <w:spacing w:after="0" w:line="264" w:lineRule="auto"/>
              <w:rPr>
                <w:rFonts w:cs="Arial"/>
                <w:lang w:val="en-GB"/>
              </w:rPr>
            </w:pPr>
            <w:r w:rsidRPr="00A33264">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auto"/>
          </w:tcPr>
          <w:p w14:paraId="5D63E52D" w14:textId="77777777" w:rsidR="00E01837" w:rsidRPr="00A33264" w:rsidRDefault="00E01837">
            <w:pPr>
              <w:spacing w:after="0" w:line="264" w:lineRule="auto"/>
              <w:rPr>
                <w:rFonts w:cs="Arial"/>
                <w:lang w:val="en-GB"/>
              </w:rPr>
            </w:pPr>
            <w:r w:rsidRPr="00A33264">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auto"/>
          </w:tcPr>
          <w:p w14:paraId="5C5BDE51" w14:textId="77777777" w:rsidR="00E01837" w:rsidRPr="00A33264" w:rsidRDefault="00E01837">
            <w:pPr>
              <w:spacing w:after="0" w:line="264" w:lineRule="auto"/>
              <w:jc w:val="right"/>
              <w:rPr>
                <w:rFonts w:cs="Arial"/>
                <w:lang w:val="en-GB"/>
              </w:rPr>
            </w:pPr>
            <w:r w:rsidRPr="00A33264">
              <w:rPr>
                <w:rFonts w:cs="Arial"/>
                <w:lang w:val="en-GB"/>
              </w:rPr>
              <w:t>10</w:t>
            </w:r>
          </w:p>
        </w:tc>
      </w:tr>
      <w:tr w:rsidR="00E01837" w:rsidRPr="00A33264" w14:paraId="22A92414"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F7EEF7"/>
          </w:tcPr>
          <w:p w14:paraId="21CE98BB" w14:textId="77777777" w:rsidR="00E01837" w:rsidRPr="002A6373" w:rsidRDefault="00E01837">
            <w:pPr>
              <w:spacing w:after="0" w:line="264" w:lineRule="auto"/>
              <w:rPr>
                <w:rFonts w:cs="Arial"/>
                <w:lang w:val="en-GB"/>
              </w:rPr>
            </w:pPr>
            <w:r w:rsidRPr="002A6373">
              <w:rPr>
                <w:rFonts w:cs="Arial"/>
                <w:lang w:val="en-GB"/>
              </w:rPr>
              <w:t>Ms Meredith Allan</w:t>
            </w:r>
          </w:p>
        </w:tc>
        <w:tc>
          <w:tcPr>
            <w:tcW w:w="1976" w:type="dxa"/>
            <w:tcBorders>
              <w:top w:val="single" w:sz="4" w:space="0" w:color="656565"/>
              <w:left w:val="single" w:sz="4" w:space="0" w:color="000000"/>
              <w:bottom w:val="single" w:sz="4" w:space="0" w:color="656565"/>
              <w:right w:val="single" w:sz="4" w:space="0" w:color="000000"/>
            </w:tcBorders>
            <w:shd w:val="clear" w:color="auto" w:fill="F7EEF7"/>
          </w:tcPr>
          <w:p w14:paraId="0DC602B9" w14:textId="77777777" w:rsidR="00E01837" w:rsidRPr="002A6373" w:rsidRDefault="00E01837">
            <w:pPr>
              <w:spacing w:after="0" w:line="264" w:lineRule="auto"/>
              <w:rPr>
                <w:rFonts w:cs="Arial"/>
                <w:lang w:val="en-GB"/>
              </w:rPr>
            </w:pPr>
            <w:r w:rsidRPr="00333916">
              <w:rPr>
                <w:rFonts w:cs="Arial"/>
                <w:lang w:val="en-GB"/>
              </w:rPr>
              <w:t>B</w:t>
            </w:r>
            <w:r>
              <w:rPr>
                <w:rFonts w:cs="Arial"/>
                <w:lang w:val="en-GB"/>
              </w:rPr>
              <w:t>E</w:t>
            </w:r>
            <w:r w:rsidRPr="00333916">
              <w:rPr>
                <w:rFonts w:cs="Arial"/>
                <w:lang w:val="en-GB"/>
              </w:rPr>
              <w:t>c</w:t>
            </w:r>
            <w:r>
              <w:rPr>
                <w:rFonts w:cs="Arial"/>
                <w:lang w:val="en-GB"/>
              </w:rPr>
              <w:t>,</w:t>
            </w:r>
            <w:r w:rsidRPr="00333916">
              <w:rPr>
                <w:rFonts w:cs="Arial"/>
                <w:lang w:val="en-GB"/>
              </w:rPr>
              <w:t xml:space="preserve"> </w:t>
            </w:r>
            <w:r>
              <w:rPr>
                <w:rFonts w:cs="Arial"/>
                <w:lang w:val="en-GB"/>
              </w:rPr>
              <w:t>BA</w:t>
            </w:r>
            <w:r w:rsidRPr="00333916">
              <w:rPr>
                <w:rFonts w:cs="Arial"/>
                <w:lang w:val="en-GB"/>
              </w:rPr>
              <w:t>, Monash University</w:t>
            </w:r>
          </w:p>
        </w:tc>
        <w:tc>
          <w:tcPr>
            <w:tcW w:w="3827" w:type="dxa"/>
            <w:tcBorders>
              <w:top w:val="single" w:sz="4" w:space="0" w:color="656565"/>
              <w:left w:val="single" w:sz="4" w:space="0" w:color="000000"/>
              <w:bottom w:val="single" w:sz="4" w:space="0" w:color="656565"/>
              <w:right w:val="single" w:sz="4" w:space="0" w:color="656565"/>
            </w:tcBorders>
            <w:shd w:val="clear" w:color="auto" w:fill="F7EEF7"/>
          </w:tcPr>
          <w:p w14:paraId="00631CF2" w14:textId="4254C328"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 xml:space="preserve">President, International Society of Alternative and </w:t>
            </w:r>
            <w:r w:rsidRPr="00020F70">
              <w:rPr>
                <w:rFonts w:ascii="Arial" w:hAnsi="Arial" w:cs="Arial"/>
                <w:sz w:val="24"/>
                <w:szCs w:val="24"/>
                <w:lang w:val="en-GB"/>
              </w:rPr>
              <w:t>Augmentative</w:t>
            </w:r>
            <w:r w:rsidRPr="00091469">
              <w:rPr>
                <w:rFonts w:ascii="Arial" w:hAnsi="Arial" w:cs="Arial"/>
                <w:sz w:val="24"/>
                <w:szCs w:val="24"/>
                <w:lang w:val="en-GB"/>
              </w:rPr>
              <w:t xml:space="preserve"> Communication</w:t>
            </w:r>
            <w:r>
              <w:rPr>
                <w:rFonts w:ascii="Arial" w:hAnsi="Arial" w:cs="Arial"/>
                <w:sz w:val="24"/>
                <w:szCs w:val="24"/>
                <w:lang w:val="en-GB"/>
              </w:rPr>
              <w:t>, 2018–2020</w:t>
            </w:r>
            <w:r w:rsidRPr="00091469">
              <w:rPr>
                <w:rFonts w:ascii="Arial" w:hAnsi="Arial" w:cs="Arial"/>
                <w:sz w:val="24"/>
                <w:szCs w:val="24"/>
                <w:lang w:val="en-GB"/>
              </w:rPr>
              <w:t xml:space="preserve"> </w:t>
            </w:r>
          </w:p>
        </w:tc>
        <w:tc>
          <w:tcPr>
            <w:tcW w:w="1559" w:type="dxa"/>
            <w:tcBorders>
              <w:top w:val="single" w:sz="4" w:space="0" w:color="656565"/>
              <w:left w:val="single" w:sz="4" w:space="0" w:color="656565"/>
              <w:bottom w:val="single" w:sz="4" w:space="0" w:color="656565"/>
              <w:right w:val="single" w:sz="4" w:space="0" w:color="656565"/>
            </w:tcBorders>
            <w:shd w:val="clear" w:color="auto" w:fill="F7EEF7"/>
          </w:tcPr>
          <w:p w14:paraId="755A2A0E" w14:textId="77777777" w:rsidR="00E01837" w:rsidRPr="002A6373" w:rsidRDefault="00E01837">
            <w:pPr>
              <w:spacing w:after="0" w:line="264" w:lineRule="auto"/>
              <w:rPr>
                <w:rFonts w:cs="Arial"/>
                <w:lang w:val="en-GB"/>
              </w:rPr>
            </w:pPr>
            <w:r>
              <w:rPr>
                <w:rFonts w:cs="Arial"/>
                <w:lang w:val="en-GB"/>
              </w:rPr>
              <w:t>B</w:t>
            </w:r>
            <w:r w:rsidRPr="002A6373">
              <w:rPr>
                <w:rFonts w:cs="Arial"/>
                <w:lang w:val="en-GB"/>
              </w:rPr>
              <w:t xml:space="preserve">oard </w:t>
            </w:r>
            <w:r>
              <w:rPr>
                <w:rFonts w:cs="Arial"/>
                <w:lang w:val="en-GB"/>
              </w:rPr>
              <w:t>m</w:t>
            </w:r>
            <w:r w:rsidRPr="002A6373">
              <w:rPr>
                <w:rFonts w:cs="Arial"/>
                <w:lang w:val="en-GB"/>
              </w:rPr>
              <w:t xml:space="preserve">ember / </w:t>
            </w:r>
            <w:r>
              <w:rPr>
                <w:rFonts w:cs="Arial"/>
                <w:lang w:val="en-GB"/>
              </w:rPr>
              <w:t>n</w:t>
            </w:r>
            <w:r w:rsidRPr="002A6373">
              <w:rPr>
                <w:rFonts w:cs="Arial"/>
                <w:lang w:val="en-GB"/>
              </w:rPr>
              <w:t>on-</w:t>
            </w:r>
            <w:r>
              <w:rPr>
                <w:rFonts w:cs="Arial"/>
                <w:lang w:val="en-GB"/>
              </w:rPr>
              <w:t>e</w:t>
            </w:r>
            <w:r w:rsidRPr="002A6373">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F7EEF7"/>
          </w:tcPr>
          <w:p w14:paraId="1F0C597E" w14:textId="77777777" w:rsidR="00E01837" w:rsidRPr="002A6373" w:rsidRDefault="00E01837">
            <w:pPr>
              <w:spacing w:after="0" w:line="264" w:lineRule="auto"/>
              <w:rPr>
                <w:rFonts w:cs="Arial"/>
                <w:lang w:val="en-GB"/>
              </w:rPr>
            </w:pPr>
            <w:r w:rsidRPr="002A6373">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F7EEF7"/>
          </w:tcPr>
          <w:p w14:paraId="37D2091F" w14:textId="77777777" w:rsidR="00E01837" w:rsidRPr="002A6373" w:rsidRDefault="00E01837">
            <w:pPr>
              <w:spacing w:after="0" w:line="264" w:lineRule="auto"/>
              <w:rPr>
                <w:rFonts w:cs="Arial"/>
                <w:lang w:val="en-GB"/>
              </w:rPr>
            </w:pPr>
            <w:r w:rsidRPr="002A6373">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F7EEF7"/>
          </w:tcPr>
          <w:p w14:paraId="0FB4B5A5" w14:textId="77777777" w:rsidR="00E01837" w:rsidRPr="002A6373" w:rsidRDefault="00E01837">
            <w:pPr>
              <w:spacing w:after="0" w:line="264" w:lineRule="auto"/>
              <w:jc w:val="right"/>
              <w:rPr>
                <w:rFonts w:cs="Arial"/>
                <w:lang w:val="en-GB"/>
              </w:rPr>
            </w:pPr>
            <w:r w:rsidRPr="002A6373">
              <w:rPr>
                <w:rFonts w:cs="Arial"/>
                <w:lang w:val="en-GB"/>
              </w:rPr>
              <w:t>11</w:t>
            </w:r>
          </w:p>
        </w:tc>
      </w:tr>
      <w:tr w:rsidR="00E01837" w:rsidRPr="00A33264" w14:paraId="39038C1C"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auto"/>
          </w:tcPr>
          <w:p w14:paraId="4DD9E264" w14:textId="77777777" w:rsidR="00E01837" w:rsidRPr="002A6373" w:rsidRDefault="00E01837">
            <w:pPr>
              <w:spacing w:after="0" w:line="264" w:lineRule="auto"/>
              <w:rPr>
                <w:rFonts w:cs="Arial"/>
                <w:lang w:val="en-GB"/>
              </w:rPr>
            </w:pPr>
            <w:r w:rsidRPr="002A6373">
              <w:rPr>
                <w:rFonts w:cs="Arial"/>
                <w:lang w:val="en-GB"/>
              </w:rPr>
              <w:lastRenderedPageBreak/>
              <w:t>Ms Leah van Poppel</w:t>
            </w:r>
          </w:p>
        </w:tc>
        <w:tc>
          <w:tcPr>
            <w:tcW w:w="1976" w:type="dxa"/>
            <w:tcBorders>
              <w:top w:val="single" w:sz="4" w:space="0" w:color="656565"/>
              <w:left w:val="single" w:sz="4" w:space="0" w:color="000000"/>
              <w:bottom w:val="single" w:sz="4" w:space="0" w:color="656565"/>
              <w:right w:val="single" w:sz="4" w:space="0" w:color="000000"/>
            </w:tcBorders>
            <w:shd w:val="clear" w:color="auto" w:fill="auto"/>
          </w:tcPr>
          <w:p w14:paraId="3ACEE8FA" w14:textId="77777777" w:rsidR="00E01837" w:rsidRPr="002A6373" w:rsidRDefault="00E01837">
            <w:pPr>
              <w:spacing w:after="0" w:line="264" w:lineRule="auto"/>
              <w:rPr>
                <w:rFonts w:cs="Arial"/>
                <w:lang w:val="en-GB"/>
              </w:rPr>
            </w:pPr>
            <w:r>
              <w:rPr>
                <w:rFonts w:cs="Arial"/>
                <w:lang w:val="en-GB"/>
              </w:rPr>
              <w:t>BA</w:t>
            </w:r>
            <w:r w:rsidRPr="002A6373">
              <w:rPr>
                <w:rFonts w:cs="Arial"/>
                <w:lang w:val="en-GB"/>
              </w:rPr>
              <w:t>, Macquarie University</w:t>
            </w:r>
          </w:p>
        </w:tc>
        <w:tc>
          <w:tcPr>
            <w:tcW w:w="3827" w:type="dxa"/>
            <w:tcBorders>
              <w:top w:val="single" w:sz="4" w:space="0" w:color="656565"/>
              <w:left w:val="single" w:sz="4" w:space="0" w:color="000000"/>
              <w:bottom w:val="single" w:sz="4" w:space="0" w:color="656565"/>
              <w:right w:val="single" w:sz="4" w:space="0" w:color="656565"/>
            </w:tcBorders>
            <w:shd w:val="clear" w:color="auto" w:fill="auto"/>
          </w:tcPr>
          <w:p w14:paraId="2ECC7FB6" w14:textId="77777777"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Chair, Victorian NDIS Community Advisory Council</w:t>
            </w:r>
          </w:p>
          <w:p w14:paraId="764C2821" w14:textId="77777777"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Principal Member, NDIS Independent Advisory Council</w:t>
            </w:r>
          </w:p>
          <w:p w14:paraId="62AC70F9" w14:textId="77777777"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CEO, Women with Disabilities Victoria, 2018–2021</w:t>
            </w:r>
          </w:p>
          <w:p w14:paraId="0C76EB62" w14:textId="77777777"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CEO, Blind Citizens Australia</w:t>
            </w:r>
          </w:p>
          <w:p w14:paraId="4930C9CB" w14:textId="77777777"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Manager, Youth Disability Advocacy Service</w:t>
            </w:r>
          </w:p>
          <w:p w14:paraId="6FBA5D9D" w14:textId="77777777" w:rsidR="00E01837" w:rsidRPr="00091469" w:rsidRDefault="00E01837" w:rsidP="00E01837">
            <w:pPr>
              <w:pStyle w:val="TableParagraph"/>
              <w:numPr>
                <w:ilvl w:val="0"/>
                <w:numId w:val="16"/>
              </w:numPr>
              <w:spacing w:line="264" w:lineRule="auto"/>
              <w:rPr>
                <w:rFonts w:ascii="Arial" w:hAnsi="Arial" w:cs="Arial"/>
                <w:sz w:val="24"/>
                <w:szCs w:val="24"/>
                <w:lang w:val="en-GB"/>
              </w:rPr>
            </w:pPr>
            <w:r w:rsidRPr="00091469">
              <w:rPr>
                <w:rFonts w:ascii="Arial" w:hAnsi="Arial" w:cs="Arial"/>
                <w:sz w:val="24"/>
                <w:szCs w:val="24"/>
                <w:lang w:val="en-GB"/>
              </w:rPr>
              <w:t>NDIS Readiness Project Officer, Australian Federation of Disability Organisations</w:t>
            </w:r>
          </w:p>
        </w:tc>
        <w:tc>
          <w:tcPr>
            <w:tcW w:w="1559" w:type="dxa"/>
            <w:tcBorders>
              <w:top w:val="single" w:sz="4" w:space="0" w:color="656565"/>
              <w:left w:val="single" w:sz="4" w:space="0" w:color="656565"/>
              <w:bottom w:val="single" w:sz="4" w:space="0" w:color="656565"/>
              <w:right w:val="single" w:sz="4" w:space="0" w:color="656565"/>
            </w:tcBorders>
            <w:shd w:val="clear" w:color="auto" w:fill="auto"/>
          </w:tcPr>
          <w:p w14:paraId="5BA64D50" w14:textId="77777777" w:rsidR="00E01837" w:rsidRPr="002A6373" w:rsidRDefault="00E01837">
            <w:pPr>
              <w:spacing w:after="0" w:line="264" w:lineRule="auto"/>
              <w:rPr>
                <w:rFonts w:cs="Arial"/>
                <w:lang w:val="en-GB"/>
              </w:rPr>
            </w:pPr>
            <w:r w:rsidRPr="002A6373">
              <w:rPr>
                <w:rFonts w:cs="Arial"/>
                <w:lang w:val="en-GB"/>
              </w:rPr>
              <w:t xml:space="preserve">Board </w:t>
            </w:r>
            <w:r>
              <w:rPr>
                <w:rFonts w:cs="Arial"/>
                <w:lang w:val="en-GB"/>
              </w:rPr>
              <w:t>m</w:t>
            </w:r>
            <w:r w:rsidRPr="002A6373">
              <w:rPr>
                <w:rFonts w:cs="Arial"/>
                <w:lang w:val="en-GB"/>
              </w:rPr>
              <w:t xml:space="preserve">ember / </w:t>
            </w:r>
            <w:r>
              <w:rPr>
                <w:rFonts w:cs="Arial"/>
                <w:lang w:val="en-GB"/>
              </w:rPr>
              <w:t>n</w:t>
            </w:r>
            <w:r w:rsidRPr="002A6373">
              <w:rPr>
                <w:rFonts w:cs="Arial"/>
                <w:lang w:val="en-GB"/>
              </w:rPr>
              <w:t>on-</w:t>
            </w:r>
            <w:r>
              <w:rPr>
                <w:rFonts w:cs="Arial"/>
                <w:lang w:val="en-GB"/>
              </w:rPr>
              <w:t>e</w:t>
            </w:r>
            <w:r w:rsidRPr="002A6373">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auto"/>
          </w:tcPr>
          <w:p w14:paraId="15F0EAE1" w14:textId="77777777" w:rsidR="00E01837" w:rsidRPr="002A6373" w:rsidRDefault="00E01837">
            <w:pPr>
              <w:spacing w:after="0" w:line="264" w:lineRule="auto"/>
              <w:rPr>
                <w:rFonts w:cs="Arial"/>
                <w:lang w:val="en-GB"/>
              </w:rPr>
            </w:pPr>
            <w:r w:rsidRPr="002A6373">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auto"/>
          </w:tcPr>
          <w:p w14:paraId="566F7408" w14:textId="77777777" w:rsidR="00E01837" w:rsidRPr="002A6373" w:rsidRDefault="00E01837">
            <w:pPr>
              <w:spacing w:after="0" w:line="264" w:lineRule="auto"/>
              <w:rPr>
                <w:rFonts w:cs="Arial"/>
                <w:lang w:val="en-GB"/>
              </w:rPr>
            </w:pPr>
            <w:r w:rsidRPr="002A6373">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auto"/>
          </w:tcPr>
          <w:p w14:paraId="0CC33CE3" w14:textId="77777777" w:rsidR="00E01837" w:rsidRPr="002A6373" w:rsidRDefault="00E01837">
            <w:pPr>
              <w:spacing w:after="0" w:line="264" w:lineRule="auto"/>
              <w:jc w:val="right"/>
              <w:rPr>
                <w:rFonts w:cs="Arial"/>
                <w:lang w:val="en-GB"/>
              </w:rPr>
            </w:pPr>
            <w:r w:rsidRPr="002A6373">
              <w:rPr>
                <w:rFonts w:cs="Arial"/>
                <w:lang w:val="en-GB"/>
              </w:rPr>
              <w:t>10</w:t>
            </w:r>
          </w:p>
        </w:tc>
      </w:tr>
      <w:tr w:rsidR="00E01837" w:rsidRPr="00A33264" w14:paraId="7BE1CA65"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F7EEF7"/>
          </w:tcPr>
          <w:p w14:paraId="5822D820" w14:textId="77777777" w:rsidR="00E01837" w:rsidRPr="00A33264" w:rsidRDefault="00E01837">
            <w:pPr>
              <w:spacing w:after="0" w:line="264" w:lineRule="auto"/>
              <w:rPr>
                <w:rFonts w:cs="Arial"/>
                <w:lang w:val="en-GB"/>
              </w:rPr>
            </w:pPr>
            <w:r w:rsidRPr="00A33264">
              <w:rPr>
                <w:rFonts w:cs="Arial"/>
                <w:lang w:val="en-GB"/>
              </w:rPr>
              <w:t>Mrs Joan McKenna Kerr</w:t>
            </w:r>
          </w:p>
        </w:tc>
        <w:tc>
          <w:tcPr>
            <w:tcW w:w="1976" w:type="dxa"/>
            <w:tcBorders>
              <w:top w:val="single" w:sz="4" w:space="0" w:color="656565"/>
              <w:left w:val="single" w:sz="4" w:space="0" w:color="000000"/>
              <w:bottom w:val="single" w:sz="4" w:space="0" w:color="656565"/>
              <w:right w:val="single" w:sz="4" w:space="0" w:color="000000"/>
            </w:tcBorders>
            <w:shd w:val="clear" w:color="auto" w:fill="F7EEF7"/>
          </w:tcPr>
          <w:p w14:paraId="4BCA282E" w14:textId="77777777" w:rsidR="00E01837" w:rsidRPr="00A33264" w:rsidRDefault="00E01837">
            <w:pPr>
              <w:spacing w:after="0" w:line="264" w:lineRule="auto"/>
              <w:rPr>
                <w:rFonts w:cs="Arial"/>
                <w:lang w:val="en-GB"/>
              </w:rPr>
            </w:pPr>
            <w:r>
              <w:rPr>
                <w:rFonts w:cs="Arial"/>
                <w:lang w:val="en-GB"/>
              </w:rPr>
              <w:t>BA</w:t>
            </w:r>
            <w:r w:rsidRPr="00A33264">
              <w:rPr>
                <w:rFonts w:cs="Arial"/>
                <w:lang w:val="en-GB"/>
              </w:rPr>
              <w:t>, Moderatorship in Sociology, Trinity College, Dublin</w:t>
            </w:r>
          </w:p>
        </w:tc>
        <w:tc>
          <w:tcPr>
            <w:tcW w:w="3827" w:type="dxa"/>
            <w:tcBorders>
              <w:top w:val="single" w:sz="4" w:space="0" w:color="656565"/>
              <w:left w:val="single" w:sz="4" w:space="0" w:color="000000"/>
              <w:bottom w:val="single" w:sz="4" w:space="0" w:color="656565"/>
              <w:right w:val="single" w:sz="4" w:space="0" w:color="656565"/>
            </w:tcBorders>
            <w:shd w:val="clear" w:color="auto" w:fill="F7EEF7"/>
          </w:tcPr>
          <w:p w14:paraId="25743D69" w14:textId="77777777" w:rsidR="00E01837" w:rsidRPr="00C669F2" w:rsidRDefault="00E01837" w:rsidP="00E01837">
            <w:pPr>
              <w:pStyle w:val="TableParagraph"/>
              <w:numPr>
                <w:ilvl w:val="0"/>
                <w:numId w:val="12"/>
              </w:numPr>
              <w:spacing w:line="264" w:lineRule="auto"/>
              <w:ind w:left="360"/>
              <w:rPr>
                <w:rFonts w:ascii="Arial" w:hAnsi="Arial" w:cs="Arial"/>
                <w:sz w:val="24"/>
                <w:szCs w:val="24"/>
                <w:lang w:val="en-GB"/>
              </w:rPr>
            </w:pPr>
            <w:r w:rsidRPr="00C669F2">
              <w:rPr>
                <w:rFonts w:ascii="Arial" w:hAnsi="Arial" w:cs="Arial"/>
                <w:sz w:val="24"/>
                <w:szCs w:val="24"/>
                <w:lang w:val="en-GB"/>
              </w:rPr>
              <w:t>Convenor, Asia Pacific Autism Conference 2025</w:t>
            </w:r>
          </w:p>
          <w:p w14:paraId="7764B0AB" w14:textId="77777777" w:rsidR="00E01837" w:rsidRDefault="00E01837" w:rsidP="00E01837">
            <w:pPr>
              <w:pStyle w:val="TableParagraph"/>
              <w:numPr>
                <w:ilvl w:val="0"/>
                <w:numId w:val="12"/>
              </w:numPr>
              <w:spacing w:line="264" w:lineRule="auto"/>
              <w:ind w:left="360"/>
              <w:rPr>
                <w:rFonts w:ascii="Arial" w:hAnsi="Arial" w:cs="Arial"/>
                <w:sz w:val="24"/>
                <w:szCs w:val="24"/>
                <w:lang w:val="en-GB"/>
              </w:rPr>
            </w:pPr>
            <w:r>
              <w:rPr>
                <w:rFonts w:ascii="Arial" w:hAnsi="Arial" w:cs="Arial"/>
                <w:sz w:val="24"/>
                <w:szCs w:val="24"/>
                <w:lang w:val="en-GB"/>
              </w:rPr>
              <w:t>M</w:t>
            </w:r>
            <w:r w:rsidRPr="00407238">
              <w:rPr>
                <w:rFonts w:ascii="Arial" w:hAnsi="Arial" w:cs="Arial"/>
                <w:sz w:val="24"/>
                <w:szCs w:val="24"/>
                <w:lang w:val="en-GB"/>
              </w:rPr>
              <w:t>ember</w:t>
            </w:r>
            <w:r>
              <w:rPr>
                <w:rFonts w:ascii="Arial" w:hAnsi="Arial" w:cs="Arial"/>
                <w:sz w:val="24"/>
                <w:szCs w:val="24"/>
                <w:lang w:val="en-GB"/>
              </w:rPr>
              <w:t>:</w:t>
            </w:r>
          </w:p>
          <w:p w14:paraId="6CDA93EB" w14:textId="77777777" w:rsidR="00E01837" w:rsidRPr="002741FD"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2741FD">
              <w:rPr>
                <w:rFonts w:eastAsia="Calibri" w:cs="Arial"/>
                <w:lang w:val="en-GB"/>
              </w:rPr>
              <w:t>expert advisory group on the development and establishment of the NDIS</w:t>
            </w:r>
          </w:p>
          <w:p w14:paraId="18698BB2" w14:textId="77777777" w:rsidR="00E01837" w:rsidRPr="002741FD"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2741FD">
              <w:rPr>
                <w:rFonts w:eastAsia="Calibri" w:cs="Arial"/>
                <w:lang w:val="en-GB"/>
              </w:rPr>
              <w:t xml:space="preserve">NDIS Independent Advisory Council </w:t>
            </w:r>
          </w:p>
          <w:p w14:paraId="2420DFBE" w14:textId="77777777" w:rsidR="00E01837" w:rsidRDefault="00E01837" w:rsidP="00E01837">
            <w:pPr>
              <w:pStyle w:val="TableParagraph"/>
              <w:numPr>
                <w:ilvl w:val="0"/>
                <w:numId w:val="12"/>
              </w:numPr>
              <w:spacing w:line="264" w:lineRule="auto"/>
              <w:ind w:left="360"/>
              <w:rPr>
                <w:rFonts w:ascii="Arial" w:hAnsi="Arial" w:cs="Arial"/>
                <w:sz w:val="24"/>
                <w:szCs w:val="24"/>
                <w:lang w:val="en-GB"/>
              </w:rPr>
            </w:pPr>
            <w:r>
              <w:rPr>
                <w:rFonts w:ascii="Arial" w:hAnsi="Arial" w:cs="Arial"/>
                <w:sz w:val="24"/>
                <w:szCs w:val="24"/>
                <w:lang w:val="en-GB"/>
              </w:rPr>
              <w:t>C</w:t>
            </w:r>
            <w:r w:rsidRPr="002741FD">
              <w:rPr>
                <w:rFonts w:ascii="Arial" w:hAnsi="Arial" w:cs="Arial"/>
                <w:sz w:val="24"/>
                <w:szCs w:val="24"/>
                <w:lang w:val="en-GB"/>
              </w:rPr>
              <w:t>o-chair</w:t>
            </w:r>
            <w:r>
              <w:rPr>
                <w:rFonts w:ascii="Arial" w:hAnsi="Arial" w:cs="Arial"/>
                <w:sz w:val="24"/>
                <w:szCs w:val="24"/>
                <w:lang w:val="en-GB"/>
              </w:rPr>
              <w:t>,</w:t>
            </w:r>
            <w:r w:rsidRPr="002741FD">
              <w:rPr>
                <w:rFonts w:ascii="Arial" w:hAnsi="Arial" w:cs="Arial"/>
                <w:sz w:val="24"/>
                <w:szCs w:val="24"/>
                <w:lang w:val="en-GB"/>
              </w:rPr>
              <w:t xml:space="preserve"> NDIS Working Party on Eligibility and Assessment </w:t>
            </w:r>
          </w:p>
          <w:p w14:paraId="1C3438B8" w14:textId="77777777" w:rsidR="00E01837" w:rsidRDefault="00E01837" w:rsidP="00E01837">
            <w:pPr>
              <w:pStyle w:val="TableParagraph"/>
              <w:numPr>
                <w:ilvl w:val="0"/>
                <w:numId w:val="12"/>
              </w:numPr>
              <w:spacing w:line="264" w:lineRule="auto"/>
              <w:ind w:left="360"/>
              <w:rPr>
                <w:rFonts w:ascii="Arial" w:hAnsi="Arial" w:cs="Arial"/>
                <w:sz w:val="24"/>
                <w:szCs w:val="24"/>
                <w:lang w:val="en-GB"/>
              </w:rPr>
            </w:pPr>
            <w:r>
              <w:rPr>
                <w:rFonts w:ascii="Arial" w:hAnsi="Arial" w:cs="Arial"/>
                <w:sz w:val="24"/>
                <w:szCs w:val="24"/>
                <w:lang w:val="en-GB"/>
              </w:rPr>
              <w:t>P</w:t>
            </w:r>
            <w:r w:rsidRPr="002A349C">
              <w:rPr>
                <w:rFonts w:ascii="Arial" w:hAnsi="Arial" w:cs="Arial"/>
                <w:sz w:val="24"/>
                <w:szCs w:val="24"/>
                <w:lang w:val="en-GB"/>
              </w:rPr>
              <w:t>resident</w:t>
            </w:r>
            <w:r>
              <w:rPr>
                <w:rFonts w:ascii="Arial" w:hAnsi="Arial" w:cs="Arial"/>
                <w:sz w:val="24"/>
                <w:szCs w:val="24"/>
                <w:lang w:val="en-GB"/>
              </w:rPr>
              <w:t>,</w:t>
            </w:r>
            <w:r w:rsidRPr="002A349C">
              <w:rPr>
                <w:rFonts w:ascii="Arial" w:hAnsi="Arial" w:cs="Arial"/>
                <w:sz w:val="24"/>
                <w:szCs w:val="24"/>
                <w:lang w:val="en-GB"/>
              </w:rPr>
              <w:t xml:space="preserve"> National Disability Services </w:t>
            </w:r>
          </w:p>
          <w:p w14:paraId="5EB2F3DE" w14:textId="7A6ADEE5" w:rsidR="00E01837" w:rsidRPr="00BC2330" w:rsidRDefault="00E01837" w:rsidP="00BC2330">
            <w:pPr>
              <w:pStyle w:val="TableParagraph"/>
              <w:numPr>
                <w:ilvl w:val="0"/>
                <w:numId w:val="12"/>
              </w:numPr>
              <w:spacing w:line="264" w:lineRule="auto"/>
              <w:ind w:left="360"/>
              <w:rPr>
                <w:rFonts w:ascii="Arial" w:hAnsi="Arial" w:cs="Arial"/>
                <w:sz w:val="24"/>
                <w:szCs w:val="24"/>
                <w:lang w:val="en-GB"/>
              </w:rPr>
            </w:pPr>
            <w:r>
              <w:rPr>
                <w:rFonts w:ascii="Arial" w:hAnsi="Arial" w:cs="Arial"/>
                <w:sz w:val="24"/>
                <w:szCs w:val="24"/>
                <w:lang w:val="en-GB"/>
              </w:rPr>
              <w:t>C</w:t>
            </w:r>
            <w:r w:rsidRPr="002A349C">
              <w:rPr>
                <w:rFonts w:ascii="Arial" w:hAnsi="Arial" w:cs="Arial"/>
                <w:sz w:val="24"/>
                <w:szCs w:val="24"/>
                <w:lang w:val="en-GB"/>
              </w:rPr>
              <w:t>hair</w:t>
            </w:r>
            <w:r>
              <w:rPr>
                <w:rFonts w:ascii="Arial" w:hAnsi="Arial" w:cs="Arial"/>
                <w:sz w:val="24"/>
                <w:szCs w:val="24"/>
                <w:lang w:val="en-GB"/>
              </w:rPr>
              <w:t>,</w:t>
            </w:r>
            <w:r w:rsidRPr="002A349C">
              <w:rPr>
                <w:rFonts w:ascii="Arial" w:hAnsi="Arial" w:cs="Arial"/>
                <w:sz w:val="24"/>
                <w:szCs w:val="24"/>
                <w:lang w:val="en-GB"/>
              </w:rPr>
              <w:t xml:space="preserve"> Australian Advisory Board on Autism</w:t>
            </w:r>
          </w:p>
        </w:tc>
        <w:tc>
          <w:tcPr>
            <w:tcW w:w="1559" w:type="dxa"/>
            <w:tcBorders>
              <w:top w:val="single" w:sz="4" w:space="0" w:color="656565"/>
              <w:left w:val="single" w:sz="4" w:space="0" w:color="656565"/>
              <w:bottom w:val="single" w:sz="4" w:space="0" w:color="656565"/>
              <w:right w:val="single" w:sz="4" w:space="0" w:color="656565"/>
            </w:tcBorders>
            <w:shd w:val="clear" w:color="auto" w:fill="F7EEF7"/>
          </w:tcPr>
          <w:p w14:paraId="124268A3" w14:textId="77777777" w:rsidR="00E01837" w:rsidRPr="00A33264" w:rsidRDefault="00E01837">
            <w:pPr>
              <w:spacing w:after="0" w:line="264" w:lineRule="auto"/>
              <w:rPr>
                <w:rFonts w:cs="Arial"/>
                <w:lang w:val="en-GB"/>
              </w:rPr>
            </w:pPr>
            <w:r w:rsidRPr="00A33264">
              <w:rPr>
                <w:rFonts w:cs="Arial"/>
                <w:lang w:val="en-GB"/>
              </w:rPr>
              <w:t xml:space="preserve">Board </w:t>
            </w:r>
            <w:r>
              <w:rPr>
                <w:rFonts w:cs="Arial"/>
                <w:lang w:val="en-GB"/>
              </w:rPr>
              <w:t>m</w:t>
            </w:r>
            <w:r w:rsidRPr="00A33264">
              <w:rPr>
                <w:rFonts w:cs="Arial"/>
                <w:lang w:val="en-GB"/>
              </w:rPr>
              <w:t xml:space="preserve">ember / </w:t>
            </w:r>
            <w:r>
              <w:rPr>
                <w:rFonts w:cs="Arial"/>
                <w:lang w:val="en-GB"/>
              </w:rPr>
              <w:t>n</w:t>
            </w:r>
            <w:r w:rsidRPr="00A33264">
              <w:rPr>
                <w:rFonts w:cs="Arial"/>
                <w:lang w:val="en-GB"/>
              </w:rPr>
              <w:t>on-</w:t>
            </w:r>
            <w:r>
              <w:rPr>
                <w:rFonts w:cs="Arial"/>
                <w:lang w:val="en-GB"/>
              </w:rPr>
              <w:t>e</w:t>
            </w:r>
            <w:r w:rsidRPr="00A33264">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F7EEF7"/>
          </w:tcPr>
          <w:p w14:paraId="18B4F8A7" w14:textId="77777777" w:rsidR="00E01837" w:rsidRPr="00A33264" w:rsidRDefault="00E01837">
            <w:pPr>
              <w:spacing w:after="0" w:line="264" w:lineRule="auto"/>
              <w:rPr>
                <w:rFonts w:cs="Arial"/>
                <w:b/>
                <w:bCs/>
                <w:lang w:val="en-GB"/>
              </w:rPr>
            </w:pPr>
            <w:r w:rsidRPr="00A33264">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F7EEF7"/>
          </w:tcPr>
          <w:p w14:paraId="71B3E46C" w14:textId="77777777" w:rsidR="00E01837" w:rsidRPr="00A33264" w:rsidRDefault="00E01837">
            <w:pPr>
              <w:spacing w:after="0" w:line="264" w:lineRule="auto"/>
              <w:rPr>
                <w:rFonts w:cs="Arial"/>
                <w:b/>
                <w:bCs/>
                <w:lang w:val="en-GB"/>
              </w:rPr>
            </w:pPr>
            <w:r w:rsidRPr="00A33264">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F7EEF7"/>
          </w:tcPr>
          <w:p w14:paraId="1D4F078F" w14:textId="77777777" w:rsidR="00E01837" w:rsidRPr="00A33264" w:rsidRDefault="00E01837">
            <w:pPr>
              <w:spacing w:after="0" w:line="264" w:lineRule="auto"/>
              <w:jc w:val="right"/>
              <w:rPr>
                <w:rFonts w:cs="Arial"/>
                <w:lang w:val="en-GB"/>
              </w:rPr>
            </w:pPr>
            <w:r w:rsidRPr="00A33264">
              <w:rPr>
                <w:rFonts w:cs="Arial"/>
                <w:lang w:val="en-GB"/>
              </w:rPr>
              <w:t>10</w:t>
            </w:r>
          </w:p>
        </w:tc>
      </w:tr>
      <w:tr w:rsidR="00E01837" w:rsidRPr="00A33264" w14:paraId="3C9894D5"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auto"/>
          </w:tcPr>
          <w:p w14:paraId="201E6F8B" w14:textId="77777777" w:rsidR="00E01837" w:rsidRPr="00A33264" w:rsidRDefault="00E01837">
            <w:pPr>
              <w:spacing w:after="0" w:line="264" w:lineRule="auto"/>
              <w:rPr>
                <w:rFonts w:cs="Arial"/>
                <w:lang w:val="en-GB"/>
              </w:rPr>
            </w:pPr>
            <w:r w:rsidRPr="00A33264">
              <w:rPr>
                <w:rFonts w:cs="Arial"/>
                <w:lang w:val="en-GB"/>
              </w:rPr>
              <w:lastRenderedPageBreak/>
              <w:t>Dr Richard Fejo</w:t>
            </w:r>
          </w:p>
        </w:tc>
        <w:tc>
          <w:tcPr>
            <w:tcW w:w="1976" w:type="dxa"/>
            <w:tcBorders>
              <w:top w:val="single" w:sz="4" w:space="0" w:color="656565"/>
              <w:left w:val="single" w:sz="4" w:space="0" w:color="000000"/>
              <w:bottom w:val="single" w:sz="4" w:space="0" w:color="656565"/>
              <w:right w:val="single" w:sz="4" w:space="0" w:color="000000"/>
            </w:tcBorders>
            <w:shd w:val="clear" w:color="auto" w:fill="auto"/>
          </w:tcPr>
          <w:p w14:paraId="4AA9DBDF" w14:textId="77777777" w:rsidR="00E01837" w:rsidRPr="00A33264" w:rsidRDefault="00E01837">
            <w:pPr>
              <w:spacing w:after="0" w:line="264" w:lineRule="auto"/>
              <w:rPr>
                <w:rFonts w:cs="Arial"/>
                <w:lang w:val="en-GB"/>
              </w:rPr>
            </w:pPr>
            <w:r w:rsidRPr="00A33264">
              <w:rPr>
                <w:rFonts w:cs="Arial"/>
                <w:lang w:val="en-GB"/>
              </w:rPr>
              <w:t>Honorary doctorate, Flinders University</w:t>
            </w:r>
          </w:p>
        </w:tc>
        <w:tc>
          <w:tcPr>
            <w:tcW w:w="3827" w:type="dxa"/>
            <w:tcBorders>
              <w:top w:val="single" w:sz="4" w:space="0" w:color="656565"/>
              <w:left w:val="single" w:sz="4" w:space="0" w:color="000000"/>
              <w:bottom w:val="single" w:sz="4" w:space="0" w:color="656565"/>
              <w:right w:val="single" w:sz="4" w:space="0" w:color="656565"/>
            </w:tcBorders>
            <w:shd w:val="clear" w:color="auto" w:fill="auto"/>
          </w:tcPr>
          <w:p w14:paraId="7164D293" w14:textId="77777777" w:rsidR="00E01837" w:rsidRPr="00A33264" w:rsidRDefault="00E01837" w:rsidP="00E01837">
            <w:pPr>
              <w:pStyle w:val="ListParagraph"/>
              <w:widowControl w:val="0"/>
              <w:numPr>
                <w:ilvl w:val="0"/>
                <w:numId w:val="17"/>
              </w:numPr>
              <w:autoSpaceDE w:val="0"/>
              <w:autoSpaceDN w:val="0"/>
              <w:spacing w:after="0" w:line="264" w:lineRule="auto"/>
              <w:contextualSpacing w:val="0"/>
              <w:rPr>
                <w:rFonts w:cs="Arial"/>
                <w:lang w:val="en-GB"/>
              </w:rPr>
            </w:pPr>
            <w:r w:rsidRPr="00A33264">
              <w:rPr>
                <w:rFonts w:cs="Arial"/>
                <w:lang w:val="en-GB"/>
              </w:rPr>
              <w:t>Chair</w:t>
            </w:r>
            <w:r>
              <w:rPr>
                <w:rFonts w:cs="Arial"/>
                <w:lang w:val="en-GB"/>
              </w:rPr>
              <w:t>,</w:t>
            </w:r>
            <w:r w:rsidRPr="00A33264">
              <w:rPr>
                <w:rFonts w:cs="Arial"/>
                <w:lang w:val="en-GB"/>
              </w:rPr>
              <w:t xml:space="preserve"> Larrakia Nation Aboriginal Corporation</w:t>
            </w:r>
            <w:r>
              <w:rPr>
                <w:rFonts w:cs="Arial"/>
                <w:lang w:val="en-GB"/>
              </w:rPr>
              <w:t>, 2017–2022</w:t>
            </w:r>
          </w:p>
          <w:p w14:paraId="43EF4611" w14:textId="77777777" w:rsidR="00E01837" w:rsidRPr="00A33264" w:rsidRDefault="00E01837" w:rsidP="00E01837">
            <w:pPr>
              <w:pStyle w:val="ListParagraph"/>
              <w:widowControl w:val="0"/>
              <w:numPr>
                <w:ilvl w:val="0"/>
                <w:numId w:val="17"/>
              </w:numPr>
              <w:autoSpaceDE w:val="0"/>
              <w:autoSpaceDN w:val="0"/>
              <w:spacing w:after="0" w:line="264" w:lineRule="auto"/>
              <w:contextualSpacing w:val="0"/>
              <w:rPr>
                <w:rFonts w:cs="Arial"/>
                <w:lang w:val="en-GB"/>
              </w:rPr>
            </w:pPr>
            <w:r w:rsidRPr="00A33264">
              <w:rPr>
                <w:rFonts w:cs="Arial"/>
                <w:lang w:val="en-GB"/>
              </w:rPr>
              <w:t>Vice-President</w:t>
            </w:r>
            <w:r>
              <w:rPr>
                <w:rFonts w:cs="Arial"/>
                <w:lang w:val="en-GB"/>
              </w:rPr>
              <w:t>,</w:t>
            </w:r>
            <w:r w:rsidRPr="00A33264">
              <w:rPr>
                <w:rFonts w:cs="Arial"/>
                <w:lang w:val="en-GB"/>
              </w:rPr>
              <w:t xml:space="preserve"> Darwin Buffaloes Football Club</w:t>
            </w:r>
          </w:p>
          <w:p w14:paraId="4D5FCCF9" w14:textId="77777777" w:rsidR="00E01837" w:rsidRPr="00A33264" w:rsidRDefault="00E01837" w:rsidP="00E01837">
            <w:pPr>
              <w:pStyle w:val="ListParagraph"/>
              <w:widowControl w:val="0"/>
              <w:numPr>
                <w:ilvl w:val="0"/>
                <w:numId w:val="17"/>
              </w:numPr>
              <w:autoSpaceDE w:val="0"/>
              <w:autoSpaceDN w:val="0"/>
              <w:spacing w:after="0" w:line="264" w:lineRule="auto"/>
              <w:contextualSpacing w:val="0"/>
              <w:rPr>
                <w:rFonts w:cs="Arial"/>
                <w:lang w:val="en-GB"/>
              </w:rPr>
            </w:pPr>
            <w:r>
              <w:rPr>
                <w:rFonts w:cs="Arial"/>
                <w:lang w:val="en-GB"/>
              </w:rPr>
              <w:t xml:space="preserve">Member, </w:t>
            </w:r>
            <w:r w:rsidRPr="00A33264">
              <w:rPr>
                <w:rFonts w:cs="Arial"/>
                <w:lang w:val="en-GB"/>
              </w:rPr>
              <w:t>City of Darwin’s International Relations Committee</w:t>
            </w:r>
          </w:p>
          <w:p w14:paraId="6F473B47" w14:textId="77777777" w:rsidR="00E01837" w:rsidRDefault="00E01837" w:rsidP="00E01837">
            <w:pPr>
              <w:pStyle w:val="ListParagraph"/>
              <w:numPr>
                <w:ilvl w:val="0"/>
                <w:numId w:val="17"/>
              </w:numPr>
              <w:spacing w:after="0" w:line="264" w:lineRule="auto"/>
              <w:rPr>
                <w:rFonts w:cs="Arial"/>
                <w:lang w:val="en-GB"/>
              </w:rPr>
            </w:pPr>
            <w:r>
              <w:rPr>
                <w:rFonts w:cs="Arial"/>
                <w:lang w:val="en-GB"/>
              </w:rPr>
              <w:t xml:space="preserve">Chair, </w:t>
            </w:r>
            <w:r w:rsidRPr="004D0D5D">
              <w:rPr>
                <w:rFonts w:cs="Arial"/>
                <w:lang w:val="en-GB"/>
              </w:rPr>
              <w:t xml:space="preserve">National Cultural Educators and </w:t>
            </w:r>
            <w:r>
              <w:rPr>
                <w:rFonts w:cs="Arial"/>
                <w:lang w:val="en-GB"/>
              </w:rPr>
              <w:t xml:space="preserve">Cultural </w:t>
            </w:r>
            <w:r w:rsidRPr="004D0D5D">
              <w:rPr>
                <w:rFonts w:cs="Arial"/>
                <w:lang w:val="en-GB"/>
              </w:rPr>
              <w:t>Mentors Network</w:t>
            </w:r>
          </w:p>
          <w:p w14:paraId="1ABA164B" w14:textId="77777777" w:rsidR="00E01837" w:rsidRDefault="00E01837" w:rsidP="00E01837">
            <w:pPr>
              <w:pStyle w:val="ListParagraph"/>
              <w:widowControl w:val="0"/>
              <w:numPr>
                <w:ilvl w:val="0"/>
                <w:numId w:val="17"/>
              </w:numPr>
              <w:autoSpaceDE w:val="0"/>
              <w:autoSpaceDN w:val="0"/>
              <w:spacing w:after="0" w:line="264" w:lineRule="auto"/>
              <w:contextualSpacing w:val="0"/>
              <w:rPr>
                <w:rFonts w:cs="Arial"/>
                <w:lang w:val="en-GB"/>
              </w:rPr>
            </w:pPr>
            <w:r w:rsidRPr="004D0D5D">
              <w:rPr>
                <w:rFonts w:cs="Arial"/>
                <w:lang w:val="en-GB"/>
              </w:rPr>
              <w:t>Senior Elder on campus</w:t>
            </w:r>
            <w:r>
              <w:rPr>
                <w:rFonts w:cs="Arial"/>
                <w:lang w:val="en-GB"/>
              </w:rPr>
              <w:t>,</w:t>
            </w:r>
            <w:r w:rsidRPr="004D0D5D">
              <w:rPr>
                <w:rFonts w:cs="Arial"/>
                <w:lang w:val="en-GB"/>
              </w:rPr>
              <w:t xml:space="preserve"> Flinders University</w:t>
            </w:r>
          </w:p>
          <w:p w14:paraId="6FF60CB1" w14:textId="77777777" w:rsidR="00E01837" w:rsidRDefault="00E01837" w:rsidP="00E01837">
            <w:pPr>
              <w:pStyle w:val="ListParagraph"/>
              <w:widowControl w:val="0"/>
              <w:numPr>
                <w:ilvl w:val="0"/>
                <w:numId w:val="17"/>
              </w:numPr>
              <w:autoSpaceDE w:val="0"/>
              <w:autoSpaceDN w:val="0"/>
              <w:spacing w:after="0" w:line="264" w:lineRule="auto"/>
              <w:contextualSpacing w:val="0"/>
              <w:rPr>
                <w:rFonts w:cs="Arial"/>
                <w:lang w:val="en-GB"/>
              </w:rPr>
            </w:pPr>
            <w:r w:rsidRPr="004D0D5D">
              <w:rPr>
                <w:rFonts w:cs="Arial"/>
                <w:lang w:val="en-GB"/>
              </w:rPr>
              <w:t>Chair</w:t>
            </w:r>
            <w:r>
              <w:rPr>
                <w:rFonts w:cs="Arial"/>
                <w:lang w:val="en-GB"/>
              </w:rPr>
              <w:t>,</w:t>
            </w:r>
            <w:r w:rsidRPr="004D0D5D">
              <w:rPr>
                <w:rFonts w:cs="Arial"/>
                <w:lang w:val="en-GB"/>
              </w:rPr>
              <w:t xml:space="preserve"> Darwin Waterfront Corporation </w:t>
            </w:r>
          </w:p>
          <w:p w14:paraId="4D51CD26" w14:textId="77777777" w:rsidR="00E01837" w:rsidRPr="004D0D5D" w:rsidRDefault="00E01837" w:rsidP="00E01837">
            <w:pPr>
              <w:pStyle w:val="ListParagraph"/>
              <w:widowControl w:val="0"/>
              <w:numPr>
                <w:ilvl w:val="0"/>
                <w:numId w:val="17"/>
              </w:numPr>
              <w:autoSpaceDE w:val="0"/>
              <w:autoSpaceDN w:val="0"/>
              <w:spacing w:after="0" w:line="264" w:lineRule="auto"/>
              <w:contextualSpacing w:val="0"/>
              <w:rPr>
                <w:rFonts w:cs="Arial"/>
                <w:lang w:val="en-GB"/>
              </w:rPr>
            </w:pPr>
            <w:r w:rsidRPr="004D0D5D">
              <w:rPr>
                <w:rFonts w:cs="Arial"/>
                <w:lang w:val="en-GB"/>
              </w:rPr>
              <w:t>Chair</w:t>
            </w:r>
            <w:r>
              <w:rPr>
                <w:rFonts w:cs="Arial"/>
                <w:lang w:val="en-GB"/>
              </w:rPr>
              <w:t>,</w:t>
            </w:r>
            <w:r w:rsidRPr="004D0D5D">
              <w:rPr>
                <w:rFonts w:cs="Arial"/>
                <w:lang w:val="en-GB"/>
              </w:rPr>
              <w:t xml:space="preserve"> Australia Day Council (NT) </w:t>
            </w:r>
          </w:p>
        </w:tc>
        <w:tc>
          <w:tcPr>
            <w:tcW w:w="1559" w:type="dxa"/>
            <w:tcBorders>
              <w:top w:val="single" w:sz="4" w:space="0" w:color="656565"/>
              <w:left w:val="single" w:sz="4" w:space="0" w:color="656565"/>
              <w:bottom w:val="single" w:sz="4" w:space="0" w:color="656565"/>
              <w:right w:val="single" w:sz="4" w:space="0" w:color="656565"/>
            </w:tcBorders>
            <w:shd w:val="clear" w:color="auto" w:fill="auto"/>
          </w:tcPr>
          <w:p w14:paraId="5638058B" w14:textId="77777777" w:rsidR="00E01837" w:rsidRPr="00A33264" w:rsidRDefault="00E01837">
            <w:pPr>
              <w:spacing w:after="0" w:line="264" w:lineRule="auto"/>
              <w:rPr>
                <w:rFonts w:cs="Arial"/>
                <w:lang w:val="en-GB"/>
              </w:rPr>
            </w:pPr>
            <w:r w:rsidRPr="00A33264">
              <w:rPr>
                <w:rFonts w:cs="Arial"/>
                <w:lang w:val="en-GB"/>
              </w:rPr>
              <w:t xml:space="preserve">Board </w:t>
            </w:r>
            <w:r>
              <w:rPr>
                <w:rFonts w:cs="Arial"/>
                <w:lang w:val="en-GB"/>
              </w:rPr>
              <w:t>m</w:t>
            </w:r>
            <w:r w:rsidRPr="00A33264">
              <w:rPr>
                <w:rFonts w:cs="Arial"/>
                <w:lang w:val="en-GB"/>
              </w:rPr>
              <w:t xml:space="preserve">ember / </w:t>
            </w:r>
            <w:r>
              <w:rPr>
                <w:rFonts w:cs="Arial"/>
                <w:lang w:val="en-GB"/>
              </w:rPr>
              <w:t>n</w:t>
            </w:r>
            <w:r w:rsidRPr="00A33264">
              <w:rPr>
                <w:rFonts w:cs="Arial"/>
                <w:lang w:val="en-GB"/>
              </w:rPr>
              <w:t>on-</w:t>
            </w:r>
            <w:r>
              <w:rPr>
                <w:rFonts w:cs="Arial"/>
                <w:lang w:val="en-GB"/>
              </w:rPr>
              <w:t>e</w:t>
            </w:r>
            <w:r w:rsidRPr="00A33264">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auto"/>
          </w:tcPr>
          <w:p w14:paraId="3E397E10" w14:textId="77777777" w:rsidR="00E01837" w:rsidRPr="00A33264" w:rsidRDefault="00E01837">
            <w:pPr>
              <w:spacing w:after="0" w:line="264" w:lineRule="auto"/>
              <w:rPr>
                <w:rFonts w:cs="Arial"/>
                <w:lang w:val="en-GB"/>
              </w:rPr>
            </w:pPr>
            <w:r w:rsidRPr="00A33264">
              <w:rPr>
                <w:rFonts w:cs="Arial"/>
                <w:lang w:val="en-GB"/>
              </w:rPr>
              <w:t>1 July 2023</w:t>
            </w:r>
          </w:p>
        </w:tc>
        <w:tc>
          <w:tcPr>
            <w:tcW w:w="1532" w:type="dxa"/>
            <w:tcBorders>
              <w:top w:val="single" w:sz="4" w:space="0" w:color="656565"/>
              <w:left w:val="single" w:sz="4" w:space="0" w:color="000000"/>
              <w:bottom w:val="single" w:sz="4" w:space="0" w:color="656565"/>
              <w:right w:val="single" w:sz="4" w:space="0" w:color="000000"/>
            </w:tcBorders>
            <w:shd w:val="clear" w:color="auto" w:fill="auto"/>
          </w:tcPr>
          <w:p w14:paraId="3EA5FA1D" w14:textId="77777777" w:rsidR="00E01837" w:rsidRPr="00A33264" w:rsidRDefault="00E01837">
            <w:pPr>
              <w:spacing w:after="0" w:line="264" w:lineRule="auto"/>
              <w:rPr>
                <w:rFonts w:cs="Arial"/>
                <w:lang w:val="en-GB"/>
              </w:rPr>
            </w:pPr>
            <w:r w:rsidRPr="00A33264">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auto"/>
          </w:tcPr>
          <w:p w14:paraId="0078FD43" w14:textId="77777777" w:rsidR="00E01837" w:rsidRPr="00A33264" w:rsidRDefault="00E01837">
            <w:pPr>
              <w:spacing w:after="0" w:line="264" w:lineRule="auto"/>
              <w:jc w:val="right"/>
              <w:rPr>
                <w:rFonts w:cs="Arial"/>
                <w:lang w:val="en-GB"/>
              </w:rPr>
            </w:pPr>
            <w:r w:rsidRPr="00A33264">
              <w:rPr>
                <w:rFonts w:cs="Arial"/>
                <w:lang w:val="en-GB"/>
              </w:rPr>
              <w:t>9</w:t>
            </w:r>
          </w:p>
        </w:tc>
      </w:tr>
      <w:tr w:rsidR="00E01837" w:rsidRPr="00A33264" w14:paraId="664C026A" w14:textId="77777777" w:rsidTr="006418CC">
        <w:trPr>
          <w:cantSplit/>
          <w:trHeight w:val="520"/>
        </w:trPr>
        <w:tc>
          <w:tcPr>
            <w:tcW w:w="1984" w:type="dxa"/>
            <w:tcBorders>
              <w:top w:val="single" w:sz="4" w:space="0" w:color="656565"/>
              <w:left w:val="single" w:sz="4" w:space="0" w:color="000000"/>
              <w:bottom w:val="single" w:sz="4" w:space="0" w:color="656565"/>
              <w:right w:val="single" w:sz="4" w:space="0" w:color="000000"/>
            </w:tcBorders>
            <w:shd w:val="clear" w:color="auto" w:fill="F7EEF7"/>
          </w:tcPr>
          <w:p w14:paraId="449290A3" w14:textId="77777777" w:rsidR="00E01837" w:rsidRPr="00A33264" w:rsidRDefault="00E01837">
            <w:pPr>
              <w:spacing w:after="0" w:line="264" w:lineRule="auto"/>
              <w:rPr>
                <w:rFonts w:cs="Arial"/>
                <w:lang w:val="en-GB"/>
              </w:rPr>
            </w:pPr>
            <w:r w:rsidRPr="00A33264">
              <w:rPr>
                <w:rFonts w:cs="Arial"/>
                <w:lang w:val="en-GB"/>
              </w:rPr>
              <w:lastRenderedPageBreak/>
              <w:t>Mr Mark Darras</w:t>
            </w:r>
          </w:p>
        </w:tc>
        <w:tc>
          <w:tcPr>
            <w:tcW w:w="1976" w:type="dxa"/>
            <w:tcBorders>
              <w:top w:val="single" w:sz="4" w:space="0" w:color="656565"/>
              <w:left w:val="single" w:sz="4" w:space="0" w:color="000000"/>
              <w:bottom w:val="single" w:sz="4" w:space="0" w:color="656565"/>
              <w:right w:val="single" w:sz="4" w:space="0" w:color="000000"/>
            </w:tcBorders>
            <w:shd w:val="clear" w:color="auto" w:fill="F7EEF7"/>
          </w:tcPr>
          <w:p w14:paraId="45C399AD" w14:textId="77777777" w:rsidR="00E01837" w:rsidRPr="00A33264" w:rsidRDefault="00E01837">
            <w:pPr>
              <w:spacing w:after="0" w:line="264" w:lineRule="auto"/>
              <w:rPr>
                <w:rFonts w:cs="Arial"/>
                <w:lang w:val="en-GB"/>
              </w:rPr>
            </w:pPr>
            <w:r>
              <w:rPr>
                <w:rFonts w:cs="Arial"/>
                <w:lang w:val="en-GB"/>
              </w:rPr>
              <w:t>BA,</w:t>
            </w:r>
            <w:r w:rsidRPr="008B2E88">
              <w:rPr>
                <w:rFonts w:cs="Arial"/>
                <w:lang w:val="en-GB"/>
              </w:rPr>
              <w:t xml:space="preserve"> </w:t>
            </w:r>
            <w:r>
              <w:rPr>
                <w:rFonts w:cs="Arial"/>
                <w:lang w:val="en-GB"/>
              </w:rPr>
              <w:t>LLB</w:t>
            </w:r>
            <w:r w:rsidRPr="008B2E88">
              <w:rPr>
                <w:rFonts w:cs="Arial"/>
                <w:lang w:val="en-GB"/>
              </w:rPr>
              <w:t xml:space="preserve">, University of Tasmania; </w:t>
            </w:r>
            <w:r>
              <w:rPr>
                <w:rFonts w:cs="Arial"/>
                <w:lang w:val="en-GB"/>
              </w:rPr>
              <w:t>LLM</w:t>
            </w:r>
            <w:r w:rsidRPr="008B2E88">
              <w:rPr>
                <w:rFonts w:cs="Arial"/>
                <w:lang w:val="en-GB"/>
              </w:rPr>
              <w:t xml:space="preserve">, Australian National University; </w:t>
            </w:r>
            <w:r>
              <w:rPr>
                <w:rFonts w:cs="Arial"/>
                <w:lang w:val="en-GB"/>
              </w:rPr>
              <w:t>BEd</w:t>
            </w:r>
            <w:r w:rsidRPr="008B2E88">
              <w:rPr>
                <w:rFonts w:cs="Arial"/>
                <w:lang w:val="en-GB"/>
              </w:rPr>
              <w:t>, University of South Australia</w:t>
            </w:r>
          </w:p>
        </w:tc>
        <w:tc>
          <w:tcPr>
            <w:tcW w:w="3827" w:type="dxa"/>
            <w:tcBorders>
              <w:top w:val="single" w:sz="4" w:space="0" w:color="656565"/>
              <w:left w:val="single" w:sz="4" w:space="0" w:color="000000"/>
              <w:bottom w:val="single" w:sz="4" w:space="0" w:color="656565"/>
              <w:right w:val="single" w:sz="4" w:space="0" w:color="656565"/>
            </w:tcBorders>
            <w:shd w:val="clear" w:color="auto" w:fill="F7EEF7"/>
          </w:tcPr>
          <w:p w14:paraId="7BEB613A" w14:textId="77777777" w:rsidR="00E01837" w:rsidRDefault="00E01837" w:rsidP="00E01837">
            <w:pPr>
              <w:pStyle w:val="ListParagraph"/>
              <w:widowControl w:val="0"/>
              <w:numPr>
                <w:ilvl w:val="0"/>
                <w:numId w:val="18"/>
              </w:numPr>
              <w:autoSpaceDE w:val="0"/>
              <w:autoSpaceDN w:val="0"/>
              <w:spacing w:after="0" w:line="264" w:lineRule="auto"/>
              <w:ind w:left="340" w:hanging="340"/>
              <w:contextualSpacing w:val="0"/>
              <w:rPr>
                <w:rFonts w:eastAsia="Calibri" w:cs="Arial"/>
                <w:lang w:val="en-GB"/>
              </w:rPr>
            </w:pPr>
            <w:r>
              <w:rPr>
                <w:rFonts w:eastAsia="Calibri" w:cs="Arial"/>
                <w:lang w:val="en-GB"/>
              </w:rPr>
              <w:t>C</w:t>
            </w:r>
            <w:r w:rsidRPr="00A33264">
              <w:rPr>
                <w:rFonts w:eastAsia="Calibri" w:cs="Arial"/>
                <w:lang w:val="en-GB"/>
              </w:rPr>
              <w:t xml:space="preserve">orporate lawyer and adviser </w:t>
            </w:r>
          </w:p>
          <w:p w14:paraId="0FFDF70B" w14:textId="77777777" w:rsidR="00E01837" w:rsidRDefault="00E01837" w:rsidP="00E01837">
            <w:pPr>
              <w:pStyle w:val="ListParagraph"/>
              <w:widowControl w:val="0"/>
              <w:numPr>
                <w:ilvl w:val="0"/>
                <w:numId w:val="18"/>
              </w:numPr>
              <w:autoSpaceDE w:val="0"/>
              <w:autoSpaceDN w:val="0"/>
              <w:spacing w:after="0" w:line="264" w:lineRule="auto"/>
              <w:ind w:left="340" w:hanging="340"/>
              <w:contextualSpacing w:val="0"/>
              <w:rPr>
                <w:rFonts w:eastAsia="Calibri" w:cs="Arial"/>
                <w:lang w:val="en-GB"/>
              </w:rPr>
            </w:pPr>
            <w:r>
              <w:rPr>
                <w:rFonts w:eastAsia="Calibri" w:cs="Arial"/>
                <w:lang w:val="en-GB"/>
              </w:rPr>
              <w:t>Board member:</w:t>
            </w:r>
          </w:p>
          <w:p w14:paraId="1CFB15F9"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33264">
              <w:rPr>
                <w:rFonts w:eastAsia="Calibri" w:cs="Arial"/>
                <w:lang w:val="en-GB"/>
              </w:rPr>
              <w:t>Australia Post</w:t>
            </w:r>
          </w:p>
          <w:p w14:paraId="6786B50A"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33264">
              <w:rPr>
                <w:rFonts w:eastAsia="Calibri" w:cs="Arial"/>
                <w:lang w:val="en-GB"/>
              </w:rPr>
              <w:t>Australia Post Superannuation</w:t>
            </w:r>
          </w:p>
          <w:p w14:paraId="35DC3AB1"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33264">
              <w:rPr>
                <w:rFonts w:eastAsia="Calibri" w:cs="Arial"/>
                <w:lang w:val="en-GB"/>
              </w:rPr>
              <w:t>Southern Rural Water Board</w:t>
            </w:r>
          </w:p>
          <w:p w14:paraId="5CC46E04"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33264">
              <w:rPr>
                <w:rFonts w:eastAsia="Calibri" w:cs="Arial"/>
                <w:lang w:val="en-GB"/>
              </w:rPr>
              <w:t>John Holland Engineering</w:t>
            </w:r>
          </w:p>
          <w:p w14:paraId="76BD87DC"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33264">
              <w:rPr>
                <w:rFonts w:eastAsia="Calibri" w:cs="Arial"/>
                <w:lang w:val="en-GB"/>
              </w:rPr>
              <w:t>John Holland Queensland</w:t>
            </w:r>
          </w:p>
          <w:p w14:paraId="6011FF27" w14:textId="77777777" w:rsidR="00E01837" w:rsidRPr="00A33264" w:rsidRDefault="00E01837" w:rsidP="00E01837">
            <w:pPr>
              <w:pStyle w:val="ListParagraph"/>
              <w:widowControl w:val="0"/>
              <w:numPr>
                <w:ilvl w:val="0"/>
                <w:numId w:val="24"/>
              </w:numPr>
              <w:autoSpaceDE w:val="0"/>
              <w:autoSpaceDN w:val="0"/>
              <w:spacing w:after="0" w:line="264" w:lineRule="auto"/>
              <w:ind w:left="824"/>
              <w:contextualSpacing w:val="0"/>
              <w:rPr>
                <w:rFonts w:eastAsia="Calibri" w:cs="Arial"/>
                <w:lang w:val="en-GB"/>
              </w:rPr>
            </w:pPr>
            <w:r w:rsidRPr="00A33264">
              <w:rPr>
                <w:rFonts w:eastAsia="Calibri" w:cs="Arial"/>
                <w:lang w:val="en-GB"/>
              </w:rPr>
              <w:t>South Australian Forestry Corporation</w:t>
            </w:r>
          </w:p>
          <w:p w14:paraId="2D765B4D" w14:textId="77777777" w:rsidR="00E01837" w:rsidRPr="00754EDE" w:rsidRDefault="00E01837" w:rsidP="00E01837">
            <w:pPr>
              <w:pStyle w:val="ListParagraph"/>
              <w:widowControl w:val="0"/>
              <w:numPr>
                <w:ilvl w:val="0"/>
                <w:numId w:val="18"/>
              </w:numPr>
              <w:autoSpaceDE w:val="0"/>
              <w:autoSpaceDN w:val="0"/>
              <w:spacing w:after="0" w:line="264" w:lineRule="auto"/>
              <w:ind w:left="340" w:hanging="340"/>
              <w:contextualSpacing w:val="0"/>
              <w:rPr>
                <w:rFonts w:eastAsia="Calibri" w:cs="Arial"/>
                <w:lang w:val="en-GB"/>
              </w:rPr>
            </w:pPr>
            <w:r>
              <w:rPr>
                <w:rFonts w:eastAsia="Calibri" w:cs="Arial"/>
                <w:lang w:val="en-GB"/>
              </w:rPr>
              <w:t>C</w:t>
            </w:r>
            <w:r w:rsidRPr="00D24A04">
              <w:rPr>
                <w:rFonts w:eastAsia="Calibri" w:cs="Arial"/>
                <w:lang w:val="en-GB"/>
              </w:rPr>
              <w:t>hair</w:t>
            </w:r>
            <w:r>
              <w:rPr>
                <w:rFonts w:eastAsia="Calibri" w:cs="Arial"/>
                <w:lang w:val="en-GB"/>
              </w:rPr>
              <w:t>,</w:t>
            </w:r>
            <w:r w:rsidRPr="00D24A04">
              <w:rPr>
                <w:rFonts w:eastAsia="Calibri" w:cs="Arial"/>
                <w:lang w:val="en-GB"/>
              </w:rPr>
              <w:t xml:space="preserve"> Universal Services Management Agency</w:t>
            </w:r>
            <w:r w:rsidRPr="00754EDE">
              <w:rPr>
                <w:rFonts w:eastAsia="Calibri" w:cs="Arial"/>
                <w:lang w:val="en-GB"/>
              </w:rPr>
              <w:t xml:space="preserve"> </w:t>
            </w:r>
          </w:p>
          <w:p w14:paraId="30997489" w14:textId="77777777" w:rsidR="00E01837" w:rsidRPr="00A33264" w:rsidRDefault="00E01837" w:rsidP="00E01837">
            <w:pPr>
              <w:pStyle w:val="ListParagraph"/>
              <w:widowControl w:val="0"/>
              <w:numPr>
                <w:ilvl w:val="0"/>
                <w:numId w:val="18"/>
              </w:numPr>
              <w:autoSpaceDE w:val="0"/>
              <w:autoSpaceDN w:val="0"/>
              <w:spacing w:after="0" w:line="264" w:lineRule="auto"/>
              <w:ind w:left="340" w:hanging="340"/>
              <w:contextualSpacing w:val="0"/>
              <w:rPr>
                <w:lang w:val="en-GB"/>
              </w:rPr>
            </w:pPr>
            <w:r w:rsidRPr="00754EDE">
              <w:rPr>
                <w:rFonts w:eastAsia="Calibri" w:cs="Arial"/>
                <w:lang w:val="en-GB"/>
              </w:rPr>
              <w:t>Member, Australian Takeovers Panel</w:t>
            </w:r>
          </w:p>
        </w:tc>
        <w:tc>
          <w:tcPr>
            <w:tcW w:w="1559" w:type="dxa"/>
            <w:tcBorders>
              <w:top w:val="single" w:sz="4" w:space="0" w:color="656565"/>
              <w:left w:val="single" w:sz="4" w:space="0" w:color="656565"/>
              <w:bottom w:val="single" w:sz="4" w:space="0" w:color="656565"/>
              <w:right w:val="single" w:sz="4" w:space="0" w:color="656565"/>
            </w:tcBorders>
            <w:shd w:val="clear" w:color="auto" w:fill="F7EEF7"/>
          </w:tcPr>
          <w:p w14:paraId="0A188443" w14:textId="77777777" w:rsidR="00E01837" w:rsidRPr="00A33264" w:rsidRDefault="00E01837">
            <w:pPr>
              <w:spacing w:after="0" w:line="264" w:lineRule="auto"/>
              <w:rPr>
                <w:rFonts w:cs="Arial"/>
                <w:lang w:val="en-GB"/>
              </w:rPr>
            </w:pPr>
            <w:r w:rsidRPr="00A33264">
              <w:rPr>
                <w:rFonts w:cs="Arial"/>
                <w:lang w:val="en-GB"/>
              </w:rPr>
              <w:t xml:space="preserve">Board </w:t>
            </w:r>
            <w:r>
              <w:rPr>
                <w:rFonts w:cs="Arial"/>
                <w:lang w:val="en-GB"/>
              </w:rPr>
              <w:t>m</w:t>
            </w:r>
            <w:r w:rsidRPr="00A33264">
              <w:rPr>
                <w:rFonts w:cs="Arial"/>
                <w:lang w:val="en-GB"/>
              </w:rPr>
              <w:t xml:space="preserve">ember / </w:t>
            </w:r>
            <w:r>
              <w:rPr>
                <w:rFonts w:cs="Arial"/>
                <w:lang w:val="en-GB"/>
              </w:rPr>
              <w:t>n</w:t>
            </w:r>
            <w:r w:rsidRPr="00A33264">
              <w:rPr>
                <w:rFonts w:cs="Arial"/>
                <w:lang w:val="en-GB"/>
              </w:rPr>
              <w:t>on-</w:t>
            </w:r>
            <w:r>
              <w:rPr>
                <w:rFonts w:cs="Arial"/>
                <w:lang w:val="en-GB"/>
              </w:rPr>
              <w:t>e</w:t>
            </w:r>
            <w:r w:rsidRPr="00A33264">
              <w:rPr>
                <w:rFonts w:cs="Arial"/>
                <w:lang w:val="en-GB"/>
              </w:rPr>
              <w:t>xecutive</w:t>
            </w:r>
          </w:p>
        </w:tc>
        <w:tc>
          <w:tcPr>
            <w:tcW w:w="1532" w:type="dxa"/>
            <w:tcBorders>
              <w:top w:val="single" w:sz="4" w:space="0" w:color="656565"/>
              <w:left w:val="single" w:sz="4" w:space="0" w:color="656565"/>
              <w:bottom w:val="single" w:sz="4" w:space="0" w:color="656565"/>
              <w:right w:val="single" w:sz="4" w:space="0" w:color="000000"/>
            </w:tcBorders>
            <w:shd w:val="clear" w:color="auto" w:fill="F7EEF7"/>
          </w:tcPr>
          <w:p w14:paraId="6996C5AB" w14:textId="77777777" w:rsidR="00E01837" w:rsidRPr="00A33264" w:rsidRDefault="00E01837">
            <w:pPr>
              <w:spacing w:after="0" w:line="264" w:lineRule="auto"/>
              <w:rPr>
                <w:rFonts w:cs="Arial"/>
                <w:lang w:val="en-GB"/>
              </w:rPr>
            </w:pPr>
            <w:r w:rsidRPr="00A33264">
              <w:rPr>
                <w:rFonts w:cs="Arial"/>
                <w:lang w:val="en-GB"/>
              </w:rPr>
              <w:t>24 November 2023</w:t>
            </w:r>
          </w:p>
        </w:tc>
        <w:tc>
          <w:tcPr>
            <w:tcW w:w="1532" w:type="dxa"/>
            <w:tcBorders>
              <w:top w:val="single" w:sz="4" w:space="0" w:color="656565"/>
              <w:left w:val="single" w:sz="4" w:space="0" w:color="000000"/>
              <w:bottom w:val="single" w:sz="4" w:space="0" w:color="656565"/>
              <w:right w:val="single" w:sz="4" w:space="0" w:color="000000"/>
            </w:tcBorders>
            <w:shd w:val="clear" w:color="auto" w:fill="F7EEF7"/>
          </w:tcPr>
          <w:p w14:paraId="582A2E53" w14:textId="77777777" w:rsidR="00E01837" w:rsidRPr="00A33264" w:rsidRDefault="00E01837">
            <w:pPr>
              <w:spacing w:after="0" w:line="264" w:lineRule="auto"/>
              <w:rPr>
                <w:rFonts w:cs="Arial"/>
                <w:lang w:val="en-GB"/>
              </w:rPr>
            </w:pPr>
            <w:r w:rsidRPr="00A33264">
              <w:rPr>
                <w:rFonts w:cs="Arial"/>
                <w:lang w:val="en-GB"/>
              </w:rPr>
              <w:t>30 June 2024</w:t>
            </w:r>
          </w:p>
        </w:tc>
        <w:tc>
          <w:tcPr>
            <w:tcW w:w="1475" w:type="dxa"/>
            <w:tcBorders>
              <w:top w:val="single" w:sz="4" w:space="0" w:color="656565"/>
              <w:left w:val="single" w:sz="4" w:space="0" w:color="000000"/>
              <w:bottom w:val="single" w:sz="4" w:space="0" w:color="656565"/>
              <w:right w:val="single" w:sz="4" w:space="0" w:color="auto"/>
            </w:tcBorders>
            <w:shd w:val="clear" w:color="auto" w:fill="F7EEF7"/>
          </w:tcPr>
          <w:p w14:paraId="654013FF" w14:textId="77777777" w:rsidR="00E01837" w:rsidRPr="00A33264" w:rsidRDefault="00E01837">
            <w:pPr>
              <w:spacing w:after="0" w:line="264" w:lineRule="auto"/>
              <w:jc w:val="right"/>
              <w:rPr>
                <w:rFonts w:cs="Arial"/>
                <w:lang w:val="en-GB"/>
              </w:rPr>
            </w:pPr>
            <w:r w:rsidRPr="00A33264">
              <w:rPr>
                <w:rFonts w:cs="Arial"/>
                <w:lang w:val="en-GB"/>
              </w:rPr>
              <w:t>4</w:t>
            </w:r>
          </w:p>
        </w:tc>
      </w:tr>
    </w:tbl>
    <w:p w14:paraId="4C47A2FF" w14:textId="77777777" w:rsidR="00392276" w:rsidRPr="00A33264" w:rsidRDefault="00392276" w:rsidP="00D7463A">
      <w:pPr>
        <w:pStyle w:val="Heading4"/>
        <w:rPr>
          <w:highlight w:val="yellow"/>
          <w:lang w:val="en-GB"/>
        </w:rPr>
        <w:sectPr w:rsidR="00392276" w:rsidRPr="00A33264" w:rsidSect="00BC1253">
          <w:footerReference w:type="default" r:id="rId79"/>
          <w:footerReference w:type="first" r:id="rId80"/>
          <w:pgSz w:w="16838" w:h="11906" w:orient="landscape" w:code="9"/>
          <w:pgMar w:top="1361" w:right="1361" w:bottom="1361" w:left="1361" w:header="561" w:footer="374" w:gutter="0"/>
          <w:cols w:space="708"/>
          <w:titlePg/>
          <w:docGrid w:linePitch="360"/>
        </w:sectPr>
      </w:pPr>
    </w:p>
    <w:p w14:paraId="5529B60A" w14:textId="087A0787" w:rsidR="00D7463A" w:rsidRPr="00A33264" w:rsidRDefault="00D7463A" w:rsidP="00D7463A">
      <w:pPr>
        <w:pStyle w:val="Heading4"/>
        <w:rPr>
          <w:lang w:val="en-GB"/>
        </w:rPr>
      </w:pPr>
      <w:r w:rsidRPr="00A33264">
        <w:rPr>
          <w:lang w:val="en-GB"/>
        </w:rPr>
        <w:lastRenderedPageBreak/>
        <w:t>Board committees</w:t>
      </w:r>
      <w:bookmarkEnd w:id="292"/>
    </w:p>
    <w:p w14:paraId="3A3594B4" w14:textId="439D0A36" w:rsidR="00D7463A" w:rsidRPr="00A33264" w:rsidRDefault="0047222D" w:rsidP="00D7463A">
      <w:pPr>
        <w:rPr>
          <w:lang w:val="en-GB"/>
        </w:rPr>
      </w:pPr>
      <w:r w:rsidRPr="00A33264">
        <w:rPr>
          <w:lang w:val="en-GB"/>
        </w:rPr>
        <w:t xml:space="preserve">A number of committees, councils and groups are in place to support the Board in ensuring the NDIA meets its statutory requirements and manages risk. Table </w:t>
      </w:r>
      <w:r w:rsidR="00A27A9C">
        <w:rPr>
          <w:lang w:val="en-GB"/>
        </w:rPr>
        <w:t>4</w:t>
      </w:r>
      <w:r w:rsidRPr="00A33264">
        <w:rPr>
          <w:lang w:val="en-GB"/>
        </w:rPr>
        <w:t xml:space="preserve"> provides the title and role of each committee and its members as at 30 June 2024.</w:t>
      </w:r>
    </w:p>
    <w:p w14:paraId="4B8E57D8" w14:textId="7A9D8212" w:rsidR="0047222D" w:rsidRPr="00A33264" w:rsidRDefault="0047222D" w:rsidP="00D7463A">
      <w:pPr>
        <w:rPr>
          <w:u w:val="single"/>
          <w:lang w:val="en-GB"/>
        </w:rPr>
      </w:pPr>
      <w:r w:rsidRPr="00A33264">
        <w:rPr>
          <w:u w:val="single"/>
          <w:lang w:val="en-GB"/>
        </w:rPr>
        <w:t xml:space="preserve">Table </w:t>
      </w:r>
      <w:r w:rsidR="00A27A9C">
        <w:rPr>
          <w:u w:val="single"/>
          <w:lang w:val="en-GB"/>
        </w:rPr>
        <w:t>4</w:t>
      </w:r>
      <w:r w:rsidRPr="00A33264">
        <w:rPr>
          <w:u w:val="single"/>
          <w:lang w:val="en-GB"/>
        </w:rPr>
        <w:t>: Board committees and members as at 30 June 2024</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1838"/>
        <w:gridCol w:w="4678"/>
        <w:gridCol w:w="2499"/>
      </w:tblGrid>
      <w:tr w:rsidR="0047222D" w:rsidRPr="00A33264" w14:paraId="1080A7B0"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1838" w:type="dxa"/>
            <w:tcBorders>
              <w:top w:val="single" w:sz="4" w:space="0" w:color="6B2876" w:themeColor="text1"/>
              <w:bottom w:val="single" w:sz="4" w:space="0" w:color="6B2876" w:themeColor="text1"/>
            </w:tcBorders>
            <w:vAlign w:val="center"/>
          </w:tcPr>
          <w:p w14:paraId="50B89C3B" w14:textId="7725EE16" w:rsidR="0047222D" w:rsidRPr="00A33264" w:rsidRDefault="0047222D">
            <w:pPr>
              <w:pStyle w:val="TableBody"/>
              <w:rPr>
                <w:lang w:val="en-GB"/>
              </w:rPr>
            </w:pPr>
            <w:bookmarkStart w:id="293" w:name="ColumnTitle_Table4"/>
            <w:bookmarkEnd w:id="293"/>
            <w:r w:rsidRPr="00A33264">
              <w:rPr>
                <w:lang w:val="en-GB"/>
              </w:rPr>
              <w:t>Committee</w:t>
            </w:r>
          </w:p>
        </w:tc>
        <w:tc>
          <w:tcPr>
            <w:tcW w:w="4678" w:type="dxa"/>
            <w:tcBorders>
              <w:top w:val="single" w:sz="4" w:space="0" w:color="6B2876" w:themeColor="text1"/>
              <w:bottom w:val="single" w:sz="4" w:space="0" w:color="6B2876" w:themeColor="text1"/>
            </w:tcBorders>
            <w:vAlign w:val="center"/>
          </w:tcPr>
          <w:p w14:paraId="554E64EA" w14:textId="5AD8FEFE" w:rsidR="0047222D" w:rsidRPr="00A33264" w:rsidRDefault="0047222D">
            <w:pPr>
              <w:pStyle w:val="TableBody"/>
              <w:rPr>
                <w:lang w:val="en-GB"/>
              </w:rPr>
            </w:pPr>
            <w:r w:rsidRPr="00A33264">
              <w:rPr>
                <w:lang w:val="en-GB"/>
              </w:rPr>
              <w:t>Role</w:t>
            </w:r>
          </w:p>
        </w:tc>
        <w:tc>
          <w:tcPr>
            <w:tcW w:w="2499" w:type="dxa"/>
            <w:tcBorders>
              <w:top w:val="single" w:sz="4" w:space="0" w:color="6B2876" w:themeColor="text1"/>
              <w:bottom w:val="single" w:sz="4" w:space="0" w:color="6B2876" w:themeColor="text1"/>
            </w:tcBorders>
          </w:tcPr>
          <w:p w14:paraId="3B824AE9" w14:textId="7F422F81" w:rsidR="0047222D" w:rsidRPr="00A33264" w:rsidRDefault="0047222D" w:rsidP="0047222D">
            <w:pPr>
              <w:pStyle w:val="TableBody"/>
              <w:rPr>
                <w:lang w:val="en-GB"/>
              </w:rPr>
            </w:pPr>
            <w:r w:rsidRPr="00A33264">
              <w:rPr>
                <w:lang w:val="en-GB"/>
              </w:rPr>
              <w:t>Members</w:t>
            </w:r>
          </w:p>
        </w:tc>
      </w:tr>
      <w:tr w:rsidR="0047222D" w:rsidRPr="00A33264" w14:paraId="22E348F5" w14:textId="77777777" w:rsidTr="0047222D">
        <w:trPr>
          <w:cnfStyle w:val="000000100000" w:firstRow="0" w:lastRow="0" w:firstColumn="0" w:lastColumn="0" w:oddVBand="0" w:evenVBand="0" w:oddHBand="1" w:evenHBand="0" w:firstRowFirstColumn="0" w:firstRowLastColumn="0" w:lastRowFirstColumn="0" w:lastRowLastColumn="0"/>
          <w:cantSplit/>
        </w:trPr>
        <w:tc>
          <w:tcPr>
            <w:tcW w:w="1838" w:type="dxa"/>
          </w:tcPr>
          <w:p w14:paraId="4965544E" w14:textId="4C118EF6" w:rsidR="0047222D" w:rsidRPr="00A33264" w:rsidRDefault="0047222D" w:rsidP="0047222D">
            <w:pPr>
              <w:pStyle w:val="TableBody"/>
              <w:rPr>
                <w:lang w:val="en-GB"/>
              </w:rPr>
            </w:pPr>
            <w:r w:rsidRPr="00A33264">
              <w:rPr>
                <w:lang w:val="en-GB"/>
              </w:rPr>
              <w:t>Audit and Risk Committee</w:t>
            </w:r>
          </w:p>
        </w:tc>
        <w:tc>
          <w:tcPr>
            <w:tcW w:w="4678" w:type="dxa"/>
          </w:tcPr>
          <w:p w14:paraId="58A64F9A" w14:textId="528D63D7" w:rsidR="0047222D" w:rsidRPr="00A33264" w:rsidRDefault="00E74040" w:rsidP="0047222D">
            <w:pPr>
              <w:spacing w:after="120"/>
              <w:rPr>
                <w:lang w:val="en-GB"/>
              </w:rPr>
            </w:pPr>
            <w:r w:rsidRPr="00A33264">
              <w:rPr>
                <w:lang w:val="en-GB"/>
              </w:rPr>
              <w:t>P</w:t>
            </w:r>
            <w:r w:rsidR="0047222D" w:rsidRPr="00A33264">
              <w:rPr>
                <w:lang w:val="en-GB"/>
              </w:rPr>
              <w:t xml:space="preserve">rovides independent advice and assurance to the Board, as the </w:t>
            </w:r>
            <w:r w:rsidR="00BF7483">
              <w:rPr>
                <w:lang w:val="en-GB"/>
              </w:rPr>
              <w:t>NDIA</w:t>
            </w:r>
            <w:r w:rsidR="00BF7483" w:rsidRPr="00A33264">
              <w:rPr>
                <w:lang w:val="en-GB"/>
              </w:rPr>
              <w:t xml:space="preserve">’s </w:t>
            </w:r>
            <w:r w:rsidR="0047222D" w:rsidRPr="00A33264">
              <w:rPr>
                <w:lang w:val="en-GB"/>
              </w:rPr>
              <w:t>accountable authority, in accordance with</w:t>
            </w:r>
            <w:r w:rsidR="00BF7483">
              <w:rPr>
                <w:lang w:val="en-GB"/>
              </w:rPr>
              <w:t xml:space="preserve"> the</w:t>
            </w:r>
            <w:r w:rsidR="0047222D" w:rsidRPr="00A33264">
              <w:rPr>
                <w:lang w:val="en-GB"/>
              </w:rPr>
              <w:t xml:space="preserve">: </w:t>
            </w:r>
          </w:p>
          <w:p w14:paraId="7F48B7C9" w14:textId="64BDB1CF" w:rsidR="0047222D" w:rsidRPr="00A33264" w:rsidRDefault="0047222D" w:rsidP="005A19CA">
            <w:pPr>
              <w:pStyle w:val="Tablebullet"/>
            </w:pPr>
            <w:r w:rsidRPr="00A33264">
              <w:t>PGPA Act</w:t>
            </w:r>
          </w:p>
          <w:p w14:paraId="23BF88FE" w14:textId="6992EB1D" w:rsidR="0047222D" w:rsidRPr="00A33264" w:rsidRDefault="0047222D" w:rsidP="005A19CA">
            <w:pPr>
              <w:pStyle w:val="Tablebullet"/>
            </w:pPr>
            <w:r w:rsidRPr="00A33264">
              <w:t>PGPA Rule</w:t>
            </w:r>
          </w:p>
          <w:p w14:paraId="05F72C34" w14:textId="5D8C0882" w:rsidR="0047222D" w:rsidRPr="00A33264" w:rsidRDefault="0047222D" w:rsidP="005A19CA">
            <w:pPr>
              <w:pStyle w:val="Tablebullet"/>
            </w:pPr>
            <w:r w:rsidRPr="00A33264">
              <w:t>NDIS Act</w:t>
            </w:r>
          </w:p>
          <w:p w14:paraId="766775A5" w14:textId="76644C74" w:rsidR="0047222D" w:rsidRPr="00A33264" w:rsidRDefault="0047222D" w:rsidP="005A19CA">
            <w:pPr>
              <w:pStyle w:val="Tablebullet"/>
            </w:pPr>
            <w:r w:rsidRPr="00A33264">
              <w:rPr>
                <w:i/>
                <w:iCs/>
              </w:rPr>
              <w:t>National Disability Insurance Scheme</w:t>
            </w:r>
            <w:r w:rsidR="00E74040" w:rsidRPr="00A33264">
              <w:rPr>
                <w:i/>
                <w:iCs/>
              </w:rPr>
              <w:t xml:space="preserve"> – </w:t>
            </w:r>
            <w:r w:rsidRPr="00A33264">
              <w:rPr>
                <w:i/>
                <w:iCs/>
              </w:rPr>
              <w:t>Risk</w:t>
            </w:r>
            <w:r w:rsidR="00E74040" w:rsidRPr="00A33264">
              <w:rPr>
                <w:i/>
                <w:iCs/>
              </w:rPr>
              <w:t xml:space="preserve"> </w:t>
            </w:r>
            <w:r w:rsidRPr="00A33264">
              <w:rPr>
                <w:i/>
                <w:iCs/>
              </w:rPr>
              <w:t>Management Rules 2013</w:t>
            </w:r>
            <w:r w:rsidRPr="00A33264">
              <w:t>.</w:t>
            </w:r>
          </w:p>
          <w:p w14:paraId="7A1921F7" w14:textId="602F5B7C" w:rsidR="0047222D" w:rsidRPr="00A33264" w:rsidRDefault="0047222D" w:rsidP="0047222D">
            <w:pPr>
              <w:spacing w:after="120"/>
              <w:rPr>
                <w:lang w:val="en-GB"/>
              </w:rPr>
            </w:pPr>
            <w:r w:rsidRPr="00A33264">
              <w:rPr>
                <w:lang w:val="en-GB"/>
              </w:rPr>
              <w:t xml:space="preserve">The </w:t>
            </w:r>
            <w:r w:rsidR="00E74040" w:rsidRPr="00A33264">
              <w:rPr>
                <w:lang w:val="en-GB"/>
              </w:rPr>
              <w:t>c</w:t>
            </w:r>
            <w:r w:rsidRPr="00A33264">
              <w:rPr>
                <w:lang w:val="en-GB"/>
              </w:rPr>
              <w:t>ommittee</w:t>
            </w:r>
            <w:r w:rsidR="00E74040" w:rsidRPr="00A33264">
              <w:rPr>
                <w:lang w:val="en-GB"/>
              </w:rPr>
              <w:t xml:space="preserve"> also</w:t>
            </w:r>
            <w:r w:rsidRPr="00A33264">
              <w:rPr>
                <w:lang w:val="en-GB"/>
              </w:rPr>
              <w:t xml:space="preserve"> review</w:t>
            </w:r>
            <w:r w:rsidR="00E74040" w:rsidRPr="00A33264">
              <w:rPr>
                <w:lang w:val="en-GB"/>
              </w:rPr>
              <w:t>s</w:t>
            </w:r>
            <w:r w:rsidRPr="00A33264">
              <w:rPr>
                <w:lang w:val="en-GB"/>
              </w:rPr>
              <w:t xml:space="preserve"> and provide</w:t>
            </w:r>
            <w:r w:rsidR="00E74040" w:rsidRPr="00A33264">
              <w:rPr>
                <w:lang w:val="en-GB"/>
              </w:rPr>
              <w:t>s</w:t>
            </w:r>
            <w:r w:rsidRPr="00A33264">
              <w:rPr>
                <w:lang w:val="en-GB"/>
              </w:rPr>
              <w:t xml:space="preserve"> advice to the Board on the appropriateness of the </w:t>
            </w:r>
            <w:r w:rsidR="00207674">
              <w:rPr>
                <w:lang w:val="en-GB"/>
              </w:rPr>
              <w:t>NDIA</w:t>
            </w:r>
            <w:r w:rsidR="00207674" w:rsidRPr="00A33264">
              <w:rPr>
                <w:lang w:val="en-GB"/>
              </w:rPr>
              <w:t>’s</w:t>
            </w:r>
            <w:r w:rsidRPr="00A33264">
              <w:rPr>
                <w:lang w:val="en-GB"/>
              </w:rPr>
              <w:t>:</w:t>
            </w:r>
          </w:p>
          <w:p w14:paraId="3138F7A5" w14:textId="77777777" w:rsidR="0047222D" w:rsidRPr="00A33264" w:rsidRDefault="0047222D" w:rsidP="005A19CA">
            <w:pPr>
              <w:pStyle w:val="Tablebullet"/>
            </w:pPr>
            <w:r w:rsidRPr="00A33264">
              <w:t xml:space="preserve">financial reporting </w:t>
            </w:r>
          </w:p>
          <w:p w14:paraId="7181329B" w14:textId="77777777" w:rsidR="0047222D" w:rsidRPr="00A33264" w:rsidRDefault="0047222D" w:rsidP="005A19CA">
            <w:pPr>
              <w:pStyle w:val="Tablebullet"/>
            </w:pPr>
            <w:r w:rsidRPr="00A33264">
              <w:t xml:space="preserve">performance reporting </w:t>
            </w:r>
          </w:p>
          <w:p w14:paraId="047F50F5" w14:textId="4F00E8A8" w:rsidR="0047222D" w:rsidRPr="00A33264" w:rsidRDefault="0047222D" w:rsidP="005A19CA">
            <w:pPr>
              <w:pStyle w:val="Tablebullet"/>
            </w:pPr>
            <w:r w:rsidRPr="00A33264">
              <w:t>systems of risk oversight and management</w:t>
            </w:r>
            <w:r w:rsidR="00207674">
              <w:t>,</w:t>
            </w:r>
            <w:r w:rsidRPr="00A33264">
              <w:t xml:space="preserve"> including </w:t>
            </w:r>
            <w:r w:rsidR="00207674">
              <w:t xml:space="preserve">for </w:t>
            </w:r>
            <w:r w:rsidRPr="00A33264">
              <w:t>fraud, legal, safety and security risk</w:t>
            </w:r>
          </w:p>
          <w:p w14:paraId="2351892B" w14:textId="77777777" w:rsidR="0047222D" w:rsidRPr="00A33264" w:rsidRDefault="0047222D" w:rsidP="005A19CA">
            <w:pPr>
              <w:pStyle w:val="Tablebullet"/>
            </w:pPr>
            <w:r w:rsidRPr="00A33264">
              <w:t>systems of internal control.</w:t>
            </w:r>
          </w:p>
          <w:p w14:paraId="4F600CFA" w14:textId="3FCF8265" w:rsidR="000A7DDD" w:rsidRPr="000A7DDD" w:rsidRDefault="0047222D" w:rsidP="00C54B3A">
            <w:pPr>
              <w:pStyle w:val="TableBody"/>
              <w:spacing w:before="120" w:after="120"/>
              <w:rPr>
                <w:lang w:val="en-GB"/>
              </w:rPr>
            </w:pPr>
            <w:r w:rsidRPr="00A33264">
              <w:rPr>
                <w:lang w:val="en-GB"/>
              </w:rPr>
              <w:t>The Australian National Audit Office attends Audit and Risk Committee meetings as the NDIA’s external auditor.</w:t>
            </w:r>
          </w:p>
        </w:tc>
        <w:tc>
          <w:tcPr>
            <w:tcW w:w="2499" w:type="dxa"/>
          </w:tcPr>
          <w:p w14:paraId="6EE89904" w14:textId="77777777" w:rsidR="0047222D" w:rsidRPr="00A33264" w:rsidRDefault="0047222D" w:rsidP="0047222D">
            <w:pPr>
              <w:spacing w:after="120"/>
              <w:rPr>
                <w:lang w:val="en-GB"/>
              </w:rPr>
            </w:pPr>
            <w:r w:rsidRPr="00A33264">
              <w:rPr>
                <w:lang w:val="en-GB"/>
              </w:rPr>
              <w:t>Dr Graeme Innes AM</w:t>
            </w:r>
            <w:r w:rsidRPr="00A33264" w:rsidDel="0002436D">
              <w:rPr>
                <w:lang w:val="en-GB"/>
              </w:rPr>
              <w:t xml:space="preserve"> </w:t>
            </w:r>
            <w:r w:rsidRPr="00A33264">
              <w:rPr>
                <w:lang w:val="en-GB"/>
              </w:rPr>
              <w:t>(Chair)</w:t>
            </w:r>
          </w:p>
          <w:p w14:paraId="6C431FBE" w14:textId="77777777" w:rsidR="0047222D" w:rsidRPr="00A33264" w:rsidRDefault="0047222D" w:rsidP="0047222D">
            <w:pPr>
              <w:spacing w:after="120"/>
              <w:rPr>
                <w:lang w:val="en-GB"/>
              </w:rPr>
            </w:pPr>
            <w:r w:rsidRPr="00A33264">
              <w:rPr>
                <w:lang w:val="en-GB"/>
              </w:rPr>
              <w:t xml:space="preserve">Ms Maryanne Diamond AO (Deputy Chair) </w:t>
            </w:r>
          </w:p>
          <w:p w14:paraId="6625AE70" w14:textId="77777777" w:rsidR="0047222D" w:rsidRPr="00A33264" w:rsidRDefault="0047222D" w:rsidP="0047222D">
            <w:pPr>
              <w:spacing w:after="120"/>
              <w:rPr>
                <w:lang w:val="en-GB"/>
              </w:rPr>
            </w:pPr>
            <w:r w:rsidRPr="00A33264">
              <w:rPr>
                <w:lang w:val="en-GB"/>
              </w:rPr>
              <w:t>Ms Meredith Allan</w:t>
            </w:r>
          </w:p>
          <w:p w14:paraId="5E71984B" w14:textId="77777777" w:rsidR="00D24A04" w:rsidRDefault="0047222D" w:rsidP="0047222D">
            <w:pPr>
              <w:spacing w:after="120"/>
              <w:rPr>
                <w:lang w:val="en-GB"/>
              </w:rPr>
            </w:pPr>
            <w:r w:rsidRPr="00A33264">
              <w:rPr>
                <w:lang w:val="en-GB"/>
              </w:rPr>
              <w:t>Mr Mark Darras</w:t>
            </w:r>
            <w:r w:rsidRPr="00A33264" w:rsidDel="004A5482">
              <w:rPr>
                <w:lang w:val="en-GB"/>
              </w:rPr>
              <w:t xml:space="preserve"> </w:t>
            </w:r>
          </w:p>
          <w:p w14:paraId="4EA1E69D" w14:textId="4EA65758" w:rsidR="0047222D" w:rsidRPr="00A33264" w:rsidRDefault="0047222D" w:rsidP="0047222D">
            <w:pPr>
              <w:spacing w:after="120"/>
              <w:rPr>
                <w:lang w:val="en-GB"/>
              </w:rPr>
            </w:pPr>
            <w:r w:rsidRPr="00A33264">
              <w:rPr>
                <w:lang w:val="en-GB"/>
              </w:rPr>
              <w:t>Dr Denis Napthine AO</w:t>
            </w:r>
          </w:p>
          <w:p w14:paraId="32DEA817" w14:textId="3418EC67" w:rsidR="0047222D" w:rsidRPr="00A33264" w:rsidRDefault="0047222D" w:rsidP="0047222D">
            <w:pPr>
              <w:pStyle w:val="TableBody"/>
              <w:spacing w:before="120" w:after="120"/>
              <w:rPr>
                <w:lang w:val="en-GB"/>
              </w:rPr>
            </w:pPr>
            <w:r w:rsidRPr="00A33264">
              <w:rPr>
                <w:lang w:val="en-GB"/>
              </w:rPr>
              <w:t>Dr Ian Watt AC (Specialist Advisor)</w:t>
            </w:r>
            <w:r w:rsidRPr="00A33264" w:rsidDel="00C574F7">
              <w:rPr>
                <w:lang w:val="en-GB"/>
              </w:rPr>
              <w:t xml:space="preserve"> </w:t>
            </w:r>
          </w:p>
        </w:tc>
      </w:tr>
      <w:tr w:rsidR="0047222D" w:rsidRPr="00A33264" w14:paraId="74AD9B51" w14:textId="77777777" w:rsidTr="0047222D">
        <w:trPr>
          <w:cantSplit/>
        </w:trPr>
        <w:tc>
          <w:tcPr>
            <w:tcW w:w="1838" w:type="dxa"/>
            <w:shd w:val="clear" w:color="auto" w:fill="auto"/>
          </w:tcPr>
          <w:p w14:paraId="220FB066" w14:textId="219BDBD8" w:rsidR="0047222D" w:rsidRPr="00A33264" w:rsidRDefault="0047222D" w:rsidP="0047222D">
            <w:pPr>
              <w:pStyle w:val="TableBody"/>
              <w:spacing w:before="120" w:after="120"/>
              <w:rPr>
                <w:lang w:val="en-GB"/>
              </w:rPr>
            </w:pPr>
            <w:r w:rsidRPr="00A33264">
              <w:rPr>
                <w:lang w:val="en-GB"/>
              </w:rPr>
              <w:t>Sustainability Committee</w:t>
            </w:r>
          </w:p>
        </w:tc>
        <w:tc>
          <w:tcPr>
            <w:tcW w:w="4678" w:type="dxa"/>
          </w:tcPr>
          <w:p w14:paraId="4EEEFA77" w14:textId="13D59258" w:rsidR="0047222D" w:rsidRPr="00A33264" w:rsidRDefault="00E74040" w:rsidP="0047222D">
            <w:pPr>
              <w:pStyle w:val="TableBody"/>
              <w:spacing w:before="120" w:after="120"/>
              <w:rPr>
                <w:lang w:val="en-GB"/>
              </w:rPr>
            </w:pPr>
            <w:r w:rsidRPr="00A33264">
              <w:rPr>
                <w:lang w:val="en-GB"/>
              </w:rPr>
              <w:t>P</w:t>
            </w:r>
            <w:r w:rsidR="0047222D" w:rsidRPr="00A33264">
              <w:rPr>
                <w:lang w:val="en-GB"/>
              </w:rPr>
              <w:t xml:space="preserve">rovides advice on assessing, monitoring, reporting on and managing the financial sustainability of the </w:t>
            </w:r>
            <w:r w:rsidR="00880C4D">
              <w:rPr>
                <w:lang w:val="en-GB"/>
              </w:rPr>
              <w:t>NDIS</w:t>
            </w:r>
            <w:r w:rsidR="0047222D" w:rsidRPr="00A33264">
              <w:rPr>
                <w:lang w:val="en-GB"/>
              </w:rPr>
              <w:t>.</w:t>
            </w:r>
          </w:p>
        </w:tc>
        <w:tc>
          <w:tcPr>
            <w:tcW w:w="2499" w:type="dxa"/>
          </w:tcPr>
          <w:p w14:paraId="070CB418" w14:textId="77777777" w:rsidR="0047222D" w:rsidRPr="00A33264" w:rsidRDefault="0047222D" w:rsidP="0047222D">
            <w:pPr>
              <w:spacing w:after="120"/>
              <w:rPr>
                <w:lang w:val="en-GB"/>
              </w:rPr>
            </w:pPr>
            <w:r w:rsidRPr="00A33264">
              <w:rPr>
                <w:lang w:val="en-GB"/>
              </w:rPr>
              <w:t>Ms Estelle Pearson (Chair)</w:t>
            </w:r>
          </w:p>
          <w:p w14:paraId="0D65B6A4" w14:textId="77777777" w:rsidR="0047222D" w:rsidRPr="00A33264" w:rsidRDefault="0047222D" w:rsidP="0047222D">
            <w:pPr>
              <w:spacing w:after="120"/>
              <w:rPr>
                <w:lang w:val="en-GB"/>
              </w:rPr>
            </w:pPr>
            <w:r w:rsidRPr="00A33264">
              <w:rPr>
                <w:lang w:val="en-GB"/>
              </w:rPr>
              <w:t>Mr Kurt Fearnley AO</w:t>
            </w:r>
          </w:p>
          <w:p w14:paraId="3339CE98" w14:textId="77777777" w:rsidR="00207674" w:rsidRDefault="0047222D" w:rsidP="0047222D">
            <w:pPr>
              <w:spacing w:after="120"/>
              <w:rPr>
                <w:lang w:val="en-GB"/>
              </w:rPr>
            </w:pPr>
            <w:r w:rsidRPr="00A33264">
              <w:rPr>
                <w:lang w:val="en-GB"/>
              </w:rPr>
              <w:t xml:space="preserve">Ms Leah van Poppel </w:t>
            </w:r>
          </w:p>
          <w:p w14:paraId="121C74B8" w14:textId="59E7F89F" w:rsidR="0047222D" w:rsidRPr="00A33264" w:rsidRDefault="0047222D" w:rsidP="0047222D">
            <w:pPr>
              <w:spacing w:after="120"/>
              <w:rPr>
                <w:lang w:val="en-GB"/>
              </w:rPr>
            </w:pPr>
            <w:r w:rsidRPr="00A33264">
              <w:rPr>
                <w:lang w:val="en-GB"/>
              </w:rPr>
              <w:t>Dr Peta Seaton AM</w:t>
            </w:r>
          </w:p>
          <w:p w14:paraId="410B9706" w14:textId="68B660BA" w:rsidR="0047222D" w:rsidRPr="00A33264" w:rsidRDefault="0047222D" w:rsidP="0047222D">
            <w:pPr>
              <w:pStyle w:val="TableBody"/>
              <w:spacing w:before="120" w:after="120"/>
              <w:rPr>
                <w:lang w:val="en-GB"/>
              </w:rPr>
            </w:pPr>
            <w:r w:rsidRPr="00A33264">
              <w:rPr>
                <w:lang w:val="en-GB"/>
              </w:rPr>
              <w:t>Ms Maryanne Diamond AO</w:t>
            </w:r>
          </w:p>
        </w:tc>
      </w:tr>
      <w:tr w:rsidR="0047222D" w:rsidRPr="00A33264" w14:paraId="4170B1F0" w14:textId="77777777" w:rsidTr="0047222D">
        <w:trPr>
          <w:cnfStyle w:val="000000100000" w:firstRow="0" w:lastRow="0" w:firstColumn="0" w:lastColumn="0" w:oddVBand="0" w:evenVBand="0" w:oddHBand="1" w:evenHBand="0" w:firstRowFirstColumn="0" w:firstRowLastColumn="0" w:lastRowFirstColumn="0" w:lastRowLastColumn="0"/>
          <w:cantSplit/>
        </w:trPr>
        <w:tc>
          <w:tcPr>
            <w:tcW w:w="1838" w:type="dxa"/>
          </w:tcPr>
          <w:p w14:paraId="263FF67C" w14:textId="531D9DB4" w:rsidR="0047222D" w:rsidRPr="00A33264" w:rsidRDefault="0047222D" w:rsidP="0047222D">
            <w:pPr>
              <w:pStyle w:val="TableBody"/>
              <w:spacing w:before="120" w:after="120"/>
              <w:rPr>
                <w:lang w:val="en-GB"/>
              </w:rPr>
            </w:pPr>
            <w:r w:rsidRPr="00A33264">
              <w:rPr>
                <w:lang w:val="en-GB"/>
              </w:rPr>
              <w:lastRenderedPageBreak/>
              <w:t>Strategic Direction and Participant Outcomes Committee</w:t>
            </w:r>
          </w:p>
        </w:tc>
        <w:tc>
          <w:tcPr>
            <w:tcW w:w="4678" w:type="dxa"/>
          </w:tcPr>
          <w:p w14:paraId="7EDFBDF9" w14:textId="035BFBD6" w:rsidR="0047222D" w:rsidRPr="00A33264" w:rsidRDefault="00E74040" w:rsidP="0047222D">
            <w:pPr>
              <w:pStyle w:val="TableBody"/>
              <w:spacing w:before="120" w:after="120"/>
              <w:rPr>
                <w:lang w:val="en-GB"/>
              </w:rPr>
            </w:pPr>
            <w:r w:rsidRPr="00A33264">
              <w:rPr>
                <w:lang w:val="en-GB"/>
              </w:rPr>
              <w:t>P</w:t>
            </w:r>
            <w:r w:rsidR="0047222D" w:rsidRPr="00A33264">
              <w:rPr>
                <w:lang w:val="en-GB"/>
              </w:rPr>
              <w:t xml:space="preserve">rovides advice on the objectives, strategies and policies to be followed by the </w:t>
            </w:r>
            <w:r w:rsidR="00207674">
              <w:rPr>
                <w:lang w:val="en-GB"/>
              </w:rPr>
              <w:t>NDIA</w:t>
            </w:r>
            <w:r w:rsidR="0047222D" w:rsidRPr="00A33264">
              <w:rPr>
                <w:lang w:val="en-GB"/>
              </w:rPr>
              <w:t>, with a dedicated focus on participant outcomes.</w:t>
            </w:r>
          </w:p>
        </w:tc>
        <w:tc>
          <w:tcPr>
            <w:tcW w:w="2499" w:type="dxa"/>
          </w:tcPr>
          <w:p w14:paraId="259DE2DF" w14:textId="77777777" w:rsidR="0047222D" w:rsidRPr="00A33264" w:rsidRDefault="0047222D" w:rsidP="0047222D">
            <w:pPr>
              <w:spacing w:after="120"/>
              <w:rPr>
                <w:bCs/>
                <w:iCs/>
                <w:lang w:val="en-GB"/>
              </w:rPr>
            </w:pPr>
            <w:r w:rsidRPr="00A33264">
              <w:rPr>
                <w:bCs/>
                <w:iCs/>
                <w:lang w:val="en-GB"/>
              </w:rPr>
              <w:t>Dr Peta Seaton AM (Chair)</w:t>
            </w:r>
          </w:p>
          <w:p w14:paraId="351558C8" w14:textId="77777777" w:rsidR="0047222D" w:rsidRPr="00A33264" w:rsidRDefault="0047222D" w:rsidP="0047222D">
            <w:pPr>
              <w:spacing w:after="120"/>
              <w:rPr>
                <w:lang w:val="en-GB"/>
              </w:rPr>
            </w:pPr>
            <w:r w:rsidRPr="00A33264">
              <w:rPr>
                <w:lang w:val="en-GB"/>
              </w:rPr>
              <w:t>Mr Kurt Fearnley AO</w:t>
            </w:r>
          </w:p>
          <w:p w14:paraId="0EFBCD59" w14:textId="77777777" w:rsidR="0047222D" w:rsidRPr="00A33264" w:rsidRDefault="0047222D" w:rsidP="0047222D">
            <w:pPr>
              <w:spacing w:after="120"/>
              <w:rPr>
                <w:lang w:val="en-GB"/>
              </w:rPr>
            </w:pPr>
            <w:r w:rsidRPr="00A33264">
              <w:rPr>
                <w:lang w:val="en-GB"/>
              </w:rPr>
              <w:t>Dr Richard Fejo</w:t>
            </w:r>
          </w:p>
          <w:p w14:paraId="6D0176E4" w14:textId="77777777" w:rsidR="0047222D" w:rsidRPr="00A33264" w:rsidRDefault="0047222D" w:rsidP="0047222D">
            <w:pPr>
              <w:spacing w:after="120"/>
              <w:rPr>
                <w:lang w:val="en-GB"/>
              </w:rPr>
            </w:pPr>
            <w:r w:rsidRPr="00A33264">
              <w:rPr>
                <w:lang w:val="en-GB"/>
              </w:rPr>
              <w:t>Mrs Joan McKenna Kerr</w:t>
            </w:r>
          </w:p>
          <w:p w14:paraId="6887EBDF" w14:textId="6C3B056E" w:rsidR="0047222D" w:rsidRPr="00A33264" w:rsidRDefault="0047222D" w:rsidP="0047222D">
            <w:pPr>
              <w:spacing w:after="120"/>
              <w:rPr>
                <w:lang w:val="en-GB"/>
              </w:rPr>
            </w:pPr>
            <w:r w:rsidRPr="00A33264">
              <w:rPr>
                <w:lang w:val="en-GB"/>
              </w:rPr>
              <w:t>Ms Leah van Poppel</w:t>
            </w:r>
          </w:p>
        </w:tc>
      </w:tr>
    </w:tbl>
    <w:p w14:paraId="506E801C" w14:textId="2BC0555A" w:rsidR="00D7463A" w:rsidRPr="00A33264" w:rsidRDefault="00D7463A" w:rsidP="00D7463A">
      <w:pPr>
        <w:pStyle w:val="Heading4"/>
        <w:rPr>
          <w:lang w:val="en-GB"/>
        </w:rPr>
      </w:pPr>
      <w:bookmarkStart w:id="294" w:name="_Toc169592978"/>
      <w:r w:rsidRPr="00A33264">
        <w:rPr>
          <w:lang w:val="en-GB"/>
        </w:rPr>
        <w:t>Board and committee attendance</w:t>
      </w:r>
      <w:bookmarkEnd w:id="294"/>
    </w:p>
    <w:p w14:paraId="498C7084" w14:textId="0793DF2F" w:rsidR="00D7463A" w:rsidRPr="00A33264" w:rsidRDefault="0047222D" w:rsidP="00D7463A">
      <w:pPr>
        <w:rPr>
          <w:u w:val="single"/>
          <w:lang w:val="en-GB"/>
        </w:rPr>
      </w:pPr>
      <w:r w:rsidRPr="00A33264">
        <w:rPr>
          <w:u w:val="single"/>
          <w:lang w:val="en-GB"/>
        </w:rPr>
        <w:t xml:space="preserve">Table </w:t>
      </w:r>
      <w:r w:rsidR="00A27A9C">
        <w:rPr>
          <w:u w:val="single"/>
          <w:lang w:val="en-GB"/>
        </w:rPr>
        <w:t>5</w:t>
      </w:r>
      <w:r w:rsidRPr="00A33264">
        <w:rPr>
          <w:u w:val="single"/>
          <w:lang w:val="en-GB"/>
        </w:rPr>
        <w:t>: Number of meetings attended by Board members in 2023–24</w:t>
      </w:r>
    </w:p>
    <w:tbl>
      <w:tblPr>
        <w:tblStyle w:val="GridTable2-Accent312"/>
        <w:tblW w:w="9695" w:type="dxa"/>
        <w:tblInd w:w="-113" w:type="dxa"/>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Layout w:type="fixed"/>
        <w:tblLook w:val="04A0" w:firstRow="1" w:lastRow="0" w:firstColumn="1" w:lastColumn="0" w:noHBand="0" w:noVBand="1"/>
      </w:tblPr>
      <w:tblGrid>
        <w:gridCol w:w="2891"/>
        <w:gridCol w:w="567"/>
        <w:gridCol w:w="567"/>
        <w:gridCol w:w="567"/>
        <w:gridCol w:w="567"/>
        <w:gridCol w:w="567"/>
        <w:gridCol w:w="567"/>
        <w:gridCol w:w="567"/>
        <w:gridCol w:w="567"/>
        <w:gridCol w:w="567"/>
        <w:gridCol w:w="567"/>
        <w:gridCol w:w="567"/>
        <w:gridCol w:w="567"/>
      </w:tblGrid>
      <w:tr w:rsidR="00AE51C6" w:rsidRPr="00A33264" w14:paraId="46AC9699" w14:textId="77777777" w:rsidTr="005A19CA">
        <w:trPr>
          <w:cnfStyle w:val="100000000000" w:firstRow="1" w:lastRow="0" w:firstColumn="0" w:lastColumn="0" w:oddVBand="0" w:evenVBand="0" w:oddHBand="0" w:evenHBand="0" w:firstRowFirstColumn="0" w:firstRowLastColumn="0" w:lastRowFirstColumn="0" w:lastRowLastColumn="0"/>
          <w:cantSplit/>
          <w:trHeight w:val="3676"/>
          <w:tblHeader/>
        </w:trPr>
        <w:tc>
          <w:tcPr>
            <w:cnfStyle w:val="001000000000" w:firstRow="0" w:lastRow="0" w:firstColumn="1" w:lastColumn="0" w:oddVBand="0" w:evenVBand="0" w:oddHBand="0" w:evenHBand="0" w:firstRowFirstColumn="0" w:firstRowLastColumn="0" w:lastRowFirstColumn="0" w:lastRowLastColumn="0"/>
            <w:tcW w:w="2891" w:type="dxa"/>
            <w:tcBorders>
              <w:right w:val="single" w:sz="4" w:space="0" w:color="F9F9F9" w:themeColor="background1"/>
            </w:tcBorders>
            <w:shd w:val="clear" w:color="auto" w:fill="6B2876"/>
            <w:textDirection w:val="btLr"/>
            <w:vAlign w:val="center"/>
          </w:tcPr>
          <w:p w14:paraId="486AF96D" w14:textId="77777777" w:rsidR="009F6E27" w:rsidRPr="00A33264" w:rsidRDefault="009F6E27" w:rsidP="005A19CA">
            <w:pPr>
              <w:keepNext/>
              <w:spacing w:after="0" w:line="276" w:lineRule="auto"/>
              <w:ind w:left="113" w:right="113"/>
              <w:rPr>
                <w:rFonts w:eastAsia="DengXian" w:cs="Arial"/>
                <w:color w:val="F9F9F9"/>
                <w:sz w:val="20"/>
                <w:szCs w:val="20"/>
                <w:lang w:val="en-GB"/>
              </w:rPr>
            </w:pPr>
            <w:bookmarkStart w:id="295" w:name="ColumnTitle_Table5"/>
            <w:bookmarkEnd w:id="295"/>
            <w:r w:rsidRPr="00A33264">
              <w:rPr>
                <w:rFonts w:eastAsia="DengXian" w:cs="Arial"/>
                <w:color w:val="F9FAF9"/>
                <w:sz w:val="22"/>
                <w:szCs w:val="22"/>
                <w:lang w:val="en-GB"/>
              </w:rPr>
              <w:t>Board memb</w:t>
            </w:r>
            <w:r w:rsidRPr="00A33264">
              <w:rPr>
                <w:rFonts w:eastAsia="DengXian" w:cs="Arial"/>
                <w:color w:val="F9F9F9"/>
                <w:sz w:val="22"/>
                <w:szCs w:val="22"/>
                <w:lang w:val="en-GB"/>
              </w:rPr>
              <w:t>er</w:t>
            </w:r>
          </w:p>
        </w:tc>
        <w:tc>
          <w:tcPr>
            <w:tcW w:w="567" w:type="dxa"/>
            <w:tcBorders>
              <w:left w:val="single" w:sz="4" w:space="0" w:color="F9F9F9" w:themeColor="background1"/>
              <w:right w:val="single" w:sz="4" w:space="0" w:color="F9F9F9" w:themeColor="background1"/>
            </w:tcBorders>
            <w:textDirection w:val="btLr"/>
            <w:vAlign w:val="center"/>
          </w:tcPr>
          <w:p w14:paraId="4AEF96F3" w14:textId="7AD8E741"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NDIA Board </w:t>
            </w:r>
            <w:r w:rsidR="00293639">
              <w:rPr>
                <w:rFonts w:eastAsia="DengXian" w:cs="Arial"/>
                <w:color w:val="F9F9F9"/>
                <w:sz w:val="20"/>
                <w:szCs w:val="20"/>
                <w:lang w:val="en-GB"/>
              </w:rPr>
              <w:t>e</w:t>
            </w:r>
            <w:r w:rsidRPr="00A33264">
              <w:rPr>
                <w:rFonts w:eastAsia="DengXian" w:cs="Arial"/>
                <w:color w:val="F9F9F9"/>
                <w:sz w:val="20"/>
                <w:szCs w:val="20"/>
                <w:lang w:val="en-GB"/>
              </w:rPr>
              <w:t>ligible</w:t>
            </w:r>
          </w:p>
        </w:tc>
        <w:tc>
          <w:tcPr>
            <w:tcW w:w="567" w:type="dxa"/>
            <w:tcBorders>
              <w:left w:val="single" w:sz="4" w:space="0" w:color="F9F9F9" w:themeColor="background1"/>
              <w:right w:val="single" w:sz="4" w:space="0" w:color="F9F9F9" w:themeColor="background1"/>
            </w:tcBorders>
            <w:textDirection w:val="btLr"/>
            <w:vAlign w:val="center"/>
          </w:tcPr>
          <w:p w14:paraId="647EC5A3" w14:textId="6E2C9063"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NDIA Board </w:t>
            </w:r>
            <w:r w:rsidR="00293639">
              <w:rPr>
                <w:rFonts w:eastAsia="DengXian" w:cs="Arial"/>
                <w:color w:val="F9F9F9"/>
                <w:sz w:val="20"/>
                <w:szCs w:val="20"/>
                <w:lang w:val="en-GB"/>
              </w:rPr>
              <w:t>a</w:t>
            </w:r>
            <w:r w:rsidRPr="00A33264">
              <w:rPr>
                <w:rFonts w:eastAsia="DengXian" w:cs="Arial"/>
                <w:color w:val="F9F9F9"/>
                <w:sz w:val="20"/>
                <w:szCs w:val="20"/>
                <w:lang w:val="en-GB"/>
              </w:rPr>
              <w:t>ttended</w:t>
            </w:r>
          </w:p>
        </w:tc>
        <w:tc>
          <w:tcPr>
            <w:tcW w:w="567" w:type="dxa"/>
            <w:tcBorders>
              <w:left w:val="single" w:sz="4" w:space="0" w:color="F9F9F9" w:themeColor="background1"/>
              <w:right w:val="single" w:sz="4" w:space="0" w:color="F9F9F9" w:themeColor="background1"/>
            </w:tcBorders>
            <w:textDirection w:val="btLr"/>
            <w:vAlign w:val="center"/>
          </w:tcPr>
          <w:p w14:paraId="6E70E47D" w14:textId="4166BA48"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Audit Committee </w:t>
            </w:r>
            <w:r w:rsidR="00293639">
              <w:rPr>
                <w:rFonts w:eastAsia="DengXian" w:cs="Arial"/>
                <w:color w:val="F9F9F9"/>
                <w:sz w:val="20"/>
                <w:szCs w:val="20"/>
                <w:lang w:val="en-GB"/>
              </w:rPr>
              <w:t>e</w:t>
            </w:r>
            <w:r w:rsidRPr="00A33264">
              <w:rPr>
                <w:rFonts w:eastAsia="DengXian" w:cs="Arial"/>
                <w:color w:val="F9F9F9"/>
                <w:sz w:val="20"/>
                <w:szCs w:val="20"/>
                <w:lang w:val="en-GB"/>
              </w:rPr>
              <w:t>ligible</w:t>
            </w:r>
          </w:p>
        </w:tc>
        <w:tc>
          <w:tcPr>
            <w:tcW w:w="567" w:type="dxa"/>
            <w:tcBorders>
              <w:left w:val="single" w:sz="4" w:space="0" w:color="F9F9F9" w:themeColor="background1"/>
              <w:right w:val="single" w:sz="4" w:space="0" w:color="F9F9F9" w:themeColor="background1"/>
            </w:tcBorders>
            <w:textDirection w:val="btLr"/>
            <w:vAlign w:val="center"/>
          </w:tcPr>
          <w:p w14:paraId="7BFA8D49" w14:textId="6ACE6D8F"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Audit Committee </w:t>
            </w:r>
            <w:r w:rsidR="00293639">
              <w:rPr>
                <w:rFonts w:eastAsia="DengXian" w:cs="Arial"/>
                <w:color w:val="F9F9F9"/>
                <w:sz w:val="20"/>
                <w:szCs w:val="20"/>
                <w:lang w:val="en-GB"/>
              </w:rPr>
              <w:t>a</w:t>
            </w:r>
            <w:r w:rsidRPr="00A33264">
              <w:rPr>
                <w:rFonts w:eastAsia="DengXian" w:cs="Arial"/>
                <w:color w:val="F9F9F9"/>
                <w:sz w:val="20"/>
                <w:szCs w:val="20"/>
                <w:lang w:val="en-GB"/>
              </w:rPr>
              <w:t>ttended</w:t>
            </w:r>
          </w:p>
        </w:tc>
        <w:tc>
          <w:tcPr>
            <w:tcW w:w="567" w:type="dxa"/>
            <w:tcBorders>
              <w:left w:val="single" w:sz="4" w:space="0" w:color="F9F9F9" w:themeColor="background1"/>
              <w:right w:val="single" w:sz="4" w:space="0" w:color="F9F9F9" w:themeColor="background1"/>
            </w:tcBorders>
            <w:textDirection w:val="btLr"/>
            <w:vAlign w:val="center"/>
          </w:tcPr>
          <w:p w14:paraId="560B2FB7" w14:textId="1D053DB7"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Risk Committee </w:t>
            </w:r>
            <w:r w:rsidR="00293639">
              <w:rPr>
                <w:rFonts w:eastAsia="DengXian" w:cs="Arial"/>
                <w:color w:val="F9F9F9"/>
                <w:sz w:val="20"/>
                <w:szCs w:val="20"/>
                <w:lang w:val="en-GB"/>
              </w:rPr>
              <w:t>e</w:t>
            </w:r>
            <w:r w:rsidRPr="00A33264">
              <w:rPr>
                <w:rFonts w:eastAsia="DengXian" w:cs="Arial"/>
                <w:color w:val="F9F9F9"/>
                <w:sz w:val="20"/>
                <w:szCs w:val="20"/>
                <w:lang w:val="en-GB"/>
              </w:rPr>
              <w:t>ligible</w:t>
            </w:r>
          </w:p>
        </w:tc>
        <w:tc>
          <w:tcPr>
            <w:tcW w:w="567" w:type="dxa"/>
            <w:tcBorders>
              <w:left w:val="single" w:sz="4" w:space="0" w:color="F9F9F9" w:themeColor="background1"/>
              <w:right w:val="single" w:sz="4" w:space="0" w:color="F9F9F9" w:themeColor="background1"/>
            </w:tcBorders>
            <w:textDirection w:val="btLr"/>
            <w:vAlign w:val="center"/>
          </w:tcPr>
          <w:p w14:paraId="0632659D" w14:textId="2616B021"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Risk Committee </w:t>
            </w:r>
            <w:r w:rsidR="00293639">
              <w:rPr>
                <w:rFonts w:eastAsia="DengXian" w:cs="Arial"/>
                <w:color w:val="F9F9F9"/>
                <w:sz w:val="20"/>
                <w:szCs w:val="20"/>
                <w:lang w:val="en-GB"/>
              </w:rPr>
              <w:t>a</w:t>
            </w:r>
            <w:r w:rsidRPr="00A33264">
              <w:rPr>
                <w:rFonts w:eastAsia="DengXian" w:cs="Arial"/>
                <w:color w:val="F9F9F9"/>
                <w:sz w:val="20"/>
                <w:szCs w:val="20"/>
                <w:lang w:val="en-GB"/>
              </w:rPr>
              <w:t>ttended</w:t>
            </w:r>
          </w:p>
        </w:tc>
        <w:tc>
          <w:tcPr>
            <w:tcW w:w="567" w:type="dxa"/>
            <w:tcBorders>
              <w:left w:val="single" w:sz="4" w:space="0" w:color="F9F9F9" w:themeColor="background1"/>
              <w:right w:val="single" w:sz="4" w:space="0" w:color="F9F9F9" w:themeColor="background1"/>
            </w:tcBorders>
            <w:textDirection w:val="btLr"/>
            <w:vAlign w:val="center"/>
          </w:tcPr>
          <w:p w14:paraId="5670DB40" w14:textId="4F6FAE90"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Sustainability Committee </w:t>
            </w:r>
            <w:r w:rsidR="00293639">
              <w:rPr>
                <w:rFonts w:eastAsia="DengXian" w:cs="Arial"/>
                <w:color w:val="F9F9F9"/>
                <w:sz w:val="20"/>
                <w:szCs w:val="20"/>
                <w:lang w:val="en-GB"/>
              </w:rPr>
              <w:t>e</w:t>
            </w:r>
            <w:r w:rsidRPr="00A33264">
              <w:rPr>
                <w:rFonts w:eastAsia="DengXian" w:cs="Arial"/>
                <w:color w:val="F9F9F9"/>
                <w:sz w:val="20"/>
                <w:szCs w:val="20"/>
                <w:lang w:val="en-GB"/>
              </w:rPr>
              <w:t>ligible</w:t>
            </w:r>
          </w:p>
        </w:tc>
        <w:tc>
          <w:tcPr>
            <w:tcW w:w="567" w:type="dxa"/>
            <w:tcBorders>
              <w:left w:val="single" w:sz="4" w:space="0" w:color="F9F9F9" w:themeColor="background1"/>
              <w:right w:val="single" w:sz="4" w:space="0" w:color="F9F9F9" w:themeColor="background1"/>
            </w:tcBorders>
            <w:textDirection w:val="btLr"/>
            <w:vAlign w:val="center"/>
          </w:tcPr>
          <w:p w14:paraId="42980E53" w14:textId="0A88BC95"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Sustainability Committee </w:t>
            </w:r>
            <w:r w:rsidR="00293639">
              <w:rPr>
                <w:rFonts w:eastAsia="DengXian" w:cs="Arial"/>
                <w:color w:val="F9F9F9"/>
                <w:sz w:val="20"/>
                <w:szCs w:val="20"/>
                <w:lang w:val="en-GB"/>
              </w:rPr>
              <w:t>a</w:t>
            </w:r>
            <w:r w:rsidRPr="00A33264">
              <w:rPr>
                <w:rFonts w:eastAsia="DengXian" w:cs="Arial"/>
                <w:color w:val="F9F9F9"/>
                <w:sz w:val="20"/>
                <w:szCs w:val="20"/>
                <w:lang w:val="en-GB"/>
              </w:rPr>
              <w:t>ttended</w:t>
            </w:r>
          </w:p>
        </w:tc>
        <w:tc>
          <w:tcPr>
            <w:tcW w:w="567" w:type="dxa"/>
            <w:tcBorders>
              <w:left w:val="single" w:sz="4" w:space="0" w:color="F9F9F9" w:themeColor="background1"/>
              <w:right w:val="single" w:sz="4" w:space="0" w:color="F9F9F9" w:themeColor="background1"/>
            </w:tcBorders>
            <w:textDirection w:val="btLr"/>
            <w:vAlign w:val="center"/>
          </w:tcPr>
          <w:p w14:paraId="5E6A6B74" w14:textId="3AB753AE"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SDPO Committee </w:t>
            </w:r>
            <w:r w:rsidR="00293639">
              <w:rPr>
                <w:rFonts w:eastAsia="DengXian" w:cs="Arial"/>
                <w:color w:val="F9F9F9"/>
                <w:sz w:val="20"/>
                <w:szCs w:val="20"/>
                <w:lang w:val="en-GB"/>
              </w:rPr>
              <w:t>e</w:t>
            </w:r>
            <w:r w:rsidRPr="00A33264">
              <w:rPr>
                <w:rFonts w:eastAsia="DengXian" w:cs="Arial"/>
                <w:color w:val="F9F9F9"/>
                <w:sz w:val="20"/>
                <w:szCs w:val="20"/>
                <w:lang w:val="en-GB"/>
              </w:rPr>
              <w:t>ligible</w:t>
            </w:r>
          </w:p>
        </w:tc>
        <w:tc>
          <w:tcPr>
            <w:tcW w:w="567" w:type="dxa"/>
            <w:tcBorders>
              <w:left w:val="single" w:sz="4" w:space="0" w:color="F9F9F9" w:themeColor="background1"/>
              <w:right w:val="single" w:sz="4" w:space="0" w:color="F9F9F9" w:themeColor="background1"/>
            </w:tcBorders>
            <w:textDirection w:val="btLr"/>
            <w:vAlign w:val="center"/>
          </w:tcPr>
          <w:p w14:paraId="33A93129" w14:textId="261212DA"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SDPO Committee </w:t>
            </w:r>
            <w:r w:rsidR="00293639">
              <w:rPr>
                <w:rFonts w:eastAsia="DengXian" w:cs="Arial"/>
                <w:color w:val="F9F9F9"/>
                <w:sz w:val="20"/>
                <w:szCs w:val="20"/>
                <w:lang w:val="en-GB"/>
              </w:rPr>
              <w:t>a</w:t>
            </w:r>
            <w:r w:rsidRPr="00A33264">
              <w:rPr>
                <w:rFonts w:eastAsia="DengXian" w:cs="Arial"/>
                <w:color w:val="F9F9F9"/>
                <w:sz w:val="20"/>
                <w:szCs w:val="20"/>
                <w:lang w:val="en-GB"/>
              </w:rPr>
              <w:t>ttended</w:t>
            </w:r>
          </w:p>
        </w:tc>
        <w:tc>
          <w:tcPr>
            <w:tcW w:w="567" w:type="dxa"/>
            <w:tcBorders>
              <w:left w:val="single" w:sz="4" w:space="0" w:color="F9F9F9" w:themeColor="background1"/>
              <w:right w:val="single" w:sz="4" w:space="0" w:color="F9F9F9" w:themeColor="background1"/>
            </w:tcBorders>
            <w:textDirection w:val="btLr"/>
            <w:vAlign w:val="center"/>
          </w:tcPr>
          <w:p w14:paraId="7CCFBA92" w14:textId="4EE5BE41"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Audit </w:t>
            </w:r>
            <w:r w:rsidR="004E5CA0">
              <w:rPr>
                <w:rFonts w:eastAsia="DengXian" w:cs="Arial"/>
                <w:color w:val="F9F9F9"/>
                <w:sz w:val="20"/>
                <w:szCs w:val="20"/>
                <w:lang w:val="en-GB"/>
              </w:rPr>
              <w:t>and</w:t>
            </w:r>
            <w:r w:rsidRPr="00A33264">
              <w:rPr>
                <w:rFonts w:eastAsia="DengXian" w:cs="Arial"/>
                <w:color w:val="F9F9F9"/>
                <w:sz w:val="20"/>
                <w:szCs w:val="20"/>
                <w:lang w:val="en-GB"/>
              </w:rPr>
              <w:t xml:space="preserve"> Risk Committee </w:t>
            </w:r>
            <w:r w:rsidR="00DE4F5B">
              <w:rPr>
                <w:rFonts w:eastAsia="DengXian" w:cs="Arial"/>
                <w:color w:val="F9F9F9"/>
                <w:sz w:val="20"/>
                <w:szCs w:val="20"/>
                <w:lang w:val="en-GB"/>
              </w:rPr>
              <w:t>e</w:t>
            </w:r>
            <w:r w:rsidRPr="00A33264">
              <w:rPr>
                <w:rFonts w:eastAsia="DengXian" w:cs="Arial"/>
                <w:color w:val="F9F9F9"/>
                <w:sz w:val="20"/>
                <w:szCs w:val="20"/>
                <w:lang w:val="en-GB"/>
              </w:rPr>
              <w:t>ligible</w:t>
            </w:r>
          </w:p>
        </w:tc>
        <w:tc>
          <w:tcPr>
            <w:tcW w:w="567" w:type="dxa"/>
            <w:tcBorders>
              <w:left w:val="single" w:sz="4" w:space="0" w:color="F9F9F9" w:themeColor="background1"/>
            </w:tcBorders>
            <w:textDirection w:val="btLr"/>
            <w:vAlign w:val="center"/>
          </w:tcPr>
          <w:p w14:paraId="48357A96" w14:textId="5EC09595" w:rsidR="009F6E27" w:rsidRPr="00A33264" w:rsidRDefault="009F6E27" w:rsidP="005A19CA">
            <w:pPr>
              <w:keepNext/>
              <w:spacing w:after="0" w:line="276" w:lineRule="auto"/>
              <w:ind w:left="113" w:right="113"/>
              <w:cnfStyle w:val="100000000000" w:firstRow="1" w:lastRow="0" w:firstColumn="0" w:lastColumn="0" w:oddVBand="0" w:evenVBand="0" w:oddHBand="0" w:evenHBand="0" w:firstRowFirstColumn="0" w:firstRowLastColumn="0" w:lastRowFirstColumn="0" w:lastRowLastColumn="0"/>
              <w:rPr>
                <w:rFonts w:eastAsia="DengXian" w:cs="Arial"/>
                <w:color w:val="F9F9F9"/>
                <w:sz w:val="20"/>
                <w:szCs w:val="20"/>
                <w:lang w:val="en-GB"/>
              </w:rPr>
            </w:pPr>
            <w:r w:rsidRPr="00A33264">
              <w:rPr>
                <w:rFonts w:eastAsia="DengXian" w:cs="Arial"/>
                <w:color w:val="F9F9F9"/>
                <w:sz w:val="20"/>
                <w:szCs w:val="20"/>
                <w:lang w:val="en-GB"/>
              </w:rPr>
              <w:t xml:space="preserve">Audit </w:t>
            </w:r>
            <w:r w:rsidR="004E5CA0">
              <w:rPr>
                <w:rFonts w:eastAsia="DengXian" w:cs="Arial"/>
                <w:color w:val="F9F9F9"/>
                <w:sz w:val="20"/>
                <w:szCs w:val="20"/>
                <w:lang w:val="en-GB"/>
              </w:rPr>
              <w:t>and</w:t>
            </w:r>
            <w:r w:rsidR="00A426EA">
              <w:rPr>
                <w:rFonts w:eastAsia="DengXian" w:cs="Arial"/>
                <w:color w:val="F9F9F9"/>
                <w:sz w:val="20"/>
                <w:szCs w:val="20"/>
                <w:lang w:val="en-GB"/>
              </w:rPr>
              <w:t xml:space="preserve"> </w:t>
            </w:r>
            <w:r w:rsidRPr="00A33264">
              <w:rPr>
                <w:rFonts w:eastAsia="DengXian" w:cs="Arial"/>
                <w:color w:val="F9F9F9"/>
                <w:sz w:val="20"/>
                <w:szCs w:val="20"/>
                <w:lang w:val="en-GB"/>
              </w:rPr>
              <w:t xml:space="preserve">Risk Committee </w:t>
            </w:r>
            <w:r w:rsidR="00DE4F5B">
              <w:rPr>
                <w:rFonts w:eastAsia="DengXian" w:cs="Arial"/>
                <w:color w:val="F9F9F9"/>
                <w:sz w:val="20"/>
                <w:szCs w:val="20"/>
                <w:lang w:val="en-GB"/>
              </w:rPr>
              <w:t>a</w:t>
            </w:r>
            <w:r w:rsidRPr="00A33264">
              <w:rPr>
                <w:rFonts w:eastAsia="DengXian" w:cs="Arial"/>
                <w:color w:val="F9F9F9"/>
                <w:sz w:val="20"/>
                <w:szCs w:val="20"/>
                <w:lang w:val="en-GB"/>
              </w:rPr>
              <w:t>ttended</w:t>
            </w:r>
          </w:p>
        </w:tc>
      </w:tr>
      <w:tr w:rsidR="00AE51C6" w:rsidRPr="00A33264" w14:paraId="1D87225D" w14:textId="77777777" w:rsidTr="005A19C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91" w:type="dxa"/>
            <w:shd w:val="clear" w:color="auto" w:fill="F7EEF7"/>
          </w:tcPr>
          <w:p w14:paraId="661A37B5" w14:textId="77777777" w:rsidR="009F6E27" w:rsidRPr="00A33264" w:rsidRDefault="009F6E27" w:rsidP="00E74040">
            <w:pPr>
              <w:spacing w:after="0"/>
              <w:rPr>
                <w:rFonts w:eastAsia="DengXian"/>
                <w:lang w:val="en-GB"/>
              </w:rPr>
            </w:pPr>
            <w:r w:rsidRPr="00A33264">
              <w:rPr>
                <w:rFonts w:eastAsia="DengXian"/>
                <w:lang w:val="en-GB"/>
              </w:rPr>
              <w:t>Mr Kurt Fearnley AO (Chair)</w:t>
            </w:r>
          </w:p>
        </w:tc>
        <w:tc>
          <w:tcPr>
            <w:tcW w:w="567" w:type="dxa"/>
            <w:shd w:val="clear" w:color="auto" w:fill="F7EEF7"/>
          </w:tcPr>
          <w:p w14:paraId="16D80993"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11</w:t>
            </w:r>
          </w:p>
        </w:tc>
        <w:tc>
          <w:tcPr>
            <w:tcW w:w="567" w:type="dxa"/>
            <w:shd w:val="clear" w:color="auto" w:fill="F7EEF7"/>
          </w:tcPr>
          <w:p w14:paraId="78F418AD"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11</w:t>
            </w:r>
          </w:p>
        </w:tc>
        <w:tc>
          <w:tcPr>
            <w:tcW w:w="567" w:type="dxa"/>
            <w:shd w:val="clear" w:color="auto" w:fill="F7EEF7"/>
          </w:tcPr>
          <w:p w14:paraId="4763A19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543B7B6B"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08FA95FC"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10589D6C"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329BE68B"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21E81FB7"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61157251"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6</w:t>
            </w:r>
          </w:p>
        </w:tc>
        <w:tc>
          <w:tcPr>
            <w:tcW w:w="567" w:type="dxa"/>
            <w:shd w:val="clear" w:color="auto" w:fill="F7EEF7"/>
          </w:tcPr>
          <w:p w14:paraId="0ECF682B"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6</w:t>
            </w:r>
          </w:p>
        </w:tc>
        <w:tc>
          <w:tcPr>
            <w:tcW w:w="567" w:type="dxa"/>
            <w:shd w:val="clear" w:color="auto" w:fill="F7EEF7"/>
          </w:tcPr>
          <w:p w14:paraId="45DBEBD3"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20F2CBF4"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2</w:t>
            </w:r>
          </w:p>
        </w:tc>
      </w:tr>
      <w:tr w:rsidR="009F6E27" w:rsidRPr="00A33264" w14:paraId="7BA4B472" w14:textId="77777777" w:rsidTr="005A19CA">
        <w:trPr>
          <w:trHeight w:val="425"/>
        </w:trPr>
        <w:tc>
          <w:tcPr>
            <w:cnfStyle w:val="001000000000" w:firstRow="0" w:lastRow="0" w:firstColumn="1" w:lastColumn="0" w:oddVBand="0" w:evenVBand="0" w:oddHBand="0" w:evenHBand="0" w:firstRowFirstColumn="0" w:firstRowLastColumn="0" w:lastRowFirstColumn="0" w:lastRowLastColumn="0"/>
            <w:tcW w:w="2891" w:type="dxa"/>
          </w:tcPr>
          <w:p w14:paraId="643E11A4" w14:textId="77777777" w:rsidR="009F6E27" w:rsidRPr="00A33264" w:rsidRDefault="009F6E27" w:rsidP="00E74040">
            <w:pPr>
              <w:spacing w:after="0"/>
              <w:rPr>
                <w:rFonts w:eastAsia="DengXian"/>
                <w:lang w:val="en-GB"/>
              </w:rPr>
            </w:pPr>
            <w:r w:rsidRPr="00A33264">
              <w:rPr>
                <w:rFonts w:eastAsia="DengXian"/>
                <w:lang w:val="en-GB"/>
              </w:rPr>
              <w:t>Ms Meredith Allan</w:t>
            </w:r>
          </w:p>
        </w:tc>
        <w:tc>
          <w:tcPr>
            <w:tcW w:w="567" w:type="dxa"/>
          </w:tcPr>
          <w:p w14:paraId="3C37A1D6"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3D485FB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1C8DBD10"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049ADBC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43EDB69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11825DCE"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51555BFC"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52B6BC92"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476D07B4"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3CCD55F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4</w:t>
            </w:r>
          </w:p>
        </w:tc>
        <w:tc>
          <w:tcPr>
            <w:tcW w:w="567" w:type="dxa"/>
          </w:tcPr>
          <w:p w14:paraId="2C689D5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4468983A"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r>
      <w:tr w:rsidR="00AE51C6" w:rsidRPr="00A33264" w14:paraId="193DE6F5" w14:textId="77777777" w:rsidTr="005A19C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91" w:type="dxa"/>
            <w:shd w:val="clear" w:color="auto" w:fill="F7EEF7"/>
          </w:tcPr>
          <w:p w14:paraId="78AB6F46" w14:textId="2223C49D" w:rsidR="009F6E27" w:rsidRPr="00A33264" w:rsidRDefault="009F6E27" w:rsidP="00E74040">
            <w:pPr>
              <w:spacing w:after="0"/>
              <w:rPr>
                <w:rFonts w:eastAsia="DengXian"/>
                <w:lang w:val="en-GB"/>
              </w:rPr>
            </w:pPr>
            <w:r w:rsidRPr="00A33264">
              <w:rPr>
                <w:rFonts w:eastAsia="DengXian"/>
                <w:lang w:val="en-GB"/>
              </w:rPr>
              <w:t>Mr Mark Darras</w:t>
            </w:r>
          </w:p>
        </w:tc>
        <w:tc>
          <w:tcPr>
            <w:tcW w:w="567" w:type="dxa"/>
            <w:shd w:val="clear" w:color="auto" w:fill="F7EEF7"/>
          </w:tcPr>
          <w:p w14:paraId="63D8C5FE"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5</w:t>
            </w:r>
          </w:p>
        </w:tc>
        <w:tc>
          <w:tcPr>
            <w:tcW w:w="567" w:type="dxa"/>
            <w:shd w:val="clear" w:color="auto" w:fill="F7EEF7"/>
          </w:tcPr>
          <w:p w14:paraId="0E307AF7"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74EA197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53DFCBDC"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w:t>
            </w:r>
          </w:p>
        </w:tc>
        <w:tc>
          <w:tcPr>
            <w:tcW w:w="567" w:type="dxa"/>
            <w:shd w:val="clear" w:color="auto" w:fill="F7EEF7"/>
          </w:tcPr>
          <w:p w14:paraId="4B9CAAD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5452AD81"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w:t>
            </w:r>
          </w:p>
        </w:tc>
        <w:tc>
          <w:tcPr>
            <w:tcW w:w="567" w:type="dxa"/>
            <w:shd w:val="clear" w:color="auto" w:fill="F7EEF7"/>
          </w:tcPr>
          <w:p w14:paraId="02D71EEF"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11CA6DF9"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1DE9B750"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2A2A37F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30B2495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2</w:t>
            </w:r>
          </w:p>
        </w:tc>
        <w:tc>
          <w:tcPr>
            <w:tcW w:w="567" w:type="dxa"/>
            <w:shd w:val="clear" w:color="auto" w:fill="F7EEF7"/>
          </w:tcPr>
          <w:p w14:paraId="42B44813"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2</w:t>
            </w:r>
          </w:p>
        </w:tc>
      </w:tr>
      <w:tr w:rsidR="009F6E27" w:rsidRPr="00A33264" w14:paraId="658A8AE7" w14:textId="77777777" w:rsidTr="005A19CA">
        <w:trPr>
          <w:trHeight w:val="425"/>
        </w:trPr>
        <w:tc>
          <w:tcPr>
            <w:cnfStyle w:val="001000000000" w:firstRow="0" w:lastRow="0" w:firstColumn="1" w:lastColumn="0" w:oddVBand="0" w:evenVBand="0" w:oddHBand="0" w:evenHBand="0" w:firstRowFirstColumn="0" w:firstRowLastColumn="0" w:lastRowFirstColumn="0" w:lastRowLastColumn="0"/>
            <w:tcW w:w="2891" w:type="dxa"/>
          </w:tcPr>
          <w:p w14:paraId="76D2079D" w14:textId="513A7268" w:rsidR="009F6E27" w:rsidRPr="00A33264" w:rsidRDefault="009F6E27" w:rsidP="00E74040">
            <w:pPr>
              <w:spacing w:after="0"/>
              <w:rPr>
                <w:rFonts w:eastAsia="DengXian"/>
                <w:lang w:val="en-GB"/>
              </w:rPr>
            </w:pPr>
            <w:r w:rsidRPr="00A33264">
              <w:rPr>
                <w:rFonts w:eastAsia="DengXian"/>
                <w:lang w:val="en-GB"/>
              </w:rPr>
              <w:t>Ms Maryanne Diamond AO</w:t>
            </w:r>
          </w:p>
        </w:tc>
        <w:tc>
          <w:tcPr>
            <w:tcW w:w="567" w:type="dxa"/>
          </w:tcPr>
          <w:p w14:paraId="727AFE3B"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7378025C"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5DFF7709"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2C86789A"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3DCD67B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0C11958E"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19A31E89"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21D73F38"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59A10BD4"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124F9E9B"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13846AF1"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5A074FBA"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r>
      <w:tr w:rsidR="00AE51C6" w:rsidRPr="00A33264" w14:paraId="70E416B0" w14:textId="77777777" w:rsidTr="005A19C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91" w:type="dxa"/>
            <w:shd w:val="clear" w:color="auto" w:fill="F7EEF7"/>
          </w:tcPr>
          <w:p w14:paraId="0EFFB52F" w14:textId="77777777" w:rsidR="009F6E27" w:rsidRPr="00A33264" w:rsidRDefault="009F6E27" w:rsidP="00E74040">
            <w:pPr>
              <w:spacing w:after="0"/>
              <w:rPr>
                <w:rFonts w:eastAsia="DengXian"/>
                <w:lang w:val="en-GB"/>
              </w:rPr>
            </w:pPr>
            <w:r w:rsidRPr="00A33264">
              <w:rPr>
                <w:rFonts w:eastAsia="DengXian"/>
                <w:lang w:val="en-GB"/>
              </w:rPr>
              <w:t>Dr Richard Fejo</w:t>
            </w:r>
          </w:p>
        </w:tc>
        <w:tc>
          <w:tcPr>
            <w:tcW w:w="567" w:type="dxa"/>
            <w:shd w:val="clear" w:color="auto" w:fill="F7EEF7"/>
          </w:tcPr>
          <w:p w14:paraId="02D689D2"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11</w:t>
            </w:r>
          </w:p>
        </w:tc>
        <w:tc>
          <w:tcPr>
            <w:tcW w:w="567" w:type="dxa"/>
            <w:shd w:val="clear" w:color="auto" w:fill="F7EEF7"/>
          </w:tcPr>
          <w:p w14:paraId="7B71E42C"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9</w:t>
            </w:r>
          </w:p>
        </w:tc>
        <w:tc>
          <w:tcPr>
            <w:tcW w:w="567" w:type="dxa"/>
            <w:shd w:val="clear" w:color="auto" w:fill="F7EEF7"/>
          </w:tcPr>
          <w:p w14:paraId="5B4B769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7911E435"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3E6CC588"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6DE2CB0B"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309460A1"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474BCF3D"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425A2D54"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6</w:t>
            </w:r>
          </w:p>
        </w:tc>
        <w:tc>
          <w:tcPr>
            <w:tcW w:w="567" w:type="dxa"/>
            <w:shd w:val="clear" w:color="auto" w:fill="F7EEF7"/>
          </w:tcPr>
          <w:p w14:paraId="1889C503"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6</w:t>
            </w:r>
          </w:p>
        </w:tc>
        <w:tc>
          <w:tcPr>
            <w:tcW w:w="567" w:type="dxa"/>
            <w:shd w:val="clear" w:color="auto" w:fill="F7EEF7"/>
          </w:tcPr>
          <w:p w14:paraId="7857C13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599CD6A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2</w:t>
            </w:r>
          </w:p>
        </w:tc>
      </w:tr>
      <w:tr w:rsidR="009F6E27" w:rsidRPr="00A33264" w14:paraId="4B62E03A" w14:textId="77777777" w:rsidTr="005A19CA">
        <w:trPr>
          <w:trHeight w:val="425"/>
        </w:trPr>
        <w:tc>
          <w:tcPr>
            <w:cnfStyle w:val="001000000000" w:firstRow="0" w:lastRow="0" w:firstColumn="1" w:lastColumn="0" w:oddVBand="0" w:evenVBand="0" w:oddHBand="0" w:evenHBand="0" w:firstRowFirstColumn="0" w:firstRowLastColumn="0" w:lastRowFirstColumn="0" w:lastRowLastColumn="0"/>
            <w:tcW w:w="2891" w:type="dxa"/>
          </w:tcPr>
          <w:p w14:paraId="79476375" w14:textId="29568B0C" w:rsidR="009F6E27" w:rsidRPr="00057554" w:rsidRDefault="00B969E8" w:rsidP="00E74040">
            <w:pPr>
              <w:spacing w:after="0"/>
              <w:rPr>
                <w:rFonts w:eastAsia="DengXian"/>
                <w:lang w:val="en-GB"/>
              </w:rPr>
            </w:pPr>
            <w:r w:rsidRPr="00A33264">
              <w:rPr>
                <w:rFonts w:eastAsia="DengXian"/>
                <w:lang w:val="en-GB"/>
              </w:rPr>
              <w:t>D</w:t>
            </w:r>
            <w:r w:rsidR="009F6E27" w:rsidRPr="00A33264">
              <w:rPr>
                <w:rFonts w:eastAsia="DengXian"/>
                <w:lang w:val="en-GB"/>
              </w:rPr>
              <w:t>r Graeme Innes AM</w:t>
            </w:r>
          </w:p>
        </w:tc>
        <w:tc>
          <w:tcPr>
            <w:tcW w:w="567" w:type="dxa"/>
          </w:tcPr>
          <w:p w14:paraId="42BF73B8"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45C72931"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9</w:t>
            </w:r>
          </w:p>
        </w:tc>
        <w:tc>
          <w:tcPr>
            <w:tcW w:w="567" w:type="dxa"/>
          </w:tcPr>
          <w:p w14:paraId="0484245B"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5C736B9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52F319A1"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532B21E9"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38C0BB1E"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54D72EB6"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5E27DA86"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39F741CA"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5DA3A691"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6A39EDC0"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r>
      <w:tr w:rsidR="00AE51C6" w:rsidRPr="00A33264" w14:paraId="6D68EA97" w14:textId="77777777" w:rsidTr="005A19C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91" w:type="dxa"/>
            <w:shd w:val="clear" w:color="auto" w:fill="F7EEF7"/>
          </w:tcPr>
          <w:p w14:paraId="2B40E61E" w14:textId="77777777" w:rsidR="009F6E27" w:rsidRPr="00A33264" w:rsidRDefault="009F6E27" w:rsidP="00E74040">
            <w:pPr>
              <w:spacing w:after="0"/>
              <w:rPr>
                <w:rFonts w:eastAsia="DengXian"/>
                <w:lang w:val="en-GB"/>
              </w:rPr>
            </w:pPr>
            <w:r w:rsidRPr="00A33264">
              <w:rPr>
                <w:rFonts w:eastAsia="DengXian"/>
                <w:lang w:val="en-GB"/>
              </w:rPr>
              <w:t>Mrs Joan McKenna Kerr</w:t>
            </w:r>
          </w:p>
        </w:tc>
        <w:tc>
          <w:tcPr>
            <w:tcW w:w="567" w:type="dxa"/>
            <w:shd w:val="clear" w:color="auto" w:fill="F7EEF7"/>
          </w:tcPr>
          <w:p w14:paraId="73C8C697"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11</w:t>
            </w:r>
          </w:p>
        </w:tc>
        <w:tc>
          <w:tcPr>
            <w:tcW w:w="567" w:type="dxa"/>
            <w:shd w:val="clear" w:color="auto" w:fill="F7EEF7"/>
          </w:tcPr>
          <w:p w14:paraId="787789CF"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10</w:t>
            </w:r>
          </w:p>
        </w:tc>
        <w:tc>
          <w:tcPr>
            <w:tcW w:w="567" w:type="dxa"/>
            <w:shd w:val="clear" w:color="auto" w:fill="F7EEF7"/>
          </w:tcPr>
          <w:p w14:paraId="1CEECD40"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1044DE41"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3D0F1A7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0776F93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7A434602"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01E1C02E"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4C964528"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5</w:t>
            </w:r>
          </w:p>
        </w:tc>
        <w:tc>
          <w:tcPr>
            <w:tcW w:w="567" w:type="dxa"/>
            <w:shd w:val="clear" w:color="auto" w:fill="F7EEF7"/>
          </w:tcPr>
          <w:p w14:paraId="3BE7DBF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5</w:t>
            </w:r>
          </w:p>
        </w:tc>
        <w:tc>
          <w:tcPr>
            <w:tcW w:w="567" w:type="dxa"/>
            <w:shd w:val="clear" w:color="auto" w:fill="F7EEF7"/>
          </w:tcPr>
          <w:p w14:paraId="48EE4156"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774D5954"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r>
      <w:tr w:rsidR="009F6E27" w:rsidRPr="00A33264" w14:paraId="13635032" w14:textId="77777777" w:rsidTr="005A19CA">
        <w:trPr>
          <w:trHeight w:val="425"/>
        </w:trPr>
        <w:tc>
          <w:tcPr>
            <w:cnfStyle w:val="001000000000" w:firstRow="0" w:lastRow="0" w:firstColumn="1" w:lastColumn="0" w:oddVBand="0" w:evenVBand="0" w:oddHBand="0" w:evenHBand="0" w:firstRowFirstColumn="0" w:firstRowLastColumn="0" w:lastRowFirstColumn="0" w:lastRowLastColumn="0"/>
            <w:tcW w:w="2891" w:type="dxa"/>
          </w:tcPr>
          <w:p w14:paraId="6CFCA574" w14:textId="77777777" w:rsidR="009F6E27" w:rsidRPr="00A33264" w:rsidRDefault="009F6E27" w:rsidP="00E74040">
            <w:pPr>
              <w:spacing w:after="0"/>
              <w:rPr>
                <w:rFonts w:eastAsia="DengXian"/>
                <w:lang w:val="en-GB"/>
              </w:rPr>
            </w:pPr>
            <w:r w:rsidRPr="00A33264">
              <w:rPr>
                <w:rFonts w:eastAsia="DengXian"/>
                <w:lang w:val="en-GB"/>
              </w:rPr>
              <w:t xml:space="preserve">Dr Denis Napthine AO </w:t>
            </w:r>
          </w:p>
        </w:tc>
        <w:tc>
          <w:tcPr>
            <w:tcW w:w="567" w:type="dxa"/>
          </w:tcPr>
          <w:p w14:paraId="3364440F"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2893C31A"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47B0732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573E1CD8"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04E57279"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716543E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54EBCF3C"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757A1F9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691BBCAC"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68220F63"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3</w:t>
            </w:r>
          </w:p>
        </w:tc>
        <w:tc>
          <w:tcPr>
            <w:tcW w:w="567" w:type="dxa"/>
          </w:tcPr>
          <w:p w14:paraId="7DB5414C"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2D96F5E0"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r>
      <w:tr w:rsidR="00AE51C6" w:rsidRPr="00A33264" w14:paraId="3BE202A3" w14:textId="77777777" w:rsidTr="005A19C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91" w:type="dxa"/>
            <w:shd w:val="clear" w:color="auto" w:fill="F7EEF7"/>
          </w:tcPr>
          <w:p w14:paraId="64083C05" w14:textId="782106B3" w:rsidR="009F6E27" w:rsidRPr="00A33264" w:rsidRDefault="009F6E27" w:rsidP="00E74040">
            <w:pPr>
              <w:spacing w:after="0"/>
              <w:rPr>
                <w:rFonts w:eastAsia="DengXian"/>
                <w:lang w:val="en-GB"/>
              </w:rPr>
            </w:pPr>
            <w:r w:rsidRPr="00A33264">
              <w:rPr>
                <w:rFonts w:eastAsia="DengXian"/>
                <w:lang w:val="en-GB"/>
              </w:rPr>
              <w:t>Ms Estelle Pearson</w:t>
            </w:r>
          </w:p>
        </w:tc>
        <w:tc>
          <w:tcPr>
            <w:tcW w:w="567" w:type="dxa"/>
            <w:shd w:val="clear" w:color="auto" w:fill="F7EEF7"/>
          </w:tcPr>
          <w:p w14:paraId="2AF36BF3"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11</w:t>
            </w:r>
          </w:p>
        </w:tc>
        <w:tc>
          <w:tcPr>
            <w:tcW w:w="567" w:type="dxa"/>
            <w:shd w:val="clear" w:color="auto" w:fill="F7EEF7"/>
          </w:tcPr>
          <w:p w14:paraId="578124D7"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9</w:t>
            </w:r>
          </w:p>
        </w:tc>
        <w:tc>
          <w:tcPr>
            <w:tcW w:w="567" w:type="dxa"/>
            <w:shd w:val="clear" w:color="auto" w:fill="F7EEF7"/>
          </w:tcPr>
          <w:p w14:paraId="106F2499"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12DBC8EB"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14B78FD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611665AD"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334782A1"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596B19B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7CC6DA18"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73A9CFA4"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548FA968"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2662EB1A"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w:t>
            </w:r>
          </w:p>
        </w:tc>
      </w:tr>
      <w:tr w:rsidR="009F6E27" w:rsidRPr="00A33264" w14:paraId="3BD8A921" w14:textId="77777777" w:rsidTr="005A19CA">
        <w:trPr>
          <w:trHeight w:val="425"/>
        </w:trPr>
        <w:tc>
          <w:tcPr>
            <w:cnfStyle w:val="001000000000" w:firstRow="0" w:lastRow="0" w:firstColumn="1" w:lastColumn="0" w:oddVBand="0" w:evenVBand="0" w:oddHBand="0" w:evenHBand="0" w:firstRowFirstColumn="0" w:firstRowLastColumn="0" w:lastRowFirstColumn="0" w:lastRowLastColumn="0"/>
            <w:tcW w:w="2891" w:type="dxa"/>
          </w:tcPr>
          <w:p w14:paraId="688BF7E9" w14:textId="77777777" w:rsidR="009F6E27" w:rsidRPr="00A33264" w:rsidRDefault="009F6E27" w:rsidP="00E74040">
            <w:pPr>
              <w:spacing w:after="0"/>
              <w:rPr>
                <w:rFonts w:eastAsia="DengXian"/>
                <w:lang w:val="en-GB"/>
              </w:rPr>
            </w:pPr>
            <w:r w:rsidRPr="00A33264">
              <w:rPr>
                <w:rFonts w:eastAsia="DengXian"/>
                <w:lang w:val="en-GB"/>
              </w:rPr>
              <w:t>Ms Leah van Poppel</w:t>
            </w:r>
          </w:p>
        </w:tc>
        <w:tc>
          <w:tcPr>
            <w:tcW w:w="567" w:type="dxa"/>
          </w:tcPr>
          <w:p w14:paraId="5CB29789"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11</w:t>
            </w:r>
          </w:p>
        </w:tc>
        <w:tc>
          <w:tcPr>
            <w:tcW w:w="567" w:type="dxa"/>
          </w:tcPr>
          <w:p w14:paraId="4A6C4034"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10</w:t>
            </w:r>
          </w:p>
        </w:tc>
        <w:tc>
          <w:tcPr>
            <w:tcW w:w="567" w:type="dxa"/>
          </w:tcPr>
          <w:p w14:paraId="35E7F823"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1F272A1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3C875461"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2EBCEFC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2</w:t>
            </w:r>
          </w:p>
        </w:tc>
        <w:tc>
          <w:tcPr>
            <w:tcW w:w="567" w:type="dxa"/>
          </w:tcPr>
          <w:p w14:paraId="21472CF0"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4</w:t>
            </w:r>
          </w:p>
        </w:tc>
        <w:tc>
          <w:tcPr>
            <w:tcW w:w="567" w:type="dxa"/>
          </w:tcPr>
          <w:p w14:paraId="4293BAE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4</w:t>
            </w:r>
          </w:p>
        </w:tc>
        <w:tc>
          <w:tcPr>
            <w:tcW w:w="567" w:type="dxa"/>
          </w:tcPr>
          <w:p w14:paraId="3875B683"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6</w:t>
            </w:r>
          </w:p>
        </w:tc>
        <w:tc>
          <w:tcPr>
            <w:tcW w:w="567" w:type="dxa"/>
          </w:tcPr>
          <w:p w14:paraId="16E798D5"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6</w:t>
            </w:r>
          </w:p>
        </w:tc>
        <w:tc>
          <w:tcPr>
            <w:tcW w:w="567" w:type="dxa"/>
          </w:tcPr>
          <w:p w14:paraId="4DDEE3AB"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c>
          <w:tcPr>
            <w:tcW w:w="567" w:type="dxa"/>
          </w:tcPr>
          <w:p w14:paraId="7AD0EB1D" w14:textId="77777777" w:rsidR="009F6E27" w:rsidRPr="00A33264" w:rsidRDefault="009F6E27" w:rsidP="00BB40DF">
            <w:pPr>
              <w:spacing w:after="0"/>
              <w:jc w:val="right"/>
              <w:cnfStyle w:val="000000000000" w:firstRow="0" w:lastRow="0" w:firstColumn="0" w:lastColumn="0" w:oddVBand="0" w:evenVBand="0" w:oddHBand="0" w:evenHBand="0" w:firstRowFirstColumn="0" w:firstRowLastColumn="0" w:lastRowFirstColumn="0" w:lastRowLastColumn="0"/>
              <w:rPr>
                <w:rFonts w:eastAsia="DengXian"/>
                <w:lang w:val="en-GB"/>
              </w:rPr>
            </w:pPr>
            <w:r w:rsidRPr="00A33264">
              <w:rPr>
                <w:rFonts w:eastAsia="DengXian"/>
                <w:lang w:val="en-GB"/>
              </w:rPr>
              <w:t>0</w:t>
            </w:r>
          </w:p>
        </w:tc>
      </w:tr>
      <w:tr w:rsidR="00AE51C6" w:rsidRPr="00A33264" w14:paraId="51A5E67B" w14:textId="77777777" w:rsidTr="005A19C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91" w:type="dxa"/>
            <w:shd w:val="clear" w:color="auto" w:fill="F7EEF7"/>
          </w:tcPr>
          <w:p w14:paraId="01DD188E" w14:textId="260AFBD6" w:rsidR="009F6E27" w:rsidRPr="00A33264" w:rsidRDefault="009F6E27" w:rsidP="00E74040">
            <w:pPr>
              <w:spacing w:after="0"/>
              <w:rPr>
                <w:rFonts w:eastAsia="DengXian"/>
                <w:lang w:val="en-GB"/>
              </w:rPr>
            </w:pPr>
            <w:r w:rsidRPr="00A33264">
              <w:rPr>
                <w:rFonts w:eastAsia="DengXian"/>
                <w:lang w:val="en-GB"/>
              </w:rPr>
              <w:t>Dr Peta Seaton AM</w:t>
            </w:r>
          </w:p>
        </w:tc>
        <w:tc>
          <w:tcPr>
            <w:tcW w:w="567" w:type="dxa"/>
            <w:shd w:val="clear" w:color="auto" w:fill="F7EEF7"/>
          </w:tcPr>
          <w:p w14:paraId="1A03B097"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11</w:t>
            </w:r>
          </w:p>
        </w:tc>
        <w:tc>
          <w:tcPr>
            <w:tcW w:w="567" w:type="dxa"/>
            <w:shd w:val="clear" w:color="auto" w:fill="F7EEF7"/>
          </w:tcPr>
          <w:p w14:paraId="1A9A62C2"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10</w:t>
            </w:r>
          </w:p>
        </w:tc>
        <w:tc>
          <w:tcPr>
            <w:tcW w:w="567" w:type="dxa"/>
            <w:shd w:val="clear" w:color="auto" w:fill="F7EEF7"/>
          </w:tcPr>
          <w:p w14:paraId="2FCB650C"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28F05C85"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281A2805"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0E7E0928"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3</w:t>
            </w:r>
          </w:p>
        </w:tc>
        <w:tc>
          <w:tcPr>
            <w:tcW w:w="567" w:type="dxa"/>
            <w:shd w:val="clear" w:color="auto" w:fill="F7EEF7"/>
          </w:tcPr>
          <w:p w14:paraId="143205FF"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5E1CBF88"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4</w:t>
            </w:r>
          </w:p>
        </w:tc>
        <w:tc>
          <w:tcPr>
            <w:tcW w:w="567" w:type="dxa"/>
            <w:shd w:val="clear" w:color="auto" w:fill="F7EEF7"/>
          </w:tcPr>
          <w:p w14:paraId="0FECB194"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6</w:t>
            </w:r>
          </w:p>
        </w:tc>
        <w:tc>
          <w:tcPr>
            <w:tcW w:w="567" w:type="dxa"/>
            <w:shd w:val="clear" w:color="auto" w:fill="F7EEF7"/>
          </w:tcPr>
          <w:p w14:paraId="06654732"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6</w:t>
            </w:r>
          </w:p>
        </w:tc>
        <w:tc>
          <w:tcPr>
            <w:tcW w:w="567" w:type="dxa"/>
            <w:shd w:val="clear" w:color="auto" w:fill="F7EEF7"/>
          </w:tcPr>
          <w:p w14:paraId="76690720"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0</w:t>
            </w:r>
          </w:p>
        </w:tc>
        <w:tc>
          <w:tcPr>
            <w:tcW w:w="567" w:type="dxa"/>
            <w:shd w:val="clear" w:color="auto" w:fill="F7EEF7"/>
          </w:tcPr>
          <w:p w14:paraId="36435F25" w14:textId="77777777" w:rsidR="009F6E27" w:rsidRPr="00A33264" w:rsidRDefault="009F6E27" w:rsidP="00BB40DF">
            <w:pPr>
              <w:spacing w:after="0"/>
              <w:jc w:val="right"/>
              <w:cnfStyle w:val="000000100000" w:firstRow="0" w:lastRow="0" w:firstColumn="0" w:lastColumn="0" w:oddVBand="0" w:evenVBand="0" w:oddHBand="1" w:evenHBand="0" w:firstRowFirstColumn="0" w:firstRowLastColumn="0" w:lastRowFirstColumn="0" w:lastRowLastColumn="0"/>
              <w:rPr>
                <w:rFonts w:eastAsia="DengXian"/>
                <w:lang w:val="en-GB"/>
              </w:rPr>
            </w:pPr>
            <w:r w:rsidRPr="00A33264">
              <w:rPr>
                <w:rFonts w:eastAsia="DengXian"/>
                <w:lang w:val="en-GB"/>
              </w:rPr>
              <w:t>1</w:t>
            </w:r>
          </w:p>
        </w:tc>
      </w:tr>
    </w:tbl>
    <w:p w14:paraId="743872F1" w14:textId="0B7630BC" w:rsidR="00293639" w:rsidRPr="00B27FA1" w:rsidRDefault="00D24A04" w:rsidP="00B27FA1">
      <w:pPr>
        <w:pStyle w:val="Tablenote"/>
      </w:pPr>
      <w:r>
        <w:lastRenderedPageBreak/>
        <w:t>N</w:t>
      </w:r>
      <w:r w:rsidR="009F6E27" w:rsidRPr="00B27FA1">
        <w:t>ote</w:t>
      </w:r>
      <w:r w:rsidR="00293639" w:rsidRPr="00B27FA1">
        <w:t>s</w:t>
      </w:r>
      <w:r w:rsidR="009F6E27" w:rsidRPr="00B27FA1">
        <w:t xml:space="preserve">: </w:t>
      </w:r>
      <w:r w:rsidR="00293639" w:rsidRPr="00B27FA1">
        <w:t>SPDO = Strategic Direction and Participant Outcomes Committee.</w:t>
      </w:r>
    </w:p>
    <w:p w14:paraId="349E74A6" w14:textId="77777777" w:rsidR="00293639" w:rsidRPr="00B27FA1" w:rsidRDefault="00293639" w:rsidP="00B27FA1">
      <w:pPr>
        <w:pStyle w:val="Tablenote"/>
      </w:pPr>
      <w:r w:rsidRPr="00B27FA1">
        <w:t>A joint Audit Committee and Risk Committee meeting was held on 14 March 2024. Attendance has been recorded individually for both Audit Committee and Risk Committee. On 27 March 2024 the Audit Committee and Risk Committee merged to form the Audit and Risk Committee.</w:t>
      </w:r>
    </w:p>
    <w:p w14:paraId="76467FA9" w14:textId="54FCA1B2" w:rsidR="0047222D" w:rsidRPr="00B27FA1" w:rsidRDefault="009F6E27" w:rsidP="00B27FA1">
      <w:pPr>
        <w:pStyle w:val="Tablenote"/>
      </w:pPr>
      <w:r w:rsidRPr="00B27FA1">
        <w:t>Board members may attend any Board committee meeting in their capacity as a director. ‘Eligible’ refers to the number of scheduled committee meetings available to be attended by a director as a formal member of the committee. ‘Attended’ refers to the actual number of meetings Board members attended.</w:t>
      </w:r>
    </w:p>
    <w:p w14:paraId="2003B6E7" w14:textId="6C2519AE" w:rsidR="00D7463A" w:rsidRPr="00A33264" w:rsidRDefault="00D7463A" w:rsidP="00D7463A">
      <w:pPr>
        <w:pStyle w:val="Heading4"/>
        <w:rPr>
          <w:lang w:val="en-GB"/>
        </w:rPr>
      </w:pPr>
      <w:bookmarkStart w:id="296" w:name="_Toc169592979"/>
      <w:r w:rsidRPr="00A33264">
        <w:rPr>
          <w:lang w:val="en-GB"/>
        </w:rPr>
        <w:t>Board membership</w:t>
      </w:r>
      <w:bookmarkEnd w:id="296"/>
    </w:p>
    <w:p w14:paraId="1A2B2E70" w14:textId="629B2AF0" w:rsidR="009F6E27" w:rsidRPr="00A33264" w:rsidRDefault="009F6E27" w:rsidP="009F6E27">
      <w:pPr>
        <w:rPr>
          <w:lang w:val="en-GB"/>
        </w:rPr>
      </w:pPr>
      <w:r w:rsidRPr="00A33264">
        <w:rPr>
          <w:lang w:val="en-GB"/>
        </w:rPr>
        <w:t xml:space="preserve">Ms Estelle Pearson completed her Board appointment on 30 June 2023. </w:t>
      </w:r>
      <w:r w:rsidR="00867E1D" w:rsidRPr="00A33264">
        <w:rPr>
          <w:lang w:val="en-GB"/>
        </w:rPr>
        <w:t>Ms</w:t>
      </w:r>
      <w:r w:rsidRPr="00A33264">
        <w:rPr>
          <w:lang w:val="en-GB"/>
        </w:rPr>
        <w:t xml:space="preserve"> Pearson was reappointed to the Board on 11 July 2023 for 3 months and subsequently reappointed on 11 October 2023 for 3 years.</w:t>
      </w:r>
    </w:p>
    <w:p w14:paraId="6344B3C1" w14:textId="11890C87" w:rsidR="006418CC" w:rsidRPr="00F23525" w:rsidRDefault="009F6E27" w:rsidP="006418CC">
      <w:r w:rsidRPr="00A33264">
        <w:rPr>
          <w:lang w:val="en-GB"/>
        </w:rPr>
        <w:t xml:space="preserve">Mr Asimakis (Mark) Darras was appointed to the Board for </w:t>
      </w:r>
      <w:r w:rsidR="00293639">
        <w:rPr>
          <w:lang w:val="en-GB"/>
        </w:rPr>
        <w:t>3</w:t>
      </w:r>
      <w:r w:rsidR="00293639" w:rsidRPr="00A33264">
        <w:rPr>
          <w:lang w:val="en-GB"/>
        </w:rPr>
        <w:t xml:space="preserve"> </w:t>
      </w:r>
      <w:r w:rsidRPr="00A33264">
        <w:rPr>
          <w:lang w:val="en-GB"/>
        </w:rPr>
        <w:t>years and commenced his term on 24 November 2023.</w:t>
      </w:r>
      <w:bookmarkStart w:id="297" w:name="_Toc169592980"/>
      <w:bookmarkStart w:id="298" w:name="_Toc174354199"/>
      <w:bookmarkStart w:id="299" w:name="_Toc175316903"/>
      <w:bookmarkStart w:id="300" w:name="_Toc176786394"/>
    </w:p>
    <w:p w14:paraId="38F57969" w14:textId="6FD541A8" w:rsidR="00D7463A" w:rsidRPr="00A33264" w:rsidRDefault="00D7463A" w:rsidP="00D7463A">
      <w:pPr>
        <w:pStyle w:val="Heading3"/>
        <w:rPr>
          <w:lang w:val="en-GB"/>
        </w:rPr>
      </w:pPr>
      <w:bookmarkStart w:id="301" w:name="_Toc180505676"/>
      <w:r w:rsidRPr="00A33264">
        <w:rPr>
          <w:lang w:val="en-GB"/>
        </w:rPr>
        <w:t>The Independent Advisory Council</w:t>
      </w:r>
      <w:bookmarkEnd w:id="297"/>
      <w:bookmarkEnd w:id="298"/>
      <w:bookmarkEnd w:id="299"/>
      <w:bookmarkEnd w:id="300"/>
      <w:bookmarkEnd w:id="301"/>
    </w:p>
    <w:p w14:paraId="655E1239" w14:textId="77777777" w:rsidR="00CC1405" w:rsidRPr="00A33264" w:rsidRDefault="00CC1405" w:rsidP="00CC1405">
      <w:pPr>
        <w:rPr>
          <w:lang w:val="en-GB"/>
        </w:rPr>
      </w:pPr>
      <w:r w:rsidRPr="00A33264">
        <w:rPr>
          <w:lang w:val="en-GB"/>
        </w:rPr>
        <w:t>The Independent Advisory Council (IAC) gives the NDIA Board independent advice. The Board must consider this advice when performing its duties, in line with section 144 of the NDIS Act.</w:t>
      </w:r>
    </w:p>
    <w:p w14:paraId="4A5EB35E" w14:textId="0FBECA81" w:rsidR="00D7463A" w:rsidRPr="00A33264" w:rsidRDefault="00CC1405" w:rsidP="00CC1405">
      <w:pPr>
        <w:rPr>
          <w:lang w:val="en-GB"/>
        </w:rPr>
      </w:pPr>
      <w:r w:rsidRPr="00A33264">
        <w:rPr>
          <w:lang w:val="en-GB"/>
        </w:rPr>
        <w:t xml:space="preserve">The IAC is led by a </w:t>
      </w:r>
      <w:r w:rsidR="00293639">
        <w:rPr>
          <w:lang w:val="en-GB"/>
        </w:rPr>
        <w:t>p</w:t>
      </w:r>
      <w:r w:rsidRPr="00A33264">
        <w:rPr>
          <w:lang w:val="en-GB"/>
        </w:rPr>
        <w:t xml:space="preserve">rincipal </w:t>
      </w:r>
      <w:r w:rsidR="00293639">
        <w:rPr>
          <w:lang w:val="en-GB"/>
        </w:rPr>
        <w:t>m</w:t>
      </w:r>
      <w:r w:rsidRPr="00A33264">
        <w:rPr>
          <w:lang w:val="en-GB"/>
        </w:rPr>
        <w:t xml:space="preserve">ember and up to 12 members from across Australia. They are people with disability </w:t>
      </w:r>
      <w:r w:rsidR="00293639">
        <w:rPr>
          <w:lang w:val="en-GB"/>
        </w:rPr>
        <w:t>and/</w:t>
      </w:r>
      <w:r w:rsidRPr="00A33264">
        <w:rPr>
          <w:lang w:val="en-GB"/>
        </w:rPr>
        <w:t>or experts in disability issues, appointed by the Minister for the NDIS.</w:t>
      </w:r>
    </w:p>
    <w:p w14:paraId="4C3A91CF" w14:textId="25FFB06F" w:rsidR="00CC1405" w:rsidRPr="00A33264" w:rsidRDefault="00CC1405" w:rsidP="00CC1405">
      <w:pPr>
        <w:pStyle w:val="Heading4"/>
        <w:rPr>
          <w:lang w:val="en-GB"/>
        </w:rPr>
      </w:pPr>
      <w:r w:rsidRPr="00A33264">
        <w:rPr>
          <w:lang w:val="en-GB"/>
        </w:rPr>
        <w:t>IAC advice</w:t>
      </w:r>
    </w:p>
    <w:p w14:paraId="0AD14E33" w14:textId="77777777" w:rsidR="00CC1405" w:rsidRPr="00A33264" w:rsidRDefault="00CC1405" w:rsidP="00CC1405">
      <w:pPr>
        <w:rPr>
          <w:lang w:val="en-GB"/>
        </w:rPr>
      </w:pPr>
      <w:r w:rsidRPr="00A33264">
        <w:rPr>
          <w:lang w:val="en-GB"/>
        </w:rPr>
        <w:t xml:space="preserve">The IAC brings the perspectives of NDIS participants, disability experts and the community into the NDIA boardroom. </w:t>
      </w:r>
    </w:p>
    <w:p w14:paraId="1AB1B666" w14:textId="50385817" w:rsidR="00CC1405" w:rsidRPr="00A33264" w:rsidRDefault="00CC1405" w:rsidP="00CC1405">
      <w:pPr>
        <w:rPr>
          <w:lang w:val="en-GB"/>
        </w:rPr>
      </w:pPr>
      <w:r w:rsidRPr="00A33264">
        <w:rPr>
          <w:lang w:val="en-GB"/>
        </w:rPr>
        <w:t xml:space="preserve">During 2023–24 the IAC continued to engage with the NDIA to provide advice. Key work highlights for </w:t>
      </w:r>
      <w:r w:rsidR="004E5CA0">
        <w:rPr>
          <w:lang w:val="en-GB"/>
        </w:rPr>
        <w:t>2023</w:t>
      </w:r>
      <w:r w:rsidR="00C24B45">
        <w:rPr>
          <w:rFonts w:ascii="Symbol" w:eastAsia="Symbol" w:hAnsi="Symbol" w:cs="Symbol"/>
          <w:lang w:val="en-GB"/>
        </w:rPr>
        <w:sym w:font="Symbol" w:char="F02D"/>
      </w:r>
      <w:r w:rsidR="004E5CA0">
        <w:rPr>
          <w:lang w:val="en-GB"/>
        </w:rPr>
        <w:t>24</w:t>
      </w:r>
      <w:r w:rsidRPr="00A33264">
        <w:rPr>
          <w:lang w:val="en-GB"/>
        </w:rPr>
        <w:t xml:space="preserve"> include:</w:t>
      </w:r>
    </w:p>
    <w:p w14:paraId="2EAF1F8D" w14:textId="6DA0DCB6" w:rsidR="00CC1405" w:rsidRPr="00A33264" w:rsidRDefault="00EC4BFC" w:rsidP="00CC1405">
      <w:pPr>
        <w:pStyle w:val="Bullet1"/>
        <w:rPr>
          <w:lang w:val="en-GB"/>
        </w:rPr>
      </w:pPr>
      <w:r>
        <w:rPr>
          <w:lang w:val="en-GB"/>
        </w:rPr>
        <w:t>p</w:t>
      </w:r>
      <w:r w:rsidR="00CC1405" w:rsidRPr="00A33264">
        <w:rPr>
          <w:lang w:val="en-GB"/>
        </w:rPr>
        <w:t xml:space="preserve">roviding the advice ‘Improving the NDIS for children and young people: the importance of being guided by their voice’ to the Board. This work included an </w:t>
      </w:r>
      <w:r>
        <w:rPr>
          <w:lang w:val="en-GB"/>
        </w:rPr>
        <w:t>NDIA</w:t>
      </w:r>
      <w:r w:rsidRPr="00A33264">
        <w:rPr>
          <w:lang w:val="en-GB"/>
        </w:rPr>
        <w:t xml:space="preserve"> </w:t>
      </w:r>
      <w:r w:rsidR="00CC1405" w:rsidRPr="00A33264">
        <w:rPr>
          <w:lang w:val="en-GB"/>
        </w:rPr>
        <w:t>response, which outlines what the NDIA will do about the advice, in line with section 145(b) of the NDIS Act</w:t>
      </w:r>
    </w:p>
    <w:p w14:paraId="0F5A3C6B" w14:textId="1C984240" w:rsidR="00CC1405" w:rsidRPr="00A33264" w:rsidRDefault="00EC4BFC" w:rsidP="00CC1405">
      <w:pPr>
        <w:pStyle w:val="Bullet1"/>
        <w:rPr>
          <w:lang w:val="en-GB"/>
        </w:rPr>
      </w:pPr>
      <w:r>
        <w:rPr>
          <w:lang w:val="en-GB"/>
        </w:rPr>
        <w:t>e</w:t>
      </w:r>
      <w:r w:rsidR="00CC1405" w:rsidRPr="00A33264">
        <w:rPr>
          <w:lang w:val="en-GB"/>
        </w:rPr>
        <w:t xml:space="preserve">ndorsing the </w:t>
      </w:r>
      <w:r>
        <w:rPr>
          <w:lang w:val="en-GB"/>
        </w:rPr>
        <w:t xml:space="preserve">advice </w:t>
      </w:r>
      <w:r w:rsidR="00CC1405" w:rsidRPr="00A33264">
        <w:rPr>
          <w:lang w:val="en-GB"/>
        </w:rPr>
        <w:t>‘Enhancing behaviour supports in the NDIA’ at the April 2024 meeting. The IAC will send the advice to the Board in 2024</w:t>
      </w:r>
      <w:r>
        <w:rPr>
          <w:lang w:val="en-GB"/>
        </w:rPr>
        <w:t>–</w:t>
      </w:r>
      <w:r w:rsidR="00CC1405" w:rsidRPr="00A33264">
        <w:rPr>
          <w:lang w:val="en-GB"/>
        </w:rPr>
        <w:t xml:space="preserve">25, once the </w:t>
      </w:r>
      <w:r>
        <w:rPr>
          <w:lang w:val="en-GB"/>
        </w:rPr>
        <w:t>NDIA</w:t>
      </w:r>
      <w:r w:rsidRPr="00A33264">
        <w:rPr>
          <w:lang w:val="en-GB"/>
        </w:rPr>
        <w:t xml:space="preserve"> </w:t>
      </w:r>
      <w:r w:rsidR="00CC1405" w:rsidRPr="00A33264">
        <w:rPr>
          <w:lang w:val="en-GB"/>
        </w:rPr>
        <w:t>response is ready</w:t>
      </w:r>
    </w:p>
    <w:p w14:paraId="13CC8055" w14:textId="0CA46336" w:rsidR="00CC1405" w:rsidRPr="00A33264" w:rsidRDefault="00EC4BFC" w:rsidP="00CC1405">
      <w:pPr>
        <w:pStyle w:val="Bullet1"/>
        <w:rPr>
          <w:lang w:val="en-GB"/>
        </w:rPr>
      </w:pPr>
      <w:r>
        <w:rPr>
          <w:lang w:val="en-GB"/>
        </w:rPr>
        <w:t>e</w:t>
      </w:r>
      <w:r w:rsidR="00CC1405" w:rsidRPr="00A33264">
        <w:rPr>
          <w:lang w:val="en-GB"/>
        </w:rPr>
        <w:t xml:space="preserve">ngaging with the </w:t>
      </w:r>
      <w:r w:rsidR="002A1C3B">
        <w:rPr>
          <w:lang w:val="en-GB"/>
        </w:rPr>
        <w:t>M</w:t>
      </w:r>
      <w:r w:rsidR="00CC1405" w:rsidRPr="00A33264">
        <w:rPr>
          <w:lang w:val="en-GB"/>
        </w:rPr>
        <w:t>inister</w:t>
      </w:r>
      <w:r w:rsidR="00880C4D">
        <w:rPr>
          <w:lang w:val="en-GB"/>
        </w:rPr>
        <w:t xml:space="preserve"> for the NDIS</w:t>
      </w:r>
      <w:r w:rsidR="00CC1405" w:rsidRPr="00A33264">
        <w:rPr>
          <w:lang w:val="en-GB"/>
        </w:rPr>
        <w:t xml:space="preserve"> and the NDIS Review to provide submissions on NDIS issues that impact participants and the broader disability community, including:</w:t>
      </w:r>
    </w:p>
    <w:p w14:paraId="2763FDD8" w14:textId="50C4398D" w:rsidR="00CC1405" w:rsidRPr="00A33264" w:rsidRDefault="00CC1405" w:rsidP="00A9438A">
      <w:pPr>
        <w:pStyle w:val="Bullet2"/>
        <w:rPr>
          <w:lang w:val="en-GB"/>
        </w:rPr>
      </w:pPr>
      <w:r w:rsidRPr="00A33264">
        <w:rPr>
          <w:lang w:val="en-GB"/>
        </w:rPr>
        <w:lastRenderedPageBreak/>
        <w:t>home and living supports</w:t>
      </w:r>
    </w:p>
    <w:p w14:paraId="420E0D74" w14:textId="4FBB33E6" w:rsidR="00CC1405" w:rsidRPr="00A33264" w:rsidRDefault="00CC1405" w:rsidP="00A9438A">
      <w:pPr>
        <w:pStyle w:val="Bullet2"/>
        <w:rPr>
          <w:lang w:val="en-GB"/>
        </w:rPr>
      </w:pPr>
      <w:r w:rsidRPr="00A33264">
        <w:rPr>
          <w:lang w:val="en-GB"/>
        </w:rPr>
        <w:t>the disability ecosystem</w:t>
      </w:r>
    </w:p>
    <w:p w14:paraId="3026E7A5" w14:textId="6FC11A1F" w:rsidR="00CC1405" w:rsidRPr="00A33264" w:rsidRDefault="00CC1405" w:rsidP="00A9438A">
      <w:pPr>
        <w:pStyle w:val="Bullet2"/>
        <w:rPr>
          <w:lang w:val="en-GB"/>
        </w:rPr>
      </w:pPr>
      <w:r w:rsidRPr="00A33264">
        <w:rPr>
          <w:lang w:val="en-GB"/>
        </w:rPr>
        <w:t>inclusion for people with disability</w:t>
      </w:r>
    </w:p>
    <w:p w14:paraId="5F9169E0" w14:textId="5E141690" w:rsidR="00CC1405" w:rsidRPr="00A33264" w:rsidRDefault="00CC1405" w:rsidP="00A9438A">
      <w:pPr>
        <w:pStyle w:val="Bullet2"/>
        <w:rPr>
          <w:lang w:val="en-GB"/>
        </w:rPr>
      </w:pPr>
      <w:r w:rsidRPr="00A33264">
        <w:rPr>
          <w:lang w:val="en-GB"/>
        </w:rPr>
        <w:t>the NDIS Quality and Safeguarding Framework</w:t>
      </w:r>
    </w:p>
    <w:p w14:paraId="68979468" w14:textId="43B28387" w:rsidR="00CC1405" w:rsidRPr="00A33264" w:rsidRDefault="00EC4BFC" w:rsidP="00CC1405">
      <w:pPr>
        <w:pStyle w:val="Bullet1"/>
        <w:rPr>
          <w:lang w:val="en-GB"/>
        </w:rPr>
      </w:pPr>
      <w:r>
        <w:rPr>
          <w:lang w:val="en-GB"/>
        </w:rPr>
        <w:t>p</w:t>
      </w:r>
      <w:r w:rsidR="00CC1405" w:rsidRPr="00A33264">
        <w:rPr>
          <w:lang w:val="en-GB"/>
        </w:rPr>
        <w:t>roviding a statement for the Board’s consideration on equal and fair access to the NDIS for those involved in the justice system.</w:t>
      </w:r>
    </w:p>
    <w:p w14:paraId="1A25586A" w14:textId="18324733" w:rsidR="00CC1405" w:rsidRPr="00A33264" w:rsidRDefault="00CC1405" w:rsidP="00CC1405">
      <w:pPr>
        <w:rPr>
          <w:lang w:val="en-GB"/>
        </w:rPr>
      </w:pPr>
      <w:r w:rsidRPr="00A33264">
        <w:rPr>
          <w:lang w:val="en-GB"/>
        </w:rPr>
        <w:t>Building on last year’s efforts</w:t>
      </w:r>
      <w:r w:rsidR="00941D65">
        <w:rPr>
          <w:lang w:val="en-GB"/>
        </w:rPr>
        <w:t>,</w:t>
      </w:r>
      <w:r w:rsidRPr="00A33264">
        <w:rPr>
          <w:lang w:val="en-GB"/>
        </w:rPr>
        <w:t xml:space="preserve"> the IAC took a lead role in the NDIA’s co-design</w:t>
      </w:r>
      <w:r w:rsidR="00EC4BFC">
        <w:rPr>
          <w:lang w:val="en-GB"/>
        </w:rPr>
        <w:t xml:space="preserve"> work</w:t>
      </w:r>
      <w:r w:rsidRPr="00A33264">
        <w:rPr>
          <w:lang w:val="en-GB"/>
        </w:rPr>
        <w:t xml:space="preserve"> as part of a steering committee and several working groups. IAC representatives provided strategic advice to the NDIA</w:t>
      </w:r>
      <w:r w:rsidR="00EC4BFC">
        <w:rPr>
          <w:lang w:val="en-GB"/>
        </w:rPr>
        <w:t xml:space="preserve"> on</w:t>
      </w:r>
      <w:r w:rsidRPr="00A33264">
        <w:rPr>
          <w:lang w:val="en-GB"/>
        </w:rPr>
        <w:t xml:space="preserve"> </w:t>
      </w:r>
      <w:r w:rsidR="00EC4BFC">
        <w:rPr>
          <w:lang w:val="en-GB"/>
        </w:rPr>
        <w:t>6 areas of</w:t>
      </w:r>
      <w:r w:rsidRPr="00A33264">
        <w:rPr>
          <w:lang w:val="en-GB"/>
        </w:rPr>
        <w:t xml:space="preserve"> reform:</w:t>
      </w:r>
    </w:p>
    <w:p w14:paraId="25BD8CF0" w14:textId="02E8C6AB" w:rsidR="00CC1405" w:rsidRPr="00A33264" w:rsidRDefault="00EB20FF" w:rsidP="00CC1405">
      <w:pPr>
        <w:pStyle w:val="Bullet1"/>
        <w:rPr>
          <w:lang w:val="en-GB"/>
        </w:rPr>
      </w:pPr>
      <w:r>
        <w:rPr>
          <w:lang w:val="en-GB"/>
        </w:rPr>
        <w:t>w</w:t>
      </w:r>
      <w:r w:rsidR="00CC1405" w:rsidRPr="00A33264">
        <w:rPr>
          <w:lang w:val="en-GB"/>
        </w:rPr>
        <w:t>orkforce capability</w:t>
      </w:r>
    </w:p>
    <w:p w14:paraId="73D49007" w14:textId="371A43EC" w:rsidR="00CC1405" w:rsidRPr="00A33264" w:rsidRDefault="00EB20FF" w:rsidP="00CC1405">
      <w:pPr>
        <w:pStyle w:val="Bullet1"/>
        <w:rPr>
          <w:lang w:val="en-GB"/>
        </w:rPr>
      </w:pPr>
      <w:r>
        <w:rPr>
          <w:lang w:val="en-GB"/>
        </w:rPr>
        <w:t>b</w:t>
      </w:r>
      <w:r w:rsidR="00CC1405" w:rsidRPr="00A33264">
        <w:rPr>
          <w:lang w:val="en-GB"/>
        </w:rPr>
        <w:t>etter planning</w:t>
      </w:r>
    </w:p>
    <w:p w14:paraId="3CA64944" w14:textId="05AC7840" w:rsidR="00CC1405" w:rsidRPr="00A33264" w:rsidRDefault="00EB20FF" w:rsidP="00CC1405">
      <w:pPr>
        <w:pStyle w:val="Bullet1"/>
        <w:rPr>
          <w:lang w:val="en-GB"/>
        </w:rPr>
      </w:pPr>
      <w:r>
        <w:rPr>
          <w:lang w:val="en-GB"/>
        </w:rPr>
        <w:t>p</w:t>
      </w:r>
      <w:r w:rsidR="00CC1405" w:rsidRPr="00A33264">
        <w:rPr>
          <w:lang w:val="en-GB"/>
        </w:rPr>
        <w:t>lan flexibility</w:t>
      </w:r>
    </w:p>
    <w:p w14:paraId="52557EC2" w14:textId="448DEC9E" w:rsidR="00CC1405" w:rsidRPr="00A33264" w:rsidRDefault="00EB20FF" w:rsidP="00CC1405">
      <w:pPr>
        <w:pStyle w:val="Bullet1"/>
        <w:rPr>
          <w:lang w:val="en-GB"/>
        </w:rPr>
      </w:pPr>
      <w:r>
        <w:rPr>
          <w:lang w:val="en-GB"/>
        </w:rPr>
        <w:t>h</w:t>
      </w:r>
      <w:r w:rsidR="00CC1405" w:rsidRPr="00A33264">
        <w:rPr>
          <w:lang w:val="en-GB"/>
        </w:rPr>
        <w:t>ome and living</w:t>
      </w:r>
    </w:p>
    <w:p w14:paraId="34ECB623" w14:textId="10B37C7C" w:rsidR="00CC1405" w:rsidRPr="00A33264" w:rsidRDefault="00EB20FF" w:rsidP="00CC1405">
      <w:pPr>
        <w:pStyle w:val="Bullet1"/>
        <w:rPr>
          <w:lang w:val="en-GB"/>
        </w:rPr>
      </w:pPr>
      <w:r>
        <w:rPr>
          <w:lang w:val="en-GB"/>
        </w:rPr>
        <w:t>i</w:t>
      </w:r>
      <w:r w:rsidR="00CC1405" w:rsidRPr="00A33264">
        <w:rPr>
          <w:lang w:val="en-GB"/>
        </w:rPr>
        <w:t>ntegrity</w:t>
      </w:r>
    </w:p>
    <w:p w14:paraId="3A5658D1" w14:textId="2EEB7408" w:rsidR="00CC1405" w:rsidRPr="00A33264" w:rsidRDefault="00EB20FF" w:rsidP="00CC1405">
      <w:pPr>
        <w:pStyle w:val="Bullet1"/>
        <w:rPr>
          <w:lang w:val="en-GB"/>
        </w:rPr>
      </w:pPr>
      <w:r>
        <w:rPr>
          <w:lang w:val="en-GB"/>
        </w:rPr>
        <w:t>e</w:t>
      </w:r>
      <w:r w:rsidR="00CC1405" w:rsidRPr="00A33264">
        <w:rPr>
          <w:lang w:val="en-GB"/>
        </w:rPr>
        <w:t>vidence</w:t>
      </w:r>
      <w:r w:rsidR="00941D65">
        <w:rPr>
          <w:lang w:val="en-GB"/>
        </w:rPr>
        <w:t>-</w:t>
      </w:r>
      <w:r w:rsidR="00CC1405" w:rsidRPr="00A33264">
        <w:rPr>
          <w:lang w:val="en-GB"/>
        </w:rPr>
        <w:t>based supports</w:t>
      </w:r>
      <w:r>
        <w:rPr>
          <w:lang w:val="en-GB"/>
        </w:rPr>
        <w:t>.</w:t>
      </w:r>
    </w:p>
    <w:p w14:paraId="621976B4" w14:textId="19358746" w:rsidR="00CC1405" w:rsidRPr="00A33264" w:rsidRDefault="00CC1405" w:rsidP="00CC1405">
      <w:pPr>
        <w:pStyle w:val="Heading4"/>
        <w:rPr>
          <w:lang w:val="en-GB"/>
        </w:rPr>
      </w:pPr>
      <w:r w:rsidRPr="00A33264">
        <w:rPr>
          <w:lang w:val="en-GB"/>
        </w:rPr>
        <w:t>IAC members</w:t>
      </w:r>
    </w:p>
    <w:p w14:paraId="2CB707F3" w14:textId="5BE240F9" w:rsidR="001C74C2" w:rsidRPr="00A33264" w:rsidRDefault="001C74C2" w:rsidP="001C74C2">
      <w:pPr>
        <w:rPr>
          <w:lang w:val="en-GB"/>
        </w:rPr>
      </w:pPr>
      <w:r w:rsidRPr="00A33264">
        <w:rPr>
          <w:lang w:val="en-GB"/>
        </w:rPr>
        <w:t xml:space="preserve">This year saw several changes to the IAC’s membership. In December 2023 </w:t>
      </w:r>
      <w:r w:rsidR="005524ED" w:rsidRPr="00A33264">
        <w:rPr>
          <w:lang w:val="en-GB"/>
        </w:rPr>
        <w:t>Mr</w:t>
      </w:r>
      <w:r w:rsidRPr="00A33264">
        <w:rPr>
          <w:lang w:val="en-GB"/>
        </w:rPr>
        <w:t xml:space="preserve"> Gavin Burner was appointed to the IAC to strengthen representation of people with intellectual disability. Dr Sharon Boyce, Dr Leighton Jay, </w:t>
      </w:r>
      <w:r w:rsidR="005524ED" w:rsidRPr="00A33264">
        <w:rPr>
          <w:lang w:val="en-GB"/>
        </w:rPr>
        <w:t>Ms</w:t>
      </w:r>
      <w:r w:rsidRPr="00A33264">
        <w:rPr>
          <w:lang w:val="en-GB"/>
        </w:rPr>
        <w:t xml:space="preserve"> Tricia Malowney OAM, </w:t>
      </w:r>
      <w:r w:rsidR="005524ED" w:rsidRPr="00A33264">
        <w:rPr>
          <w:lang w:val="en-GB"/>
        </w:rPr>
        <w:t>Ms</w:t>
      </w:r>
      <w:r w:rsidRPr="00A33264">
        <w:rPr>
          <w:lang w:val="en-GB"/>
        </w:rPr>
        <w:t xml:space="preserve"> Sam Paior and </w:t>
      </w:r>
      <w:r w:rsidR="005524ED" w:rsidRPr="00A33264">
        <w:rPr>
          <w:lang w:val="en-GB"/>
        </w:rPr>
        <w:t>Mr</w:t>
      </w:r>
      <w:r w:rsidRPr="00A33264">
        <w:rPr>
          <w:lang w:val="en-GB"/>
        </w:rPr>
        <w:t xml:space="preserve"> Mark Tonga were reappointed to the IAC.</w:t>
      </w:r>
    </w:p>
    <w:p w14:paraId="04B8C7ED" w14:textId="07F913BF" w:rsidR="001C74C2" w:rsidRPr="00A33264" w:rsidRDefault="001C74C2" w:rsidP="001C74C2">
      <w:pPr>
        <w:rPr>
          <w:lang w:val="en-GB"/>
        </w:rPr>
      </w:pPr>
      <w:r w:rsidRPr="00A33264">
        <w:rPr>
          <w:lang w:val="en-GB"/>
        </w:rPr>
        <w:t xml:space="preserve">The IAC farewelled longstanding </w:t>
      </w:r>
      <w:r w:rsidR="00EB20FF">
        <w:rPr>
          <w:lang w:val="en-GB"/>
        </w:rPr>
        <w:t>m</w:t>
      </w:r>
      <w:r w:rsidRPr="00A33264">
        <w:rPr>
          <w:lang w:val="en-GB"/>
        </w:rPr>
        <w:t xml:space="preserve">embers </w:t>
      </w:r>
      <w:r w:rsidR="005524ED" w:rsidRPr="00A33264">
        <w:rPr>
          <w:lang w:val="en-GB"/>
        </w:rPr>
        <w:t>Ms</w:t>
      </w:r>
      <w:r w:rsidRPr="00A33264">
        <w:rPr>
          <w:lang w:val="en-GB"/>
        </w:rPr>
        <w:t xml:space="preserve"> Kerry Allan and </w:t>
      </w:r>
      <w:r w:rsidR="005524ED" w:rsidRPr="00A33264">
        <w:rPr>
          <w:lang w:val="en-GB"/>
        </w:rPr>
        <w:t>Ms</w:t>
      </w:r>
      <w:r w:rsidRPr="00A33264">
        <w:rPr>
          <w:lang w:val="en-GB"/>
        </w:rPr>
        <w:t xml:space="preserve"> Liz Reid AM. Both ha</w:t>
      </w:r>
      <w:r w:rsidR="00941D65">
        <w:rPr>
          <w:lang w:val="en-GB"/>
        </w:rPr>
        <w:t>d</w:t>
      </w:r>
      <w:r w:rsidRPr="00A33264">
        <w:rPr>
          <w:lang w:val="en-GB"/>
        </w:rPr>
        <w:t xml:space="preserve"> served on the IAC since 2017 and played an important role in the IAC’s advice and </w:t>
      </w:r>
      <w:r w:rsidR="00EB20FF">
        <w:rPr>
          <w:lang w:val="en-GB"/>
        </w:rPr>
        <w:t xml:space="preserve">other </w:t>
      </w:r>
      <w:r w:rsidRPr="00A33264">
        <w:rPr>
          <w:lang w:val="en-GB"/>
        </w:rPr>
        <w:t xml:space="preserve">work. </w:t>
      </w:r>
      <w:r w:rsidR="005524ED" w:rsidRPr="00A33264">
        <w:rPr>
          <w:lang w:val="en-GB"/>
        </w:rPr>
        <w:t>Ms</w:t>
      </w:r>
      <w:r w:rsidRPr="00A33264">
        <w:rPr>
          <w:lang w:val="en-GB"/>
        </w:rPr>
        <w:t xml:space="preserve"> Reid left the IAC in December 2023 and </w:t>
      </w:r>
      <w:r w:rsidR="005524ED" w:rsidRPr="00A33264">
        <w:rPr>
          <w:lang w:val="en-GB"/>
        </w:rPr>
        <w:t>Ms</w:t>
      </w:r>
      <w:r w:rsidRPr="00A33264">
        <w:rPr>
          <w:lang w:val="en-GB"/>
        </w:rPr>
        <w:t xml:space="preserve"> Allan in </w:t>
      </w:r>
      <w:r w:rsidR="0094149A">
        <w:rPr>
          <w:lang w:val="en-GB"/>
        </w:rPr>
        <w:t>February</w:t>
      </w:r>
      <w:r w:rsidR="0094149A" w:rsidRPr="00A33264">
        <w:rPr>
          <w:lang w:val="en-GB"/>
        </w:rPr>
        <w:t xml:space="preserve"> </w:t>
      </w:r>
      <w:r w:rsidRPr="00A33264">
        <w:rPr>
          <w:lang w:val="en-GB"/>
        </w:rPr>
        <w:t>2024.</w:t>
      </w:r>
    </w:p>
    <w:p w14:paraId="3FDA8FFC" w14:textId="100A2060" w:rsidR="001C74C2" w:rsidRPr="00A33264" w:rsidRDefault="001C74C2" w:rsidP="001C74C2">
      <w:pPr>
        <w:rPr>
          <w:lang w:val="en-GB"/>
        </w:rPr>
      </w:pPr>
      <w:r w:rsidRPr="00A33264">
        <w:rPr>
          <w:lang w:val="en-GB"/>
        </w:rPr>
        <w:t xml:space="preserve">Current IAC </w:t>
      </w:r>
      <w:r w:rsidR="00EB20FF">
        <w:rPr>
          <w:lang w:val="en-GB"/>
        </w:rPr>
        <w:t>m</w:t>
      </w:r>
      <w:r w:rsidRPr="00A33264">
        <w:rPr>
          <w:lang w:val="en-GB"/>
        </w:rPr>
        <w:t>embers at 30 June 2024</w:t>
      </w:r>
      <w:r w:rsidR="00EB20FF">
        <w:rPr>
          <w:lang w:val="en-GB"/>
        </w:rPr>
        <w:t xml:space="preserve"> are</w:t>
      </w:r>
      <w:r w:rsidRPr="00A33264">
        <w:rPr>
          <w:lang w:val="en-GB"/>
        </w:rPr>
        <w:t>:</w:t>
      </w:r>
    </w:p>
    <w:p w14:paraId="3ED29BED" w14:textId="69DCB6F8" w:rsidR="001C74C2" w:rsidRPr="00A33264" w:rsidRDefault="005524ED" w:rsidP="001C74C2">
      <w:pPr>
        <w:pStyle w:val="Bullet1"/>
        <w:rPr>
          <w:lang w:val="en-GB"/>
        </w:rPr>
      </w:pPr>
      <w:r w:rsidRPr="00A33264">
        <w:rPr>
          <w:lang w:val="en-GB"/>
        </w:rPr>
        <w:t>Ms</w:t>
      </w:r>
      <w:r w:rsidR="001C74C2" w:rsidRPr="00A33264">
        <w:rPr>
          <w:lang w:val="en-GB"/>
        </w:rPr>
        <w:t xml:space="preserve"> Leah van Poppel, Principal Member and NDIA Board </w:t>
      </w:r>
      <w:r w:rsidR="00EB20FF">
        <w:rPr>
          <w:lang w:val="en-GB"/>
        </w:rPr>
        <w:t>m</w:t>
      </w:r>
      <w:r w:rsidR="001C74C2" w:rsidRPr="00A33264">
        <w:rPr>
          <w:lang w:val="en-GB"/>
        </w:rPr>
        <w:t>ember</w:t>
      </w:r>
    </w:p>
    <w:p w14:paraId="30B4A3B9" w14:textId="0580DF6E" w:rsidR="001C74C2" w:rsidRPr="00A33264" w:rsidRDefault="001C74C2" w:rsidP="001C74C2">
      <w:pPr>
        <w:pStyle w:val="Bullet1"/>
        <w:rPr>
          <w:lang w:val="en-GB"/>
        </w:rPr>
      </w:pPr>
      <w:r w:rsidRPr="00A33264">
        <w:rPr>
          <w:lang w:val="en-GB"/>
        </w:rPr>
        <w:t>Dr Sharon Boyce</w:t>
      </w:r>
    </w:p>
    <w:p w14:paraId="1CF9B4C5" w14:textId="53644081" w:rsidR="001C74C2" w:rsidRPr="00A33264" w:rsidRDefault="005524ED" w:rsidP="001C74C2">
      <w:pPr>
        <w:pStyle w:val="Bullet1"/>
        <w:rPr>
          <w:lang w:val="en-GB"/>
        </w:rPr>
      </w:pPr>
      <w:r w:rsidRPr="00A33264">
        <w:rPr>
          <w:lang w:val="en-GB"/>
        </w:rPr>
        <w:t>Mr</w:t>
      </w:r>
      <w:r w:rsidR="001C74C2" w:rsidRPr="00A33264">
        <w:rPr>
          <w:lang w:val="en-GB"/>
        </w:rPr>
        <w:t xml:space="preserve"> Gavin Burner</w:t>
      </w:r>
    </w:p>
    <w:p w14:paraId="3298A4C3" w14:textId="35001823" w:rsidR="001C74C2" w:rsidRPr="00A33264" w:rsidRDefault="001C74C2" w:rsidP="001C74C2">
      <w:pPr>
        <w:pStyle w:val="Bullet1"/>
        <w:rPr>
          <w:lang w:val="en-GB"/>
        </w:rPr>
      </w:pPr>
      <w:r w:rsidRPr="00A33264">
        <w:rPr>
          <w:lang w:val="en-GB"/>
        </w:rPr>
        <w:t>Adjunct Associate Professor Jennifer Cullen AM</w:t>
      </w:r>
    </w:p>
    <w:p w14:paraId="24F59359" w14:textId="383D7BAE" w:rsidR="001C74C2" w:rsidRPr="00A33264" w:rsidRDefault="001C74C2" w:rsidP="001C74C2">
      <w:pPr>
        <w:pStyle w:val="Bullet1"/>
        <w:rPr>
          <w:lang w:val="en-GB"/>
        </w:rPr>
      </w:pPr>
      <w:r w:rsidRPr="00A33264">
        <w:rPr>
          <w:lang w:val="en-GB"/>
        </w:rPr>
        <w:t>Dr Leighton Jay</w:t>
      </w:r>
    </w:p>
    <w:p w14:paraId="7C22943F" w14:textId="79772CF9" w:rsidR="001C74C2" w:rsidRPr="00A33264" w:rsidRDefault="005524ED" w:rsidP="001C74C2">
      <w:pPr>
        <w:pStyle w:val="Bullet1"/>
        <w:rPr>
          <w:lang w:val="en-GB"/>
        </w:rPr>
      </w:pPr>
      <w:r w:rsidRPr="00A33264">
        <w:rPr>
          <w:lang w:val="en-GB"/>
        </w:rPr>
        <w:t>Ms</w:t>
      </w:r>
      <w:r w:rsidR="001C74C2" w:rsidRPr="00A33264">
        <w:rPr>
          <w:lang w:val="en-GB"/>
        </w:rPr>
        <w:t xml:space="preserve"> Sylvana Mahmic</w:t>
      </w:r>
    </w:p>
    <w:p w14:paraId="559E29B3" w14:textId="480B6ABB" w:rsidR="001C74C2" w:rsidRPr="00A33264" w:rsidRDefault="005524ED" w:rsidP="001C74C2">
      <w:pPr>
        <w:pStyle w:val="Bullet1"/>
        <w:rPr>
          <w:lang w:val="en-GB"/>
        </w:rPr>
      </w:pPr>
      <w:r w:rsidRPr="00A33264">
        <w:rPr>
          <w:lang w:val="en-GB"/>
        </w:rPr>
        <w:t>Ms</w:t>
      </w:r>
      <w:r w:rsidR="001C74C2" w:rsidRPr="00A33264">
        <w:rPr>
          <w:lang w:val="en-GB"/>
        </w:rPr>
        <w:t xml:space="preserve"> Tricia Malowney OAM</w:t>
      </w:r>
    </w:p>
    <w:p w14:paraId="2FB298C3" w14:textId="790A67EA" w:rsidR="001C74C2" w:rsidRPr="00A33264" w:rsidRDefault="005524ED" w:rsidP="001C74C2">
      <w:pPr>
        <w:pStyle w:val="Bullet1"/>
        <w:rPr>
          <w:lang w:val="en-GB"/>
        </w:rPr>
      </w:pPr>
      <w:r w:rsidRPr="00A33264">
        <w:rPr>
          <w:lang w:val="en-GB"/>
        </w:rPr>
        <w:t>Mr</w:t>
      </w:r>
      <w:r w:rsidR="001C74C2" w:rsidRPr="00A33264">
        <w:rPr>
          <w:lang w:val="en-GB"/>
        </w:rPr>
        <w:t xml:space="preserve"> James Manders</w:t>
      </w:r>
    </w:p>
    <w:p w14:paraId="719B376B" w14:textId="1F417000" w:rsidR="001C74C2" w:rsidRPr="00A33264" w:rsidRDefault="005524ED" w:rsidP="001C74C2">
      <w:pPr>
        <w:pStyle w:val="Bullet1"/>
        <w:rPr>
          <w:lang w:val="en-GB"/>
        </w:rPr>
      </w:pPr>
      <w:r w:rsidRPr="00A33264">
        <w:rPr>
          <w:lang w:val="en-GB"/>
        </w:rPr>
        <w:t>Ms</w:t>
      </w:r>
      <w:r w:rsidR="001C74C2" w:rsidRPr="00A33264">
        <w:rPr>
          <w:lang w:val="en-GB"/>
        </w:rPr>
        <w:t xml:space="preserve"> Sam Paior</w:t>
      </w:r>
    </w:p>
    <w:p w14:paraId="6AAA081E" w14:textId="01393C31" w:rsidR="001C74C2" w:rsidRPr="00A33264" w:rsidRDefault="001C74C2" w:rsidP="001C74C2">
      <w:pPr>
        <w:pStyle w:val="Bullet1"/>
        <w:rPr>
          <w:lang w:val="en-GB"/>
        </w:rPr>
      </w:pPr>
      <w:r w:rsidRPr="00A33264">
        <w:rPr>
          <w:lang w:val="en-GB"/>
        </w:rPr>
        <w:t>Dr George Taleporos</w:t>
      </w:r>
    </w:p>
    <w:p w14:paraId="180657AB" w14:textId="2C726A5F" w:rsidR="001C74C2" w:rsidRPr="00A33264" w:rsidRDefault="005524ED" w:rsidP="001C74C2">
      <w:pPr>
        <w:pStyle w:val="Bullet1"/>
        <w:rPr>
          <w:lang w:val="en-GB"/>
        </w:rPr>
      </w:pPr>
      <w:r w:rsidRPr="00A33264">
        <w:rPr>
          <w:lang w:val="en-GB"/>
        </w:rPr>
        <w:t>Mr</w:t>
      </w:r>
      <w:r w:rsidR="001C74C2" w:rsidRPr="00A33264">
        <w:rPr>
          <w:lang w:val="en-GB"/>
        </w:rPr>
        <w:t xml:space="preserve"> Mark Tonga</w:t>
      </w:r>
      <w:r w:rsidR="00EB20FF">
        <w:rPr>
          <w:lang w:val="en-GB"/>
        </w:rPr>
        <w:t>.</w:t>
      </w:r>
    </w:p>
    <w:p w14:paraId="465DFCC2" w14:textId="15ABCD51" w:rsidR="001C74C2" w:rsidRPr="00A33264" w:rsidRDefault="001C74C2" w:rsidP="001C74C2">
      <w:pPr>
        <w:rPr>
          <w:lang w:val="en-GB"/>
        </w:rPr>
      </w:pPr>
      <w:r w:rsidRPr="00A33264">
        <w:rPr>
          <w:lang w:val="en-GB"/>
        </w:rPr>
        <w:lastRenderedPageBreak/>
        <w:t xml:space="preserve">In November 2023 the IAC welcomed </w:t>
      </w:r>
      <w:r w:rsidR="005524ED" w:rsidRPr="00A33264">
        <w:rPr>
          <w:lang w:val="en-GB"/>
        </w:rPr>
        <w:t>Ms</w:t>
      </w:r>
      <w:r w:rsidRPr="00A33264">
        <w:rPr>
          <w:lang w:val="en-GB"/>
        </w:rPr>
        <w:t xml:space="preserve"> Samantha Jenkinson as Senior Independent Advisor. She fills the role previously held by </w:t>
      </w:r>
      <w:r w:rsidR="005524ED" w:rsidRPr="00A33264">
        <w:rPr>
          <w:lang w:val="en-GB"/>
        </w:rPr>
        <w:t>Ms</w:t>
      </w:r>
      <w:r w:rsidRPr="00A33264">
        <w:rPr>
          <w:lang w:val="en-GB"/>
        </w:rPr>
        <w:t xml:space="preserve"> Belinda Epstein-Frisch AM and supports the </w:t>
      </w:r>
      <w:r w:rsidR="00EB20FF">
        <w:rPr>
          <w:lang w:val="en-GB"/>
        </w:rPr>
        <w:t xml:space="preserve">development of </w:t>
      </w:r>
      <w:r w:rsidRPr="00A33264">
        <w:rPr>
          <w:lang w:val="en-GB"/>
        </w:rPr>
        <w:t xml:space="preserve">IAC advice to the Board. </w:t>
      </w:r>
      <w:r w:rsidR="005524ED" w:rsidRPr="00A33264">
        <w:rPr>
          <w:lang w:val="en-GB"/>
        </w:rPr>
        <w:t>Ms</w:t>
      </w:r>
      <w:r w:rsidRPr="00A33264">
        <w:rPr>
          <w:lang w:val="en-GB"/>
        </w:rPr>
        <w:t xml:space="preserve"> Jenkinson is supported by </w:t>
      </w:r>
      <w:r w:rsidR="005524ED" w:rsidRPr="00A33264">
        <w:rPr>
          <w:lang w:val="en-GB"/>
        </w:rPr>
        <w:t>Ms</w:t>
      </w:r>
      <w:r w:rsidRPr="00A33264">
        <w:rPr>
          <w:lang w:val="en-GB"/>
        </w:rPr>
        <w:t xml:space="preserve"> Lucy Testa, Independent Advisor.</w:t>
      </w:r>
    </w:p>
    <w:p w14:paraId="6DA1971D" w14:textId="5EFE39EC" w:rsidR="00CC1405" w:rsidRPr="00A33264" w:rsidRDefault="001C74C2" w:rsidP="001C74C2">
      <w:pPr>
        <w:rPr>
          <w:lang w:val="en-GB"/>
        </w:rPr>
      </w:pPr>
      <w:r w:rsidRPr="00A33264">
        <w:rPr>
          <w:lang w:val="en-GB"/>
        </w:rPr>
        <w:t xml:space="preserve">Further information on the IAC is available </w:t>
      </w:r>
      <w:r w:rsidR="00D24A04">
        <w:rPr>
          <w:lang w:val="en-GB"/>
        </w:rPr>
        <w:t xml:space="preserve">on the </w:t>
      </w:r>
      <w:hyperlink r:id="rId81" w:history="1">
        <w:r w:rsidR="00D24A04" w:rsidRPr="00CA741B">
          <w:rPr>
            <w:rStyle w:val="Hyperlink"/>
            <w:lang w:val="en-GB"/>
          </w:rPr>
          <w:t>NDIS website</w:t>
        </w:r>
      </w:hyperlink>
      <w:r w:rsidRPr="00A33264">
        <w:rPr>
          <w:lang w:val="en-GB"/>
        </w:rPr>
        <w:t>.</w:t>
      </w:r>
    </w:p>
    <w:p w14:paraId="7427B966" w14:textId="2E44B148" w:rsidR="00D7463A" w:rsidRPr="00A33264" w:rsidRDefault="00D7463A" w:rsidP="00D7463A">
      <w:pPr>
        <w:pStyle w:val="Heading3"/>
        <w:rPr>
          <w:lang w:val="en-GB"/>
        </w:rPr>
      </w:pPr>
      <w:bookmarkStart w:id="302" w:name="_Toc169592981"/>
      <w:bookmarkStart w:id="303" w:name="_Toc174354200"/>
      <w:bookmarkStart w:id="304" w:name="_Toc175316904"/>
      <w:bookmarkStart w:id="305" w:name="_Toc176786395"/>
      <w:bookmarkStart w:id="306" w:name="_Toc180505677"/>
      <w:r w:rsidRPr="00A33264">
        <w:rPr>
          <w:lang w:val="en-GB"/>
        </w:rPr>
        <w:t>Chief Executive Officer and Strategic Leadership Team</w:t>
      </w:r>
      <w:bookmarkEnd w:id="302"/>
      <w:bookmarkEnd w:id="303"/>
      <w:bookmarkEnd w:id="304"/>
      <w:bookmarkEnd w:id="305"/>
      <w:bookmarkEnd w:id="306"/>
    </w:p>
    <w:p w14:paraId="7835A538" w14:textId="1B6627FF" w:rsidR="00D7463A" w:rsidRPr="00A33264" w:rsidRDefault="0017522D" w:rsidP="00D7463A">
      <w:pPr>
        <w:rPr>
          <w:lang w:val="en-GB"/>
        </w:rPr>
      </w:pPr>
      <w:r w:rsidRPr="00A33264">
        <w:rPr>
          <w:lang w:val="en-GB"/>
        </w:rPr>
        <w:t>The CEO is responsible for the day-to-day administration of the NDIA under the NDIS Act. Supported by the Strategic Leadership Team, the CEO executes the Board-approved strategic objectives and policies, in line with the agreed risk appetite.</w:t>
      </w:r>
    </w:p>
    <w:p w14:paraId="1E1F662F" w14:textId="634B8249" w:rsidR="00280054" w:rsidRPr="00A33264" w:rsidRDefault="00280054" w:rsidP="00280054">
      <w:pPr>
        <w:pStyle w:val="Heading4"/>
        <w:rPr>
          <w:lang w:val="en-GB"/>
        </w:rPr>
      </w:pPr>
      <w:bookmarkStart w:id="307" w:name="_Hlk174630168"/>
      <w:r w:rsidRPr="00A33264">
        <w:rPr>
          <w:lang w:val="en-GB"/>
        </w:rPr>
        <w:t>Organisation structure</w:t>
      </w:r>
    </w:p>
    <w:p w14:paraId="79FF752B" w14:textId="17E41969" w:rsidR="008A63BE" w:rsidRPr="008A63BE" w:rsidRDefault="008A63BE" w:rsidP="008A63BE">
      <w:pPr>
        <w:rPr>
          <w:lang w:val="en-GB"/>
        </w:rPr>
      </w:pPr>
      <w:r w:rsidRPr="008A63BE">
        <w:rPr>
          <w:lang w:val="en-GB"/>
        </w:rPr>
        <w:t xml:space="preserve">The </w:t>
      </w:r>
      <w:r w:rsidR="00EB20FF">
        <w:rPr>
          <w:lang w:val="en-GB"/>
        </w:rPr>
        <w:t>NDIA</w:t>
      </w:r>
      <w:r w:rsidR="00EB20FF" w:rsidRPr="008A63BE">
        <w:rPr>
          <w:lang w:val="en-GB"/>
        </w:rPr>
        <w:t xml:space="preserve"> </w:t>
      </w:r>
      <w:r w:rsidRPr="008A63BE">
        <w:rPr>
          <w:lang w:val="en-GB"/>
        </w:rPr>
        <w:t xml:space="preserve">implemented a new organisational structure on 15 January 2024. </w:t>
      </w:r>
      <w:r w:rsidR="00EB20FF">
        <w:rPr>
          <w:lang w:val="en-GB"/>
        </w:rPr>
        <w:t>The restructure is intended to</w:t>
      </w:r>
      <w:r>
        <w:rPr>
          <w:lang w:val="en-GB"/>
        </w:rPr>
        <w:t xml:space="preserve"> i</w:t>
      </w:r>
      <w:r w:rsidRPr="008A63BE">
        <w:rPr>
          <w:lang w:val="en-GB"/>
        </w:rPr>
        <w:t>mprov</w:t>
      </w:r>
      <w:r w:rsidR="00EB20FF">
        <w:rPr>
          <w:lang w:val="en-GB"/>
        </w:rPr>
        <w:t>e</w:t>
      </w:r>
      <w:r w:rsidRPr="008A63BE">
        <w:rPr>
          <w:lang w:val="en-GB"/>
        </w:rPr>
        <w:t xml:space="preserve"> inclusion and diversity </w:t>
      </w:r>
      <w:r w:rsidR="00EB20FF">
        <w:rPr>
          <w:lang w:val="en-GB"/>
        </w:rPr>
        <w:t>by establishing</w:t>
      </w:r>
      <w:r w:rsidRPr="008A63BE">
        <w:rPr>
          <w:lang w:val="en-GB"/>
        </w:rPr>
        <w:t>:</w:t>
      </w:r>
    </w:p>
    <w:p w14:paraId="583EF0BA" w14:textId="574E8016" w:rsidR="008A63BE" w:rsidRPr="008A63BE" w:rsidRDefault="008A63BE" w:rsidP="008A63BE">
      <w:pPr>
        <w:pStyle w:val="Bullet1"/>
        <w:rPr>
          <w:lang w:val="en-GB"/>
        </w:rPr>
      </w:pPr>
      <w:r w:rsidRPr="008A63BE">
        <w:rPr>
          <w:lang w:val="en-GB"/>
        </w:rPr>
        <w:t xml:space="preserve">the First Nations </w:t>
      </w:r>
      <w:r w:rsidR="00D24A04">
        <w:rPr>
          <w:lang w:val="en-GB"/>
        </w:rPr>
        <w:t>G</w:t>
      </w:r>
      <w:r w:rsidRPr="008A63BE">
        <w:rPr>
          <w:lang w:val="en-GB"/>
        </w:rPr>
        <w:t>roup</w:t>
      </w:r>
      <w:r w:rsidR="00D24A04">
        <w:rPr>
          <w:lang w:val="en-GB"/>
        </w:rPr>
        <w:t>,</w:t>
      </w:r>
      <w:r w:rsidRPr="008A63BE">
        <w:rPr>
          <w:lang w:val="en-GB"/>
        </w:rPr>
        <w:t xml:space="preserve"> led by Adjunct Professor Janine Mohamed, a proud Narrunga Kaurna woman from South Australia</w:t>
      </w:r>
      <w:r w:rsidR="00D24A04">
        <w:rPr>
          <w:lang w:val="en-GB"/>
        </w:rPr>
        <w:t>.</w:t>
      </w:r>
      <w:r w:rsidRPr="008A63BE">
        <w:rPr>
          <w:lang w:val="en-GB"/>
        </w:rPr>
        <w:t xml:space="preserve"> </w:t>
      </w:r>
      <w:r w:rsidR="00D24A04">
        <w:rPr>
          <w:lang w:val="en-GB"/>
        </w:rPr>
        <w:t>Profes</w:t>
      </w:r>
      <w:r w:rsidR="00C24B45">
        <w:rPr>
          <w:lang w:val="en-GB"/>
        </w:rPr>
        <w:t>s</w:t>
      </w:r>
      <w:r w:rsidR="00D24A04">
        <w:rPr>
          <w:lang w:val="en-GB"/>
        </w:rPr>
        <w:t xml:space="preserve">or Mohamed </w:t>
      </w:r>
      <w:r w:rsidRPr="008A63BE">
        <w:rPr>
          <w:lang w:val="en-GB"/>
        </w:rPr>
        <w:t xml:space="preserve">commenced with the </w:t>
      </w:r>
      <w:r w:rsidR="00EB20FF">
        <w:rPr>
          <w:lang w:val="en-GB"/>
        </w:rPr>
        <w:t>NIDA</w:t>
      </w:r>
      <w:r w:rsidR="00EB20FF" w:rsidRPr="008A63BE">
        <w:rPr>
          <w:lang w:val="en-GB"/>
        </w:rPr>
        <w:t xml:space="preserve"> </w:t>
      </w:r>
      <w:r w:rsidRPr="008A63BE">
        <w:rPr>
          <w:lang w:val="en-GB"/>
        </w:rPr>
        <w:t>on 8 April 2024 to lead this function as Deputy CEO, First Nations</w:t>
      </w:r>
    </w:p>
    <w:p w14:paraId="60A063AB" w14:textId="7994AC46" w:rsidR="00A9438A" w:rsidRDefault="008A63BE" w:rsidP="008A63BE">
      <w:pPr>
        <w:pStyle w:val="Bullet1"/>
        <w:rPr>
          <w:lang w:val="en-GB"/>
        </w:rPr>
      </w:pPr>
      <w:r w:rsidRPr="008A63BE">
        <w:rPr>
          <w:lang w:val="en-GB"/>
        </w:rPr>
        <w:t xml:space="preserve">the Office of Agency Accessibility and Inclusion, in the Enabling Services </w:t>
      </w:r>
      <w:r w:rsidR="00D24A04">
        <w:rPr>
          <w:lang w:val="en-GB"/>
        </w:rPr>
        <w:t>G</w:t>
      </w:r>
      <w:r w:rsidRPr="008A63BE">
        <w:rPr>
          <w:lang w:val="en-GB"/>
        </w:rPr>
        <w:t>roup.</w:t>
      </w:r>
    </w:p>
    <w:p w14:paraId="445DB857" w14:textId="2051AD80" w:rsidR="00D7560F" w:rsidRPr="00D7560F" w:rsidRDefault="00D7560F" w:rsidP="003131F3">
      <w:pPr>
        <w:rPr>
          <w:lang w:val="en-GB"/>
        </w:rPr>
      </w:pPr>
      <w:r w:rsidRPr="00D7560F">
        <w:rPr>
          <w:lang w:val="en-GB"/>
        </w:rPr>
        <w:t xml:space="preserve">The NDIA CEO, Rebecca Falkingham, is responsible for the day-to-day administration of the </w:t>
      </w:r>
      <w:r w:rsidR="00941D65">
        <w:rPr>
          <w:lang w:val="en-GB"/>
        </w:rPr>
        <w:t>NDIA</w:t>
      </w:r>
      <w:r w:rsidRPr="00D7560F">
        <w:rPr>
          <w:lang w:val="en-GB"/>
        </w:rPr>
        <w:t>. The CEO is supported by the Strategic Leadership Team consisting of:</w:t>
      </w:r>
    </w:p>
    <w:p w14:paraId="7273CCC6" w14:textId="3B90F3AD" w:rsidR="00D7560F" w:rsidRPr="003131F3" w:rsidRDefault="004E5CA0" w:rsidP="00D7560F">
      <w:pPr>
        <w:pStyle w:val="Bullet1"/>
      </w:pPr>
      <w:r>
        <w:t>Deputy CEO</w:t>
      </w:r>
      <w:r w:rsidR="00D7560F" w:rsidRPr="003131F3">
        <w:t xml:space="preserve"> First Nations </w:t>
      </w:r>
      <w:r w:rsidR="00941D65" w:rsidRPr="003131F3">
        <w:t>–</w:t>
      </w:r>
      <w:r w:rsidR="00D7560F" w:rsidRPr="003131F3">
        <w:t xml:space="preserve"> Janine Mohamed</w:t>
      </w:r>
    </w:p>
    <w:p w14:paraId="59578380" w14:textId="2E39F0C1" w:rsidR="00D7560F" w:rsidRPr="003131F3" w:rsidRDefault="004E5CA0" w:rsidP="00D7560F">
      <w:pPr>
        <w:pStyle w:val="Bullet1"/>
      </w:pPr>
      <w:r>
        <w:t>Deputy CEO</w:t>
      </w:r>
      <w:r w:rsidR="00D7560F" w:rsidRPr="003131F3">
        <w:t xml:space="preserve"> Partners, Providers and Home and Living – Penelope McKay</w:t>
      </w:r>
    </w:p>
    <w:p w14:paraId="04FB51B5" w14:textId="4E5D8268" w:rsidR="00D7560F" w:rsidRPr="003131F3" w:rsidRDefault="004E5CA0" w:rsidP="00D7560F">
      <w:pPr>
        <w:pStyle w:val="Bullet1"/>
      </w:pPr>
      <w:r>
        <w:t>Deputy CEO</w:t>
      </w:r>
      <w:r w:rsidR="00D7560F" w:rsidRPr="003131F3">
        <w:t xml:space="preserve"> Service Delivery – Scott McNaughton</w:t>
      </w:r>
    </w:p>
    <w:p w14:paraId="5732CDB9" w14:textId="3CB6BAA8" w:rsidR="00D7560F" w:rsidRPr="003131F3" w:rsidRDefault="004E5CA0" w:rsidP="00D7560F">
      <w:pPr>
        <w:pStyle w:val="Bullet1"/>
      </w:pPr>
      <w:r>
        <w:t>Deputy CEO</w:t>
      </w:r>
      <w:r w:rsidR="00D7560F" w:rsidRPr="003131F3">
        <w:t xml:space="preserve"> Service Design and Improvement – Corri McKenzie</w:t>
      </w:r>
    </w:p>
    <w:p w14:paraId="6815A2E9" w14:textId="74FFFC71" w:rsidR="00D7560F" w:rsidRPr="003131F3" w:rsidRDefault="004E5CA0" w:rsidP="00D7560F">
      <w:pPr>
        <w:pStyle w:val="Bullet1"/>
      </w:pPr>
      <w:r>
        <w:t>Deputy CEO</w:t>
      </w:r>
      <w:r w:rsidR="00D7560F" w:rsidRPr="003131F3">
        <w:t xml:space="preserve"> Governance, Risk and Legal – Matthew Swainson (Acting)</w:t>
      </w:r>
    </w:p>
    <w:p w14:paraId="0F1A7A3E" w14:textId="4137A3DD" w:rsidR="00D7560F" w:rsidRPr="003131F3" w:rsidRDefault="004E5CA0" w:rsidP="00D7560F">
      <w:pPr>
        <w:pStyle w:val="Bullet1"/>
      </w:pPr>
      <w:r>
        <w:t>Deputy CEO</w:t>
      </w:r>
      <w:r w:rsidR="00D7560F" w:rsidRPr="003131F3">
        <w:t xml:space="preserve"> Integrity Transformation and Fraud Fusion Taskforce – John Dardo</w:t>
      </w:r>
    </w:p>
    <w:p w14:paraId="400631D4" w14:textId="3474FAF6" w:rsidR="00D7560F" w:rsidRDefault="004E5CA0" w:rsidP="00D7560F">
      <w:pPr>
        <w:pStyle w:val="Bullet1"/>
      </w:pPr>
      <w:r>
        <w:t>Deputy CEO</w:t>
      </w:r>
      <w:r w:rsidR="00D7560F" w:rsidRPr="003131F3">
        <w:t xml:space="preserve"> Enabling Services / Chief Operating Officer – Samuel Porter</w:t>
      </w:r>
    </w:p>
    <w:p w14:paraId="07241A55" w14:textId="471797FF" w:rsidR="001708A8" w:rsidRPr="003131F3" w:rsidRDefault="001708A8" w:rsidP="00D7560F">
      <w:pPr>
        <w:pStyle w:val="Bullet1"/>
      </w:pPr>
      <w:r w:rsidRPr="001708A8">
        <w:t>Scheme Actuary – David Gifford</w:t>
      </w:r>
      <w:r w:rsidR="0007012A">
        <w:t>.</w:t>
      </w:r>
    </w:p>
    <w:p w14:paraId="0941AF76" w14:textId="2BD5A20F" w:rsidR="00D7560F" w:rsidRPr="00D7560F" w:rsidRDefault="00D7560F" w:rsidP="003131F3">
      <w:pPr>
        <w:rPr>
          <w:lang w:val="en-GB"/>
        </w:rPr>
      </w:pPr>
      <w:r w:rsidRPr="00D7560F">
        <w:rPr>
          <w:lang w:val="en-GB"/>
        </w:rPr>
        <w:t xml:space="preserve">Also reporting directly to the CEO </w:t>
      </w:r>
      <w:r w:rsidR="00FE5880">
        <w:rPr>
          <w:lang w:val="en-GB"/>
        </w:rPr>
        <w:t>are</w:t>
      </w:r>
      <w:r w:rsidRPr="00D7560F">
        <w:rPr>
          <w:lang w:val="en-GB"/>
        </w:rPr>
        <w:t>:</w:t>
      </w:r>
    </w:p>
    <w:p w14:paraId="4C217AE1" w14:textId="57A1E2ED" w:rsidR="00D7560F" w:rsidRDefault="00D7560F" w:rsidP="00D7560F">
      <w:pPr>
        <w:pStyle w:val="Bullet1"/>
      </w:pPr>
      <w:r w:rsidRPr="003131F3">
        <w:t>General Manager, Children</w:t>
      </w:r>
      <w:r w:rsidR="00D24A04">
        <w:t>’</w:t>
      </w:r>
      <w:r w:rsidRPr="003131F3">
        <w:t>s Taskforce – Samantha Taylor</w:t>
      </w:r>
    </w:p>
    <w:p w14:paraId="4D52A13C" w14:textId="285543BB" w:rsidR="00F23525" w:rsidRPr="00F23525" w:rsidRDefault="008F7372" w:rsidP="00F23525">
      <w:pPr>
        <w:pStyle w:val="Bullet1"/>
      </w:pPr>
      <w:r w:rsidRPr="00F23525">
        <w:t>Chief of Staff –</w:t>
      </w:r>
      <w:r w:rsidR="00A46305" w:rsidRPr="00F23525">
        <w:t xml:space="preserve"> David Stockman</w:t>
      </w:r>
      <w:r w:rsidR="00FE5880" w:rsidRPr="00F23525">
        <w:t>.</w:t>
      </w:r>
      <w:r w:rsidRPr="00F23525">
        <w:t xml:space="preserve"> </w:t>
      </w:r>
      <w:bookmarkStart w:id="308" w:name="_Toc175316905"/>
      <w:bookmarkStart w:id="309" w:name="_Toc169592982"/>
      <w:bookmarkStart w:id="310" w:name="_Toc174354201"/>
      <w:bookmarkStart w:id="311" w:name="_Toc176786396"/>
      <w:bookmarkStart w:id="312" w:name="_Toc180505678"/>
      <w:bookmarkEnd w:id="307"/>
      <w:r w:rsidR="00F23525" w:rsidRPr="00F23525">
        <w:br w:type="page"/>
      </w:r>
    </w:p>
    <w:p w14:paraId="0CA02EF2" w14:textId="2CEE4ED2" w:rsidR="00D7463A" w:rsidRPr="00A33264" w:rsidRDefault="00D7463A" w:rsidP="00D7463A">
      <w:pPr>
        <w:pStyle w:val="Heading3"/>
        <w:rPr>
          <w:lang w:val="en-GB"/>
        </w:rPr>
      </w:pPr>
      <w:r w:rsidRPr="00A33264">
        <w:rPr>
          <w:lang w:val="en-GB"/>
        </w:rPr>
        <w:lastRenderedPageBreak/>
        <w:t xml:space="preserve">Partners in the </w:t>
      </w:r>
      <w:bookmarkEnd w:id="308"/>
      <w:r w:rsidR="00EB20FF">
        <w:rPr>
          <w:lang w:val="en-GB"/>
        </w:rPr>
        <w:t>c</w:t>
      </w:r>
      <w:r w:rsidRPr="00A33264">
        <w:rPr>
          <w:lang w:val="en-GB"/>
        </w:rPr>
        <w:t>ommunity</w:t>
      </w:r>
      <w:bookmarkEnd w:id="309"/>
      <w:bookmarkEnd w:id="310"/>
      <w:bookmarkEnd w:id="311"/>
      <w:bookmarkEnd w:id="312"/>
    </w:p>
    <w:p w14:paraId="7B445445" w14:textId="67EA0477" w:rsidR="00EC5D56" w:rsidRPr="00A33264" w:rsidRDefault="00EC5D56" w:rsidP="00EC5D56">
      <w:pPr>
        <w:rPr>
          <w:lang w:val="en-GB"/>
        </w:rPr>
      </w:pPr>
      <w:r w:rsidRPr="00A33264">
        <w:rPr>
          <w:lang w:val="en-GB"/>
        </w:rPr>
        <w:t xml:space="preserve">Our </w:t>
      </w:r>
      <w:r w:rsidR="00EB20FF">
        <w:rPr>
          <w:lang w:val="en-GB"/>
        </w:rPr>
        <w:t>p</w:t>
      </w:r>
      <w:r w:rsidRPr="00A33264">
        <w:rPr>
          <w:lang w:val="en-GB"/>
        </w:rPr>
        <w:t xml:space="preserve">artners </w:t>
      </w:r>
      <w:r w:rsidR="005524ED" w:rsidRPr="00A33264">
        <w:rPr>
          <w:lang w:val="en-GB"/>
        </w:rPr>
        <w:t>in</w:t>
      </w:r>
      <w:r w:rsidRPr="00A33264">
        <w:rPr>
          <w:lang w:val="en-GB"/>
        </w:rPr>
        <w:t xml:space="preserve"> </w:t>
      </w:r>
      <w:r w:rsidR="00EB20FF">
        <w:rPr>
          <w:lang w:val="en-GB"/>
        </w:rPr>
        <w:t>t</w:t>
      </w:r>
      <w:r w:rsidRPr="00A33264">
        <w:rPr>
          <w:lang w:val="en-GB"/>
        </w:rPr>
        <w:t xml:space="preserve">he </w:t>
      </w:r>
      <w:r w:rsidR="00EB20FF">
        <w:rPr>
          <w:lang w:val="en-GB"/>
        </w:rPr>
        <w:t>c</w:t>
      </w:r>
      <w:r w:rsidRPr="00A33264">
        <w:rPr>
          <w:lang w:val="en-GB"/>
        </w:rPr>
        <w:t xml:space="preserve">ommunity are experienced and qualified organisations with strong local knowledge and understanding of the needs of people with disability. They work with the NDIA to deliver </w:t>
      </w:r>
      <w:r w:rsidR="00E74040" w:rsidRPr="00A33264">
        <w:rPr>
          <w:lang w:val="en-GB"/>
        </w:rPr>
        <w:t>e</w:t>
      </w:r>
      <w:r w:rsidRPr="00A33264">
        <w:rPr>
          <w:lang w:val="en-GB"/>
        </w:rPr>
        <w:t xml:space="preserve">arly </w:t>
      </w:r>
      <w:r w:rsidR="00E74040" w:rsidRPr="00A33264">
        <w:rPr>
          <w:lang w:val="en-GB"/>
        </w:rPr>
        <w:t>c</w:t>
      </w:r>
      <w:r w:rsidRPr="00A33264">
        <w:rPr>
          <w:lang w:val="en-GB"/>
        </w:rPr>
        <w:t xml:space="preserve">hildhood and </w:t>
      </w:r>
      <w:r w:rsidR="00E74040" w:rsidRPr="00A33264">
        <w:rPr>
          <w:lang w:val="en-GB"/>
        </w:rPr>
        <w:t>l</w:t>
      </w:r>
      <w:r w:rsidRPr="00A33264">
        <w:rPr>
          <w:lang w:val="en-GB"/>
        </w:rPr>
        <w:t xml:space="preserve">ocal </w:t>
      </w:r>
      <w:r w:rsidR="00E74040" w:rsidRPr="00A33264">
        <w:rPr>
          <w:lang w:val="en-GB"/>
        </w:rPr>
        <w:t>a</w:t>
      </w:r>
      <w:r w:rsidRPr="00A33264">
        <w:rPr>
          <w:lang w:val="en-GB"/>
        </w:rPr>
        <w:t xml:space="preserve">rea </w:t>
      </w:r>
      <w:r w:rsidR="00E74040" w:rsidRPr="00A33264">
        <w:rPr>
          <w:lang w:val="en-GB"/>
        </w:rPr>
        <w:t>c</w:t>
      </w:r>
      <w:r w:rsidRPr="00A33264">
        <w:rPr>
          <w:lang w:val="en-GB"/>
        </w:rPr>
        <w:t xml:space="preserve">oordination services to Australians with disability and children younger than 6 with delays in their development. </w:t>
      </w:r>
    </w:p>
    <w:p w14:paraId="0761CE4F" w14:textId="29146E7B" w:rsidR="00EC5D56" w:rsidRPr="00A33264" w:rsidRDefault="00EC5D56" w:rsidP="00EC5D56">
      <w:pPr>
        <w:rPr>
          <w:lang w:val="en-GB"/>
        </w:rPr>
      </w:pPr>
      <w:r w:rsidRPr="00A33264">
        <w:rPr>
          <w:lang w:val="en-GB"/>
        </w:rPr>
        <w:t xml:space="preserve">Partners are often the first point of contact for participants, making them the face of the </w:t>
      </w:r>
      <w:r w:rsidR="00880C4D">
        <w:rPr>
          <w:lang w:val="en-GB"/>
        </w:rPr>
        <w:t>NDIS</w:t>
      </w:r>
      <w:r w:rsidR="00880C4D" w:rsidRPr="00A33264">
        <w:rPr>
          <w:lang w:val="en-GB"/>
        </w:rPr>
        <w:t xml:space="preserve"> </w:t>
      </w:r>
      <w:r w:rsidRPr="00A33264">
        <w:rPr>
          <w:lang w:val="en-GB"/>
        </w:rPr>
        <w:t xml:space="preserve">in many communities. </w:t>
      </w:r>
    </w:p>
    <w:p w14:paraId="56091CC4" w14:textId="17BA2FCF" w:rsidR="00D7463A" w:rsidRPr="00A33264" w:rsidRDefault="00EC5D56" w:rsidP="00EC5D56">
      <w:pPr>
        <w:rPr>
          <w:lang w:val="en-GB"/>
        </w:rPr>
      </w:pPr>
      <w:r w:rsidRPr="00A33264">
        <w:rPr>
          <w:lang w:val="en-GB"/>
        </w:rPr>
        <w:t xml:space="preserve">As at 30 June 2024 the </w:t>
      </w:r>
      <w:r w:rsidR="00B95D8A">
        <w:rPr>
          <w:lang w:val="en-GB"/>
        </w:rPr>
        <w:t>p</w:t>
      </w:r>
      <w:r w:rsidR="00D24A04">
        <w:rPr>
          <w:lang w:val="en-GB"/>
        </w:rPr>
        <w:t>artners in the community</w:t>
      </w:r>
      <w:r w:rsidR="00D24A04" w:rsidRPr="00A33264">
        <w:rPr>
          <w:lang w:val="en-GB"/>
        </w:rPr>
        <w:t xml:space="preserve"> </w:t>
      </w:r>
      <w:r w:rsidRPr="00A33264">
        <w:rPr>
          <w:lang w:val="en-GB"/>
        </w:rPr>
        <w:t>program had 24 partner organisations operating in all Australian states and territories, with the exception of remote areas, where the local NDIA team provides support.</w:t>
      </w:r>
    </w:p>
    <w:p w14:paraId="2AFF67C1" w14:textId="78FF57A6" w:rsidR="00280054" w:rsidRPr="00A33264" w:rsidRDefault="00280054" w:rsidP="00280054">
      <w:pPr>
        <w:pStyle w:val="Heading4"/>
        <w:rPr>
          <w:lang w:val="en-GB"/>
        </w:rPr>
      </w:pPr>
      <w:r w:rsidRPr="00A33264">
        <w:rPr>
          <w:lang w:val="en-GB"/>
        </w:rPr>
        <w:t>Local area coordination partners</w:t>
      </w:r>
    </w:p>
    <w:p w14:paraId="04847CD0" w14:textId="5CC8E539" w:rsidR="00EC5D56" w:rsidRPr="00A33264" w:rsidRDefault="00EC5D56" w:rsidP="00EC5D56">
      <w:pPr>
        <w:rPr>
          <w:lang w:val="en-GB"/>
        </w:rPr>
      </w:pPr>
      <w:r w:rsidRPr="00A33264">
        <w:rPr>
          <w:lang w:val="en-GB"/>
        </w:rPr>
        <w:t xml:space="preserve">Partners delivering </w:t>
      </w:r>
      <w:r w:rsidR="00EC7EA2">
        <w:rPr>
          <w:lang w:val="en-GB"/>
        </w:rPr>
        <w:t>local area coordination</w:t>
      </w:r>
      <w:r w:rsidR="00EC7EA2" w:rsidRPr="00A33264">
        <w:rPr>
          <w:lang w:val="en-GB"/>
        </w:rPr>
        <w:t xml:space="preserve"> </w:t>
      </w:r>
      <w:r w:rsidRPr="00A33264">
        <w:rPr>
          <w:lang w:val="en-GB"/>
        </w:rPr>
        <w:t xml:space="preserve">services assist people aged 9 years and above to link to the NDIS and </w:t>
      </w:r>
      <w:r w:rsidR="00E74040" w:rsidRPr="00A33264">
        <w:rPr>
          <w:lang w:val="en-GB"/>
        </w:rPr>
        <w:t xml:space="preserve">to </w:t>
      </w:r>
      <w:r w:rsidRPr="00A33264">
        <w:rPr>
          <w:lang w:val="en-GB"/>
        </w:rPr>
        <w:t xml:space="preserve">mainstream and community supports in their local area. </w:t>
      </w:r>
    </w:p>
    <w:p w14:paraId="69B4E32B" w14:textId="465F6CD2" w:rsidR="00EC5D56" w:rsidRPr="00A33264" w:rsidRDefault="00EC5D56" w:rsidP="00EC5D56">
      <w:pPr>
        <w:rPr>
          <w:lang w:val="en-GB"/>
        </w:rPr>
      </w:pPr>
      <w:r w:rsidRPr="00A33264">
        <w:rPr>
          <w:lang w:val="en-GB"/>
        </w:rPr>
        <w:t>L</w:t>
      </w:r>
      <w:r w:rsidR="00EC7EA2">
        <w:rPr>
          <w:lang w:val="en-GB"/>
        </w:rPr>
        <w:t>ocal area coordination</w:t>
      </w:r>
      <w:r w:rsidRPr="00A33264">
        <w:rPr>
          <w:lang w:val="en-GB"/>
        </w:rPr>
        <w:t xml:space="preserve"> </w:t>
      </w:r>
      <w:r w:rsidR="00E74040" w:rsidRPr="00A33264">
        <w:rPr>
          <w:lang w:val="en-GB"/>
        </w:rPr>
        <w:t>p</w:t>
      </w:r>
      <w:r w:rsidRPr="00A33264">
        <w:rPr>
          <w:lang w:val="en-GB"/>
        </w:rPr>
        <w:t xml:space="preserve">artners play an important role in working directly with communities to improve accessibility and inclusion. They can identify supports available </w:t>
      </w:r>
      <w:r w:rsidR="00941D65">
        <w:rPr>
          <w:lang w:val="en-GB"/>
        </w:rPr>
        <w:t xml:space="preserve">in the community </w:t>
      </w:r>
      <w:r w:rsidRPr="00A33264">
        <w:rPr>
          <w:lang w:val="en-GB"/>
        </w:rPr>
        <w:t xml:space="preserve">for people with disability, even </w:t>
      </w:r>
      <w:r w:rsidR="00EC7EA2">
        <w:rPr>
          <w:lang w:val="en-GB"/>
        </w:rPr>
        <w:t>people who are</w:t>
      </w:r>
      <w:r w:rsidRPr="00A33264">
        <w:rPr>
          <w:lang w:val="en-GB"/>
        </w:rPr>
        <w:t xml:space="preserve"> not eligible for a</w:t>
      </w:r>
      <w:r w:rsidR="00E74040" w:rsidRPr="00A33264">
        <w:rPr>
          <w:lang w:val="en-GB"/>
        </w:rPr>
        <w:t>n</w:t>
      </w:r>
      <w:r w:rsidRPr="00A33264">
        <w:rPr>
          <w:lang w:val="en-GB"/>
        </w:rPr>
        <w:t xml:space="preserve"> NDIS plan. </w:t>
      </w:r>
    </w:p>
    <w:p w14:paraId="461CF1CE" w14:textId="0AAEC5F1" w:rsidR="00280054" w:rsidRPr="00A33264" w:rsidRDefault="00EC5D56" w:rsidP="00EC5D56">
      <w:pPr>
        <w:rPr>
          <w:lang w:val="en-GB"/>
        </w:rPr>
      </w:pPr>
      <w:r w:rsidRPr="00A33264">
        <w:rPr>
          <w:lang w:val="en-GB"/>
        </w:rPr>
        <w:t>L</w:t>
      </w:r>
      <w:r w:rsidR="00EC7EA2">
        <w:rPr>
          <w:lang w:val="en-GB"/>
        </w:rPr>
        <w:t>ocal area coordination</w:t>
      </w:r>
      <w:r w:rsidRPr="00A33264">
        <w:rPr>
          <w:lang w:val="en-GB"/>
        </w:rPr>
        <w:t xml:space="preserve"> </w:t>
      </w:r>
      <w:r w:rsidR="00E74040" w:rsidRPr="00A33264">
        <w:rPr>
          <w:lang w:val="en-GB"/>
        </w:rPr>
        <w:t>p</w:t>
      </w:r>
      <w:r w:rsidRPr="00A33264">
        <w:rPr>
          <w:lang w:val="en-GB"/>
        </w:rPr>
        <w:t>artners help people to understand and access the NDIS, discuss goals and supports, gather and document information to support the planning process, and assist people to use their NDIS plan. They also undertake regular check-ins with participants to ensure that their plans are working for them and assist in preparing for plan reassessment.</w:t>
      </w:r>
    </w:p>
    <w:p w14:paraId="036EA0D6" w14:textId="5710132F" w:rsidR="00280054" w:rsidRPr="00A33264" w:rsidRDefault="00280054" w:rsidP="00280054">
      <w:pPr>
        <w:pStyle w:val="Heading4"/>
        <w:rPr>
          <w:lang w:val="en-GB"/>
        </w:rPr>
      </w:pPr>
      <w:r w:rsidRPr="00A33264">
        <w:rPr>
          <w:lang w:val="en-GB"/>
        </w:rPr>
        <w:t>Early childhood partners</w:t>
      </w:r>
    </w:p>
    <w:p w14:paraId="6A71FAA8" w14:textId="220EB16C" w:rsidR="00EC5D56" w:rsidRPr="00A33264" w:rsidRDefault="00EC5D56" w:rsidP="00EC5D56">
      <w:pPr>
        <w:rPr>
          <w:lang w:val="en-GB"/>
        </w:rPr>
      </w:pPr>
      <w:r w:rsidRPr="00A33264">
        <w:rPr>
          <w:lang w:val="en-GB"/>
        </w:rPr>
        <w:t xml:space="preserve">Early </w:t>
      </w:r>
      <w:r w:rsidR="00E74040" w:rsidRPr="00A33264">
        <w:rPr>
          <w:lang w:val="en-GB"/>
        </w:rPr>
        <w:t>c</w:t>
      </w:r>
      <w:r w:rsidRPr="00A33264">
        <w:rPr>
          <w:lang w:val="en-GB"/>
        </w:rPr>
        <w:t xml:space="preserve">hildhood </w:t>
      </w:r>
      <w:r w:rsidR="00E74040" w:rsidRPr="00A33264">
        <w:rPr>
          <w:lang w:val="en-GB"/>
        </w:rPr>
        <w:t>p</w:t>
      </w:r>
      <w:r w:rsidRPr="00A33264">
        <w:rPr>
          <w:lang w:val="en-GB"/>
        </w:rPr>
        <w:t xml:space="preserve">artners are local organisations funded by the NDIA to deliver </w:t>
      </w:r>
      <w:r w:rsidR="00EC7EA2">
        <w:rPr>
          <w:lang w:val="en-GB"/>
        </w:rPr>
        <w:t>our</w:t>
      </w:r>
      <w:r w:rsidR="00EC7EA2" w:rsidRPr="00A33264">
        <w:rPr>
          <w:lang w:val="en-GB"/>
        </w:rPr>
        <w:t xml:space="preserve"> </w:t>
      </w:r>
      <w:r w:rsidR="00EC7EA2">
        <w:rPr>
          <w:lang w:val="en-GB"/>
        </w:rPr>
        <w:t>e</w:t>
      </w:r>
      <w:r w:rsidRPr="00A33264">
        <w:rPr>
          <w:lang w:val="en-GB"/>
        </w:rPr>
        <w:t xml:space="preserve">arly </w:t>
      </w:r>
      <w:r w:rsidR="00EC7EA2">
        <w:rPr>
          <w:lang w:val="en-GB"/>
        </w:rPr>
        <w:t>c</w:t>
      </w:r>
      <w:r w:rsidRPr="00A33264">
        <w:rPr>
          <w:lang w:val="en-GB"/>
        </w:rPr>
        <w:t xml:space="preserve">hildhood </w:t>
      </w:r>
      <w:r w:rsidR="00EC7EA2">
        <w:rPr>
          <w:lang w:val="en-GB"/>
        </w:rPr>
        <w:t>a</w:t>
      </w:r>
      <w:r w:rsidRPr="00A33264">
        <w:rPr>
          <w:lang w:val="en-GB"/>
        </w:rPr>
        <w:t xml:space="preserve">pproach. The </w:t>
      </w:r>
      <w:r w:rsidR="00EC7EA2">
        <w:rPr>
          <w:lang w:val="en-GB"/>
        </w:rPr>
        <w:t>e</w:t>
      </w:r>
      <w:r w:rsidRPr="00A33264">
        <w:rPr>
          <w:lang w:val="en-GB"/>
        </w:rPr>
        <w:t xml:space="preserve">arly </w:t>
      </w:r>
      <w:r w:rsidR="00EC7EA2">
        <w:rPr>
          <w:lang w:val="en-GB"/>
        </w:rPr>
        <w:t>c</w:t>
      </w:r>
      <w:r w:rsidRPr="00A33264">
        <w:rPr>
          <w:lang w:val="en-GB"/>
        </w:rPr>
        <w:t xml:space="preserve">hildhood </w:t>
      </w:r>
      <w:r w:rsidR="00EC7EA2">
        <w:rPr>
          <w:lang w:val="en-GB"/>
        </w:rPr>
        <w:t>a</w:t>
      </w:r>
      <w:r w:rsidRPr="00A33264">
        <w:rPr>
          <w:lang w:val="en-GB"/>
        </w:rPr>
        <w:t>pproach supports children younger than 6 with developmental delay or children younger than 9 with disability, and their families and carers, to develop the skills they need to participate in daily activities and achieve the best possible outcomes throughout their li</w:t>
      </w:r>
      <w:r w:rsidR="00D24A04">
        <w:rPr>
          <w:lang w:val="en-GB"/>
        </w:rPr>
        <w:t>ves</w:t>
      </w:r>
      <w:r w:rsidRPr="00A33264">
        <w:rPr>
          <w:lang w:val="en-GB"/>
        </w:rPr>
        <w:t xml:space="preserve">. </w:t>
      </w:r>
    </w:p>
    <w:p w14:paraId="31A9F2B9" w14:textId="72CD44BD" w:rsidR="00EC5D56" w:rsidRPr="00A33264" w:rsidRDefault="00EC5D56" w:rsidP="00EC5D56">
      <w:pPr>
        <w:rPr>
          <w:lang w:val="en-GB"/>
        </w:rPr>
      </w:pPr>
      <w:r w:rsidRPr="00A33264">
        <w:rPr>
          <w:lang w:val="en-GB"/>
        </w:rPr>
        <w:t xml:space="preserve">Early </w:t>
      </w:r>
      <w:r w:rsidR="00E74040" w:rsidRPr="00A33264">
        <w:rPr>
          <w:lang w:val="en-GB"/>
        </w:rPr>
        <w:t>c</w:t>
      </w:r>
      <w:r w:rsidRPr="00A33264">
        <w:rPr>
          <w:lang w:val="en-GB"/>
        </w:rPr>
        <w:t xml:space="preserve">hildhood </w:t>
      </w:r>
      <w:r w:rsidR="00E74040" w:rsidRPr="00A33264">
        <w:rPr>
          <w:lang w:val="en-GB"/>
        </w:rPr>
        <w:t>p</w:t>
      </w:r>
      <w:r w:rsidRPr="00A33264">
        <w:rPr>
          <w:lang w:val="en-GB"/>
        </w:rPr>
        <w:t xml:space="preserve">artners focus on delivering family-centred supports using a best practice model and supporting connections to mainstream and community services for children and their families and carers. </w:t>
      </w:r>
    </w:p>
    <w:p w14:paraId="6C42C8F4" w14:textId="24AE8AB3" w:rsidR="00280054" w:rsidRPr="00A33264" w:rsidRDefault="00EC5D56" w:rsidP="00EC5D56">
      <w:pPr>
        <w:rPr>
          <w:lang w:val="en-GB"/>
        </w:rPr>
      </w:pPr>
      <w:r w:rsidRPr="00A33264">
        <w:rPr>
          <w:lang w:val="en-GB"/>
        </w:rPr>
        <w:lastRenderedPageBreak/>
        <w:t xml:space="preserve">Early </w:t>
      </w:r>
      <w:r w:rsidR="00E74040" w:rsidRPr="00A33264">
        <w:rPr>
          <w:lang w:val="en-GB"/>
        </w:rPr>
        <w:t>c</w:t>
      </w:r>
      <w:r w:rsidRPr="00A33264">
        <w:rPr>
          <w:lang w:val="en-GB"/>
        </w:rPr>
        <w:t xml:space="preserve">hildhood </w:t>
      </w:r>
      <w:r w:rsidR="00E74040" w:rsidRPr="00A33264">
        <w:rPr>
          <w:lang w:val="en-GB"/>
        </w:rPr>
        <w:t>p</w:t>
      </w:r>
      <w:r w:rsidRPr="00A33264">
        <w:rPr>
          <w:lang w:val="en-GB"/>
        </w:rPr>
        <w:t>artners offer early connections and early support</w:t>
      </w:r>
      <w:r w:rsidR="00F231FD">
        <w:rPr>
          <w:lang w:val="en-GB"/>
        </w:rPr>
        <w:t>,</w:t>
      </w:r>
      <w:r w:rsidRPr="00A33264">
        <w:rPr>
          <w:lang w:val="en-GB"/>
        </w:rPr>
        <w:t xml:space="preserve"> and</w:t>
      </w:r>
      <w:r w:rsidR="00F231FD">
        <w:rPr>
          <w:lang w:val="en-GB"/>
        </w:rPr>
        <w:t xml:space="preserve"> they</w:t>
      </w:r>
      <w:r w:rsidRPr="00A33264">
        <w:rPr>
          <w:lang w:val="en-GB"/>
        </w:rPr>
        <w:t xml:space="preserve"> support families </w:t>
      </w:r>
      <w:r w:rsidR="00EC7EA2">
        <w:rPr>
          <w:lang w:val="en-GB"/>
        </w:rPr>
        <w:t xml:space="preserve">to access </w:t>
      </w:r>
      <w:r w:rsidRPr="00A33264">
        <w:rPr>
          <w:lang w:val="en-GB"/>
        </w:rPr>
        <w:t xml:space="preserve">the NDIS </w:t>
      </w:r>
      <w:r w:rsidR="00EC7EA2">
        <w:rPr>
          <w:lang w:val="en-GB"/>
        </w:rPr>
        <w:t>if their child is likely to be eligible</w:t>
      </w:r>
      <w:r w:rsidR="00F231FD">
        <w:rPr>
          <w:lang w:val="en-GB"/>
        </w:rPr>
        <w:t>.</w:t>
      </w:r>
      <w:r w:rsidRPr="00A33264">
        <w:rPr>
          <w:lang w:val="en-GB"/>
        </w:rPr>
        <w:t xml:space="preserve"> </w:t>
      </w:r>
      <w:r w:rsidR="00F231FD">
        <w:rPr>
          <w:lang w:val="en-GB"/>
        </w:rPr>
        <w:t xml:space="preserve">They continue their support </w:t>
      </w:r>
      <w:r w:rsidR="00EC7EA2">
        <w:rPr>
          <w:lang w:val="en-GB"/>
        </w:rPr>
        <w:t xml:space="preserve">through the </w:t>
      </w:r>
      <w:r w:rsidRPr="00A33264">
        <w:rPr>
          <w:lang w:val="en-GB"/>
        </w:rPr>
        <w:t>planning process when the child becomes a</w:t>
      </w:r>
      <w:r w:rsidR="00E74040" w:rsidRPr="00A33264">
        <w:rPr>
          <w:lang w:val="en-GB"/>
        </w:rPr>
        <w:t>n</w:t>
      </w:r>
      <w:r w:rsidRPr="00A33264">
        <w:rPr>
          <w:lang w:val="en-GB"/>
        </w:rPr>
        <w:t xml:space="preserve"> NDIS participant.</w:t>
      </w:r>
    </w:p>
    <w:p w14:paraId="623994AA" w14:textId="5E6B0E34" w:rsidR="00D7463A" w:rsidRPr="00A33264" w:rsidRDefault="00D7463A" w:rsidP="00D7463A">
      <w:pPr>
        <w:pStyle w:val="Heading3"/>
        <w:rPr>
          <w:lang w:val="en-GB"/>
        </w:rPr>
      </w:pPr>
      <w:bookmarkStart w:id="313" w:name="_Toc169592983"/>
      <w:bookmarkStart w:id="314" w:name="_Toc174354202"/>
      <w:bookmarkStart w:id="315" w:name="_Toc175316906"/>
      <w:bookmarkStart w:id="316" w:name="_Toc176786397"/>
      <w:bookmarkStart w:id="317" w:name="_Toc180505679"/>
      <w:r w:rsidRPr="00A33264">
        <w:rPr>
          <w:lang w:val="en-GB"/>
        </w:rPr>
        <w:t>Workforce management</w:t>
      </w:r>
      <w:bookmarkEnd w:id="313"/>
      <w:bookmarkEnd w:id="314"/>
      <w:bookmarkEnd w:id="315"/>
      <w:bookmarkEnd w:id="316"/>
      <w:bookmarkEnd w:id="317"/>
    </w:p>
    <w:p w14:paraId="4A1A0674" w14:textId="54F148B6" w:rsidR="005312E9" w:rsidRPr="00A33264" w:rsidRDefault="005312E9" w:rsidP="005312E9">
      <w:pPr>
        <w:rPr>
          <w:lang w:val="en-GB"/>
        </w:rPr>
      </w:pPr>
      <w:r w:rsidRPr="00A33264">
        <w:rPr>
          <w:lang w:val="en-GB"/>
        </w:rPr>
        <w:t xml:space="preserve">To deliver the </w:t>
      </w:r>
      <w:r w:rsidR="00880C4D">
        <w:rPr>
          <w:lang w:val="en-GB"/>
        </w:rPr>
        <w:t>NDIS</w:t>
      </w:r>
      <w:r w:rsidRPr="00A33264">
        <w:rPr>
          <w:lang w:val="en-GB"/>
        </w:rPr>
        <w:t xml:space="preserve">, the NDIA needs a capable and committed workforce that is reflective of the broader Australian society. The mix of skills needed by the NDIA continues to evolve, reflecting the needs of participants, carers and their families. </w:t>
      </w:r>
      <w:r w:rsidR="00615355" w:rsidRPr="00A33264">
        <w:rPr>
          <w:lang w:val="en-GB"/>
        </w:rPr>
        <w:t>T</w:t>
      </w:r>
      <w:r w:rsidRPr="00A33264">
        <w:rPr>
          <w:lang w:val="en-GB"/>
        </w:rPr>
        <w:t xml:space="preserve">he NDIA continues to expand and strengthen its focus on disability and cohort awareness </w:t>
      </w:r>
      <w:r w:rsidR="00615355" w:rsidRPr="00A33264">
        <w:rPr>
          <w:lang w:val="en-GB"/>
        </w:rPr>
        <w:t>and on</w:t>
      </w:r>
      <w:r w:rsidRPr="00A33264">
        <w:rPr>
          <w:lang w:val="en-GB"/>
        </w:rPr>
        <w:t xml:space="preserve"> improv</w:t>
      </w:r>
      <w:r w:rsidR="00615355" w:rsidRPr="00A33264">
        <w:rPr>
          <w:lang w:val="en-GB"/>
        </w:rPr>
        <w:t>ing</w:t>
      </w:r>
      <w:r w:rsidRPr="00A33264">
        <w:rPr>
          <w:lang w:val="en-GB"/>
        </w:rPr>
        <w:t xml:space="preserve"> frontline capability and the quality of experience for participants.</w:t>
      </w:r>
    </w:p>
    <w:p w14:paraId="637662C9" w14:textId="570BC187" w:rsidR="005312E9" w:rsidRPr="00A33264" w:rsidRDefault="005312E9" w:rsidP="005312E9">
      <w:pPr>
        <w:rPr>
          <w:lang w:val="en-GB"/>
        </w:rPr>
      </w:pPr>
      <w:r w:rsidRPr="00A33264">
        <w:rPr>
          <w:lang w:val="en-GB"/>
        </w:rPr>
        <w:t>As at 30 June 2024</w:t>
      </w:r>
      <w:r w:rsidR="00EC7EA2">
        <w:rPr>
          <w:lang w:val="en-GB"/>
        </w:rPr>
        <w:t xml:space="preserve"> </w:t>
      </w:r>
      <w:r w:rsidRPr="00A33264">
        <w:rPr>
          <w:lang w:val="en-GB"/>
        </w:rPr>
        <w:t xml:space="preserve">the </w:t>
      </w:r>
      <w:r w:rsidR="00EC7EA2">
        <w:rPr>
          <w:lang w:val="en-GB"/>
        </w:rPr>
        <w:t xml:space="preserve">total </w:t>
      </w:r>
      <w:r w:rsidRPr="00A33264">
        <w:rPr>
          <w:lang w:val="en-GB"/>
        </w:rPr>
        <w:t xml:space="preserve">NDIA workforce </w:t>
      </w:r>
      <w:r w:rsidR="00EC7EA2">
        <w:rPr>
          <w:lang w:val="en-GB"/>
        </w:rPr>
        <w:t>numbered</w:t>
      </w:r>
      <w:r w:rsidRPr="00A33264">
        <w:rPr>
          <w:lang w:val="en-GB"/>
        </w:rPr>
        <w:t xml:space="preserve"> 16,192</w:t>
      </w:r>
      <w:r w:rsidR="00EC7EA2">
        <w:rPr>
          <w:lang w:val="en-GB"/>
        </w:rPr>
        <w:t xml:space="preserve">. </w:t>
      </w:r>
      <w:r w:rsidR="00F231FD">
        <w:rPr>
          <w:lang w:val="en-GB"/>
        </w:rPr>
        <w:t>The NDIA had</w:t>
      </w:r>
      <w:r w:rsidRPr="00A33264">
        <w:rPr>
          <w:lang w:val="en-GB"/>
        </w:rPr>
        <w:t>:</w:t>
      </w:r>
    </w:p>
    <w:p w14:paraId="4FB8A045" w14:textId="4F6CEBD4" w:rsidR="005312E9" w:rsidRPr="00A33264" w:rsidRDefault="005312E9" w:rsidP="005312E9">
      <w:pPr>
        <w:pStyle w:val="Bullet1"/>
        <w:rPr>
          <w:lang w:val="en-GB"/>
        </w:rPr>
      </w:pPr>
      <w:r w:rsidRPr="00A33264">
        <w:rPr>
          <w:lang w:val="en-GB"/>
        </w:rPr>
        <w:tab/>
        <w:t>7,846 Australian Public Service (APS) employees (7,598 full-time equivalent and 6,402 average staffing level)</w:t>
      </w:r>
    </w:p>
    <w:p w14:paraId="78E95C71" w14:textId="4A2059CA" w:rsidR="005312E9" w:rsidRPr="00A33264" w:rsidRDefault="005312E9" w:rsidP="005312E9">
      <w:pPr>
        <w:pStyle w:val="Bullet1"/>
        <w:rPr>
          <w:lang w:val="en-GB"/>
        </w:rPr>
      </w:pPr>
      <w:r w:rsidRPr="00A33264">
        <w:rPr>
          <w:lang w:val="en-GB"/>
        </w:rPr>
        <w:tab/>
        <w:t xml:space="preserve">2,143 contractors, </w:t>
      </w:r>
      <w:r w:rsidR="0045605E" w:rsidRPr="00A33264">
        <w:rPr>
          <w:lang w:val="en-GB"/>
        </w:rPr>
        <w:t>including</w:t>
      </w:r>
      <w:r w:rsidRPr="00A33264">
        <w:rPr>
          <w:lang w:val="en-GB"/>
        </w:rPr>
        <w:t xml:space="preserve"> 1,950 labour hire staff, 132 consultants and 61 </w:t>
      </w:r>
      <w:r w:rsidR="00EC7EA2">
        <w:rPr>
          <w:lang w:val="en-GB"/>
        </w:rPr>
        <w:t xml:space="preserve">contractors with </w:t>
      </w:r>
      <w:r w:rsidRPr="00A33264">
        <w:rPr>
          <w:lang w:val="en-GB"/>
        </w:rPr>
        <w:t>system access only</w:t>
      </w:r>
    </w:p>
    <w:p w14:paraId="2B8C520A" w14:textId="66803EA3" w:rsidR="005312E9" w:rsidRPr="00A33264" w:rsidRDefault="005312E9" w:rsidP="005312E9">
      <w:pPr>
        <w:pStyle w:val="Bullet1"/>
        <w:rPr>
          <w:lang w:val="en-GB"/>
        </w:rPr>
      </w:pPr>
      <w:r w:rsidRPr="00A33264">
        <w:rPr>
          <w:lang w:val="en-GB"/>
        </w:rPr>
        <w:tab/>
        <w:t xml:space="preserve">6,203 outsourced workers, </w:t>
      </w:r>
      <w:r w:rsidR="0045605E" w:rsidRPr="00A33264">
        <w:rPr>
          <w:lang w:val="en-GB"/>
        </w:rPr>
        <w:t>including</w:t>
      </w:r>
      <w:r w:rsidRPr="00A33264">
        <w:rPr>
          <w:lang w:val="en-GB"/>
        </w:rPr>
        <w:t xml:space="preserve"> 4,769 </w:t>
      </w:r>
      <w:r w:rsidR="00B95D8A">
        <w:rPr>
          <w:lang w:val="en-GB"/>
        </w:rPr>
        <w:t>p</w:t>
      </w:r>
      <w:r w:rsidR="00F231FD">
        <w:rPr>
          <w:lang w:val="en-GB"/>
        </w:rPr>
        <w:t>artners in the community</w:t>
      </w:r>
      <w:r w:rsidR="00F231FD" w:rsidRPr="00A33264">
        <w:rPr>
          <w:lang w:val="en-GB"/>
        </w:rPr>
        <w:t xml:space="preserve"> </w:t>
      </w:r>
      <w:r w:rsidRPr="00A33264">
        <w:rPr>
          <w:lang w:val="en-GB"/>
        </w:rPr>
        <w:t>staff, 1,420 National Contact Centre staff</w:t>
      </w:r>
      <w:r w:rsidR="00E74040" w:rsidRPr="00A33264">
        <w:rPr>
          <w:lang w:val="en-GB"/>
        </w:rPr>
        <w:t>,</w:t>
      </w:r>
      <w:r w:rsidRPr="00A33264">
        <w:rPr>
          <w:lang w:val="en-GB"/>
        </w:rPr>
        <w:t xml:space="preserve"> and 14 other outsourced staff.</w:t>
      </w:r>
    </w:p>
    <w:p w14:paraId="41340E31" w14:textId="7020A420" w:rsidR="005312E9" w:rsidRPr="00A33264" w:rsidRDefault="005312E9" w:rsidP="005312E9">
      <w:pPr>
        <w:rPr>
          <w:lang w:val="en-GB"/>
        </w:rPr>
      </w:pPr>
      <w:r w:rsidRPr="00A33264">
        <w:rPr>
          <w:lang w:val="en-GB"/>
        </w:rPr>
        <w:t>During 2023</w:t>
      </w:r>
      <w:r w:rsidR="00E74040" w:rsidRPr="00A33264">
        <w:rPr>
          <w:lang w:val="en-GB"/>
        </w:rPr>
        <w:t>–</w:t>
      </w:r>
      <w:r w:rsidRPr="00A33264">
        <w:rPr>
          <w:lang w:val="en-GB"/>
        </w:rPr>
        <w:t>24 the NDIA engaged 1,210 new APS employees</w:t>
      </w:r>
      <w:r w:rsidR="00EC7EA2">
        <w:rPr>
          <w:lang w:val="en-GB"/>
        </w:rPr>
        <w:t>.</w:t>
      </w:r>
      <w:r w:rsidRPr="00A33264">
        <w:rPr>
          <w:lang w:val="en-GB"/>
        </w:rPr>
        <w:t xml:space="preserve"> </w:t>
      </w:r>
      <w:r w:rsidR="00EC7EA2">
        <w:rPr>
          <w:lang w:val="en-GB"/>
        </w:rPr>
        <w:t>M</w:t>
      </w:r>
      <w:r w:rsidRPr="00A33264">
        <w:rPr>
          <w:lang w:val="en-GB"/>
        </w:rPr>
        <w:t>ore than 55% of the</w:t>
      </w:r>
      <w:r w:rsidR="00EC7EA2">
        <w:rPr>
          <w:lang w:val="en-GB"/>
        </w:rPr>
        <w:t xml:space="preserve"> new employees are</w:t>
      </w:r>
      <w:r w:rsidRPr="00A33264">
        <w:rPr>
          <w:lang w:val="en-GB"/>
        </w:rPr>
        <w:t xml:space="preserve"> in participant-facing roles in the Service Delivery </w:t>
      </w:r>
      <w:r w:rsidR="00F231FD">
        <w:rPr>
          <w:lang w:val="en-GB"/>
        </w:rPr>
        <w:t>G</w:t>
      </w:r>
      <w:r w:rsidRPr="00A33264">
        <w:rPr>
          <w:lang w:val="en-GB"/>
        </w:rPr>
        <w:t>roup. The NDIA’s planner workforce increased by 8.4% in 202</w:t>
      </w:r>
      <w:r w:rsidR="00867E1D" w:rsidRPr="00A33264">
        <w:rPr>
          <w:lang w:val="en-GB"/>
        </w:rPr>
        <w:t>3</w:t>
      </w:r>
      <w:r w:rsidRPr="00A33264">
        <w:rPr>
          <w:lang w:val="en-GB"/>
        </w:rPr>
        <w:t>–2</w:t>
      </w:r>
      <w:r w:rsidR="00867E1D" w:rsidRPr="00A33264">
        <w:rPr>
          <w:lang w:val="en-GB"/>
        </w:rPr>
        <w:t>4</w:t>
      </w:r>
      <w:r w:rsidRPr="00A33264">
        <w:rPr>
          <w:lang w:val="en-GB"/>
        </w:rPr>
        <w:t xml:space="preserve"> and represent</w:t>
      </w:r>
      <w:r w:rsidR="00EC7EA2">
        <w:rPr>
          <w:lang w:val="en-GB"/>
        </w:rPr>
        <w:t>s</w:t>
      </w:r>
      <w:r w:rsidRPr="00A33264">
        <w:rPr>
          <w:lang w:val="en-GB"/>
        </w:rPr>
        <w:t xml:space="preserve"> 41.3% of </w:t>
      </w:r>
      <w:r w:rsidR="00EC7EA2">
        <w:rPr>
          <w:lang w:val="en-GB"/>
        </w:rPr>
        <w:t>our</w:t>
      </w:r>
      <w:r w:rsidRPr="00A33264">
        <w:rPr>
          <w:lang w:val="en-GB"/>
        </w:rPr>
        <w:t xml:space="preserve"> APS workforce.</w:t>
      </w:r>
    </w:p>
    <w:p w14:paraId="224B56EA" w14:textId="40741A0E" w:rsidR="005312E9" w:rsidRPr="00A33264" w:rsidRDefault="005312E9" w:rsidP="005312E9">
      <w:pPr>
        <w:pStyle w:val="Heading4"/>
        <w:rPr>
          <w:lang w:val="en-GB"/>
        </w:rPr>
      </w:pPr>
      <w:r w:rsidRPr="00A33264">
        <w:rPr>
          <w:lang w:val="en-GB"/>
        </w:rPr>
        <w:t>Disability and diversity employment</w:t>
      </w:r>
    </w:p>
    <w:p w14:paraId="3F5210B8" w14:textId="580E0284" w:rsidR="005312E9" w:rsidRPr="00A33264" w:rsidRDefault="005312E9" w:rsidP="005312E9">
      <w:pPr>
        <w:rPr>
          <w:lang w:val="en-GB"/>
        </w:rPr>
      </w:pPr>
      <w:r w:rsidRPr="00A33264">
        <w:rPr>
          <w:lang w:val="en-GB"/>
        </w:rPr>
        <w:t>The NDIA cares deeply about building a workplace where everyone is valued, connected and included</w:t>
      </w:r>
      <w:r w:rsidR="005511B2">
        <w:rPr>
          <w:lang w:val="en-GB"/>
        </w:rPr>
        <w:t>,</w:t>
      </w:r>
      <w:r w:rsidR="00615355" w:rsidRPr="00A33264">
        <w:rPr>
          <w:lang w:val="en-GB"/>
        </w:rPr>
        <w:t xml:space="preserve"> and recruiting and retaining staff </w:t>
      </w:r>
      <w:r w:rsidR="00EC7EA2">
        <w:rPr>
          <w:lang w:val="en-GB"/>
        </w:rPr>
        <w:t>who</w:t>
      </w:r>
      <w:r w:rsidR="00EC7EA2" w:rsidRPr="00A33264">
        <w:rPr>
          <w:lang w:val="en-GB"/>
        </w:rPr>
        <w:t xml:space="preserve"> </w:t>
      </w:r>
      <w:r w:rsidR="00615355" w:rsidRPr="00A33264">
        <w:rPr>
          <w:lang w:val="en-GB"/>
        </w:rPr>
        <w:t>are</w:t>
      </w:r>
      <w:r w:rsidRPr="00A33264">
        <w:rPr>
          <w:lang w:val="en-GB"/>
        </w:rPr>
        <w:t xml:space="preserve"> representative of the community we serve. The NDIA Inclusion and Diversity Framework </w:t>
      </w:r>
      <w:r w:rsidR="00F231FD">
        <w:rPr>
          <w:lang w:val="en-GB"/>
        </w:rPr>
        <w:t>sets out</w:t>
      </w:r>
      <w:r w:rsidR="00F231FD" w:rsidRPr="00A33264">
        <w:rPr>
          <w:lang w:val="en-GB"/>
        </w:rPr>
        <w:t xml:space="preserve"> </w:t>
      </w:r>
      <w:r w:rsidRPr="00A33264">
        <w:rPr>
          <w:lang w:val="en-GB"/>
        </w:rPr>
        <w:t xml:space="preserve">how we will increase the NDIA’s inclusion and diversity practices </w:t>
      </w:r>
      <w:r w:rsidR="00F231FD">
        <w:rPr>
          <w:lang w:val="en-GB"/>
        </w:rPr>
        <w:t>by creating</w:t>
      </w:r>
      <w:r w:rsidRPr="00A33264">
        <w:rPr>
          <w:lang w:val="en-GB"/>
        </w:rPr>
        <w:t xml:space="preserve"> a range of diversity group inclusion plans. The Office of Agency Accessibility and Inclusion was established in January 2024 to drive accessibility and inclusion in the NDIA through improved systems</w:t>
      </w:r>
      <w:r w:rsidR="00EC7EA2">
        <w:rPr>
          <w:lang w:val="en-GB"/>
        </w:rPr>
        <w:t>,</w:t>
      </w:r>
      <w:r w:rsidRPr="00A33264">
        <w:rPr>
          <w:lang w:val="en-GB"/>
        </w:rPr>
        <w:t xml:space="preserve"> processes and supports for staff.</w:t>
      </w:r>
    </w:p>
    <w:p w14:paraId="4A584826" w14:textId="761DC357" w:rsidR="005312E9" w:rsidRPr="00A33264" w:rsidRDefault="005312E9" w:rsidP="005312E9">
      <w:pPr>
        <w:rPr>
          <w:lang w:val="en-GB"/>
        </w:rPr>
      </w:pPr>
      <w:r w:rsidRPr="00A33264">
        <w:rPr>
          <w:lang w:val="en-GB"/>
        </w:rPr>
        <w:t>The NDIA aspires to be a world-leading employer of choice for people with disability and a leading employer for access and inclusion. The NDIA Disability Action Plan will implement accessibility and inclusion improvements that are co</w:t>
      </w:r>
      <w:r w:rsidR="00E74040" w:rsidRPr="00A33264">
        <w:rPr>
          <w:lang w:val="en-GB"/>
        </w:rPr>
        <w:t>-</w:t>
      </w:r>
      <w:r w:rsidRPr="00A33264">
        <w:rPr>
          <w:lang w:val="en-GB"/>
        </w:rPr>
        <w:t xml:space="preserve">designed by staff with disability, leaders of staff with disability, subject matter experts and </w:t>
      </w:r>
      <w:r w:rsidR="00615355" w:rsidRPr="00A33264">
        <w:rPr>
          <w:lang w:val="en-GB"/>
        </w:rPr>
        <w:t xml:space="preserve">the NDIA’s </w:t>
      </w:r>
      <w:r w:rsidR="00EC7EA2">
        <w:rPr>
          <w:lang w:val="en-GB"/>
        </w:rPr>
        <w:t>d</w:t>
      </w:r>
      <w:r w:rsidRPr="00A33264">
        <w:rPr>
          <w:lang w:val="en-GB"/>
        </w:rPr>
        <w:t xml:space="preserve">isability </w:t>
      </w:r>
      <w:r w:rsidR="00EC7EA2">
        <w:rPr>
          <w:lang w:val="en-GB"/>
        </w:rPr>
        <w:t>l</w:t>
      </w:r>
      <w:r w:rsidRPr="00A33264">
        <w:rPr>
          <w:lang w:val="en-GB"/>
        </w:rPr>
        <w:t xml:space="preserve">iaison </w:t>
      </w:r>
      <w:r w:rsidR="00EC7EA2">
        <w:rPr>
          <w:lang w:val="en-GB"/>
        </w:rPr>
        <w:t>o</w:t>
      </w:r>
      <w:r w:rsidRPr="00A33264">
        <w:rPr>
          <w:lang w:val="en-GB"/>
        </w:rPr>
        <w:t>fficers.</w:t>
      </w:r>
    </w:p>
    <w:p w14:paraId="37D4A376" w14:textId="48F24188" w:rsidR="005312E9" w:rsidRPr="00A33264" w:rsidRDefault="005312E9" w:rsidP="006B149D">
      <w:pPr>
        <w:rPr>
          <w:lang w:val="en-GB"/>
        </w:rPr>
      </w:pPr>
      <w:r w:rsidRPr="00A33264">
        <w:rPr>
          <w:lang w:val="en-GB"/>
        </w:rPr>
        <w:t>In the 2024 APS Census, 22</w:t>
      </w:r>
      <w:r w:rsidR="00D211A2" w:rsidRPr="00A33264">
        <w:rPr>
          <w:lang w:val="en-GB"/>
        </w:rPr>
        <w:t>%</w:t>
      </w:r>
      <w:r w:rsidRPr="00A33264">
        <w:rPr>
          <w:lang w:val="en-GB"/>
        </w:rPr>
        <w:t xml:space="preserve"> of NDIA staff identified as having disability.</w:t>
      </w:r>
    </w:p>
    <w:p w14:paraId="738FAE8B" w14:textId="364612D3" w:rsidR="005312E9" w:rsidRPr="00A33264" w:rsidRDefault="005312E9" w:rsidP="006B149D">
      <w:pPr>
        <w:rPr>
          <w:lang w:val="en-GB"/>
        </w:rPr>
      </w:pPr>
      <w:r w:rsidRPr="00A33264">
        <w:rPr>
          <w:lang w:val="en-GB"/>
        </w:rPr>
        <w:lastRenderedPageBreak/>
        <w:t>The NDIA maintains Disability Confident Recruiter accreditation</w:t>
      </w:r>
      <w:r w:rsidR="00EC7EA2">
        <w:rPr>
          <w:lang w:val="en-GB"/>
        </w:rPr>
        <w:t xml:space="preserve"> from the Australian Disability Network</w:t>
      </w:r>
      <w:r w:rsidRPr="00A33264">
        <w:rPr>
          <w:lang w:val="en-GB"/>
        </w:rPr>
        <w:t xml:space="preserve">. We regularly undertake recruitment </w:t>
      </w:r>
      <w:r w:rsidR="00F231FD">
        <w:rPr>
          <w:lang w:val="en-GB"/>
        </w:rPr>
        <w:t>using</w:t>
      </w:r>
      <w:r w:rsidR="00F231FD" w:rsidRPr="00A33264">
        <w:rPr>
          <w:lang w:val="en-GB"/>
        </w:rPr>
        <w:t xml:space="preserve"> </w:t>
      </w:r>
      <w:r w:rsidRPr="00A33264">
        <w:rPr>
          <w:lang w:val="en-GB"/>
        </w:rPr>
        <w:t xml:space="preserve">affirmative measures to increase the number of staff who identify as </w:t>
      </w:r>
      <w:r w:rsidR="00EC7EA2">
        <w:rPr>
          <w:lang w:val="en-GB"/>
        </w:rPr>
        <w:t>people</w:t>
      </w:r>
      <w:r w:rsidRPr="00A33264">
        <w:rPr>
          <w:lang w:val="en-GB"/>
        </w:rPr>
        <w:t xml:space="preserve"> with disability. The NDIA engages in the RecruitAbility scheme and offers roles and vacancies specifically for people with disabilities (or a specific type of disability).</w:t>
      </w:r>
    </w:p>
    <w:p w14:paraId="1E48FA1A" w14:textId="061CD2EB" w:rsidR="005312E9" w:rsidRPr="00A33264" w:rsidRDefault="005312E9" w:rsidP="006B149D">
      <w:pPr>
        <w:rPr>
          <w:lang w:val="en-GB"/>
        </w:rPr>
      </w:pPr>
      <w:r w:rsidRPr="00A33264">
        <w:rPr>
          <w:lang w:val="en-GB"/>
        </w:rPr>
        <w:t>In the 2024 APS Census, 3% of NDIA staff identified as First Nations people.</w:t>
      </w:r>
    </w:p>
    <w:p w14:paraId="70AF8392" w14:textId="344C7132" w:rsidR="005312E9" w:rsidRPr="00A33264" w:rsidRDefault="005312E9" w:rsidP="006B149D">
      <w:pPr>
        <w:rPr>
          <w:lang w:val="en-GB"/>
        </w:rPr>
      </w:pPr>
      <w:r w:rsidRPr="00A33264">
        <w:rPr>
          <w:lang w:val="en-GB"/>
        </w:rPr>
        <w:t>The NDIA’s Innovate Reconciliation Action Plan (RAP) is being finalised</w:t>
      </w:r>
      <w:r w:rsidR="00615355" w:rsidRPr="00A33264">
        <w:rPr>
          <w:lang w:val="en-GB"/>
        </w:rPr>
        <w:t xml:space="preserve"> for delivery in the next financial year</w:t>
      </w:r>
      <w:r w:rsidRPr="00A33264">
        <w:rPr>
          <w:lang w:val="en-GB"/>
        </w:rPr>
        <w:t xml:space="preserve">. This will be the third RAP in the NDIA’s reconciliation program and will build on actions implemented in the previous RAPs. </w:t>
      </w:r>
    </w:p>
    <w:p w14:paraId="1A0ABFD0" w14:textId="05DDCEC6" w:rsidR="005312E9" w:rsidRPr="00A33264" w:rsidRDefault="005312E9" w:rsidP="006B149D">
      <w:pPr>
        <w:rPr>
          <w:lang w:val="en-GB"/>
        </w:rPr>
      </w:pPr>
      <w:r w:rsidRPr="00A33264">
        <w:rPr>
          <w:lang w:val="en-GB"/>
        </w:rPr>
        <w:t>In the 2024 APS Census, 10% of NDIA staff identified as LGBT</w:t>
      </w:r>
      <w:r w:rsidR="00F231FD">
        <w:rPr>
          <w:lang w:val="en-GB"/>
        </w:rPr>
        <w:t>I</w:t>
      </w:r>
      <w:r w:rsidRPr="00A33264">
        <w:rPr>
          <w:lang w:val="en-GB"/>
        </w:rPr>
        <w:t>QA+.</w:t>
      </w:r>
      <w:r w:rsidR="00F231FD">
        <w:rPr>
          <w:lang w:val="en-GB"/>
        </w:rPr>
        <w:t xml:space="preserve"> </w:t>
      </w:r>
      <w:r w:rsidRPr="00A33264">
        <w:rPr>
          <w:lang w:val="en-GB"/>
        </w:rPr>
        <w:t xml:space="preserve">The NDIA published its LGBTIQA+ Inclusion Plan in November 2021. </w:t>
      </w:r>
      <w:r w:rsidR="00615355" w:rsidRPr="00A33264">
        <w:rPr>
          <w:lang w:val="en-GB"/>
        </w:rPr>
        <w:t>A</w:t>
      </w:r>
      <w:r w:rsidRPr="00A33264">
        <w:rPr>
          <w:lang w:val="en-GB"/>
        </w:rPr>
        <w:t xml:space="preserve">ll </w:t>
      </w:r>
      <w:r w:rsidR="004E5CA0">
        <w:rPr>
          <w:lang w:val="en-GB"/>
        </w:rPr>
        <w:t>plan</w:t>
      </w:r>
      <w:r w:rsidRPr="00A33264">
        <w:rPr>
          <w:lang w:val="en-GB"/>
        </w:rPr>
        <w:t xml:space="preserve"> actions are complete. The </w:t>
      </w:r>
      <w:r w:rsidR="00696527">
        <w:rPr>
          <w:lang w:val="en-GB"/>
        </w:rPr>
        <w:t>NDIA</w:t>
      </w:r>
      <w:r w:rsidR="00696527" w:rsidRPr="00A33264">
        <w:rPr>
          <w:lang w:val="en-GB"/>
        </w:rPr>
        <w:t xml:space="preserve"> </w:t>
      </w:r>
      <w:r w:rsidRPr="00A33264">
        <w:rPr>
          <w:lang w:val="en-GB"/>
        </w:rPr>
        <w:t xml:space="preserve">is now focused on attaining </w:t>
      </w:r>
      <w:r w:rsidR="00847308" w:rsidRPr="00A33264">
        <w:rPr>
          <w:lang w:val="en-GB"/>
        </w:rPr>
        <w:t>b</w:t>
      </w:r>
      <w:r w:rsidRPr="00A33264">
        <w:rPr>
          <w:lang w:val="en-GB"/>
        </w:rPr>
        <w:t>ronze</w:t>
      </w:r>
      <w:r w:rsidR="00847308" w:rsidRPr="00A33264">
        <w:rPr>
          <w:lang w:val="en-GB"/>
        </w:rPr>
        <w:t>-</w:t>
      </w:r>
      <w:r w:rsidRPr="00A33264">
        <w:rPr>
          <w:lang w:val="en-GB"/>
        </w:rPr>
        <w:t xml:space="preserve">level accreditation in Pride </w:t>
      </w:r>
      <w:r w:rsidR="005524ED" w:rsidRPr="00A33264">
        <w:rPr>
          <w:lang w:val="en-GB"/>
        </w:rPr>
        <w:t>in</w:t>
      </w:r>
      <w:r w:rsidRPr="00A33264">
        <w:rPr>
          <w:lang w:val="en-GB"/>
        </w:rPr>
        <w:t xml:space="preserve"> Diversity’s Australian Workplace Equality Index, an organisational benchmarking tool for LGBTIQA+ inclusion.</w:t>
      </w:r>
    </w:p>
    <w:p w14:paraId="6148EE43" w14:textId="3A062F06" w:rsidR="005312E9" w:rsidRPr="00A33264" w:rsidRDefault="005312E9" w:rsidP="005312E9">
      <w:pPr>
        <w:rPr>
          <w:lang w:val="en-GB"/>
        </w:rPr>
      </w:pPr>
      <w:r w:rsidRPr="00A33264">
        <w:rPr>
          <w:lang w:val="en-GB"/>
        </w:rPr>
        <w:t>In the 2024 APS Census, 24% of NDIA staff identified as being from a culturally and linguistically diverse (CALD) background.</w:t>
      </w:r>
      <w:r w:rsidR="00F231FD">
        <w:rPr>
          <w:lang w:val="en-GB"/>
        </w:rPr>
        <w:t xml:space="preserve"> </w:t>
      </w:r>
      <w:r w:rsidRPr="00A33264">
        <w:rPr>
          <w:lang w:val="en-GB"/>
        </w:rPr>
        <w:t>In June 2024 the NDIA launched the NDIA Culturally and Linguistically Diverse Inclusion Plan 2024</w:t>
      </w:r>
      <w:r w:rsidR="00847308" w:rsidRPr="00A33264">
        <w:rPr>
          <w:lang w:val="en-GB"/>
        </w:rPr>
        <w:t>–</w:t>
      </w:r>
      <w:r w:rsidRPr="00A33264">
        <w:rPr>
          <w:lang w:val="en-GB"/>
        </w:rPr>
        <w:t>27. Th</w:t>
      </w:r>
      <w:r w:rsidR="00F231FD">
        <w:rPr>
          <w:lang w:val="en-GB"/>
        </w:rPr>
        <w:t>e</w:t>
      </w:r>
      <w:r w:rsidRPr="00A33264">
        <w:rPr>
          <w:lang w:val="en-GB"/>
        </w:rPr>
        <w:t xml:space="preserve"> plan was developed collaboratively with staff from CALD backgrounds</w:t>
      </w:r>
      <w:r w:rsidR="00F231FD">
        <w:rPr>
          <w:lang w:val="en-GB"/>
        </w:rPr>
        <w:t>,</w:t>
      </w:r>
      <w:r w:rsidRPr="00A33264">
        <w:rPr>
          <w:lang w:val="en-GB"/>
        </w:rPr>
        <w:t xml:space="preserve"> </w:t>
      </w:r>
      <w:r w:rsidR="00F231FD">
        <w:rPr>
          <w:lang w:val="en-GB"/>
        </w:rPr>
        <w:t>who</w:t>
      </w:r>
      <w:r w:rsidRPr="00A33264">
        <w:rPr>
          <w:lang w:val="en-GB"/>
        </w:rPr>
        <w:t xml:space="preserve"> co-design</w:t>
      </w:r>
      <w:r w:rsidR="00F231FD">
        <w:rPr>
          <w:lang w:val="en-GB"/>
        </w:rPr>
        <w:t>ed</w:t>
      </w:r>
      <w:r w:rsidRPr="00A33264">
        <w:rPr>
          <w:lang w:val="en-GB"/>
        </w:rPr>
        <w:t xml:space="preserve"> the actions. </w:t>
      </w:r>
      <w:r w:rsidR="00696527">
        <w:rPr>
          <w:lang w:val="en-GB"/>
        </w:rPr>
        <w:t>It</w:t>
      </w:r>
      <w:r w:rsidRPr="00A33264">
        <w:rPr>
          <w:lang w:val="en-GB"/>
        </w:rPr>
        <w:t xml:space="preserve"> includes actions across 4 key areas: cultural competence and leadership, inclusive culture, inclusive policy and practice</w:t>
      </w:r>
      <w:r w:rsidR="006B149D" w:rsidRPr="00A33264">
        <w:rPr>
          <w:lang w:val="en-GB"/>
        </w:rPr>
        <w:t>,</w:t>
      </w:r>
      <w:r w:rsidRPr="00A33264">
        <w:rPr>
          <w:lang w:val="en-GB"/>
        </w:rPr>
        <w:t xml:space="preserve"> and career development and advancement.</w:t>
      </w:r>
    </w:p>
    <w:p w14:paraId="45E95E13" w14:textId="29DDDB35" w:rsidR="005312E9" w:rsidRPr="00A33264" w:rsidRDefault="005312E9" w:rsidP="005312E9">
      <w:pPr>
        <w:rPr>
          <w:lang w:val="en-GB"/>
        </w:rPr>
      </w:pPr>
      <w:r w:rsidRPr="00A33264">
        <w:rPr>
          <w:lang w:val="en-GB"/>
        </w:rPr>
        <w:t>In the 2024 APS Census, 69% of NDIA staff identified as female, 27% as male and 1% as non-binary. The NDIA Enterprise Agreement 2024</w:t>
      </w:r>
      <w:r w:rsidR="00847308" w:rsidRPr="00A33264">
        <w:rPr>
          <w:lang w:val="en-GB"/>
        </w:rPr>
        <w:t>–</w:t>
      </w:r>
      <w:r w:rsidRPr="00A33264">
        <w:rPr>
          <w:lang w:val="en-GB"/>
        </w:rPr>
        <w:t>27 came into effect in April</w:t>
      </w:r>
      <w:r w:rsidR="00696527">
        <w:rPr>
          <w:lang w:val="en-GB"/>
        </w:rPr>
        <w:t xml:space="preserve"> 2024.</w:t>
      </w:r>
      <w:r w:rsidRPr="00A33264">
        <w:rPr>
          <w:lang w:val="en-GB"/>
        </w:rPr>
        <w:t xml:space="preserve"> </w:t>
      </w:r>
      <w:r w:rsidR="00696527">
        <w:rPr>
          <w:lang w:val="en-GB"/>
        </w:rPr>
        <w:t>It</w:t>
      </w:r>
      <w:r w:rsidRPr="00A33264">
        <w:rPr>
          <w:lang w:val="en-GB"/>
        </w:rPr>
        <w:t xml:space="preserve"> contains enhanced conditions around consistent and secure flexible working arrangements and improved parental leave entitlements. The </w:t>
      </w:r>
      <w:r w:rsidR="00126B30">
        <w:rPr>
          <w:lang w:val="en-GB"/>
        </w:rPr>
        <w:t>NDIA</w:t>
      </w:r>
      <w:r w:rsidR="00126B30" w:rsidRPr="00A33264">
        <w:rPr>
          <w:lang w:val="en-GB"/>
        </w:rPr>
        <w:t xml:space="preserve"> </w:t>
      </w:r>
      <w:r w:rsidRPr="00A33264">
        <w:rPr>
          <w:lang w:val="en-GB"/>
        </w:rPr>
        <w:t>is now working to develop a Gender Equality Inclusion Plan.</w:t>
      </w:r>
    </w:p>
    <w:p w14:paraId="24CAE1A9" w14:textId="5472A270" w:rsidR="005312E9" w:rsidRPr="00A33264" w:rsidRDefault="005312E9" w:rsidP="005312E9">
      <w:pPr>
        <w:rPr>
          <w:lang w:val="en-GB"/>
        </w:rPr>
      </w:pPr>
      <w:r w:rsidRPr="00A33264">
        <w:rPr>
          <w:lang w:val="en-GB"/>
        </w:rPr>
        <w:t xml:space="preserve">Senior Executive Service (SES) </w:t>
      </w:r>
      <w:r w:rsidR="00126B30">
        <w:rPr>
          <w:lang w:val="en-GB"/>
        </w:rPr>
        <w:t>i</w:t>
      </w:r>
      <w:r w:rsidRPr="00A33264">
        <w:rPr>
          <w:lang w:val="en-GB"/>
        </w:rPr>
        <w:t xml:space="preserve">nclusion and </w:t>
      </w:r>
      <w:r w:rsidR="00126B30">
        <w:rPr>
          <w:lang w:val="en-GB"/>
        </w:rPr>
        <w:t>d</w:t>
      </w:r>
      <w:r w:rsidRPr="00A33264">
        <w:rPr>
          <w:lang w:val="en-GB"/>
        </w:rPr>
        <w:t xml:space="preserve">iversity </w:t>
      </w:r>
      <w:r w:rsidR="00126B30">
        <w:rPr>
          <w:lang w:val="en-GB"/>
        </w:rPr>
        <w:t>c</w:t>
      </w:r>
      <w:r w:rsidRPr="00A33264">
        <w:rPr>
          <w:lang w:val="en-GB"/>
        </w:rPr>
        <w:t xml:space="preserve">hampions </w:t>
      </w:r>
      <w:r w:rsidR="00615355" w:rsidRPr="00A33264">
        <w:rPr>
          <w:lang w:val="en-GB"/>
        </w:rPr>
        <w:t xml:space="preserve">and staff </w:t>
      </w:r>
      <w:r w:rsidR="00126B30">
        <w:rPr>
          <w:lang w:val="en-GB"/>
        </w:rPr>
        <w:t xml:space="preserve">diversity </w:t>
      </w:r>
      <w:r w:rsidR="00615355" w:rsidRPr="00A33264">
        <w:rPr>
          <w:lang w:val="en-GB"/>
        </w:rPr>
        <w:t xml:space="preserve">networks </w:t>
      </w:r>
      <w:r w:rsidRPr="00A33264">
        <w:rPr>
          <w:lang w:val="en-GB"/>
        </w:rPr>
        <w:t xml:space="preserve">support our </w:t>
      </w:r>
      <w:r w:rsidR="00615355" w:rsidRPr="00A33264">
        <w:rPr>
          <w:lang w:val="en-GB"/>
        </w:rPr>
        <w:t>inclusion and diversity objectives,</w:t>
      </w:r>
      <w:r w:rsidRPr="00A33264">
        <w:rPr>
          <w:lang w:val="en-GB"/>
        </w:rPr>
        <w:t xml:space="preserve"> plans and initiatives. </w:t>
      </w:r>
      <w:r w:rsidR="00615355" w:rsidRPr="00A33264">
        <w:rPr>
          <w:lang w:val="en-GB"/>
        </w:rPr>
        <w:t>T</w:t>
      </w:r>
      <w:r w:rsidRPr="00A33264">
        <w:rPr>
          <w:lang w:val="en-GB"/>
        </w:rPr>
        <w:t xml:space="preserve">he NDIA has SES </w:t>
      </w:r>
      <w:r w:rsidR="00F231FD">
        <w:rPr>
          <w:lang w:val="en-GB"/>
        </w:rPr>
        <w:t xml:space="preserve">site </w:t>
      </w:r>
      <w:r w:rsidR="00126B30">
        <w:rPr>
          <w:lang w:val="en-GB"/>
        </w:rPr>
        <w:t>c</w:t>
      </w:r>
      <w:r w:rsidRPr="00A33264">
        <w:rPr>
          <w:lang w:val="en-GB"/>
        </w:rPr>
        <w:t>hampion</w:t>
      </w:r>
      <w:r w:rsidR="00615355" w:rsidRPr="00A33264">
        <w:rPr>
          <w:lang w:val="en-GB"/>
        </w:rPr>
        <w:t xml:space="preserve">s and staff networks for staff with disability, First Nations staff, </w:t>
      </w:r>
      <w:r w:rsidRPr="00A33264">
        <w:rPr>
          <w:lang w:val="en-GB"/>
        </w:rPr>
        <w:t xml:space="preserve">LGBTIQA+ </w:t>
      </w:r>
      <w:r w:rsidR="00615355" w:rsidRPr="00A33264">
        <w:rPr>
          <w:lang w:val="en-GB"/>
        </w:rPr>
        <w:t>staff</w:t>
      </w:r>
      <w:r w:rsidRPr="00A33264">
        <w:rPr>
          <w:lang w:val="en-GB"/>
        </w:rPr>
        <w:t xml:space="preserve"> and CALD </w:t>
      </w:r>
      <w:r w:rsidR="00615355" w:rsidRPr="00A33264">
        <w:rPr>
          <w:lang w:val="en-GB"/>
        </w:rPr>
        <w:t>staff</w:t>
      </w:r>
      <w:r w:rsidRPr="00A33264">
        <w:rPr>
          <w:lang w:val="en-GB"/>
        </w:rPr>
        <w:t>.</w:t>
      </w:r>
      <w:r w:rsidR="00615355" w:rsidRPr="00A33264">
        <w:rPr>
          <w:lang w:val="en-GB"/>
        </w:rPr>
        <w:t xml:space="preserve"> The NDIA also has a First Nations </w:t>
      </w:r>
      <w:r w:rsidR="00126B30">
        <w:rPr>
          <w:lang w:val="en-GB"/>
        </w:rPr>
        <w:t>a</w:t>
      </w:r>
      <w:r w:rsidR="00615355" w:rsidRPr="00A33264">
        <w:rPr>
          <w:lang w:val="en-GB"/>
        </w:rPr>
        <w:t xml:space="preserve">llyship </w:t>
      </w:r>
      <w:r w:rsidR="00126B30">
        <w:rPr>
          <w:lang w:val="en-GB"/>
        </w:rPr>
        <w:t>c</w:t>
      </w:r>
      <w:r w:rsidR="00615355" w:rsidRPr="00A33264">
        <w:rPr>
          <w:lang w:val="en-GB"/>
        </w:rPr>
        <w:t xml:space="preserve">hampion. </w:t>
      </w:r>
      <w:r w:rsidR="00126B30">
        <w:rPr>
          <w:lang w:val="en-GB"/>
        </w:rPr>
        <w:t>Our s</w:t>
      </w:r>
      <w:r w:rsidR="00615355" w:rsidRPr="00A33264">
        <w:rPr>
          <w:lang w:val="en-GB"/>
        </w:rPr>
        <w:t>taff</w:t>
      </w:r>
      <w:r w:rsidR="00126B30">
        <w:rPr>
          <w:lang w:val="en-GB"/>
        </w:rPr>
        <w:t xml:space="preserve"> diversity</w:t>
      </w:r>
      <w:r w:rsidR="00615355" w:rsidRPr="00A33264">
        <w:rPr>
          <w:lang w:val="en-GB"/>
        </w:rPr>
        <w:t xml:space="preserve"> networks </w:t>
      </w:r>
      <w:r w:rsidR="00126B30">
        <w:rPr>
          <w:lang w:val="en-GB"/>
        </w:rPr>
        <w:t>provide</w:t>
      </w:r>
      <w:r w:rsidR="00615355" w:rsidRPr="00A33264">
        <w:rPr>
          <w:lang w:val="en-GB"/>
        </w:rPr>
        <w:t xml:space="preserve"> strong representation through the Employees with Disability Network, First Nations Employee Network, Pride@NDIA and HarmonyHub. These networks </w:t>
      </w:r>
      <w:r w:rsidR="00126B30">
        <w:rPr>
          <w:lang w:val="en-GB"/>
        </w:rPr>
        <w:t xml:space="preserve">enable the </w:t>
      </w:r>
      <w:r w:rsidR="00615355" w:rsidRPr="00A33264">
        <w:rPr>
          <w:lang w:val="en-GB"/>
        </w:rPr>
        <w:t>NDIA to engage directly with specific diversity cohorts and receive advice and guidance on creating a more inclusive workplace culture.</w:t>
      </w:r>
    </w:p>
    <w:p w14:paraId="1C8B2F71" w14:textId="40B1B342" w:rsidR="005312E9" w:rsidRPr="00A33264" w:rsidRDefault="005312E9" w:rsidP="005312E9">
      <w:pPr>
        <w:rPr>
          <w:lang w:val="en-GB"/>
        </w:rPr>
      </w:pPr>
      <w:r w:rsidRPr="00A33264">
        <w:rPr>
          <w:lang w:val="en-GB"/>
        </w:rPr>
        <w:t>The NDIA continues to hold membership of national not-for-profit organisations to support our inclusion initiatives</w:t>
      </w:r>
      <w:r w:rsidR="00126B30">
        <w:rPr>
          <w:lang w:val="en-GB"/>
        </w:rPr>
        <w:t>.</w:t>
      </w:r>
      <w:r w:rsidRPr="00A33264">
        <w:rPr>
          <w:lang w:val="en-GB"/>
        </w:rPr>
        <w:t xml:space="preserve"> </w:t>
      </w:r>
      <w:r w:rsidR="00126B30">
        <w:rPr>
          <w:lang w:val="en-GB"/>
        </w:rPr>
        <w:t>These include</w:t>
      </w:r>
      <w:r w:rsidRPr="00A33264">
        <w:rPr>
          <w:lang w:val="en-GB"/>
        </w:rPr>
        <w:t xml:space="preserve"> the Australian Disability Network, the Diversity Council of Australia and ACON Pride in Diversity.</w:t>
      </w:r>
    </w:p>
    <w:p w14:paraId="22A7D0BA" w14:textId="62FBEE07" w:rsidR="005312E9" w:rsidRPr="00A33264" w:rsidRDefault="005312E9" w:rsidP="005312E9">
      <w:pPr>
        <w:rPr>
          <w:lang w:val="en-GB"/>
        </w:rPr>
      </w:pPr>
      <w:r w:rsidRPr="00A33264">
        <w:rPr>
          <w:lang w:val="en-GB"/>
        </w:rPr>
        <w:lastRenderedPageBreak/>
        <w:t xml:space="preserve">The NDIA acknowledges and celebrates significant diversity awareness dates. </w:t>
      </w:r>
      <w:r w:rsidR="00126B30">
        <w:rPr>
          <w:lang w:val="en-GB"/>
        </w:rPr>
        <w:t>In 2023</w:t>
      </w:r>
      <w:r w:rsidR="00F231FD">
        <w:rPr>
          <w:rFonts w:ascii="Symbol" w:eastAsia="Symbol" w:hAnsi="Symbol" w:cs="Symbol"/>
          <w:lang w:val="en-GB"/>
        </w:rPr>
        <w:sym w:font="Symbol" w:char="F02D"/>
      </w:r>
      <w:r w:rsidR="00126B30">
        <w:rPr>
          <w:lang w:val="en-GB"/>
        </w:rPr>
        <w:t>24 we</w:t>
      </w:r>
      <w:r w:rsidRPr="00A33264">
        <w:rPr>
          <w:lang w:val="en-GB"/>
        </w:rPr>
        <w:t xml:space="preserve"> continued</w:t>
      </w:r>
      <w:r w:rsidR="00126B30">
        <w:rPr>
          <w:lang w:val="en-GB"/>
        </w:rPr>
        <w:t xml:space="preserve"> to</w:t>
      </w:r>
      <w:r w:rsidRPr="00A33264">
        <w:rPr>
          <w:lang w:val="en-GB"/>
        </w:rPr>
        <w:t xml:space="preserve"> focus on promoting stories from staff </w:t>
      </w:r>
      <w:r w:rsidR="00F231FD">
        <w:rPr>
          <w:lang w:val="en-GB"/>
        </w:rPr>
        <w:t xml:space="preserve">who </w:t>
      </w:r>
      <w:r w:rsidRPr="00A33264">
        <w:rPr>
          <w:lang w:val="en-GB"/>
        </w:rPr>
        <w:t xml:space="preserve">represent </w:t>
      </w:r>
      <w:r w:rsidR="00F231FD">
        <w:rPr>
          <w:lang w:val="en-GB"/>
        </w:rPr>
        <w:t xml:space="preserve">our </w:t>
      </w:r>
      <w:r w:rsidRPr="00A33264">
        <w:rPr>
          <w:lang w:val="en-GB"/>
        </w:rPr>
        <w:t xml:space="preserve">wide diversity and intersectionality </w:t>
      </w:r>
      <w:r w:rsidR="00F231FD">
        <w:rPr>
          <w:lang w:val="en-GB"/>
        </w:rPr>
        <w:t>so that they can</w:t>
      </w:r>
      <w:r w:rsidRPr="00A33264">
        <w:rPr>
          <w:lang w:val="en-GB"/>
        </w:rPr>
        <w:t xml:space="preserve"> share their stories and lived experience. The </w:t>
      </w:r>
      <w:r w:rsidR="00126B30">
        <w:rPr>
          <w:lang w:val="en-GB"/>
        </w:rPr>
        <w:t>NDIA</w:t>
      </w:r>
      <w:r w:rsidRPr="00A33264">
        <w:rPr>
          <w:lang w:val="en-GB"/>
        </w:rPr>
        <w:t xml:space="preserve"> also held successful virtual panel events to celebrate several significant dates</w:t>
      </w:r>
      <w:r w:rsidR="00847308" w:rsidRPr="00A33264">
        <w:rPr>
          <w:lang w:val="en-GB"/>
        </w:rPr>
        <w:t>,</w:t>
      </w:r>
      <w:r w:rsidRPr="00A33264">
        <w:rPr>
          <w:lang w:val="en-GB"/>
        </w:rPr>
        <w:t xml:space="preserve"> including International Day of People with Disability, International Women’s Day and Global Day of Accessibility.</w:t>
      </w:r>
    </w:p>
    <w:p w14:paraId="4D17E52E" w14:textId="77CAE87A" w:rsidR="005312E9" w:rsidRPr="00A33264" w:rsidRDefault="005312E9" w:rsidP="005312E9">
      <w:pPr>
        <w:pStyle w:val="Heading4"/>
        <w:rPr>
          <w:lang w:val="en-GB"/>
        </w:rPr>
      </w:pPr>
      <w:r w:rsidRPr="00A33264">
        <w:rPr>
          <w:lang w:val="en-GB"/>
        </w:rPr>
        <w:t>Performance management</w:t>
      </w:r>
    </w:p>
    <w:p w14:paraId="28BFF8D8" w14:textId="63E74949" w:rsidR="005312E9" w:rsidRPr="00A33264" w:rsidRDefault="005312E9" w:rsidP="005312E9">
      <w:pPr>
        <w:rPr>
          <w:lang w:val="en-GB"/>
        </w:rPr>
      </w:pPr>
      <w:r w:rsidRPr="00A33264">
        <w:rPr>
          <w:lang w:val="en-GB"/>
        </w:rPr>
        <w:t>The NDIA has embedded a</w:t>
      </w:r>
      <w:r w:rsidR="00847308" w:rsidRPr="00A33264">
        <w:rPr>
          <w:lang w:val="en-GB"/>
        </w:rPr>
        <w:t>n</w:t>
      </w:r>
      <w:r w:rsidRPr="00A33264">
        <w:rPr>
          <w:lang w:val="en-GB"/>
        </w:rPr>
        <w:t xml:space="preserve"> approach to performance development that supports flexibility and agility in </w:t>
      </w:r>
      <w:r w:rsidR="00126B30">
        <w:rPr>
          <w:lang w:val="en-GB"/>
        </w:rPr>
        <w:t>our</w:t>
      </w:r>
      <w:r w:rsidRPr="00A33264">
        <w:rPr>
          <w:lang w:val="en-GB"/>
        </w:rPr>
        <w:t xml:space="preserve"> workforce.</w:t>
      </w:r>
    </w:p>
    <w:p w14:paraId="6DB10605" w14:textId="3AF350DC" w:rsidR="005312E9" w:rsidRPr="00A33264" w:rsidRDefault="005312E9" w:rsidP="005312E9">
      <w:pPr>
        <w:rPr>
          <w:lang w:val="en-GB"/>
        </w:rPr>
      </w:pPr>
      <w:r w:rsidRPr="00A33264">
        <w:rPr>
          <w:lang w:val="en-GB"/>
        </w:rPr>
        <w:t xml:space="preserve">The NDIA Performance Framework assists staff </w:t>
      </w:r>
      <w:r w:rsidR="00847308" w:rsidRPr="00A33264">
        <w:rPr>
          <w:lang w:val="en-GB"/>
        </w:rPr>
        <w:t>to</w:t>
      </w:r>
      <w:r w:rsidRPr="00A33264">
        <w:rPr>
          <w:lang w:val="en-GB"/>
        </w:rPr>
        <w:t xml:space="preserve"> align their individual performance </w:t>
      </w:r>
      <w:r w:rsidR="00847308" w:rsidRPr="00A33264">
        <w:rPr>
          <w:lang w:val="en-GB"/>
        </w:rPr>
        <w:t>plans</w:t>
      </w:r>
      <w:r w:rsidRPr="00A33264">
        <w:rPr>
          <w:lang w:val="en-GB"/>
        </w:rPr>
        <w:t xml:space="preserve"> with </w:t>
      </w:r>
      <w:r w:rsidR="00126B30">
        <w:rPr>
          <w:lang w:val="en-GB"/>
        </w:rPr>
        <w:t>our</w:t>
      </w:r>
      <w:r w:rsidRPr="00A33264">
        <w:rPr>
          <w:lang w:val="en-GB"/>
        </w:rPr>
        <w:t xml:space="preserve"> performance and values-based culture.</w:t>
      </w:r>
    </w:p>
    <w:p w14:paraId="6B9EA855" w14:textId="698E751F" w:rsidR="00D7463A" w:rsidRPr="00A33264" w:rsidRDefault="005312E9" w:rsidP="005312E9">
      <w:pPr>
        <w:rPr>
          <w:lang w:val="en-GB"/>
        </w:rPr>
      </w:pPr>
      <w:r w:rsidRPr="00A33264">
        <w:rPr>
          <w:lang w:val="en-GB"/>
        </w:rPr>
        <w:t xml:space="preserve">The NDIA continues to embed </w:t>
      </w:r>
      <w:r w:rsidR="00847308" w:rsidRPr="00A33264">
        <w:rPr>
          <w:lang w:val="en-GB"/>
        </w:rPr>
        <w:t>a</w:t>
      </w:r>
      <w:r w:rsidRPr="00A33264">
        <w:rPr>
          <w:lang w:val="en-GB"/>
        </w:rPr>
        <w:t xml:space="preserve"> focus on developing employee performance to ensure we are a high-performing </w:t>
      </w:r>
      <w:r w:rsidR="00126B30">
        <w:rPr>
          <w:lang w:val="en-GB"/>
        </w:rPr>
        <w:t xml:space="preserve">organisation </w:t>
      </w:r>
      <w:r w:rsidRPr="00A33264">
        <w:rPr>
          <w:lang w:val="en-GB"/>
        </w:rPr>
        <w:t>that delivers great outcomes fo</w:t>
      </w:r>
      <w:r w:rsidR="00847308" w:rsidRPr="00A33264">
        <w:rPr>
          <w:lang w:val="en-GB"/>
        </w:rPr>
        <w:t>r</w:t>
      </w:r>
      <w:r w:rsidRPr="00A33264">
        <w:rPr>
          <w:lang w:val="en-GB"/>
        </w:rPr>
        <w:t xml:space="preserve"> participants and stakeholders. No performance</w:t>
      </w:r>
      <w:r w:rsidR="009E5CFF">
        <w:rPr>
          <w:lang w:val="en-GB"/>
        </w:rPr>
        <w:t xml:space="preserve"> </w:t>
      </w:r>
      <w:r w:rsidRPr="00A33264">
        <w:rPr>
          <w:lang w:val="en-GB"/>
        </w:rPr>
        <w:t>pay arrangements apply.</w:t>
      </w:r>
    </w:p>
    <w:p w14:paraId="58CDE8E5" w14:textId="1029939F" w:rsidR="005312E9" w:rsidRPr="00A33264" w:rsidRDefault="005312E9" w:rsidP="005312E9">
      <w:pPr>
        <w:pStyle w:val="Heading4"/>
        <w:rPr>
          <w:lang w:val="en-GB"/>
        </w:rPr>
      </w:pPr>
      <w:r w:rsidRPr="00A33264">
        <w:rPr>
          <w:lang w:val="en-GB"/>
        </w:rPr>
        <w:t>Ethics policies</w:t>
      </w:r>
    </w:p>
    <w:p w14:paraId="1404B604" w14:textId="63F6F02F" w:rsidR="00D20352" w:rsidRPr="00A33264" w:rsidRDefault="00D20352" w:rsidP="00D20352">
      <w:pPr>
        <w:rPr>
          <w:lang w:val="en-GB"/>
        </w:rPr>
      </w:pPr>
      <w:r w:rsidRPr="00A33264">
        <w:rPr>
          <w:lang w:val="en-GB"/>
        </w:rPr>
        <w:t xml:space="preserve">The NDIA promotes ethical standards and behaviours relating to its workplaces and employment. All NDIA staff are required to comply with the APS Values, APS Employment Principles and APS Code of Conduct as set out in the </w:t>
      </w:r>
      <w:r w:rsidRPr="00F86FC3">
        <w:rPr>
          <w:i/>
          <w:lang w:val="en-GB"/>
        </w:rPr>
        <w:t>Public Service Act 1999</w:t>
      </w:r>
      <w:r w:rsidRPr="00A33264">
        <w:rPr>
          <w:lang w:val="en-GB"/>
        </w:rPr>
        <w:t xml:space="preserve">. </w:t>
      </w:r>
      <w:r w:rsidR="00126B30">
        <w:rPr>
          <w:lang w:val="en-GB"/>
        </w:rPr>
        <w:t>T</w:t>
      </w:r>
      <w:r w:rsidRPr="00A33264">
        <w:rPr>
          <w:lang w:val="en-GB"/>
        </w:rPr>
        <w:t>he NDIA Values set out our organisational values and reflect our passion for and commitment to an empowered, inclusive and participant-centred culture.</w:t>
      </w:r>
    </w:p>
    <w:p w14:paraId="13C76A42" w14:textId="467B8B52" w:rsidR="00D20352" w:rsidRPr="00A33264" w:rsidRDefault="00126B30" w:rsidP="00D20352">
      <w:pPr>
        <w:rPr>
          <w:lang w:val="en-GB"/>
        </w:rPr>
      </w:pPr>
      <w:r>
        <w:rPr>
          <w:lang w:val="en-GB"/>
        </w:rPr>
        <w:t>Through the Safe and Respectful Workplace Framework, t</w:t>
      </w:r>
      <w:r w:rsidR="00D20352" w:rsidRPr="00A33264">
        <w:rPr>
          <w:lang w:val="en-GB"/>
        </w:rPr>
        <w:t>he NDIA is committed to creating and maintaining a positive and inclusive workplace where everyone is safe, treated fairly and respectfully, and supported to speak up. The NDIA has zero tolerance for unacceptable behaviour, including all forms of bullying, harassment, sexual harassment, discrimination, violence, aggression and victimisation at the workplace or in connection with work. The NDIA has measures in place to prevent, address, report and respond to unacceptable behaviour, and supports are available to all NDIA workers impacted by unacceptable behaviour.</w:t>
      </w:r>
    </w:p>
    <w:p w14:paraId="64441F4B" w14:textId="53E7D280" w:rsidR="00F23525" w:rsidRDefault="00D20352" w:rsidP="00D20352">
      <w:pPr>
        <w:rPr>
          <w:lang w:val="en-GB"/>
        </w:rPr>
      </w:pPr>
      <w:r w:rsidRPr="00A33264">
        <w:rPr>
          <w:lang w:val="en-GB"/>
        </w:rPr>
        <w:t xml:space="preserve">All NDIA workers have an obligation to contribute to our safe and respectful culture. To </w:t>
      </w:r>
      <w:r w:rsidR="00126B30">
        <w:rPr>
          <w:lang w:val="en-GB"/>
        </w:rPr>
        <w:t>help employees understand their obligations</w:t>
      </w:r>
      <w:r w:rsidRPr="00A33264">
        <w:rPr>
          <w:lang w:val="en-GB"/>
        </w:rPr>
        <w:t>, the NDIA provides compulsory training programs, staff policies and guidelines. Possible breaches of the Code of Conduct are taken seriously, and appropriate action is taken when breaches occur. Managers and staff have access to a range of supports</w:t>
      </w:r>
      <w:r w:rsidR="00F231FD">
        <w:rPr>
          <w:lang w:val="en-GB"/>
        </w:rPr>
        <w:t>,</w:t>
      </w:r>
      <w:r w:rsidRPr="00A33264">
        <w:rPr>
          <w:lang w:val="en-GB"/>
        </w:rPr>
        <w:t xml:space="preserve"> including contact officers and Early Intervention and Safe and Respectful teams.</w:t>
      </w:r>
      <w:r w:rsidR="00F23525">
        <w:rPr>
          <w:lang w:val="en-GB"/>
        </w:rPr>
        <w:br w:type="page"/>
      </w:r>
    </w:p>
    <w:p w14:paraId="22B74354" w14:textId="318960BD" w:rsidR="00D7463A" w:rsidRPr="00A33264" w:rsidRDefault="00D7463A" w:rsidP="00D7463A">
      <w:pPr>
        <w:pStyle w:val="Heading3"/>
        <w:rPr>
          <w:lang w:val="en-GB"/>
        </w:rPr>
      </w:pPr>
      <w:bookmarkStart w:id="318" w:name="_Toc169592984"/>
      <w:bookmarkStart w:id="319" w:name="_Toc174354203"/>
      <w:bookmarkStart w:id="320" w:name="_Toc175316907"/>
      <w:bookmarkStart w:id="321" w:name="_Toc176786398"/>
      <w:bookmarkStart w:id="322" w:name="_Toc180505680"/>
      <w:r w:rsidRPr="00A33264">
        <w:rPr>
          <w:lang w:val="en-GB"/>
        </w:rPr>
        <w:lastRenderedPageBreak/>
        <w:t>Staff engagement</w:t>
      </w:r>
      <w:bookmarkEnd w:id="318"/>
      <w:bookmarkEnd w:id="319"/>
      <w:bookmarkEnd w:id="320"/>
      <w:bookmarkEnd w:id="321"/>
      <w:bookmarkEnd w:id="322"/>
    </w:p>
    <w:p w14:paraId="47743094" w14:textId="6E140EA1" w:rsidR="00E31719" w:rsidRPr="00E31719" w:rsidRDefault="00E31719" w:rsidP="00E31719">
      <w:pPr>
        <w:rPr>
          <w:lang w:val="en-GB"/>
        </w:rPr>
      </w:pPr>
      <w:r w:rsidRPr="00E31719">
        <w:rPr>
          <w:lang w:val="en-GB"/>
        </w:rPr>
        <w:t>The NDIA prioritises staff engagement to drive higher performance.</w:t>
      </w:r>
    </w:p>
    <w:p w14:paraId="72C368A2" w14:textId="397D7669" w:rsidR="00F95902" w:rsidRPr="00A33264" w:rsidRDefault="00E31719" w:rsidP="00E31719">
      <w:pPr>
        <w:rPr>
          <w:lang w:val="en-GB"/>
        </w:rPr>
      </w:pPr>
      <w:r w:rsidRPr="00E31719">
        <w:rPr>
          <w:lang w:val="en-GB"/>
        </w:rPr>
        <w:t>In the 2024 APS Census, 94% of staff</w:t>
      </w:r>
      <w:r w:rsidR="00F231FD">
        <w:rPr>
          <w:lang w:val="en-GB"/>
        </w:rPr>
        <w:t xml:space="preserve"> gave a</w:t>
      </w:r>
      <w:r w:rsidRPr="00E31719">
        <w:rPr>
          <w:lang w:val="en-GB"/>
        </w:rPr>
        <w:t xml:space="preserve"> positive respon</w:t>
      </w:r>
      <w:r w:rsidR="00F231FD">
        <w:rPr>
          <w:lang w:val="en-GB"/>
        </w:rPr>
        <w:t>se</w:t>
      </w:r>
      <w:r w:rsidRPr="00E31719">
        <w:rPr>
          <w:lang w:val="en-GB"/>
        </w:rPr>
        <w:t xml:space="preserve"> to </w:t>
      </w:r>
      <w:r w:rsidR="00F231FD">
        <w:rPr>
          <w:lang w:val="en-GB"/>
        </w:rPr>
        <w:t xml:space="preserve">the question about whether they </w:t>
      </w:r>
      <w:r w:rsidRPr="00E31719">
        <w:rPr>
          <w:lang w:val="en-GB"/>
        </w:rPr>
        <w:t>understand how their role contributes to outcomes for the Australian public. Additionally, 95% acknowledged that their work makes a difference for people with disability</w:t>
      </w:r>
      <w:r w:rsidR="00F231FD">
        <w:rPr>
          <w:lang w:val="en-GB"/>
        </w:rPr>
        <w:t xml:space="preserve"> and</w:t>
      </w:r>
      <w:r w:rsidRPr="00E31719">
        <w:rPr>
          <w:lang w:val="en-GB"/>
        </w:rPr>
        <w:t xml:space="preserve"> their families, and carers. These results demonstrate NDIA staff are highly engaged with the </w:t>
      </w:r>
      <w:r w:rsidR="00CA5D3C">
        <w:rPr>
          <w:lang w:val="en-GB"/>
        </w:rPr>
        <w:t>NDIA</w:t>
      </w:r>
      <w:r w:rsidR="0072484B">
        <w:rPr>
          <w:lang w:val="en-GB"/>
        </w:rPr>
        <w:t>’</w:t>
      </w:r>
      <w:r w:rsidRPr="00E31719">
        <w:rPr>
          <w:lang w:val="en-GB"/>
        </w:rPr>
        <w:t>s values and mission.</w:t>
      </w:r>
    </w:p>
    <w:p w14:paraId="278401FB" w14:textId="489F042D" w:rsidR="004E5CA0" w:rsidRDefault="00F23CCF" w:rsidP="00F95902">
      <w:pPr>
        <w:rPr>
          <w:lang w:val="en-GB"/>
        </w:rPr>
      </w:pPr>
      <w:r>
        <w:rPr>
          <w:lang w:val="en-GB"/>
        </w:rPr>
        <w:t>There was</w:t>
      </w:r>
      <w:r w:rsidR="00F95902" w:rsidRPr="00A33264">
        <w:rPr>
          <w:lang w:val="en-GB"/>
        </w:rPr>
        <w:t xml:space="preserve"> an 83% response rate</w:t>
      </w:r>
      <w:r>
        <w:rPr>
          <w:lang w:val="en-GB"/>
        </w:rPr>
        <w:t xml:space="preserve"> in the </w:t>
      </w:r>
      <w:r w:rsidR="00F231FD">
        <w:rPr>
          <w:lang w:val="en-GB"/>
        </w:rPr>
        <w:t>C</w:t>
      </w:r>
      <w:r>
        <w:rPr>
          <w:lang w:val="en-GB"/>
        </w:rPr>
        <w:t>ens</w:t>
      </w:r>
      <w:r w:rsidR="0083276D">
        <w:rPr>
          <w:lang w:val="en-GB"/>
        </w:rPr>
        <w:t>u</w:t>
      </w:r>
      <w:r>
        <w:rPr>
          <w:lang w:val="en-GB"/>
        </w:rPr>
        <w:t>s</w:t>
      </w:r>
      <w:r w:rsidR="00F95902" w:rsidRPr="00A33264">
        <w:rPr>
          <w:lang w:val="en-GB"/>
        </w:rPr>
        <w:t xml:space="preserve">, with 7,358 of </w:t>
      </w:r>
      <w:r>
        <w:rPr>
          <w:lang w:val="en-GB"/>
        </w:rPr>
        <w:t>the NDIA</w:t>
      </w:r>
      <w:r w:rsidR="00F95902" w:rsidRPr="00A33264">
        <w:rPr>
          <w:lang w:val="en-GB"/>
        </w:rPr>
        <w:t xml:space="preserve"> workforce (APS employees and labour</w:t>
      </w:r>
      <w:r w:rsidR="00B70070">
        <w:rPr>
          <w:lang w:val="en-GB"/>
        </w:rPr>
        <w:t xml:space="preserve"> </w:t>
      </w:r>
      <w:r w:rsidR="00F95902" w:rsidRPr="00A33264">
        <w:rPr>
          <w:lang w:val="en-GB"/>
        </w:rPr>
        <w:t xml:space="preserve">hire workers, excluding </w:t>
      </w:r>
      <w:r w:rsidR="0072484B">
        <w:rPr>
          <w:lang w:val="en-GB"/>
        </w:rPr>
        <w:t>p</w:t>
      </w:r>
      <w:r w:rsidR="00F231FD">
        <w:rPr>
          <w:lang w:val="en-GB"/>
        </w:rPr>
        <w:t>artners in the community</w:t>
      </w:r>
      <w:r w:rsidR="00F95902" w:rsidRPr="00A33264">
        <w:rPr>
          <w:lang w:val="en-GB"/>
        </w:rPr>
        <w:t xml:space="preserve"> staff) participating</w:t>
      </w:r>
      <w:r w:rsidR="00F231FD">
        <w:rPr>
          <w:lang w:val="en-GB"/>
        </w:rPr>
        <w:t>:</w:t>
      </w:r>
    </w:p>
    <w:p w14:paraId="4D92034A" w14:textId="53762FC5" w:rsidR="00F95902" w:rsidRPr="00A33264" w:rsidRDefault="00F95902" w:rsidP="00F86FC3">
      <w:pPr>
        <w:pStyle w:val="Bullet1"/>
        <w:rPr>
          <w:lang w:val="en-GB"/>
        </w:rPr>
      </w:pPr>
      <w:r w:rsidRPr="00A33264">
        <w:rPr>
          <w:lang w:val="en-GB"/>
        </w:rPr>
        <w:t xml:space="preserve">The NDIA Engagement Index, which measures staff job satisfaction and commitment to </w:t>
      </w:r>
      <w:r w:rsidR="00F23CCF">
        <w:rPr>
          <w:lang w:val="en-GB"/>
        </w:rPr>
        <w:t>the</w:t>
      </w:r>
      <w:r w:rsidRPr="00A33264">
        <w:rPr>
          <w:lang w:val="en-GB"/>
        </w:rPr>
        <w:t xml:space="preserve"> organisation, remained steady from 2023 at 77%</w:t>
      </w:r>
      <w:r w:rsidR="00F231FD">
        <w:rPr>
          <w:lang w:val="en-GB"/>
        </w:rPr>
        <w:t xml:space="preserve"> </w:t>
      </w:r>
      <w:r w:rsidR="00F231FD">
        <w:rPr>
          <w:rFonts w:ascii="Symbol" w:eastAsia="Symbol" w:hAnsi="Symbol" w:cs="Symbol"/>
          <w:lang w:val="en-GB"/>
        </w:rPr>
        <w:sym w:font="Symbol" w:char="F02D"/>
      </w:r>
      <w:r w:rsidR="00F231FD">
        <w:rPr>
          <w:lang w:val="en-GB"/>
        </w:rPr>
        <w:t xml:space="preserve"> </w:t>
      </w:r>
      <w:r w:rsidRPr="00A33264">
        <w:rPr>
          <w:lang w:val="en-GB"/>
        </w:rPr>
        <w:t>3% higher than the APS average.</w:t>
      </w:r>
    </w:p>
    <w:p w14:paraId="75951235" w14:textId="7813751A" w:rsidR="00F95902" w:rsidRPr="00A33264" w:rsidRDefault="00F95902" w:rsidP="00F86FC3">
      <w:pPr>
        <w:pStyle w:val="Bullet1"/>
        <w:rPr>
          <w:lang w:val="en-GB"/>
        </w:rPr>
      </w:pPr>
      <w:r w:rsidRPr="00A33264">
        <w:rPr>
          <w:lang w:val="en-GB"/>
        </w:rPr>
        <w:t>The Wellbeing Index measures staff perceptions of how much the NDIA and immediate supervisors care about staff health and wellbeing. This increased from 73% in 2023 to 75% in 2024</w:t>
      </w:r>
      <w:r w:rsidR="00F231FD">
        <w:rPr>
          <w:lang w:val="en-GB"/>
        </w:rPr>
        <w:t xml:space="preserve"> </w:t>
      </w:r>
      <w:r w:rsidR="00F231FD">
        <w:rPr>
          <w:rFonts w:ascii="Symbol" w:eastAsia="Symbol" w:hAnsi="Symbol" w:cs="Symbol"/>
          <w:lang w:val="en-GB"/>
        </w:rPr>
        <w:sym w:font="Symbol" w:char="F02D"/>
      </w:r>
      <w:r w:rsidR="00F231FD">
        <w:rPr>
          <w:lang w:val="en-GB"/>
        </w:rPr>
        <w:t xml:space="preserve"> </w:t>
      </w:r>
      <w:r w:rsidRPr="00A33264">
        <w:rPr>
          <w:lang w:val="en-GB"/>
        </w:rPr>
        <w:t>5% higher than the APS average</w:t>
      </w:r>
      <w:r w:rsidR="00847308" w:rsidRPr="00A33264">
        <w:rPr>
          <w:lang w:val="en-GB"/>
        </w:rPr>
        <w:t>.</w:t>
      </w:r>
    </w:p>
    <w:p w14:paraId="5DE28283" w14:textId="266F8036" w:rsidR="00CC0774" w:rsidRPr="00A33264" w:rsidRDefault="00CC0774" w:rsidP="00CC0774">
      <w:pPr>
        <w:rPr>
          <w:lang w:val="en-GB"/>
        </w:rPr>
      </w:pPr>
      <w:r w:rsidRPr="00A33264">
        <w:rPr>
          <w:lang w:val="en-GB"/>
        </w:rPr>
        <w:t xml:space="preserve">The NDIA identified 11 initiatives in </w:t>
      </w:r>
      <w:r w:rsidR="00F23CCF">
        <w:rPr>
          <w:lang w:val="en-GB"/>
        </w:rPr>
        <w:t>its</w:t>
      </w:r>
      <w:r w:rsidR="00F23CCF" w:rsidRPr="00A33264">
        <w:rPr>
          <w:lang w:val="en-GB"/>
        </w:rPr>
        <w:t xml:space="preserve"> </w:t>
      </w:r>
      <w:r w:rsidRPr="00A33264">
        <w:rPr>
          <w:lang w:val="en-GB"/>
        </w:rPr>
        <w:t xml:space="preserve">2023 Agency Action Plan, focused on improving the experience of NDIA employees, strengthening our workforce diversity and representing the community we serve to enhance our service to participants. </w:t>
      </w:r>
    </w:p>
    <w:p w14:paraId="55B5B979" w14:textId="0E3D2A21" w:rsidR="00CC0774" w:rsidRPr="00A33264" w:rsidRDefault="00CC0774" w:rsidP="00CC0774">
      <w:pPr>
        <w:rPr>
          <w:rFonts w:cs="Arial"/>
          <w:lang w:val="en-GB"/>
        </w:rPr>
      </w:pPr>
      <w:r w:rsidRPr="00A33264">
        <w:rPr>
          <w:lang w:val="en-GB"/>
        </w:rPr>
        <w:t xml:space="preserve">The Office of Agency Accessibility and </w:t>
      </w:r>
      <w:r w:rsidR="00DC1876" w:rsidRPr="00A33264">
        <w:rPr>
          <w:lang w:val="en-GB"/>
        </w:rPr>
        <w:t>Inclusion</w:t>
      </w:r>
      <w:r w:rsidR="00DC1876">
        <w:t xml:space="preserve"> – </w:t>
      </w:r>
      <w:r w:rsidR="00DC1876">
        <w:rPr>
          <w:lang w:val="en-GB"/>
        </w:rPr>
        <w:t>an</w:t>
      </w:r>
      <w:r w:rsidR="00F231FD">
        <w:rPr>
          <w:lang w:val="en-GB"/>
        </w:rPr>
        <w:t xml:space="preserve"> initiative arising from the Agency Action </w:t>
      </w:r>
      <w:r w:rsidR="00617F5E">
        <w:rPr>
          <w:lang w:val="en-GB"/>
        </w:rPr>
        <w:t>Plan</w:t>
      </w:r>
      <w:r w:rsidR="00617F5E">
        <w:t xml:space="preserve"> – </w:t>
      </w:r>
      <w:r w:rsidR="00617F5E" w:rsidRPr="00A33264">
        <w:rPr>
          <w:lang w:val="en-GB"/>
        </w:rPr>
        <w:t>was</w:t>
      </w:r>
      <w:r w:rsidRPr="00A33264">
        <w:rPr>
          <w:lang w:val="en-GB"/>
        </w:rPr>
        <w:t xml:space="preserve"> established in January 2024. </w:t>
      </w:r>
      <w:r w:rsidRPr="00A33264">
        <w:rPr>
          <w:rFonts w:cs="Arial"/>
          <w:lang w:val="en-GB"/>
        </w:rPr>
        <w:t xml:space="preserve">The </w:t>
      </w:r>
      <w:r w:rsidR="00F231FD">
        <w:rPr>
          <w:rFonts w:cs="Arial"/>
          <w:lang w:val="en-GB"/>
        </w:rPr>
        <w:t>office</w:t>
      </w:r>
      <w:r w:rsidR="00F231FD" w:rsidRPr="00A33264">
        <w:rPr>
          <w:rFonts w:cs="Arial"/>
          <w:lang w:val="en-GB"/>
        </w:rPr>
        <w:t xml:space="preserve"> </w:t>
      </w:r>
      <w:r w:rsidRPr="00A33264">
        <w:rPr>
          <w:rFonts w:cs="Arial"/>
          <w:lang w:val="en-GB"/>
        </w:rPr>
        <w:t>is responsible for driving improved accessibility and inclusion for all staff through our systems, processes and staff supports.</w:t>
      </w:r>
    </w:p>
    <w:p w14:paraId="379947A6" w14:textId="54BA8846" w:rsidR="00CC0774" w:rsidRPr="00A33264" w:rsidRDefault="00F23CCF" w:rsidP="00CC0774">
      <w:pPr>
        <w:rPr>
          <w:rFonts w:cs="Arial"/>
          <w:lang w:val="en-GB"/>
        </w:rPr>
      </w:pPr>
      <w:r>
        <w:rPr>
          <w:lang w:val="en-GB"/>
        </w:rPr>
        <w:t>In 2023–24 t</w:t>
      </w:r>
      <w:r w:rsidR="00CC0774" w:rsidRPr="00A33264">
        <w:rPr>
          <w:lang w:val="en-GB"/>
        </w:rPr>
        <w:t xml:space="preserve">he </w:t>
      </w:r>
      <w:r>
        <w:rPr>
          <w:lang w:val="en-GB"/>
        </w:rPr>
        <w:t>NDIA</w:t>
      </w:r>
      <w:r w:rsidR="00CC0774" w:rsidRPr="00A33264">
        <w:rPr>
          <w:lang w:val="en-GB"/>
        </w:rPr>
        <w:t xml:space="preserve"> completed an </w:t>
      </w:r>
      <w:r w:rsidR="00CC0774" w:rsidRPr="00A33264">
        <w:rPr>
          <w:rFonts w:cs="Arial"/>
          <w:lang w:val="en-GB"/>
        </w:rPr>
        <w:t>independent safety and security review to make sure we have the right arrangements to keep our staff safe and secure at work. Our focus is now shifting to developing actions to deliver on the recommendations.</w:t>
      </w:r>
    </w:p>
    <w:p w14:paraId="044E33B7" w14:textId="42B0985C" w:rsidR="00D7463A" w:rsidRPr="00A33264" w:rsidRDefault="00D7463A" w:rsidP="00D7463A">
      <w:pPr>
        <w:pStyle w:val="Heading3"/>
        <w:rPr>
          <w:lang w:val="en-GB"/>
        </w:rPr>
      </w:pPr>
      <w:bookmarkStart w:id="323" w:name="_Toc169592985"/>
      <w:bookmarkStart w:id="324" w:name="_Toc174354204"/>
      <w:bookmarkStart w:id="325" w:name="_Toc175316908"/>
      <w:bookmarkStart w:id="326" w:name="_Toc176786399"/>
      <w:bookmarkStart w:id="327" w:name="_Toc180505681"/>
      <w:r w:rsidRPr="00A33264">
        <w:rPr>
          <w:lang w:val="en-GB"/>
        </w:rPr>
        <w:t>Risk management</w:t>
      </w:r>
      <w:bookmarkEnd w:id="323"/>
      <w:bookmarkEnd w:id="324"/>
      <w:bookmarkEnd w:id="325"/>
      <w:bookmarkEnd w:id="326"/>
      <w:bookmarkEnd w:id="327"/>
    </w:p>
    <w:p w14:paraId="66F52920" w14:textId="5EE27FB1" w:rsidR="0059516F" w:rsidRPr="00A33264" w:rsidRDefault="0059516F" w:rsidP="0059516F">
      <w:pPr>
        <w:rPr>
          <w:lang w:val="en-GB"/>
        </w:rPr>
      </w:pPr>
      <w:r w:rsidRPr="00A33264">
        <w:rPr>
          <w:lang w:val="en-GB"/>
        </w:rPr>
        <w:t xml:space="preserve">The NDIA has a structured approach to identifying, managing, escalating and communicating key risks. This is critical to the effective and efficient delivery of the </w:t>
      </w:r>
      <w:r w:rsidR="00CA5D3C">
        <w:rPr>
          <w:lang w:val="en-GB"/>
        </w:rPr>
        <w:t>NDIS</w:t>
      </w:r>
      <w:r w:rsidRPr="00A33264">
        <w:rPr>
          <w:lang w:val="en-GB"/>
        </w:rPr>
        <w:t xml:space="preserve">. In February 2024 the Ministerial Council approved the NDIA’s </w:t>
      </w:r>
      <w:r w:rsidR="0003446B">
        <w:rPr>
          <w:lang w:val="en-GB"/>
        </w:rPr>
        <w:t>R</w:t>
      </w:r>
      <w:r w:rsidRPr="00A33264">
        <w:rPr>
          <w:lang w:val="en-GB"/>
        </w:rPr>
        <w:t xml:space="preserve">isk </w:t>
      </w:r>
      <w:r w:rsidR="00847308" w:rsidRPr="00A33264">
        <w:rPr>
          <w:lang w:val="en-GB"/>
        </w:rPr>
        <w:t>M</w:t>
      </w:r>
      <w:r w:rsidRPr="00A33264">
        <w:rPr>
          <w:lang w:val="en-GB"/>
        </w:rPr>
        <w:t xml:space="preserve">anagement </w:t>
      </w:r>
      <w:r w:rsidR="00847308" w:rsidRPr="00A33264">
        <w:rPr>
          <w:lang w:val="en-GB"/>
        </w:rPr>
        <w:t>S</w:t>
      </w:r>
      <w:r w:rsidRPr="00A33264">
        <w:rPr>
          <w:lang w:val="en-GB"/>
        </w:rPr>
        <w:t xml:space="preserve">trategy. Our </w:t>
      </w:r>
      <w:r w:rsidR="00847308" w:rsidRPr="00A33264">
        <w:rPr>
          <w:lang w:val="en-GB"/>
        </w:rPr>
        <w:t>R</w:t>
      </w:r>
      <w:r w:rsidRPr="00A33264">
        <w:rPr>
          <w:lang w:val="en-GB"/>
        </w:rPr>
        <w:t xml:space="preserve">isk </w:t>
      </w:r>
      <w:r w:rsidR="00847308" w:rsidRPr="00A33264">
        <w:rPr>
          <w:lang w:val="en-GB"/>
        </w:rPr>
        <w:t>M</w:t>
      </w:r>
      <w:r w:rsidRPr="00A33264">
        <w:rPr>
          <w:lang w:val="en-GB"/>
        </w:rPr>
        <w:t xml:space="preserve">anagement </w:t>
      </w:r>
      <w:r w:rsidR="00847308" w:rsidRPr="00A33264">
        <w:rPr>
          <w:lang w:val="en-GB"/>
        </w:rPr>
        <w:t>S</w:t>
      </w:r>
      <w:r w:rsidRPr="00A33264">
        <w:rPr>
          <w:lang w:val="en-GB"/>
        </w:rPr>
        <w:t xml:space="preserve">trategy and </w:t>
      </w:r>
      <w:r w:rsidR="00847308" w:rsidRPr="00A33264">
        <w:rPr>
          <w:lang w:val="en-GB"/>
        </w:rPr>
        <w:t>R</w:t>
      </w:r>
      <w:r w:rsidRPr="00A33264">
        <w:rPr>
          <w:lang w:val="en-GB"/>
        </w:rPr>
        <w:t xml:space="preserve">isk </w:t>
      </w:r>
      <w:r w:rsidR="00847308" w:rsidRPr="00A33264">
        <w:rPr>
          <w:lang w:val="en-GB"/>
        </w:rPr>
        <w:t>M</w:t>
      </w:r>
      <w:r w:rsidRPr="00A33264">
        <w:rPr>
          <w:lang w:val="en-GB"/>
        </w:rPr>
        <w:t xml:space="preserve">anagement </w:t>
      </w:r>
      <w:r w:rsidR="00847308" w:rsidRPr="00A33264">
        <w:rPr>
          <w:lang w:val="en-GB"/>
        </w:rPr>
        <w:t>F</w:t>
      </w:r>
      <w:r w:rsidRPr="00A33264">
        <w:rPr>
          <w:lang w:val="en-GB"/>
        </w:rPr>
        <w:t xml:space="preserve">ramework support us to meet our obligations under the NDIS Risk Management Rules 2013 and the PGPA Act. The NDIA’s Fraud and Corruption Control Plan outlines how the NDIA is meeting its responsibilities under the </w:t>
      </w:r>
      <w:r w:rsidR="00C84AA6" w:rsidRPr="00A33264">
        <w:rPr>
          <w:lang w:val="en-GB"/>
        </w:rPr>
        <w:t>PGP</w:t>
      </w:r>
      <w:r w:rsidR="00847308" w:rsidRPr="00A33264">
        <w:rPr>
          <w:lang w:val="en-GB"/>
        </w:rPr>
        <w:t>A</w:t>
      </w:r>
      <w:r w:rsidRPr="00A33264">
        <w:rPr>
          <w:lang w:val="en-GB"/>
        </w:rPr>
        <w:t xml:space="preserve"> Act and the Commonwealth Fraud Control Framework 2017.</w:t>
      </w:r>
      <w:r w:rsidR="00D20352" w:rsidRPr="00A33264">
        <w:rPr>
          <w:lang w:val="en-GB"/>
        </w:rPr>
        <w:t xml:space="preserve"> The NDIA is working towards </w:t>
      </w:r>
      <w:r w:rsidR="00D20352" w:rsidRPr="00A33264">
        <w:rPr>
          <w:lang w:val="en-GB"/>
        </w:rPr>
        <w:lastRenderedPageBreak/>
        <w:t>implement</w:t>
      </w:r>
      <w:r w:rsidR="00F23CCF">
        <w:rPr>
          <w:lang w:val="en-GB"/>
        </w:rPr>
        <w:t>ing</w:t>
      </w:r>
      <w:r w:rsidR="00D20352" w:rsidRPr="00A33264">
        <w:rPr>
          <w:lang w:val="en-GB"/>
        </w:rPr>
        <w:t xml:space="preserve"> the new Commonwealth Fraud and Corruption Control Framework 2024</w:t>
      </w:r>
      <w:r w:rsidR="00F23CCF">
        <w:rPr>
          <w:lang w:val="en-GB"/>
        </w:rPr>
        <w:t>,</w:t>
      </w:r>
      <w:r w:rsidR="00D20352" w:rsidRPr="00A33264">
        <w:rPr>
          <w:lang w:val="en-GB"/>
        </w:rPr>
        <w:t xml:space="preserve"> which took effect on 1 July 2024.</w:t>
      </w:r>
    </w:p>
    <w:p w14:paraId="22886895" w14:textId="55FD660F" w:rsidR="0059516F" w:rsidRPr="00A33264" w:rsidRDefault="0069329B" w:rsidP="0059516F">
      <w:pPr>
        <w:rPr>
          <w:lang w:val="en-GB"/>
        </w:rPr>
      </w:pPr>
      <w:r w:rsidRPr="00A33264">
        <w:rPr>
          <w:lang w:val="en-GB"/>
        </w:rPr>
        <w:t>By proactively managing risks, the NDIA has been able to enhance business planning, maintain operational stability and achieve corporate goals. This evidence-based approach aligns with the Board’s defined risk appetite.</w:t>
      </w:r>
      <w:r w:rsidR="0059516F" w:rsidRPr="00A33264">
        <w:rPr>
          <w:lang w:val="en-GB"/>
        </w:rPr>
        <w:t xml:space="preserve"> The Risk, Audit and Resilience Division assists the NDIA Board and </w:t>
      </w:r>
      <w:r w:rsidR="00847308" w:rsidRPr="00A33264">
        <w:rPr>
          <w:lang w:val="en-GB"/>
        </w:rPr>
        <w:t xml:space="preserve">the </w:t>
      </w:r>
      <w:r w:rsidR="0059516F" w:rsidRPr="00A33264">
        <w:rPr>
          <w:lang w:val="en-GB"/>
        </w:rPr>
        <w:t>Strategic Leadership Team by providing objective risk reviews, oversight, monitoring and reporting.</w:t>
      </w:r>
    </w:p>
    <w:p w14:paraId="14E8B20D" w14:textId="254C9698" w:rsidR="0059516F" w:rsidRPr="00A33264" w:rsidRDefault="00ED275F" w:rsidP="0059516F">
      <w:pPr>
        <w:rPr>
          <w:lang w:val="en-GB"/>
        </w:rPr>
      </w:pPr>
      <w:r>
        <w:rPr>
          <w:lang w:val="en-GB"/>
        </w:rPr>
        <w:t>T</w:t>
      </w:r>
      <w:r w:rsidR="0059516F" w:rsidRPr="00A33264">
        <w:rPr>
          <w:lang w:val="en-GB"/>
        </w:rPr>
        <w:t xml:space="preserve">he </w:t>
      </w:r>
      <w:r w:rsidR="00126B30">
        <w:rPr>
          <w:lang w:val="en-GB"/>
        </w:rPr>
        <w:t xml:space="preserve">NDIA </w:t>
      </w:r>
      <w:r w:rsidR="0059516F" w:rsidRPr="00A33264">
        <w:rPr>
          <w:lang w:val="en-GB"/>
        </w:rPr>
        <w:t>risk appetite and strategic risks</w:t>
      </w:r>
      <w:r w:rsidR="00126B30">
        <w:rPr>
          <w:lang w:val="en-GB"/>
        </w:rPr>
        <w:t>,</w:t>
      </w:r>
      <w:r w:rsidR="0059516F" w:rsidRPr="00A33264">
        <w:rPr>
          <w:lang w:val="en-GB"/>
        </w:rPr>
        <w:t xml:space="preserve"> which are directly aligned to the </w:t>
      </w:r>
      <w:r w:rsidR="00D20352" w:rsidRPr="00A33264">
        <w:rPr>
          <w:lang w:val="en-GB"/>
        </w:rPr>
        <w:t xml:space="preserve">NDIA’s </w:t>
      </w:r>
      <w:r w:rsidR="00A92838">
        <w:rPr>
          <w:lang w:val="en-GB"/>
        </w:rPr>
        <w:t>C</w:t>
      </w:r>
      <w:r w:rsidR="0059516F" w:rsidRPr="00A33264">
        <w:rPr>
          <w:lang w:val="en-GB"/>
        </w:rPr>
        <w:t xml:space="preserve">orporate </w:t>
      </w:r>
      <w:r w:rsidR="00A92838">
        <w:rPr>
          <w:lang w:val="en-GB"/>
        </w:rPr>
        <w:t>P</w:t>
      </w:r>
      <w:r w:rsidR="0059516F" w:rsidRPr="00A33264">
        <w:rPr>
          <w:lang w:val="en-GB"/>
        </w:rPr>
        <w:t>lan</w:t>
      </w:r>
      <w:r w:rsidR="00126B30">
        <w:rPr>
          <w:lang w:val="en-GB"/>
        </w:rPr>
        <w:t>,</w:t>
      </w:r>
      <w:r>
        <w:rPr>
          <w:lang w:val="en-GB"/>
        </w:rPr>
        <w:t xml:space="preserve"> are reviewed annually</w:t>
      </w:r>
      <w:r w:rsidR="0059516F" w:rsidRPr="00A33264">
        <w:rPr>
          <w:lang w:val="en-GB"/>
        </w:rPr>
        <w:t xml:space="preserve">. </w:t>
      </w:r>
      <w:r>
        <w:rPr>
          <w:lang w:val="en-GB"/>
        </w:rPr>
        <w:t>The NDIA</w:t>
      </w:r>
      <w:r w:rsidR="0059516F" w:rsidRPr="00A33264">
        <w:rPr>
          <w:lang w:val="en-GB"/>
        </w:rPr>
        <w:t xml:space="preserve"> </w:t>
      </w:r>
      <w:r w:rsidR="00126B30">
        <w:rPr>
          <w:lang w:val="en-GB"/>
        </w:rPr>
        <w:t>identified</w:t>
      </w:r>
      <w:r w:rsidR="00126B30" w:rsidRPr="00A33264">
        <w:rPr>
          <w:lang w:val="en-GB"/>
        </w:rPr>
        <w:t xml:space="preserve"> </w:t>
      </w:r>
      <w:r w:rsidR="0059516F" w:rsidRPr="00A33264">
        <w:rPr>
          <w:lang w:val="en-GB"/>
        </w:rPr>
        <w:t xml:space="preserve">7 strategic risks for 2023–24 in the areas of participant experience and outcomes, partner and provider performance, financial sustainability, people capability and capacity, </w:t>
      </w:r>
      <w:r w:rsidR="00CA5D3C">
        <w:rPr>
          <w:lang w:val="en-GB"/>
        </w:rPr>
        <w:t>NDIS</w:t>
      </w:r>
      <w:r w:rsidR="00CA5D3C" w:rsidRPr="00A33264">
        <w:rPr>
          <w:lang w:val="en-GB"/>
        </w:rPr>
        <w:t xml:space="preserve"> </w:t>
      </w:r>
      <w:r w:rsidR="0059516F" w:rsidRPr="00A33264">
        <w:rPr>
          <w:lang w:val="en-GB"/>
        </w:rPr>
        <w:t>integrity, and change delivery. The strategic risks are monitored against risk-aligned mitigation strategies and key risk indicators, and performance is reported quarterly.</w:t>
      </w:r>
    </w:p>
    <w:p w14:paraId="2192B5E8" w14:textId="47C2A9C5" w:rsidR="0059516F" w:rsidRPr="00A33264" w:rsidRDefault="0059516F" w:rsidP="0059516F">
      <w:pPr>
        <w:rPr>
          <w:lang w:val="en-GB"/>
        </w:rPr>
      </w:pPr>
      <w:r w:rsidRPr="00A33264">
        <w:rPr>
          <w:lang w:val="en-GB"/>
        </w:rPr>
        <w:t>Management of the strategic risks is supported by operational, fraud and corruption, regulatory and project risk assessments and controls</w:t>
      </w:r>
      <w:r w:rsidR="00847308" w:rsidRPr="00A33264">
        <w:rPr>
          <w:lang w:val="en-GB"/>
        </w:rPr>
        <w:t>,</w:t>
      </w:r>
      <w:r w:rsidRPr="00A33264">
        <w:rPr>
          <w:lang w:val="en-GB"/>
        </w:rPr>
        <w:t xml:space="preserve"> which are owned and managed at functional and/or </w:t>
      </w:r>
      <w:r w:rsidR="00F23CCF">
        <w:rPr>
          <w:lang w:val="en-GB"/>
        </w:rPr>
        <w:t>NDIA</w:t>
      </w:r>
      <w:r w:rsidR="00F23CCF" w:rsidRPr="00A33264">
        <w:rPr>
          <w:lang w:val="en-GB"/>
        </w:rPr>
        <w:t xml:space="preserve"> </w:t>
      </w:r>
      <w:r w:rsidRPr="00A33264">
        <w:rPr>
          <w:lang w:val="en-GB"/>
        </w:rPr>
        <w:t>levels.</w:t>
      </w:r>
    </w:p>
    <w:p w14:paraId="407E1E25" w14:textId="671FF381" w:rsidR="0059516F" w:rsidRPr="00A33264" w:rsidRDefault="0059516F" w:rsidP="0059516F">
      <w:pPr>
        <w:rPr>
          <w:lang w:val="en-GB"/>
        </w:rPr>
      </w:pPr>
      <w:r w:rsidRPr="00A33264">
        <w:rPr>
          <w:lang w:val="en-GB"/>
        </w:rPr>
        <w:t xml:space="preserve">The NDIA is committed to ensuring that critical business functions are maintained or quickly restored in the event of a significant outage, incident or crisis. </w:t>
      </w:r>
      <w:r w:rsidR="00F23CCF">
        <w:rPr>
          <w:lang w:val="en-GB"/>
        </w:rPr>
        <w:t>We have</w:t>
      </w:r>
      <w:r w:rsidRPr="00A33264">
        <w:rPr>
          <w:lang w:val="en-GB"/>
        </w:rPr>
        <w:t xml:space="preserve"> an established and practically tested business continuity management framework to ensure the rapid response and resumption of </w:t>
      </w:r>
      <w:r w:rsidR="00F23CCF">
        <w:rPr>
          <w:lang w:val="en-GB"/>
        </w:rPr>
        <w:t>our</w:t>
      </w:r>
      <w:r w:rsidRPr="00A33264">
        <w:rPr>
          <w:lang w:val="en-GB"/>
        </w:rPr>
        <w:t xml:space="preserve"> critical business functions to support the resumption of participant and provider services in emergency situations.</w:t>
      </w:r>
    </w:p>
    <w:p w14:paraId="4D51966E" w14:textId="4FCD9ADE" w:rsidR="0059516F" w:rsidRPr="00A33264" w:rsidRDefault="0059516F" w:rsidP="0059516F">
      <w:pPr>
        <w:rPr>
          <w:lang w:val="en-GB"/>
        </w:rPr>
      </w:pPr>
      <w:r w:rsidRPr="00A33264">
        <w:rPr>
          <w:lang w:val="en-GB"/>
        </w:rPr>
        <w:t>The NDIA’s integrated risk management system provides a single platform for capturing and managing operational, strategic and regulatory risks, audit recommendations, incidents, and business continuity plans. The system gives accountable executives a consolidated view of the risks and controls in their business and the broader NDIA and underpins quarterly risk reporting.</w:t>
      </w:r>
    </w:p>
    <w:p w14:paraId="0EB8554A" w14:textId="2BC504F9" w:rsidR="00D7463A" w:rsidRPr="00A33264" w:rsidRDefault="00CA5D3C" w:rsidP="00D7463A">
      <w:pPr>
        <w:pStyle w:val="Heading4"/>
        <w:rPr>
          <w:lang w:val="en-GB"/>
        </w:rPr>
      </w:pPr>
      <w:bookmarkStart w:id="328" w:name="_Toc169592986"/>
      <w:r>
        <w:rPr>
          <w:lang w:val="en-GB"/>
        </w:rPr>
        <w:t>NDIS</w:t>
      </w:r>
      <w:r w:rsidR="00D7463A" w:rsidRPr="00A33264">
        <w:rPr>
          <w:lang w:val="en-GB"/>
        </w:rPr>
        <w:t xml:space="preserve"> integrity</w:t>
      </w:r>
      <w:bookmarkEnd w:id="328"/>
    </w:p>
    <w:p w14:paraId="2CF9C1CA" w14:textId="32499B4E" w:rsidR="00766CAA" w:rsidRPr="00A33264" w:rsidRDefault="00766CAA" w:rsidP="00766CAA">
      <w:pPr>
        <w:rPr>
          <w:lang w:val="en-GB"/>
        </w:rPr>
      </w:pPr>
      <w:r w:rsidRPr="00A33264">
        <w:rPr>
          <w:lang w:val="en-GB"/>
        </w:rPr>
        <w:t xml:space="preserve">We want all participants to have a positive experience in the </w:t>
      </w:r>
      <w:r w:rsidR="00CA5D3C">
        <w:rPr>
          <w:lang w:val="en-GB"/>
        </w:rPr>
        <w:t>NDIS</w:t>
      </w:r>
      <w:r w:rsidRPr="00A33264">
        <w:rPr>
          <w:lang w:val="en-GB"/>
        </w:rPr>
        <w:t xml:space="preserve">. This includes protecting their safety and wellbeing. Our goal is to safeguard the NDIS and protect participant plans so the NDIS remains available to support </w:t>
      </w:r>
      <w:r w:rsidR="00D20352" w:rsidRPr="00A33264">
        <w:rPr>
          <w:lang w:val="en-GB"/>
        </w:rPr>
        <w:t>participants</w:t>
      </w:r>
      <w:r w:rsidRPr="00A33264">
        <w:rPr>
          <w:lang w:val="en-GB"/>
        </w:rPr>
        <w:t xml:space="preserve"> when they need it.</w:t>
      </w:r>
    </w:p>
    <w:p w14:paraId="098B90A7" w14:textId="4A87B975" w:rsidR="00EA2179" w:rsidRDefault="00766CAA" w:rsidP="00EA2179">
      <w:pPr>
        <w:rPr>
          <w:b/>
          <w:color w:val="6B2876" w:themeColor="text1"/>
          <w:sz w:val="28"/>
          <w:lang w:val="en-GB"/>
        </w:rPr>
      </w:pPr>
      <w:r w:rsidRPr="00A33264">
        <w:rPr>
          <w:lang w:val="en-GB"/>
        </w:rPr>
        <w:t xml:space="preserve">The NDIA has a strong focus on removing problematic providers from the </w:t>
      </w:r>
      <w:r w:rsidR="00CA5D3C">
        <w:rPr>
          <w:lang w:val="en-GB"/>
        </w:rPr>
        <w:t>NDIS</w:t>
      </w:r>
      <w:r w:rsidR="00CA5D3C" w:rsidRPr="00A33264">
        <w:rPr>
          <w:lang w:val="en-GB"/>
        </w:rPr>
        <w:t xml:space="preserve"> </w:t>
      </w:r>
      <w:r w:rsidRPr="00A33264">
        <w:rPr>
          <w:lang w:val="en-GB"/>
        </w:rPr>
        <w:t xml:space="preserve">and ensuring that fraud is detected, prevented and responded to as soon as possible. </w:t>
      </w:r>
      <w:r w:rsidR="00F23CCF">
        <w:rPr>
          <w:lang w:val="en-GB"/>
        </w:rPr>
        <w:t>Our</w:t>
      </w:r>
      <w:r w:rsidR="00F23CCF" w:rsidRPr="00A33264">
        <w:rPr>
          <w:lang w:val="en-GB"/>
        </w:rPr>
        <w:t xml:space="preserve"> </w:t>
      </w:r>
      <w:r w:rsidRPr="00A33264">
        <w:rPr>
          <w:lang w:val="en-GB"/>
        </w:rPr>
        <w:t>integrity transformation programs are focused on uplifting NDIA system capability, making it easier to get it right and harder to get it wrong. To do this we have multiple layers of work which include the following</w:t>
      </w:r>
      <w:r w:rsidR="00F23CCF">
        <w:rPr>
          <w:lang w:val="en-GB"/>
        </w:rPr>
        <w:t xml:space="preserve"> projects</w:t>
      </w:r>
      <w:r w:rsidRPr="00A33264">
        <w:rPr>
          <w:lang w:val="en-GB"/>
        </w:rPr>
        <w:t>.</w:t>
      </w:r>
      <w:r w:rsidR="00EA2179">
        <w:rPr>
          <w:lang w:val="en-GB"/>
        </w:rPr>
        <w:br w:type="page"/>
      </w:r>
    </w:p>
    <w:p w14:paraId="595E5990" w14:textId="690896BC" w:rsidR="00280054" w:rsidRPr="00A33264" w:rsidRDefault="00766CAA" w:rsidP="00280054">
      <w:pPr>
        <w:pStyle w:val="Heading5"/>
        <w:rPr>
          <w:lang w:val="en-GB"/>
        </w:rPr>
      </w:pPr>
      <w:r w:rsidRPr="00A33264">
        <w:rPr>
          <w:lang w:val="en-GB"/>
        </w:rPr>
        <w:lastRenderedPageBreak/>
        <w:t>Co-design</w:t>
      </w:r>
    </w:p>
    <w:p w14:paraId="6EEDEA8F" w14:textId="70824405" w:rsidR="00766CAA" w:rsidRPr="00A33264" w:rsidRDefault="00766CAA" w:rsidP="00766CAA">
      <w:pPr>
        <w:rPr>
          <w:lang w:val="en-GB"/>
        </w:rPr>
      </w:pPr>
      <w:r w:rsidRPr="00A33264">
        <w:rPr>
          <w:lang w:val="en-GB"/>
        </w:rPr>
        <w:t xml:space="preserve">As part of the NDIA’s commitment to </w:t>
      </w:r>
      <w:r w:rsidR="00CA5D3C">
        <w:rPr>
          <w:lang w:val="en-GB"/>
        </w:rPr>
        <w:t>NDIS</w:t>
      </w:r>
      <w:r w:rsidR="00CA5D3C" w:rsidRPr="00A33264">
        <w:rPr>
          <w:lang w:val="en-GB"/>
        </w:rPr>
        <w:t xml:space="preserve"> </w:t>
      </w:r>
      <w:r w:rsidRPr="00A33264">
        <w:rPr>
          <w:lang w:val="en-GB"/>
        </w:rPr>
        <w:t xml:space="preserve">reform, </w:t>
      </w:r>
      <w:r w:rsidR="00F23CCF">
        <w:rPr>
          <w:lang w:val="en-GB"/>
        </w:rPr>
        <w:t xml:space="preserve">we established </w:t>
      </w:r>
      <w:r w:rsidRPr="00A33264">
        <w:rPr>
          <w:lang w:val="en-GB"/>
        </w:rPr>
        <w:t>an Integrity Working Group in July 2023. Membership included NDIA representatives</w:t>
      </w:r>
      <w:r w:rsidR="00941D65">
        <w:rPr>
          <w:lang w:val="en-GB"/>
        </w:rPr>
        <w:t>,</w:t>
      </w:r>
      <w:r w:rsidRPr="00A33264">
        <w:rPr>
          <w:lang w:val="en-GB"/>
        </w:rPr>
        <w:t xml:space="preserve"> participants, family members, </w:t>
      </w:r>
      <w:r w:rsidR="00F23CCF">
        <w:rPr>
          <w:lang w:val="en-GB"/>
        </w:rPr>
        <w:t>d</w:t>
      </w:r>
      <w:r w:rsidRPr="00A33264">
        <w:rPr>
          <w:lang w:val="en-GB"/>
        </w:rPr>
        <w:t xml:space="preserve">isability </w:t>
      </w:r>
      <w:r w:rsidR="00F23CCF">
        <w:rPr>
          <w:lang w:val="en-GB"/>
        </w:rPr>
        <w:t>r</w:t>
      </w:r>
      <w:r w:rsidRPr="00A33264">
        <w:rPr>
          <w:lang w:val="en-GB"/>
        </w:rPr>
        <w:t xml:space="preserve">epresentative and </w:t>
      </w:r>
      <w:r w:rsidR="00F23CCF">
        <w:rPr>
          <w:lang w:val="en-GB"/>
        </w:rPr>
        <w:t>c</w:t>
      </w:r>
      <w:r w:rsidRPr="00A33264">
        <w:rPr>
          <w:lang w:val="en-GB"/>
        </w:rPr>
        <w:t xml:space="preserve">arer </w:t>
      </w:r>
      <w:r w:rsidR="00F23CCF">
        <w:rPr>
          <w:lang w:val="en-GB"/>
        </w:rPr>
        <w:t>o</w:t>
      </w:r>
      <w:r w:rsidRPr="00A33264">
        <w:rPr>
          <w:lang w:val="en-GB"/>
        </w:rPr>
        <w:t xml:space="preserve">rganisations, other </w:t>
      </w:r>
      <w:r w:rsidR="00F23CCF">
        <w:rPr>
          <w:lang w:val="en-GB"/>
        </w:rPr>
        <w:t>d</w:t>
      </w:r>
      <w:r w:rsidRPr="00A33264">
        <w:rPr>
          <w:lang w:val="en-GB"/>
        </w:rPr>
        <w:t xml:space="preserve">isability </w:t>
      </w:r>
      <w:r w:rsidR="00F23CCF">
        <w:rPr>
          <w:lang w:val="en-GB"/>
        </w:rPr>
        <w:t>s</w:t>
      </w:r>
      <w:r w:rsidRPr="00A33264">
        <w:rPr>
          <w:lang w:val="en-GB"/>
        </w:rPr>
        <w:t>ector rep</w:t>
      </w:r>
      <w:r w:rsidR="00F23CCF">
        <w:rPr>
          <w:lang w:val="en-GB"/>
        </w:rPr>
        <w:t>resentative</w:t>
      </w:r>
      <w:r w:rsidRPr="00A33264">
        <w:rPr>
          <w:lang w:val="en-GB"/>
        </w:rPr>
        <w:t xml:space="preserve">s and </w:t>
      </w:r>
      <w:r w:rsidR="00F23CCF">
        <w:rPr>
          <w:lang w:val="en-GB"/>
        </w:rPr>
        <w:t>IAC</w:t>
      </w:r>
      <w:r w:rsidRPr="00A33264">
        <w:rPr>
          <w:lang w:val="en-GB"/>
        </w:rPr>
        <w:t xml:space="preserve"> members. </w:t>
      </w:r>
    </w:p>
    <w:p w14:paraId="6B351235" w14:textId="0EED0DF2" w:rsidR="00D7463A" w:rsidRPr="00A33264" w:rsidRDefault="00766CAA" w:rsidP="00766CAA">
      <w:pPr>
        <w:rPr>
          <w:lang w:val="en-GB"/>
        </w:rPr>
      </w:pPr>
      <w:r w:rsidRPr="00A33264">
        <w:rPr>
          <w:lang w:val="en-GB"/>
        </w:rPr>
        <w:t>During 2023</w:t>
      </w:r>
      <w:r w:rsidR="00F231FD">
        <w:rPr>
          <w:rFonts w:ascii="Symbol" w:eastAsia="Symbol" w:hAnsi="Symbol" w:cs="Symbol"/>
          <w:lang w:val="en-GB"/>
        </w:rPr>
        <w:sym w:font="Symbol" w:char="F02D"/>
      </w:r>
      <w:r w:rsidRPr="00A33264">
        <w:rPr>
          <w:lang w:val="en-GB"/>
        </w:rPr>
        <w:t>24</w:t>
      </w:r>
      <w:r w:rsidR="00F23CCF">
        <w:rPr>
          <w:lang w:val="en-GB"/>
        </w:rPr>
        <w:t xml:space="preserve"> the Integrity Working Group held</w:t>
      </w:r>
      <w:r w:rsidRPr="00A33264">
        <w:rPr>
          <w:lang w:val="en-GB"/>
        </w:rPr>
        <w:t xml:space="preserve"> over 45 sessions of co-design, consultation and engagement about fraud and integrity with the disability community and providers. These sessions focused on understanding integrity, fraud and noncompliance and how we can better empower participants to protect themselves while also reinforcing provider roles and responsibilities ensuring they do the right thing.</w:t>
      </w:r>
    </w:p>
    <w:p w14:paraId="2120D48E" w14:textId="7C2F12A5" w:rsidR="00280054" w:rsidRPr="00A33264" w:rsidRDefault="00280054" w:rsidP="00280054">
      <w:pPr>
        <w:pStyle w:val="Heading5"/>
        <w:rPr>
          <w:lang w:val="en-GB"/>
        </w:rPr>
      </w:pPr>
      <w:r w:rsidRPr="00A33264">
        <w:rPr>
          <w:lang w:val="en-GB"/>
        </w:rPr>
        <w:t xml:space="preserve">Fraud Fusion </w:t>
      </w:r>
      <w:r w:rsidR="00CA5D3C">
        <w:rPr>
          <w:lang w:val="en-GB"/>
        </w:rPr>
        <w:t>T</w:t>
      </w:r>
      <w:r w:rsidRPr="00A33264">
        <w:rPr>
          <w:lang w:val="en-GB"/>
        </w:rPr>
        <w:t>askforce</w:t>
      </w:r>
    </w:p>
    <w:p w14:paraId="163A8600" w14:textId="3095037D" w:rsidR="00766CAA" w:rsidRPr="00A33264" w:rsidRDefault="00766CAA" w:rsidP="00766CAA">
      <w:pPr>
        <w:rPr>
          <w:lang w:val="en-GB"/>
        </w:rPr>
      </w:pPr>
      <w:r w:rsidRPr="00A33264">
        <w:rPr>
          <w:lang w:val="en-GB"/>
        </w:rPr>
        <w:t>The F</w:t>
      </w:r>
      <w:r w:rsidR="00F23CCF">
        <w:rPr>
          <w:lang w:val="en-GB"/>
        </w:rPr>
        <w:t xml:space="preserve">raud </w:t>
      </w:r>
      <w:r w:rsidRPr="00A33264">
        <w:rPr>
          <w:lang w:val="en-GB"/>
        </w:rPr>
        <w:t>F</w:t>
      </w:r>
      <w:r w:rsidR="00F23CCF">
        <w:rPr>
          <w:lang w:val="en-GB"/>
        </w:rPr>
        <w:t xml:space="preserve">usion </w:t>
      </w:r>
      <w:r w:rsidRPr="00A33264">
        <w:rPr>
          <w:lang w:val="en-GB"/>
        </w:rPr>
        <w:t>T</w:t>
      </w:r>
      <w:r w:rsidR="00F23CCF">
        <w:rPr>
          <w:lang w:val="en-GB"/>
        </w:rPr>
        <w:t>askforce (FFT)</w:t>
      </w:r>
      <w:r w:rsidRPr="00A33264">
        <w:rPr>
          <w:lang w:val="en-GB"/>
        </w:rPr>
        <w:t xml:space="preserve"> was established in November 2022. Its purpose is to improve payment integrity in government programs and payments by preventing or reducing fraud and criminal activity within and against government programs. The </w:t>
      </w:r>
      <w:r w:rsidR="00F23CCF">
        <w:rPr>
          <w:lang w:val="en-GB"/>
        </w:rPr>
        <w:t>FFT</w:t>
      </w:r>
      <w:r w:rsidR="00F23CCF" w:rsidRPr="00A33264">
        <w:rPr>
          <w:lang w:val="en-GB"/>
        </w:rPr>
        <w:t xml:space="preserve"> </w:t>
      </w:r>
      <w:r w:rsidRPr="00A33264">
        <w:rPr>
          <w:lang w:val="en-GB"/>
        </w:rPr>
        <w:t>is a multi</w:t>
      </w:r>
      <w:r w:rsidR="00F231FD">
        <w:rPr>
          <w:lang w:val="en-GB"/>
        </w:rPr>
        <w:t>-</w:t>
      </w:r>
      <w:r w:rsidRPr="00A33264">
        <w:rPr>
          <w:lang w:val="en-GB"/>
        </w:rPr>
        <w:t xml:space="preserve">agency partnership involving </w:t>
      </w:r>
      <w:r w:rsidR="00F742F9">
        <w:rPr>
          <w:lang w:val="en-GB"/>
        </w:rPr>
        <w:t>20</w:t>
      </w:r>
      <w:r w:rsidRPr="00A33264">
        <w:rPr>
          <w:lang w:val="en-GB"/>
        </w:rPr>
        <w:t xml:space="preserve"> </w:t>
      </w:r>
      <w:r w:rsidR="00F23CCF">
        <w:rPr>
          <w:lang w:val="en-GB"/>
        </w:rPr>
        <w:t>a</w:t>
      </w:r>
      <w:r w:rsidRPr="00A33264">
        <w:rPr>
          <w:lang w:val="en-GB"/>
        </w:rPr>
        <w:t>gencies working together, co-led by the NDIA and Services Australia.</w:t>
      </w:r>
    </w:p>
    <w:p w14:paraId="76C4793F" w14:textId="51DDFC31" w:rsidR="00766CAA" w:rsidRPr="00A33264" w:rsidRDefault="00766CAA" w:rsidP="00766CAA">
      <w:pPr>
        <w:rPr>
          <w:lang w:val="en-GB"/>
        </w:rPr>
      </w:pPr>
      <w:r w:rsidRPr="00A33264">
        <w:rPr>
          <w:lang w:val="en-GB"/>
        </w:rPr>
        <w:t>The FFT has made significant progress, improving how government agencies work together to quickly detect, resolve and prevent fraud and serious organised crime as well as strengthening NDIS and other government systems</w:t>
      </w:r>
      <w:r w:rsidR="00F23CCF">
        <w:rPr>
          <w:lang w:val="en-GB"/>
        </w:rPr>
        <w:t xml:space="preserve"> to</w:t>
      </w:r>
      <w:r w:rsidRPr="00A33264">
        <w:rPr>
          <w:lang w:val="en-GB"/>
        </w:rPr>
        <w:t xml:space="preserve"> mak</w:t>
      </w:r>
      <w:r w:rsidR="00F23CCF">
        <w:rPr>
          <w:lang w:val="en-GB"/>
        </w:rPr>
        <w:t>e</w:t>
      </w:r>
      <w:r w:rsidRPr="00A33264">
        <w:rPr>
          <w:lang w:val="en-GB"/>
        </w:rPr>
        <w:t xml:space="preserve"> it easier to do the right thing.</w:t>
      </w:r>
    </w:p>
    <w:p w14:paraId="6A6C4A83" w14:textId="0AB30720" w:rsidR="00766CAA" w:rsidRPr="00A33264" w:rsidRDefault="00766CAA" w:rsidP="00766CAA">
      <w:pPr>
        <w:rPr>
          <w:lang w:val="en-GB"/>
        </w:rPr>
      </w:pPr>
      <w:r w:rsidRPr="00A33264">
        <w:rPr>
          <w:lang w:val="en-GB"/>
        </w:rPr>
        <w:t>During 2023</w:t>
      </w:r>
      <w:r w:rsidR="00F231FD">
        <w:rPr>
          <w:rFonts w:ascii="Symbol" w:eastAsia="Symbol" w:hAnsi="Symbol" w:cs="Symbol"/>
          <w:lang w:val="en-GB"/>
        </w:rPr>
        <w:sym w:font="Symbol" w:char="F02D"/>
      </w:r>
      <w:r w:rsidRPr="00A33264">
        <w:rPr>
          <w:lang w:val="en-GB"/>
        </w:rPr>
        <w:t xml:space="preserve">24 the FFT expanded from 15 to 20 </w:t>
      </w:r>
      <w:r w:rsidR="00F23CCF">
        <w:rPr>
          <w:lang w:val="en-GB"/>
        </w:rPr>
        <w:t>Australian G</w:t>
      </w:r>
      <w:r w:rsidRPr="00A33264">
        <w:rPr>
          <w:lang w:val="en-GB"/>
        </w:rPr>
        <w:t xml:space="preserve">overnment agencies, increasing the powers available to member agencies to share data to detect, prevent and respond to fraud across </w:t>
      </w:r>
      <w:r w:rsidR="00F23CCF">
        <w:rPr>
          <w:lang w:val="en-GB"/>
        </w:rPr>
        <w:t>g</w:t>
      </w:r>
      <w:r w:rsidRPr="00A33264">
        <w:rPr>
          <w:lang w:val="en-GB"/>
        </w:rPr>
        <w:t xml:space="preserve">overnment </w:t>
      </w:r>
      <w:r w:rsidR="00F23CCF">
        <w:rPr>
          <w:lang w:val="en-GB"/>
        </w:rPr>
        <w:t>p</w:t>
      </w:r>
      <w:r w:rsidRPr="00A33264">
        <w:rPr>
          <w:lang w:val="en-GB"/>
        </w:rPr>
        <w:t xml:space="preserve">ayment </w:t>
      </w:r>
      <w:r w:rsidR="00F23CCF">
        <w:rPr>
          <w:lang w:val="en-GB"/>
        </w:rPr>
        <w:t>p</w:t>
      </w:r>
      <w:r w:rsidRPr="00A33264">
        <w:rPr>
          <w:lang w:val="en-GB"/>
        </w:rPr>
        <w:t>rograms</w:t>
      </w:r>
      <w:r w:rsidR="00F231FD">
        <w:rPr>
          <w:lang w:val="en-GB"/>
        </w:rPr>
        <w:t>,</w:t>
      </w:r>
      <w:r w:rsidRPr="00A33264">
        <w:rPr>
          <w:lang w:val="en-GB"/>
        </w:rPr>
        <w:t xml:space="preserve"> including the NDIS. </w:t>
      </w:r>
    </w:p>
    <w:p w14:paraId="1538192B" w14:textId="11C1CE95" w:rsidR="00280054" w:rsidRPr="00A33264" w:rsidRDefault="00766CAA" w:rsidP="00280054">
      <w:pPr>
        <w:pStyle w:val="Heading5"/>
        <w:rPr>
          <w:lang w:val="en-GB"/>
        </w:rPr>
      </w:pPr>
      <w:r w:rsidRPr="00A33264">
        <w:rPr>
          <w:lang w:val="en-GB"/>
        </w:rPr>
        <w:t>Crack Down on Fraud</w:t>
      </w:r>
    </w:p>
    <w:p w14:paraId="7B44D810" w14:textId="35A83AFD" w:rsidR="00280054" w:rsidRPr="00A33264" w:rsidRDefault="003F2A54" w:rsidP="00F0438A">
      <w:pPr>
        <w:rPr>
          <w:lang w:val="en-GB"/>
        </w:rPr>
      </w:pPr>
      <w:r w:rsidRPr="003F2A54">
        <w:rPr>
          <w:lang w:val="en-GB"/>
        </w:rPr>
        <w:t xml:space="preserve">In February 2024 the Australian Government announced the Crack Down on Fraud program, which is ‘making it easier to get it right, harder to get it wrong’. The program is a multi-year program </w:t>
      </w:r>
      <w:r w:rsidR="00F231FD">
        <w:rPr>
          <w:lang w:val="en-GB"/>
        </w:rPr>
        <w:t>that</w:t>
      </w:r>
      <w:r w:rsidR="00F231FD" w:rsidRPr="003F2A54">
        <w:rPr>
          <w:lang w:val="en-GB"/>
        </w:rPr>
        <w:t xml:space="preserve"> </w:t>
      </w:r>
      <w:r w:rsidRPr="003F2A54">
        <w:rPr>
          <w:lang w:val="en-GB"/>
        </w:rPr>
        <w:t>aims to streamline the interactions of participants, nominees, providers, and their representatives with NDIS systems</w:t>
      </w:r>
      <w:r w:rsidR="00F231FD">
        <w:rPr>
          <w:lang w:val="en-GB"/>
        </w:rPr>
        <w:t>;</w:t>
      </w:r>
      <w:r w:rsidRPr="003F2A54">
        <w:rPr>
          <w:lang w:val="en-GB"/>
        </w:rPr>
        <w:t xml:space="preserve"> and support the NDIA to detect and prevent fraud and noncompliance.</w:t>
      </w:r>
    </w:p>
    <w:p w14:paraId="5510A989" w14:textId="263D2400" w:rsidR="00280054" w:rsidRPr="00A33264" w:rsidRDefault="00766CAA" w:rsidP="00280054">
      <w:pPr>
        <w:pStyle w:val="Heading5"/>
        <w:rPr>
          <w:lang w:val="en-GB"/>
        </w:rPr>
      </w:pPr>
      <w:r w:rsidRPr="00A33264">
        <w:rPr>
          <w:lang w:val="en-GB"/>
        </w:rPr>
        <w:t>Delivering integrity results</w:t>
      </w:r>
    </w:p>
    <w:p w14:paraId="22AA505B" w14:textId="451E0F46" w:rsidR="00766CAA" w:rsidRPr="00A33264" w:rsidRDefault="00766CAA" w:rsidP="00766CAA">
      <w:pPr>
        <w:rPr>
          <w:lang w:val="en-GB"/>
        </w:rPr>
      </w:pPr>
      <w:r w:rsidRPr="00A33264">
        <w:rPr>
          <w:lang w:val="en-GB"/>
        </w:rPr>
        <w:t xml:space="preserve">The combination of these programs of work </w:t>
      </w:r>
      <w:r w:rsidR="00D44FB2">
        <w:rPr>
          <w:lang w:val="en-GB"/>
        </w:rPr>
        <w:t>is</w:t>
      </w:r>
      <w:r w:rsidRPr="00A33264">
        <w:rPr>
          <w:lang w:val="en-GB"/>
        </w:rPr>
        <w:t xml:space="preserve"> delivering a series of results. </w:t>
      </w:r>
      <w:r w:rsidR="00C26503">
        <w:rPr>
          <w:lang w:val="en-GB"/>
        </w:rPr>
        <w:t>During 2023–24</w:t>
      </w:r>
      <w:r w:rsidR="00D20352" w:rsidRPr="00A33264">
        <w:rPr>
          <w:lang w:val="en-GB"/>
        </w:rPr>
        <w:t xml:space="preserve"> </w:t>
      </w:r>
      <w:r w:rsidRPr="00A33264">
        <w:rPr>
          <w:lang w:val="en-GB"/>
        </w:rPr>
        <w:t xml:space="preserve">the </w:t>
      </w:r>
      <w:r w:rsidR="00C26503">
        <w:rPr>
          <w:lang w:val="en-GB"/>
        </w:rPr>
        <w:t>NDIA</w:t>
      </w:r>
      <w:r w:rsidRPr="00A33264">
        <w:rPr>
          <w:lang w:val="en-GB"/>
        </w:rPr>
        <w:t xml:space="preserve"> roll</w:t>
      </w:r>
      <w:r w:rsidR="00D20352" w:rsidRPr="00A33264">
        <w:rPr>
          <w:lang w:val="en-GB"/>
        </w:rPr>
        <w:t>ed</w:t>
      </w:r>
      <w:r w:rsidRPr="00A33264">
        <w:rPr>
          <w:lang w:val="en-GB"/>
        </w:rPr>
        <w:t xml:space="preserve"> out integrity transformation initiatives </w:t>
      </w:r>
      <w:r w:rsidR="00D20352" w:rsidRPr="00A33264">
        <w:rPr>
          <w:lang w:val="en-GB"/>
        </w:rPr>
        <w:t>including</w:t>
      </w:r>
      <w:r w:rsidRPr="00A33264">
        <w:rPr>
          <w:lang w:val="en-GB"/>
        </w:rPr>
        <w:t>:</w:t>
      </w:r>
    </w:p>
    <w:p w14:paraId="7AD97FA2" w14:textId="11EBDDD8" w:rsidR="00766CAA" w:rsidRPr="00A33264" w:rsidRDefault="00766CAA" w:rsidP="00766CAA">
      <w:pPr>
        <w:pStyle w:val="Bullet1"/>
        <w:rPr>
          <w:lang w:val="en-GB"/>
        </w:rPr>
      </w:pPr>
      <w:r w:rsidRPr="00A33264">
        <w:rPr>
          <w:lang w:val="en-GB"/>
        </w:rPr>
        <w:lastRenderedPageBreak/>
        <w:t>review</w:t>
      </w:r>
      <w:r w:rsidR="00D20352" w:rsidRPr="00A33264">
        <w:rPr>
          <w:lang w:val="en-GB"/>
        </w:rPr>
        <w:t>ing</w:t>
      </w:r>
      <w:r w:rsidRPr="00A33264">
        <w:rPr>
          <w:lang w:val="en-GB"/>
        </w:rPr>
        <w:t xml:space="preserve"> 14,531 pre-payment and 66,759 post-payment claims</w:t>
      </w:r>
      <w:r w:rsidR="00D20352" w:rsidRPr="00A33264">
        <w:rPr>
          <w:lang w:val="en-GB"/>
        </w:rPr>
        <w:t xml:space="preserve"> resulting</w:t>
      </w:r>
      <w:r w:rsidRPr="00A33264">
        <w:rPr>
          <w:lang w:val="en-GB"/>
        </w:rPr>
        <w:t xml:space="preserve"> in $57 million in payment cancellations due to noncompliance </w:t>
      </w:r>
      <w:r w:rsidR="00D20352" w:rsidRPr="00A33264">
        <w:rPr>
          <w:lang w:val="en-GB"/>
        </w:rPr>
        <w:t>in 2023</w:t>
      </w:r>
      <w:r w:rsidR="00C26503">
        <w:rPr>
          <w:lang w:val="en-GB"/>
        </w:rPr>
        <w:t>–</w:t>
      </w:r>
      <w:r w:rsidR="00D20352" w:rsidRPr="00A33264">
        <w:rPr>
          <w:lang w:val="en-GB"/>
        </w:rPr>
        <w:t xml:space="preserve">24 </w:t>
      </w:r>
      <w:r w:rsidRPr="00A33264">
        <w:rPr>
          <w:lang w:val="en-GB"/>
        </w:rPr>
        <w:t xml:space="preserve">(compared </w:t>
      </w:r>
      <w:r w:rsidR="00F231FD">
        <w:rPr>
          <w:lang w:val="en-GB"/>
        </w:rPr>
        <w:t>with</w:t>
      </w:r>
      <w:r w:rsidRPr="00A33264">
        <w:rPr>
          <w:lang w:val="en-GB"/>
        </w:rPr>
        <w:t xml:space="preserve"> $49 million in 2022</w:t>
      </w:r>
      <w:r w:rsidR="00C26503">
        <w:rPr>
          <w:lang w:val="en-GB"/>
        </w:rPr>
        <w:t>–</w:t>
      </w:r>
      <w:r w:rsidRPr="00A33264">
        <w:rPr>
          <w:lang w:val="en-GB"/>
        </w:rPr>
        <w:t>23)</w:t>
      </w:r>
    </w:p>
    <w:p w14:paraId="05025C1F" w14:textId="45D672E9" w:rsidR="00766CAA" w:rsidRPr="00A33264" w:rsidRDefault="00AC1A29" w:rsidP="00766CAA">
      <w:pPr>
        <w:pStyle w:val="Bullet1"/>
        <w:rPr>
          <w:lang w:val="en-GB"/>
        </w:rPr>
      </w:pPr>
      <w:r w:rsidRPr="00A33264">
        <w:rPr>
          <w:lang w:val="en-GB"/>
        </w:rPr>
        <w:t>an enhanced</w:t>
      </w:r>
      <w:r w:rsidR="00766CAA" w:rsidRPr="00A33264">
        <w:rPr>
          <w:lang w:val="en-GB"/>
        </w:rPr>
        <w:t xml:space="preserve"> review process for claims received after a plan has expired and increased pre-payment checks on cash </w:t>
      </w:r>
      <w:r w:rsidR="005524ED" w:rsidRPr="00A33264">
        <w:rPr>
          <w:lang w:val="en-GB"/>
        </w:rPr>
        <w:t>reimbursements –</w:t>
      </w:r>
      <w:r w:rsidR="00766CAA" w:rsidRPr="00A33264">
        <w:rPr>
          <w:lang w:val="en-GB"/>
        </w:rPr>
        <w:t xml:space="preserve"> </w:t>
      </w:r>
      <w:r w:rsidR="00E777EE" w:rsidRPr="00A33264">
        <w:rPr>
          <w:lang w:val="en-GB"/>
        </w:rPr>
        <w:t xml:space="preserve">preventing noncompliance and contributing to </w:t>
      </w:r>
      <w:r w:rsidR="00A36773">
        <w:rPr>
          <w:lang w:val="en-GB"/>
        </w:rPr>
        <w:t>Scheme</w:t>
      </w:r>
      <w:r w:rsidR="00CA5D3C" w:rsidRPr="00A33264">
        <w:rPr>
          <w:lang w:val="en-GB"/>
        </w:rPr>
        <w:t xml:space="preserve"> </w:t>
      </w:r>
      <w:r w:rsidR="00E777EE" w:rsidRPr="00A33264">
        <w:rPr>
          <w:lang w:val="en-GB"/>
        </w:rPr>
        <w:t>sustainability</w:t>
      </w:r>
    </w:p>
    <w:p w14:paraId="4694C4E3" w14:textId="3B74D61D" w:rsidR="00766CAA" w:rsidRPr="00A33264" w:rsidRDefault="00C26503" w:rsidP="00766CAA">
      <w:pPr>
        <w:pStyle w:val="Bullet1"/>
        <w:rPr>
          <w:lang w:val="en-GB"/>
        </w:rPr>
      </w:pPr>
      <w:r>
        <w:rPr>
          <w:lang w:val="en-GB"/>
        </w:rPr>
        <w:t xml:space="preserve">identifying and stopping claims from participants who have been overseas for more than 6 weeks – resulting in </w:t>
      </w:r>
      <w:r w:rsidR="00766CAA" w:rsidRPr="00A33264">
        <w:rPr>
          <w:lang w:val="en-GB"/>
        </w:rPr>
        <w:t>more than 150 participants hav</w:t>
      </w:r>
      <w:r w:rsidR="00AC1A29" w:rsidRPr="00A33264">
        <w:rPr>
          <w:lang w:val="en-GB"/>
        </w:rPr>
        <w:t>ing</w:t>
      </w:r>
      <w:r w:rsidR="00766CAA" w:rsidRPr="00A33264">
        <w:rPr>
          <w:lang w:val="en-GB"/>
        </w:rPr>
        <w:t xml:space="preserve"> their plan paused or their eligibility revoked</w:t>
      </w:r>
    </w:p>
    <w:p w14:paraId="54521813" w14:textId="69C12AF4" w:rsidR="00766CAA" w:rsidRPr="00A33264" w:rsidRDefault="00C26503" w:rsidP="00766CAA">
      <w:pPr>
        <w:pStyle w:val="Bullet1"/>
        <w:rPr>
          <w:lang w:val="en-GB"/>
        </w:rPr>
      </w:pPr>
      <w:r>
        <w:rPr>
          <w:lang w:val="en-GB"/>
        </w:rPr>
        <w:t xml:space="preserve">implementing a new web-based form as part of </w:t>
      </w:r>
      <w:r w:rsidR="00AC1A29" w:rsidRPr="00A33264">
        <w:rPr>
          <w:lang w:val="en-GB"/>
        </w:rPr>
        <w:t>a</w:t>
      </w:r>
      <w:r w:rsidR="00766CAA" w:rsidRPr="00A33264">
        <w:rPr>
          <w:lang w:val="en-GB"/>
        </w:rPr>
        <w:t xml:space="preserve"> redesigned tip-off process. Tip-offs to the </w:t>
      </w:r>
      <w:r>
        <w:rPr>
          <w:lang w:val="en-GB"/>
        </w:rPr>
        <w:t>NDIA</w:t>
      </w:r>
      <w:r w:rsidR="00766CAA" w:rsidRPr="00A33264">
        <w:rPr>
          <w:lang w:val="en-GB"/>
        </w:rPr>
        <w:t xml:space="preserve"> continue to increase in </w:t>
      </w:r>
      <w:r>
        <w:rPr>
          <w:lang w:val="en-GB"/>
        </w:rPr>
        <w:t xml:space="preserve">quality and </w:t>
      </w:r>
      <w:r w:rsidR="00766CAA" w:rsidRPr="00A33264">
        <w:rPr>
          <w:lang w:val="en-GB"/>
        </w:rPr>
        <w:t xml:space="preserve">quantity, with over 7,000 received in the 3 months to 30 June </w:t>
      </w:r>
      <w:r>
        <w:rPr>
          <w:lang w:val="en-GB"/>
        </w:rPr>
        <w:t xml:space="preserve">2024 </w:t>
      </w:r>
      <w:r w:rsidR="00766CAA" w:rsidRPr="00A33264">
        <w:rPr>
          <w:lang w:val="en-GB"/>
        </w:rPr>
        <w:t xml:space="preserve">alone – a </w:t>
      </w:r>
      <w:r>
        <w:rPr>
          <w:lang w:val="en-GB"/>
        </w:rPr>
        <w:t>significant increase</w:t>
      </w:r>
    </w:p>
    <w:p w14:paraId="6C72620C" w14:textId="0C46DBD9" w:rsidR="00766CAA" w:rsidRPr="00A33264" w:rsidRDefault="00766CAA" w:rsidP="00766CAA">
      <w:pPr>
        <w:pStyle w:val="Bullet1"/>
        <w:rPr>
          <w:lang w:val="en-GB"/>
        </w:rPr>
      </w:pPr>
      <w:r w:rsidRPr="00A33264">
        <w:rPr>
          <w:lang w:val="en-GB"/>
        </w:rPr>
        <w:t>piloting the use of myGov in front of the NDIS app</w:t>
      </w:r>
      <w:r w:rsidR="00AC1A29" w:rsidRPr="00A33264">
        <w:rPr>
          <w:lang w:val="en-GB"/>
        </w:rPr>
        <w:t xml:space="preserve">, </w:t>
      </w:r>
      <w:r w:rsidRPr="00A33264">
        <w:rPr>
          <w:lang w:val="en-GB"/>
        </w:rPr>
        <w:t>creat</w:t>
      </w:r>
      <w:r w:rsidR="00AC1A29" w:rsidRPr="00A33264">
        <w:rPr>
          <w:lang w:val="en-GB"/>
        </w:rPr>
        <w:t>ing</w:t>
      </w:r>
      <w:r w:rsidRPr="00A33264">
        <w:rPr>
          <w:lang w:val="en-GB"/>
        </w:rPr>
        <w:t xml:space="preserve"> a familiar, consistent and more secure experience for participants and nominees</w:t>
      </w:r>
    </w:p>
    <w:p w14:paraId="7B285BB2" w14:textId="156CC7FC" w:rsidR="00766CAA" w:rsidRPr="00A33264" w:rsidRDefault="00C26503" w:rsidP="00766CAA">
      <w:pPr>
        <w:pStyle w:val="Bullet1"/>
        <w:rPr>
          <w:lang w:val="en-GB"/>
        </w:rPr>
      </w:pPr>
      <w:r>
        <w:rPr>
          <w:lang w:val="en-GB"/>
        </w:rPr>
        <w:t xml:space="preserve">conducting </w:t>
      </w:r>
      <w:r w:rsidR="00766CAA" w:rsidRPr="00A33264">
        <w:rPr>
          <w:lang w:val="en-GB"/>
        </w:rPr>
        <w:t xml:space="preserve">post-payment reviews of School Leavers Employment payments and fixing integrity gaps in </w:t>
      </w:r>
      <w:r w:rsidR="00F231FD">
        <w:rPr>
          <w:lang w:val="en-GB"/>
        </w:rPr>
        <w:t>the way</w:t>
      </w:r>
      <w:r w:rsidR="00766CAA" w:rsidRPr="00A33264">
        <w:rPr>
          <w:lang w:val="en-GB"/>
        </w:rPr>
        <w:t xml:space="preserve"> th</w:t>
      </w:r>
      <w:r>
        <w:rPr>
          <w:lang w:val="en-GB"/>
        </w:rPr>
        <w:t xml:space="preserve">e </w:t>
      </w:r>
      <w:r w:rsidR="00CA5D3C">
        <w:rPr>
          <w:lang w:val="en-GB"/>
        </w:rPr>
        <w:t>payment</w:t>
      </w:r>
      <w:r w:rsidR="00766CAA" w:rsidRPr="00A33264">
        <w:rPr>
          <w:lang w:val="en-GB"/>
        </w:rPr>
        <w:t xml:space="preserve"> is managed</w:t>
      </w:r>
    </w:p>
    <w:p w14:paraId="151E02AB" w14:textId="661F6EF1" w:rsidR="00766CAA" w:rsidRPr="00A33264" w:rsidRDefault="00AC1A29" w:rsidP="00766CAA">
      <w:pPr>
        <w:pStyle w:val="Bullet1"/>
        <w:rPr>
          <w:lang w:val="en-GB"/>
        </w:rPr>
      </w:pPr>
      <w:r w:rsidRPr="00A33264">
        <w:rPr>
          <w:lang w:val="en-GB"/>
        </w:rPr>
        <w:t>chang</w:t>
      </w:r>
      <w:r w:rsidR="00C26503">
        <w:rPr>
          <w:lang w:val="en-GB"/>
        </w:rPr>
        <w:t>ing</w:t>
      </w:r>
      <w:r w:rsidRPr="00A33264">
        <w:rPr>
          <w:lang w:val="en-GB"/>
        </w:rPr>
        <w:t xml:space="preserve"> the claiming process </w:t>
      </w:r>
      <w:r w:rsidR="00766CAA" w:rsidRPr="00A33264">
        <w:rPr>
          <w:lang w:val="en-GB"/>
        </w:rPr>
        <w:t xml:space="preserve">for </w:t>
      </w:r>
      <w:r w:rsidR="00C26503">
        <w:rPr>
          <w:lang w:val="en-GB"/>
        </w:rPr>
        <w:t>s</w:t>
      </w:r>
      <w:r w:rsidR="00766CAA" w:rsidRPr="00A33264">
        <w:rPr>
          <w:lang w:val="en-GB"/>
        </w:rPr>
        <w:t>elf-</w:t>
      </w:r>
      <w:r w:rsidR="00C26503">
        <w:rPr>
          <w:lang w:val="en-GB"/>
        </w:rPr>
        <w:t>m</w:t>
      </w:r>
      <w:r w:rsidR="00766CAA" w:rsidRPr="00A33264">
        <w:rPr>
          <w:lang w:val="en-GB"/>
        </w:rPr>
        <w:t xml:space="preserve">anaged </w:t>
      </w:r>
      <w:r w:rsidR="00C26503">
        <w:rPr>
          <w:lang w:val="en-GB"/>
        </w:rPr>
        <w:t>c</w:t>
      </w:r>
      <w:r w:rsidR="00766CAA" w:rsidRPr="00A33264">
        <w:rPr>
          <w:lang w:val="en-GB"/>
        </w:rPr>
        <w:t>laims</w:t>
      </w:r>
      <w:r w:rsidRPr="00A33264">
        <w:rPr>
          <w:lang w:val="en-GB"/>
        </w:rPr>
        <w:t xml:space="preserve"> to require a description for every claim</w:t>
      </w:r>
    </w:p>
    <w:p w14:paraId="3B59080E" w14:textId="5A4CC922" w:rsidR="00766CAA" w:rsidRPr="00A33264" w:rsidRDefault="00C26503" w:rsidP="00766CAA">
      <w:pPr>
        <w:pStyle w:val="Bullet1"/>
        <w:rPr>
          <w:lang w:val="en-GB"/>
        </w:rPr>
      </w:pPr>
      <w:r>
        <w:rPr>
          <w:lang w:val="en-GB"/>
        </w:rPr>
        <w:t xml:space="preserve">conducting </w:t>
      </w:r>
      <w:r w:rsidR="00766CAA" w:rsidRPr="00A33264">
        <w:rPr>
          <w:lang w:val="en-GB"/>
        </w:rPr>
        <w:t>integrity campaign</w:t>
      </w:r>
      <w:r w:rsidR="00AC1A29" w:rsidRPr="00A33264">
        <w:rPr>
          <w:lang w:val="en-GB"/>
        </w:rPr>
        <w:t>s</w:t>
      </w:r>
      <w:r w:rsidR="00766CAA" w:rsidRPr="00A33264">
        <w:rPr>
          <w:lang w:val="en-GB"/>
        </w:rPr>
        <w:t xml:space="preserve"> focused on </w:t>
      </w:r>
      <w:r w:rsidR="00AC1A29" w:rsidRPr="00A33264">
        <w:rPr>
          <w:lang w:val="en-GB"/>
        </w:rPr>
        <w:t>thematic issues.</w:t>
      </w:r>
    </w:p>
    <w:p w14:paraId="3A32E677" w14:textId="0940D236" w:rsidR="00280054" w:rsidRPr="00A33264" w:rsidRDefault="00766CAA" w:rsidP="00F86FC3">
      <w:pPr>
        <w:rPr>
          <w:lang w:val="en-GB"/>
        </w:rPr>
      </w:pPr>
      <w:r w:rsidRPr="00A33264">
        <w:rPr>
          <w:lang w:val="en-GB"/>
        </w:rPr>
        <w:t>As at 30 June 2024 there were 72 fraud investigations underway, with a</w:t>
      </w:r>
      <w:r w:rsidR="00CA5D3C">
        <w:rPr>
          <w:lang w:val="en-GB"/>
        </w:rPr>
        <w:t>n</w:t>
      </w:r>
      <w:r w:rsidRPr="00A33264">
        <w:rPr>
          <w:lang w:val="en-GB"/>
        </w:rPr>
        <w:t xml:space="preserve"> estimated value of $34.5 million. </w:t>
      </w:r>
      <w:r w:rsidR="00C26503">
        <w:rPr>
          <w:lang w:val="en-GB"/>
        </w:rPr>
        <w:t>Sixteen</w:t>
      </w:r>
      <w:r w:rsidR="00C26503" w:rsidRPr="00A33264">
        <w:rPr>
          <w:lang w:val="en-GB"/>
        </w:rPr>
        <w:t xml:space="preserve"> </w:t>
      </w:r>
      <w:r w:rsidRPr="00A33264">
        <w:rPr>
          <w:lang w:val="en-GB"/>
        </w:rPr>
        <w:t>prosecutions were in progress involving 27 charged offenders.</w:t>
      </w:r>
    </w:p>
    <w:p w14:paraId="2CCDB8BE" w14:textId="7A9BB0C7" w:rsidR="00D7463A" w:rsidRPr="00A33264" w:rsidRDefault="00D7463A" w:rsidP="00D7463A">
      <w:pPr>
        <w:pStyle w:val="Heading4"/>
        <w:rPr>
          <w:lang w:val="en-GB"/>
        </w:rPr>
      </w:pPr>
      <w:bookmarkStart w:id="329" w:name="_Toc169592987"/>
      <w:r w:rsidRPr="00A33264">
        <w:rPr>
          <w:lang w:val="en-GB"/>
        </w:rPr>
        <w:t>Internal audit</w:t>
      </w:r>
      <w:bookmarkEnd w:id="329"/>
    </w:p>
    <w:p w14:paraId="4EEAFFB5" w14:textId="16CD15EC" w:rsidR="00821A87" w:rsidRPr="00A33264" w:rsidRDefault="00821A87" w:rsidP="00821A87">
      <w:pPr>
        <w:rPr>
          <w:lang w:val="en-GB"/>
        </w:rPr>
      </w:pPr>
      <w:r w:rsidRPr="00A33264">
        <w:rPr>
          <w:lang w:val="en-GB"/>
        </w:rPr>
        <w:t xml:space="preserve">The internal audit function supports effective risk management and operates as a key internal control. The Audit Branch provides independent assurance to management and the </w:t>
      </w:r>
      <w:r w:rsidR="00C26503">
        <w:rPr>
          <w:lang w:val="en-GB"/>
        </w:rPr>
        <w:t xml:space="preserve">NDIA </w:t>
      </w:r>
      <w:r w:rsidRPr="00A33264">
        <w:rPr>
          <w:lang w:val="en-GB"/>
        </w:rPr>
        <w:t xml:space="preserve">Board through the Board Audit and Risk Committee. The internal audit function partners with stakeholders to ensure they understand the NDIA’s strategic direction and risk profile to deliver a fully aligned, risk-focused plan incorporating both assurance and advisory activity. As part of the audit process, findings are raised in consultation with relevant business areas </w:t>
      </w:r>
      <w:r w:rsidR="00C26503">
        <w:rPr>
          <w:lang w:val="en-GB"/>
        </w:rPr>
        <w:t>to gain</w:t>
      </w:r>
      <w:r w:rsidR="00C26503" w:rsidRPr="00A33264">
        <w:rPr>
          <w:lang w:val="en-GB"/>
        </w:rPr>
        <w:t xml:space="preserve"> </w:t>
      </w:r>
      <w:r w:rsidRPr="00A33264">
        <w:rPr>
          <w:lang w:val="en-GB"/>
        </w:rPr>
        <w:t xml:space="preserve">an understanding of the operating environment and relevant insights. </w:t>
      </w:r>
    </w:p>
    <w:p w14:paraId="4316F06F" w14:textId="22393C1E" w:rsidR="00D7463A" w:rsidRPr="00A33264" w:rsidRDefault="00821A87" w:rsidP="00821A87">
      <w:pPr>
        <w:rPr>
          <w:lang w:val="en-GB"/>
        </w:rPr>
      </w:pPr>
      <w:r w:rsidRPr="00A33264">
        <w:rPr>
          <w:lang w:val="en-GB"/>
        </w:rPr>
        <w:t xml:space="preserve">The outcomes of all audit activity </w:t>
      </w:r>
      <w:r w:rsidR="006A3A5F">
        <w:rPr>
          <w:lang w:val="en-GB"/>
        </w:rPr>
        <w:t>are</w:t>
      </w:r>
      <w:r w:rsidRPr="00A33264">
        <w:rPr>
          <w:lang w:val="en-GB"/>
        </w:rPr>
        <w:t xml:space="preserve"> reported to the Board Audit and Risk Committee, and progress on action plans </w:t>
      </w:r>
      <w:r w:rsidR="002962FF">
        <w:rPr>
          <w:lang w:val="en-GB"/>
        </w:rPr>
        <w:t>is</w:t>
      </w:r>
      <w:r w:rsidRPr="00A33264">
        <w:rPr>
          <w:lang w:val="en-GB"/>
        </w:rPr>
        <w:t xml:space="preserve"> monitored through an online tracking system. The status of these actions </w:t>
      </w:r>
      <w:r w:rsidR="009238BF">
        <w:rPr>
          <w:lang w:val="en-GB"/>
        </w:rPr>
        <w:t>is</w:t>
      </w:r>
      <w:r w:rsidRPr="00A33264">
        <w:rPr>
          <w:lang w:val="en-GB"/>
        </w:rPr>
        <w:t xml:space="preserve"> reported to both management and the Board through the Board Audit and Risk Committee.</w:t>
      </w:r>
    </w:p>
    <w:p w14:paraId="57DC8CEB" w14:textId="4E0FEB51" w:rsidR="00D7463A" w:rsidRPr="00A33264" w:rsidRDefault="00D7463A" w:rsidP="00D7463A">
      <w:pPr>
        <w:pStyle w:val="Heading4"/>
        <w:rPr>
          <w:lang w:val="en-GB"/>
        </w:rPr>
      </w:pPr>
      <w:bookmarkStart w:id="330" w:name="_Toc169592988"/>
      <w:r w:rsidRPr="00A33264">
        <w:rPr>
          <w:lang w:val="en-GB"/>
        </w:rPr>
        <w:t>External audit</w:t>
      </w:r>
      <w:bookmarkEnd w:id="330"/>
    </w:p>
    <w:p w14:paraId="0BD8E1F9" w14:textId="5CE548C9" w:rsidR="00D7463A" w:rsidRPr="00A33264" w:rsidRDefault="00821A87" w:rsidP="00D7463A">
      <w:pPr>
        <w:rPr>
          <w:lang w:val="en-GB"/>
        </w:rPr>
      </w:pPr>
      <w:r w:rsidRPr="00A33264">
        <w:rPr>
          <w:lang w:val="en-GB"/>
        </w:rPr>
        <w:t xml:space="preserve">The NDIA </w:t>
      </w:r>
      <w:r w:rsidR="006C414F">
        <w:rPr>
          <w:lang w:val="en-GB"/>
        </w:rPr>
        <w:t>works</w:t>
      </w:r>
      <w:r w:rsidRPr="00A33264">
        <w:rPr>
          <w:lang w:val="en-GB"/>
        </w:rPr>
        <w:t xml:space="preserve"> with the Australian National Audit Office (ANAO), which provides external auditing services on the annual financial statements, annual performance </w:t>
      </w:r>
      <w:r w:rsidRPr="00A33264">
        <w:rPr>
          <w:lang w:val="en-GB"/>
        </w:rPr>
        <w:lastRenderedPageBreak/>
        <w:t>statements and performance audit services. Details of performance audits undertaken during the year that have an impact on the NDIA are provided in section 6.8</w:t>
      </w:r>
      <w:r w:rsidR="00847308" w:rsidRPr="00A33264">
        <w:rPr>
          <w:lang w:val="en-GB"/>
        </w:rPr>
        <w:t>.6 of this report</w:t>
      </w:r>
      <w:r w:rsidRPr="00A33264">
        <w:rPr>
          <w:lang w:val="en-GB"/>
        </w:rPr>
        <w:t>. The ANAO audit report on annual financial statements is included in section 3. All management actions taken to address recommendations raised by the ANAO are tracked, with regular reporting on their status to both management and the Board Audit and Risk Committee.</w:t>
      </w:r>
    </w:p>
    <w:p w14:paraId="50E29887" w14:textId="17467AEF" w:rsidR="00863C7F" w:rsidRPr="00A33264" w:rsidRDefault="00D7463A" w:rsidP="005F5CE9">
      <w:pPr>
        <w:pStyle w:val="Heading2"/>
        <w:rPr>
          <w:lang w:val="en-GB"/>
        </w:rPr>
      </w:pPr>
      <w:bookmarkStart w:id="331" w:name="_Toc169592989"/>
      <w:bookmarkStart w:id="332" w:name="_Toc174354205"/>
      <w:bookmarkStart w:id="333" w:name="_Toc174354233"/>
      <w:bookmarkStart w:id="334" w:name="_Toc176786400"/>
      <w:bookmarkStart w:id="335" w:name="_Toc180505682"/>
      <w:r w:rsidRPr="00A33264">
        <w:rPr>
          <w:lang w:val="en-GB"/>
        </w:rPr>
        <w:t>Appendi</w:t>
      </w:r>
      <w:bookmarkEnd w:id="331"/>
      <w:bookmarkEnd w:id="332"/>
      <w:bookmarkEnd w:id="333"/>
      <w:bookmarkEnd w:id="334"/>
      <w:r w:rsidR="009E1CB5">
        <w:rPr>
          <w:lang w:val="en-GB"/>
        </w:rPr>
        <w:t>ces</w:t>
      </w:r>
      <w:bookmarkEnd w:id="335"/>
    </w:p>
    <w:p w14:paraId="3D1F7B34" w14:textId="39262A70" w:rsidR="00D7463A" w:rsidRPr="00A33264" w:rsidRDefault="00D7463A" w:rsidP="00D7463A">
      <w:pPr>
        <w:pStyle w:val="Heading3"/>
        <w:rPr>
          <w:lang w:val="en-GB"/>
        </w:rPr>
      </w:pPr>
      <w:bookmarkStart w:id="336" w:name="_Toc169592990"/>
      <w:bookmarkStart w:id="337" w:name="_Toc174354206"/>
      <w:bookmarkStart w:id="338" w:name="_Toc175316910"/>
      <w:bookmarkStart w:id="339" w:name="_Toc176786401"/>
      <w:bookmarkStart w:id="340" w:name="_Toc180505683"/>
      <w:r w:rsidRPr="00A33264">
        <w:rPr>
          <w:lang w:val="en-GB"/>
        </w:rPr>
        <w:t>Enabling legislation</w:t>
      </w:r>
      <w:bookmarkEnd w:id="336"/>
      <w:bookmarkEnd w:id="337"/>
      <w:bookmarkEnd w:id="338"/>
      <w:bookmarkEnd w:id="339"/>
      <w:bookmarkEnd w:id="340"/>
    </w:p>
    <w:p w14:paraId="172E0FFF" w14:textId="088AC0D6" w:rsidR="00E83B0D" w:rsidRPr="00A33264" w:rsidRDefault="00E83B0D" w:rsidP="00E83B0D">
      <w:pPr>
        <w:rPr>
          <w:lang w:val="en-GB"/>
        </w:rPr>
      </w:pPr>
      <w:r w:rsidRPr="00A33264">
        <w:rPr>
          <w:lang w:val="en-GB"/>
        </w:rPr>
        <w:t xml:space="preserve">The National Disability Insurance Agency </w:t>
      </w:r>
      <w:r w:rsidR="00400496">
        <w:rPr>
          <w:lang w:val="en-GB"/>
        </w:rPr>
        <w:t xml:space="preserve">(NDIA) </w:t>
      </w:r>
      <w:r w:rsidRPr="00A33264">
        <w:rPr>
          <w:lang w:val="en-GB"/>
        </w:rPr>
        <w:t xml:space="preserve">is established under </w:t>
      </w:r>
      <w:r w:rsidRPr="00A33264">
        <w:rPr>
          <w:i/>
          <w:iCs/>
          <w:lang w:val="en-GB"/>
        </w:rPr>
        <w:t>the National Disability Insurance Scheme Act 2013 </w:t>
      </w:r>
      <w:r w:rsidRPr="00A33264">
        <w:rPr>
          <w:lang w:val="en-GB"/>
        </w:rPr>
        <w:t>(</w:t>
      </w:r>
      <w:r w:rsidR="00F231FD">
        <w:rPr>
          <w:lang w:val="en-GB"/>
        </w:rPr>
        <w:t>Cth) (</w:t>
      </w:r>
      <w:r w:rsidRPr="00A33264">
        <w:rPr>
          <w:lang w:val="en-GB"/>
        </w:rPr>
        <w:t>NDIS Act) to deliver the National Disability Insurance Scheme</w:t>
      </w:r>
      <w:r w:rsidR="00C009BC">
        <w:rPr>
          <w:lang w:val="en-GB"/>
        </w:rPr>
        <w:t xml:space="preserve"> (NDIS)</w:t>
      </w:r>
      <w:r w:rsidRPr="00A33264">
        <w:rPr>
          <w:lang w:val="en-GB"/>
        </w:rPr>
        <w:t>.</w:t>
      </w:r>
    </w:p>
    <w:p w14:paraId="488E239C" w14:textId="5B85E6A3" w:rsidR="00D7463A" w:rsidRPr="00A33264" w:rsidRDefault="00E83B0D" w:rsidP="00E83B0D">
      <w:pPr>
        <w:rPr>
          <w:lang w:val="en-GB"/>
        </w:rPr>
      </w:pPr>
      <w:r w:rsidRPr="00A33264">
        <w:rPr>
          <w:lang w:val="en-GB"/>
        </w:rPr>
        <w:t xml:space="preserve">Following the release of the NDIS Review report on 7 December 2023, the </w:t>
      </w:r>
      <w:r w:rsidR="004C75ED">
        <w:rPr>
          <w:lang w:val="en-GB"/>
        </w:rPr>
        <w:t>G</w:t>
      </w:r>
      <w:r w:rsidRPr="00A33264">
        <w:rPr>
          <w:lang w:val="en-GB"/>
        </w:rPr>
        <w:t>overnment introduced the National Disability Insurance Scheme Amendment (Getting the NDIS Back on Track No. 1) Bill 2024 on 27 March 2024. The Bill propose</w:t>
      </w:r>
      <w:r w:rsidR="003C7217" w:rsidRPr="00A33264">
        <w:rPr>
          <w:lang w:val="en-GB"/>
        </w:rPr>
        <w:t>d</w:t>
      </w:r>
      <w:r w:rsidRPr="00A33264">
        <w:rPr>
          <w:lang w:val="en-GB"/>
        </w:rPr>
        <w:t xml:space="preserve"> changes to various provisions in the NDIS Act aimed at implementing NDIS Review report recommendations and improving the participant experience.</w:t>
      </w:r>
      <w:r w:rsidR="003C7217" w:rsidRPr="00A33264">
        <w:rPr>
          <w:lang w:val="en-GB"/>
        </w:rPr>
        <w:t xml:space="preserve"> The Bill was passed by the Parliament on 22 August 2024 and will come into effect 28 days after it receives Royal Assent.</w:t>
      </w:r>
    </w:p>
    <w:p w14:paraId="39DC03E4" w14:textId="092C0257" w:rsidR="00D7463A" w:rsidRPr="00A33264" w:rsidRDefault="00D7463A" w:rsidP="00D7463A">
      <w:pPr>
        <w:pStyle w:val="Heading3"/>
        <w:rPr>
          <w:lang w:val="en-GB"/>
        </w:rPr>
      </w:pPr>
      <w:bookmarkStart w:id="341" w:name="_Toc169592991"/>
      <w:bookmarkStart w:id="342" w:name="_Toc174354207"/>
      <w:bookmarkStart w:id="343" w:name="_Toc175316911"/>
      <w:bookmarkStart w:id="344" w:name="_Toc176786402"/>
      <w:bookmarkStart w:id="345" w:name="_Toc180505684"/>
      <w:r w:rsidRPr="00A33264">
        <w:rPr>
          <w:lang w:val="en-GB"/>
        </w:rPr>
        <w:t xml:space="preserve">Audit </w:t>
      </w:r>
      <w:r w:rsidR="008662F5" w:rsidRPr="00A33264">
        <w:rPr>
          <w:lang w:val="en-GB"/>
        </w:rPr>
        <w:t xml:space="preserve">and Risk </w:t>
      </w:r>
      <w:r w:rsidRPr="00A33264">
        <w:rPr>
          <w:lang w:val="en-GB"/>
        </w:rPr>
        <w:t>Committee</w:t>
      </w:r>
      <w:bookmarkEnd w:id="341"/>
      <w:bookmarkEnd w:id="342"/>
      <w:bookmarkEnd w:id="343"/>
      <w:bookmarkEnd w:id="344"/>
      <w:bookmarkEnd w:id="345"/>
    </w:p>
    <w:p w14:paraId="09D8B49E" w14:textId="682A28EB" w:rsidR="009F6E27" w:rsidRPr="00A33264" w:rsidRDefault="009F6E27" w:rsidP="009F6E27">
      <w:pPr>
        <w:rPr>
          <w:lang w:val="en-GB"/>
        </w:rPr>
      </w:pPr>
      <w:r w:rsidRPr="00A33264">
        <w:rPr>
          <w:lang w:val="en-GB"/>
        </w:rPr>
        <w:t xml:space="preserve">The NDIA Board has established the Audit and Risk Committee to provide independent advice and assurance to the Board, as the </w:t>
      </w:r>
      <w:r w:rsidR="00C26503">
        <w:rPr>
          <w:lang w:val="en-GB"/>
        </w:rPr>
        <w:t>NDIA</w:t>
      </w:r>
      <w:r w:rsidR="00C26503" w:rsidRPr="00A33264">
        <w:rPr>
          <w:lang w:val="en-GB"/>
        </w:rPr>
        <w:t xml:space="preserve">’s </w:t>
      </w:r>
      <w:r w:rsidRPr="00A33264">
        <w:rPr>
          <w:lang w:val="en-GB"/>
        </w:rPr>
        <w:t>accountable authority, in accordance with</w:t>
      </w:r>
      <w:r w:rsidR="00C26503">
        <w:rPr>
          <w:lang w:val="en-GB"/>
        </w:rPr>
        <w:t xml:space="preserve"> the</w:t>
      </w:r>
      <w:r w:rsidRPr="00A33264">
        <w:rPr>
          <w:lang w:val="en-GB"/>
        </w:rPr>
        <w:t>:</w:t>
      </w:r>
    </w:p>
    <w:p w14:paraId="5995BC8E" w14:textId="34709ED5" w:rsidR="009F6E27" w:rsidRPr="00A33264" w:rsidRDefault="009F6E27" w:rsidP="009F6E27">
      <w:pPr>
        <w:pStyle w:val="Bullet1"/>
        <w:rPr>
          <w:lang w:val="en-GB"/>
        </w:rPr>
      </w:pPr>
      <w:r w:rsidRPr="00A33264">
        <w:rPr>
          <w:lang w:val="en-GB"/>
        </w:rPr>
        <w:t>PGPA Act</w:t>
      </w:r>
    </w:p>
    <w:p w14:paraId="606F8566" w14:textId="5F8A1497" w:rsidR="009F6E27" w:rsidRPr="00A33264" w:rsidRDefault="009F6E27" w:rsidP="009F6E27">
      <w:pPr>
        <w:pStyle w:val="Bullet1"/>
        <w:rPr>
          <w:lang w:val="en-GB"/>
        </w:rPr>
      </w:pPr>
      <w:r w:rsidRPr="00A33264">
        <w:rPr>
          <w:i/>
          <w:iCs/>
          <w:lang w:val="en-GB"/>
        </w:rPr>
        <w:t>Public Governance, Performance and Accountability Rule 2014</w:t>
      </w:r>
      <w:r w:rsidRPr="00A33264">
        <w:rPr>
          <w:lang w:val="en-GB"/>
        </w:rPr>
        <w:t xml:space="preserve"> (PGPA Rule)</w:t>
      </w:r>
    </w:p>
    <w:p w14:paraId="315D96E3" w14:textId="1AEFE8DD" w:rsidR="009F6E27" w:rsidRPr="00A33264" w:rsidRDefault="009F6E27" w:rsidP="009F6E27">
      <w:pPr>
        <w:pStyle w:val="Bullet1"/>
        <w:rPr>
          <w:lang w:val="en-GB"/>
        </w:rPr>
      </w:pPr>
      <w:r w:rsidRPr="00A33264">
        <w:rPr>
          <w:lang w:val="en-GB"/>
        </w:rPr>
        <w:t>NDIS Act</w:t>
      </w:r>
    </w:p>
    <w:p w14:paraId="6E724D77" w14:textId="34B5AB40" w:rsidR="009F6E27" w:rsidRPr="00A33264" w:rsidRDefault="009F6E27" w:rsidP="009F6E27">
      <w:pPr>
        <w:pStyle w:val="Bullet1"/>
        <w:rPr>
          <w:lang w:val="en-GB"/>
        </w:rPr>
      </w:pPr>
      <w:r w:rsidRPr="00A33264">
        <w:rPr>
          <w:i/>
          <w:iCs/>
          <w:lang w:val="en-GB"/>
        </w:rPr>
        <w:t>National Disability Insurance Scheme—Risk Management Rules 2013</w:t>
      </w:r>
      <w:r w:rsidRPr="00A33264">
        <w:rPr>
          <w:lang w:val="en-GB"/>
        </w:rPr>
        <w:t>.</w:t>
      </w:r>
    </w:p>
    <w:p w14:paraId="2D761C91" w14:textId="2732C3AA" w:rsidR="00F23525" w:rsidRDefault="00F231FD" w:rsidP="009F6E27">
      <w:pPr>
        <w:rPr>
          <w:u w:val="single"/>
          <w:lang w:val="en-GB"/>
        </w:rPr>
      </w:pPr>
      <w:r>
        <w:rPr>
          <w:lang w:val="en-GB"/>
        </w:rPr>
        <w:t xml:space="preserve">Table 6 shows Audit and Risk Committee remuneration. </w:t>
      </w:r>
      <w:r w:rsidR="009F6E27" w:rsidRPr="00A33264">
        <w:rPr>
          <w:lang w:val="en-GB"/>
        </w:rPr>
        <w:t xml:space="preserve">For details of members’ qualifications, knowledge, skills or experience, refer to section 5.2.1. For information on the number of meetings attended </w:t>
      </w:r>
      <w:r>
        <w:rPr>
          <w:lang w:val="en-GB"/>
        </w:rPr>
        <w:t>and the</w:t>
      </w:r>
      <w:r w:rsidR="009F6E27" w:rsidRPr="00A33264">
        <w:rPr>
          <w:lang w:val="en-GB"/>
        </w:rPr>
        <w:t xml:space="preserve"> total number of meetings, refer to section 5.2.3.</w:t>
      </w:r>
      <w:r w:rsidR="00F23525">
        <w:rPr>
          <w:u w:val="single"/>
          <w:lang w:val="en-GB"/>
        </w:rPr>
        <w:br w:type="page"/>
      </w:r>
    </w:p>
    <w:p w14:paraId="4C63870A" w14:textId="2E8E8AF8" w:rsidR="00EC4C79" w:rsidRPr="00A33264" w:rsidRDefault="00EC4C79" w:rsidP="009F6E27">
      <w:pPr>
        <w:rPr>
          <w:u w:val="single"/>
          <w:lang w:val="en-GB"/>
        </w:rPr>
      </w:pPr>
      <w:r w:rsidRPr="00A33264">
        <w:rPr>
          <w:u w:val="single"/>
          <w:lang w:val="en-GB"/>
        </w:rPr>
        <w:lastRenderedPageBreak/>
        <w:t>Table 6</w:t>
      </w:r>
      <w:r w:rsidR="00C25B9C">
        <w:rPr>
          <w:u w:val="single"/>
          <w:lang w:val="en-GB"/>
        </w:rPr>
        <w:t>:</w:t>
      </w:r>
      <w:r w:rsidRPr="00A33264">
        <w:rPr>
          <w:u w:val="single"/>
          <w:lang w:val="en-GB"/>
        </w:rPr>
        <w:t xml:space="preserve"> Audit and Risk Committee</w:t>
      </w:r>
      <w:r w:rsidR="00E11821" w:rsidRPr="00A33264">
        <w:rPr>
          <w:u w:val="single"/>
          <w:lang w:val="en-GB"/>
        </w:rPr>
        <w:t xml:space="preserve"> remuneration</w:t>
      </w:r>
    </w:p>
    <w:tbl>
      <w:tblPr>
        <w:tblW w:w="91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649"/>
        <w:gridCol w:w="4479"/>
      </w:tblGrid>
      <w:tr w:rsidR="00E11821" w:rsidRPr="00A33264" w14:paraId="246A0056" w14:textId="77777777" w:rsidTr="005A19CA">
        <w:trPr>
          <w:cantSplit/>
          <w:tblHeader/>
        </w:trPr>
        <w:tc>
          <w:tcPr>
            <w:tcW w:w="4649" w:type="dxa"/>
            <w:tcBorders>
              <w:top w:val="single" w:sz="4" w:space="0" w:color="000000"/>
              <w:left w:val="single" w:sz="4" w:space="0" w:color="000000"/>
              <w:bottom w:val="single" w:sz="4" w:space="0" w:color="000000"/>
              <w:right w:val="single" w:sz="4" w:space="0" w:color="F9F9F9" w:themeColor="background1"/>
            </w:tcBorders>
            <w:shd w:val="clear" w:color="auto" w:fill="6B2876" w:themeFill="text1"/>
            <w:vAlign w:val="center"/>
            <w:hideMark/>
          </w:tcPr>
          <w:p w14:paraId="6FC9E63A" w14:textId="77777777" w:rsidR="00E11821" w:rsidRPr="00A33264" w:rsidRDefault="00E11821" w:rsidP="00667FDC">
            <w:pPr>
              <w:spacing w:after="0"/>
              <w:rPr>
                <w:b/>
                <w:color w:val="F9F9F9" w:themeColor="background1"/>
                <w:lang w:val="en-GB"/>
              </w:rPr>
            </w:pPr>
            <w:bookmarkStart w:id="346" w:name="ColumnTitle_Table6"/>
            <w:bookmarkEnd w:id="346"/>
            <w:r w:rsidRPr="00A33264">
              <w:rPr>
                <w:b/>
                <w:color w:val="F9F9F9" w:themeColor="background1"/>
                <w:lang w:val="en-GB"/>
              </w:rPr>
              <w:t>Member name</w:t>
            </w:r>
          </w:p>
        </w:tc>
        <w:tc>
          <w:tcPr>
            <w:tcW w:w="4479" w:type="dxa"/>
            <w:tcBorders>
              <w:top w:val="single" w:sz="4" w:space="0" w:color="000000"/>
              <w:left w:val="single" w:sz="4" w:space="0" w:color="F9F9F9" w:themeColor="background1"/>
              <w:bottom w:val="single" w:sz="4" w:space="0" w:color="000000"/>
              <w:right w:val="single" w:sz="4" w:space="0" w:color="F9F9F9" w:themeColor="background1"/>
            </w:tcBorders>
            <w:shd w:val="clear" w:color="auto" w:fill="6B2876" w:themeFill="text1"/>
            <w:vAlign w:val="center"/>
            <w:hideMark/>
          </w:tcPr>
          <w:p w14:paraId="7D2CEF86" w14:textId="16AEF429" w:rsidR="00E11821" w:rsidRPr="00A33264" w:rsidRDefault="00E11821" w:rsidP="005A19CA">
            <w:pPr>
              <w:spacing w:after="0"/>
              <w:jc w:val="right"/>
              <w:rPr>
                <w:b/>
                <w:bCs/>
                <w:color w:val="F9F9F9" w:themeColor="background1"/>
                <w:lang w:val="en-GB"/>
              </w:rPr>
            </w:pPr>
            <w:r w:rsidRPr="00A33264">
              <w:rPr>
                <w:b/>
                <w:bCs/>
                <w:color w:val="F9F9F9" w:themeColor="background1"/>
                <w:lang w:val="en-GB"/>
              </w:rPr>
              <w:t>Total annual remuneration (</w:t>
            </w:r>
            <w:r w:rsidR="00491EF8">
              <w:rPr>
                <w:b/>
                <w:bCs/>
                <w:color w:val="F9F9F9" w:themeColor="background1"/>
                <w:lang w:val="en-GB"/>
              </w:rPr>
              <w:t xml:space="preserve">$ </w:t>
            </w:r>
            <w:r w:rsidRPr="00A33264">
              <w:rPr>
                <w:b/>
                <w:bCs/>
                <w:color w:val="F9F9F9" w:themeColor="background1"/>
                <w:lang w:val="en-GB"/>
              </w:rPr>
              <w:t>GST inc.)</w:t>
            </w:r>
          </w:p>
        </w:tc>
      </w:tr>
      <w:tr w:rsidR="00E11821" w:rsidRPr="00A33264" w14:paraId="4247B040" w14:textId="77777777" w:rsidTr="005A19CA">
        <w:trPr>
          <w:cantSplit/>
        </w:trPr>
        <w:tc>
          <w:tcPr>
            <w:tcW w:w="4649" w:type="dxa"/>
            <w:tcBorders>
              <w:top w:val="single" w:sz="4" w:space="0" w:color="000000"/>
              <w:left w:val="single" w:sz="4" w:space="0" w:color="000000"/>
              <w:bottom w:val="single" w:sz="4" w:space="0" w:color="000000"/>
              <w:right w:val="single" w:sz="4" w:space="0" w:color="000000"/>
            </w:tcBorders>
            <w:shd w:val="clear" w:color="auto" w:fill="F7EEF7"/>
          </w:tcPr>
          <w:p w14:paraId="119BAE06" w14:textId="19F261C7" w:rsidR="00E11821" w:rsidRPr="00A33264" w:rsidRDefault="00057554" w:rsidP="008A1E8E">
            <w:pPr>
              <w:spacing w:after="0"/>
              <w:rPr>
                <w:lang w:val="en-GB"/>
              </w:rPr>
            </w:pPr>
            <w:r>
              <w:rPr>
                <w:lang w:val="en-GB"/>
              </w:rPr>
              <w:t xml:space="preserve">Dr </w:t>
            </w:r>
            <w:r w:rsidR="008A1E8E" w:rsidRPr="00A33264">
              <w:rPr>
                <w:lang w:val="en-GB"/>
              </w:rPr>
              <w:t>Graeme I</w:t>
            </w:r>
            <w:r w:rsidR="005D0503" w:rsidRPr="00A33264">
              <w:rPr>
                <w:lang w:val="en-GB"/>
              </w:rPr>
              <w:t>nnes</w:t>
            </w:r>
            <w:r>
              <w:rPr>
                <w:lang w:val="en-GB"/>
              </w:rPr>
              <w:t xml:space="preserve"> AM</w:t>
            </w:r>
          </w:p>
        </w:tc>
        <w:tc>
          <w:tcPr>
            <w:tcW w:w="4479" w:type="dxa"/>
            <w:tcBorders>
              <w:top w:val="single" w:sz="4" w:space="0" w:color="000000"/>
              <w:left w:val="single" w:sz="4" w:space="0" w:color="000000"/>
              <w:bottom w:val="single" w:sz="4" w:space="0" w:color="000000"/>
              <w:right w:val="single" w:sz="4" w:space="0" w:color="000000"/>
            </w:tcBorders>
            <w:shd w:val="clear" w:color="auto" w:fill="F7EEF7"/>
            <w:vAlign w:val="center"/>
          </w:tcPr>
          <w:p w14:paraId="1A6406AD" w14:textId="7C15A770" w:rsidR="00E11821" w:rsidRPr="00A33264" w:rsidRDefault="008A1E8E" w:rsidP="005A19CA">
            <w:pPr>
              <w:spacing w:after="0"/>
              <w:jc w:val="right"/>
              <w:rPr>
                <w:lang w:val="en-GB"/>
              </w:rPr>
            </w:pPr>
            <w:r w:rsidRPr="00A33264">
              <w:rPr>
                <w:lang w:val="en-GB"/>
              </w:rPr>
              <w:t>17,450</w:t>
            </w:r>
          </w:p>
        </w:tc>
      </w:tr>
      <w:tr w:rsidR="00E11821" w:rsidRPr="00A33264" w14:paraId="09E83CC3" w14:textId="77777777" w:rsidTr="005A19CA">
        <w:trPr>
          <w:cantSplit/>
        </w:trPr>
        <w:tc>
          <w:tcPr>
            <w:tcW w:w="4649" w:type="dxa"/>
            <w:tcBorders>
              <w:top w:val="single" w:sz="4" w:space="0" w:color="000000"/>
              <w:left w:val="single" w:sz="4" w:space="0" w:color="000000"/>
              <w:bottom w:val="single" w:sz="4" w:space="0" w:color="000000"/>
              <w:right w:val="single" w:sz="4" w:space="0" w:color="000000"/>
            </w:tcBorders>
          </w:tcPr>
          <w:p w14:paraId="53416595" w14:textId="05DD5905" w:rsidR="00E11821" w:rsidRPr="00A33264" w:rsidRDefault="00057554" w:rsidP="00667FDC">
            <w:pPr>
              <w:spacing w:after="0"/>
              <w:rPr>
                <w:lang w:val="en-GB"/>
              </w:rPr>
            </w:pPr>
            <w:r>
              <w:rPr>
                <w:lang w:val="en-GB"/>
              </w:rPr>
              <w:t xml:space="preserve">Ms </w:t>
            </w:r>
            <w:r w:rsidR="008A1E8E" w:rsidRPr="00A33264">
              <w:rPr>
                <w:lang w:val="en-GB"/>
              </w:rPr>
              <w:t>Meredith A</w:t>
            </w:r>
            <w:r w:rsidR="005D0503" w:rsidRPr="00A33264">
              <w:rPr>
                <w:lang w:val="en-GB"/>
              </w:rPr>
              <w:t>llan</w:t>
            </w:r>
          </w:p>
        </w:tc>
        <w:tc>
          <w:tcPr>
            <w:tcW w:w="4479" w:type="dxa"/>
            <w:tcBorders>
              <w:top w:val="single" w:sz="4" w:space="0" w:color="000000"/>
              <w:left w:val="single" w:sz="4" w:space="0" w:color="000000"/>
              <w:bottom w:val="single" w:sz="4" w:space="0" w:color="000000"/>
              <w:right w:val="single" w:sz="4" w:space="0" w:color="000000"/>
            </w:tcBorders>
            <w:vAlign w:val="center"/>
          </w:tcPr>
          <w:p w14:paraId="4AD74D9D" w14:textId="39A53102" w:rsidR="00E11821" w:rsidRPr="00A33264" w:rsidRDefault="008A1E8E" w:rsidP="005A19CA">
            <w:pPr>
              <w:spacing w:after="0"/>
              <w:jc w:val="right"/>
              <w:rPr>
                <w:lang w:val="en-GB"/>
              </w:rPr>
            </w:pPr>
            <w:r w:rsidRPr="00A33264">
              <w:rPr>
                <w:lang w:val="en-GB"/>
              </w:rPr>
              <w:t>8,730</w:t>
            </w:r>
          </w:p>
        </w:tc>
      </w:tr>
      <w:tr w:rsidR="00E11821" w:rsidRPr="00A33264" w14:paraId="03F2B1A5" w14:textId="77777777" w:rsidTr="005A19CA">
        <w:trPr>
          <w:cantSplit/>
        </w:trPr>
        <w:tc>
          <w:tcPr>
            <w:tcW w:w="4649" w:type="dxa"/>
            <w:tcBorders>
              <w:top w:val="single" w:sz="4" w:space="0" w:color="000000"/>
              <w:left w:val="single" w:sz="4" w:space="0" w:color="000000"/>
              <w:bottom w:val="single" w:sz="4" w:space="0" w:color="000000"/>
              <w:right w:val="single" w:sz="4" w:space="0" w:color="000000"/>
            </w:tcBorders>
            <w:shd w:val="clear" w:color="auto" w:fill="F7EEF7"/>
          </w:tcPr>
          <w:p w14:paraId="2D6FC4AE" w14:textId="1A7C6DB4" w:rsidR="00E11821" w:rsidRPr="00A33264" w:rsidRDefault="00057554" w:rsidP="008A1E8E">
            <w:pPr>
              <w:spacing w:after="0"/>
              <w:rPr>
                <w:lang w:val="en-GB"/>
              </w:rPr>
            </w:pPr>
            <w:r>
              <w:rPr>
                <w:lang w:val="en-GB"/>
              </w:rPr>
              <w:t xml:space="preserve">Mr </w:t>
            </w:r>
            <w:r w:rsidR="008A1E8E" w:rsidRPr="00A33264">
              <w:rPr>
                <w:lang w:val="en-GB"/>
              </w:rPr>
              <w:t>Asimakis</w:t>
            </w:r>
            <w:r>
              <w:rPr>
                <w:lang w:val="en-GB"/>
              </w:rPr>
              <w:t xml:space="preserve"> (Mark)</w:t>
            </w:r>
            <w:r w:rsidR="008A1E8E" w:rsidRPr="00A33264">
              <w:rPr>
                <w:lang w:val="en-GB"/>
              </w:rPr>
              <w:t xml:space="preserve"> D</w:t>
            </w:r>
            <w:r w:rsidR="005D0503" w:rsidRPr="00A33264">
              <w:rPr>
                <w:lang w:val="en-GB"/>
              </w:rPr>
              <w:t>arras</w:t>
            </w:r>
          </w:p>
        </w:tc>
        <w:tc>
          <w:tcPr>
            <w:tcW w:w="4479" w:type="dxa"/>
            <w:tcBorders>
              <w:top w:val="single" w:sz="4" w:space="0" w:color="000000"/>
              <w:left w:val="single" w:sz="4" w:space="0" w:color="000000"/>
              <w:bottom w:val="single" w:sz="4" w:space="0" w:color="000000"/>
              <w:right w:val="single" w:sz="4" w:space="0" w:color="000000"/>
            </w:tcBorders>
            <w:shd w:val="clear" w:color="auto" w:fill="F7EEF7"/>
            <w:vAlign w:val="center"/>
          </w:tcPr>
          <w:p w14:paraId="3BFD2FB6" w14:textId="22D9F9AA" w:rsidR="00E11821" w:rsidRPr="00A33264" w:rsidRDefault="008A1E8E" w:rsidP="005A19CA">
            <w:pPr>
              <w:spacing w:after="0"/>
              <w:jc w:val="right"/>
              <w:rPr>
                <w:lang w:val="en-GB"/>
              </w:rPr>
            </w:pPr>
            <w:r w:rsidRPr="00A33264">
              <w:rPr>
                <w:lang w:val="en-GB"/>
              </w:rPr>
              <w:t>2,183</w:t>
            </w:r>
          </w:p>
        </w:tc>
      </w:tr>
      <w:tr w:rsidR="00E11821" w:rsidRPr="00A33264" w14:paraId="41033733" w14:textId="77777777" w:rsidTr="005A19CA">
        <w:trPr>
          <w:cantSplit/>
        </w:trPr>
        <w:tc>
          <w:tcPr>
            <w:tcW w:w="4649" w:type="dxa"/>
            <w:tcBorders>
              <w:top w:val="single" w:sz="4" w:space="0" w:color="000000"/>
              <w:left w:val="single" w:sz="4" w:space="0" w:color="000000"/>
              <w:bottom w:val="single" w:sz="4" w:space="0" w:color="000000"/>
              <w:right w:val="single" w:sz="4" w:space="0" w:color="000000"/>
            </w:tcBorders>
          </w:tcPr>
          <w:p w14:paraId="1095BF84" w14:textId="5694B9C5" w:rsidR="00E11821" w:rsidRPr="00A33264" w:rsidRDefault="00057554" w:rsidP="008A1E8E">
            <w:pPr>
              <w:spacing w:after="0"/>
              <w:rPr>
                <w:lang w:val="en-GB"/>
              </w:rPr>
            </w:pPr>
            <w:r>
              <w:rPr>
                <w:lang w:val="en-GB"/>
              </w:rPr>
              <w:t xml:space="preserve">Ms </w:t>
            </w:r>
            <w:r w:rsidR="008A1E8E" w:rsidRPr="00A33264">
              <w:rPr>
                <w:lang w:val="en-GB"/>
              </w:rPr>
              <w:t>Maryanne D</w:t>
            </w:r>
            <w:r w:rsidR="005D0503" w:rsidRPr="00A33264">
              <w:rPr>
                <w:lang w:val="en-GB"/>
              </w:rPr>
              <w:t>iamond</w:t>
            </w:r>
            <w:r>
              <w:rPr>
                <w:lang w:val="en-GB"/>
              </w:rPr>
              <w:t xml:space="preserve"> AO</w:t>
            </w:r>
          </w:p>
        </w:tc>
        <w:tc>
          <w:tcPr>
            <w:tcW w:w="4479" w:type="dxa"/>
            <w:tcBorders>
              <w:top w:val="single" w:sz="4" w:space="0" w:color="000000"/>
              <w:left w:val="single" w:sz="4" w:space="0" w:color="000000"/>
              <w:bottom w:val="single" w:sz="4" w:space="0" w:color="000000"/>
              <w:right w:val="single" w:sz="4" w:space="0" w:color="000000"/>
            </w:tcBorders>
            <w:vAlign w:val="center"/>
          </w:tcPr>
          <w:p w14:paraId="362BC225" w14:textId="06E88F9C" w:rsidR="00E11821" w:rsidRPr="00A33264" w:rsidRDefault="008A1E8E" w:rsidP="005A19CA">
            <w:pPr>
              <w:spacing w:after="0"/>
              <w:jc w:val="right"/>
              <w:rPr>
                <w:lang w:val="en-GB"/>
              </w:rPr>
            </w:pPr>
            <w:r w:rsidRPr="00A33264">
              <w:rPr>
                <w:lang w:val="en-GB"/>
              </w:rPr>
              <w:t>8,730</w:t>
            </w:r>
          </w:p>
        </w:tc>
      </w:tr>
      <w:tr w:rsidR="00E11821" w:rsidRPr="00A33264" w14:paraId="50A8872F" w14:textId="77777777" w:rsidTr="005A19CA">
        <w:trPr>
          <w:cantSplit/>
        </w:trPr>
        <w:tc>
          <w:tcPr>
            <w:tcW w:w="4649" w:type="dxa"/>
            <w:tcBorders>
              <w:top w:val="single" w:sz="4" w:space="0" w:color="000000"/>
              <w:left w:val="single" w:sz="4" w:space="0" w:color="000000"/>
              <w:bottom w:val="single" w:sz="4" w:space="0" w:color="000000"/>
              <w:right w:val="single" w:sz="4" w:space="0" w:color="000000"/>
            </w:tcBorders>
            <w:shd w:val="clear" w:color="auto" w:fill="F7EEF7"/>
          </w:tcPr>
          <w:p w14:paraId="33696BF5" w14:textId="2907CDED" w:rsidR="00E11821" w:rsidRPr="00A33264" w:rsidRDefault="00057554" w:rsidP="008A1E8E">
            <w:pPr>
              <w:spacing w:after="0"/>
              <w:rPr>
                <w:lang w:val="en-GB"/>
              </w:rPr>
            </w:pPr>
            <w:r>
              <w:rPr>
                <w:lang w:val="en-GB"/>
              </w:rPr>
              <w:t xml:space="preserve">Dr </w:t>
            </w:r>
            <w:r w:rsidR="008A1E8E" w:rsidRPr="00A33264">
              <w:rPr>
                <w:lang w:val="en-GB"/>
              </w:rPr>
              <w:t>Denis N</w:t>
            </w:r>
            <w:r w:rsidR="005D0503" w:rsidRPr="00A33264">
              <w:rPr>
                <w:lang w:val="en-GB"/>
              </w:rPr>
              <w:t>apthine</w:t>
            </w:r>
            <w:r>
              <w:rPr>
                <w:lang w:val="en-GB"/>
              </w:rPr>
              <w:t xml:space="preserve"> AO</w:t>
            </w:r>
          </w:p>
        </w:tc>
        <w:tc>
          <w:tcPr>
            <w:tcW w:w="4479" w:type="dxa"/>
            <w:tcBorders>
              <w:top w:val="single" w:sz="4" w:space="0" w:color="000000"/>
              <w:left w:val="single" w:sz="4" w:space="0" w:color="000000"/>
              <w:bottom w:val="single" w:sz="4" w:space="0" w:color="000000"/>
              <w:right w:val="single" w:sz="4" w:space="0" w:color="000000"/>
            </w:tcBorders>
            <w:shd w:val="clear" w:color="auto" w:fill="F7EEF7"/>
            <w:vAlign w:val="center"/>
          </w:tcPr>
          <w:p w14:paraId="11945F22" w14:textId="71D1564C" w:rsidR="00E11821" w:rsidRPr="00A33264" w:rsidRDefault="008A1E8E" w:rsidP="005A19CA">
            <w:pPr>
              <w:spacing w:after="0"/>
              <w:jc w:val="right"/>
              <w:rPr>
                <w:lang w:val="en-GB"/>
              </w:rPr>
            </w:pPr>
            <w:r w:rsidRPr="00A33264">
              <w:rPr>
                <w:lang w:val="en-GB"/>
              </w:rPr>
              <w:t>4,365</w:t>
            </w:r>
          </w:p>
        </w:tc>
      </w:tr>
      <w:tr w:rsidR="00E11821" w:rsidRPr="00A33264" w14:paraId="06D01A08" w14:textId="77777777" w:rsidTr="005A19CA">
        <w:trPr>
          <w:cantSplit/>
        </w:trPr>
        <w:tc>
          <w:tcPr>
            <w:tcW w:w="4649" w:type="dxa"/>
            <w:tcBorders>
              <w:top w:val="single" w:sz="4" w:space="0" w:color="000000"/>
              <w:left w:val="single" w:sz="4" w:space="0" w:color="000000"/>
              <w:bottom w:val="single" w:sz="4" w:space="0" w:color="000000"/>
              <w:right w:val="single" w:sz="4" w:space="0" w:color="000000"/>
            </w:tcBorders>
          </w:tcPr>
          <w:p w14:paraId="6C56E99E" w14:textId="016E64A9" w:rsidR="00E11821" w:rsidRPr="00A33264" w:rsidRDefault="00057554" w:rsidP="008A1E8E">
            <w:pPr>
              <w:spacing w:after="0"/>
              <w:rPr>
                <w:lang w:val="en-GB"/>
              </w:rPr>
            </w:pPr>
            <w:r>
              <w:rPr>
                <w:lang w:val="en-GB"/>
              </w:rPr>
              <w:t xml:space="preserve">Ms </w:t>
            </w:r>
            <w:r w:rsidR="008A1E8E" w:rsidRPr="00A33264">
              <w:rPr>
                <w:lang w:val="en-GB"/>
              </w:rPr>
              <w:t>Estelle P</w:t>
            </w:r>
            <w:r w:rsidR="005D0503" w:rsidRPr="00A33264">
              <w:rPr>
                <w:lang w:val="en-GB"/>
              </w:rPr>
              <w:t>earson*</w:t>
            </w:r>
          </w:p>
        </w:tc>
        <w:tc>
          <w:tcPr>
            <w:tcW w:w="4479" w:type="dxa"/>
            <w:tcBorders>
              <w:top w:val="single" w:sz="4" w:space="0" w:color="000000"/>
              <w:left w:val="single" w:sz="4" w:space="0" w:color="000000"/>
              <w:bottom w:val="single" w:sz="4" w:space="0" w:color="000000"/>
              <w:right w:val="single" w:sz="4" w:space="0" w:color="000000"/>
            </w:tcBorders>
            <w:vAlign w:val="center"/>
          </w:tcPr>
          <w:p w14:paraId="1FDB7BAD" w14:textId="6E0D24C1" w:rsidR="00E11821" w:rsidRPr="00A33264" w:rsidRDefault="008A1E8E" w:rsidP="005A19CA">
            <w:pPr>
              <w:spacing w:after="0"/>
              <w:jc w:val="right"/>
              <w:rPr>
                <w:lang w:val="en-GB"/>
              </w:rPr>
            </w:pPr>
            <w:r w:rsidRPr="00A33264">
              <w:rPr>
                <w:lang w:val="en-GB"/>
              </w:rPr>
              <w:t>5,238</w:t>
            </w:r>
          </w:p>
        </w:tc>
      </w:tr>
    </w:tbl>
    <w:p w14:paraId="3DA8CC2D" w14:textId="27B8D74D" w:rsidR="00667FDC" w:rsidRPr="00A33264" w:rsidRDefault="00E11821" w:rsidP="00B27FA1">
      <w:pPr>
        <w:pStyle w:val="Tablenote"/>
      </w:pPr>
      <w:r w:rsidRPr="00A33264">
        <w:t xml:space="preserve">* Indicates part-year Board members; refer to Table </w:t>
      </w:r>
      <w:r w:rsidR="00A27A9C">
        <w:t>10</w:t>
      </w:r>
      <w:r w:rsidRPr="00A33264">
        <w:t xml:space="preserve"> for detail of tenure.</w:t>
      </w:r>
    </w:p>
    <w:p w14:paraId="50AD84D5" w14:textId="42A460B5" w:rsidR="00280054" w:rsidRPr="00A33264" w:rsidRDefault="00667FDC" w:rsidP="00280054">
      <w:pPr>
        <w:pStyle w:val="Heading4"/>
        <w:rPr>
          <w:lang w:val="en-GB"/>
        </w:rPr>
      </w:pPr>
      <w:r w:rsidRPr="00A33264">
        <w:rPr>
          <w:lang w:val="en-GB"/>
        </w:rPr>
        <w:t xml:space="preserve">Audit and Risk Committee </w:t>
      </w:r>
      <w:r w:rsidR="008662F5" w:rsidRPr="00A33264">
        <w:rPr>
          <w:lang w:val="en-GB"/>
        </w:rPr>
        <w:t>C</w:t>
      </w:r>
      <w:r w:rsidR="00280054" w:rsidRPr="00A33264">
        <w:rPr>
          <w:lang w:val="en-GB"/>
        </w:rPr>
        <w:t>harter</w:t>
      </w:r>
    </w:p>
    <w:p w14:paraId="61050C70" w14:textId="79287059" w:rsidR="00E11821" w:rsidRPr="00A33264" w:rsidRDefault="00E11821" w:rsidP="00E11821">
      <w:pPr>
        <w:rPr>
          <w:lang w:val="en-GB"/>
        </w:rPr>
      </w:pPr>
      <w:r w:rsidRPr="00A33264">
        <w:rPr>
          <w:lang w:val="en-GB"/>
        </w:rPr>
        <w:t>The Audit and Risk Committee Charter details the committee’s purpose</w:t>
      </w:r>
      <w:r w:rsidR="004364A0">
        <w:rPr>
          <w:lang w:val="en-GB"/>
        </w:rPr>
        <w:t xml:space="preserve"> </w:t>
      </w:r>
      <w:r w:rsidR="004364A0">
        <w:rPr>
          <w:rFonts w:ascii="Symbol" w:eastAsia="Symbol" w:hAnsi="Symbol" w:cs="Symbol"/>
          <w:lang w:val="en-GB"/>
        </w:rPr>
        <w:sym w:font="Symbol" w:char="F02D"/>
      </w:r>
      <w:r w:rsidRPr="00A33264">
        <w:rPr>
          <w:lang w:val="en-GB"/>
        </w:rPr>
        <w:t xml:space="preserve"> to review and provide advice to the Board on the appropriateness of the </w:t>
      </w:r>
      <w:r w:rsidR="00C26503">
        <w:rPr>
          <w:lang w:val="en-GB"/>
        </w:rPr>
        <w:t>NDIA</w:t>
      </w:r>
      <w:r w:rsidR="00C26503" w:rsidRPr="00A33264">
        <w:rPr>
          <w:lang w:val="en-GB"/>
        </w:rPr>
        <w:t>’s</w:t>
      </w:r>
      <w:r w:rsidRPr="00A33264">
        <w:rPr>
          <w:lang w:val="en-GB"/>
        </w:rPr>
        <w:t>:</w:t>
      </w:r>
    </w:p>
    <w:p w14:paraId="19BB0533" w14:textId="030A0883" w:rsidR="00E11821" w:rsidRPr="00A33264" w:rsidRDefault="00E11821" w:rsidP="00E11821">
      <w:pPr>
        <w:pStyle w:val="Bullet1"/>
        <w:rPr>
          <w:lang w:val="en-GB"/>
        </w:rPr>
      </w:pPr>
      <w:r w:rsidRPr="00A33264">
        <w:rPr>
          <w:lang w:val="en-GB"/>
        </w:rPr>
        <w:t xml:space="preserve">financial reporting </w:t>
      </w:r>
    </w:p>
    <w:p w14:paraId="36C33598" w14:textId="07792CBB" w:rsidR="00E11821" w:rsidRPr="00A33264" w:rsidRDefault="00E11821" w:rsidP="00E11821">
      <w:pPr>
        <w:pStyle w:val="Bullet1"/>
        <w:rPr>
          <w:lang w:val="en-GB"/>
        </w:rPr>
      </w:pPr>
      <w:r w:rsidRPr="00A33264">
        <w:rPr>
          <w:lang w:val="en-GB"/>
        </w:rPr>
        <w:t xml:space="preserve">performance reporting </w:t>
      </w:r>
    </w:p>
    <w:p w14:paraId="79EBC74E" w14:textId="371EEA4E" w:rsidR="00E11821" w:rsidRPr="00A33264" w:rsidRDefault="00E11821" w:rsidP="00E11821">
      <w:pPr>
        <w:pStyle w:val="Bullet1"/>
        <w:rPr>
          <w:lang w:val="en-GB"/>
        </w:rPr>
      </w:pPr>
      <w:r w:rsidRPr="00A33264">
        <w:rPr>
          <w:lang w:val="en-GB"/>
        </w:rPr>
        <w:t>systems of risk oversight and management</w:t>
      </w:r>
      <w:r w:rsidR="008662F5" w:rsidRPr="00A33264">
        <w:rPr>
          <w:lang w:val="en-GB"/>
        </w:rPr>
        <w:t>,</w:t>
      </w:r>
      <w:r w:rsidRPr="00A33264">
        <w:rPr>
          <w:lang w:val="en-GB"/>
        </w:rPr>
        <w:t xml:space="preserve"> including fraud, legal, safety and security risk</w:t>
      </w:r>
    </w:p>
    <w:p w14:paraId="6549F94A" w14:textId="0AFBE7E1" w:rsidR="00E11821" w:rsidRPr="00A33264" w:rsidRDefault="00E11821" w:rsidP="00E11821">
      <w:pPr>
        <w:pStyle w:val="Bullet1"/>
        <w:rPr>
          <w:lang w:val="en-GB"/>
        </w:rPr>
      </w:pPr>
      <w:r w:rsidRPr="00A33264">
        <w:rPr>
          <w:lang w:val="en-GB"/>
        </w:rPr>
        <w:t>systems of internal control.</w:t>
      </w:r>
    </w:p>
    <w:p w14:paraId="104FF8E3" w14:textId="3AEDF353" w:rsidR="00E11821" w:rsidRPr="00A33264" w:rsidRDefault="00E11821" w:rsidP="00E11821">
      <w:pPr>
        <w:rPr>
          <w:lang w:val="en-GB"/>
        </w:rPr>
      </w:pPr>
      <w:r w:rsidRPr="00A33264">
        <w:rPr>
          <w:lang w:val="en-GB"/>
        </w:rPr>
        <w:t xml:space="preserve">The Audit and Risk Committee Charter is available to view </w:t>
      </w:r>
      <w:r w:rsidR="000E2FC5" w:rsidRPr="00A33264">
        <w:rPr>
          <w:lang w:val="en-GB"/>
        </w:rPr>
        <w:t xml:space="preserve">at: </w:t>
      </w:r>
      <w:hyperlink r:id="rId82" w:history="1">
        <w:r w:rsidR="00ED275F">
          <w:rPr>
            <w:rStyle w:val="Hyperlink"/>
            <w:lang w:val="en-GB"/>
          </w:rPr>
          <w:t>Board Audit Committee Charter 2024</w:t>
        </w:r>
      </w:hyperlink>
      <w:r w:rsidRPr="00A33264">
        <w:rPr>
          <w:lang w:val="en-GB"/>
        </w:rPr>
        <w:t>.</w:t>
      </w:r>
    </w:p>
    <w:p w14:paraId="11856B7C" w14:textId="5D125358" w:rsidR="00D7463A" w:rsidRPr="00A33264" w:rsidRDefault="00D7463A" w:rsidP="00D7463A">
      <w:pPr>
        <w:pStyle w:val="Heading3"/>
        <w:rPr>
          <w:lang w:val="en-GB"/>
        </w:rPr>
      </w:pPr>
      <w:bookmarkStart w:id="347" w:name="_Toc169592992"/>
      <w:bookmarkStart w:id="348" w:name="_Toc174354208"/>
      <w:bookmarkStart w:id="349" w:name="_Toc175316912"/>
      <w:bookmarkStart w:id="350" w:name="_Toc176786403"/>
      <w:bookmarkStart w:id="351" w:name="_Toc180505685"/>
      <w:r w:rsidRPr="00A33264">
        <w:rPr>
          <w:lang w:val="en-GB"/>
        </w:rPr>
        <w:t>Work health and safety</w:t>
      </w:r>
      <w:bookmarkEnd w:id="347"/>
      <w:bookmarkEnd w:id="348"/>
      <w:bookmarkEnd w:id="349"/>
      <w:bookmarkEnd w:id="350"/>
      <w:bookmarkEnd w:id="351"/>
    </w:p>
    <w:p w14:paraId="3120C836" w14:textId="1F6AFC32" w:rsidR="009D03B0" w:rsidRPr="00A33264" w:rsidRDefault="009D03B0" w:rsidP="009D03B0">
      <w:pPr>
        <w:rPr>
          <w:lang w:val="en-GB"/>
        </w:rPr>
      </w:pPr>
      <w:r w:rsidRPr="00A33264">
        <w:rPr>
          <w:lang w:val="en-GB"/>
        </w:rPr>
        <w:t xml:space="preserve">The NDIA recognises its obligations under the </w:t>
      </w:r>
      <w:r w:rsidRPr="00A33264">
        <w:rPr>
          <w:i/>
          <w:iCs/>
          <w:lang w:val="en-GB"/>
        </w:rPr>
        <w:t xml:space="preserve">Work Health and Safety Act 2011 </w:t>
      </w:r>
      <w:r w:rsidRPr="00F86FC3">
        <w:rPr>
          <w:lang w:val="en-GB"/>
        </w:rPr>
        <w:t>(Cth)</w:t>
      </w:r>
      <w:r w:rsidRPr="00A33264">
        <w:rPr>
          <w:i/>
          <w:iCs/>
          <w:lang w:val="en-GB"/>
        </w:rPr>
        <w:t xml:space="preserve"> </w:t>
      </w:r>
      <w:r w:rsidRPr="00A33264">
        <w:rPr>
          <w:lang w:val="en-GB"/>
        </w:rPr>
        <w:t xml:space="preserve">(WHS Act) and the </w:t>
      </w:r>
      <w:r w:rsidRPr="00A33264">
        <w:rPr>
          <w:i/>
          <w:iCs/>
          <w:lang w:val="en-GB"/>
        </w:rPr>
        <w:t>Safety, Rehabilitation and Compensation Act 1988</w:t>
      </w:r>
      <w:r w:rsidRPr="00A33264">
        <w:rPr>
          <w:lang w:val="en-GB"/>
        </w:rPr>
        <w:t xml:space="preserve"> </w:t>
      </w:r>
      <w:r w:rsidR="004364A0">
        <w:rPr>
          <w:lang w:val="en-GB"/>
        </w:rPr>
        <w:t xml:space="preserve">(Cth) </w:t>
      </w:r>
      <w:r w:rsidRPr="00A33264">
        <w:rPr>
          <w:lang w:val="en-GB"/>
        </w:rPr>
        <w:t>and proactively develops and promotes a positive and effective safety culture.</w:t>
      </w:r>
    </w:p>
    <w:p w14:paraId="51AD7F9B" w14:textId="5CD73E7B" w:rsidR="009D03B0" w:rsidRPr="00A33264" w:rsidRDefault="009D03B0" w:rsidP="009D03B0">
      <w:pPr>
        <w:rPr>
          <w:lang w:val="en-GB"/>
        </w:rPr>
      </w:pPr>
      <w:r w:rsidRPr="00A33264">
        <w:rPr>
          <w:lang w:val="en-GB"/>
        </w:rPr>
        <w:t xml:space="preserve">A key activity undertaken in the year was a major review of </w:t>
      </w:r>
      <w:r w:rsidR="003C7217" w:rsidRPr="00A33264">
        <w:rPr>
          <w:lang w:val="en-GB"/>
        </w:rPr>
        <w:t xml:space="preserve">the </w:t>
      </w:r>
      <w:r w:rsidR="00591C73">
        <w:rPr>
          <w:lang w:val="en-GB"/>
        </w:rPr>
        <w:t>NDIA</w:t>
      </w:r>
      <w:r w:rsidR="00591C73" w:rsidRPr="00A33264">
        <w:rPr>
          <w:lang w:val="en-GB"/>
        </w:rPr>
        <w:t xml:space="preserve">’s </w:t>
      </w:r>
      <w:r w:rsidR="003C7217" w:rsidRPr="00A33264">
        <w:rPr>
          <w:lang w:val="en-GB"/>
        </w:rPr>
        <w:t xml:space="preserve">security and safety arrangements led by Graham Ashton, the former </w:t>
      </w:r>
      <w:r w:rsidR="00591C73">
        <w:rPr>
          <w:lang w:val="en-GB"/>
        </w:rPr>
        <w:t xml:space="preserve">Chief </w:t>
      </w:r>
      <w:r w:rsidR="003C7217" w:rsidRPr="00A33264">
        <w:rPr>
          <w:lang w:val="en-GB"/>
        </w:rPr>
        <w:t xml:space="preserve">Commissioner </w:t>
      </w:r>
      <w:r w:rsidR="00591C73">
        <w:rPr>
          <w:lang w:val="en-GB"/>
        </w:rPr>
        <w:t>of</w:t>
      </w:r>
      <w:r w:rsidR="00591C73" w:rsidRPr="00A33264">
        <w:rPr>
          <w:lang w:val="en-GB"/>
        </w:rPr>
        <w:t xml:space="preserve"> </w:t>
      </w:r>
      <w:r w:rsidR="003C7217" w:rsidRPr="00A33264">
        <w:rPr>
          <w:lang w:val="en-GB"/>
        </w:rPr>
        <w:t xml:space="preserve">Victoria Police. The </w:t>
      </w:r>
      <w:r w:rsidR="00591C73">
        <w:rPr>
          <w:lang w:val="en-GB"/>
        </w:rPr>
        <w:t>NDIA</w:t>
      </w:r>
      <w:r w:rsidR="00591C73" w:rsidRPr="00A33264">
        <w:rPr>
          <w:lang w:val="en-GB"/>
        </w:rPr>
        <w:t xml:space="preserve"> </w:t>
      </w:r>
      <w:r w:rsidR="003C7217" w:rsidRPr="00A33264">
        <w:rPr>
          <w:lang w:val="en-GB"/>
        </w:rPr>
        <w:t>is developing</w:t>
      </w:r>
      <w:r w:rsidRPr="00A33264">
        <w:rPr>
          <w:lang w:val="en-GB"/>
        </w:rPr>
        <w:t xml:space="preserve"> action plan to address the </w:t>
      </w:r>
      <w:r w:rsidR="004B676D" w:rsidRPr="00A33264">
        <w:rPr>
          <w:lang w:val="en-GB"/>
        </w:rPr>
        <w:t xml:space="preserve">review’s </w:t>
      </w:r>
      <w:r w:rsidRPr="00A33264">
        <w:rPr>
          <w:lang w:val="en-GB"/>
        </w:rPr>
        <w:t>recommendations.</w:t>
      </w:r>
    </w:p>
    <w:p w14:paraId="08053BCC" w14:textId="4884E9B9" w:rsidR="009D03B0" w:rsidRPr="00A33264" w:rsidRDefault="009D03B0" w:rsidP="009D03B0">
      <w:pPr>
        <w:rPr>
          <w:lang w:val="en-GB"/>
        </w:rPr>
      </w:pPr>
      <w:r w:rsidRPr="00A33264">
        <w:rPr>
          <w:lang w:val="en-GB"/>
        </w:rPr>
        <w:t>The NDIA continues to improve its consultation arrangements</w:t>
      </w:r>
      <w:r w:rsidR="008662F5" w:rsidRPr="00A33264">
        <w:rPr>
          <w:lang w:val="en-GB"/>
        </w:rPr>
        <w:t xml:space="preserve"> and</w:t>
      </w:r>
      <w:r w:rsidRPr="00A33264">
        <w:rPr>
          <w:lang w:val="en-GB"/>
        </w:rPr>
        <w:t xml:space="preserve"> </w:t>
      </w:r>
      <w:r w:rsidR="00591C73">
        <w:rPr>
          <w:lang w:val="en-GB"/>
        </w:rPr>
        <w:t xml:space="preserve">its </w:t>
      </w:r>
      <w:r w:rsidRPr="00A33264">
        <w:rPr>
          <w:lang w:val="en-GB"/>
        </w:rPr>
        <w:t xml:space="preserve">prevention and early intervention mechanisms to address any illness and injury, recognising that </w:t>
      </w:r>
      <w:r w:rsidR="008662F5" w:rsidRPr="00A33264">
        <w:rPr>
          <w:lang w:val="en-GB"/>
        </w:rPr>
        <w:t xml:space="preserve">the </w:t>
      </w:r>
      <w:r w:rsidRPr="00A33264">
        <w:rPr>
          <w:lang w:val="en-GB"/>
        </w:rPr>
        <w:t>safety of NDIA workers is a non-negotiable business priority</w:t>
      </w:r>
      <w:r w:rsidR="00ED275F">
        <w:rPr>
          <w:lang w:val="en-GB"/>
        </w:rPr>
        <w:t>.</w:t>
      </w:r>
      <w:r w:rsidRPr="00A33264">
        <w:rPr>
          <w:lang w:val="en-GB"/>
        </w:rPr>
        <w:t xml:space="preserve"> </w:t>
      </w:r>
      <w:r w:rsidR="00591C73">
        <w:rPr>
          <w:lang w:val="en-GB"/>
        </w:rPr>
        <w:t>We</w:t>
      </w:r>
      <w:r w:rsidRPr="00A33264">
        <w:rPr>
          <w:lang w:val="en-GB"/>
        </w:rPr>
        <w:t xml:space="preserve"> continue to develop </w:t>
      </w:r>
      <w:r w:rsidR="004B676D" w:rsidRPr="00A33264">
        <w:rPr>
          <w:lang w:val="en-GB"/>
        </w:rPr>
        <w:t>our w</w:t>
      </w:r>
      <w:r w:rsidRPr="00A33264">
        <w:rPr>
          <w:lang w:val="en-GB"/>
        </w:rPr>
        <w:t xml:space="preserve">ork </w:t>
      </w:r>
      <w:r w:rsidR="004B676D" w:rsidRPr="00A33264">
        <w:rPr>
          <w:lang w:val="en-GB"/>
        </w:rPr>
        <w:t>h</w:t>
      </w:r>
      <w:r w:rsidRPr="00A33264">
        <w:rPr>
          <w:lang w:val="en-GB"/>
        </w:rPr>
        <w:t xml:space="preserve">ealth and </w:t>
      </w:r>
      <w:r w:rsidR="004B676D" w:rsidRPr="00A33264">
        <w:rPr>
          <w:lang w:val="en-GB"/>
        </w:rPr>
        <w:t>s</w:t>
      </w:r>
      <w:r w:rsidRPr="00A33264">
        <w:rPr>
          <w:lang w:val="en-GB"/>
        </w:rPr>
        <w:t xml:space="preserve">afety </w:t>
      </w:r>
      <w:r w:rsidR="004B676D" w:rsidRPr="00A33264">
        <w:rPr>
          <w:lang w:val="en-GB"/>
        </w:rPr>
        <w:t>m</w:t>
      </w:r>
      <w:r w:rsidRPr="00A33264">
        <w:rPr>
          <w:lang w:val="en-GB"/>
        </w:rPr>
        <w:t xml:space="preserve">anagement </w:t>
      </w:r>
      <w:r w:rsidR="004B676D" w:rsidRPr="00A33264">
        <w:rPr>
          <w:lang w:val="en-GB"/>
        </w:rPr>
        <w:t>s</w:t>
      </w:r>
      <w:r w:rsidRPr="00A33264">
        <w:rPr>
          <w:lang w:val="en-GB"/>
        </w:rPr>
        <w:t xml:space="preserve">ystem in line with </w:t>
      </w:r>
      <w:r w:rsidR="004B676D" w:rsidRPr="00A33264">
        <w:rPr>
          <w:lang w:val="en-GB"/>
        </w:rPr>
        <w:t xml:space="preserve">evolving </w:t>
      </w:r>
      <w:r w:rsidRPr="00A33264">
        <w:rPr>
          <w:lang w:val="en-GB"/>
        </w:rPr>
        <w:t xml:space="preserve">legislative </w:t>
      </w:r>
      <w:r w:rsidR="004B676D" w:rsidRPr="00A33264">
        <w:rPr>
          <w:lang w:val="en-GB"/>
        </w:rPr>
        <w:t>requirements</w:t>
      </w:r>
      <w:r w:rsidRPr="00A33264">
        <w:rPr>
          <w:lang w:val="en-GB"/>
        </w:rPr>
        <w:t xml:space="preserve"> and contemporary health, safety and wellbeing practices. </w:t>
      </w:r>
    </w:p>
    <w:p w14:paraId="4BD3B675" w14:textId="6659D95C" w:rsidR="009D03B0" w:rsidRPr="00A33264" w:rsidRDefault="009D03B0" w:rsidP="009D03B0">
      <w:pPr>
        <w:rPr>
          <w:lang w:val="en-GB"/>
        </w:rPr>
      </w:pPr>
      <w:r w:rsidRPr="00A33264">
        <w:rPr>
          <w:lang w:val="en-GB"/>
        </w:rPr>
        <w:t xml:space="preserve">The NDIA’s safety culture continues to mature, with a continued focus on psychosocial safety. The NDIA is administering risk assessment tools to identify and manage both </w:t>
      </w:r>
      <w:r w:rsidRPr="00A33264">
        <w:rPr>
          <w:lang w:val="en-GB"/>
        </w:rPr>
        <w:lastRenderedPageBreak/>
        <w:t xml:space="preserve">physical and psychosocial hazards with business areas and has supporting policies, procedures and guidelines. </w:t>
      </w:r>
    </w:p>
    <w:p w14:paraId="140B8CEF" w14:textId="1FF49E67" w:rsidR="009D03B0" w:rsidRPr="00A33264" w:rsidRDefault="009D03B0" w:rsidP="009D03B0">
      <w:pPr>
        <w:rPr>
          <w:lang w:val="en-GB"/>
        </w:rPr>
      </w:pPr>
      <w:r w:rsidRPr="00A33264">
        <w:rPr>
          <w:lang w:val="en-GB"/>
        </w:rPr>
        <w:t xml:space="preserve">The continued development of a psychosocially safe workplace and </w:t>
      </w:r>
      <w:r w:rsidR="008662F5" w:rsidRPr="00A33264">
        <w:rPr>
          <w:lang w:val="en-GB"/>
        </w:rPr>
        <w:t xml:space="preserve">the </w:t>
      </w:r>
      <w:r w:rsidRPr="00A33264">
        <w:rPr>
          <w:lang w:val="en-GB"/>
        </w:rPr>
        <w:t>implementation of wellbeing initiatives has been</w:t>
      </w:r>
      <w:r w:rsidR="008662F5" w:rsidRPr="00A33264">
        <w:rPr>
          <w:lang w:val="en-GB"/>
        </w:rPr>
        <w:t xml:space="preserve"> a</w:t>
      </w:r>
      <w:r w:rsidRPr="00A33264">
        <w:rPr>
          <w:lang w:val="en-GB"/>
        </w:rPr>
        <w:t xml:space="preserve"> highlight </w:t>
      </w:r>
      <w:r w:rsidR="008662F5" w:rsidRPr="00A33264">
        <w:rPr>
          <w:lang w:val="en-GB"/>
        </w:rPr>
        <w:t>in</w:t>
      </w:r>
      <w:r w:rsidRPr="00A33264">
        <w:rPr>
          <w:lang w:val="en-GB"/>
        </w:rPr>
        <w:t xml:space="preserve"> 2024, achieved through the delivery</w:t>
      </w:r>
      <w:r w:rsidR="008662F5" w:rsidRPr="00A33264">
        <w:rPr>
          <w:lang w:val="en-GB"/>
        </w:rPr>
        <w:t xml:space="preserve"> of</w:t>
      </w:r>
      <w:r w:rsidRPr="00A33264">
        <w:rPr>
          <w:lang w:val="en-GB"/>
        </w:rPr>
        <w:t xml:space="preserve"> </w:t>
      </w:r>
      <w:r w:rsidR="004B676D" w:rsidRPr="00A33264">
        <w:rPr>
          <w:lang w:val="en-GB"/>
        </w:rPr>
        <w:t>a range of improved</w:t>
      </w:r>
      <w:r w:rsidRPr="00A33264">
        <w:rPr>
          <w:lang w:val="en-GB"/>
        </w:rPr>
        <w:t xml:space="preserve"> </w:t>
      </w:r>
      <w:r w:rsidR="004B676D" w:rsidRPr="00A33264">
        <w:rPr>
          <w:lang w:val="en-GB"/>
        </w:rPr>
        <w:t>w</w:t>
      </w:r>
      <w:r w:rsidRPr="00A33264">
        <w:rPr>
          <w:lang w:val="en-GB"/>
        </w:rPr>
        <w:t xml:space="preserve">ellbeing </w:t>
      </w:r>
      <w:r w:rsidR="004B676D" w:rsidRPr="00A33264">
        <w:rPr>
          <w:lang w:val="en-GB"/>
        </w:rPr>
        <w:t>s</w:t>
      </w:r>
      <w:r w:rsidRPr="00A33264">
        <w:rPr>
          <w:lang w:val="en-GB"/>
        </w:rPr>
        <w:t xml:space="preserve">upports. This plan included the delivery of enhanced </w:t>
      </w:r>
      <w:r w:rsidR="008662F5" w:rsidRPr="00A33264">
        <w:rPr>
          <w:lang w:val="en-GB"/>
        </w:rPr>
        <w:t>e</w:t>
      </w:r>
      <w:r w:rsidRPr="00A33264">
        <w:rPr>
          <w:lang w:val="en-GB"/>
        </w:rPr>
        <w:t xml:space="preserve">mployee </w:t>
      </w:r>
      <w:r w:rsidR="008662F5" w:rsidRPr="00A33264">
        <w:rPr>
          <w:lang w:val="en-GB"/>
        </w:rPr>
        <w:t>a</w:t>
      </w:r>
      <w:r w:rsidRPr="00A33264">
        <w:rPr>
          <w:lang w:val="en-GB"/>
        </w:rPr>
        <w:t xml:space="preserve">ssistance </w:t>
      </w:r>
      <w:r w:rsidR="008662F5" w:rsidRPr="00A33264">
        <w:rPr>
          <w:lang w:val="en-GB"/>
        </w:rPr>
        <w:t>p</w:t>
      </w:r>
      <w:r w:rsidRPr="00A33264">
        <w:rPr>
          <w:lang w:val="en-GB"/>
        </w:rPr>
        <w:t xml:space="preserve">rogram services, with </w:t>
      </w:r>
      <w:r w:rsidR="004B676D" w:rsidRPr="00A33264">
        <w:rPr>
          <w:lang w:val="en-GB"/>
        </w:rPr>
        <w:t>additional services including access</w:t>
      </w:r>
      <w:r w:rsidRPr="00A33264">
        <w:rPr>
          <w:lang w:val="en-GB"/>
        </w:rPr>
        <w:t xml:space="preserve"> to an on-call clinician in a crisis, instant counselling</w:t>
      </w:r>
      <w:r w:rsidR="00591C73">
        <w:rPr>
          <w:lang w:val="en-GB"/>
        </w:rPr>
        <w:t>,</w:t>
      </w:r>
      <w:r w:rsidRPr="00A33264">
        <w:rPr>
          <w:lang w:val="en-GB"/>
        </w:rPr>
        <w:t xml:space="preserve"> and</w:t>
      </w:r>
      <w:r w:rsidR="008662F5" w:rsidRPr="00A33264">
        <w:rPr>
          <w:lang w:val="en-GB"/>
        </w:rPr>
        <w:t xml:space="preserve"> </w:t>
      </w:r>
      <w:r w:rsidRPr="00A33264">
        <w:rPr>
          <w:lang w:val="en-GB"/>
        </w:rPr>
        <w:t>extension of the service</w:t>
      </w:r>
      <w:r w:rsidR="004B676D" w:rsidRPr="00A33264">
        <w:rPr>
          <w:lang w:val="en-GB"/>
        </w:rPr>
        <w:t>s</w:t>
      </w:r>
      <w:r w:rsidRPr="00A33264">
        <w:rPr>
          <w:lang w:val="en-GB"/>
        </w:rPr>
        <w:t xml:space="preserve"> to labour hire </w:t>
      </w:r>
      <w:r w:rsidR="004B676D" w:rsidRPr="00A33264">
        <w:rPr>
          <w:lang w:val="en-GB"/>
        </w:rPr>
        <w:t>staff</w:t>
      </w:r>
      <w:r w:rsidR="008662F5" w:rsidRPr="00A33264">
        <w:rPr>
          <w:lang w:val="en-GB"/>
        </w:rPr>
        <w:t>.</w:t>
      </w:r>
    </w:p>
    <w:p w14:paraId="1A2A6BEB" w14:textId="56D5725C" w:rsidR="009D03B0" w:rsidRPr="00A33264" w:rsidRDefault="009D03B0" w:rsidP="009D03B0">
      <w:pPr>
        <w:rPr>
          <w:lang w:val="en-GB"/>
        </w:rPr>
      </w:pPr>
      <w:r w:rsidRPr="00A33264">
        <w:rPr>
          <w:lang w:val="en-GB"/>
        </w:rPr>
        <w:t xml:space="preserve">The NDIA continues to support workers to use flexible working arrangements and takes all reasonably practicable measures to protect its workers by providing a healthy and safe work environment, whether </w:t>
      </w:r>
      <w:r w:rsidR="00591C73">
        <w:rPr>
          <w:lang w:val="en-GB"/>
        </w:rPr>
        <w:t xml:space="preserve">staff are </w:t>
      </w:r>
      <w:r w:rsidRPr="00A33264">
        <w:rPr>
          <w:lang w:val="en-GB"/>
        </w:rPr>
        <w:t xml:space="preserve">working in the office or working from home. </w:t>
      </w:r>
    </w:p>
    <w:p w14:paraId="687AC799" w14:textId="24E0FAC7" w:rsidR="009D03B0" w:rsidRPr="00A33264" w:rsidRDefault="009D03B0" w:rsidP="009D03B0">
      <w:pPr>
        <w:rPr>
          <w:lang w:val="en-GB"/>
        </w:rPr>
      </w:pPr>
      <w:r w:rsidRPr="00A33264">
        <w:rPr>
          <w:lang w:val="en-GB"/>
        </w:rPr>
        <w:t>To support workers impacted by bullying, harassment, discrimination, sexual harassment, violence, aggression and victimisation in the workplace</w:t>
      </w:r>
      <w:r w:rsidR="008662F5" w:rsidRPr="00A33264">
        <w:rPr>
          <w:lang w:val="en-GB"/>
        </w:rPr>
        <w:t>, t</w:t>
      </w:r>
      <w:r w:rsidRPr="00A33264">
        <w:rPr>
          <w:lang w:val="en-GB"/>
        </w:rPr>
        <w:t>he NDIA launched the Safe and Respectful Workplace Framework and Safe and Respectful Team in June 2023. The team responds to and manages reports of unacceptable behaviours to ensure the NDIA is a safe and respectful workplace that is free from physical and psychosocial harm.</w:t>
      </w:r>
    </w:p>
    <w:p w14:paraId="1D832582" w14:textId="37C6CC75" w:rsidR="00D7463A" w:rsidRPr="00A33264" w:rsidRDefault="009D03B0" w:rsidP="009D03B0">
      <w:pPr>
        <w:rPr>
          <w:lang w:val="en-GB"/>
        </w:rPr>
      </w:pPr>
      <w:r w:rsidRPr="00A33264">
        <w:rPr>
          <w:lang w:val="en-GB"/>
        </w:rPr>
        <w:t>In 2023–24 the NDIA reported 3 incidents to Comcare</w:t>
      </w:r>
      <w:r w:rsidR="008662F5" w:rsidRPr="00A33264">
        <w:rPr>
          <w:lang w:val="en-GB"/>
        </w:rPr>
        <w:t>,</w:t>
      </w:r>
      <w:r w:rsidRPr="00A33264">
        <w:rPr>
          <w:lang w:val="en-GB"/>
        </w:rPr>
        <w:t xml:space="preserve"> pursuant to section 38 of the WHS Act. All incidents were closed by Comcare without further action required of the NDIA.</w:t>
      </w:r>
      <w:r w:rsidR="004364A0">
        <w:rPr>
          <w:lang w:val="en-GB"/>
        </w:rPr>
        <w:t xml:space="preserve"> Table 7 shows the number of reported incidents.</w:t>
      </w:r>
    </w:p>
    <w:p w14:paraId="26D579D0" w14:textId="423DE6CB" w:rsidR="009D03B0" w:rsidRPr="00A33264" w:rsidRDefault="009D03B0" w:rsidP="009D03B0">
      <w:pPr>
        <w:rPr>
          <w:u w:val="single"/>
          <w:lang w:val="en-GB"/>
        </w:rPr>
      </w:pPr>
      <w:r w:rsidRPr="00A33264">
        <w:rPr>
          <w:u w:val="single"/>
          <w:lang w:val="en-GB"/>
        </w:rPr>
        <w:t xml:space="preserve">Table </w:t>
      </w:r>
      <w:r w:rsidR="00A27A9C">
        <w:rPr>
          <w:u w:val="single"/>
          <w:lang w:val="en-GB"/>
        </w:rPr>
        <w:t>7</w:t>
      </w:r>
      <w:r w:rsidRPr="00A33264">
        <w:rPr>
          <w:u w:val="single"/>
          <w:lang w:val="en-GB"/>
        </w:rPr>
        <w:t xml:space="preserve">: Summary of </w:t>
      </w:r>
      <w:r w:rsidR="00822F96">
        <w:rPr>
          <w:u w:val="single"/>
          <w:lang w:val="en-GB"/>
        </w:rPr>
        <w:t xml:space="preserve">reported </w:t>
      </w:r>
      <w:r w:rsidRPr="00A33264">
        <w:rPr>
          <w:u w:val="single"/>
          <w:lang w:val="en-GB"/>
        </w:rPr>
        <w:t>incidents pursuant to section 38 of the WHS Act (</w:t>
      </w:r>
      <w:r w:rsidR="00EE426D" w:rsidRPr="00A33264">
        <w:rPr>
          <w:u w:val="single"/>
          <w:lang w:val="en-GB"/>
        </w:rPr>
        <w:t>2023</w:t>
      </w:r>
      <w:r w:rsidR="00EE426D" w:rsidRPr="002E4564">
        <w:rPr>
          <w:u w:val="single"/>
          <w:lang w:val="en-GB"/>
        </w:rPr>
        <w:t>–</w:t>
      </w:r>
      <w:r w:rsidR="00EE426D" w:rsidRPr="00A33264">
        <w:rPr>
          <w:u w:val="single"/>
          <w:lang w:val="en-GB"/>
        </w:rPr>
        <w:t>24</w:t>
      </w:r>
      <w:r w:rsidRPr="00A33264">
        <w:rPr>
          <w:u w:val="single"/>
          <w:lang w:val="en-GB"/>
        </w:rPr>
        <w:t>)</w:t>
      </w:r>
    </w:p>
    <w:tbl>
      <w:tblPr>
        <w:tblStyle w:val="GridTable4"/>
        <w:tblW w:w="9070" w:type="dxa"/>
        <w:tblCellMar>
          <w:top w:w="28" w:type="dxa"/>
          <w:left w:w="28" w:type="dxa"/>
          <w:bottom w:w="28" w:type="dxa"/>
          <w:right w:w="28" w:type="dxa"/>
        </w:tblCellMar>
        <w:tblLook w:val="0420" w:firstRow="1" w:lastRow="0" w:firstColumn="0" w:lastColumn="0" w:noHBand="0" w:noVBand="1"/>
      </w:tblPr>
      <w:tblGrid>
        <w:gridCol w:w="7792"/>
        <w:gridCol w:w="1278"/>
      </w:tblGrid>
      <w:tr w:rsidR="009D03B0" w:rsidRPr="00A33264" w14:paraId="084EC6BF" w14:textId="77777777" w:rsidTr="001C0A6D">
        <w:trPr>
          <w:cnfStyle w:val="100000000000" w:firstRow="1" w:lastRow="0" w:firstColumn="0" w:lastColumn="0" w:oddVBand="0" w:evenVBand="0" w:oddHBand="0" w:evenHBand="0" w:firstRowFirstColumn="0" w:firstRowLastColumn="0" w:lastRowFirstColumn="0" w:lastRowLastColumn="0"/>
          <w:cantSplit/>
          <w:trHeight w:val="340"/>
        </w:trPr>
        <w:tc>
          <w:tcPr>
            <w:tcW w:w="7792" w:type="dxa"/>
            <w:tcBorders>
              <w:top w:val="single" w:sz="4" w:space="0" w:color="6B2876" w:themeColor="text1"/>
              <w:bottom w:val="single" w:sz="4" w:space="0" w:color="6B2876" w:themeColor="text1"/>
            </w:tcBorders>
            <w:vAlign w:val="center"/>
          </w:tcPr>
          <w:p w14:paraId="5A28DBAB" w14:textId="496D982B" w:rsidR="009D03B0" w:rsidRPr="00A33264" w:rsidRDefault="009D03B0">
            <w:pPr>
              <w:pStyle w:val="TableBody"/>
              <w:rPr>
                <w:lang w:val="en-GB"/>
              </w:rPr>
            </w:pPr>
            <w:bookmarkStart w:id="352" w:name="ColumnTitle_Table7"/>
            <w:bookmarkEnd w:id="352"/>
            <w:r w:rsidRPr="00A33264">
              <w:rPr>
                <w:lang w:val="en-GB"/>
              </w:rPr>
              <w:t>Action</w:t>
            </w:r>
          </w:p>
        </w:tc>
        <w:tc>
          <w:tcPr>
            <w:tcW w:w="1278" w:type="dxa"/>
            <w:tcBorders>
              <w:top w:val="single" w:sz="4" w:space="0" w:color="6B2876" w:themeColor="text1"/>
              <w:bottom w:val="single" w:sz="4" w:space="0" w:color="6B2876" w:themeColor="text1"/>
            </w:tcBorders>
          </w:tcPr>
          <w:p w14:paraId="6C801266" w14:textId="1AC01796" w:rsidR="009D03B0" w:rsidRPr="00A33264" w:rsidRDefault="009D03B0" w:rsidP="00BB40DF">
            <w:pPr>
              <w:pStyle w:val="TableBody"/>
              <w:jc w:val="right"/>
              <w:rPr>
                <w:lang w:val="en-GB"/>
              </w:rPr>
            </w:pPr>
            <w:r w:rsidRPr="00A33264">
              <w:rPr>
                <w:lang w:val="en-GB"/>
              </w:rPr>
              <w:t>Number</w:t>
            </w:r>
          </w:p>
        </w:tc>
      </w:tr>
      <w:tr w:rsidR="009D03B0" w:rsidRPr="00A33264" w14:paraId="0E78C585" w14:textId="77777777" w:rsidTr="001C0A6D">
        <w:trPr>
          <w:cnfStyle w:val="000000100000" w:firstRow="0" w:lastRow="0" w:firstColumn="0" w:lastColumn="0" w:oddVBand="0" w:evenVBand="0" w:oddHBand="1" w:evenHBand="0" w:firstRowFirstColumn="0" w:firstRowLastColumn="0" w:lastRowFirstColumn="0" w:lastRowLastColumn="0"/>
          <w:cantSplit/>
          <w:trHeight w:val="340"/>
        </w:trPr>
        <w:tc>
          <w:tcPr>
            <w:tcW w:w="7792" w:type="dxa"/>
          </w:tcPr>
          <w:p w14:paraId="79016BD4" w14:textId="348DFAD4" w:rsidR="009D03B0" w:rsidRPr="00A33264" w:rsidRDefault="009D03B0" w:rsidP="009D03B0">
            <w:pPr>
              <w:pStyle w:val="TableBody"/>
              <w:spacing w:before="120" w:after="120"/>
              <w:rPr>
                <w:lang w:val="en-GB"/>
              </w:rPr>
            </w:pPr>
            <w:r w:rsidRPr="00A33264">
              <w:rPr>
                <w:lang w:val="en-GB"/>
              </w:rPr>
              <w:t>Serious injury or illness of a person that required notification to Comcare under s</w:t>
            </w:r>
            <w:r w:rsidR="004364A0">
              <w:rPr>
                <w:lang w:val="en-GB"/>
              </w:rPr>
              <w:t xml:space="preserve">ection </w:t>
            </w:r>
            <w:r w:rsidRPr="00A33264">
              <w:rPr>
                <w:lang w:val="en-GB"/>
              </w:rPr>
              <w:t>35</w:t>
            </w:r>
          </w:p>
        </w:tc>
        <w:tc>
          <w:tcPr>
            <w:tcW w:w="1278" w:type="dxa"/>
          </w:tcPr>
          <w:p w14:paraId="64899DD4" w14:textId="656E464B" w:rsidR="009D03B0" w:rsidRPr="00A33264" w:rsidRDefault="009D03B0" w:rsidP="00BB40DF">
            <w:pPr>
              <w:pStyle w:val="TableBody"/>
              <w:spacing w:before="120" w:after="120"/>
              <w:jc w:val="right"/>
              <w:rPr>
                <w:lang w:val="en-GB"/>
              </w:rPr>
            </w:pPr>
            <w:r w:rsidRPr="00A33264">
              <w:rPr>
                <w:lang w:val="en-GB"/>
              </w:rPr>
              <w:t>2</w:t>
            </w:r>
          </w:p>
        </w:tc>
      </w:tr>
      <w:tr w:rsidR="009D03B0" w:rsidRPr="00A33264" w14:paraId="56321786" w14:textId="77777777" w:rsidTr="001C0A6D">
        <w:trPr>
          <w:cantSplit/>
          <w:trHeight w:val="340"/>
        </w:trPr>
        <w:tc>
          <w:tcPr>
            <w:tcW w:w="7792" w:type="dxa"/>
          </w:tcPr>
          <w:p w14:paraId="5103F256" w14:textId="45DC641E" w:rsidR="009D03B0" w:rsidRPr="00A33264" w:rsidRDefault="009D03B0" w:rsidP="009D03B0">
            <w:pPr>
              <w:pStyle w:val="TableBody"/>
              <w:spacing w:before="120" w:after="120"/>
              <w:rPr>
                <w:lang w:val="en-GB"/>
              </w:rPr>
            </w:pPr>
            <w:r w:rsidRPr="00A33264">
              <w:rPr>
                <w:lang w:val="en-GB"/>
              </w:rPr>
              <w:t>Dangerous incident that required notification to Comcare under s</w:t>
            </w:r>
            <w:r w:rsidR="004364A0">
              <w:rPr>
                <w:lang w:val="en-GB"/>
              </w:rPr>
              <w:t xml:space="preserve">ection </w:t>
            </w:r>
            <w:r w:rsidRPr="00A33264">
              <w:rPr>
                <w:lang w:val="en-GB"/>
              </w:rPr>
              <w:t>35</w:t>
            </w:r>
          </w:p>
        </w:tc>
        <w:tc>
          <w:tcPr>
            <w:tcW w:w="1278" w:type="dxa"/>
          </w:tcPr>
          <w:p w14:paraId="7AD8473E" w14:textId="528BA2E8" w:rsidR="009D03B0" w:rsidRPr="00A33264" w:rsidRDefault="009D03B0" w:rsidP="00BB40DF">
            <w:pPr>
              <w:spacing w:after="120"/>
              <w:jc w:val="right"/>
              <w:rPr>
                <w:lang w:val="en-GB"/>
              </w:rPr>
            </w:pPr>
            <w:r w:rsidRPr="00A33264">
              <w:rPr>
                <w:lang w:val="en-GB"/>
              </w:rPr>
              <w:t>1</w:t>
            </w:r>
          </w:p>
        </w:tc>
      </w:tr>
    </w:tbl>
    <w:p w14:paraId="70D2B99A" w14:textId="77777777" w:rsidR="009D03B0" w:rsidRPr="00A33264" w:rsidRDefault="009D03B0" w:rsidP="009D03B0">
      <w:pPr>
        <w:rPr>
          <w:u w:val="single"/>
          <w:lang w:val="en-GB"/>
        </w:rPr>
      </w:pPr>
    </w:p>
    <w:p w14:paraId="47B8E58B" w14:textId="77777777" w:rsidR="006B149D" w:rsidRPr="00A33264" w:rsidRDefault="006B149D" w:rsidP="00D7463A">
      <w:pPr>
        <w:pStyle w:val="Heading3"/>
        <w:rPr>
          <w:lang w:val="en-GB"/>
        </w:rPr>
        <w:sectPr w:rsidR="006B149D" w:rsidRPr="00A33264" w:rsidSect="00F23525">
          <w:footerReference w:type="default" r:id="rId83"/>
          <w:headerReference w:type="first" r:id="rId84"/>
          <w:footerReference w:type="first" r:id="rId85"/>
          <w:pgSz w:w="11906" w:h="16838" w:code="9"/>
          <w:pgMar w:top="1361" w:right="1361" w:bottom="1361" w:left="1361" w:header="561" w:footer="374" w:gutter="0"/>
          <w:cols w:space="708"/>
          <w:titlePg/>
          <w:docGrid w:linePitch="360"/>
        </w:sectPr>
      </w:pPr>
      <w:bookmarkStart w:id="353" w:name="_Toc169592993"/>
    </w:p>
    <w:p w14:paraId="5993FDF9" w14:textId="02089EA0" w:rsidR="00D7463A" w:rsidRPr="00A33264" w:rsidRDefault="00D7463A" w:rsidP="00D7463A">
      <w:pPr>
        <w:pStyle w:val="Heading3"/>
        <w:rPr>
          <w:lang w:val="en-GB"/>
        </w:rPr>
      </w:pPr>
      <w:bookmarkStart w:id="354" w:name="_Toc174354209"/>
      <w:bookmarkStart w:id="355" w:name="_Toc175316913"/>
      <w:bookmarkStart w:id="356" w:name="_Toc176786404"/>
      <w:bookmarkStart w:id="357" w:name="_Toc180505686"/>
      <w:r w:rsidRPr="00F23525">
        <w:rPr>
          <w:lang w:val="en-GB"/>
        </w:rPr>
        <w:lastRenderedPageBreak/>
        <w:t>Workforce</w:t>
      </w:r>
      <w:r w:rsidRPr="00A33264">
        <w:rPr>
          <w:lang w:val="en-GB"/>
        </w:rPr>
        <w:t xml:space="preserve"> statistics</w:t>
      </w:r>
      <w:bookmarkEnd w:id="353"/>
      <w:bookmarkEnd w:id="354"/>
      <w:bookmarkEnd w:id="355"/>
      <w:bookmarkEnd w:id="356"/>
      <w:bookmarkEnd w:id="357"/>
    </w:p>
    <w:p w14:paraId="25743AD7" w14:textId="32F9A938" w:rsidR="00C61B89" w:rsidRPr="00A33264" w:rsidRDefault="00C61B89" w:rsidP="00933805">
      <w:pPr>
        <w:spacing w:after="120"/>
        <w:rPr>
          <w:u w:val="single"/>
          <w:lang w:val="en-GB"/>
        </w:rPr>
      </w:pPr>
      <w:r w:rsidRPr="00A33264">
        <w:rPr>
          <w:u w:val="single"/>
          <w:lang w:val="en-GB"/>
        </w:rPr>
        <w:t xml:space="preserve">Table </w:t>
      </w:r>
      <w:r w:rsidR="00A27A9C">
        <w:rPr>
          <w:u w:val="single"/>
          <w:lang w:val="en-GB"/>
        </w:rPr>
        <w:t>8</w:t>
      </w:r>
      <w:r w:rsidRPr="00A33264">
        <w:rPr>
          <w:u w:val="single"/>
          <w:lang w:val="en-GB"/>
        </w:rPr>
        <w:t>: All ongoing employees current reporting period (2023</w:t>
      </w:r>
      <w:r w:rsidR="008662F5" w:rsidRPr="00A33264">
        <w:rPr>
          <w:u w:val="single"/>
          <w:lang w:val="en-GB"/>
        </w:rPr>
        <w:t>–</w:t>
      </w:r>
      <w:r w:rsidRPr="00A33264">
        <w:rPr>
          <w:u w:val="single"/>
          <w:lang w:val="en-GB"/>
        </w:rPr>
        <w:t>24)</w:t>
      </w:r>
    </w:p>
    <w:tbl>
      <w:tblPr>
        <w:tblStyle w:val="GridTable4"/>
        <w:tblW w:w="14116" w:type="dxa"/>
        <w:tblLayout w:type="fixed"/>
        <w:tblCellMar>
          <w:left w:w="57" w:type="dxa"/>
          <w:right w:w="57" w:type="dxa"/>
        </w:tblCellMar>
        <w:tblLook w:val="06A0" w:firstRow="1" w:lastRow="0" w:firstColumn="1" w:lastColumn="0" w:noHBand="1" w:noVBand="1"/>
      </w:tblPr>
      <w:tblGrid>
        <w:gridCol w:w="2324"/>
        <w:gridCol w:w="737"/>
        <w:gridCol w:w="737"/>
        <w:gridCol w:w="737"/>
        <w:gridCol w:w="737"/>
        <w:gridCol w:w="737"/>
        <w:gridCol w:w="737"/>
        <w:gridCol w:w="737"/>
        <w:gridCol w:w="737"/>
        <w:gridCol w:w="737"/>
        <w:gridCol w:w="737"/>
        <w:gridCol w:w="737"/>
        <w:gridCol w:w="737"/>
        <w:gridCol w:w="737"/>
        <w:gridCol w:w="737"/>
        <w:gridCol w:w="737"/>
        <w:gridCol w:w="737"/>
      </w:tblGrid>
      <w:tr w:rsidR="00537BC0" w:rsidRPr="00A33264" w14:paraId="676131C1" w14:textId="5FD1CBB0" w:rsidTr="00F23525">
        <w:trPr>
          <w:cnfStyle w:val="100000000000" w:firstRow="1" w:lastRow="0" w:firstColumn="0" w:lastColumn="0" w:oddVBand="0" w:evenVBand="0" w:oddHBand="0" w:evenHBand="0" w:firstRowFirstColumn="0" w:firstRowLastColumn="0" w:lastRowFirstColumn="0" w:lastRowLastColumn="0"/>
          <w:cantSplit/>
          <w:trHeight w:val="3855"/>
        </w:trPr>
        <w:tc>
          <w:tcPr>
            <w:cnfStyle w:val="001000000000" w:firstRow="0" w:lastRow="0" w:firstColumn="1" w:lastColumn="0" w:oddVBand="0" w:evenVBand="0" w:oddHBand="0" w:evenHBand="0" w:firstRowFirstColumn="0" w:firstRowLastColumn="0" w:lastRowFirstColumn="0" w:lastRowLastColumn="0"/>
            <w:tcW w:w="2324" w:type="dxa"/>
            <w:tcBorders>
              <w:top w:val="single" w:sz="4" w:space="0" w:color="6B2876" w:themeColor="text1"/>
            </w:tcBorders>
            <w:textDirection w:val="btLr"/>
            <w:vAlign w:val="center"/>
          </w:tcPr>
          <w:p w14:paraId="1CAEE7EE" w14:textId="08D5ABD9" w:rsidR="00284BB0" w:rsidRPr="00A33264" w:rsidRDefault="00284BB0" w:rsidP="00A84BD6">
            <w:pPr>
              <w:pStyle w:val="TableBody"/>
              <w:spacing w:before="0" w:after="0"/>
              <w:ind w:left="113" w:right="113"/>
              <w:rPr>
                <w:b w:val="0"/>
                <w:bCs w:val="0"/>
                <w:color w:val="6B2876" w:themeColor="text1"/>
                <w:szCs w:val="24"/>
                <w:lang w:val="en-GB"/>
              </w:rPr>
            </w:pPr>
            <w:bookmarkStart w:id="358" w:name="Title_Table8"/>
            <w:bookmarkEnd w:id="358"/>
            <w:r w:rsidRPr="00A33264">
              <w:rPr>
                <w:szCs w:val="24"/>
                <w:lang w:val="en-GB"/>
              </w:rPr>
              <w:t>State or territory</w:t>
            </w:r>
          </w:p>
        </w:tc>
        <w:tc>
          <w:tcPr>
            <w:tcW w:w="737" w:type="dxa"/>
            <w:tcBorders>
              <w:top w:val="single" w:sz="4" w:space="0" w:color="6B2876" w:themeColor="text1"/>
            </w:tcBorders>
            <w:textDirection w:val="btLr"/>
            <w:vAlign w:val="center"/>
          </w:tcPr>
          <w:p w14:paraId="58E099D6" w14:textId="24413638" w:rsidR="00284BB0" w:rsidRPr="00A33264" w:rsidRDefault="00284BB0"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Man/Male full time</w:t>
            </w:r>
          </w:p>
        </w:tc>
        <w:tc>
          <w:tcPr>
            <w:tcW w:w="737" w:type="dxa"/>
            <w:tcBorders>
              <w:top w:val="single" w:sz="4" w:space="0" w:color="6B2876" w:themeColor="text1"/>
            </w:tcBorders>
            <w:textDirection w:val="btLr"/>
            <w:vAlign w:val="center"/>
          </w:tcPr>
          <w:p w14:paraId="3B7A8C32" w14:textId="530E967B" w:rsidR="00284BB0" w:rsidRPr="00A33264" w:rsidRDefault="00284BB0"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Man/Male part time</w:t>
            </w:r>
          </w:p>
        </w:tc>
        <w:tc>
          <w:tcPr>
            <w:tcW w:w="737" w:type="dxa"/>
            <w:tcBorders>
              <w:top w:val="single" w:sz="4" w:space="0" w:color="6B2876" w:themeColor="text1"/>
            </w:tcBorders>
            <w:textDirection w:val="btLr"/>
            <w:vAlign w:val="center"/>
          </w:tcPr>
          <w:p w14:paraId="0C7F5009" w14:textId="320AD75F" w:rsidR="00284BB0" w:rsidRPr="00A33264" w:rsidRDefault="00284BB0"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Man/Male total</w:t>
            </w:r>
          </w:p>
        </w:tc>
        <w:tc>
          <w:tcPr>
            <w:tcW w:w="737" w:type="dxa"/>
            <w:tcBorders>
              <w:top w:val="single" w:sz="4" w:space="0" w:color="6B2876" w:themeColor="text1"/>
            </w:tcBorders>
            <w:textDirection w:val="btLr"/>
            <w:vAlign w:val="center"/>
          </w:tcPr>
          <w:p w14:paraId="0791C58B" w14:textId="18BE12E8" w:rsidR="00284BB0" w:rsidRPr="00A33264" w:rsidRDefault="00284BB0"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Woman/Female full time</w:t>
            </w:r>
          </w:p>
        </w:tc>
        <w:tc>
          <w:tcPr>
            <w:tcW w:w="737" w:type="dxa"/>
            <w:tcBorders>
              <w:top w:val="single" w:sz="4" w:space="0" w:color="6B2876" w:themeColor="text1"/>
            </w:tcBorders>
            <w:textDirection w:val="btLr"/>
            <w:vAlign w:val="center"/>
          </w:tcPr>
          <w:p w14:paraId="155364C8" w14:textId="1459C47D" w:rsidR="00284BB0" w:rsidRPr="00A33264" w:rsidRDefault="00284BB0"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Woman/Female part time</w:t>
            </w:r>
          </w:p>
        </w:tc>
        <w:tc>
          <w:tcPr>
            <w:tcW w:w="737" w:type="dxa"/>
            <w:tcBorders>
              <w:top w:val="single" w:sz="4" w:space="0" w:color="6B2876" w:themeColor="text1"/>
            </w:tcBorders>
            <w:textDirection w:val="btLr"/>
            <w:vAlign w:val="center"/>
          </w:tcPr>
          <w:p w14:paraId="63CF8A52" w14:textId="7C79EFCD" w:rsidR="00284BB0" w:rsidRPr="00A33264" w:rsidRDefault="00284BB0"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Woman/Female total</w:t>
            </w:r>
          </w:p>
        </w:tc>
        <w:tc>
          <w:tcPr>
            <w:tcW w:w="737" w:type="dxa"/>
            <w:tcBorders>
              <w:top w:val="single" w:sz="4" w:space="0" w:color="6B2876" w:themeColor="text1"/>
            </w:tcBorders>
            <w:textDirection w:val="btLr"/>
            <w:vAlign w:val="center"/>
          </w:tcPr>
          <w:p w14:paraId="0C8B4C2B" w14:textId="39DFBAED"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Non-binary full time</w:t>
            </w:r>
          </w:p>
        </w:tc>
        <w:tc>
          <w:tcPr>
            <w:tcW w:w="737" w:type="dxa"/>
            <w:tcBorders>
              <w:top w:val="single" w:sz="4" w:space="0" w:color="6B2876" w:themeColor="text1"/>
            </w:tcBorders>
            <w:textDirection w:val="btLr"/>
            <w:vAlign w:val="center"/>
          </w:tcPr>
          <w:p w14:paraId="060280EE" w14:textId="77C37C4A"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Non-binary part time</w:t>
            </w:r>
          </w:p>
        </w:tc>
        <w:tc>
          <w:tcPr>
            <w:tcW w:w="737" w:type="dxa"/>
            <w:tcBorders>
              <w:top w:val="single" w:sz="4" w:space="0" w:color="6B2876" w:themeColor="text1"/>
            </w:tcBorders>
            <w:textDirection w:val="btLr"/>
            <w:vAlign w:val="center"/>
          </w:tcPr>
          <w:p w14:paraId="516DA619" w14:textId="3D7F3C9C"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Non-binary tota</w:t>
            </w:r>
            <w:r w:rsidR="00705C90" w:rsidRPr="00A33264">
              <w:rPr>
                <w:szCs w:val="24"/>
                <w:lang w:val="en-GB"/>
              </w:rPr>
              <w:t>l</w:t>
            </w:r>
          </w:p>
        </w:tc>
        <w:tc>
          <w:tcPr>
            <w:tcW w:w="737" w:type="dxa"/>
            <w:tcBorders>
              <w:top w:val="single" w:sz="4" w:space="0" w:color="6B2876" w:themeColor="text1"/>
            </w:tcBorders>
            <w:textDirection w:val="btLr"/>
            <w:vAlign w:val="center"/>
          </w:tcPr>
          <w:p w14:paraId="786654AF" w14:textId="660D0B49"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Prefers not to answer full time</w:t>
            </w:r>
          </w:p>
        </w:tc>
        <w:tc>
          <w:tcPr>
            <w:tcW w:w="737" w:type="dxa"/>
            <w:tcBorders>
              <w:top w:val="single" w:sz="4" w:space="0" w:color="6B2876" w:themeColor="text1"/>
            </w:tcBorders>
            <w:textDirection w:val="btLr"/>
            <w:vAlign w:val="center"/>
          </w:tcPr>
          <w:p w14:paraId="3605167F" w14:textId="23570639"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Prefers not to answer part time</w:t>
            </w:r>
          </w:p>
        </w:tc>
        <w:tc>
          <w:tcPr>
            <w:tcW w:w="737" w:type="dxa"/>
            <w:tcBorders>
              <w:top w:val="single" w:sz="4" w:space="0" w:color="6B2876" w:themeColor="text1"/>
            </w:tcBorders>
            <w:textDirection w:val="btLr"/>
            <w:vAlign w:val="center"/>
          </w:tcPr>
          <w:p w14:paraId="2478FC0B" w14:textId="59805719"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Prefers not to answer total</w:t>
            </w:r>
          </w:p>
        </w:tc>
        <w:tc>
          <w:tcPr>
            <w:tcW w:w="737" w:type="dxa"/>
            <w:tcBorders>
              <w:top w:val="single" w:sz="4" w:space="0" w:color="6B2876" w:themeColor="text1"/>
            </w:tcBorders>
            <w:textDirection w:val="btLr"/>
            <w:vAlign w:val="center"/>
          </w:tcPr>
          <w:p w14:paraId="331104D8" w14:textId="2A5E8B8D"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Uses a different term full time</w:t>
            </w:r>
          </w:p>
        </w:tc>
        <w:tc>
          <w:tcPr>
            <w:tcW w:w="737" w:type="dxa"/>
            <w:tcBorders>
              <w:top w:val="single" w:sz="4" w:space="0" w:color="6B2876" w:themeColor="text1"/>
            </w:tcBorders>
            <w:textDirection w:val="btLr"/>
            <w:vAlign w:val="center"/>
          </w:tcPr>
          <w:p w14:paraId="11DB20D2" w14:textId="284D934B"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Uses a different term part time</w:t>
            </w:r>
          </w:p>
        </w:tc>
        <w:tc>
          <w:tcPr>
            <w:tcW w:w="737" w:type="dxa"/>
            <w:tcBorders>
              <w:top w:val="single" w:sz="4" w:space="0" w:color="6B2876" w:themeColor="text1"/>
            </w:tcBorders>
            <w:textDirection w:val="btLr"/>
            <w:vAlign w:val="center"/>
          </w:tcPr>
          <w:p w14:paraId="52CD1542" w14:textId="6E24BE4C"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Uses a different term total</w:t>
            </w:r>
          </w:p>
        </w:tc>
        <w:tc>
          <w:tcPr>
            <w:tcW w:w="737" w:type="dxa"/>
            <w:tcBorders>
              <w:top w:val="single" w:sz="4" w:space="0" w:color="6B2876" w:themeColor="text1"/>
            </w:tcBorders>
            <w:textDirection w:val="btLr"/>
            <w:vAlign w:val="center"/>
          </w:tcPr>
          <w:p w14:paraId="0E80078A" w14:textId="74340457" w:rsidR="00284BB0" w:rsidRPr="00A33264" w:rsidRDefault="00C61B89" w:rsidP="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Total</w:t>
            </w:r>
          </w:p>
        </w:tc>
      </w:tr>
      <w:tr w:rsidR="00537BC0" w:rsidRPr="00A33264" w14:paraId="2C222081" w14:textId="02C74770"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319F7CCC" w14:textId="68112D21" w:rsidR="00C61B89" w:rsidRPr="00A33264" w:rsidRDefault="00C61B89" w:rsidP="00A84BD6">
            <w:pPr>
              <w:pStyle w:val="TableBody"/>
              <w:spacing w:before="0" w:after="0"/>
              <w:rPr>
                <w:szCs w:val="24"/>
                <w:lang w:val="en-GB"/>
              </w:rPr>
            </w:pPr>
            <w:r w:rsidRPr="00A33264">
              <w:rPr>
                <w:szCs w:val="24"/>
                <w:lang w:val="en-GB"/>
              </w:rPr>
              <w:t>NSW</w:t>
            </w:r>
          </w:p>
        </w:tc>
        <w:tc>
          <w:tcPr>
            <w:tcW w:w="737" w:type="dxa"/>
            <w:vAlign w:val="center"/>
          </w:tcPr>
          <w:p w14:paraId="07722411" w14:textId="0B5DE4C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346</w:t>
            </w:r>
          </w:p>
        </w:tc>
        <w:tc>
          <w:tcPr>
            <w:tcW w:w="737" w:type="dxa"/>
            <w:vAlign w:val="center"/>
          </w:tcPr>
          <w:p w14:paraId="40DE52FA" w14:textId="2C1F6DC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20</w:t>
            </w:r>
          </w:p>
        </w:tc>
        <w:tc>
          <w:tcPr>
            <w:tcW w:w="737" w:type="dxa"/>
            <w:vAlign w:val="center"/>
          </w:tcPr>
          <w:p w14:paraId="4B13CC41" w14:textId="4CC44FC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366</w:t>
            </w:r>
          </w:p>
        </w:tc>
        <w:tc>
          <w:tcPr>
            <w:tcW w:w="737" w:type="dxa"/>
            <w:vAlign w:val="center"/>
          </w:tcPr>
          <w:p w14:paraId="37418753" w14:textId="22364EC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1,082</w:t>
            </w:r>
          </w:p>
        </w:tc>
        <w:tc>
          <w:tcPr>
            <w:tcW w:w="737" w:type="dxa"/>
            <w:vAlign w:val="center"/>
          </w:tcPr>
          <w:p w14:paraId="5B5A1EF4" w14:textId="18780F7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207</w:t>
            </w:r>
          </w:p>
        </w:tc>
        <w:tc>
          <w:tcPr>
            <w:tcW w:w="737" w:type="dxa"/>
            <w:vAlign w:val="center"/>
          </w:tcPr>
          <w:p w14:paraId="5A424AB1" w14:textId="50F526E9"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1,289</w:t>
            </w:r>
          </w:p>
        </w:tc>
        <w:tc>
          <w:tcPr>
            <w:tcW w:w="737" w:type="dxa"/>
            <w:vAlign w:val="center"/>
          </w:tcPr>
          <w:p w14:paraId="773EB330" w14:textId="67E28FB6"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5</w:t>
            </w:r>
          </w:p>
        </w:tc>
        <w:tc>
          <w:tcPr>
            <w:tcW w:w="737" w:type="dxa"/>
            <w:vAlign w:val="center"/>
          </w:tcPr>
          <w:p w14:paraId="17B4F756" w14:textId="79B01580"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w:t>
            </w:r>
          </w:p>
        </w:tc>
        <w:tc>
          <w:tcPr>
            <w:tcW w:w="737" w:type="dxa"/>
            <w:vAlign w:val="center"/>
          </w:tcPr>
          <w:p w14:paraId="32701B98" w14:textId="7335CE47"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6</w:t>
            </w:r>
          </w:p>
        </w:tc>
        <w:tc>
          <w:tcPr>
            <w:tcW w:w="737" w:type="dxa"/>
            <w:vAlign w:val="center"/>
          </w:tcPr>
          <w:p w14:paraId="35B9F116" w14:textId="70CAAB7B"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21D7B27" w14:textId="2A218F50"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34CE458" w14:textId="6483ACD4"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2682210" w14:textId="2A8A26C5"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A2BF941" w14:textId="10FE20AC"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0F73211" w14:textId="00381671"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20C35DB" w14:textId="7237608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1,661</w:t>
            </w:r>
          </w:p>
        </w:tc>
      </w:tr>
      <w:tr w:rsidR="00537BC0" w:rsidRPr="00A33264" w14:paraId="137D5295" w14:textId="197AE5CF"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3445CCFB" w14:textId="10740BA2" w:rsidR="00C61B89" w:rsidRPr="00A33264" w:rsidRDefault="00C61B89" w:rsidP="00A84BD6">
            <w:pPr>
              <w:pStyle w:val="TableBody"/>
              <w:spacing w:before="0" w:after="0"/>
              <w:rPr>
                <w:szCs w:val="24"/>
                <w:lang w:val="en-GB"/>
              </w:rPr>
            </w:pPr>
            <w:r w:rsidRPr="00A33264">
              <w:rPr>
                <w:szCs w:val="24"/>
                <w:lang w:val="en-GB"/>
              </w:rPr>
              <w:t>Qld</w:t>
            </w:r>
          </w:p>
        </w:tc>
        <w:tc>
          <w:tcPr>
            <w:tcW w:w="737" w:type="dxa"/>
            <w:vAlign w:val="center"/>
          </w:tcPr>
          <w:p w14:paraId="6787B09A" w14:textId="517EA95B"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310</w:t>
            </w:r>
          </w:p>
        </w:tc>
        <w:tc>
          <w:tcPr>
            <w:tcW w:w="737" w:type="dxa"/>
            <w:vAlign w:val="center"/>
          </w:tcPr>
          <w:p w14:paraId="5B8EE1E7" w14:textId="0333D636"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15</w:t>
            </w:r>
          </w:p>
        </w:tc>
        <w:tc>
          <w:tcPr>
            <w:tcW w:w="737" w:type="dxa"/>
            <w:vAlign w:val="center"/>
          </w:tcPr>
          <w:p w14:paraId="0E8E55B7" w14:textId="76AD9A66"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325</w:t>
            </w:r>
          </w:p>
        </w:tc>
        <w:tc>
          <w:tcPr>
            <w:tcW w:w="737" w:type="dxa"/>
            <w:vAlign w:val="center"/>
          </w:tcPr>
          <w:p w14:paraId="2C82320C" w14:textId="7D09318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974</w:t>
            </w:r>
          </w:p>
        </w:tc>
        <w:tc>
          <w:tcPr>
            <w:tcW w:w="737" w:type="dxa"/>
            <w:vAlign w:val="center"/>
          </w:tcPr>
          <w:p w14:paraId="79AA22D4" w14:textId="64BD8C76"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156</w:t>
            </w:r>
          </w:p>
        </w:tc>
        <w:tc>
          <w:tcPr>
            <w:tcW w:w="737" w:type="dxa"/>
            <w:vAlign w:val="center"/>
          </w:tcPr>
          <w:p w14:paraId="593683BE" w14:textId="56C28047"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1,130</w:t>
            </w:r>
          </w:p>
        </w:tc>
        <w:tc>
          <w:tcPr>
            <w:tcW w:w="737" w:type="dxa"/>
            <w:vAlign w:val="center"/>
          </w:tcPr>
          <w:p w14:paraId="6587DB54" w14:textId="7EC015D5"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w:t>
            </w:r>
          </w:p>
        </w:tc>
        <w:tc>
          <w:tcPr>
            <w:tcW w:w="737" w:type="dxa"/>
            <w:vAlign w:val="center"/>
          </w:tcPr>
          <w:p w14:paraId="425C382B" w14:textId="2A1277C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410C2174" w14:textId="2188E5D5"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w:t>
            </w:r>
          </w:p>
        </w:tc>
        <w:tc>
          <w:tcPr>
            <w:tcW w:w="737" w:type="dxa"/>
            <w:vAlign w:val="center"/>
          </w:tcPr>
          <w:p w14:paraId="1B9E599A" w14:textId="02C1AA1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704F4C0" w14:textId="5AA81C29"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CE2EF3F" w14:textId="7E4D423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86490A2" w14:textId="74F3645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F0B8C89" w14:textId="385D6EB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F4A1065" w14:textId="736E42B7"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ACEF91D" w14:textId="1BE5D122"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1,457</w:t>
            </w:r>
          </w:p>
        </w:tc>
      </w:tr>
      <w:tr w:rsidR="00537BC0" w:rsidRPr="00A33264" w14:paraId="28F78CAB" w14:textId="113788E2"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49D5D4AD" w14:textId="31AACA62" w:rsidR="00C61B89" w:rsidRPr="00A33264" w:rsidRDefault="00C61B89" w:rsidP="00A84BD6">
            <w:pPr>
              <w:pStyle w:val="TableBody"/>
              <w:spacing w:before="0" w:after="0"/>
              <w:rPr>
                <w:szCs w:val="24"/>
                <w:lang w:val="en-GB"/>
              </w:rPr>
            </w:pPr>
            <w:r w:rsidRPr="00A33264">
              <w:rPr>
                <w:szCs w:val="24"/>
                <w:lang w:val="en-GB"/>
              </w:rPr>
              <w:t>SA</w:t>
            </w:r>
          </w:p>
        </w:tc>
        <w:tc>
          <w:tcPr>
            <w:tcW w:w="737" w:type="dxa"/>
            <w:vAlign w:val="center"/>
          </w:tcPr>
          <w:p w14:paraId="611543F0" w14:textId="5A94B40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169</w:t>
            </w:r>
          </w:p>
        </w:tc>
        <w:tc>
          <w:tcPr>
            <w:tcW w:w="737" w:type="dxa"/>
            <w:vAlign w:val="center"/>
          </w:tcPr>
          <w:p w14:paraId="07DC4960" w14:textId="15CB76F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6</w:t>
            </w:r>
          </w:p>
        </w:tc>
        <w:tc>
          <w:tcPr>
            <w:tcW w:w="737" w:type="dxa"/>
            <w:vAlign w:val="center"/>
          </w:tcPr>
          <w:p w14:paraId="5CC932B0" w14:textId="399FB653"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175</w:t>
            </w:r>
          </w:p>
        </w:tc>
        <w:tc>
          <w:tcPr>
            <w:tcW w:w="737" w:type="dxa"/>
            <w:vAlign w:val="center"/>
          </w:tcPr>
          <w:p w14:paraId="78FD7F6A" w14:textId="3F226AC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394</w:t>
            </w:r>
          </w:p>
        </w:tc>
        <w:tc>
          <w:tcPr>
            <w:tcW w:w="737" w:type="dxa"/>
            <w:vAlign w:val="center"/>
          </w:tcPr>
          <w:p w14:paraId="20482D74" w14:textId="2666A829"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105</w:t>
            </w:r>
          </w:p>
        </w:tc>
        <w:tc>
          <w:tcPr>
            <w:tcW w:w="737" w:type="dxa"/>
            <w:vAlign w:val="center"/>
          </w:tcPr>
          <w:p w14:paraId="265BACDE" w14:textId="4B4E0742"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499</w:t>
            </w:r>
          </w:p>
        </w:tc>
        <w:tc>
          <w:tcPr>
            <w:tcW w:w="737" w:type="dxa"/>
            <w:vAlign w:val="center"/>
          </w:tcPr>
          <w:p w14:paraId="23D931A7" w14:textId="0B794B1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w:t>
            </w:r>
          </w:p>
        </w:tc>
        <w:tc>
          <w:tcPr>
            <w:tcW w:w="737" w:type="dxa"/>
            <w:vAlign w:val="center"/>
          </w:tcPr>
          <w:p w14:paraId="45A0FBF0" w14:textId="474187B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16ECD134" w14:textId="38006EB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w:t>
            </w:r>
          </w:p>
        </w:tc>
        <w:tc>
          <w:tcPr>
            <w:tcW w:w="737" w:type="dxa"/>
            <w:vAlign w:val="center"/>
          </w:tcPr>
          <w:p w14:paraId="4960B6D9" w14:textId="6802628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86348E5" w14:textId="3E8C005C"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88E14E2" w14:textId="1BF69F4B"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AB840E0" w14:textId="5F49B9D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AE5787C" w14:textId="2A6C4747"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B8D64DC" w14:textId="16F7292A"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A8AF42F" w14:textId="03A355C5"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676</w:t>
            </w:r>
          </w:p>
        </w:tc>
      </w:tr>
      <w:tr w:rsidR="00537BC0" w:rsidRPr="00A33264" w14:paraId="0C1935C4" w14:textId="5FC67DBF"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3BDC36B7" w14:textId="51160EB2" w:rsidR="00C61B89" w:rsidRPr="00A33264" w:rsidRDefault="00C61B89" w:rsidP="00A84BD6">
            <w:pPr>
              <w:pStyle w:val="TableBody"/>
              <w:spacing w:before="0" w:after="0"/>
              <w:rPr>
                <w:szCs w:val="24"/>
                <w:lang w:val="en-GB"/>
              </w:rPr>
            </w:pPr>
            <w:r w:rsidRPr="00A33264">
              <w:rPr>
                <w:szCs w:val="24"/>
                <w:lang w:val="en-GB"/>
              </w:rPr>
              <w:t>Tas</w:t>
            </w:r>
          </w:p>
        </w:tc>
        <w:tc>
          <w:tcPr>
            <w:tcW w:w="737" w:type="dxa"/>
            <w:vAlign w:val="center"/>
          </w:tcPr>
          <w:p w14:paraId="271674DA" w14:textId="2C1E1566"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34</w:t>
            </w:r>
          </w:p>
        </w:tc>
        <w:tc>
          <w:tcPr>
            <w:tcW w:w="737" w:type="dxa"/>
            <w:vAlign w:val="center"/>
          </w:tcPr>
          <w:p w14:paraId="238DA5AA" w14:textId="1927B1B0"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5</w:t>
            </w:r>
          </w:p>
        </w:tc>
        <w:tc>
          <w:tcPr>
            <w:tcW w:w="737" w:type="dxa"/>
            <w:vAlign w:val="center"/>
          </w:tcPr>
          <w:p w14:paraId="00EFEADC" w14:textId="22D8794B"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39</w:t>
            </w:r>
          </w:p>
        </w:tc>
        <w:tc>
          <w:tcPr>
            <w:tcW w:w="737" w:type="dxa"/>
            <w:vAlign w:val="center"/>
          </w:tcPr>
          <w:p w14:paraId="249F0D35" w14:textId="65B1E93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82</w:t>
            </w:r>
          </w:p>
        </w:tc>
        <w:tc>
          <w:tcPr>
            <w:tcW w:w="737" w:type="dxa"/>
            <w:vAlign w:val="center"/>
          </w:tcPr>
          <w:p w14:paraId="23F733D6" w14:textId="754DD5CC"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20</w:t>
            </w:r>
          </w:p>
        </w:tc>
        <w:tc>
          <w:tcPr>
            <w:tcW w:w="737" w:type="dxa"/>
            <w:vAlign w:val="center"/>
          </w:tcPr>
          <w:p w14:paraId="717E93C5" w14:textId="460FF0F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102</w:t>
            </w:r>
          </w:p>
        </w:tc>
        <w:tc>
          <w:tcPr>
            <w:tcW w:w="737" w:type="dxa"/>
            <w:vAlign w:val="center"/>
          </w:tcPr>
          <w:p w14:paraId="247E09E9" w14:textId="6C9CF9B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w:t>
            </w:r>
          </w:p>
        </w:tc>
        <w:tc>
          <w:tcPr>
            <w:tcW w:w="737" w:type="dxa"/>
            <w:vAlign w:val="center"/>
          </w:tcPr>
          <w:p w14:paraId="0272F604" w14:textId="5D25D413"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44D66048" w14:textId="0F45C60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w:t>
            </w:r>
          </w:p>
        </w:tc>
        <w:tc>
          <w:tcPr>
            <w:tcW w:w="737" w:type="dxa"/>
            <w:vAlign w:val="center"/>
          </w:tcPr>
          <w:p w14:paraId="04611E78" w14:textId="22F2F6D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9460231" w14:textId="5DF473F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3519677" w14:textId="0612A19B"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233DDD7" w14:textId="13CE71FB"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C8C2859" w14:textId="71F76646"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B8F3A47" w14:textId="3B1B7F32"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CD2FDF3" w14:textId="02CACE5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142</w:t>
            </w:r>
          </w:p>
        </w:tc>
      </w:tr>
      <w:tr w:rsidR="00537BC0" w:rsidRPr="00A33264" w14:paraId="5048B8CA" w14:textId="25652CE5"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4E628A95" w14:textId="74378495" w:rsidR="00C61B89" w:rsidRPr="00A33264" w:rsidRDefault="00C61B89" w:rsidP="00A84BD6">
            <w:pPr>
              <w:pStyle w:val="TableBody"/>
              <w:spacing w:before="0" w:after="0"/>
              <w:rPr>
                <w:szCs w:val="24"/>
                <w:lang w:val="en-GB"/>
              </w:rPr>
            </w:pPr>
            <w:r w:rsidRPr="00A33264">
              <w:rPr>
                <w:szCs w:val="24"/>
                <w:lang w:val="en-GB"/>
              </w:rPr>
              <w:t>Vic</w:t>
            </w:r>
          </w:p>
        </w:tc>
        <w:tc>
          <w:tcPr>
            <w:tcW w:w="737" w:type="dxa"/>
            <w:vAlign w:val="center"/>
          </w:tcPr>
          <w:p w14:paraId="6D057ED2" w14:textId="3959AFC0"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706</w:t>
            </w:r>
          </w:p>
        </w:tc>
        <w:tc>
          <w:tcPr>
            <w:tcW w:w="737" w:type="dxa"/>
            <w:vAlign w:val="center"/>
          </w:tcPr>
          <w:p w14:paraId="06DF1F06" w14:textId="40B826A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38</w:t>
            </w:r>
          </w:p>
        </w:tc>
        <w:tc>
          <w:tcPr>
            <w:tcW w:w="737" w:type="dxa"/>
            <w:vAlign w:val="center"/>
          </w:tcPr>
          <w:p w14:paraId="38B5EFD6" w14:textId="73B0A817"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744</w:t>
            </w:r>
          </w:p>
        </w:tc>
        <w:tc>
          <w:tcPr>
            <w:tcW w:w="737" w:type="dxa"/>
            <w:vAlign w:val="center"/>
          </w:tcPr>
          <w:p w14:paraId="36BEC999" w14:textId="5B2D741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1,519</w:t>
            </w:r>
          </w:p>
        </w:tc>
        <w:tc>
          <w:tcPr>
            <w:tcW w:w="737" w:type="dxa"/>
            <w:vAlign w:val="center"/>
          </w:tcPr>
          <w:p w14:paraId="6C8558CB" w14:textId="79CC5CD1"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300</w:t>
            </w:r>
          </w:p>
        </w:tc>
        <w:tc>
          <w:tcPr>
            <w:tcW w:w="737" w:type="dxa"/>
            <w:vAlign w:val="center"/>
          </w:tcPr>
          <w:p w14:paraId="0645C7AD" w14:textId="3011A76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1,819</w:t>
            </w:r>
          </w:p>
        </w:tc>
        <w:tc>
          <w:tcPr>
            <w:tcW w:w="737" w:type="dxa"/>
            <w:vAlign w:val="center"/>
          </w:tcPr>
          <w:p w14:paraId="794078DA" w14:textId="3050D0D9"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13</w:t>
            </w:r>
          </w:p>
        </w:tc>
        <w:tc>
          <w:tcPr>
            <w:tcW w:w="737" w:type="dxa"/>
            <w:vAlign w:val="center"/>
          </w:tcPr>
          <w:p w14:paraId="3CC40E6E" w14:textId="2768DCEA"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660A20DC" w14:textId="7CEFCCC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13</w:t>
            </w:r>
          </w:p>
        </w:tc>
        <w:tc>
          <w:tcPr>
            <w:tcW w:w="737" w:type="dxa"/>
            <w:vAlign w:val="center"/>
          </w:tcPr>
          <w:p w14:paraId="0A16D3E3" w14:textId="28EB6D11"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9BF1B62" w14:textId="6AC3FF16"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15B3B7A" w14:textId="7C1DEDF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31A4608" w14:textId="234024E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2ABFD43" w14:textId="6ED4A707"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2F2D485" w14:textId="6F18B412"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57809F6" w14:textId="1690E5D6"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2,576</w:t>
            </w:r>
          </w:p>
        </w:tc>
      </w:tr>
      <w:tr w:rsidR="00537BC0" w:rsidRPr="00A33264" w14:paraId="7B52A2A3" w14:textId="5922E1C1"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131BFA32" w14:textId="3A10DD9A" w:rsidR="00C61B89" w:rsidRPr="00A33264" w:rsidRDefault="00C61B89" w:rsidP="00A84BD6">
            <w:pPr>
              <w:pStyle w:val="TableBody"/>
              <w:spacing w:before="0" w:after="0"/>
              <w:rPr>
                <w:szCs w:val="24"/>
                <w:lang w:val="en-GB"/>
              </w:rPr>
            </w:pPr>
            <w:r w:rsidRPr="00A33264">
              <w:rPr>
                <w:szCs w:val="24"/>
                <w:lang w:val="en-GB"/>
              </w:rPr>
              <w:t>WA</w:t>
            </w:r>
          </w:p>
        </w:tc>
        <w:tc>
          <w:tcPr>
            <w:tcW w:w="737" w:type="dxa"/>
            <w:vAlign w:val="center"/>
          </w:tcPr>
          <w:p w14:paraId="67A9DE55" w14:textId="4FCE04E7"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137</w:t>
            </w:r>
          </w:p>
        </w:tc>
        <w:tc>
          <w:tcPr>
            <w:tcW w:w="737" w:type="dxa"/>
            <w:vAlign w:val="center"/>
          </w:tcPr>
          <w:p w14:paraId="7AC3572A" w14:textId="2D9EFAAB"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11</w:t>
            </w:r>
          </w:p>
        </w:tc>
        <w:tc>
          <w:tcPr>
            <w:tcW w:w="737" w:type="dxa"/>
            <w:vAlign w:val="center"/>
          </w:tcPr>
          <w:p w14:paraId="32F3E2DD" w14:textId="4703496A"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148</w:t>
            </w:r>
          </w:p>
        </w:tc>
        <w:tc>
          <w:tcPr>
            <w:tcW w:w="737" w:type="dxa"/>
            <w:vAlign w:val="center"/>
          </w:tcPr>
          <w:p w14:paraId="515314D2" w14:textId="6424326F"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345</w:t>
            </w:r>
          </w:p>
        </w:tc>
        <w:tc>
          <w:tcPr>
            <w:tcW w:w="737" w:type="dxa"/>
            <w:vAlign w:val="center"/>
          </w:tcPr>
          <w:p w14:paraId="3ABF903C" w14:textId="5BAFBEB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49</w:t>
            </w:r>
          </w:p>
        </w:tc>
        <w:tc>
          <w:tcPr>
            <w:tcW w:w="737" w:type="dxa"/>
            <w:vAlign w:val="center"/>
          </w:tcPr>
          <w:p w14:paraId="20785F97" w14:textId="0035408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394</w:t>
            </w:r>
          </w:p>
        </w:tc>
        <w:tc>
          <w:tcPr>
            <w:tcW w:w="737" w:type="dxa"/>
            <w:vAlign w:val="center"/>
          </w:tcPr>
          <w:p w14:paraId="134BF442" w14:textId="15F8B1F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366B80FF" w14:textId="00D10CEF"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410604E4" w14:textId="6EE9DC62"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1AB03020" w14:textId="21C1128C"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DAEF5E1" w14:textId="06F15004"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F96DD81" w14:textId="7297640B"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8659494" w14:textId="34E5FBD9"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A3DDB5A" w14:textId="75FB856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71454FD" w14:textId="4D3A9F62"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A3B9C94" w14:textId="1CB88A6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542</w:t>
            </w:r>
          </w:p>
        </w:tc>
      </w:tr>
      <w:tr w:rsidR="00537BC0" w:rsidRPr="00A33264" w14:paraId="051DECE4" w14:textId="4BF2B015"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3B782732" w14:textId="1F920B39" w:rsidR="00C61B89" w:rsidRPr="00A33264" w:rsidRDefault="00C61B89" w:rsidP="00A84BD6">
            <w:pPr>
              <w:pStyle w:val="TableBody"/>
              <w:spacing w:before="0" w:after="0"/>
              <w:rPr>
                <w:szCs w:val="24"/>
                <w:lang w:val="en-GB"/>
              </w:rPr>
            </w:pPr>
            <w:r w:rsidRPr="00A33264">
              <w:rPr>
                <w:szCs w:val="24"/>
                <w:lang w:val="en-GB"/>
              </w:rPr>
              <w:t>ACT</w:t>
            </w:r>
          </w:p>
        </w:tc>
        <w:tc>
          <w:tcPr>
            <w:tcW w:w="737" w:type="dxa"/>
            <w:vAlign w:val="center"/>
          </w:tcPr>
          <w:p w14:paraId="4C8EC208" w14:textId="6EA27119"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128</w:t>
            </w:r>
          </w:p>
        </w:tc>
        <w:tc>
          <w:tcPr>
            <w:tcW w:w="737" w:type="dxa"/>
            <w:vAlign w:val="center"/>
          </w:tcPr>
          <w:p w14:paraId="1BB69B47" w14:textId="68D9CA8F"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5</w:t>
            </w:r>
          </w:p>
        </w:tc>
        <w:tc>
          <w:tcPr>
            <w:tcW w:w="737" w:type="dxa"/>
            <w:vAlign w:val="center"/>
          </w:tcPr>
          <w:p w14:paraId="476FBBA0" w14:textId="063CC12B"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133</w:t>
            </w:r>
          </w:p>
        </w:tc>
        <w:tc>
          <w:tcPr>
            <w:tcW w:w="737" w:type="dxa"/>
            <w:vAlign w:val="center"/>
          </w:tcPr>
          <w:p w14:paraId="247DB1E2" w14:textId="63CB53B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226</w:t>
            </w:r>
          </w:p>
        </w:tc>
        <w:tc>
          <w:tcPr>
            <w:tcW w:w="737" w:type="dxa"/>
            <w:vAlign w:val="center"/>
          </w:tcPr>
          <w:p w14:paraId="2C2C9B9B" w14:textId="0A570C5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20</w:t>
            </w:r>
          </w:p>
        </w:tc>
        <w:tc>
          <w:tcPr>
            <w:tcW w:w="737" w:type="dxa"/>
            <w:vAlign w:val="center"/>
          </w:tcPr>
          <w:p w14:paraId="753D3054" w14:textId="48821BCF"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246</w:t>
            </w:r>
          </w:p>
        </w:tc>
        <w:tc>
          <w:tcPr>
            <w:tcW w:w="737" w:type="dxa"/>
            <w:vAlign w:val="center"/>
          </w:tcPr>
          <w:p w14:paraId="165D9675" w14:textId="4271ADB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7</w:t>
            </w:r>
          </w:p>
        </w:tc>
        <w:tc>
          <w:tcPr>
            <w:tcW w:w="737" w:type="dxa"/>
            <w:vAlign w:val="center"/>
          </w:tcPr>
          <w:p w14:paraId="2A383B61" w14:textId="1E2307D3"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6DBCE99B" w14:textId="40EFED2A"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7</w:t>
            </w:r>
          </w:p>
        </w:tc>
        <w:tc>
          <w:tcPr>
            <w:tcW w:w="737" w:type="dxa"/>
            <w:vAlign w:val="center"/>
          </w:tcPr>
          <w:p w14:paraId="62F43421" w14:textId="5D0144F2"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6AB2245" w14:textId="14BEE9A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0A8FAD3" w14:textId="7B16A187"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90A0C38" w14:textId="2E3FAD8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9A7A88F" w14:textId="5BF10D0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32E8AD3" w14:textId="498E92F9"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859F90F" w14:textId="4F6A30FC"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386</w:t>
            </w:r>
          </w:p>
        </w:tc>
      </w:tr>
      <w:tr w:rsidR="00537BC0" w:rsidRPr="00A33264" w14:paraId="090E7AC5" w14:textId="6EB48FB6"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772BFA1E" w14:textId="0EC6E821" w:rsidR="00C61B89" w:rsidRPr="00A33264" w:rsidRDefault="00C61B89" w:rsidP="00A84BD6">
            <w:pPr>
              <w:pStyle w:val="TableBody"/>
              <w:spacing w:before="0" w:after="0"/>
              <w:rPr>
                <w:szCs w:val="24"/>
                <w:lang w:val="en-GB"/>
              </w:rPr>
            </w:pPr>
            <w:r w:rsidRPr="00A33264">
              <w:rPr>
                <w:szCs w:val="24"/>
                <w:lang w:val="en-GB"/>
              </w:rPr>
              <w:t>NT</w:t>
            </w:r>
          </w:p>
        </w:tc>
        <w:tc>
          <w:tcPr>
            <w:tcW w:w="737" w:type="dxa"/>
            <w:vAlign w:val="center"/>
          </w:tcPr>
          <w:p w14:paraId="738C4150" w14:textId="37E60D63"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16</w:t>
            </w:r>
          </w:p>
        </w:tc>
        <w:tc>
          <w:tcPr>
            <w:tcW w:w="737" w:type="dxa"/>
            <w:vAlign w:val="center"/>
          </w:tcPr>
          <w:p w14:paraId="66B28B80" w14:textId="0F9C60A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6A9EAE00" w14:textId="7D34269A"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16</w:t>
            </w:r>
          </w:p>
        </w:tc>
        <w:tc>
          <w:tcPr>
            <w:tcW w:w="737" w:type="dxa"/>
            <w:vAlign w:val="center"/>
          </w:tcPr>
          <w:p w14:paraId="6486238B" w14:textId="54B9D68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78</w:t>
            </w:r>
          </w:p>
        </w:tc>
        <w:tc>
          <w:tcPr>
            <w:tcW w:w="737" w:type="dxa"/>
            <w:vAlign w:val="center"/>
          </w:tcPr>
          <w:p w14:paraId="12E86E02" w14:textId="78681185"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9</w:t>
            </w:r>
          </w:p>
        </w:tc>
        <w:tc>
          <w:tcPr>
            <w:tcW w:w="737" w:type="dxa"/>
            <w:vAlign w:val="center"/>
          </w:tcPr>
          <w:p w14:paraId="496EEFCD" w14:textId="4B750DA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87</w:t>
            </w:r>
          </w:p>
        </w:tc>
        <w:tc>
          <w:tcPr>
            <w:tcW w:w="737" w:type="dxa"/>
            <w:vAlign w:val="center"/>
          </w:tcPr>
          <w:p w14:paraId="03FA7A6B" w14:textId="6499C710"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w:t>
            </w:r>
          </w:p>
        </w:tc>
        <w:tc>
          <w:tcPr>
            <w:tcW w:w="737" w:type="dxa"/>
            <w:vAlign w:val="center"/>
          </w:tcPr>
          <w:p w14:paraId="328CC4E6" w14:textId="7A76934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0</w:t>
            </w:r>
          </w:p>
        </w:tc>
        <w:tc>
          <w:tcPr>
            <w:tcW w:w="737" w:type="dxa"/>
            <w:vAlign w:val="center"/>
          </w:tcPr>
          <w:p w14:paraId="4CDF1D22" w14:textId="31FC8B78"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w:t>
            </w:r>
          </w:p>
        </w:tc>
        <w:tc>
          <w:tcPr>
            <w:tcW w:w="737" w:type="dxa"/>
            <w:vAlign w:val="center"/>
          </w:tcPr>
          <w:p w14:paraId="61137994" w14:textId="7DA93FD5"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3FA9190" w14:textId="6102C55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CB213D7" w14:textId="425A6BB5"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E6BC985" w14:textId="21E2E050"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FEDD466" w14:textId="17C42393"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D908102" w14:textId="5A956EF4"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FFA1C1A" w14:textId="407F467F"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rFonts w:eastAsia="Times New Roman"/>
                <w:szCs w:val="24"/>
                <w:lang w:val="en-GB" w:eastAsia="en-AU"/>
              </w:rPr>
              <w:t>104</w:t>
            </w:r>
          </w:p>
        </w:tc>
      </w:tr>
      <w:tr w:rsidR="00537BC0" w:rsidRPr="00A33264" w14:paraId="3D3F7CB2" w14:textId="5914C2F9"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64D599A9" w14:textId="3E119B8C" w:rsidR="00C61B89" w:rsidRPr="00A33264" w:rsidRDefault="00C61B89" w:rsidP="00A84BD6">
            <w:pPr>
              <w:pStyle w:val="TableBody"/>
              <w:spacing w:before="0" w:after="0"/>
              <w:rPr>
                <w:szCs w:val="24"/>
                <w:lang w:val="en-GB"/>
              </w:rPr>
            </w:pPr>
            <w:r w:rsidRPr="00A33264">
              <w:rPr>
                <w:szCs w:val="24"/>
                <w:lang w:val="en-GB"/>
              </w:rPr>
              <w:t xml:space="preserve">External </w:t>
            </w:r>
            <w:r w:rsidR="00C83A08" w:rsidRPr="00A33264">
              <w:rPr>
                <w:szCs w:val="24"/>
                <w:lang w:val="en-GB"/>
              </w:rPr>
              <w:t>t</w:t>
            </w:r>
            <w:r w:rsidRPr="00A33264">
              <w:rPr>
                <w:szCs w:val="24"/>
                <w:lang w:val="en-GB"/>
              </w:rPr>
              <w:t>erritories</w:t>
            </w:r>
          </w:p>
        </w:tc>
        <w:tc>
          <w:tcPr>
            <w:tcW w:w="737" w:type="dxa"/>
            <w:vAlign w:val="center"/>
          </w:tcPr>
          <w:p w14:paraId="1E2B12F8" w14:textId="31CE7B74"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58371AF" w14:textId="5962F1CC"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EAD2C40" w14:textId="43E30516"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4877FD2" w14:textId="7746FEF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1B58CB9" w14:textId="79B16CF3"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F9BB174" w14:textId="26ADB145"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B05D44E" w14:textId="70767BC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64AD660" w14:textId="0C788294"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3635E38" w14:textId="06361B3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9AED62C" w14:textId="64BFEB32"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A6D29FB" w14:textId="31AEB68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3848069" w14:textId="169E33D0"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C3C280C" w14:textId="4E367E51"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80B8A66" w14:textId="1B98B56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AF158CD" w14:textId="4C74114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C88A6C6" w14:textId="1BC88B7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r>
      <w:tr w:rsidR="00537BC0" w:rsidRPr="00A33264" w14:paraId="1AF50C6A" w14:textId="7172A503"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358B62F2" w14:textId="1D11B014" w:rsidR="00C61B89" w:rsidRPr="00A33264" w:rsidRDefault="00C61B89" w:rsidP="00A84BD6">
            <w:pPr>
              <w:pStyle w:val="TableBody"/>
              <w:spacing w:before="0" w:after="0"/>
              <w:rPr>
                <w:szCs w:val="24"/>
                <w:lang w:val="en-GB"/>
              </w:rPr>
            </w:pPr>
            <w:r w:rsidRPr="00A33264">
              <w:rPr>
                <w:szCs w:val="24"/>
                <w:lang w:val="en-GB"/>
              </w:rPr>
              <w:t>Overseas</w:t>
            </w:r>
          </w:p>
        </w:tc>
        <w:tc>
          <w:tcPr>
            <w:tcW w:w="737" w:type="dxa"/>
            <w:vAlign w:val="center"/>
          </w:tcPr>
          <w:p w14:paraId="16C484C6" w14:textId="779C366A"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C264D6A" w14:textId="3EE071F3"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47498CD" w14:textId="4380516B"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816BA46" w14:textId="2CC03D0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55F102F" w14:textId="65F30AFD"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228CA62" w14:textId="37F981F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82C8A8B" w14:textId="79FCF7AA"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DBD01BA" w14:textId="78B62167"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17584B9" w14:textId="7E2C54F1"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94FA578" w14:textId="05C38A61"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CAD2E50" w14:textId="39A06336"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96908A5" w14:textId="590ADC64"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8EAEAE8" w14:textId="10B5D700"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E4DAC63" w14:textId="2B05D958"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D06A825" w14:textId="1A6FBD3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6314EF0" w14:textId="4BBBB6CF"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r>
      <w:tr w:rsidR="00537BC0" w:rsidRPr="00A33264" w14:paraId="05B075CB" w14:textId="3CAE27ED"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vAlign w:val="center"/>
          </w:tcPr>
          <w:p w14:paraId="05A230F8" w14:textId="51BDBEB6" w:rsidR="00C61B89" w:rsidRPr="00A33264" w:rsidRDefault="00C61B89" w:rsidP="00A84BD6">
            <w:pPr>
              <w:pStyle w:val="TableBody"/>
              <w:spacing w:before="0" w:after="0"/>
              <w:rPr>
                <w:szCs w:val="24"/>
                <w:lang w:val="en-GB"/>
              </w:rPr>
            </w:pPr>
            <w:r w:rsidRPr="00A33264">
              <w:rPr>
                <w:szCs w:val="24"/>
                <w:lang w:val="en-GB"/>
              </w:rPr>
              <w:t>Total</w:t>
            </w:r>
          </w:p>
        </w:tc>
        <w:tc>
          <w:tcPr>
            <w:tcW w:w="737" w:type="dxa"/>
            <w:vAlign w:val="center"/>
          </w:tcPr>
          <w:p w14:paraId="1BFBF08E" w14:textId="6DC0500C"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1,846</w:t>
            </w:r>
          </w:p>
        </w:tc>
        <w:tc>
          <w:tcPr>
            <w:tcW w:w="737" w:type="dxa"/>
            <w:vAlign w:val="center"/>
          </w:tcPr>
          <w:p w14:paraId="2B4837F3" w14:textId="05CBDB5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100</w:t>
            </w:r>
          </w:p>
        </w:tc>
        <w:tc>
          <w:tcPr>
            <w:tcW w:w="737" w:type="dxa"/>
            <w:vAlign w:val="center"/>
          </w:tcPr>
          <w:p w14:paraId="0C97403E" w14:textId="78AB5420"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1,946</w:t>
            </w:r>
          </w:p>
        </w:tc>
        <w:tc>
          <w:tcPr>
            <w:tcW w:w="737" w:type="dxa"/>
            <w:vAlign w:val="center"/>
          </w:tcPr>
          <w:p w14:paraId="218851A2" w14:textId="5FC74B8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4,700</w:t>
            </w:r>
          </w:p>
        </w:tc>
        <w:tc>
          <w:tcPr>
            <w:tcW w:w="737" w:type="dxa"/>
            <w:vAlign w:val="center"/>
          </w:tcPr>
          <w:p w14:paraId="6A005A56" w14:textId="7BAA7135"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866</w:t>
            </w:r>
          </w:p>
        </w:tc>
        <w:tc>
          <w:tcPr>
            <w:tcW w:w="737" w:type="dxa"/>
            <w:vAlign w:val="center"/>
          </w:tcPr>
          <w:p w14:paraId="00D0B20A" w14:textId="54C5EA4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5,566</w:t>
            </w:r>
          </w:p>
        </w:tc>
        <w:tc>
          <w:tcPr>
            <w:tcW w:w="737" w:type="dxa"/>
            <w:vAlign w:val="center"/>
          </w:tcPr>
          <w:p w14:paraId="2D513389" w14:textId="47BA631D"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31</w:t>
            </w:r>
          </w:p>
        </w:tc>
        <w:tc>
          <w:tcPr>
            <w:tcW w:w="737" w:type="dxa"/>
            <w:vAlign w:val="center"/>
          </w:tcPr>
          <w:p w14:paraId="333091F8" w14:textId="547932E4"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1</w:t>
            </w:r>
          </w:p>
        </w:tc>
        <w:tc>
          <w:tcPr>
            <w:tcW w:w="737" w:type="dxa"/>
            <w:vAlign w:val="center"/>
          </w:tcPr>
          <w:p w14:paraId="6C940B5F" w14:textId="48A2291F"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32</w:t>
            </w:r>
          </w:p>
        </w:tc>
        <w:tc>
          <w:tcPr>
            <w:tcW w:w="737" w:type="dxa"/>
            <w:vAlign w:val="center"/>
          </w:tcPr>
          <w:p w14:paraId="5C884D31" w14:textId="7B610161"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lang w:val="en-GB"/>
              </w:rPr>
            </w:pPr>
            <w:r w:rsidRPr="00CD6A84">
              <w:rPr>
                <w:b/>
                <w:bCs/>
                <w:szCs w:val="24"/>
                <w:lang w:val="en-GB"/>
              </w:rPr>
              <w:t>0</w:t>
            </w:r>
          </w:p>
        </w:tc>
        <w:tc>
          <w:tcPr>
            <w:tcW w:w="737" w:type="dxa"/>
            <w:vAlign w:val="center"/>
          </w:tcPr>
          <w:p w14:paraId="611F6BA9" w14:textId="537EF2C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lang w:val="en-GB"/>
              </w:rPr>
            </w:pPr>
            <w:r w:rsidRPr="00CD6A84">
              <w:rPr>
                <w:b/>
                <w:bCs/>
                <w:szCs w:val="24"/>
                <w:lang w:val="en-GB"/>
              </w:rPr>
              <w:t>0</w:t>
            </w:r>
          </w:p>
        </w:tc>
        <w:tc>
          <w:tcPr>
            <w:tcW w:w="737" w:type="dxa"/>
            <w:vAlign w:val="center"/>
          </w:tcPr>
          <w:p w14:paraId="6A966ECF" w14:textId="48359962"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lang w:val="en-GB"/>
              </w:rPr>
            </w:pPr>
            <w:r w:rsidRPr="00CD6A84">
              <w:rPr>
                <w:b/>
                <w:bCs/>
                <w:szCs w:val="24"/>
                <w:lang w:val="en-GB"/>
              </w:rPr>
              <w:t>0</w:t>
            </w:r>
          </w:p>
        </w:tc>
        <w:tc>
          <w:tcPr>
            <w:tcW w:w="737" w:type="dxa"/>
            <w:vAlign w:val="center"/>
          </w:tcPr>
          <w:p w14:paraId="41871CA0" w14:textId="4B4A288E"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lang w:val="en-GB"/>
              </w:rPr>
            </w:pPr>
            <w:r w:rsidRPr="00CD6A84">
              <w:rPr>
                <w:b/>
                <w:bCs/>
                <w:szCs w:val="24"/>
                <w:lang w:val="en-GB"/>
              </w:rPr>
              <w:t>0</w:t>
            </w:r>
          </w:p>
        </w:tc>
        <w:tc>
          <w:tcPr>
            <w:tcW w:w="737" w:type="dxa"/>
            <w:vAlign w:val="center"/>
          </w:tcPr>
          <w:p w14:paraId="28D2DC80" w14:textId="7702B543"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lang w:val="en-GB"/>
              </w:rPr>
            </w:pPr>
            <w:r w:rsidRPr="00CD6A84">
              <w:rPr>
                <w:b/>
                <w:bCs/>
                <w:szCs w:val="24"/>
                <w:lang w:val="en-GB"/>
              </w:rPr>
              <w:t>0</w:t>
            </w:r>
          </w:p>
        </w:tc>
        <w:tc>
          <w:tcPr>
            <w:tcW w:w="737" w:type="dxa"/>
            <w:vAlign w:val="center"/>
          </w:tcPr>
          <w:p w14:paraId="34C1BA77" w14:textId="3DF0B7D6" w:rsidR="00C61B89"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lang w:val="en-GB"/>
              </w:rPr>
            </w:pPr>
            <w:r w:rsidRPr="00CD6A84">
              <w:rPr>
                <w:b/>
                <w:bCs/>
                <w:szCs w:val="24"/>
                <w:lang w:val="en-GB"/>
              </w:rPr>
              <w:t>0</w:t>
            </w:r>
          </w:p>
        </w:tc>
        <w:tc>
          <w:tcPr>
            <w:tcW w:w="737" w:type="dxa"/>
            <w:vAlign w:val="center"/>
          </w:tcPr>
          <w:p w14:paraId="003E87AB" w14:textId="1010715E" w:rsidR="00C61B89" w:rsidRPr="00CD6A84" w:rsidRDefault="00C61B89"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7,544</w:t>
            </w:r>
          </w:p>
        </w:tc>
      </w:tr>
    </w:tbl>
    <w:p w14:paraId="29A7AD2A" w14:textId="77777777" w:rsidR="00C61B89" w:rsidRPr="00A33264" w:rsidRDefault="00C61B89">
      <w:pPr>
        <w:spacing w:after="0" w:line="240" w:lineRule="auto"/>
        <w:rPr>
          <w:sz w:val="12"/>
          <w:szCs w:val="12"/>
          <w:u w:val="single"/>
          <w:lang w:val="en-GB"/>
        </w:rPr>
      </w:pPr>
      <w:r w:rsidRPr="00A33264">
        <w:rPr>
          <w:sz w:val="12"/>
          <w:szCs w:val="12"/>
          <w:u w:val="single"/>
          <w:lang w:val="en-GB"/>
        </w:rPr>
        <w:br w:type="page"/>
      </w:r>
    </w:p>
    <w:p w14:paraId="5C3DE293" w14:textId="2EDD8669" w:rsidR="00D7463A" w:rsidRPr="00A33264" w:rsidRDefault="00C61B89" w:rsidP="00D7463A">
      <w:pPr>
        <w:rPr>
          <w:u w:val="single"/>
          <w:lang w:val="en-GB"/>
        </w:rPr>
      </w:pPr>
      <w:r w:rsidRPr="00A33264">
        <w:rPr>
          <w:u w:val="single"/>
          <w:lang w:val="en-GB"/>
        </w:rPr>
        <w:lastRenderedPageBreak/>
        <w:t xml:space="preserve">Table </w:t>
      </w:r>
      <w:r w:rsidR="00A27A9C">
        <w:rPr>
          <w:u w:val="single"/>
          <w:lang w:val="en-GB"/>
        </w:rPr>
        <w:t>9</w:t>
      </w:r>
      <w:r w:rsidRPr="00A33264">
        <w:rPr>
          <w:u w:val="single"/>
          <w:lang w:val="en-GB"/>
        </w:rPr>
        <w:t>: All non-ongoing employees current reporting period (2023</w:t>
      </w:r>
      <w:r w:rsidR="008662F5" w:rsidRPr="00A33264">
        <w:rPr>
          <w:u w:val="single"/>
          <w:lang w:val="en-GB"/>
        </w:rPr>
        <w:t>–</w:t>
      </w:r>
      <w:r w:rsidRPr="00A33264">
        <w:rPr>
          <w:u w:val="single"/>
          <w:lang w:val="en-GB"/>
        </w:rPr>
        <w:t>24)</w:t>
      </w:r>
    </w:p>
    <w:tbl>
      <w:tblPr>
        <w:tblStyle w:val="GridTable4"/>
        <w:tblW w:w="14116" w:type="dxa"/>
        <w:tblLayout w:type="fixed"/>
        <w:tblCellMar>
          <w:left w:w="57" w:type="dxa"/>
          <w:right w:w="57" w:type="dxa"/>
        </w:tblCellMar>
        <w:tblLook w:val="06A0" w:firstRow="1" w:lastRow="0" w:firstColumn="1" w:lastColumn="0" w:noHBand="1" w:noVBand="1"/>
      </w:tblPr>
      <w:tblGrid>
        <w:gridCol w:w="2324"/>
        <w:gridCol w:w="737"/>
        <w:gridCol w:w="737"/>
        <w:gridCol w:w="737"/>
        <w:gridCol w:w="737"/>
        <w:gridCol w:w="737"/>
        <w:gridCol w:w="737"/>
        <w:gridCol w:w="737"/>
        <w:gridCol w:w="737"/>
        <w:gridCol w:w="737"/>
        <w:gridCol w:w="737"/>
        <w:gridCol w:w="737"/>
        <w:gridCol w:w="737"/>
        <w:gridCol w:w="737"/>
        <w:gridCol w:w="737"/>
        <w:gridCol w:w="737"/>
        <w:gridCol w:w="737"/>
      </w:tblGrid>
      <w:tr w:rsidR="00537BC0" w:rsidRPr="00A33264" w14:paraId="4BCCCE88" w14:textId="77777777" w:rsidTr="00F23525">
        <w:trPr>
          <w:cnfStyle w:val="100000000000" w:firstRow="1" w:lastRow="0" w:firstColumn="0" w:lastColumn="0" w:oddVBand="0" w:evenVBand="0" w:oddHBand="0" w:evenHBand="0" w:firstRowFirstColumn="0" w:firstRowLastColumn="0" w:lastRowFirstColumn="0" w:lastRowLastColumn="0"/>
          <w:cantSplit/>
          <w:trHeight w:val="3855"/>
        </w:trPr>
        <w:tc>
          <w:tcPr>
            <w:cnfStyle w:val="001000000000" w:firstRow="0" w:lastRow="0" w:firstColumn="1" w:lastColumn="0" w:oddVBand="0" w:evenVBand="0" w:oddHBand="0" w:evenHBand="0" w:firstRowFirstColumn="0" w:firstRowLastColumn="0" w:lastRowFirstColumn="0" w:lastRowLastColumn="0"/>
            <w:tcW w:w="2324" w:type="dxa"/>
            <w:tcBorders>
              <w:top w:val="single" w:sz="4" w:space="0" w:color="6B2876" w:themeColor="text1"/>
            </w:tcBorders>
            <w:textDirection w:val="btLr"/>
            <w:vAlign w:val="center"/>
          </w:tcPr>
          <w:p w14:paraId="551A8BDC" w14:textId="77777777" w:rsidR="00C61B89" w:rsidRPr="00A33264" w:rsidRDefault="00C61B89" w:rsidP="00933805">
            <w:pPr>
              <w:pStyle w:val="TableBody"/>
              <w:spacing w:before="0" w:after="0"/>
              <w:ind w:left="113" w:right="113"/>
              <w:rPr>
                <w:b w:val="0"/>
                <w:bCs w:val="0"/>
                <w:color w:val="6B2876" w:themeColor="text1"/>
                <w:szCs w:val="24"/>
                <w:lang w:val="en-GB"/>
              </w:rPr>
            </w:pPr>
            <w:r w:rsidRPr="00A33264">
              <w:rPr>
                <w:szCs w:val="24"/>
                <w:lang w:val="en-GB"/>
              </w:rPr>
              <w:t>State or territory</w:t>
            </w:r>
          </w:p>
        </w:tc>
        <w:tc>
          <w:tcPr>
            <w:tcW w:w="737" w:type="dxa"/>
            <w:tcBorders>
              <w:top w:val="single" w:sz="4" w:space="0" w:color="6B2876" w:themeColor="text1"/>
            </w:tcBorders>
            <w:textDirection w:val="btLr"/>
            <w:vAlign w:val="center"/>
          </w:tcPr>
          <w:p w14:paraId="76744AD7"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Man/Male full time</w:t>
            </w:r>
          </w:p>
        </w:tc>
        <w:tc>
          <w:tcPr>
            <w:tcW w:w="737" w:type="dxa"/>
            <w:tcBorders>
              <w:top w:val="single" w:sz="4" w:space="0" w:color="6B2876" w:themeColor="text1"/>
            </w:tcBorders>
            <w:textDirection w:val="btLr"/>
            <w:vAlign w:val="center"/>
          </w:tcPr>
          <w:p w14:paraId="666804BA"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Man/Male part time</w:t>
            </w:r>
          </w:p>
        </w:tc>
        <w:tc>
          <w:tcPr>
            <w:tcW w:w="737" w:type="dxa"/>
            <w:tcBorders>
              <w:top w:val="single" w:sz="4" w:space="0" w:color="6B2876" w:themeColor="text1"/>
            </w:tcBorders>
            <w:textDirection w:val="btLr"/>
            <w:vAlign w:val="center"/>
          </w:tcPr>
          <w:p w14:paraId="3F8A3FB1"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Man/Male total</w:t>
            </w:r>
          </w:p>
        </w:tc>
        <w:tc>
          <w:tcPr>
            <w:tcW w:w="737" w:type="dxa"/>
            <w:tcBorders>
              <w:top w:val="single" w:sz="4" w:space="0" w:color="6B2876" w:themeColor="text1"/>
            </w:tcBorders>
            <w:textDirection w:val="btLr"/>
            <w:vAlign w:val="center"/>
          </w:tcPr>
          <w:p w14:paraId="35BA4743"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Woman/Female full time</w:t>
            </w:r>
          </w:p>
        </w:tc>
        <w:tc>
          <w:tcPr>
            <w:tcW w:w="737" w:type="dxa"/>
            <w:tcBorders>
              <w:top w:val="single" w:sz="4" w:space="0" w:color="6B2876" w:themeColor="text1"/>
            </w:tcBorders>
            <w:textDirection w:val="btLr"/>
            <w:vAlign w:val="center"/>
          </w:tcPr>
          <w:p w14:paraId="464CA6A3"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Woman/Female part time</w:t>
            </w:r>
          </w:p>
        </w:tc>
        <w:tc>
          <w:tcPr>
            <w:tcW w:w="737" w:type="dxa"/>
            <w:tcBorders>
              <w:top w:val="single" w:sz="4" w:space="0" w:color="6B2876" w:themeColor="text1"/>
            </w:tcBorders>
            <w:textDirection w:val="btLr"/>
            <w:vAlign w:val="center"/>
          </w:tcPr>
          <w:p w14:paraId="05A19821"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Woman/Female total</w:t>
            </w:r>
          </w:p>
        </w:tc>
        <w:tc>
          <w:tcPr>
            <w:tcW w:w="737" w:type="dxa"/>
            <w:tcBorders>
              <w:top w:val="single" w:sz="4" w:space="0" w:color="6B2876" w:themeColor="text1"/>
            </w:tcBorders>
            <w:textDirection w:val="btLr"/>
            <w:vAlign w:val="center"/>
          </w:tcPr>
          <w:p w14:paraId="2355E675"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Non-binary full time</w:t>
            </w:r>
          </w:p>
        </w:tc>
        <w:tc>
          <w:tcPr>
            <w:tcW w:w="737" w:type="dxa"/>
            <w:tcBorders>
              <w:top w:val="single" w:sz="4" w:space="0" w:color="6B2876" w:themeColor="text1"/>
            </w:tcBorders>
            <w:textDirection w:val="btLr"/>
            <w:vAlign w:val="center"/>
          </w:tcPr>
          <w:p w14:paraId="3176E062"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Non-binary part time</w:t>
            </w:r>
          </w:p>
        </w:tc>
        <w:tc>
          <w:tcPr>
            <w:tcW w:w="737" w:type="dxa"/>
            <w:tcBorders>
              <w:top w:val="single" w:sz="4" w:space="0" w:color="6B2876" w:themeColor="text1"/>
            </w:tcBorders>
            <w:textDirection w:val="btLr"/>
            <w:vAlign w:val="center"/>
          </w:tcPr>
          <w:p w14:paraId="388AED30" w14:textId="4B7C0034"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 xml:space="preserve">Non-binary </w:t>
            </w:r>
            <w:r w:rsidR="00705C90" w:rsidRPr="00A33264">
              <w:rPr>
                <w:szCs w:val="24"/>
                <w:lang w:val="en-GB"/>
              </w:rPr>
              <w:t>total</w:t>
            </w:r>
          </w:p>
        </w:tc>
        <w:tc>
          <w:tcPr>
            <w:tcW w:w="737" w:type="dxa"/>
            <w:tcBorders>
              <w:top w:val="single" w:sz="4" w:space="0" w:color="6B2876" w:themeColor="text1"/>
            </w:tcBorders>
            <w:textDirection w:val="btLr"/>
            <w:vAlign w:val="center"/>
          </w:tcPr>
          <w:p w14:paraId="44BA1F42"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Prefers not to answer full time</w:t>
            </w:r>
          </w:p>
        </w:tc>
        <w:tc>
          <w:tcPr>
            <w:tcW w:w="737" w:type="dxa"/>
            <w:tcBorders>
              <w:top w:val="single" w:sz="4" w:space="0" w:color="6B2876" w:themeColor="text1"/>
            </w:tcBorders>
            <w:textDirection w:val="btLr"/>
            <w:vAlign w:val="center"/>
          </w:tcPr>
          <w:p w14:paraId="334DF221"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Prefers not to answer part time</w:t>
            </w:r>
          </w:p>
        </w:tc>
        <w:tc>
          <w:tcPr>
            <w:tcW w:w="737" w:type="dxa"/>
            <w:tcBorders>
              <w:top w:val="single" w:sz="4" w:space="0" w:color="6B2876" w:themeColor="text1"/>
            </w:tcBorders>
            <w:textDirection w:val="btLr"/>
            <w:vAlign w:val="center"/>
          </w:tcPr>
          <w:p w14:paraId="504EBCF2"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Prefers not to answer total</w:t>
            </w:r>
          </w:p>
        </w:tc>
        <w:tc>
          <w:tcPr>
            <w:tcW w:w="737" w:type="dxa"/>
            <w:tcBorders>
              <w:top w:val="single" w:sz="4" w:space="0" w:color="6B2876" w:themeColor="text1"/>
            </w:tcBorders>
            <w:textDirection w:val="btLr"/>
            <w:vAlign w:val="center"/>
          </w:tcPr>
          <w:p w14:paraId="77B36B66"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Uses a different term full time</w:t>
            </w:r>
          </w:p>
        </w:tc>
        <w:tc>
          <w:tcPr>
            <w:tcW w:w="737" w:type="dxa"/>
            <w:tcBorders>
              <w:top w:val="single" w:sz="4" w:space="0" w:color="6B2876" w:themeColor="text1"/>
            </w:tcBorders>
            <w:textDirection w:val="btLr"/>
            <w:vAlign w:val="center"/>
          </w:tcPr>
          <w:p w14:paraId="392C1FF1"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Uses a different term part time</w:t>
            </w:r>
          </w:p>
        </w:tc>
        <w:tc>
          <w:tcPr>
            <w:tcW w:w="737" w:type="dxa"/>
            <w:tcBorders>
              <w:top w:val="single" w:sz="4" w:space="0" w:color="6B2876" w:themeColor="text1"/>
            </w:tcBorders>
            <w:textDirection w:val="btLr"/>
            <w:vAlign w:val="center"/>
          </w:tcPr>
          <w:p w14:paraId="6CD22C00"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Uses a different term total</w:t>
            </w:r>
          </w:p>
        </w:tc>
        <w:tc>
          <w:tcPr>
            <w:tcW w:w="737" w:type="dxa"/>
            <w:tcBorders>
              <w:top w:val="single" w:sz="4" w:space="0" w:color="6B2876" w:themeColor="text1"/>
            </w:tcBorders>
            <w:textDirection w:val="btLr"/>
            <w:vAlign w:val="center"/>
          </w:tcPr>
          <w:p w14:paraId="55EEF8D4" w14:textId="77777777" w:rsidR="00C61B89" w:rsidRPr="00A33264" w:rsidRDefault="00C61B89">
            <w:pPr>
              <w:pStyle w:val="TableBody"/>
              <w:spacing w:before="0" w:after="0"/>
              <w:ind w:left="113" w:right="113"/>
              <w:cnfStyle w:val="100000000000" w:firstRow="1" w:lastRow="0" w:firstColumn="0" w:lastColumn="0" w:oddVBand="0" w:evenVBand="0" w:oddHBand="0" w:evenHBand="0" w:firstRowFirstColumn="0" w:firstRowLastColumn="0" w:lastRowFirstColumn="0" w:lastRowLastColumn="0"/>
              <w:rPr>
                <w:szCs w:val="24"/>
                <w:lang w:val="en-GB"/>
              </w:rPr>
            </w:pPr>
            <w:r w:rsidRPr="00A33264">
              <w:rPr>
                <w:szCs w:val="24"/>
                <w:lang w:val="en-GB"/>
              </w:rPr>
              <w:t>Total</w:t>
            </w:r>
          </w:p>
        </w:tc>
      </w:tr>
      <w:tr w:rsidR="00933805" w:rsidRPr="00A33264" w14:paraId="21037008"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0B1C185E" w14:textId="77777777" w:rsidR="000B5D1C" w:rsidRPr="00A33264" w:rsidRDefault="000B5D1C" w:rsidP="000B5D1C">
            <w:pPr>
              <w:pStyle w:val="TableBody"/>
              <w:spacing w:before="0" w:after="0"/>
              <w:rPr>
                <w:szCs w:val="24"/>
                <w:lang w:val="en-GB"/>
              </w:rPr>
            </w:pPr>
            <w:r w:rsidRPr="00A33264">
              <w:rPr>
                <w:szCs w:val="24"/>
                <w:lang w:val="en-GB"/>
              </w:rPr>
              <w:t>NSW</w:t>
            </w:r>
          </w:p>
        </w:tc>
        <w:tc>
          <w:tcPr>
            <w:tcW w:w="737" w:type="dxa"/>
            <w:vAlign w:val="center"/>
          </w:tcPr>
          <w:p w14:paraId="4FDF8346" w14:textId="5455EF4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13</w:t>
            </w:r>
          </w:p>
        </w:tc>
        <w:tc>
          <w:tcPr>
            <w:tcW w:w="737" w:type="dxa"/>
            <w:vAlign w:val="center"/>
          </w:tcPr>
          <w:p w14:paraId="4CBBE5F4" w14:textId="7FC93F7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5F718D18" w14:textId="6694E623"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13</w:t>
            </w:r>
          </w:p>
        </w:tc>
        <w:tc>
          <w:tcPr>
            <w:tcW w:w="737" w:type="dxa"/>
            <w:vAlign w:val="center"/>
          </w:tcPr>
          <w:p w14:paraId="223EA830" w14:textId="794DBD2E"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32</w:t>
            </w:r>
          </w:p>
        </w:tc>
        <w:tc>
          <w:tcPr>
            <w:tcW w:w="737" w:type="dxa"/>
            <w:vAlign w:val="center"/>
          </w:tcPr>
          <w:p w14:paraId="58C70471" w14:textId="365F803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4</w:t>
            </w:r>
          </w:p>
        </w:tc>
        <w:tc>
          <w:tcPr>
            <w:tcW w:w="737" w:type="dxa"/>
            <w:vAlign w:val="center"/>
          </w:tcPr>
          <w:p w14:paraId="66023612" w14:textId="08C6135A"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36</w:t>
            </w:r>
          </w:p>
        </w:tc>
        <w:tc>
          <w:tcPr>
            <w:tcW w:w="737" w:type="dxa"/>
            <w:vAlign w:val="center"/>
          </w:tcPr>
          <w:p w14:paraId="7DE13444" w14:textId="31E1099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39F0BD7" w14:textId="213A7C11"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79609C0" w14:textId="5BB65C3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6200F200" w14:textId="56C9672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950CF60" w14:textId="078832C5"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C308CDD" w14:textId="0F1067F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D98BED8" w14:textId="03722623"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7DE4607" w14:textId="4D2DBC4B"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531410E" w14:textId="6E9D703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D9966A4" w14:textId="7DFC5AC1"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49</w:t>
            </w:r>
          </w:p>
        </w:tc>
      </w:tr>
      <w:tr w:rsidR="00933805" w:rsidRPr="00A33264" w14:paraId="759876AE"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1BED9D34" w14:textId="77777777" w:rsidR="000B5D1C" w:rsidRPr="00A33264" w:rsidRDefault="000B5D1C" w:rsidP="000B5D1C">
            <w:pPr>
              <w:pStyle w:val="TableBody"/>
              <w:spacing w:before="0" w:after="0"/>
              <w:rPr>
                <w:szCs w:val="24"/>
                <w:lang w:val="en-GB"/>
              </w:rPr>
            </w:pPr>
            <w:r w:rsidRPr="00A33264">
              <w:rPr>
                <w:szCs w:val="24"/>
                <w:lang w:val="en-GB"/>
              </w:rPr>
              <w:t>Qld</w:t>
            </w:r>
          </w:p>
        </w:tc>
        <w:tc>
          <w:tcPr>
            <w:tcW w:w="737" w:type="dxa"/>
            <w:vAlign w:val="center"/>
          </w:tcPr>
          <w:p w14:paraId="05B49382" w14:textId="5532A7D5"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12</w:t>
            </w:r>
          </w:p>
        </w:tc>
        <w:tc>
          <w:tcPr>
            <w:tcW w:w="737" w:type="dxa"/>
            <w:vAlign w:val="center"/>
          </w:tcPr>
          <w:p w14:paraId="7B8B9DDE" w14:textId="135D6AD3"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2</w:t>
            </w:r>
          </w:p>
        </w:tc>
        <w:tc>
          <w:tcPr>
            <w:tcW w:w="737" w:type="dxa"/>
            <w:vAlign w:val="center"/>
          </w:tcPr>
          <w:p w14:paraId="36343DF8" w14:textId="01D7EF55"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14</w:t>
            </w:r>
          </w:p>
        </w:tc>
        <w:tc>
          <w:tcPr>
            <w:tcW w:w="737" w:type="dxa"/>
            <w:vAlign w:val="center"/>
          </w:tcPr>
          <w:p w14:paraId="0D3A115D" w14:textId="540538B7"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46</w:t>
            </w:r>
          </w:p>
        </w:tc>
        <w:tc>
          <w:tcPr>
            <w:tcW w:w="737" w:type="dxa"/>
            <w:vAlign w:val="center"/>
          </w:tcPr>
          <w:p w14:paraId="07B8CE17" w14:textId="675D9E1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4</w:t>
            </w:r>
          </w:p>
        </w:tc>
        <w:tc>
          <w:tcPr>
            <w:tcW w:w="737" w:type="dxa"/>
            <w:vAlign w:val="center"/>
          </w:tcPr>
          <w:p w14:paraId="57C70FC3" w14:textId="0D86F8D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50</w:t>
            </w:r>
          </w:p>
        </w:tc>
        <w:tc>
          <w:tcPr>
            <w:tcW w:w="737" w:type="dxa"/>
            <w:vAlign w:val="center"/>
          </w:tcPr>
          <w:p w14:paraId="0AB489A7" w14:textId="0E059FE3"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B118F07" w14:textId="08D36F0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7BA8E4B1" w14:textId="325735C9"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195A62BF" w14:textId="28E61E0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B8B0A63" w14:textId="1F1AFA1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01A3900" w14:textId="68F90E6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909A850" w14:textId="35A9B120"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28AF3CF" w14:textId="49FCE534"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7B81183" w14:textId="05F1C7CC"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B8482BE" w14:textId="56B73C7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64</w:t>
            </w:r>
          </w:p>
        </w:tc>
      </w:tr>
      <w:tr w:rsidR="00933805" w:rsidRPr="00A33264" w14:paraId="3A4EC98F"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750DF23C" w14:textId="77777777" w:rsidR="000B5D1C" w:rsidRPr="00A33264" w:rsidRDefault="000B5D1C" w:rsidP="000B5D1C">
            <w:pPr>
              <w:pStyle w:val="TableBody"/>
              <w:spacing w:before="0" w:after="0"/>
              <w:rPr>
                <w:szCs w:val="24"/>
                <w:lang w:val="en-GB"/>
              </w:rPr>
            </w:pPr>
            <w:r w:rsidRPr="00A33264">
              <w:rPr>
                <w:szCs w:val="24"/>
                <w:lang w:val="en-GB"/>
              </w:rPr>
              <w:t>SA</w:t>
            </w:r>
          </w:p>
        </w:tc>
        <w:tc>
          <w:tcPr>
            <w:tcW w:w="737" w:type="dxa"/>
            <w:vAlign w:val="center"/>
          </w:tcPr>
          <w:p w14:paraId="3312DFE8" w14:textId="4E981A11"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5</w:t>
            </w:r>
          </w:p>
        </w:tc>
        <w:tc>
          <w:tcPr>
            <w:tcW w:w="737" w:type="dxa"/>
            <w:vAlign w:val="center"/>
          </w:tcPr>
          <w:p w14:paraId="7624A7B6" w14:textId="3C2CE0C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7742E88D" w14:textId="20B833FF"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5</w:t>
            </w:r>
          </w:p>
        </w:tc>
        <w:tc>
          <w:tcPr>
            <w:tcW w:w="737" w:type="dxa"/>
            <w:vAlign w:val="center"/>
          </w:tcPr>
          <w:p w14:paraId="5CE057BE" w14:textId="55AF8139"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15</w:t>
            </w:r>
          </w:p>
        </w:tc>
        <w:tc>
          <w:tcPr>
            <w:tcW w:w="737" w:type="dxa"/>
            <w:vAlign w:val="center"/>
          </w:tcPr>
          <w:p w14:paraId="2592EADE" w14:textId="18E97F59" w:rsidR="000B5D1C" w:rsidRPr="00CD6A84" w:rsidRDefault="00066B61"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2</w:t>
            </w:r>
          </w:p>
        </w:tc>
        <w:tc>
          <w:tcPr>
            <w:tcW w:w="737" w:type="dxa"/>
            <w:vAlign w:val="center"/>
          </w:tcPr>
          <w:p w14:paraId="10490E22" w14:textId="05D4FE71"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r w:rsidR="00066B61" w:rsidRPr="00CD6A84">
              <w:rPr>
                <w:szCs w:val="24"/>
                <w:lang w:val="en-GB"/>
              </w:rPr>
              <w:t>7</w:t>
            </w:r>
          </w:p>
        </w:tc>
        <w:tc>
          <w:tcPr>
            <w:tcW w:w="737" w:type="dxa"/>
            <w:vAlign w:val="center"/>
          </w:tcPr>
          <w:p w14:paraId="5DAFECC4" w14:textId="6EF774C2"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p>
        </w:tc>
        <w:tc>
          <w:tcPr>
            <w:tcW w:w="737" w:type="dxa"/>
            <w:vAlign w:val="center"/>
          </w:tcPr>
          <w:p w14:paraId="411B00CE" w14:textId="264732B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3FAC45D" w14:textId="147129E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p>
        </w:tc>
        <w:tc>
          <w:tcPr>
            <w:tcW w:w="737" w:type="dxa"/>
            <w:vAlign w:val="center"/>
          </w:tcPr>
          <w:p w14:paraId="064C0259" w14:textId="278A90A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D02CCA7" w14:textId="09DC7C0A"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F71DE9C" w14:textId="6A8F3A8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E75EC80" w14:textId="13C58EBC"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CFEBE91" w14:textId="1D018A88"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3E1B93C" w14:textId="5F2C3AC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58C16AE" w14:textId="30C953AE"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2</w:t>
            </w:r>
            <w:r w:rsidR="00066B61" w:rsidRPr="00CD6A84">
              <w:rPr>
                <w:b/>
                <w:bCs/>
                <w:szCs w:val="24"/>
                <w:lang w:val="en-GB"/>
              </w:rPr>
              <w:t>3</w:t>
            </w:r>
          </w:p>
        </w:tc>
      </w:tr>
      <w:tr w:rsidR="00933805" w:rsidRPr="00A33264" w14:paraId="4F75F98A"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7B973D33" w14:textId="77777777" w:rsidR="000B5D1C" w:rsidRPr="00A33264" w:rsidRDefault="000B5D1C" w:rsidP="000B5D1C">
            <w:pPr>
              <w:pStyle w:val="TableBody"/>
              <w:spacing w:before="0" w:after="0"/>
              <w:rPr>
                <w:szCs w:val="24"/>
                <w:lang w:val="en-GB"/>
              </w:rPr>
            </w:pPr>
            <w:r w:rsidRPr="00A33264">
              <w:rPr>
                <w:szCs w:val="24"/>
                <w:lang w:val="en-GB"/>
              </w:rPr>
              <w:t>Tas</w:t>
            </w:r>
          </w:p>
        </w:tc>
        <w:tc>
          <w:tcPr>
            <w:tcW w:w="737" w:type="dxa"/>
            <w:vAlign w:val="center"/>
          </w:tcPr>
          <w:p w14:paraId="7413CDF4" w14:textId="1F737609"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36D0F05E" w14:textId="2B83FE9A"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08A22131" w14:textId="01CB30C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EDFFC83" w14:textId="6B1B7CD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p>
        </w:tc>
        <w:tc>
          <w:tcPr>
            <w:tcW w:w="737" w:type="dxa"/>
            <w:vAlign w:val="center"/>
          </w:tcPr>
          <w:p w14:paraId="01E711C6" w14:textId="18920F12"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p>
        </w:tc>
        <w:tc>
          <w:tcPr>
            <w:tcW w:w="737" w:type="dxa"/>
            <w:vAlign w:val="center"/>
          </w:tcPr>
          <w:p w14:paraId="18A186CA" w14:textId="3658D56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2</w:t>
            </w:r>
          </w:p>
        </w:tc>
        <w:tc>
          <w:tcPr>
            <w:tcW w:w="737" w:type="dxa"/>
            <w:vAlign w:val="center"/>
          </w:tcPr>
          <w:p w14:paraId="07BCAD29" w14:textId="0900465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6C4BA3BB" w14:textId="6A970A43"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2CD532B9" w14:textId="3F718EF2"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0A07AB5E" w14:textId="3ED7C70D"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345E58D" w14:textId="76FC00A1"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B84391A" w14:textId="3CB1288F"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A8F5CFB" w14:textId="736DCA64"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8EEEE6A" w14:textId="55FA535D"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13D1B32" w14:textId="7F5D0C7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04919F7" w14:textId="0285B541"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2</w:t>
            </w:r>
          </w:p>
        </w:tc>
      </w:tr>
      <w:tr w:rsidR="00933805" w:rsidRPr="00A33264" w14:paraId="50DB2E03"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7BF2F0AE" w14:textId="77777777" w:rsidR="000B5D1C" w:rsidRPr="00A33264" w:rsidRDefault="000B5D1C" w:rsidP="000B5D1C">
            <w:pPr>
              <w:pStyle w:val="TableBody"/>
              <w:spacing w:before="0" w:after="0"/>
              <w:rPr>
                <w:szCs w:val="24"/>
                <w:lang w:val="en-GB"/>
              </w:rPr>
            </w:pPr>
            <w:r w:rsidRPr="00A33264">
              <w:rPr>
                <w:szCs w:val="24"/>
                <w:lang w:val="en-GB"/>
              </w:rPr>
              <w:t>Vic</w:t>
            </w:r>
          </w:p>
        </w:tc>
        <w:tc>
          <w:tcPr>
            <w:tcW w:w="737" w:type="dxa"/>
            <w:vAlign w:val="center"/>
          </w:tcPr>
          <w:p w14:paraId="32084357" w14:textId="5E874232"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33</w:t>
            </w:r>
          </w:p>
        </w:tc>
        <w:tc>
          <w:tcPr>
            <w:tcW w:w="737" w:type="dxa"/>
            <w:vAlign w:val="center"/>
          </w:tcPr>
          <w:p w14:paraId="020C2B77" w14:textId="0603723A"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27EC12F4" w14:textId="4D41E16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33</w:t>
            </w:r>
          </w:p>
        </w:tc>
        <w:tc>
          <w:tcPr>
            <w:tcW w:w="737" w:type="dxa"/>
            <w:vAlign w:val="center"/>
          </w:tcPr>
          <w:p w14:paraId="269FE041" w14:textId="737201F0"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67</w:t>
            </w:r>
          </w:p>
        </w:tc>
        <w:tc>
          <w:tcPr>
            <w:tcW w:w="737" w:type="dxa"/>
            <w:vAlign w:val="center"/>
          </w:tcPr>
          <w:p w14:paraId="5E6ADE46" w14:textId="1D77BFD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r w:rsidR="00066B61" w:rsidRPr="00CD6A84">
              <w:rPr>
                <w:szCs w:val="24"/>
                <w:lang w:val="en-GB"/>
              </w:rPr>
              <w:t>2</w:t>
            </w:r>
          </w:p>
        </w:tc>
        <w:tc>
          <w:tcPr>
            <w:tcW w:w="737" w:type="dxa"/>
            <w:vAlign w:val="center"/>
          </w:tcPr>
          <w:p w14:paraId="44DE1A44" w14:textId="5347753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7</w:t>
            </w:r>
            <w:r w:rsidR="00066B61" w:rsidRPr="00CD6A84">
              <w:rPr>
                <w:szCs w:val="24"/>
                <w:lang w:val="en-GB"/>
              </w:rPr>
              <w:t>9</w:t>
            </w:r>
          </w:p>
        </w:tc>
        <w:tc>
          <w:tcPr>
            <w:tcW w:w="737" w:type="dxa"/>
            <w:vAlign w:val="center"/>
          </w:tcPr>
          <w:p w14:paraId="17A27FB1" w14:textId="6AFF23E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2</w:t>
            </w:r>
          </w:p>
        </w:tc>
        <w:tc>
          <w:tcPr>
            <w:tcW w:w="737" w:type="dxa"/>
            <w:vAlign w:val="center"/>
          </w:tcPr>
          <w:p w14:paraId="50096CBC" w14:textId="591222C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149D546C" w14:textId="27CDD4F0"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2</w:t>
            </w:r>
          </w:p>
        </w:tc>
        <w:tc>
          <w:tcPr>
            <w:tcW w:w="737" w:type="dxa"/>
            <w:vAlign w:val="center"/>
          </w:tcPr>
          <w:p w14:paraId="72BC6AD4" w14:textId="2FB54BB0"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15B3EAD" w14:textId="592579F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4804FD5" w14:textId="0DC539E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983882E" w14:textId="624AEA5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60C1278" w14:textId="6F0E12BB"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82D638F" w14:textId="09F1701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0510FE2" w14:textId="22C750DE"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11</w:t>
            </w:r>
            <w:r w:rsidR="00066B61" w:rsidRPr="00CD6A84">
              <w:rPr>
                <w:b/>
                <w:bCs/>
                <w:szCs w:val="24"/>
                <w:lang w:val="en-GB"/>
              </w:rPr>
              <w:t>4</w:t>
            </w:r>
          </w:p>
        </w:tc>
      </w:tr>
      <w:tr w:rsidR="00933805" w:rsidRPr="00A33264" w14:paraId="0D0BCE7E"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03810BED" w14:textId="77777777" w:rsidR="000B5D1C" w:rsidRPr="00A33264" w:rsidRDefault="000B5D1C" w:rsidP="000B5D1C">
            <w:pPr>
              <w:pStyle w:val="TableBody"/>
              <w:spacing w:before="0" w:after="0"/>
              <w:rPr>
                <w:szCs w:val="24"/>
                <w:lang w:val="en-GB"/>
              </w:rPr>
            </w:pPr>
            <w:r w:rsidRPr="00A33264">
              <w:rPr>
                <w:szCs w:val="24"/>
                <w:lang w:val="en-GB"/>
              </w:rPr>
              <w:t>WA</w:t>
            </w:r>
          </w:p>
        </w:tc>
        <w:tc>
          <w:tcPr>
            <w:tcW w:w="737" w:type="dxa"/>
            <w:vAlign w:val="center"/>
          </w:tcPr>
          <w:p w14:paraId="08B3269E" w14:textId="17D919C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5</w:t>
            </w:r>
          </w:p>
        </w:tc>
        <w:tc>
          <w:tcPr>
            <w:tcW w:w="737" w:type="dxa"/>
            <w:vAlign w:val="center"/>
          </w:tcPr>
          <w:p w14:paraId="5BDD329F" w14:textId="7EBF99E5"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FEBD294" w14:textId="177FF0E3"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5</w:t>
            </w:r>
          </w:p>
        </w:tc>
        <w:tc>
          <w:tcPr>
            <w:tcW w:w="737" w:type="dxa"/>
            <w:vAlign w:val="center"/>
          </w:tcPr>
          <w:p w14:paraId="24FA6949" w14:textId="2248F05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15</w:t>
            </w:r>
          </w:p>
        </w:tc>
        <w:tc>
          <w:tcPr>
            <w:tcW w:w="737" w:type="dxa"/>
            <w:vAlign w:val="center"/>
          </w:tcPr>
          <w:p w14:paraId="35A5D01D" w14:textId="6338CBB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p>
        </w:tc>
        <w:tc>
          <w:tcPr>
            <w:tcW w:w="737" w:type="dxa"/>
            <w:vAlign w:val="center"/>
          </w:tcPr>
          <w:p w14:paraId="352DC406" w14:textId="14ECE9D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16</w:t>
            </w:r>
          </w:p>
        </w:tc>
        <w:tc>
          <w:tcPr>
            <w:tcW w:w="737" w:type="dxa"/>
            <w:vAlign w:val="center"/>
          </w:tcPr>
          <w:p w14:paraId="37C5EBB4" w14:textId="5FD4220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3EF023D8" w14:textId="6829DAC7"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1D9BEBF0" w14:textId="28BAF0A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01B72132" w14:textId="0E6517D1"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98127D2" w14:textId="574F6605"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AE18706" w14:textId="1C09B765"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905B297" w14:textId="3BCD4E8C"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AA13AA6" w14:textId="4E4B14D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653CC72" w14:textId="316A8C7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7D6F898" w14:textId="26AE9015"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21</w:t>
            </w:r>
          </w:p>
        </w:tc>
      </w:tr>
      <w:tr w:rsidR="00933805" w:rsidRPr="00A33264" w14:paraId="1D474A8D"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18FD6136" w14:textId="77777777" w:rsidR="000B5D1C" w:rsidRPr="00A33264" w:rsidRDefault="000B5D1C" w:rsidP="000B5D1C">
            <w:pPr>
              <w:pStyle w:val="TableBody"/>
              <w:spacing w:before="0" w:after="0"/>
              <w:rPr>
                <w:szCs w:val="24"/>
                <w:lang w:val="en-GB"/>
              </w:rPr>
            </w:pPr>
            <w:r w:rsidRPr="00A33264">
              <w:rPr>
                <w:szCs w:val="24"/>
                <w:lang w:val="en-GB"/>
              </w:rPr>
              <w:t>ACT</w:t>
            </w:r>
          </w:p>
        </w:tc>
        <w:tc>
          <w:tcPr>
            <w:tcW w:w="737" w:type="dxa"/>
            <w:vAlign w:val="center"/>
          </w:tcPr>
          <w:p w14:paraId="4B871940" w14:textId="11DA3A91"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w:t>
            </w:r>
          </w:p>
        </w:tc>
        <w:tc>
          <w:tcPr>
            <w:tcW w:w="737" w:type="dxa"/>
            <w:vAlign w:val="center"/>
          </w:tcPr>
          <w:p w14:paraId="18E094C7" w14:textId="7C05845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7AB858AD" w14:textId="7AB3229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w:t>
            </w:r>
          </w:p>
        </w:tc>
        <w:tc>
          <w:tcPr>
            <w:tcW w:w="737" w:type="dxa"/>
            <w:vAlign w:val="center"/>
          </w:tcPr>
          <w:p w14:paraId="0D2EE281" w14:textId="4543208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15</w:t>
            </w:r>
          </w:p>
        </w:tc>
        <w:tc>
          <w:tcPr>
            <w:tcW w:w="737" w:type="dxa"/>
            <w:vAlign w:val="center"/>
          </w:tcPr>
          <w:p w14:paraId="5AB439DD" w14:textId="74786A65" w:rsidR="000B5D1C" w:rsidRPr="00CD6A84" w:rsidRDefault="00066B61"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p>
        </w:tc>
        <w:tc>
          <w:tcPr>
            <w:tcW w:w="737" w:type="dxa"/>
            <w:vAlign w:val="center"/>
          </w:tcPr>
          <w:p w14:paraId="4F1CCCAB" w14:textId="0E358E7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1</w:t>
            </w:r>
            <w:r w:rsidR="00066B61" w:rsidRPr="00CD6A84">
              <w:rPr>
                <w:szCs w:val="24"/>
                <w:lang w:val="en-GB"/>
              </w:rPr>
              <w:t>6</w:t>
            </w:r>
          </w:p>
        </w:tc>
        <w:tc>
          <w:tcPr>
            <w:tcW w:w="737" w:type="dxa"/>
            <w:vAlign w:val="center"/>
          </w:tcPr>
          <w:p w14:paraId="1EE49FDA" w14:textId="054FEA2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43D53EF8" w14:textId="65D743A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66DD8296" w14:textId="0E4AEA7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5AE7B42B" w14:textId="5F9B725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5F7C33F" w14:textId="697E6DE3"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D09F167" w14:textId="324A881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17EA1A8" w14:textId="7053A00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20C8E70" w14:textId="532F76A0"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6C12173" w14:textId="5EE6AD9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A2D0C8D" w14:textId="36B5C110"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1</w:t>
            </w:r>
            <w:r w:rsidR="00066B61" w:rsidRPr="00CD6A84">
              <w:rPr>
                <w:b/>
                <w:bCs/>
                <w:szCs w:val="24"/>
                <w:lang w:val="en-GB"/>
              </w:rPr>
              <w:t>9</w:t>
            </w:r>
          </w:p>
        </w:tc>
      </w:tr>
      <w:tr w:rsidR="00933805" w:rsidRPr="00A33264" w14:paraId="05CD33E1"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5303C815" w14:textId="77777777" w:rsidR="000B5D1C" w:rsidRPr="00A33264" w:rsidRDefault="000B5D1C" w:rsidP="000B5D1C">
            <w:pPr>
              <w:pStyle w:val="TableBody"/>
              <w:spacing w:before="0" w:after="0"/>
              <w:rPr>
                <w:szCs w:val="24"/>
                <w:lang w:val="en-GB"/>
              </w:rPr>
            </w:pPr>
            <w:r w:rsidRPr="00A33264">
              <w:rPr>
                <w:szCs w:val="24"/>
                <w:lang w:val="en-GB"/>
              </w:rPr>
              <w:t>NT</w:t>
            </w:r>
          </w:p>
        </w:tc>
        <w:tc>
          <w:tcPr>
            <w:tcW w:w="737" w:type="dxa"/>
            <w:vAlign w:val="center"/>
          </w:tcPr>
          <w:p w14:paraId="531FA4B2" w14:textId="381AE45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w:t>
            </w:r>
          </w:p>
        </w:tc>
        <w:tc>
          <w:tcPr>
            <w:tcW w:w="737" w:type="dxa"/>
            <w:vAlign w:val="center"/>
          </w:tcPr>
          <w:p w14:paraId="7FFE1D0C" w14:textId="7AB6D0C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52AD5423" w14:textId="5273F65F"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3</w:t>
            </w:r>
          </w:p>
        </w:tc>
        <w:tc>
          <w:tcPr>
            <w:tcW w:w="737" w:type="dxa"/>
            <w:vAlign w:val="center"/>
          </w:tcPr>
          <w:p w14:paraId="5E81A971" w14:textId="45BF8E6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7</w:t>
            </w:r>
          </w:p>
        </w:tc>
        <w:tc>
          <w:tcPr>
            <w:tcW w:w="737" w:type="dxa"/>
            <w:vAlign w:val="center"/>
          </w:tcPr>
          <w:p w14:paraId="2F4E2F04" w14:textId="60C7C55C"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656E738F" w14:textId="6AEB4B7D"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7</w:t>
            </w:r>
          </w:p>
        </w:tc>
        <w:tc>
          <w:tcPr>
            <w:tcW w:w="737" w:type="dxa"/>
            <w:vAlign w:val="center"/>
          </w:tcPr>
          <w:p w14:paraId="59541D40" w14:textId="5FBBD7E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0AF2F419" w14:textId="4457469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258B2060" w14:textId="633BB7C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szCs w:val="24"/>
                <w:lang w:val="en-GB"/>
              </w:rPr>
            </w:pPr>
            <w:r w:rsidRPr="00CD6A84">
              <w:rPr>
                <w:szCs w:val="24"/>
                <w:lang w:val="en-GB"/>
              </w:rPr>
              <w:t>0</w:t>
            </w:r>
          </w:p>
        </w:tc>
        <w:tc>
          <w:tcPr>
            <w:tcW w:w="737" w:type="dxa"/>
            <w:vAlign w:val="center"/>
          </w:tcPr>
          <w:p w14:paraId="6565CCAD" w14:textId="529F69E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D6A05D5" w14:textId="48AEA52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76E6EF5" w14:textId="6F0281A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2A377C9" w14:textId="4E352EF3"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4371822" w14:textId="6956F22C"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0A5C073" w14:textId="4795704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1D4A50F" w14:textId="0505BACA"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b/>
                <w:bCs/>
                <w:szCs w:val="24"/>
                <w:lang w:val="en-GB"/>
              </w:rPr>
              <w:t>10</w:t>
            </w:r>
          </w:p>
        </w:tc>
      </w:tr>
      <w:tr w:rsidR="00933805" w:rsidRPr="00A33264" w14:paraId="60AD5E15"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2C4BEE52" w14:textId="037A4569" w:rsidR="000B5D1C" w:rsidRPr="00A33264" w:rsidRDefault="000B5D1C" w:rsidP="000B5D1C">
            <w:pPr>
              <w:pStyle w:val="TableBody"/>
              <w:spacing w:before="0" w:after="0"/>
              <w:rPr>
                <w:szCs w:val="24"/>
                <w:lang w:val="en-GB"/>
              </w:rPr>
            </w:pPr>
            <w:r w:rsidRPr="00A33264">
              <w:rPr>
                <w:szCs w:val="24"/>
                <w:lang w:val="en-GB"/>
              </w:rPr>
              <w:t xml:space="preserve">External </w:t>
            </w:r>
            <w:r w:rsidR="004364A0">
              <w:rPr>
                <w:szCs w:val="24"/>
                <w:lang w:val="en-GB"/>
              </w:rPr>
              <w:t>t</w:t>
            </w:r>
            <w:r w:rsidRPr="00A33264">
              <w:rPr>
                <w:szCs w:val="24"/>
                <w:lang w:val="en-GB"/>
              </w:rPr>
              <w:t>erritories</w:t>
            </w:r>
          </w:p>
        </w:tc>
        <w:tc>
          <w:tcPr>
            <w:tcW w:w="737" w:type="dxa"/>
            <w:vAlign w:val="center"/>
          </w:tcPr>
          <w:p w14:paraId="78028060" w14:textId="4B013C05"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303D2BF" w14:textId="096858B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4B8A435" w14:textId="031F6615"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A804F49" w14:textId="669BD6B1"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76E68AD" w14:textId="038844CF"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1B2A7C9" w14:textId="1DC4710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DDBBC70" w14:textId="1430B30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1D8D62E" w14:textId="2B50975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69D4CBF" w14:textId="4DCBAEBD"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B961168" w14:textId="19FB6E5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7268A56" w14:textId="5DC4C5BD"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C95F0FD" w14:textId="60E2BE1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F4AFB65" w14:textId="75A3A82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A9B113A" w14:textId="22762580"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9F0DF78" w14:textId="298970CD"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8B9F309" w14:textId="18B91F0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r>
      <w:tr w:rsidR="00933805" w:rsidRPr="00A33264" w14:paraId="01E799D4"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75FF4635" w14:textId="77777777" w:rsidR="000B5D1C" w:rsidRPr="00A33264" w:rsidRDefault="000B5D1C" w:rsidP="000B5D1C">
            <w:pPr>
              <w:pStyle w:val="TableBody"/>
              <w:spacing w:before="0" w:after="0"/>
              <w:rPr>
                <w:szCs w:val="24"/>
                <w:lang w:val="en-GB"/>
              </w:rPr>
            </w:pPr>
            <w:r w:rsidRPr="00A33264">
              <w:rPr>
                <w:szCs w:val="24"/>
                <w:lang w:val="en-GB"/>
              </w:rPr>
              <w:t>Overseas</w:t>
            </w:r>
          </w:p>
        </w:tc>
        <w:tc>
          <w:tcPr>
            <w:tcW w:w="737" w:type="dxa"/>
            <w:vAlign w:val="center"/>
          </w:tcPr>
          <w:p w14:paraId="5D3565C0" w14:textId="10E7E5A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48D5263" w14:textId="2B61DB30"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C9E7F6D" w14:textId="642277A8"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78B3BD0" w14:textId="1955633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3824B6B" w14:textId="7BCC0021"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8940BD5" w14:textId="5C2DF94F"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296BA8E" w14:textId="6AC2275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B7F9AB4" w14:textId="356BEDB4"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95E98F3" w14:textId="088AD59B"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D1E6689" w14:textId="51314C29"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25081D2" w14:textId="6B43AB37"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5910611" w14:textId="1E0C5385"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17A29D89" w14:textId="59ECD694"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54823EB3" w14:textId="6DF0CD9F"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3AC4021" w14:textId="4A0D2F24"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2225096F" w14:textId="76D664F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r>
      <w:tr w:rsidR="00537BC0" w:rsidRPr="00A33264" w14:paraId="18265866" w14:textId="77777777" w:rsidTr="00F23525">
        <w:trPr>
          <w:cantSplit/>
          <w:trHeight w:val="340"/>
        </w:trPr>
        <w:tc>
          <w:tcPr>
            <w:cnfStyle w:val="001000000000" w:firstRow="0" w:lastRow="0" w:firstColumn="1" w:lastColumn="0" w:oddVBand="0" w:evenVBand="0" w:oddHBand="0" w:evenHBand="0" w:firstRowFirstColumn="0" w:firstRowLastColumn="0" w:lastRowFirstColumn="0" w:lastRowLastColumn="0"/>
            <w:tcW w:w="2324" w:type="dxa"/>
          </w:tcPr>
          <w:p w14:paraId="2D051DD4" w14:textId="77777777" w:rsidR="000B5D1C" w:rsidRPr="00A33264" w:rsidRDefault="000B5D1C" w:rsidP="000B5D1C">
            <w:pPr>
              <w:pStyle w:val="TableBody"/>
              <w:spacing w:before="0" w:after="0"/>
              <w:rPr>
                <w:szCs w:val="24"/>
                <w:lang w:val="en-GB"/>
              </w:rPr>
            </w:pPr>
            <w:r w:rsidRPr="00A33264">
              <w:rPr>
                <w:szCs w:val="24"/>
                <w:lang w:val="en-GB"/>
              </w:rPr>
              <w:t>Total</w:t>
            </w:r>
          </w:p>
        </w:tc>
        <w:tc>
          <w:tcPr>
            <w:tcW w:w="737" w:type="dxa"/>
            <w:vAlign w:val="center"/>
          </w:tcPr>
          <w:p w14:paraId="38561041" w14:textId="47DB9007"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74</w:t>
            </w:r>
          </w:p>
        </w:tc>
        <w:tc>
          <w:tcPr>
            <w:tcW w:w="737" w:type="dxa"/>
            <w:vAlign w:val="center"/>
          </w:tcPr>
          <w:p w14:paraId="58BA6DF8" w14:textId="4D3142AB"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2</w:t>
            </w:r>
          </w:p>
        </w:tc>
        <w:tc>
          <w:tcPr>
            <w:tcW w:w="737" w:type="dxa"/>
            <w:vAlign w:val="center"/>
          </w:tcPr>
          <w:p w14:paraId="0319B391" w14:textId="75D78A10"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76</w:t>
            </w:r>
          </w:p>
        </w:tc>
        <w:tc>
          <w:tcPr>
            <w:tcW w:w="737" w:type="dxa"/>
            <w:vAlign w:val="center"/>
          </w:tcPr>
          <w:p w14:paraId="0C0A6771" w14:textId="68D86FE3"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198</w:t>
            </w:r>
          </w:p>
        </w:tc>
        <w:tc>
          <w:tcPr>
            <w:tcW w:w="737" w:type="dxa"/>
            <w:vAlign w:val="center"/>
          </w:tcPr>
          <w:p w14:paraId="062F2283" w14:textId="527E0F6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2</w:t>
            </w:r>
            <w:r w:rsidR="00066B61" w:rsidRPr="00CD6A84">
              <w:rPr>
                <w:rFonts w:eastAsia="Times New Roman"/>
                <w:b/>
                <w:bCs/>
                <w:szCs w:val="24"/>
                <w:lang w:val="en-GB" w:eastAsia="en-AU"/>
              </w:rPr>
              <w:t>5</w:t>
            </w:r>
          </w:p>
        </w:tc>
        <w:tc>
          <w:tcPr>
            <w:tcW w:w="737" w:type="dxa"/>
            <w:vAlign w:val="center"/>
          </w:tcPr>
          <w:p w14:paraId="594BB87F" w14:textId="32A10F36"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22</w:t>
            </w:r>
            <w:r w:rsidR="00066B61" w:rsidRPr="00CD6A84">
              <w:rPr>
                <w:rFonts w:eastAsia="Times New Roman"/>
                <w:b/>
                <w:bCs/>
                <w:szCs w:val="24"/>
                <w:lang w:val="en-GB" w:eastAsia="en-AU"/>
              </w:rPr>
              <w:t>3</w:t>
            </w:r>
          </w:p>
        </w:tc>
        <w:tc>
          <w:tcPr>
            <w:tcW w:w="737" w:type="dxa"/>
            <w:vAlign w:val="center"/>
          </w:tcPr>
          <w:p w14:paraId="48F1C492" w14:textId="20408C48"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3</w:t>
            </w:r>
          </w:p>
        </w:tc>
        <w:tc>
          <w:tcPr>
            <w:tcW w:w="737" w:type="dxa"/>
            <w:vAlign w:val="center"/>
          </w:tcPr>
          <w:p w14:paraId="7E0EDF37" w14:textId="67526159"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0</w:t>
            </w:r>
          </w:p>
        </w:tc>
        <w:tc>
          <w:tcPr>
            <w:tcW w:w="737" w:type="dxa"/>
            <w:vAlign w:val="center"/>
          </w:tcPr>
          <w:p w14:paraId="1B963A71" w14:textId="5E6D8034"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3</w:t>
            </w:r>
          </w:p>
        </w:tc>
        <w:tc>
          <w:tcPr>
            <w:tcW w:w="737" w:type="dxa"/>
            <w:vAlign w:val="center"/>
          </w:tcPr>
          <w:p w14:paraId="6D4CC575" w14:textId="19EB9532"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3540137D" w14:textId="7DC76D9C"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76387128" w14:textId="66C500B1"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6E5A080F" w14:textId="2EB86C6E"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EF42375" w14:textId="7424818A"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47010AA8" w14:textId="378A7336" w:rsidR="000B5D1C" w:rsidRPr="00F86FC3" w:rsidRDefault="00CD6A84"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D6A84">
              <w:rPr>
                <w:szCs w:val="24"/>
                <w:lang w:val="en-GB"/>
              </w:rPr>
              <w:t>0</w:t>
            </w:r>
          </w:p>
        </w:tc>
        <w:tc>
          <w:tcPr>
            <w:tcW w:w="737" w:type="dxa"/>
            <w:vAlign w:val="center"/>
          </w:tcPr>
          <w:p w14:paraId="0E02AFFE" w14:textId="6791A7F7" w:rsidR="000B5D1C" w:rsidRPr="00CD6A84" w:rsidRDefault="000B5D1C" w:rsidP="005A19CA">
            <w:pPr>
              <w:pStyle w:val="TableBody"/>
              <w:spacing w:before="0" w:after="0"/>
              <w:jc w:val="right"/>
              <w:cnfStyle w:val="000000000000" w:firstRow="0" w:lastRow="0" w:firstColumn="0" w:lastColumn="0" w:oddVBand="0" w:evenVBand="0" w:oddHBand="0" w:evenHBand="0" w:firstRowFirstColumn="0" w:firstRowLastColumn="0" w:lastRowFirstColumn="0" w:lastRowLastColumn="0"/>
              <w:rPr>
                <w:b/>
                <w:bCs/>
                <w:szCs w:val="24"/>
                <w:lang w:val="en-GB"/>
              </w:rPr>
            </w:pPr>
            <w:r w:rsidRPr="00CD6A84">
              <w:rPr>
                <w:rFonts w:eastAsia="Times New Roman"/>
                <w:b/>
                <w:bCs/>
                <w:szCs w:val="24"/>
                <w:lang w:val="en-GB" w:eastAsia="en-AU"/>
              </w:rPr>
              <w:t>30</w:t>
            </w:r>
            <w:r w:rsidR="00066B61" w:rsidRPr="00CD6A84">
              <w:rPr>
                <w:rFonts w:eastAsia="Times New Roman"/>
                <w:b/>
                <w:bCs/>
                <w:szCs w:val="24"/>
                <w:lang w:val="en-GB" w:eastAsia="en-AU"/>
              </w:rPr>
              <w:t>2</w:t>
            </w:r>
          </w:p>
        </w:tc>
      </w:tr>
    </w:tbl>
    <w:p w14:paraId="0842D448" w14:textId="77777777" w:rsidR="00C61B89" w:rsidRPr="00A33264" w:rsidRDefault="00C61B89" w:rsidP="00D7463A">
      <w:pPr>
        <w:rPr>
          <w:lang w:val="en-GB"/>
        </w:rPr>
      </w:pPr>
    </w:p>
    <w:p w14:paraId="53D529CD" w14:textId="77777777" w:rsidR="006B149D" w:rsidRPr="00A33264" w:rsidRDefault="006B149D" w:rsidP="00D7463A">
      <w:pPr>
        <w:pStyle w:val="Heading3"/>
        <w:rPr>
          <w:lang w:val="en-GB"/>
        </w:rPr>
        <w:sectPr w:rsidR="006B149D" w:rsidRPr="00A33264" w:rsidSect="00F23525">
          <w:footerReference w:type="default" r:id="rId86"/>
          <w:headerReference w:type="first" r:id="rId87"/>
          <w:footerReference w:type="first" r:id="rId88"/>
          <w:pgSz w:w="16838" w:h="11906" w:orient="landscape" w:code="9"/>
          <w:pgMar w:top="1361" w:right="1361" w:bottom="1361" w:left="1361" w:header="561" w:footer="374" w:gutter="0"/>
          <w:cols w:space="708"/>
          <w:titlePg/>
          <w:docGrid w:linePitch="360"/>
        </w:sectPr>
      </w:pPr>
      <w:bookmarkStart w:id="359" w:name="_Toc169592995"/>
    </w:p>
    <w:p w14:paraId="269FD1BC" w14:textId="01771CD7" w:rsidR="00D7463A" w:rsidRPr="00A33264" w:rsidRDefault="00D7463A" w:rsidP="00D7463A">
      <w:pPr>
        <w:pStyle w:val="Heading3"/>
        <w:rPr>
          <w:lang w:val="en-GB"/>
        </w:rPr>
      </w:pPr>
      <w:bookmarkStart w:id="360" w:name="_Toc174354210"/>
      <w:bookmarkStart w:id="361" w:name="_Toc175316914"/>
      <w:bookmarkStart w:id="362" w:name="_Toc176786405"/>
      <w:bookmarkStart w:id="363" w:name="_Toc180505687"/>
      <w:r w:rsidRPr="00A33264">
        <w:rPr>
          <w:lang w:val="en-GB"/>
        </w:rPr>
        <w:lastRenderedPageBreak/>
        <w:t>Executive remuneration policy</w:t>
      </w:r>
      <w:bookmarkEnd w:id="359"/>
      <w:bookmarkEnd w:id="360"/>
      <w:bookmarkEnd w:id="361"/>
      <w:bookmarkEnd w:id="362"/>
      <w:bookmarkEnd w:id="363"/>
    </w:p>
    <w:p w14:paraId="5F76DD4F" w14:textId="10543E15" w:rsidR="000175BD" w:rsidRPr="00A33264" w:rsidRDefault="000175BD" w:rsidP="000175BD">
      <w:pPr>
        <w:pStyle w:val="Heading4"/>
        <w:rPr>
          <w:lang w:val="en-GB"/>
        </w:rPr>
      </w:pPr>
      <w:r w:rsidRPr="00A33264">
        <w:rPr>
          <w:lang w:val="en-GB"/>
        </w:rPr>
        <w:t>Executive remuneration</w:t>
      </w:r>
    </w:p>
    <w:p w14:paraId="4F774777" w14:textId="6588D4D3" w:rsidR="000175BD" w:rsidRPr="00A33264" w:rsidRDefault="008662F5" w:rsidP="000175BD">
      <w:pPr>
        <w:rPr>
          <w:lang w:val="en-GB"/>
        </w:rPr>
      </w:pPr>
      <w:r w:rsidRPr="00A33264">
        <w:rPr>
          <w:lang w:val="en-GB"/>
        </w:rPr>
        <w:t>T</w:t>
      </w:r>
      <w:r w:rsidR="00A41EB0" w:rsidRPr="00A33264">
        <w:rPr>
          <w:lang w:val="en-GB"/>
        </w:rPr>
        <w:t xml:space="preserve">his section </w:t>
      </w:r>
      <w:r w:rsidRPr="00A33264">
        <w:rPr>
          <w:lang w:val="en-GB"/>
        </w:rPr>
        <w:t>outlines</w:t>
      </w:r>
      <w:r w:rsidR="00A41EB0" w:rsidRPr="00A33264">
        <w:rPr>
          <w:lang w:val="en-GB"/>
        </w:rPr>
        <w:t xml:space="preserve"> the NDIA’s remuneration practices, as well as the remuneration paid to the NDIA’s key management personnel, senior executives and other highly paid staff for the year ended 30 June 2024, in accordance with the PGPA Rule.</w:t>
      </w:r>
    </w:p>
    <w:p w14:paraId="110A33F0" w14:textId="761F88B7" w:rsidR="000175BD" w:rsidRPr="00A33264" w:rsidRDefault="000175BD" w:rsidP="000175BD">
      <w:pPr>
        <w:pStyle w:val="Heading4"/>
        <w:rPr>
          <w:lang w:val="en-GB"/>
        </w:rPr>
      </w:pPr>
      <w:r w:rsidRPr="00A33264">
        <w:rPr>
          <w:lang w:val="en-GB"/>
        </w:rPr>
        <w:t>Remuneration policies, practices and governance arrangements</w:t>
      </w:r>
    </w:p>
    <w:p w14:paraId="54043162" w14:textId="04C589C4" w:rsidR="00394EC2" w:rsidRPr="00A33264" w:rsidRDefault="00394EC2" w:rsidP="00394EC2">
      <w:pPr>
        <w:rPr>
          <w:lang w:val="en-GB"/>
        </w:rPr>
      </w:pPr>
      <w:bookmarkStart w:id="364" w:name="_Hlk174618843"/>
      <w:r w:rsidRPr="00A33264">
        <w:rPr>
          <w:lang w:val="en-GB"/>
        </w:rPr>
        <w:t xml:space="preserve">The Chair and members of the Board are remunerated as per the </w:t>
      </w:r>
      <w:r w:rsidRPr="00F86FC3">
        <w:rPr>
          <w:lang w:val="en-GB"/>
        </w:rPr>
        <w:t>Remuneration Tribunal (Remuneration and Allowances for Holders of Part-time Public Office) Determination (No. 2) 2023</w:t>
      </w:r>
      <w:r w:rsidRPr="00A33264">
        <w:rPr>
          <w:lang w:val="en-GB"/>
        </w:rPr>
        <w:t xml:space="preserve"> made under subsections 7(3) and (4) of the </w:t>
      </w:r>
      <w:r w:rsidRPr="00A33264">
        <w:rPr>
          <w:i/>
          <w:iCs/>
          <w:lang w:val="en-GB"/>
        </w:rPr>
        <w:t>Remuneration Tribunal Act 1973</w:t>
      </w:r>
      <w:r w:rsidR="004364A0">
        <w:rPr>
          <w:lang w:val="en-GB"/>
        </w:rPr>
        <w:t xml:space="preserve"> (Cth).</w:t>
      </w:r>
    </w:p>
    <w:p w14:paraId="315B4143" w14:textId="617F354F" w:rsidR="00394EC2" w:rsidRPr="00A33264" w:rsidRDefault="00394EC2" w:rsidP="00394EC2">
      <w:pPr>
        <w:rPr>
          <w:lang w:val="en-GB"/>
        </w:rPr>
      </w:pPr>
      <w:r w:rsidRPr="00A33264">
        <w:rPr>
          <w:lang w:val="en-GB"/>
        </w:rPr>
        <w:t xml:space="preserve">The CEO of the NDIA is remunerated as per the </w:t>
      </w:r>
      <w:r w:rsidRPr="00F86FC3">
        <w:rPr>
          <w:lang w:val="en-GB"/>
        </w:rPr>
        <w:t>Remuneration Tribunal (Remuneration and Allowances for Holders of Full-time Public Office) Determination (No. 2) 2023</w:t>
      </w:r>
      <w:r w:rsidRPr="00591C73">
        <w:rPr>
          <w:lang w:val="en-GB"/>
        </w:rPr>
        <w:t xml:space="preserve"> </w:t>
      </w:r>
      <w:r w:rsidRPr="00A33264">
        <w:rPr>
          <w:lang w:val="en-GB"/>
        </w:rPr>
        <w:t xml:space="preserve">made under subsections 7(3) and (4) of the </w:t>
      </w:r>
      <w:r w:rsidRPr="00A33264">
        <w:rPr>
          <w:i/>
          <w:iCs/>
          <w:lang w:val="en-GB"/>
        </w:rPr>
        <w:t>Remuneration Tribunal Act 1973</w:t>
      </w:r>
      <w:r w:rsidR="004364A0">
        <w:rPr>
          <w:i/>
          <w:iCs/>
          <w:lang w:val="en-GB"/>
        </w:rPr>
        <w:t xml:space="preserve"> </w:t>
      </w:r>
      <w:r w:rsidR="004364A0">
        <w:rPr>
          <w:lang w:val="en-GB"/>
        </w:rPr>
        <w:t>(Cth)</w:t>
      </w:r>
      <w:r w:rsidRPr="00A33264">
        <w:rPr>
          <w:lang w:val="en-GB"/>
        </w:rPr>
        <w:t>.</w:t>
      </w:r>
    </w:p>
    <w:bookmarkEnd w:id="364"/>
    <w:p w14:paraId="1336A4DB" w14:textId="21413CC1" w:rsidR="000175BD" w:rsidRPr="00A33264" w:rsidRDefault="00A41EB0" w:rsidP="00394EC2">
      <w:pPr>
        <w:rPr>
          <w:lang w:val="en-GB"/>
        </w:rPr>
      </w:pPr>
      <w:r w:rsidRPr="00A33264">
        <w:rPr>
          <w:lang w:val="en-GB"/>
        </w:rPr>
        <w:t xml:space="preserve">Other highly paid staff within the NDIA, excluding </w:t>
      </w:r>
      <w:r w:rsidR="00591C73">
        <w:rPr>
          <w:lang w:val="en-GB"/>
        </w:rPr>
        <w:t>SES</w:t>
      </w:r>
      <w:r w:rsidRPr="00A33264">
        <w:rPr>
          <w:lang w:val="en-GB"/>
        </w:rPr>
        <w:t xml:space="preserve"> employees, are remunerated in line with the NDIA Enterprise Agreement 2024</w:t>
      </w:r>
      <w:r w:rsidR="008662F5" w:rsidRPr="00A33264">
        <w:rPr>
          <w:lang w:val="en-GB"/>
        </w:rPr>
        <w:t>–</w:t>
      </w:r>
      <w:r w:rsidRPr="00A33264">
        <w:rPr>
          <w:lang w:val="en-GB"/>
        </w:rPr>
        <w:t>27</w:t>
      </w:r>
      <w:r w:rsidR="008662F5" w:rsidRPr="00A33264">
        <w:rPr>
          <w:lang w:val="en-GB"/>
        </w:rPr>
        <w:t>.</w:t>
      </w:r>
      <w:r w:rsidRPr="00A33264">
        <w:rPr>
          <w:lang w:val="en-GB"/>
        </w:rPr>
        <w:t xml:space="preserve"> This may include payment of a </w:t>
      </w:r>
      <w:r w:rsidR="008662F5" w:rsidRPr="00A33264">
        <w:rPr>
          <w:lang w:val="en-GB"/>
        </w:rPr>
        <w:t>h</w:t>
      </w:r>
      <w:r w:rsidRPr="00A33264">
        <w:rPr>
          <w:lang w:val="en-GB"/>
        </w:rPr>
        <w:t xml:space="preserve">igher </w:t>
      </w:r>
      <w:r w:rsidR="008662F5" w:rsidRPr="00A33264">
        <w:rPr>
          <w:lang w:val="en-GB"/>
        </w:rPr>
        <w:t>d</w:t>
      </w:r>
      <w:r w:rsidRPr="00A33264">
        <w:rPr>
          <w:lang w:val="en-GB"/>
        </w:rPr>
        <w:t xml:space="preserve">uties </w:t>
      </w:r>
      <w:r w:rsidR="008662F5" w:rsidRPr="00A33264">
        <w:rPr>
          <w:lang w:val="en-GB"/>
        </w:rPr>
        <w:t>a</w:t>
      </w:r>
      <w:r w:rsidRPr="00A33264">
        <w:rPr>
          <w:lang w:val="en-GB"/>
        </w:rPr>
        <w:t>llowance as a result of an employee performing higher duties or an individual flexibility arrangement. Remuneration-related policies that underpin the NDIA Enterprise Agreement 2024</w:t>
      </w:r>
      <w:r w:rsidR="008662F5" w:rsidRPr="00A33264">
        <w:rPr>
          <w:lang w:val="en-GB"/>
        </w:rPr>
        <w:t>–</w:t>
      </w:r>
      <w:r w:rsidRPr="00A33264">
        <w:rPr>
          <w:lang w:val="en-GB"/>
        </w:rPr>
        <w:t>27 include the Remuneration Policy and the Allowances and Reimbursement Policy.</w:t>
      </w:r>
    </w:p>
    <w:p w14:paraId="1540438C" w14:textId="3B0DD074" w:rsidR="001F01E7" w:rsidRPr="00A33264" w:rsidRDefault="001F01E7" w:rsidP="001F01E7">
      <w:pPr>
        <w:rPr>
          <w:lang w:val="en-GB"/>
        </w:rPr>
      </w:pPr>
      <w:r w:rsidRPr="00A33264">
        <w:rPr>
          <w:lang w:val="en-GB"/>
        </w:rPr>
        <w:t xml:space="preserve">NDIA SES employees are offered a remuneration and employment conditions package through an individual determination under the </w:t>
      </w:r>
      <w:r w:rsidRPr="00A33264">
        <w:rPr>
          <w:i/>
          <w:iCs/>
          <w:lang w:val="en-GB"/>
        </w:rPr>
        <w:t>Public Service Act 1999</w:t>
      </w:r>
      <w:r w:rsidRPr="00A33264">
        <w:rPr>
          <w:lang w:val="en-GB"/>
        </w:rPr>
        <w:t xml:space="preserve"> </w:t>
      </w:r>
      <w:r w:rsidR="004364A0">
        <w:rPr>
          <w:lang w:val="en-GB"/>
        </w:rPr>
        <w:t xml:space="preserve">(Cth) </w:t>
      </w:r>
      <w:r w:rsidRPr="00A33264">
        <w:rPr>
          <w:lang w:val="en-GB"/>
        </w:rPr>
        <w:t xml:space="preserve">(section 24.1). Packages follow the principles outlined in the NDIA’s Remuneration Policy and comply with the requirements of the Executive Remuneration Management Policy issued by the Australian Public Service Commission, including specific approval by the </w:t>
      </w:r>
      <w:r w:rsidR="004B676D" w:rsidRPr="00A33264">
        <w:rPr>
          <w:lang w:val="en-GB"/>
        </w:rPr>
        <w:t xml:space="preserve">Australian </w:t>
      </w:r>
      <w:r w:rsidRPr="00A33264">
        <w:rPr>
          <w:lang w:val="en-GB"/>
        </w:rPr>
        <w:t>Public Service Commissioner if required.</w:t>
      </w:r>
    </w:p>
    <w:p w14:paraId="6FCDA957" w14:textId="6A288A5E" w:rsidR="001F01E7" w:rsidRPr="00A33264" w:rsidRDefault="001F01E7" w:rsidP="001F01E7">
      <w:pPr>
        <w:rPr>
          <w:lang w:val="en-GB"/>
        </w:rPr>
      </w:pPr>
      <w:r w:rsidRPr="00A33264">
        <w:rPr>
          <w:lang w:val="en-GB"/>
        </w:rPr>
        <w:t>For the purpose of executive remuneration reporting, the scope includes salary and superannuation, as well as any additional allowances, salary payments and/or other remuneration benefits for key management personnel and other highly paid staff.</w:t>
      </w:r>
    </w:p>
    <w:p w14:paraId="687BD712" w14:textId="77777777" w:rsidR="00E70ACE" w:rsidRPr="00A33264" w:rsidRDefault="00E70ACE" w:rsidP="00255A26">
      <w:pPr>
        <w:pStyle w:val="Heading3"/>
        <w:rPr>
          <w:lang w:val="en-GB"/>
        </w:rPr>
        <w:sectPr w:rsidR="00E70ACE" w:rsidRPr="00A33264" w:rsidSect="00F23525">
          <w:footerReference w:type="default" r:id="rId89"/>
          <w:headerReference w:type="first" r:id="rId90"/>
          <w:footerReference w:type="first" r:id="rId91"/>
          <w:pgSz w:w="11906" w:h="16838" w:code="9"/>
          <w:pgMar w:top="1361" w:right="1361" w:bottom="1361" w:left="1361" w:header="561" w:footer="374" w:gutter="0"/>
          <w:cols w:space="708"/>
          <w:titlePg/>
          <w:docGrid w:linePitch="360"/>
        </w:sectPr>
      </w:pPr>
      <w:bookmarkStart w:id="365" w:name="_Toc169592996"/>
      <w:bookmarkStart w:id="366" w:name="_Toc174354211"/>
    </w:p>
    <w:p w14:paraId="1E42AF6B" w14:textId="6E19E751" w:rsidR="00D7463A" w:rsidRPr="00A33264" w:rsidRDefault="00255A26" w:rsidP="00255A26">
      <w:pPr>
        <w:pStyle w:val="Heading3"/>
        <w:rPr>
          <w:lang w:val="en-GB"/>
        </w:rPr>
      </w:pPr>
      <w:bookmarkStart w:id="367" w:name="_Toc175316915"/>
      <w:bookmarkStart w:id="368" w:name="_Toc176786406"/>
      <w:bookmarkStart w:id="369" w:name="_Toc180505688"/>
      <w:r w:rsidRPr="00A33264">
        <w:rPr>
          <w:lang w:val="en-GB"/>
        </w:rPr>
        <w:lastRenderedPageBreak/>
        <w:t>Executive remuneration</w:t>
      </w:r>
      <w:bookmarkEnd w:id="365"/>
      <w:bookmarkEnd w:id="366"/>
      <w:bookmarkEnd w:id="367"/>
      <w:bookmarkEnd w:id="368"/>
      <w:bookmarkEnd w:id="369"/>
    </w:p>
    <w:p w14:paraId="69F56259" w14:textId="58526A13" w:rsidR="00255A26" w:rsidRPr="00A33264" w:rsidRDefault="00255A26" w:rsidP="00255A26">
      <w:pPr>
        <w:pStyle w:val="Heading4"/>
        <w:rPr>
          <w:lang w:val="en-GB"/>
        </w:rPr>
      </w:pPr>
      <w:bookmarkStart w:id="370" w:name="_Toc169592997"/>
      <w:r w:rsidRPr="00A33264">
        <w:rPr>
          <w:lang w:val="en-GB"/>
        </w:rPr>
        <w:t>Key management personnel</w:t>
      </w:r>
      <w:bookmarkEnd w:id="370"/>
    </w:p>
    <w:p w14:paraId="7EA5D132" w14:textId="5EC4727B" w:rsidR="001651D3" w:rsidRPr="00A33264" w:rsidRDefault="001651D3" w:rsidP="001651D3">
      <w:pPr>
        <w:rPr>
          <w:lang w:val="en-GB"/>
        </w:rPr>
      </w:pPr>
      <w:r w:rsidRPr="00A33264">
        <w:rPr>
          <w:lang w:val="en-GB"/>
        </w:rPr>
        <w:t xml:space="preserve">During the reporting period ended 30 June 2024, the </w:t>
      </w:r>
      <w:r w:rsidR="00591C73">
        <w:rPr>
          <w:lang w:val="en-GB"/>
        </w:rPr>
        <w:t>NDIA</w:t>
      </w:r>
      <w:r w:rsidR="00591C73" w:rsidRPr="00A33264">
        <w:rPr>
          <w:lang w:val="en-GB"/>
        </w:rPr>
        <w:t xml:space="preserve"> </w:t>
      </w:r>
      <w:r w:rsidRPr="00A33264">
        <w:rPr>
          <w:lang w:val="en-GB"/>
        </w:rPr>
        <w:t>had 21 Board members and executives who met the definition of key management personnel (KMP). Their names and length</w:t>
      </w:r>
      <w:r w:rsidR="00591C73">
        <w:rPr>
          <w:lang w:val="en-GB"/>
        </w:rPr>
        <w:t>s</w:t>
      </w:r>
      <w:r w:rsidRPr="00A33264">
        <w:rPr>
          <w:lang w:val="en-GB"/>
        </w:rPr>
        <w:t xml:space="preserve"> of term as KMP are provided in </w:t>
      </w:r>
      <w:r w:rsidR="00591C73">
        <w:rPr>
          <w:lang w:val="en-GB"/>
        </w:rPr>
        <w:t>T</w:t>
      </w:r>
      <w:r w:rsidRPr="00A33264">
        <w:rPr>
          <w:lang w:val="en-GB"/>
        </w:rPr>
        <w:t xml:space="preserve">able </w:t>
      </w:r>
      <w:r w:rsidR="00A27A9C">
        <w:rPr>
          <w:lang w:val="en-GB"/>
        </w:rPr>
        <w:t>10</w:t>
      </w:r>
      <w:r w:rsidRPr="00A33264">
        <w:rPr>
          <w:lang w:val="en-GB"/>
        </w:rPr>
        <w:t>.</w:t>
      </w:r>
    </w:p>
    <w:p w14:paraId="1626057D" w14:textId="3168C5A1" w:rsidR="00255A26" w:rsidRPr="00A33264" w:rsidRDefault="008A1E8E" w:rsidP="00255A26">
      <w:pPr>
        <w:rPr>
          <w:u w:val="single"/>
          <w:lang w:val="en-GB"/>
        </w:rPr>
      </w:pPr>
      <w:r w:rsidRPr="00A33264">
        <w:rPr>
          <w:u w:val="single"/>
          <w:lang w:val="en-GB"/>
        </w:rPr>
        <w:t xml:space="preserve">Table </w:t>
      </w:r>
      <w:r w:rsidR="00A27A9C">
        <w:rPr>
          <w:u w:val="single"/>
          <w:lang w:val="en-GB"/>
        </w:rPr>
        <w:t>10</w:t>
      </w:r>
      <w:r w:rsidRPr="00A33264">
        <w:rPr>
          <w:u w:val="single"/>
          <w:lang w:val="en-GB"/>
        </w:rPr>
        <w:t>: Key management personnel</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3397"/>
        <w:gridCol w:w="3119"/>
        <w:gridCol w:w="2499"/>
      </w:tblGrid>
      <w:tr w:rsidR="001651D3" w:rsidRPr="007A4A42" w14:paraId="3BAC6849" w14:textId="77777777" w:rsidTr="001C0A6D">
        <w:trPr>
          <w:cnfStyle w:val="100000000000" w:firstRow="1" w:lastRow="0" w:firstColumn="0" w:lastColumn="0" w:oddVBand="0" w:evenVBand="0" w:oddHBand="0" w:evenHBand="0" w:firstRowFirstColumn="0" w:firstRowLastColumn="0" w:lastRowFirstColumn="0" w:lastRowLastColumn="0"/>
          <w:cantSplit/>
        </w:trPr>
        <w:tc>
          <w:tcPr>
            <w:tcW w:w="3397" w:type="dxa"/>
            <w:tcBorders>
              <w:top w:val="single" w:sz="4" w:space="0" w:color="6B2876" w:themeColor="text1"/>
              <w:bottom w:val="single" w:sz="4" w:space="0" w:color="6B2876" w:themeColor="text1"/>
            </w:tcBorders>
            <w:vAlign w:val="center"/>
          </w:tcPr>
          <w:p w14:paraId="33D8F990" w14:textId="2320F265" w:rsidR="001651D3" w:rsidRPr="007A4A42" w:rsidRDefault="001651D3">
            <w:pPr>
              <w:pStyle w:val="TableBody"/>
              <w:rPr>
                <w:szCs w:val="24"/>
                <w:lang w:val="en-GB"/>
              </w:rPr>
            </w:pPr>
            <w:bookmarkStart w:id="371" w:name="ColumnTitle_Table10"/>
            <w:bookmarkEnd w:id="371"/>
            <w:r w:rsidRPr="007A4A42">
              <w:rPr>
                <w:szCs w:val="24"/>
                <w:lang w:val="en-GB"/>
              </w:rPr>
              <w:t>Name</w:t>
            </w:r>
          </w:p>
        </w:tc>
        <w:tc>
          <w:tcPr>
            <w:tcW w:w="3119" w:type="dxa"/>
            <w:tcBorders>
              <w:top w:val="single" w:sz="4" w:space="0" w:color="6B2876" w:themeColor="text1"/>
              <w:bottom w:val="single" w:sz="4" w:space="0" w:color="6B2876" w:themeColor="text1"/>
            </w:tcBorders>
          </w:tcPr>
          <w:p w14:paraId="2D0B7960" w14:textId="70F2F8C5" w:rsidR="001651D3" w:rsidRPr="007A4A42" w:rsidRDefault="001651D3">
            <w:pPr>
              <w:pStyle w:val="TableBody"/>
              <w:rPr>
                <w:szCs w:val="24"/>
                <w:lang w:val="en-GB"/>
              </w:rPr>
            </w:pPr>
            <w:r w:rsidRPr="007A4A42">
              <w:rPr>
                <w:szCs w:val="24"/>
                <w:lang w:val="en-GB"/>
              </w:rPr>
              <w:t>Position</w:t>
            </w:r>
          </w:p>
        </w:tc>
        <w:tc>
          <w:tcPr>
            <w:tcW w:w="2499" w:type="dxa"/>
            <w:tcBorders>
              <w:top w:val="single" w:sz="4" w:space="0" w:color="6B2876" w:themeColor="text1"/>
              <w:bottom w:val="single" w:sz="4" w:space="0" w:color="6B2876" w:themeColor="text1"/>
            </w:tcBorders>
          </w:tcPr>
          <w:p w14:paraId="25EACC4D" w14:textId="2FB63D99" w:rsidR="001651D3" w:rsidRPr="007A4A42" w:rsidRDefault="001651D3">
            <w:pPr>
              <w:pStyle w:val="TableBody"/>
              <w:rPr>
                <w:szCs w:val="24"/>
                <w:lang w:val="en-GB"/>
              </w:rPr>
            </w:pPr>
            <w:r w:rsidRPr="007A4A42">
              <w:rPr>
                <w:szCs w:val="24"/>
                <w:lang w:val="en-GB"/>
              </w:rPr>
              <w:t>Term as KMP</w:t>
            </w:r>
          </w:p>
        </w:tc>
      </w:tr>
      <w:tr w:rsidR="007A4A42" w:rsidRPr="007A4A42" w14:paraId="513BDAFE"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602988D7" w14:textId="73E3967F" w:rsidR="007A4A42" w:rsidRPr="007A4A42" w:rsidRDefault="007A4A42" w:rsidP="007A4A42">
            <w:pPr>
              <w:pStyle w:val="TableBody"/>
              <w:spacing w:before="120" w:after="120"/>
              <w:rPr>
                <w:szCs w:val="24"/>
                <w:lang w:val="en-GB"/>
              </w:rPr>
            </w:pPr>
            <w:r w:rsidRPr="003131F3">
              <w:rPr>
                <w:szCs w:val="24"/>
              </w:rPr>
              <w:t>Ms Meredith Allan</w:t>
            </w:r>
          </w:p>
        </w:tc>
        <w:tc>
          <w:tcPr>
            <w:tcW w:w="3119" w:type="dxa"/>
          </w:tcPr>
          <w:p w14:paraId="1B4F1689" w14:textId="76E48720" w:rsidR="007A4A42" w:rsidRPr="007A4A42" w:rsidRDefault="007A4A42" w:rsidP="007A4A42">
            <w:pPr>
              <w:pStyle w:val="TableBody"/>
              <w:spacing w:before="120" w:after="120"/>
              <w:rPr>
                <w:szCs w:val="24"/>
                <w:lang w:val="en-GB"/>
              </w:rPr>
            </w:pPr>
            <w:r w:rsidRPr="003131F3">
              <w:rPr>
                <w:szCs w:val="24"/>
              </w:rPr>
              <w:t xml:space="preserve">Board </w:t>
            </w:r>
            <w:r w:rsidR="008016B0">
              <w:rPr>
                <w:szCs w:val="24"/>
              </w:rPr>
              <w:t>m</w:t>
            </w:r>
            <w:r w:rsidRPr="003131F3">
              <w:rPr>
                <w:szCs w:val="24"/>
              </w:rPr>
              <w:t>ember</w:t>
            </w:r>
          </w:p>
        </w:tc>
        <w:tc>
          <w:tcPr>
            <w:tcW w:w="2499" w:type="dxa"/>
          </w:tcPr>
          <w:p w14:paraId="34739585" w14:textId="234795C5" w:rsidR="007A4A42" w:rsidRPr="007A4A42" w:rsidRDefault="007A4A42" w:rsidP="007A4A42">
            <w:pPr>
              <w:pStyle w:val="TableBody"/>
              <w:spacing w:before="120" w:after="120"/>
              <w:rPr>
                <w:szCs w:val="24"/>
                <w:lang w:val="en-GB"/>
              </w:rPr>
            </w:pPr>
            <w:r w:rsidRPr="003131F3">
              <w:rPr>
                <w:szCs w:val="24"/>
              </w:rPr>
              <w:t>Full year</w:t>
            </w:r>
          </w:p>
        </w:tc>
      </w:tr>
      <w:tr w:rsidR="007A4A42" w:rsidRPr="007A4A42" w14:paraId="5720D30F" w14:textId="77777777" w:rsidTr="001C0A6D">
        <w:trPr>
          <w:cantSplit/>
        </w:trPr>
        <w:tc>
          <w:tcPr>
            <w:tcW w:w="3397" w:type="dxa"/>
          </w:tcPr>
          <w:p w14:paraId="004D2DA6" w14:textId="0C496CA1" w:rsidR="007A4A42" w:rsidRPr="007A4A42" w:rsidRDefault="007A4A42" w:rsidP="007A4A42">
            <w:pPr>
              <w:pStyle w:val="TableBody"/>
              <w:spacing w:before="120" w:after="120"/>
              <w:rPr>
                <w:szCs w:val="24"/>
                <w:lang w:val="en-GB"/>
              </w:rPr>
            </w:pPr>
            <w:r w:rsidRPr="003131F3">
              <w:rPr>
                <w:szCs w:val="24"/>
              </w:rPr>
              <w:t xml:space="preserve">Mr John Dardaneliotis </w:t>
            </w:r>
          </w:p>
        </w:tc>
        <w:tc>
          <w:tcPr>
            <w:tcW w:w="3119" w:type="dxa"/>
          </w:tcPr>
          <w:p w14:paraId="25CA9A55" w14:textId="77D90998" w:rsidR="007A4A42" w:rsidRPr="007A4A42" w:rsidRDefault="007A4A42" w:rsidP="007A4A42">
            <w:pPr>
              <w:pStyle w:val="TableBody"/>
              <w:spacing w:before="120" w:after="120"/>
              <w:rPr>
                <w:szCs w:val="24"/>
                <w:lang w:val="en-GB"/>
              </w:rPr>
            </w:pPr>
            <w:r w:rsidRPr="003131F3">
              <w:rPr>
                <w:szCs w:val="24"/>
              </w:rPr>
              <w:t>Deputy CEO Integrity Transformation and Fraud Fusion Taskforce</w:t>
            </w:r>
          </w:p>
        </w:tc>
        <w:tc>
          <w:tcPr>
            <w:tcW w:w="2499" w:type="dxa"/>
          </w:tcPr>
          <w:p w14:paraId="2BDCF7F2" w14:textId="5C51F365" w:rsidR="007A4A42" w:rsidRPr="007A4A42" w:rsidRDefault="007A4A42" w:rsidP="007A4A42">
            <w:pPr>
              <w:pStyle w:val="TableBody"/>
              <w:spacing w:before="120" w:after="120"/>
              <w:rPr>
                <w:szCs w:val="24"/>
                <w:lang w:val="en-GB"/>
              </w:rPr>
            </w:pPr>
            <w:r w:rsidRPr="003131F3">
              <w:rPr>
                <w:szCs w:val="24"/>
              </w:rPr>
              <w:t>Full year</w:t>
            </w:r>
          </w:p>
        </w:tc>
      </w:tr>
      <w:tr w:rsidR="007A4A42" w:rsidRPr="007A4A42" w14:paraId="2062DAF8"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214DCE01" w14:textId="4EF3482D" w:rsidR="007A4A42" w:rsidRPr="007A4A42" w:rsidRDefault="007A4A42" w:rsidP="007A4A42">
            <w:pPr>
              <w:pStyle w:val="TableBody"/>
              <w:spacing w:before="120" w:after="120"/>
              <w:rPr>
                <w:szCs w:val="24"/>
                <w:lang w:val="en-GB"/>
              </w:rPr>
            </w:pPr>
            <w:r w:rsidRPr="003131F3">
              <w:rPr>
                <w:szCs w:val="24"/>
              </w:rPr>
              <w:t>Mr Asimakis (Mark) Darras</w:t>
            </w:r>
          </w:p>
        </w:tc>
        <w:tc>
          <w:tcPr>
            <w:tcW w:w="3119" w:type="dxa"/>
          </w:tcPr>
          <w:p w14:paraId="63D35FA7" w14:textId="20148C37" w:rsidR="007A4A42" w:rsidRPr="007A4A42" w:rsidRDefault="007A4A42" w:rsidP="007A4A42">
            <w:pPr>
              <w:spacing w:after="120"/>
              <w:rPr>
                <w:rFonts w:cs="Arial"/>
                <w:lang w:val="en-GB"/>
              </w:rPr>
            </w:pPr>
            <w:r w:rsidRPr="003131F3">
              <w:rPr>
                <w:rFonts w:cs="Arial"/>
              </w:rPr>
              <w:t xml:space="preserve">Board </w:t>
            </w:r>
            <w:r w:rsidR="00CC4A4F">
              <w:rPr>
                <w:rFonts w:cs="Arial"/>
              </w:rPr>
              <w:t>m</w:t>
            </w:r>
            <w:r w:rsidRPr="003131F3">
              <w:rPr>
                <w:rFonts w:cs="Arial"/>
              </w:rPr>
              <w:t>ember</w:t>
            </w:r>
          </w:p>
        </w:tc>
        <w:tc>
          <w:tcPr>
            <w:tcW w:w="2499" w:type="dxa"/>
          </w:tcPr>
          <w:p w14:paraId="40E4B0E3" w14:textId="287221B3" w:rsidR="007A4A42" w:rsidRPr="007A4A42" w:rsidRDefault="007A4A42" w:rsidP="007A4A42">
            <w:pPr>
              <w:spacing w:after="120"/>
              <w:rPr>
                <w:rFonts w:cs="Arial"/>
                <w:lang w:val="en-GB"/>
              </w:rPr>
            </w:pPr>
            <w:r w:rsidRPr="003131F3">
              <w:rPr>
                <w:rFonts w:cs="Arial"/>
              </w:rPr>
              <w:t>Part</w:t>
            </w:r>
            <w:r w:rsidR="003665AA">
              <w:rPr>
                <w:rFonts w:cs="Arial"/>
              </w:rPr>
              <w:t xml:space="preserve"> </w:t>
            </w:r>
            <w:r w:rsidRPr="003131F3">
              <w:rPr>
                <w:rFonts w:cs="Arial"/>
              </w:rPr>
              <w:t xml:space="preserve">year – </w:t>
            </w:r>
            <w:r w:rsidR="004364A0">
              <w:rPr>
                <w:rFonts w:cs="Arial"/>
              </w:rPr>
              <w:t>a</w:t>
            </w:r>
            <w:r w:rsidRPr="003131F3">
              <w:rPr>
                <w:rFonts w:cs="Arial"/>
              </w:rPr>
              <w:t>ppointed 24</w:t>
            </w:r>
            <w:r w:rsidR="004364A0">
              <w:rPr>
                <w:rFonts w:cs="Arial"/>
              </w:rPr>
              <w:t xml:space="preserve"> November </w:t>
            </w:r>
            <w:r w:rsidRPr="003131F3">
              <w:rPr>
                <w:rFonts w:cs="Arial"/>
              </w:rPr>
              <w:t>2023</w:t>
            </w:r>
          </w:p>
        </w:tc>
      </w:tr>
      <w:tr w:rsidR="007A4A42" w:rsidRPr="007A4A42" w14:paraId="08F32565" w14:textId="77777777" w:rsidTr="001C0A6D">
        <w:trPr>
          <w:cantSplit/>
        </w:trPr>
        <w:tc>
          <w:tcPr>
            <w:tcW w:w="3397" w:type="dxa"/>
          </w:tcPr>
          <w:p w14:paraId="0B772228" w14:textId="434339D4" w:rsidR="007A4A42" w:rsidRPr="007A4A42" w:rsidRDefault="007A4A42" w:rsidP="007A4A42">
            <w:pPr>
              <w:pStyle w:val="TableBody"/>
              <w:spacing w:before="120" w:after="120"/>
              <w:rPr>
                <w:szCs w:val="24"/>
                <w:lang w:val="en-GB"/>
              </w:rPr>
            </w:pPr>
            <w:r w:rsidRPr="003131F3">
              <w:rPr>
                <w:szCs w:val="24"/>
              </w:rPr>
              <w:t>Ms Maryanne Diamond AO</w:t>
            </w:r>
          </w:p>
        </w:tc>
        <w:tc>
          <w:tcPr>
            <w:tcW w:w="3119" w:type="dxa"/>
          </w:tcPr>
          <w:p w14:paraId="6B54492F" w14:textId="5E904112" w:rsidR="007A4A42" w:rsidRPr="007A4A42" w:rsidRDefault="007A4A42" w:rsidP="007A4A42">
            <w:pPr>
              <w:spacing w:after="120"/>
              <w:rPr>
                <w:rFonts w:cs="Arial"/>
                <w:lang w:val="en-GB"/>
              </w:rPr>
            </w:pPr>
            <w:r w:rsidRPr="003131F3">
              <w:rPr>
                <w:rFonts w:cs="Arial"/>
              </w:rPr>
              <w:t xml:space="preserve">Board </w:t>
            </w:r>
            <w:r w:rsidR="00CC4A4F">
              <w:rPr>
                <w:rFonts w:cs="Arial"/>
              </w:rPr>
              <w:t>m</w:t>
            </w:r>
            <w:r w:rsidRPr="003131F3">
              <w:rPr>
                <w:rFonts w:cs="Arial"/>
              </w:rPr>
              <w:t>ember</w:t>
            </w:r>
          </w:p>
        </w:tc>
        <w:tc>
          <w:tcPr>
            <w:tcW w:w="2499" w:type="dxa"/>
          </w:tcPr>
          <w:p w14:paraId="746605A3" w14:textId="115D8E1D" w:rsidR="007A4A42" w:rsidRPr="007A4A42" w:rsidRDefault="007A4A42" w:rsidP="007A4A42">
            <w:pPr>
              <w:spacing w:after="120"/>
              <w:rPr>
                <w:rFonts w:cs="Arial"/>
                <w:lang w:val="en-GB"/>
              </w:rPr>
            </w:pPr>
            <w:r w:rsidRPr="003131F3">
              <w:rPr>
                <w:rFonts w:cs="Arial"/>
              </w:rPr>
              <w:t>Full year</w:t>
            </w:r>
          </w:p>
        </w:tc>
      </w:tr>
      <w:tr w:rsidR="007A4A42" w:rsidRPr="007A4A42" w14:paraId="2297D1DC"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72EE4BCF" w14:textId="4D21AA1A" w:rsidR="007A4A42" w:rsidRPr="007A4A42" w:rsidRDefault="007A4A42" w:rsidP="007A4A42">
            <w:pPr>
              <w:pStyle w:val="TableBody"/>
              <w:spacing w:before="120" w:after="120"/>
              <w:rPr>
                <w:szCs w:val="24"/>
                <w:lang w:val="en-GB"/>
              </w:rPr>
            </w:pPr>
            <w:r w:rsidRPr="003131F3">
              <w:rPr>
                <w:szCs w:val="24"/>
              </w:rPr>
              <w:t>Ms Rebecca Falkingham PSM</w:t>
            </w:r>
          </w:p>
        </w:tc>
        <w:tc>
          <w:tcPr>
            <w:tcW w:w="3119" w:type="dxa"/>
          </w:tcPr>
          <w:p w14:paraId="5C95F945" w14:textId="1F8790CC" w:rsidR="007A4A42" w:rsidRPr="007A4A42" w:rsidRDefault="007A4A42" w:rsidP="007A4A42">
            <w:pPr>
              <w:spacing w:after="120"/>
              <w:rPr>
                <w:rFonts w:cs="Arial"/>
                <w:lang w:val="en-GB"/>
              </w:rPr>
            </w:pPr>
            <w:r w:rsidRPr="003131F3">
              <w:rPr>
                <w:rFonts w:cs="Arial"/>
              </w:rPr>
              <w:t>Chief Executive Officer</w:t>
            </w:r>
          </w:p>
        </w:tc>
        <w:tc>
          <w:tcPr>
            <w:tcW w:w="2499" w:type="dxa"/>
          </w:tcPr>
          <w:p w14:paraId="3ADF4646" w14:textId="2ECAA46C" w:rsidR="007A4A42" w:rsidRPr="007A4A42" w:rsidRDefault="007A4A42" w:rsidP="007A4A42">
            <w:pPr>
              <w:spacing w:after="120"/>
              <w:rPr>
                <w:rFonts w:cs="Arial"/>
                <w:lang w:val="en-GB"/>
              </w:rPr>
            </w:pPr>
            <w:r w:rsidRPr="003131F3">
              <w:rPr>
                <w:rFonts w:cs="Arial"/>
              </w:rPr>
              <w:t>Full year</w:t>
            </w:r>
          </w:p>
        </w:tc>
      </w:tr>
      <w:tr w:rsidR="007A4A42" w:rsidRPr="007A4A42" w14:paraId="1335A004" w14:textId="77777777" w:rsidTr="001C0A6D">
        <w:trPr>
          <w:cantSplit/>
        </w:trPr>
        <w:tc>
          <w:tcPr>
            <w:tcW w:w="3397" w:type="dxa"/>
          </w:tcPr>
          <w:p w14:paraId="355AA403" w14:textId="2F12938F" w:rsidR="007A4A42" w:rsidRPr="007A4A42" w:rsidRDefault="007A4A42" w:rsidP="007A4A42">
            <w:pPr>
              <w:pStyle w:val="TableBody"/>
              <w:spacing w:before="120" w:after="120"/>
              <w:rPr>
                <w:szCs w:val="24"/>
                <w:lang w:val="en-GB"/>
              </w:rPr>
            </w:pPr>
            <w:r w:rsidRPr="003131F3">
              <w:rPr>
                <w:szCs w:val="24"/>
              </w:rPr>
              <w:t>Mr Kurt Fearnley AO</w:t>
            </w:r>
          </w:p>
        </w:tc>
        <w:tc>
          <w:tcPr>
            <w:tcW w:w="3119" w:type="dxa"/>
          </w:tcPr>
          <w:p w14:paraId="161D9DC6" w14:textId="76B3A3FF" w:rsidR="007A4A42" w:rsidRPr="007A4A42" w:rsidRDefault="007A4A42" w:rsidP="007A4A42">
            <w:pPr>
              <w:spacing w:after="120"/>
              <w:rPr>
                <w:rFonts w:cs="Arial"/>
                <w:lang w:val="en-GB"/>
              </w:rPr>
            </w:pPr>
            <w:r w:rsidRPr="00F86FC3">
              <w:t>Chair</w:t>
            </w:r>
          </w:p>
        </w:tc>
        <w:tc>
          <w:tcPr>
            <w:tcW w:w="2499" w:type="dxa"/>
          </w:tcPr>
          <w:p w14:paraId="7152DEAE" w14:textId="64A75FAD" w:rsidR="007A4A42" w:rsidRPr="007A4A42" w:rsidRDefault="007A4A42" w:rsidP="007A4A42">
            <w:pPr>
              <w:spacing w:after="120"/>
              <w:rPr>
                <w:rFonts w:cs="Arial"/>
                <w:lang w:val="en-GB"/>
              </w:rPr>
            </w:pPr>
            <w:r w:rsidRPr="003131F3">
              <w:rPr>
                <w:rFonts w:cs="Arial"/>
              </w:rPr>
              <w:t>Full year</w:t>
            </w:r>
          </w:p>
        </w:tc>
      </w:tr>
      <w:tr w:rsidR="007A4A42" w:rsidRPr="007A4A42" w14:paraId="1B6475EF"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0B487506" w14:textId="040E5B60" w:rsidR="007A4A42" w:rsidRPr="007A4A42" w:rsidRDefault="007A4A42" w:rsidP="007A4A42">
            <w:pPr>
              <w:pStyle w:val="TableBody"/>
              <w:spacing w:before="120" w:after="120"/>
              <w:rPr>
                <w:szCs w:val="24"/>
                <w:lang w:val="en-GB"/>
              </w:rPr>
            </w:pPr>
            <w:r w:rsidRPr="003131F3">
              <w:rPr>
                <w:szCs w:val="24"/>
              </w:rPr>
              <w:t>Dr Richard Fejo</w:t>
            </w:r>
          </w:p>
        </w:tc>
        <w:tc>
          <w:tcPr>
            <w:tcW w:w="3119" w:type="dxa"/>
          </w:tcPr>
          <w:p w14:paraId="22D80308" w14:textId="7C7E8345" w:rsidR="007A4A42" w:rsidRPr="007A4A42" w:rsidRDefault="007A4A42" w:rsidP="007A4A42">
            <w:pPr>
              <w:spacing w:after="120"/>
              <w:rPr>
                <w:rFonts w:cs="Arial"/>
                <w:lang w:val="en-GB"/>
              </w:rPr>
            </w:pPr>
            <w:r w:rsidRPr="003131F3">
              <w:rPr>
                <w:rFonts w:cs="Arial"/>
              </w:rPr>
              <w:t xml:space="preserve">Board </w:t>
            </w:r>
            <w:r w:rsidR="00CC4A4F">
              <w:rPr>
                <w:rFonts w:cs="Arial"/>
              </w:rPr>
              <w:t>m</w:t>
            </w:r>
            <w:r w:rsidRPr="003131F3">
              <w:rPr>
                <w:rFonts w:cs="Arial"/>
              </w:rPr>
              <w:t>ember</w:t>
            </w:r>
          </w:p>
        </w:tc>
        <w:tc>
          <w:tcPr>
            <w:tcW w:w="2499" w:type="dxa"/>
          </w:tcPr>
          <w:p w14:paraId="75BE2A2A" w14:textId="24ACF643" w:rsidR="007A4A42" w:rsidRPr="007A4A42" w:rsidRDefault="007A4A42" w:rsidP="007A4A42">
            <w:pPr>
              <w:spacing w:after="120"/>
              <w:rPr>
                <w:rFonts w:cs="Arial"/>
                <w:lang w:val="en-GB"/>
              </w:rPr>
            </w:pPr>
            <w:r w:rsidRPr="003131F3">
              <w:rPr>
                <w:rFonts w:cs="Arial"/>
              </w:rPr>
              <w:t>Full year</w:t>
            </w:r>
          </w:p>
        </w:tc>
      </w:tr>
      <w:tr w:rsidR="007A4A42" w:rsidRPr="007A4A42" w14:paraId="6D8274B7" w14:textId="77777777" w:rsidTr="001C0A6D">
        <w:trPr>
          <w:cantSplit/>
        </w:trPr>
        <w:tc>
          <w:tcPr>
            <w:tcW w:w="3397" w:type="dxa"/>
          </w:tcPr>
          <w:p w14:paraId="6478CF3A" w14:textId="1A701BE5" w:rsidR="007A4A42" w:rsidRPr="007A4A42" w:rsidRDefault="007A4A42" w:rsidP="007A4A42">
            <w:pPr>
              <w:pStyle w:val="TableBody"/>
              <w:spacing w:before="120" w:after="120"/>
              <w:rPr>
                <w:szCs w:val="24"/>
                <w:lang w:val="en-GB"/>
              </w:rPr>
            </w:pPr>
            <w:r w:rsidRPr="003131F3">
              <w:rPr>
                <w:szCs w:val="24"/>
              </w:rPr>
              <w:t>Mr David Gifford</w:t>
            </w:r>
          </w:p>
        </w:tc>
        <w:tc>
          <w:tcPr>
            <w:tcW w:w="3119" w:type="dxa"/>
          </w:tcPr>
          <w:p w14:paraId="09B2D5F7" w14:textId="59EAD278" w:rsidR="007A4A42" w:rsidRPr="007A4A42" w:rsidRDefault="007A4A42" w:rsidP="007A4A42">
            <w:pPr>
              <w:spacing w:after="120"/>
              <w:rPr>
                <w:rFonts w:cs="Arial"/>
                <w:lang w:val="en-GB"/>
              </w:rPr>
            </w:pPr>
            <w:r w:rsidRPr="003131F3">
              <w:rPr>
                <w:rFonts w:cs="Arial"/>
              </w:rPr>
              <w:t>Scheme Actuary</w:t>
            </w:r>
          </w:p>
        </w:tc>
        <w:tc>
          <w:tcPr>
            <w:tcW w:w="2499" w:type="dxa"/>
          </w:tcPr>
          <w:p w14:paraId="2CC71BCE" w14:textId="20991ADD" w:rsidR="007A4A42" w:rsidRPr="007A4A42" w:rsidRDefault="007A4A42" w:rsidP="007A4A42">
            <w:pPr>
              <w:spacing w:after="120"/>
              <w:rPr>
                <w:rFonts w:cs="Arial"/>
                <w:lang w:val="en-GB"/>
              </w:rPr>
            </w:pPr>
            <w:r w:rsidRPr="003131F3">
              <w:rPr>
                <w:rFonts w:cs="Arial"/>
              </w:rPr>
              <w:t>Full year</w:t>
            </w:r>
          </w:p>
        </w:tc>
      </w:tr>
      <w:tr w:rsidR="007A4A42" w:rsidRPr="007A4A42" w14:paraId="7CD30A73"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661D0ECE" w14:textId="2CA85EE3" w:rsidR="007A4A42" w:rsidRPr="007A4A42" w:rsidRDefault="007A4A42" w:rsidP="007A4A42">
            <w:pPr>
              <w:pStyle w:val="TableBody"/>
              <w:spacing w:before="120" w:after="120"/>
              <w:rPr>
                <w:szCs w:val="24"/>
                <w:lang w:val="en-GB"/>
              </w:rPr>
            </w:pPr>
            <w:r w:rsidRPr="003131F3">
              <w:rPr>
                <w:szCs w:val="24"/>
              </w:rPr>
              <w:t>Dr Graeme Innes AM</w:t>
            </w:r>
          </w:p>
        </w:tc>
        <w:tc>
          <w:tcPr>
            <w:tcW w:w="3119" w:type="dxa"/>
          </w:tcPr>
          <w:p w14:paraId="03CDE994" w14:textId="4B45AD4C" w:rsidR="007A4A42" w:rsidRPr="007A4A42" w:rsidRDefault="007A4A42" w:rsidP="007A4A42">
            <w:pPr>
              <w:spacing w:after="120"/>
              <w:rPr>
                <w:rFonts w:cs="Arial"/>
                <w:lang w:val="en-GB"/>
              </w:rPr>
            </w:pPr>
            <w:r w:rsidRPr="003131F3">
              <w:rPr>
                <w:rFonts w:cs="Arial"/>
              </w:rPr>
              <w:t xml:space="preserve">Board </w:t>
            </w:r>
            <w:r w:rsidR="00CC4A4F">
              <w:rPr>
                <w:rFonts w:cs="Arial"/>
              </w:rPr>
              <w:t>m</w:t>
            </w:r>
            <w:r w:rsidRPr="003131F3">
              <w:rPr>
                <w:rFonts w:cs="Arial"/>
              </w:rPr>
              <w:t>ember</w:t>
            </w:r>
          </w:p>
        </w:tc>
        <w:tc>
          <w:tcPr>
            <w:tcW w:w="2499" w:type="dxa"/>
          </w:tcPr>
          <w:p w14:paraId="0D868618" w14:textId="6D077466" w:rsidR="007A4A42" w:rsidRPr="007A4A42" w:rsidRDefault="007A4A42" w:rsidP="007A4A42">
            <w:pPr>
              <w:spacing w:after="120"/>
              <w:rPr>
                <w:rFonts w:cs="Arial"/>
                <w:lang w:val="en-GB"/>
              </w:rPr>
            </w:pPr>
            <w:r w:rsidRPr="003131F3">
              <w:rPr>
                <w:rFonts w:cs="Arial"/>
              </w:rPr>
              <w:t>Full year</w:t>
            </w:r>
          </w:p>
        </w:tc>
      </w:tr>
      <w:tr w:rsidR="007A4A42" w:rsidRPr="007A4A42" w14:paraId="3CE5E5AE" w14:textId="77777777" w:rsidTr="001C0A6D">
        <w:trPr>
          <w:cantSplit/>
        </w:trPr>
        <w:tc>
          <w:tcPr>
            <w:tcW w:w="3397" w:type="dxa"/>
          </w:tcPr>
          <w:p w14:paraId="4D5AD902" w14:textId="52094FCF" w:rsidR="007A4A42" w:rsidRPr="007A4A42" w:rsidRDefault="007A4A42" w:rsidP="007A4A42">
            <w:pPr>
              <w:pStyle w:val="TableBody"/>
              <w:spacing w:before="120" w:after="120"/>
              <w:rPr>
                <w:szCs w:val="24"/>
                <w:lang w:val="en-GB"/>
              </w:rPr>
            </w:pPr>
            <w:r w:rsidRPr="003131F3">
              <w:rPr>
                <w:szCs w:val="24"/>
              </w:rPr>
              <w:t>Ms Penelope McKay</w:t>
            </w:r>
          </w:p>
        </w:tc>
        <w:tc>
          <w:tcPr>
            <w:tcW w:w="3119" w:type="dxa"/>
          </w:tcPr>
          <w:p w14:paraId="31440322" w14:textId="4A47A19F" w:rsidR="007A4A42" w:rsidRPr="007A4A42" w:rsidRDefault="007A4A42" w:rsidP="007A4A42">
            <w:pPr>
              <w:spacing w:after="120"/>
              <w:rPr>
                <w:rFonts w:cs="Arial"/>
                <w:lang w:val="en-GB"/>
              </w:rPr>
            </w:pPr>
            <w:r w:rsidRPr="003131F3">
              <w:rPr>
                <w:rFonts w:cs="Arial"/>
              </w:rPr>
              <w:t>Deputy CEO Partners, Providers and Home and Living</w:t>
            </w:r>
          </w:p>
        </w:tc>
        <w:tc>
          <w:tcPr>
            <w:tcW w:w="2499" w:type="dxa"/>
          </w:tcPr>
          <w:p w14:paraId="19390E4A" w14:textId="39104068" w:rsidR="007A4A42" w:rsidRPr="007A4A42" w:rsidRDefault="007A4A42" w:rsidP="007A4A42">
            <w:pPr>
              <w:spacing w:after="120"/>
              <w:rPr>
                <w:rFonts w:cs="Arial"/>
                <w:lang w:val="en-GB"/>
              </w:rPr>
            </w:pPr>
            <w:r w:rsidRPr="003131F3">
              <w:rPr>
                <w:rFonts w:cs="Arial"/>
              </w:rPr>
              <w:t>Full year</w:t>
            </w:r>
          </w:p>
        </w:tc>
      </w:tr>
      <w:tr w:rsidR="007A4A42" w:rsidRPr="007A4A42" w14:paraId="38995D9C"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69253A2D" w14:textId="3F83A1FC" w:rsidR="007A4A42" w:rsidRPr="007A4A42" w:rsidRDefault="007A4A42" w:rsidP="007A4A42">
            <w:pPr>
              <w:pStyle w:val="TableBody"/>
              <w:spacing w:before="120" w:after="120"/>
              <w:rPr>
                <w:szCs w:val="24"/>
                <w:lang w:val="en-GB"/>
              </w:rPr>
            </w:pPr>
            <w:r w:rsidRPr="003131F3">
              <w:rPr>
                <w:szCs w:val="24"/>
              </w:rPr>
              <w:t xml:space="preserve">Mrs Joan McKenna Kerr </w:t>
            </w:r>
          </w:p>
        </w:tc>
        <w:tc>
          <w:tcPr>
            <w:tcW w:w="3119" w:type="dxa"/>
          </w:tcPr>
          <w:p w14:paraId="5435CD1A" w14:textId="2A901E21" w:rsidR="007A4A42" w:rsidRPr="007A4A42" w:rsidRDefault="007A4A42" w:rsidP="007A4A42">
            <w:pPr>
              <w:spacing w:after="120"/>
              <w:rPr>
                <w:rFonts w:cs="Arial"/>
                <w:lang w:val="en-GB"/>
              </w:rPr>
            </w:pPr>
            <w:r w:rsidRPr="003131F3">
              <w:rPr>
                <w:rFonts w:cs="Arial"/>
              </w:rPr>
              <w:t xml:space="preserve">Board </w:t>
            </w:r>
            <w:r w:rsidR="00CC4A4F">
              <w:rPr>
                <w:rFonts w:cs="Arial"/>
              </w:rPr>
              <w:t>m</w:t>
            </w:r>
            <w:r w:rsidRPr="003131F3">
              <w:rPr>
                <w:rFonts w:cs="Arial"/>
              </w:rPr>
              <w:t>ember</w:t>
            </w:r>
          </w:p>
        </w:tc>
        <w:tc>
          <w:tcPr>
            <w:tcW w:w="2499" w:type="dxa"/>
          </w:tcPr>
          <w:p w14:paraId="2F0A48D8" w14:textId="29738B9D" w:rsidR="007A4A42" w:rsidRPr="007A4A42" w:rsidRDefault="007A4A42" w:rsidP="007A4A42">
            <w:pPr>
              <w:spacing w:after="120"/>
              <w:rPr>
                <w:rFonts w:cs="Arial"/>
                <w:lang w:val="en-GB"/>
              </w:rPr>
            </w:pPr>
            <w:r w:rsidRPr="003131F3">
              <w:rPr>
                <w:rFonts w:cs="Arial"/>
              </w:rPr>
              <w:t>Full year</w:t>
            </w:r>
          </w:p>
        </w:tc>
      </w:tr>
      <w:tr w:rsidR="007A4A42" w:rsidRPr="007A4A42" w14:paraId="244F1EF7" w14:textId="77777777" w:rsidTr="001C0A6D">
        <w:trPr>
          <w:cantSplit/>
        </w:trPr>
        <w:tc>
          <w:tcPr>
            <w:tcW w:w="3397" w:type="dxa"/>
          </w:tcPr>
          <w:p w14:paraId="7057A631" w14:textId="54987F30" w:rsidR="007A4A42" w:rsidRPr="007A4A42" w:rsidRDefault="007A4A42" w:rsidP="007A4A42">
            <w:pPr>
              <w:pStyle w:val="TableBody"/>
              <w:spacing w:before="120" w:after="120"/>
              <w:rPr>
                <w:szCs w:val="24"/>
                <w:lang w:val="en-GB"/>
              </w:rPr>
            </w:pPr>
            <w:r w:rsidRPr="003131F3">
              <w:rPr>
                <w:szCs w:val="24"/>
              </w:rPr>
              <w:t>Ms Corr</w:t>
            </w:r>
            <w:r w:rsidR="00C56323">
              <w:rPr>
                <w:szCs w:val="24"/>
              </w:rPr>
              <w:t>i</w:t>
            </w:r>
            <w:r w:rsidRPr="003131F3">
              <w:rPr>
                <w:szCs w:val="24"/>
              </w:rPr>
              <w:t xml:space="preserve"> McKenzie</w:t>
            </w:r>
          </w:p>
        </w:tc>
        <w:tc>
          <w:tcPr>
            <w:tcW w:w="3119" w:type="dxa"/>
          </w:tcPr>
          <w:p w14:paraId="6D8F863B" w14:textId="6B868B59" w:rsidR="007A4A42" w:rsidRPr="007A4A42" w:rsidRDefault="007A4A42" w:rsidP="007A4A42">
            <w:pPr>
              <w:spacing w:after="120"/>
              <w:rPr>
                <w:rFonts w:cs="Arial"/>
                <w:lang w:val="en-GB"/>
              </w:rPr>
            </w:pPr>
            <w:r w:rsidRPr="003131F3">
              <w:rPr>
                <w:rFonts w:cs="Arial"/>
              </w:rPr>
              <w:t>Deputy CEO Service Design and Improvement</w:t>
            </w:r>
          </w:p>
        </w:tc>
        <w:tc>
          <w:tcPr>
            <w:tcW w:w="2499" w:type="dxa"/>
          </w:tcPr>
          <w:p w14:paraId="361D7CF2" w14:textId="239CBE3C" w:rsidR="007A4A42" w:rsidRPr="007A4A42" w:rsidRDefault="007A4A42" w:rsidP="007A4A42">
            <w:pPr>
              <w:spacing w:after="120"/>
              <w:rPr>
                <w:rFonts w:cs="Arial"/>
                <w:lang w:val="en-GB"/>
              </w:rPr>
            </w:pPr>
            <w:r w:rsidRPr="003131F3">
              <w:rPr>
                <w:rFonts w:cs="Arial"/>
              </w:rPr>
              <w:t>Full year</w:t>
            </w:r>
          </w:p>
        </w:tc>
      </w:tr>
      <w:tr w:rsidR="007A4A42" w:rsidRPr="007A4A42" w14:paraId="4A4F17B6"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66CBCDD1" w14:textId="4F3AC2A9" w:rsidR="007A4A42" w:rsidRPr="007A4A42" w:rsidRDefault="007A4A42" w:rsidP="007A4A42">
            <w:pPr>
              <w:pStyle w:val="TableBody"/>
              <w:spacing w:before="120" w:after="120"/>
              <w:rPr>
                <w:szCs w:val="24"/>
                <w:lang w:val="en-GB"/>
              </w:rPr>
            </w:pPr>
            <w:r w:rsidRPr="003131F3">
              <w:rPr>
                <w:szCs w:val="24"/>
              </w:rPr>
              <w:lastRenderedPageBreak/>
              <w:t xml:space="preserve">Mr Scott McNaughton </w:t>
            </w:r>
          </w:p>
        </w:tc>
        <w:tc>
          <w:tcPr>
            <w:tcW w:w="3119" w:type="dxa"/>
          </w:tcPr>
          <w:p w14:paraId="33A3BA0C" w14:textId="1C4AB672" w:rsidR="007A4A42" w:rsidRPr="007A4A42" w:rsidRDefault="007A4A42" w:rsidP="007A4A42">
            <w:pPr>
              <w:spacing w:after="120"/>
              <w:rPr>
                <w:rFonts w:cs="Arial"/>
                <w:lang w:val="en-GB"/>
              </w:rPr>
            </w:pPr>
            <w:r w:rsidRPr="003131F3">
              <w:rPr>
                <w:rFonts w:cs="Arial"/>
              </w:rPr>
              <w:t>Deputy CEO Service Delivery</w:t>
            </w:r>
          </w:p>
        </w:tc>
        <w:tc>
          <w:tcPr>
            <w:tcW w:w="2499" w:type="dxa"/>
          </w:tcPr>
          <w:p w14:paraId="2B252026" w14:textId="79460036" w:rsidR="007A4A42" w:rsidRPr="007A4A42" w:rsidRDefault="007A4A42" w:rsidP="007A4A42">
            <w:pPr>
              <w:spacing w:after="120"/>
              <w:rPr>
                <w:rFonts w:cs="Arial"/>
                <w:lang w:val="en-GB"/>
              </w:rPr>
            </w:pPr>
            <w:r w:rsidRPr="003131F3">
              <w:rPr>
                <w:rFonts w:cs="Arial"/>
              </w:rPr>
              <w:t>Full year</w:t>
            </w:r>
          </w:p>
        </w:tc>
      </w:tr>
      <w:tr w:rsidR="007A4A42" w:rsidRPr="007A4A42" w14:paraId="1DE9DFA4" w14:textId="77777777" w:rsidTr="001C0A6D">
        <w:trPr>
          <w:cantSplit/>
        </w:trPr>
        <w:tc>
          <w:tcPr>
            <w:tcW w:w="3397" w:type="dxa"/>
          </w:tcPr>
          <w:p w14:paraId="004E5D70" w14:textId="0D831ECB" w:rsidR="007A4A42" w:rsidRPr="007A4A42" w:rsidRDefault="007A4A42" w:rsidP="007A4A42">
            <w:pPr>
              <w:pStyle w:val="TableBody"/>
              <w:spacing w:before="120" w:after="120"/>
              <w:rPr>
                <w:szCs w:val="24"/>
                <w:lang w:val="en-GB"/>
              </w:rPr>
            </w:pPr>
            <w:r w:rsidRPr="003131F3">
              <w:rPr>
                <w:szCs w:val="24"/>
              </w:rPr>
              <w:t>Ms Debbie Mitchell PSM</w:t>
            </w:r>
          </w:p>
        </w:tc>
        <w:tc>
          <w:tcPr>
            <w:tcW w:w="3119" w:type="dxa"/>
          </w:tcPr>
          <w:p w14:paraId="596339EC" w14:textId="7A40F8EE" w:rsidR="007A4A42" w:rsidRPr="007A4A42" w:rsidRDefault="007A4A42" w:rsidP="007A4A42">
            <w:pPr>
              <w:spacing w:after="120"/>
              <w:rPr>
                <w:rFonts w:cs="Arial"/>
                <w:lang w:val="en-GB"/>
              </w:rPr>
            </w:pPr>
            <w:r w:rsidRPr="003131F3">
              <w:rPr>
                <w:rFonts w:cs="Arial"/>
              </w:rPr>
              <w:t>Deputy CEO Governance, Risk and Legal</w:t>
            </w:r>
          </w:p>
        </w:tc>
        <w:tc>
          <w:tcPr>
            <w:tcW w:w="2499" w:type="dxa"/>
          </w:tcPr>
          <w:p w14:paraId="4EB20154" w14:textId="299AC297" w:rsidR="007A4A42" w:rsidRPr="007A4A42" w:rsidRDefault="007A4A42" w:rsidP="007A4A42">
            <w:pPr>
              <w:spacing w:after="120"/>
              <w:rPr>
                <w:rFonts w:cs="Arial"/>
                <w:lang w:val="en-GB"/>
              </w:rPr>
            </w:pPr>
            <w:r w:rsidRPr="003131F3">
              <w:rPr>
                <w:rFonts w:cs="Arial"/>
              </w:rPr>
              <w:t>Full year</w:t>
            </w:r>
          </w:p>
        </w:tc>
      </w:tr>
      <w:tr w:rsidR="007A4A42" w:rsidRPr="007A4A42" w14:paraId="64C89CEE"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142AB8F1" w14:textId="3127E5B6" w:rsidR="007A4A42" w:rsidRPr="007A4A42" w:rsidRDefault="007A4A42" w:rsidP="007A4A42">
            <w:pPr>
              <w:pStyle w:val="TableBody"/>
              <w:spacing w:before="120" w:after="120"/>
              <w:rPr>
                <w:szCs w:val="24"/>
                <w:lang w:val="en-GB"/>
              </w:rPr>
            </w:pPr>
            <w:r w:rsidRPr="003131F3">
              <w:rPr>
                <w:szCs w:val="24"/>
              </w:rPr>
              <w:t xml:space="preserve">Ms Janine Marie Mohamed </w:t>
            </w:r>
          </w:p>
        </w:tc>
        <w:tc>
          <w:tcPr>
            <w:tcW w:w="3119" w:type="dxa"/>
          </w:tcPr>
          <w:p w14:paraId="4605A488" w14:textId="62A43C33" w:rsidR="007A4A42" w:rsidRPr="007A4A42" w:rsidRDefault="007A4A42" w:rsidP="007A4A42">
            <w:pPr>
              <w:spacing w:after="120"/>
              <w:rPr>
                <w:rFonts w:cs="Arial"/>
                <w:lang w:val="en-GB"/>
              </w:rPr>
            </w:pPr>
            <w:r w:rsidRPr="003131F3">
              <w:rPr>
                <w:rFonts w:cs="Arial"/>
              </w:rPr>
              <w:t>Deputy CEO First Nations</w:t>
            </w:r>
          </w:p>
        </w:tc>
        <w:tc>
          <w:tcPr>
            <w:tcW w:w="2499" w:type="dxa"/>
          </w:tcPr>
          <w:p w14:paraId="6185CAF9" w14:textId="3162BEB8" w:rsidR="007A4A42" w:rsidRPr="007A4A42" w:rsidRDefault="007A4A42" w:rsidP="007A4A42">
            <w:pPr>
              <w:spacing w:after="120"/>
              <w:rPr>
                <w:rFonts w:cs="Arial"/>
                <w:lang w:val="en-GB"/>
              </w:rPr>
            </w:pPr>
            <w:r w:rsidRPr="003131F3">
              <w:rPr>
                <w:rFonts w:cs="Arial"/>
              </w:rPr>
              <w:t xml:space="preserve">Part-year – </w:t>
            </w:r>
            <w:r w:rsidR="004364A0">
              <w:rPr>
                <w:rFonts w:cs="Arial"/>
              </w:rPr>
              <w:t>a</w:t>
            </w:r>
            <w:r w:rsidRPr="003131F3">
              <w:rPr>
                <w:rFonts w:cs="Arial"/>
              </w:rPr>
              <w:t>ppointed 8</w:t>
            </w:r>
            <w:r w:rsidR="004364A0">
              <w:rPr>
                <w:rFonts w:cs="Arial"/>
              </w:rPr>
              <w:t xml:space="preserve"> April </w:t>
            </w:r>
            <w:r w:rsidRPr="003131F3">
              <w:rPr>
                <w:rFonts w:cs="Arial"/>
              </w:rPr>
              <w:t>2024</w:t>
            </w:r>
          </w:p>
        </w:tc>
      </w:tr>
      <w:tr w:rsidR="007A4A42" w:rsidRPr="007A4A42" w14:paraId="5AEF3983" w14:textId="77777777" w:rsidTr="001C0A6D">
        <w:trPr>
          <w:cantSplit/>
        </w:trPr>
        <w:tc>
          <w:tcPr>
            <w:tcW w:w="3397" w:type="dxa"/>
          </w:tcPr>
          <w:p w14:paraId="770C7E79" w14:textId="76376A85" w:rsidR="007A4A42" w:rsidRPr="007A4A42" w:rsidRDefault="007A4A42" w:rsidP="007A4A42">
            <w:pPr>
              <w:pStyle w:val="TableBody"/>
              <w:spacing w:before="120" w:after="120"/>
              <w:rPr>
                <w:szCs w:val="24"/>
                <w:lang w:val="en-GB"/>
              </w:rPr>
            </w:pPr>
            <w:r w:rsidRPr="003131F3">
              <w:rPr>
                <w:szCs w:val="24"/>
              </w:rPr>
              <w:t>Dr Denis Napthine AO</w:t>
            </w:r>
          </w:p>
        </w:tc>
        <w:tc>
          <w:tcPr>
            <w:tcW w:w="3119" w:type="dxa"/>
          </w:tcPr>
          <w:p w14:paraId="355CDEF2" w14:textId="36B573CB" w:rsidR="007A4A42" w:rsidRPr="007A4A42" w:rsidRDefault="007A4A42" w:rsidP="007A4A42">
            <w:pPr>
              <w:spacing w:after="120"/>
              <w:rPr>
                <w:rFonts w:cs="Arial"/>
                <w:lang w:val="en-GB"/>
              </w:rPr>
            </w:pPr>
            <w:r w:rsidRPr="003131F3">
              <w:rPr>
                <w:rFonts w:cs="Arial"/>
              </w:rPr>
              <w:t xml:space="preserve">Board </w:t>
            </w:r>
            <w:r w:rsidR="009714A8">
              <w:rPr>
                <w:rFonts w:cs="Arial"/>
              </w:rPr>
              <w:t>m</w:t>
            </w:r>
            <w:r w:rsidRPr="003131F3">
              <w:rPr>
                <w:rFonts w:cs="Arial"/>
              </w:rPr>
              <w:t>ember</w:t>
            </w:r>
          </w:p>
        </w:tc>
        <w:tc>
          <w:tcPr>
            <w:tcW w:w="2499" w:type="dxa"/>
          </w:tcPr>
          <w:p w14:paraId="46E1AE79" w14:textId="2A23F095" w:rsidR="007A4A42" w:rsidRPr="007A4A42" w:rsidRDefault="007A4A42" w:rsidP="007A4A42">
            <w:pPr>
              <w:spacing w:after="120"/>
              <w:rPr>
                <w:rFonts w:cs="Arial"/>
                <w:lang w:val="en-GB"/>
              </w:rPr>
            </w:pPr>
            <w:r w:rsidRPr="003131F3">
              <w:rPr>
                <w:rFonts w:cs="Arial"/>
              </w:rPr>
              <w:t>Full year</w:t>
            </w:r>
          </w:p>
        </w:tc>
      </w:tr>
      <w:tr w:rsidR="007A4A42" w:rsidRPr="007A4A42" w14:paraId="6E11EE45"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1CC10457" w14:textId="3FD14E9C" w:rsidR="007A4A42" w:rsidRPr="007A4A42" w:rsidRDefault="007A4A42" w:rsidP="007A4A42">
            <w:pPr>
              <w:pStyle w:val="TableBody"/>
              <w:spacing w:before="120" w:after="120"/>
              <w:rPr>
                <w:szCs w:val="24"/>
                <w:lang w:val="en-GB"/>
              </w:rPr>
            </w:pPr>
            <w:r w:rsidRPr="003131F3">
              <w:rPr>
                <w:szCs w:val="24"/>
              </w:rPr>
              <w:t>Ms Estelle Pearson</w:t>
            </w:r>
          </w:p>
        </w:tc>
        <w:tc>
          <w:tcPr>
            <w:tcW w:w="3119" w:type="dxa"/>
          </w:tcPr>
          <w:p w14:paraId="33D04517" w14:textId="5BC17F47" w:rsidR="007A4A42" w:rsidRPr="007A4A42" w:rsidRDefault="007A4A42" w:rsidP="007A4A42">
            <w:pPr>
              <w:spacing w:after="120"/>
              <w:rPr>
                <w:rFonts w:cs="Arial"/>
                <w:lang w:val="en-GB"/>
              </w:rPr>
            </w:pPr>
            <w:r w:rsidRPr="003131F3">
              <w:rPr>
                <w:rFonts w:cs="Arial"/>
              </w:rPr>
              <w:t>Board Member</w:t>
            </w:r>
          </w:p>
        </w:tc>
        <w:tc>
          <w:tcPr>
            <w:tcW w:w="2499" w:type="dxa"/>
          </w:tcPr>
          <w:p w14:paraId="57F741C5" w14:textId="66A30124" w:rsidR="007A4A42" w:rsidRPr="007A4A42" w:rsidRDefault="007A4A42" w:rsidP="007A4A42">
            <w:pPr>
              <w:spacing w:after="120"/>
              <w:rPr>
                <w:rFonts w:cs="Arial"/>
                <w:lang w:val="en-GB"/>
              </w:rPr>
            </w:pPr>
            <w:r w:rsidRPr="003131F3">
              <w:rPr>
                <w:rFonts w:cs="Arial"/>
              </w:rPr>
              <w:t xml:space="preserve">Part-year – </w:t>
            </w:r>
            <w:r w:rsidR="004364A0">
              <w:rPr>
                <w:rFonts w:cs="Arial"/>
              </w:rPr>
              <w:t>a</w:t>
            </w:r>
            <w:r w:rsidRPr="003131F3">
              <w:rPr>
                <w:rFonts w:cs="Arial"/>
              </w:rPr>
              <w:t>ppointed 11</w:t>
            </w:r>
            <w:r w:rsidR="004364A0">
              <w:rPr>
                <w:rFonts w:cs="Arial"/>
              </w:rPr>
              <w:t xml:space="preserve"> July </w:t>
            </w:r>
            <w:r w:rsidRPr="003131F3">
              <w:rPr>
                <w:rFonts w:cs="Arial"/>
              </w:rPr>
              <w:t>2023</w:t>
            </w:r>
          </w:p>
        </w:tc>
      </w:tr>
      <w:tr w:rsidR="007A4A42" w:rsidRPr="007A4A42" w14:paraId="415D5F28" w14:textId="77777777" w:rsidTr="001C0A6D">
        <w:trPr>
          <w:cantSplit/>
        </w:trPr>
        <w:tc>
          <w:tcPr>
            <w:tcW w:w="3397" w:type="dxa"/>
          </w:tcPr>
          <w:p w14:paraId="4A809575" w14:textId="15F997E1" w:rsidR="007A4A42" w:rsidRPr="007A4A42" w:rsidRDefault="007A4A42" w:rsidP="007A4A42">
            <w:pPr>
              <w:pStyle w:val="TableBody"/>
              <w:spacing w:before="120" w:after="120"/>
              <w:rPr>
                <w:szCs w:val="24"/>
                <w:lang w:val="en-GB"/>
              </w:rPr>
            </w:pPr>
            <w:r w:rsidRPr="003131F3">
              <w:rPr>
                <w:szCs w:val="24"/>
              </w:rPr>
              <w:t>Mr Samuel Porter</w:t>
            </w:r>
          </w:p>
        </w:tc>
        <w:tc>
          <w:tcPr>
            <w:tcW w:w="3119" w:type="dxa"/>
          </w:tcPr>
          <w:p w14:paraId="41F281D8" w14:textId="6AE199D2" w:rsidR="007A4A42" w:rsidRPr="007A4A42" w:rsidRDefault="007A4A42" w:rsidP="007A4A42">
            <w:pPr>
              <w:spacing w:after="120"/>
              <w:rPr>
                <w:rFonts w:cs="Arial"/>
                <w:lang w:val="en-GB"/>
              </w:rPr>
            </w:pPr>
            <w:r w:rsidRPr="003131F3">
              <w:rPr>
                <w:rFonts w:cs="Arial"/>
              </w:rPr>
              <w:t>Deputy CEO Enabling Services</w:t>
            </w:r>
            <w:r w:rsidR="00421CBC">
              <w:rPr>
                <w:rFonts w:cs="Arial"/>
              </w:rPr>
              <w:t xml:space="preserve"> </w:t>
            </w:r>
            <w:r w:rsidRPr="003131F3">
              <w:rPr>
                <w:rFonts w:cs="Arial"/>
              </w:rPr>
              <w:t>/</w:t>
            </w:r>
            <w:r w:rsidR="00421CBC">
              <w:rPr>
                <w:rFonts w:cs="Arial"/>
              </w:rPr>
              <w:t xml:space="preserve"> </w:t>
            </w:r>
            <w:r w:rsidRPr="003131F3">
              <w:rPr>
                <w:rFonts w:cs="Arial"/>
              </w:rPr>
              <w:t>Chief Operating Officer</w:t>
            </w:r>
          </w:p>
        </w:tc>
        <w:tc>
          <w:tcPr>
            <w:tcW w:w="2499" w:type="dxa"/>
          </w:tcPr>
          <w:p w14:paraId="0F6C1B3B" w14:textId="0FDE7FC8" w:rsidR="007A4A42" w:rsidRPr="007A4A42" w:rsidRDefault="007A4A42" w:rsidP="007A4A42">
            <w:pPr>
              <w:spacing w:after="120"/>
              <w:rPr>
                <w:rFonts w:cs="Arial"/>
                <w:lang w:val="en-GB"/>
              </w:rPr>
            </w:pPr>
            <w:r w:rsidRPr="003131F3">
              <w:rPr>
                <w:rFonts w:cs="Arial"/>
              </w:rPr>
              <w:t>Full year</w:t>
            </w:r>
          </w:p>
        </w:tc>
      </w:tr>
      <w:tr w:rsidR="007A4A42" w:rsidRPr="007A4A42" w14:paraId="69D9ED83"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778BFE73" w14:textId="65D8D5CC" w:rsidR="007A4A42" w:rsidRPr="007A4A42" w:rsidRDefault="007A4A42" w:rsidP="007A4A42">
            <w:pPr>
              <w:pStyle w:val="TableBody"/>
              <w:spacing w:before="120" w:after="120"/>
              <w:rPr>
                <w:szCs w:val="24"/>
                <w:lang w:val="en-GB"/>
              </w:rPr>
            </w:pPr>
            <w:r w:rsidRPr="003131F3">
              <w:rPr>
                <w:szCs w:val="24"/>
              </w:rPr>
              <w:t>Dr Peta Seaton AM</w:t>
            </w:r>
          </w:p>
        </w:tc>
        <w:tc>
          <w:tcPr>
            <w:tcW w:w="3119" w:type="dxa"/>
          </w:tcPr>
          <w:p w14:paraId="50AD6AFA" w14:textId="1AB487FB" w:rsidR="007A4A42" w:rsidRPr="007A4A42" w:rsidRDefault="007A4A42" w:rsidP="007A4A42">
            <w:pPr>
              <w:spacing w:after="120"/>
              <w:rPr>
                <w:rFonts w:cs="Arial"/>
                <w:lang w:val="en-GB"/>
              </w:rPr>
            </w:pPr>
            <w:r w:rsidRPr="003131F3">
              <w:rPr>
                <w:rFonts w:cs="Arial"/>
              </w:rPr>
              <w:t xml:space="preserve">Board </w:t>
            </w:r>
            <w:r w:rsidR="009714A8">
              <w:rPr>
                <w:rFonts w:cs="Arial"/>
              </w:rPr>
              <w:t>m</w:t>
            </w:r>
            <w:r w:rsidRPr="003131F3">
              <w:rPr>
                <w:rFonts w:cs="Arial"/>
              </w:rPr>
              <w:t>ember</w:t>
            </w:r>
          </w:p>
        </w:tc>
        <w:tc>
          <w:tcPr>
            <w:tcW w:w="2499" w:type="dxa"/>
          </w:tcPr>
          <w:p w14:paraId="27EDD38F" w14:textId="68D418D6" w:rsidR="007A4A42" w:rsidRPr="007A4A42" w:rsidRDefault="007A4A42" w:rsidP="007A4A42">
            <w:pPr>
              <w:spacing w:after="120"/>
              <w:rPr>
                <w:rFonts w:cs="Arial"/>
                <w:lang w:val="en-GB"/>
              </w:rPr>
            </w:pPr>
            <w:r w:rsidRPr="003131F3">
              <w:rPr>
                <w:rFonts w:cs="Arial"/>
              </w:rPr>
              <w:t>Full year</w:t>
            </w:r>
          </w:p>
        </w:tc>
      </w:tr>
      <w:tr w:rsidR="007A4A42" w:rsidRPr="007A4A42" w14:paraId="7FB09074" w14:textId="77777777" w:rsidTr="001C0A6D">
        <w:trPr>
          <w:cantSplit/>
        </w:trPr>
        <w:tc>
          <w:tcPr>
            <w:tcW w:w="3397" w:type="dxa"/>
          </w:tcPr>
          <w:p w14:paraId="2AEBD989" w14:textId="2BC9B950" w:rsidR="007A4A42" w:rsidRPr="007A4A42" w:rsidRDefault="007A4A42" w:rsidP="007A4A42">
            <w:pPr>
              <w:pStyle w:val="TableBody"/>
              <w:spacing w:before="120" w:after="120"/>
              <w:rPr>
                <w:szCs w:val="24"/>
                <w:lang w:val="en-GB"/>
              </w:rPr>
            </w:pPr>
            <w:r w:rsidRPr="003131F3">
              <w:rPr>
                <w:szCs w:val="24"/>
              </w:rPr>
              <w:t>Mr Matthew Swainson</w:t>
            </w:r>
          </w:p>
        </w:tc>
        <w:tc>
          <w:tcPr>
            <w:tcW w:w="3119" w:type="dxa"/>
          </w:tcPr>
          <w:p w14:paraId="35052587" w14:textId="74D6F74B" w:rsidR="007A4A42" w:rsidRPr="007A4A42" w:rsidRDefault="007A4A42" w:rsidP="007A4A42">
            <w:pPr>
              <w:spacing w:after="120"/>
              <w:rPr>
                <w:rFonts w:cs="Arial"/>
                <w:lang w:val="en-GB"/>
              </w:rPr>
            </w:pPr>
            <w:r w:rsidRPr="003131F3">
              <w:rPr>
                <w:rFonts w:cs="Arial"/>
              </w:rPr>
              <w:t>Acting Deputy CEO Governance, Risk and Legal</w:t>
            </w:r>
          </w:p>
        </w:tc>
        <w:tc>
          <w:tcPr>
            <w:tcW w:w="2499" w:type="dxa"/>
          </w:tcPr>
          <w:p w14:paraId="217D6DD5" w14:textId="57BF5E5D" w:rsidR="007A4A42" w:rsidRPr="007A4A42" w:rsidRDefault="007A4A42" w:rsidP="007A4A42">
            <w:pPr>
              <w:spacing w:after="120"/>
              <w:rPr>
                <w:rFonts w:cs="Arial"/>
                <w:lang w:val="en-GB"/>
              </w:rPr>
            </w:pPr>
            <w:r w:rsidRPr="003131F3">
              <w:rPr>
                <w:rFonts w:cs="Arial"/>
              </w:rPr>
              <w:t xml:space="preserve">Part-year – </w:t>
            </w:r>
            <w:r w:rsidR="004364A0">
              <w:rPr>
                <w:rFonts w:cs="Arial"/>
              </w:rPr>
              <w:t>a</w:t>
            </w:r>
            <w:r w:rsidRPr="003131F3">
              <w:rPr>
                <w:rFonts w:cs="Arial"/>
              </w:rPr>
              <w:t>ppointed 2</w:t>
            </w:r>
            <w:r w:rsidR="004364A0">
              <w:rPr>
                <w:rFonts w:cs="Arial"/>
              </w:rPr>
              <w:t xml:space="preserve"> April </w:t>
            </w:r>
            <w:r w:rsidRPr="003131F3">
              <w:rPr>
                <w:rFonts w:cs="Arial"/>
              </w:rPr>
              <w:t>2024</w:t>
            </w:r>
          </w:p>
        </w:tc>
      </w:tr>
      <w:tr w:rsidR="007A4A42" w:rsidRPr="007A4A42" w14:paraId="70963920" w14:textId="77777777" w:rsidTr="001C0A6D">
        <w:trPr>
          <w:cnfStyle w:val="000000100000" w:firstRow="0" w:lastRow="0" w:firstColumn="0" w:lastColumn="0" w:oddVBand="0" w:evenVBand="0" w:oddHBand="1" w:evenHBand="0" w:firstRowFirstColumn="0" w:firstRowLastColumn="0" w:lastRowFirstColumn="0" w:lastRowLastColumn="0"/>
          <w:cantSplit/>
        </w:trPr>
        <w:tc>
          <w:tcPr>
            <w:tcW w:w="3397" w:type="dxa"/>
          </w:tcPr>
          <w:p w14:paraId="780D2238" w14:textId="452BB063" w:rsidR="007A4A42" w:rsidRPr="007A4A42" w:rsidRDefault="007A4A42" w:rsidP="007A4A42">
            <w:pPr>
              <w:pStyle w:val="TableBody"/>
              <w:spacing w:before="120" w:after="120"/>
              <w:rPr>
                <w:szCs w:val="24"/>
                <w:lang w:val="en-GB"/>
              </w:rPr>
            </w:pPr>
            <w:r w:rsidRPr="003131F3">
              <w:rPr>
                <w:szCs w:val="24"/>
              </w:rPr>
              <w:t>Ms Leah van Poppel</w:t>
            </w:r>
          </w:p>
        </w:tc>
        <w:tc>
          <w:tcPr>
            <w:tcW w:w="3119" w:type="dxa"/>
          </w:tcPr>
          <w:p w14:paraId="14F8F95D" w14:textId="6F1798A6" w:rsidR="007A4A42" w:rsidRPr="007A4A42" w:rsidRDefault="007A4A42" w:rsidP="007A4A42">
            <w:pPr>
              <w:spacing w:after="120"/>
              <w:rPr>
                <w:rFonts w:cs="Arial"/>
                <w:lang w:val="en-GB"/>
              </w:rPr>
            </w:pPr>
            <w:r w:rsidRPr="003131F3">
              <w:rPr>
                <w:rFonts w:cs="Arial"/>
              </w:rPr>
              <w:t xml:space="preserve">Board </w:t>
            </w:r>
            <w:r w:rsidR="009714A8">
              <w:rPr>
                <w:rFonts w:cs="Arial"/>
              </w:rPr>
              <w:t>m</w:t>
            </w:r>
            <w:r w:rsidRPr="003131F3">
              <w:rPr>
                <w:rFonts w:cs="Arial"/>
              </w:rPr>
              <w:t>ember</w:t>
            </w:r>
          </w:p>
        </w:tc>
        <w:tc>
          <w:tcPr>
            <w:tcW w:w="2499" w:type="dxa"/>
          </w:tcPr>
          <w:p w14:paraId="2AE6BABA" w14:textId="7190E693" w:rsidR="007A4A42" w:rsidRPr="007A4A42" w:rsidRDefault="007A4A42" w:rsidP="007A4A42">
            <w:pPr>
              <w:spacing w:after="120"/>
              <w:rPr>
                <w:rFonts w:cs="Arial"/>
                <w:lang w:val="en-GB"/>
              </w:rPr>
            </w:pPr>
            <w:r w:rsidRPr="003131F3">
              <w:rPr>
                <w:rFonts w:cs="Arial"/>
              </w:rPr>
              <w:t>Full year</w:t>
            </w:r>
          </w:p>
        </w:tc>
      </w:tr>
    </w:tbl>
    <w:p w14:paraId="131C9EF6" w14:textId="77777777" w:rsidR="008A1E8E" w:rsidRPr="00A33264" w:rsidRDefault="008A1E8E" w:rsidP="00255A26">
      <w:pPr>
        <w:rPr>
          <w:lang w:val="en-GB"/>
        </w:rPr>
      </w:pPr>
    </w:p>
    <w:p w14:paraId="15F496F3" w14:textId="77777777" w:rsidR="0080564E" w:rsidRPr="00A33264" w:rsidRDefault="0080564E" w:rsidP="00255A26">
      <w:pPr>
        <w:pStyle w:val="Heading4"/>
        <w:rPr>
          <w:lang w:val="en-GB"/>
        </w:rPr>
        <w:sectPr w:rsidR="0080564E" w:rsidRPr="00A33264" w:rsidSect="00BF265E">
          <w:footerReference w:type="default" r:id="rId92"/>
          <w:headerReference w:type="first" r:id="rId93"/>
          <w:footerReference w:type="first" r:id="rId94"/>
          <w:pgSz w:w="11906" w:h="16838" w:code="9"/>
          <w:pgMar w:top="1701" w:right="1440" w:bottom="1440" w:left="1440" w:header="561" w:footer="374" w:gutter="0"/>
          <w:cols w:space="708"/>
          <w:titlePg/>
          <w:docGrid w:linePitch="360"/>
        </w:sectPr>
      </w:pPr>
      <w:bookmarkStart w:id="372" w:name="_Toc169592998"/>
    </w:p>
    <w:p w14:paraId="0EEC2469" w14:textId="60455D20" w:rsidR="00255A26" w:rsidRPr="00A33264" w:rsidRDefault="00255A26" w:rsidP="00255A26">
      <w:pPr>
        <w:pStyle w:val="Heading4"/>
        <w:rPr>
          <w:lang w:val="en-GB"/>
        </w:rPr>
      </w:pPr>
      <w:r w:rsidRPr="00A33264">
        <w:rPr>
          <w:lang w:val="en-GB"/>
        </w:rPr>
        <w:lastRenderedPageBreak/>
        <w:t>Information about remuneration of key management personnel</w:t>
      </w:r>
      <w:bookmarkEnd w:id="372"/>
    </w:p>
    <w:p w14:paraId="59D5B34C" w14:textId="601271D6" w:rsidR="001651D3" w:rsidRPr="00A33264" w:rsidRDefault="001651D3" w:rsidP="001651D3">
      <w:pPr>
        <w:rPr>
          <w:lang w:val="en-GB"/>
        </w:rPr>
      </w:pPr>
      <w:r w:rsidRPr="00A33264">
        <w:rPr>
          <w:lang w:val="en-GB"/>
        </w:rPr>
        <w:t xml:space="preserve">The remuneration received or due to be received for each of the NDIA’s key management personnel for 2023–24 is shown in </w:t>
      </w:r>
      <w:r w:rsidR="00591C73">
        <w:rPr>
          <w:lang w:val="en-GB"/>
        </w:rPr>
        <w:t>T</w:t>
      </w:r>
      <w:r w:rsidRPr="00A33264">
        <w:rPr>
          <w:lang w:val="en-GB"/>
        </w:rPr>
        <w:t xml:space="preserve">able </w:t>
      </w:r>
      <w:r w:rsidR="00A27A9C">
        <w:rPr>
          <w:lang w:val="en-GB"/>
        </w:rPr>
        <w:t>11</w:t>
      </w:r>
      <w:r w:rsidRPr="00A33264">
        <w:rPr>
          <w:lang w:val="en-GB"/>
        </w:rPr>
        <w:t>.</w:t>
      </w:r>
    </w:p>
    <w:p w14:paraId="08908A03" w14:textId="3EA5F715" w:rsidR="00255A26" w:rsidRPr="00A33264" w:rsidRDefault="0080564E" w:rsidP="00255A26">
      <w:pPr>
        <w:rPr>
          <w:u w:val="single"/>
          <w:lang w:val="en-GB"/>
        </w:rPr>
      </w:pPr>
      <w:r w:rsidRPr="00A33264">
        <w:rPr>
          <w:u w:val="single"/>
          <w:lang w:val="en-GB"/>
        </w:rPr>
        <w:t xml:space="preserve">Table </w:t>
      </w:r>
      <w:r w:rsidR="00A27A9C">
        <w:rPr>
          <w:u w:val="single"/>
          <w:lang w:val="en-GB"/>
        </w:rPr>
        <w:t>11</w:t>
      </w:r>
      <w:r w:rsidRPr="00A33264">
        <w:rPr>
          <w:u w:val="single"/>
          <w:lang w:val="en-GB"/>
        </w:rPr>
        <w:t>: Key management personnel remuneration</w:t>
      </w:r>
    </w:p>
    <w:tbl>
      <w:tblPr>
        <w:tblW w:w="13650" w:type="dxa"/>
        <w:tblInd w:w="132" w:type="dxa"/>
        <w:tblBorders>
          <w:top w:val="single" w:sz="18" w:space="0" w:color="6B2876" w:themeColor="text1"/>
          <w:left w:val="single" w:sz="18" w:space="0" w:color="6B2876" w:themeColor="text1"/>
          <w:bottom w:val="single" w:sz="18" w:space="0" w:color="6B2876" w:themeColor="text1"/>
          <w:right w:val="single" w:sz="18" w:space="0" w:color="6B2876" w:themeColor="text1"/>
          <w:insideH w:val="single" w:sz="18" w:space="0" w:color="6B2876" w:themeColor="text1"/>
          <w:insideV w:val="single" w:sz="18" w:space="0" w:color="6B2876" w:themeColor="text1"/>
        </w:tblBorders>
        <w:tblLayout w:type="fixed"/>
        <w:tblCellMar>
          <w:top w:w="28" w:type="dxa"/>
          <w:left w:w="28" w:type="dxa"/>
          <w:bottom w:w="28" w:type="dxa"/>
          <w:right w:w="28" w:type="dxa"/>
        </w:tblCellMar>
        <w:tblLook w:val="01E0" w:firstRow="1" w:lastRow="1" w:firstColumn="1" w:lastColumn="1" w:noHBand="0" w:noVBand="0"/>
      </w:tblPr>
      <w:tblGrid>
        <w:gridCol w:w="2134"/>
        <w:gridCol w:w="1842"/>
        <w:gridCol w:w="1134"/>
        <w:gridCol w:w="992"/>
        <w:gridCol w:w="1418"/>
        <w:gridCol w:w="1700"/>
        <w:gridCol w:w="992"/>
        <w:gridCol w:w="1134"/>
        <w:gridCol w:w="1134"/>
        <w:gridCol w:w="1170"/>
      </w:tblGrid>
      <w:tr w:rsidR="0080564E" w:rsidRPr="00A33264" w14:paraId="4EA8854A" w14:textId="77777777" w:rsidTr="004364A0">
        <w:trPr>
          <w:cantSplit/>
          <w:trHeight w:val="2600"/>
          <w:tblHeader/>
        </w:trPr>
        <w:tc>
          <w:tcPr>
            <w:tcW w:w="2134" w:type="dxa"/>
            <w:tcBorders>
              <w:top w:val="single" w:sz="4" w:space="0" w:color="auto"/>
              <w:left w:val="single" w:sz="4" w:space="0" w:color="auto"/>
              <w:bottom w:val="single" w:sz="4" w:space="0" w:color="auto"/>
              <w:right w:val="single" w:sz="4" w:space="0" w:color="F9F9F9" w:themeColor="background1"/>
            </w:tcBorders>
            <w:shd w:val="clear" w:color="auto" w:fill="6B2876" w:themeFill="text1"/>
            <w:textDirection w:val="btLr"/>
            <w:vAlign w:val="center"/>
            <w:hideMark/>
          </w:tcPr>
          <w:p w14:paraId="1EC1DA26" w14:textId="77777777" w:rsidR="0080564E" w:rsidRPr="00A33264" w:rsidRDefault="0080564E" w:rsidP="001C0A6D">
            <w:pPr>
              <w:spacing w:after="0"/>
              <w:ind w:left="113" w:right="113"/>
              <w:rPr>
                <w:b/>
                <w:color w:val="F9F9F9" w:themeColor="background1"/>
                <w:lang w:val="en-GB"/>
              </w:rPr>
            </w:pPr>
            <w:bookmarkStart w:id="373" w:name="ColumnTitle_Table11"/>
            <w:bookmarkEnd w:id="373"/>
            <w:r w:rsidRPr="00A33264">
              <w:rPr>
                <w:b/>
                <w:color w:val="F9F9F9" w:themeColor="background1"/>
                <w:lang w:val="en-GB"/>
              </w:rPr>
              <w:t>Name</w:t>
            </w:r>
          </w:p>
        </w:tc>
        <w:tc>
          <w:tcPr>
            <w:tcW w:w="1842"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0DDA98EF" w14:textId="77777777"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Position title</w:t>
            </w:r>
          </w:p>
        </w:tc>
        <w:tc>
          <w:tcPr>
            <w:tcW w:w="1134"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1629B3FC" w14:textId="77777777"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Short-term benefits Base salary</w:t>
            </w:r>
          </w:p>
        </w:tc>
        <w:tc>
          <w:tcPr>
            <w:tcW w:w="992"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58EA9600" w14:textId="77777777"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Short-term benefits Bonuses</w:t>
            </w:r>
          </w:p>
        </w:tc>
        <w:tc>
          <w:tcPr>
            <w:tcW w:w="1418"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3A895478" w14:textId="77777777"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Short-term benefits Other benefits and allowances</w:t>
            </w:r>
          </w:p>
        </w:tc>
        <w:tc>
          <w:tcPr>
            <w:tcW w:w="1700"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417A4A99" w14:textId="77777777"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Post-employment benefits Superannuation contributions</w:t>
            </w:r>
          </w:p>
        </w:tc>
        <w:tc>
          <w:tcPr>
            <w:tcW w:w="992"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0B8CA29B" w14:textId="69A0B813"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Other long-term benefits</w:t>
            </w:r>
            <w:r w:rsidR="000B030C">
              <w:rPr>
                <w:b/>
                <w:color w:val="F9F9F9" w:themeColor="background1"/>
                <w:lang w:val="en-GB"/>
              </w:rPr>
              <w:t xml:space="preserve"> – </w:t>
            </w:r>
            <w:r w:rsidR="00591C73">
              <w:rPr>
                <w:b/>
                <w:color w:val="F9F9F9" w:themeColor="background1"/>
                <w:lang w:val="en-GB"/>
              </w:rPr>
              <w:t>l</w:t>
            </w:r>
            <w:r w:rsidRPr="00A33264">
              <w:rPr>
                <w:b/>
                <w:color w:val="F9F9F9" w:themeColor="background1"/>
                <w:lang w:val="en-GB"/>
              </w:rPr>
              <w:t>ong service leave</w:t>
            </w:r>
          </w:p>
        </w:tc>
        <w:tc>
          <w:tcPr>
            <w:tcW w:w="1134"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2D46D1AD" w14:textId="79A80B02" w:rsidR="0080564E" w:rsidRPr="00A33264" w:rsidRDefault="0080564E" w:rsidP="001C0A6D">
            <w:pPr>
              <w:spacing w:after="0"/>
              <w:ind w:left="113" w:right="113"/>
              <w:rPr>
                <w:b/>
                <w:color w:val="F9F9F9" w:themeColor="background1"/>
                <w:lang w:val="en-GB"/>
              </w:rPr>
            </w:pPr>
            <w:r w:rsidRPr="00A33264">
              <w:rPr>
                <w:b/>
                <w:color w:val="F9F9F9" w:themeColor="background1"/>
                <w:lang w:val="en-GB"/>
              </w:rPr>
              <w:t>Other long-term benefits</w:t>
            </w:r>
          </w:p>
        </w:tc>
        <w:tc>
          <w:tcPr>
            <w:tcW w:w="1134"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10E6AAA0" w14:textId="77777777" w:rsidR="0080564E" w:rsidRPr="00A33264" w:rsidRDefault="0080564E" w:rsidP="001C0A6D">
            <w:pPr>
              <w:spacing w:after="0"/>
              <w:ind w:left="113" w:right="113"/>
              <w:rPr>
                <w:color w:val="F9F9F9" w:themeColor="background1"/>
                <w:lang w:val="en-GB"/>
              </w:rPr>
            </w:pPr>
            <w:r w:rsidRPr="00A33264">
              <w:rPr>
                <w:b/>
                <w:color w:val="F9F9F9" w:themeColor="background1"/>
                <w:lang w:val="en-GB"/>
              </w:rPr>
              <w:t>Termination benefits</w:t>
            </w:r>
          </w:p>
        </w:tc>
        <w:tc>
          <w:tcPr>
            <w:tcW w:w="1170" w:type="dxa"/>
            <w:tcBorders>
              <w:top w:val="single" w:sz="4" w:space="0" w:color="auto"/>
              <w:left w:val="single" w:sz="4" w:space="0" w:color="F9F9F9" w:themeColor="background1"/>
              <w:bottom w:val="single" w:sz="4" w:space="0" w:color="auto"/>
              <w:right w:val="single" w:sz="4" w:space="0" w:color="auto"/>
            </w:tcBorders>
            <w:shd w:val="clear" w:color="auto" w:fill="6B2876" w:themeFill="text1"/>
            <w:textDirection w:val="btLr"/>
            <w:vAlign w:val="center"/>
            <w:hideMark/>
          </w:tcPr>
          <w:p w14:paraId="7C2C6841" w14:textId="77777777" w:rsidR="0080564E" w:rsidRPr="00A33264" w:rsidRDefault="0080564E" w:rsidP="001C0A6D">
            <w:pPr>
              <w:spacing w:after="0"/>
              <w:ind w:left="113" w:right="113"/>
              <w:rPr>
                <w:color w:val="F9F9F9" w:themeColor="background1"/>
                <w:lang w:val="en-GB"/>
              </w:rPr>
            </w:pPr>
            <w:r w:rsidRPr="00A33264">
              <w:rPr>
                <w:b/>
                <w:color w:val="F9F9F9" w:themeColor="background1"/>
                <w:lang w:val="en-GB"/>
              </w:rPr>
              <w:t>Total remuneration</w:t>
            </w:r>
          </w:p>
        </w:tc>
      </w:tr>
      <w:tr w:rsidR="0080564E" w:rsidRPr="00A33264" w14:paraId="705B28A0" w14:textId="77777777" w:rsidTr="004364A0">
        <w:trPr>
          <w:trHeight w:val="289"/>
        </w:trPr>
        <w:tc>
          <w:tcPr>
            <w:tcW w:w="2134" w:type="dxa"/>
            <w:tcBorders>
              <w:top w:val="single" w:sz="4"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20E5581" w14:textId="77777777" w:rsidR="0080564E" w:rsidRPr="00A33264" w:rsidRDefault="0080564E" w:rsidP="0080564E">
            <w:pPr>
              <w:rPr>
                <w:lang w:val="en-GB"/>
              </w:rPr>
            </w:pPr>
            <w:r w:rsidRPr="00A33264">
              <w:rPr>
                <w:lang w:val="en-GB"/>
              </w:rPr>
              <w:t>Ms Meredith Allan</w:t>
            </w:r>
          </w:p>
        </w:tc>
        <w:tc>
          <w:tcPr>
            <w:tcW w:w="1842"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6AF305BC" w14:textId="1C7748A0" w:rsidR="0080564E" w:rsidRPr="00A33264" w:rsidRDefault="0080564E" w:rsidP="0080564E">
            <w:pPr>
              <w:rPr>
                <w:lang w:val="en-GB"/>
              </w:rPr>
            </w:pPr>
            <w:r w:rsidRPr="00A33264">
              <w:rPr>
                <w:lang w:val="en-GB"/>
              </w:rPr>
              <w:t xml:space="preserve">Board </w:t>
            </w:r>
            <w:r w:rsidR="0001689B">
              <w:rPr>
                <w:lang w:val="en-GB"/>
              </w:rPr>
              <w:t>m</w:t>
            </w:r>
            <w:r w:rsidRPr="00A33264">
              <w:rPr>
                <w:lang w:val="en-GB"/>
              </w:rPr>
              <w:t>ember</w:t>
            </w:r>
          </w:p>
        </w:tc>
        <w:tc>
          <w:tcPr>
            <w:tcW w:w="1134"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082FEF44" w14:textId="77777777" w:rsidR="0080564E" w:rsidRPr="00A33264" w:rsidRDefault="0080564E" w:rsidP="00FD3D46">
            <w:pPr>
              <w:jc w:val="right"/>
              <w:rPr>
                <w:lang w:val="en-GB"/>
              </w:rPr>
            </w:pPr>
            <w:r w:rsidRPr="00A33264">
              <w:rPr>
                <w:lang w:val="en-GB"/>
              </w:rPr>
              <w:t>83,712</w:t>
            </w:r>
          </w:p>
        </w:tc>
        <w:tc>
          <w:tcPr>
            <w:tcW w:w="992"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31FAC1D2" w14:textId="4736885A" w:rsidR="0080564E" w:rsidRPr="00A33264" w:rsidRDefault="0080564E" w:rsidP="00FD3D46">
            <w:pPr>
              <w:jc w:val="right"/>
              <w:rPr>
                <w:lang w:val="en-GB"/>
              </w:rPr>
            </w:pPr>
            <w:r w:rsidRPr="00A33264">
              <w:rPr>
                <w:lang w:val="en-GB"/>
              </w:rPr>
              <w:t>0</w:t>
            </w:r>
          </w:p>
        </w:tc>
        <w:tc>
          <w:tcPr>
            <w:tcW w:w="1418"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7BEA5F04" w14:textId="6986DF26" w:rsidR="0080564E" w:rsidRPr="00A33264" w:rsidRDefault="0080564E" w:rsidP="00FD3D46">
            <w:pPr>
              <w:jc w:val="right"/>
              <w:rPr>
                <w:lang w:val="en-GB"/>
              </w:rPr>
            </w:pPr>
            <w:r w:rsidRPr="00A33264">
              <w:rPr>
                <w:lang w:val="en-GB"/>
              </w:rPr>
              <w:t>0</w:t>
            </w:r>
          </w:p>
        </w:tc>
        <w:tc>
          <w:tcPr>
            <w:tcW w:w="1700"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694C1277" w14:textId="74EE6BDF" w:rsidR="0080564E" w:rsidRPr="00A33264" w:rsidRDefault="0080564E" w:rsidP="00FD3D46">
            <w:pPr>
              <w:jc w:val="right"/>
              <w:rPr>
                <w:lang w:val="en-GB"/>
              </w:rPr>
            </w:pPr>
            <w:r w:rsidRPr="00A33264">
              <w:rPr>
                <w:lang w:val="en-GB"/>
              </w:rPr>
              <w:t>12,89</w:t>
            </w:r>
            <w:r w:rsidR="009023D0">
              <w:rPr>
                <w:lang w:val="en-GB"/>
              </w:rPr>
              <w:t>1</w:t>
            </w:r>
          </w:p>
        </w:tc>
        <w:tc>
          <w:tcPr>
            <w:tcW w:w="992"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266D3C5E" w14:textId="05FCBD34" w:rsidR="0080564E" w:rsidRPr="00A33264" w:rsidRDefault="0080564E" w:rsidP="00FD3D46">
            <w:pPr>
              <w:jc w:val="right"/>
              <w:rPr>
                <w:lang w:val="en-GB"/>
              </w:rPr>
            </w:pPr>
            <w:r w:rsidRPr="00A33264">
              <w:rPr>
                <w:lang w:val="en-GB"/>
              </w:rPr>
              <w:t>0</w:t>
            </w:r>
          </w:p>
        </w:tc>
        <w:tc>
          <w:tcPr>
            <w:tcW w:w="1134"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47B1B385" w14:textId="4B2B87F5" w:rsidR="0080564E" w:rsidRPr="00A33264" w:rsidRDefault="0080564E" w:rsidP="00FD3D46">
            <w:pPr>
              <w:jc w:val="right"/>
              <w:rPr>
                <w:lang w:val="en-GB"/>
              </w:rPr>
            </w:pPr>
            <w:r w:rsidRPr="00A33264">
              <w:rPr>
                <w:lang w:val="en-GB"/>
              </w:rPr>
              <w:t>0</w:t>
            </w:r>
          </w:p>
        </w:tc>
        <w:tc>
          <w:tcPr>
            <w:tcW w:w="1134"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0740D933" w14:textId="1FD2632C" w:rsidR="0080564E" w:rsidRPr="00A33264" w:rsidRDefault="0080564E" w:rsidP="00FD3D46">
            <w:pPr>
              <w:jc w:val="right"/>
              <w:rPr>
                <w:lang w:val="en-GB"/>
              </w:rPr>
            </w:pPr>
            <w:r w:rsidRPr="00A33264">
              <w:rPr>
                <w:lang w:val="en-GB"/>
              </w:rPr>
              <w:t>0</w:t>
            </w:r>
          </w:p>
        </w:tc>
        <w:tc>
          <w:tcPr>
            <w:tcW w:w="1170" w:type="dxa"/>
            <w:tcBorders>
              <w:top w:val="single" w:sz="4" w:space="0" w:color="auto"/>
              <w:left w:val="single" w:sz="8" w:space="0" w:color="6B2876" w:themeColor="text1"/>
              <w:bottom w:val="single" w:sz="8" w:space="0" w:color="6B2876" w:themeColor="text1"/>
              <w:right w:val="single" w:sz="8" w:space="0" w:color="6B2876" w:themeColor="text1"/>
            </w:tcBorders>
            <w:shd w:val="clear" w:color="auto" w:fill="F7EEF7"/>
            <w:hideMark/>
          </w:tcPr>
          <w:p w14:paraId="5DD931DF" w14:textId="77777777" w:rsidR="0080564E" w:rsidRPr="00A33264" w:rsidRDefault="0080564E" w:rsidP="00FD3D46">
            <w:pPr>
              <w:jc w:val="right"/>
              <w:rPr>
                <w:b/>
                <w:bCs/>
                <w:lang w:val="en-GB"/>
              </w:rPr>
            </w:pPr>
            <w:r w:rsidRPr="00A33264">
              <w:rPr>
                <w:lang w:val="en-GB"/>
              </w:rPr>
              <w:t>96,603</w:t>
            </w:r>
          </w:p>
        </w:tc>
      </w:tr>
      <w:tr w:rsidR="0080564E" w:rsidRPr="00A33264" w14:paraId="3A9F050F"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432828D" w14:textId="77777777" w:rsidR="0080564E" w:rsidRPr="00A33264" w:rsidRDefault="0080564E" w:rsidP="0080564E">
            <w:pPr>
              <w:rPr>
                <w:lang w:val="en-GB"/>
              </w:rPr>
            </w:pPr>
            <w:r w:rsidRPr="00A33264">
              <w:rPr>
                <w:lang w:val="en-GB"/>
              </w:rPr>
              <w:t xml:space="preserve">Mr John Dardaneliotis </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0C741F3" w14:textId="77777777" w:rsidR="0080564E" w:rsidRPr="00A33264" w:rsidRDefault="0080564E" w:rsidP="0080564E">
            <w:pPr>
              <w:rPr>
                <w:lang w:val="en-GB"/>
              </w:rPr>
            </w:pPr>
            <w:r w:rsidRPr="00A33264">
              <w:rPr>
                <w:lang w:val="en-GB"/>
              </w:rPr>
              <w:t>Deputy CEO Integrity Transformation and Fraud Fusion Taskforce</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0739E252" w14:textId="77777777" w:rsidR="0080564E" w:rsidRPr="00A33264" w:rsidRDefault="0080564E" w:rsidP="00FD3D46">
            <w:pPr>
              <w:jc w:val="right"/>
              <w:rPr>
                <w:lang w:val="en-GB"/>
              </w:rPr>
            </w:pPr>
            <w:r w:rsidRPr="00A33264">
              <w:rPr>
                <w:lang w:val="en-GB"/>
              </w:rPr>
              <w:t>441,250</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2AC0B80" w14:textId="7F117210"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D4211AE" w14:textId="79AD48DD" w:rsidR="0080564E" w:rsidRPr="00A33264" w:rsidRDefault="0080564E" w:rsidP="00FD3D46">
            <w:pPr>
              <w:jc w:val="right"/>
              <w:rPr>
                <w:lang w:val="en-GB"/>
              </w:rPr>
            </w:pPr>
            <w:r w:rsidRPr="00A33264">
              <w:rPr>
                <w:lang w:val="en-GB"/>
              </w:rPr>
              <w:t>2,64</w:t>
            </w:r>
            <w:r w:rsidR="009023D0">
              <w:rPr>
                <w:lang w:val="en-GB"/>
              </w:rPr>
              <w:t>3</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AAD146E" w14:textId="77777777" w:rsidR="0080564E" w:rsidRPr="00A33264" w:rsidRDefault="0080564E" w:rsidP="00FD3D46">
            <w:pPr>
              <w:jc w:val="right"/>
              <w:rPr>
                <w:lang w:val="en-GB"/>
              </w:rPr>
            </w:pPr>
            <w:r w:rsidRPr="00A33264">
              <w:rPr>
                <w:lang w:val="en-GB"/>
              </w:rPr>
              <w:t>76,112</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CF5A018" w14:textId="77777777" w:rsidR="0080564E" w:rsidRPr="00A33264" w:rsidRDefault="0080564E" w:rsidP="00FD3D46">
            <w:pPr>
              <w:jc w:val="right"/>
              <w:rPr>
                <w:lang w:val="en-GB"/>
              </w:rPr>
            </w:pPr>
            <w:r w:rsidRPr="00A33264">
              <w:rPr>
                <w:lang w:val="en-GB"/>
              </w:rPr>
              <w:t>10,878</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60B9448" w14:textId="3832C178"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54466A5" w14:textId="7C2D27A7"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C22B5A3" w14:textId="77777777" w:rsidR="0080564E" w:rsidRPr="00A33264" w:rsidRDefault="0080564E" w:rsidP="00FD3D46">
            <w:pPr>
              <w:jc w:val="right"/>
              <w:rPr>
                <w:b/>
                <w:bCs/>
                <w:lang w:val="en-GB"/>
              </w:rPr>
            </w:pPr>
            <w:r w:rsidRPr="00A33264">
              <w:rPr>
                <w:lang w:val="en-GB"/>
              </w:rPr>
              <w:t>530,883</w:t>
            </w:r>
          </w:p>
        </w:tc>
      </w:tr>
      <w:tr w:rsidR="0080564E" w:rsidRPr="00A33264" w14:paraId="2228C89B"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191D7EF" w14:textId="41DAA29D" w:rsidR="0080564E" w:rsidRPr="00A33264" w:rsidRDefault="0080564E" w:rsidP="0080564E">
            <w:pPr>
              <w:rPr>
                <w:lang w:val="en-GB"/>
              </w:rPr>
            </w:pPr>
            <w:r w:rsidRPr="00A33264">
              <w:rPr>
                <w:lang w:val="en-GB"/>
              </w:rPr>
              <w:t xml:space="preserve">Mr Asimakis </w:t>
            </w:r>
            <w:r w:rsidR="009023D0">
              <w:rPr>
                <w:lang w:val="en-GB"/>
              </w:rPr>
              <w:t xml:space="preserve">(Mark) </w:t>
            </w:r>
            <w:r w:rsidRPr="00A33264">
              <w:rPr>
                <w:lang w:val="en-GB"/>
              </w:rPr>
              <w:t>Darras</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315AA3D" w14:textId="4431482C"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130CBC5" w14:textId="77777777" w:rsidR="0080564E" w:rsidRPr="00A33264" w:rsidRDefault="0080564E" w:rsidP="00FD3D46">
            <w:pPr>
              <w:jc w:val="right"/>
              <w:rPr>
                <w:lang w:val="en-GB"/>
              </w:rPr>
            </w:pPr>
            <w:r w:rsidRPr="00A33264">
              <w:rPr>
                <w:lang w:val="en-GB"/>
              </w:rPr>
              <w:t>47,720</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805E8D5" w14:textId="3FED8FF1"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5C209ED" w14:textId="6BE8037E"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003802C" w14:textId="77777777" w:rsidR="0080564E" w:rsidRPr="00A33264" w:rsidRDefault="0080564E" w:rsidP="00FD3D46">
            <w:pPr>
              <w:jc w:val="right"/>
              <w:rPr>
                <w:lang w:val="en-GB"/>
              </w:rPr>
            </w:pPr>
            <w:r w:rsidRPr="00A33264">
              <w:rPr>
                <w:lang w:val="en-GB"/>
              </w:rPr>
              <w:t>6,931</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158DEDE" w14:textId="70608E38"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96ABE0C" w14:textId="48B51DCB"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F098C34" w14:textId="6CD8C4BB"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C54896D" w14:textId="77777777" w:rsidR="0080564E" w:rsidRPr="00A33264" w:rsidRDefault="0080564E" w:rsidP="00FD3D46">
            <w:pPr>
              <w:jc w:val="right"/>
              <w:rPr>
                <w:b/>
                <w:bCs/>
                <w:lang w:val="en-GB"/>
              </w:rPr>
            </w:pPr>
            <w:r w:rsidRPr="00A33264">
              <w:rPr>
                <w:lang w:val="en-GB"/>
              </w:rPr>
              <w:t>54,651</w:t>
            </w:r>
          </w:p>
        </w:tc>
      </w:tr>
      <w:tr w:rsidR="0080564E" w:rsidRPr="00A33264" w14:paraId="03287BC1"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1A4AA05" w14:textId="77777777" w:rsidR="0080564E" w:rsidRPr="00A33264" w:rsidRDefault="0080564E" w:rsidP="0080564E">
            <w:pPr>
              <w:rPr>
                <w:lang w:val="en-GB"/>
              </w:rPr>
            </w:pPr>
            <w:r w:rsidRPr="00A33264">
              <w:rPr>
                <w:lang w:val="en-GB"/>
              </w:rPr>
              <w:lastRenderedPageBreak/>
              <w:t>Ms Maryanne Diamond AO</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51B2EC5" w14:textId="77E7B050"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EDE3B2C" w14:textId="77777777" w:rsidR="0080564E" w:rsidRPr="00A33264" w:rsidRDefault="0080564E" w:rsidP="00FD3D46">
            <w:pPr>
              <w:jc w:val="right"/>
              <w:rPr>
                <w:lang w:val="en-GB"/>
              </w:rPr>
            </w:pPr>
            <w:r w:rsidRPr="00A33264">
              <w:rPr>
                <w:lang w:val="en-GB"/>
              </w:rPr>
              <w:t>83,664</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E90C75A" w14:textId="0606ABBC"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33C7C4C" w14:textId="4925463F"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27936B8" w14:textId="77777777" w:rsidR="0080564E" w:rsidRPr="00A33264" w:rsidRDefault="0080564E" w:rsidP="00FD3D46">
            <w:pPr>
              <w:jc w:val="right"/>
              <w:rPr>
                <w:lang w:val="en-GB"/>
              </w:rPr>
            </w:pPr>
            <w:r w:rsidRPr="00A33264">
              <w:rPr>
                <w:lang w:val="en-GB"/>
              </w:rPr>
              <w:t>12,840</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F34F2C7" w14:textId="13455720"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D52B680" w14:textId="55B90209"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930303B" w14:textId="481FA0C7"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8B71835" w14:textId="77777777" w:rsidR="0080564E" w:rsidRPr="00A33264" w:rsidRDefault="0080564E" w:rsidP="00FD3D46">
            <w:pPr>
              <w:jc w:val="right"/>
              <w:rPr>
                <w:b/>
                <w:bCs/>
                <w:lang w:val="en-GB"/>
              </w:rPr>
            </w:pPr>
            <w:r w:rsidRPr="00A33264">
              <w:rPr>
                <w:lang w:val="en-GB"/>
              </w:rPr>
              <w:t>96,504</w:t>
            </w:r>
          </w:p>
        </w:tc>
      </w:tr>
      <w:tr w:rsidR="0080564E" w:rsidRPr="00A33264" w14:paraId="527150F0"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3204E11" w14:textId="77777777" w:rsidR="0080564E" w:rsidRPr="00A33264" w:rsidRDefault="0080564E" w:rsidP="0080564E">
            <w:pPr>
              <w:rPr>
                <w:lang w:val="en-GB"/>
              </w:rPr>
            </w:pPr>
            <w:r w:rsidRPr="00A33264">
              <w:rPr>
                <w:lang w:val="en-GB"/>
              </w:rPr>
              <w:t>Ms Rebecca Falkingham PSM</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95FA96F" w14:textId="77777777" w:rsidR="0080564E" w:rsidRPr="00A33264" w:rsidRDefault="0080564E" w:rsidP="0080564E">
            <w:pPr>
              <w:rPr>
                <w:lang w:val="en-GB"/>
              </w:rPr>
            </w:pPr>
            <w:r w:rsidRPr="00A33264">
              <w:rPr>
                <w:lang w:val="en-GB"/>
              </w:rPr>
              <w:t>Chief Executive Officer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5F3EE33" w14:textId="77777777" w:rsidR="0080564E" w:rsidRPr="00A33264" w:rsidRDefault="0080564E" w:rsidP="00FD3D46">
            <w:pPr>
              <w:jc w:val="right"/>
              <w:rPr>
                <w:lang w:val="en-GB"/>
              </w:rPr>
            </w:pPr>
            <w:r w:rsidRPr="00A33264">
              <w:rPr>
                <w:lang w:val="en-GB"/>
              </w:rPr>
              <w:t>763,172</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A06036E" w14:textId="14AA6A2B"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3BE51D3" w14:textId="2A77D21C"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755F4B3" w14:textId="77777777" w:rsidR="0080564E" w:rsidRPr="00A33264" w:rsidRDefault="0080564E" w:rsidP="00FD3D46">
            <w:pPr>
              <w:jc w:val="right"/>
              <w:rPr>
                <w:lang w:val="en-GB"/>
              </w:rPr>
            </w:pPr>
            <w:r w:rsidRPr="00A33264">
              <w:rPr>
                <w:lang w:val="en-GB"/>
              </w:rPr>
              <w:t>27,467</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7996A31" w14:textId="77777777" w:rsidR="0080564E" w:rsidRPr="00A33264" w:rsidRDefault="0080564E" w:rsidP="00FD3D46">
            <w:pPr>
              <w:jc w:val="right"/>
              <w:rPr>
                <w:lang w:val="en-GB"/>
              </w:rPr>
            </w:pPr>
            <w:r w:rsidRPr="00A33264">
              <w:rPr>
                <w:lang w:val="en-GB"/>
              </w:rPr>
              <w:t>18,050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38BBAB0" w14:textId="6EA35B9C"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285A017" w14:textId="72081B12"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B5B8E5E" w14:textId="77777777" w:rsidR="0080564E" w:rsidRPr="00A33264" w:rsidRDefault="0080564E" w:rsidP="00FD3D46">
            <w:pPr>
              <w:jc w:val="right"/>
              <w:rPr>
                <w:b/>
                <w:bCs/>
                <w:lang w:val="en-GB"/>
              </w:rPr>
            </w:pPr>
            <w:r w:rsidRPr="00A33264">
              <w:rPr>
                <w:lang w:val="en-GB"/>
              </w:rPr>
              <w:t>808,689</w:t>
            </w:r>
          </w:p>
        </w:tc>
      </w:tr>
      <w:tr w:rsidR="0080564E" w:rsidRPr="00A33264" w14:paraId="6199434A"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03AE825" w14:textId="77777777" w:rsidR="0080564E" w:rsidRPr="00A33264" w:rsidRDefault="0080564E" w:rsidP="0080564E">
            <w:pPr>
              <w:rPr>
                <w:lang w:val="en-GB"/>
              </w:rPr>
            </w:pPr>
            <w:r w:rsidRPr="00A33264">
              <w:rPr>
                <w:lang w:val="en-GB"/>
              </w:rPr>
              <w:t>Mr Kurt Fearnley AO</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EE8AEEE" w14:textId="07D1340F" w:rsidR="0080564E" w:rsidRPr="00A33264" w:rsidRDefault="009023D0" w:rsidP="0080564E">
            <w:pPr>
              <w:rPr>
                <w:lang w:val="en-GB"/>
              </w:rPr>
            </w:pPr>
            <w:r>
              <w:rPr>
                <w:lang w:val="en-GB"/>
              </w:rPr>
              <w:t>Chair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F8BB1FB" w14:textId="77777777" w:rsidR="0080564E" w:rsidRPr="00A33264" w:rsidRDefault="0080564E" w:rsidP="00FD3D46">
            <w:pPr>
              <w:jc w:val="right"/>
              <w:rPr>
                <w:lang w:val="en-GB"/>
              </w:rPr>
            </w:pPr>
            <w:r w:rsidRPr="00A33264">
              <w:rPr>
                <w:lang w:val="en-GB"/>
              </w:rPr>
              <w:t>149,765</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D37DC00" w14:textId="6AFC3FF2"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2FFC278" w14:textId="77777777" w:rsidR="0080564E" w:rsidRPr="00A33264" w:rsidRDefault="0080564E" w:rsidP="00FD3D46">
            <w:pPr>
              <w:jc w:val="right"/>
              <w:rPr>
                <w:lang w:val="en-GB"/>
              </w:rPr>
            </w:pPr>
            <w:r w:rsidRPr="00A33264">
              <w:rPr>
                <w:lang w:val="en-GB"/>
              </w:rPr>
              <w:t>621</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8D44099" w14:textId="77777777" w:rsidR="0080564E" w:rsidRPr="00A33264" w:rsidRDefault="0080564E" w:rsidP="00FD3D46">
            <w:pPr>
              <w:jc w:val="right"/>
              <w:rPr>
                <w:lang w:val="en-GB"/>
              </w:rPr>
            </w:pPr>
            <w:r w:rsidRPr="00A33264">
              <w:rPr>
                <w:lang w:val="en-GB"/>
              </w:rPr>
              <w:t>24,105</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1BF009B" w14:textId="3319B2EB"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786F7AC" w14:textId="3B811143"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FD8789F" w14:textId="0934027B"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E983E41" w14:textId="77777777" w:rsidR="0080564E" w:rsidRPr="00A33264" w:rsidRDefault="0080564E" w:rsidP="00FD3D46">
            <w:pPr>
              <w:jc w:val="right"/>
              <w:rPr>
                <w:b/>
                <w:bCs/>
                <w:lang w:val="en-GB"/>
              </w:rPr>
            </w:pPr>
            <w:r w:rsidRPr="00A33264">
              <w:rPr>
                <w:lang w:val="en-GB"/>
              </w:rPr>
              <w:t>174,491</w:t>
            </w:r>
          </w:p>
        </w:tc>
      </w:tr>
      <w:tr w:rsidR="0080564E" w:rsidRPr="00A33264" w14:paraId="337E9CDB"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FB75B81" w14:textId="340BC719" w:rsidR="0080564E" w:rsidRPr="00A33264" w:rsidRDefault="000A7E21" w:rsidP="0080564E">
            <w:pPr>
              <w:rPr>
                <w:lang w:val="en-GB"/>
              </w:rPr>
            </w:pPr>
            <w:r w:rsidRPr="00A33264">
              <w:rPr>
                <w:lang w:val="en-GB"/>
              </w:rPr>
              <w:t>D</w:t>
            </w:r>
            <w:r w:rsidR="0080564E" w:rsidRPr="00A33264">
              <w:rPr>
                <w:lang w:val="en-GB"/>
              </w:rPr>
              <w:t>r Richard Fejo</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83E33BD" w14:textId="2B41737D"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553A544" w14:textId="77777777" w:rsidR="0080564E" w:rsidRPr="00A33264" w:rsidRDefault="0080564E" w:rsidP="00FD3D46">
            <w:pPr>
              <w:jc w:val="right"/>
              <w:rPr>
                <w:lang w:val="en-GB"/>
              </w:rPr>
            </w:pPr>
            <w:r w:rsidRPr="00A33264">
              <w:rPr>
                <w:lang w:val="en-GB"/>
              </w:rPr>
              <w:t>75,009</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4F7DFBE" w14:textId="070162B0"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44F6525" w14:textId="039978F1"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4E83694" w14:textId="77777777" w:rsidR="0080564E" w:rsidRPr="00A33264" w:rsidRDefault="0080564E" w:rsidP="00FD3D46">
            <w:pPr>
              <w:jc w:val="right"/>
              <w:rPr>
                <w:lang w:val="en-GB"/>
              </w:rPr>
            </w:pPr>
            <w:r w:rsidRPr="00A33264">
              <w:rPr>
                <w:lang w:val="en-GB"/>
              </w:rPr>
              <w:t>11,552</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B82823C" w14:textId="2FA2EFAB"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8CB3A05" w14:textId="71E314D4"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77DC655" w14:textId="2FA7D4DE"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F2E6FA9" w14:textId="77777777" w:rsidR="0080564E" w:rsidRPr="00A33264" w:rsidRDefault="0080564E" w:rsidP="00FD3D46">
            <w:pPr>
              <w:jc w:val="right"/>
              <w:rPr>
                <w:b/>
                <w:bCs/>
                <w:lang w:val="en-GB"/>
              </w:rPr>
            </w:pPr>
            <w:r w:rsidRPr="00A33264">
              <w:rPr>
                <w:lang w:val="en-GB"/>
              </w:rPr>
              <w:t>86,561</w:t>
            </w:r>
          </w:p>
        </w:tc>
      </w:tr>
      <w:tr w:rsidR="0080564E" w:rsidRPr="00A33264" w14:paraId="37CE403A"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B545E25" w14:textId="77777777" w:rsidR="0080564E" w:rsidRPr="00A33264" w:rsidRDefault="0080564E" w:rsidP="0080564E">
            <w:pPr>
              <w:rPr>
                <w:lang w:val="en-GB"/>
              </w:rPr>
            </w:pPr>
            <w:r w:rsidRPr="00A33264">
              <w:rPr>
                <w:lang w:val="en-GB"/>
              </w:rPr>
              <w:t>Mr David Gifford</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0EAC6A17" w14:textId="77777777" w:rsidR="0080564E" w:rsidRPr="00A33264" w:rsidRDefault="0080564E" w:rsidP="0080564E">
            <w:pPr>
              <w:rPr>
                <w:lang w:val="en-GB"/>
              </w:rPr>
            </w:pPr>
            <w:r w:rsidRPr="00A33264">
              <w:rPr>
                <w:lang w:val="en-GB"/>
              </w:rPr>
              <w:t>Scheme Actuary</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076EB420" w14:textId="7FC6DAF8" w:rsidR="0080564E" w:rsidRPr="00A33264" w:rsidRDefault="0080564E" w:rsidP="00FD3D46">
            <w:pPr>
              <w:jc w:val="right"/>
              <w:rPr>
                <w:lang w:val="en-GB"/>
              </w:rPr>
            </w:pPr>
            <w:r w:rsidRPr="00A33264">
              <w:rPr>
                <w:lang w:val="en-GB"/>
              </w:rPr>
              <w:t>397,34</w:t>
            </w:r>
            <w:r w:rsidR="009023D0">
              <w:rPr>
                <w:lang w:val="en-GB"/>
              </w:rPr>
              <w:t>7</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D00D2D8" w14:textId="67F83408"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3A56A2E" w14:textId="77777777" w:rsidR="0080564E" w:rsidRPr="00A33264" w:rsidRDefault="0080564E" w:rsidP="00FD3D46">
            <w:pPr>
              <w:jc w:val="right"/>
              <w:rPr>
                <w:lang w:val="en-GB"/>
              </w:rPr>
            </w:pPr>
            <w:r w:rsidRPr="00A33264">
              <w:rPr>
                <w:lang w:val="en-GB"/>
              </w:rPr>
              <w:t>49,840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BE74C03" w14:textId="77777777" w:rsidR="0080564E" w:rsidRPr="00A33264" w:rsidRDefault="0080564E" w:rsidP="00FD3D46">
            <w:pPr>
              <w:jc w:val="right"/>
              <w:rPr>
                <w:lang w:val="en-GB"/>
              </w:rPr>
            </w:pPr>
            <w:r w:rsidRPr="00A33264">
              <w:rPr>
                <w:lang w:val="en-GB"/>
              </w:rPr>
              <w:t>47,884</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35BFF1B" w14:textId="0ACB4CCA" w:rsidR="0080564E" w:rsidRPr="00A33264" w:rsidRDefault="0080564E" w:rsidP="00FD3D46">
            <w:pPr>
              <w:jc w:val="right"/>
              <w:rPr>
                <w:lang w:val="en-GB"/>
              </w:rPr>
            </w:pPr>
            <w:r w:rsidRPr="00A33264">
              <w:rPr>
                <w:lang w:val="en-GB"/>
              </w:rPr>
              <w:t>9,90</w:t>
            </w:r>
            <w:r w:rsidR="009023D0">
              <w:rPr>
                <w:lang w:val="en-GB"/>
              </w:rPr>
              <w:t>7</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0B569DDB" w14:textId="527CFFDB"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4F29561" w14:textId="527E1CFE"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9597445" w14:textId="77777777" w:rsidR="0080564E" w:rsidRPr="00A33264" w:rsidRDefault="0080564E" w:rsidP="00FD3D46">
            <w:pPr>
              <w:jc w:val="right"/>
              <w:rPr>
                <w:b/>
                <w:bCs/>
                <w:lang w:val="en-GB"/>
              </w:rPr>
            </w:pPr>
            <w:r w:rsidRPr="00A33264">
              <w:rPr>
                <w:lang w:val="en-GB"/>
              </w:rPr>
              <w:t>504,978</w:t>
            </w:r>
          </w:p>
        </w:tc>
      </w:tr>
      <w:tr w:rsidR="0080564E" w:rsidRPr="00A33264" w14:paraId="3788C865"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E82BDA5" w14:textId="739CC672" w:rsidR="0080564E" w:rsidRPr="00A33264" w:rsidRDefault="00B969E8" w:rsidP="0080564E">
            <w:pPr>
              <w:rPr>
                <w:lang w:val="en-GB"/>
              </w:rPr>
            </w:pPr>
            <w:r w:rsidRPr="00A33264">
              <w:rPr>
                <w:lang w:val="en-GB"/>
              </w:rPr>
              <w:t>D</w:t>
            </w:r>
            <w:r w:rsidR="0080564E" w:rsidRPr="00A33264">
              <w:rPr>
                <w:lang w:val="en-GB"/>
              </w:rPr>
              <w:t>r Graeme Innes A</w:t>
            </w:r>
            <w:r w:rsidR="00877A07" w:rsidRPr="00A33264">
              <w:rPr>
                <w:lang w:val="en-GB"/>
              </w:rPr>
              <w:t>M</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8B25534" w14:textId="37B91A4C"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C7BAC3E" w14:textId="77777777" w:rsidR="0080564E" w:rsidRPr="00A33264" w:rsidRDefault="0080564E" w:rsidP="00FD3D46">
            <w:pPr>
              <w:jc w:val="right"/>
              <w:rPr>
                <w:lang w:val="en-GB"/>
              </w:rPr>
            </w:pPr>
            <w:r w:rsidRPr="00A33264">
              <w:rPr>
                <w:lang w:val="en-GB"/>
              </w:rPr>
              <w:t>92,173</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F8BA635" w14:textId="353BD3ED"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B741773" w14:textId="1234116F"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FB4423B" w14:textId="77777777" w:rsidR="0080564E" w:rsidRPr="00A33264" w:rsidRDefault="0080564E" w:rsidP="00FD3D46">
            <w:pPr>
              <w:jc w:val="right"/>
              <w:rPr>
                <w:lang w:val="en-GB"/>
              </w:rPr>
            </w:pPr>
            <w:r w:rsidRPr="00A33264">
              <w:rPr>
                <w:lang w:val="en-GB"/>
              </w:rPr>
              <w:t>14,557</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15DDF20" w14:textId="39D444AA"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94594AF" w14:textId="7EEC7088"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D65D10C" w14:textId="2FC22DA5"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6117A2D" w14:textId="77777777" w:rsidR="0080564E" w:rsidRPr="00A33264" w:rsidRDefault="0080564E" w:rsidP="00FD3D46">
            <w:pPr>
              <w:jc w:val="right"/>
              <w:rPr>
                <w:b/>
                <w:bCs/>
                <w:lang w:val="en-GB"/>
              </w:rPr>
            </w:pPr>
            <w:r w:rsidRPr="00A33264">
              <w:rPr>
                <w:lang w:val="en-GB"/>
              </w:rPr>
              <w:t>106,730</w:t>
            </w:r>
          </w:p>
        </w:tc>
      </w:tr>
      <w:tr w:rsidR="0080564E" w:rsidRPr="00A33264" w14:paraId="7F588A66" w14:textId="77777777" w:rsidTr="00133885">
        <w:trPr>
          <w:cantSplit/>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57C9F70" w14:textId="77777777" w:rsidR="0080564E" w:rsidRPr="00A33264" w:rsidRDefault="0080564E" w:rsidP="0080564E">
            <w:pPr>
              <w:rPr>
                <w:lang w:val="en-GB"/>
              </w:rPr>
            </w:pPr>
            <w:r w:rsidRPr="00A33264">
              <w:rPr>
                <w:lang w:val="en-GB"/>
              </w:rPr>
              <w:lastRenderedPageBreak/>
              <w:t>Ms Penelope McKay</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8FD4FDF" w14:textId="77777777" w:rsidR="0080564E" w:rsidRPr="00A33264" w:rsidRDefault="0080564E" w:rsidP="0080564E">
            <w:pPr>
              <w:rPr>
                <w:lang w:val="en-GB"/>
              </w:rPr>
            </w:pPr>
            <w:r w:rsidRPr="00A33264">
              <w:rPr>
                <w:lang w:val="en-GB"/>
              </w:rPr>
              <w:t>Deputy CEO Partners, Providers and Home and Living</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8EE0317" w14:textId="77777777" w:rsidR="0080564E" w:rsidRPr="00A33264" w:rsidRDefault="0080564E" w:rsidP="00FD3D46">
            <w:pPr>
              <w:jc w:val="right"/>
              <w:rPr>
                <w:lang w:val="en-GB"/>
              </w:rPr>
            </w:pPr>
            <w:r w:rsidRPr="00A33264">
              <w:rPr>
                <w:lang w:val="en-GB"/>
              </w:rPr>
              <w:t>448,699</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DF96478" w14:textId="0A6D7E1A"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39024A4" w14:textId="02E4099A"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BDA6145" w14:textId="77777777" w:rsidR="0080564E" w:rsidRPr="00A33264" w:rsidRDefault="0080564E" w:rsidP="00FD3D46">
            <w:pPr>
              <w:jc w:val="right"/>
              <w:rPr>
                <w:lang w:val="en-GB"/>
              </w:rPr>
            </w:pPr>
            <w:r w:rsidRPr="00A33264">
              <w:rPr>
                <w:lang w:val="en-GB"/>
              </w:rPr>
              <w:t>81,554</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3D28F06" w14:textId="77777777" w:rsidR="0080564E" w:rsidRPr="00A33264" w:rsidRDefault="0080564E" w:rsidP="00FD3D46">
            <w:pPr>
              <w:jc w:val="right"/>
              <w:rPr>
                <w:lang w:val="en-GB"/>
              </w:rPr>
            </w:pPr>
            <w:r w:rsidRPr="00A33264">
              <w:rPr>
                <w:lang w:val="en-GB"/>
              </w:rPr>
              <w:t>11,436</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FC5B5DE" w14:textId="0DC0EA3E"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EDED393" w14:textId="793D673B"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56784A5" w14:textId="77777777" w:rsidR="0080564E" w:rsidRPr="00A33264" w:rsidRDefault="0080564E" w:rsidP="00FD3D46">
            <w:pPr>
              <w:jc w:val="right"/>
              <w:rPr>
                <w:b/>
                <w:bCs/>
                <w:lang w:val="en-GB"/>
              </w:rPr>
            </w:pPr>
            <w:r w:rsidRPr="00A33264">
              <w:rPr>
                <w:lang w:val="en-GB"/>
              </w:rPr>
              <w:t>541,689</w:t>
            </w:r>
          </w:p>
        </w:tc>
      </w:tr>
      <w:tr w:rsidR="0080564E" w:rsidRPr="00A33264" w14:paraId="2EF641F8"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2C270CE" w14:textId="344D9C0D" w:rsidR="0080564E" w:rsidRPr="00A33264" w:rsidRDefault="0080564E" w:rsidP="0080564E">
            <w:pPr>
              <w:rPr>
                <w:lang w:val="en-GB"/>
              </w:rPr>
            </w:pPr>
            <w:r w:rsidRPr="00A33264">
              <w:rPr>
                <w:lang w:val="en-GB"/>
              </w:rPr>
              <w:t>Mrs Joan Mc</w:t>
            </w:r>
            <w:r w:rsidR="009023D0">
              <w:rPr>
                <w:lang w:val="en-GB"/>
              </w:rPr>
              <w:t>K</w:t>
            </w:r>
            <w:r w:rsidRPr="00A33264">
              <w:rPr>
                <w:lang w:val="en-GB"/>
              </w:rPr>
              <w:t xml:space="preserve">enna Kerr </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86E4B26" w14:textId="5AB27E40"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A45F97A" w14:textId="77777777" w:rsidR="0080564E" w:rsidRPr="00A33264" w:rsidRDefault="0080564E" w:rsidP="00FD3D46">
            <w:pPr>
              <w:jc w:val="right"/>
              <w:rPr>
                <w:lang w:val="en-GB"/>
              </w:rPr>
            </w:pPr>
            <w:r w:rsidRPr="00A33264">
              <w:rPr>
                <w:lang w:val="en-GB"/>
              </w:rPr>
              <w:t>75,009</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98093DD" w14:textId="6C72502D"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4B55742" w14:textId="1C8A4618"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BE14DDF" w14:textId="77777777" w:rsidR="0080564E" w:rsidRPr="00A33264" w:rsidRDefault="0080564E" w:rsidP="00FD3D46">
            <w:pPr>
              <w:jc w:val="right"/>
              <w:rPr>
                <w:lang w:val="en-GB"/>
              </w:rPr>
            </w:pPr>
            <w:r w:rsidRPr="00A33264">
              <w:rPr>
                <w:lang w:val="en-GB"/>
              </w:rPr>
              <w:t>11,552</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D756E7C" w14:textId="14C2DA1B"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D1C31EF" w14:textId="3BFD3D9B"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DB48213" w14:textId="6171959A"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0EF149A" w14:textId="77777777" w:rsidR="0080564E" w:rsidRPr="00A33264" w:rsidRDefault="0080564E" w:rsidP="00FD3D46">
            <w:pPr>
              <w:jc w:val="right"/>
              <w:rPr>
                <w:b/>
                <w:bCs/>
                <w:lang w:val="en-GB"/>
              </w:rPr>
            </w:pPr>
            <w:r w:rsidRPr="00A33264">
              <w:rPr>
                <w:lang w:val="en-GB"/>
              </w:rPr>
              <w:t>86,561</w:t>
            </w:r>
          </w:p>
        </w:tc>
      </w:tr>
      <w:tr w:rsidR="0080564E" w:rsidRPr="00A33264" w14:paraId="3A59FCEF"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84DA1C2" w14:textId="49D5D719" w:rsidR="0080564E" w:rsidRPr="00A33264" w:rsidRDefault="0080564E" w:rsidP="0080564E">
            <w:pPr>
              <w:rPr>
                <w:lang w:val="en-GB"/>
              </w:rPr>
            </w:pPr>
            <w:r w:rsidRPr="00A33264">
              <w:rPr>
                <w:lang w:val="en-GB"/>
              </w:rPr>
              <w:t>Ms Corr</w:t>
            </w:r>
            <w:r w:rsidR="002813D2">
              <w:rPr>
                <w:lang w:val="en-GB"/>
              </w:rPr>
              <w:t>i</w:t>
            </w:r>
            <w:r w:rsidRPr="00A33264">
              <w:rPr>
                <w:lang w:val="en-GB"/>
              </w:rPr>
              <w:t xml:space="preserve"> McKenzie</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5436114" w14:textId="77777777" w:rsidR="0080564E" w:rsidRPr="00A33264" w:rsidRDefault="0080564E" w:rsidP="0080564E">
            <w:pPr>
              <w:rPr>
                <w:lang w:val="en-GB"/>
              </w:rPr>
            </w:pPr>
            <w:r w:rsidRPr="00A33264">
              <w:rPr>
                <w:lang w:val="en-GB"/>
              </w:rPr>
              <w:t>Deputy CEO Service Design and Improvement</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4EFE853" w14:textId="77777777" w:rsidR="0080564E" w:rsidRPr="00A33264" w:rsidRDefault="0080564E" w:rsidP="00FD3D46">
            <w:pPr>
              <w:jc w:val="right"/>
              <w:rPr>
                <w:lang w:val="en-GB"/>
              </w:rPr>
            </w:pPr>
            <w:r w:rsidRPr="00A33264">
              <w:rPr>
                <w:lang w:val="en-GB"/>
              </w:rPr>
              <w:t>435,189</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2B08A80" w14:textId="3B5FBF82" w:rsidR="0080564E" w:rsidRPr="00A33264" w:rsidRDefault="00B15934"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9BE1BE1" w14:textId="3C601DFA"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D40563D" w14:textId="77777777" w:rsidR="0080564E" w:rsidRPr="00A33264" w:rsidRDefault="0080564E" w:rsidP="00FD3D46">
            <w:pPr>
              <w:jc w:val="right"/>
              <w:rPr>
                <w:lang w:val="en-GB"/>
              </w:rPr>
            </w:pPr>
            <w:r w:rsidRPr="00A33264">
              <w:rPr>
                <w:lang w:val="en-GB"/>
              </w:rPr>
              <w:t>48,404</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839314A" w14:textId="77777777" w:rsidR="0080564E" w:rsidRPr="00A33264" w:rsidRDefault="0080564E" w:rsidP="00FD3D46">
            <w:pPr>
              <w:jc w:val="right"/>
              <w:rPr>
                <w:lang w:val="en-GB"/>
              </w:rPr>
            </w:pPr>
            <w:r w:rsidRPr="00A33264">
              <w:rPr>
                <w:lang w:val="en-GB"/>
              </w:rPr>
              <w:t>11,309</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524902A" w14:textId="33A65CF0"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6BB8282" w14:textId="556F7CDD"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28A9A9B" w14:textId="77777777" w:rsidR="0080564E" w:rsidRPr="00A33264" w:rsidRDefault="0080564E" w:rsidP="00FD3D46">
            <w:pPr>
              <w:jc w:val="right"/>
              <w:rPr>
                <w:b/>
                <w:bCs/>
                <w:lang w:val="en-GB"/>
              </w:rPr>
            </w:pPr>
            <w:r w:rsidRPr="00A33264">
              <w:rPr>
                <w:lang w:val="en-GB"/>
              </w:rPr>
              <w:t>494,902</w:t>
            </w:r>
          </w:p>
        </w:tc>
      </w:tr>
      <w:tr w:rsidR="0080564E" w:rsidRPr="00A33264" w14:paraId="139703BF"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9492163" w14:textId="77777777" w:rsidR="0080564E" w:rsidRPr="00A33264" w:rsidRDefault="0080564E" w:rsidP="0080564E">
            <w:pPr>
              <w:rPr>
                <w:lang w:val="en-GB"/>
              </w:rPr>
            </w:pPr>
            <w:r w:rsidRPr="00A33264">
              <w:rPr>
                <w:lang w:val="en-GB"/>
              </w:rPr>
              <w:t xml:space="preserve">Mr Scott McNaughton </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5928E28" w14:textId="77777777" w:rsidR="0080564E" w:rsidRPr="00A33264" w:rsidRDefault="0080564E" w:rsidP="0080564E">
            <w:pPr>
              <w:rPr>
                <w:lang w:val="en-GB"/>
              </w:rPr>
            </w:pPr>
            <w:r w:rsidRPr="00A33264">
              <w:rPr>
                <w:lang w:val="en-GB"/>
              </w:rPr>
              <w:t>Deputy CEO Service Delivery</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2648168" w14:textId="77777777" w:rsidR="0080564E" w:rsidRPr="00A33264" w:rsidRDefault="0080564E" w:rsidP="00FD3D46">
            <w:pPr>
              <w:jc w:val="right"/>
              <w:rPr>
                <w:lang w:val="en-GB"/>
              </w:rPr>
            </w:pPr>
            <w:r w:rsidRPr="00A33264">
              <w:rPr>
                <w:lang w:val="en-GB"/>
              </w:rPr>
              <w:t>385,564</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4C52369" w14:textId="1190B65E"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9EC4891" w14:textId="7391C10C"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8A898D9" w14:textId="77777777" w:rsidR="0080564E" w:rsidRPr="00A33264" w:rsidRDefault="0080564E" w:rsidP="00FD3D46">
            <w:pPr>
              <w:jc w:val="right"/>
              <w:rPr>
                <w:lang w:val="en-GB"/>
              </w:rPr>
            </w:pPr>
            <w:r w:rsidRPr="00A33264">
              <w:rPr>
                <w:lang w:val="en-GB"/>
              </w:rPr>
              <w:t>70,333</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6FCA330" w14:textId="77777777" w:rsidR="0080564E" w:rsidRPr="00A33264" w:rsidRDefault="0080564E" w:rsidP="00FD3D46">
            <w:pPr>
              <w:jc w:val="right"/>
              <w:rPr>
                <w:lang w:val="en-GB"/>
              </w:rPr>
            </w:pPr>
            <w:r w:rsidRPr="00A33264">
              <w:rPr>
                <w:lang w:val="en-GB"/>
              </w:rPr>
              <w:t>10,073</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50D2090" w14:textId="78819906"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3A6E9AA" w14:textId="70B1DF8D"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55EDED3" w14:textId="77777777" w:rsidR="0080564E" w:rsidRPr="00A33264" w:rsidRDefault="0080564E" w:rsidP="00FD3D46">
            <w:pPr>
              <w:jc w:val="right"/>
              <w:rPr>
                <w:b/>
                <w:bCs/>
                <w:lang w:val="en-GB"/>
              </w:rPr>
            </w:pPr>
            <w:r w:rsidRPr="00A33264">
              <w:rPr>
                <w:lang w:val="en-GB"/>
              </w:rPr>
              <w:t>465,970</w:t>
            </w:r>
          </w:p>
        </w:tc>
      </w:tr>
      <w:tr w:rsidR="0080564E" w:rsidRPr="00A33264" w14:paraId="039A5F81"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377679E" w14:textId="77777777" w:rsidR="0080564E" w:rsidRPr="00A33264" w:rsidRDefault="0080564E" w:rsidP="0080564E">
            <w:pPr>
              <w:rPr>
                <w:lang w:val="en-GB"/>
              </w:rPr>
            </w:pPr>
            <w:r w:rsidRPr="00A33264">
              <w:rPr>
                <w:lang w:val="en-GB"/>
              </w:rPr>
              <w:lastRenderedPageBreak/>
              <w:t>Ms Debbie Mitchell</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6CED8D6" w14:textId="77777777" w:rsidR="0080564E" w:rsidRPr="00A33264" w:rsidRDefault="0080564E" w:rsidP="0080564E">
            <w:pPr>
              <w:rPr>
                <w:lang w:val="en-GB"/>
              </w:rPr>
            </w:pPr>
            <w:r w:rsidRPr="00A33264">
              <w:rPr>
                <w:lang w:val="en-GB"/>
              </w:rPr>
              <w:t>Deputy CEO Governance, Risk and Legal</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8616BAD" w14:textId="77777777" w:rsidR="0080564E" w:rsidRPr="00A33264" w:rsidRDefault="0080564E" w:rsidP="00FD3D46">
            <w:pPr>
              <w:jc w:val="right"/>
              <w:rPr>
                <w:lang w:val="en-GB"/>
              </w:rPr>
            </w:pPr>
            <w:r w:rsidRPr="00A33264">
              <w:rPr>
                <w:lang w:val="en-GB"/>
              </w:rPr>
              <w:t>437,231</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0C6C8ED6" w14:textId="5B19DB1F"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BB06A0E" w14:textId="353E60B9"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9E16B68" w14:textId="2068812E" w:rsidR="0080564E" w:rsidRPr="00A33264" w:rsidRDefault="0080564E" w:rsidP="00FD3D46">
            <w:pPr>
              <w:jc w:val="right"/>
              <w:rPr>
                <w:lang w:val="en-GB"/>
              </w:rPr>
            </w:pPr>
            <w:r w:rsidRPr="00A33264">
              <w:rPr>
                <w:lang w:val="en-GB"/>
              </w:rPr>
              <w:t>62,68</w:t>
            </w:r>
            <w:r w:rsidR="009023D0">
              <w:rPr>
                <w:lang w:val="en-GB"/>
              </w:rPr>
              <w:t>7</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7E26A31" w14:textId="77777777" w:rsidR="0080564E" w:rsidRPr="00A33264" w:rsidRDefault="0080564E" w:rsidP="00FD3D46">
            <w:pPr>
              <w:jc w:val="right"/>
              <w:rPr>
                <w:lang w:val="en-GB"/>
              </w:rPr>
            </w:pPr>
            <w:r w:rsidRPr="00A33264">
              <w:rPr>
                <w:lang w:val="en-GB"/>
              </w:rPr>
              <w:t>10,902</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410CBEB" w14:textId="7812F511"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36BC259" w14:textId="4B5301C4"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80BB137" w14:textId="77777777" w:rsidR="0080564E" w:rsidRPr="00A33264" w:rsidRDefault="0080564E" w:rsidP="00FD3D46">
            <w:pPr>
              <w:jc w:val="right"/>
              <w:rPr>
                <w:b/>
                <w:bCs/>
                <w:lang w:val="en-GB"/>
              </w:rPr>
            </w:pPr>
            <w:r w:rsidRPr="00A33264">
              <w:rPr>
                <w:lang w:val="en-GB"/>
              </w:rPr>
              <w:t>510,820</w:t>
            </w:r>
          </w:p>
        </w:tc>
      </w:tr>
      <w:tr w:rsidR="0080564E" w:rsidRPr="00A33264" w14:paraId="588A8E2D"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44E8724" w14:textId="64308F1C" w:rsidR="0080564E" w:rsidRPr="00A33264" w:rsidRDefault="009023D0" w:rsidP="0080564E">
            <w:pPr>
              <w:rPr>
                <w:lang w:val="en-GB"/>
              </w:rPr>
            </w:pPr>
            <w:r>
              <w:rPr>
                <w:lang w:val="en-GB"/>
              </w:rPr>
              <w:t>Dr</w:t>
            </w:r>
            <w:r w:rsidR="0080564E" w:rsidRPr="00A33264">
              <w:rPr>
                <w:lang w:val="en-GB"/>
              </w:rPr>
              <w:t xml:space="preserve"> Janine Marie Mohamed </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3A36185" w14:textId="77777777" w:rsidR="0080564E" w:rsidRPr="00A33264" w:rsidRDefault="0080564E" w:rsidP="0080564E">
            <w:pPr>
              <w:rPr>
                <w:lang w:val="en-GB"/>
              </w:rPr>
            </w:pPr>
            <w:r w:rsidRPr="00A33264">
              <w:rPr>
                <w:lang w:val="en-GB"/>
              </w:rPr>
              <w:t>Deputy CEO First Nations</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DE1054F" w14:textId="35EF175D" w:rsidR="0080564E" w:rsidRPr="00A33264" w:rsidRDefault="0080564E" w:rsidP="00FD3D46">
            <w:pPr>
              <w:jc w:val="right"/>
              <w:rPr>
                <w:lang w:val="en-GB"/>
              </w:rPr>
            </w:pPr>
            <w:r w:rsidRPr="00A33264">
              <w:rPr>
                <w:lang w:val="en-GB"/>
              </w:rPr>
              <w:t>77,91</w:t>
            </w:r>
            <w:r w:rsidR="009023D0">
              <w:rPr>
                <w:lang w:val="en-GB"/>
              </w:rPr>
              <w:t>1</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C9560F3" w14:textId="0C41CD1F"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9B4F50F" w14:textId="69E6489B"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E2A35CA" w14:textId="77777777" w:rsidR="0080564E" w:rsidRPr="00A33264" w:rsidRDefault="0080564E" w:rsidP="00FD3D46">
            <w:pPr>
              <w:jc w:val="right"/>
              <w:rPr>
                <w:lang w:val="en-GB"/>
              </w:rPr>
            </w:pPr>
            <w:r w:rsidRPr="00A33264">
              <w:rPr>
                <w:lang w:val="en-GB"/>
              </w:rPr>
              <w:t>14,936</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45E4B19" w14:textId="77777777" w:rsidR="0080564E" w:rsidRPr="00A33264" w:rsidRDefault="0080564E" w:rsidP="00FD3D46">
            <w:pPr>
              <w:jc w:val="right"/>
              <w:rPr>
                <w:lang w:val="en-GB"/>
              </w:rPr>
            </w:pPr>
            <w:r w:rsidRPr="00A33264">
              <w:rPr>
                <w:lang w:val="en-GB"/>
              </w:rPr>
              <w:t>1,859</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073A0DA" w14:textId="33E8664C"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EEE8976" w14:textId="771456BC"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01C4B8A" w14:textId="77777777" w:rsidR="0080564E" w:rsidRPr="00A33264" w:rsidRDefault="0080564E" w:rsidP="00FD3D46">
            <w:pPr>
              <w:jc w:val="right"/>
              <w:rPr>
                <w:b/>
                <w:bCs/>
                <w:lang w:val="en-GB"/>
              </w:rPr>
            </w:pPr>
            <w:r w:rsidRPr="00A33264">
              <w:rPr>
                <w:lang w:val="en-GB"/>
              </w:rPr>
              <w:t>94,706</w:t>
            </w:r>
          </w:p>
        </w:tc>
      </w:tr>
      <w:tr w:rsidR="0080564E" w:rsidRPr="00A33264" w14:paraId="67CD9520"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67D3229" w14:textId="77777777" w:rsidR="0080564E" w:rsidRPr="00A33264" w:rsidRDefault="0080564E" w:rsidP="0080564E">
            <w:pPr>
              <w:rPr>
                <w:lang w:val="en-GB"/>
              </w:rPr>
            </w:pPr>
            <w:r w:rsidRPr="00A33264">
              <w:rPr>
                <w:lang w:val="en-GB"/>
              </w:rPr>
              <w:t>Dr Denis Napthine AO</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1BFA20A5" w14:textId="4716D44B"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5C313EF" w14:textId="77777777" w:rsidR="0080564E" w:rsidRPr="00A33264" w:rsidRDefault="0080564E" w:rsidP="00FD3D46">
            <w:pPr>
              <w:jc w:val="right"/>
              <w:rPr>
                <w:lang w:val="en-GB"/>
              </w:rPr>
            </w:pPr>
            <w:r w:rsidRPr="00A33264">
              <w:rPr>
                <w:lang w:val="en-GB"/>
              </w:rPr>
              <w:t>60,835</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07E0A84C" w14:textId="4EB03B8C"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0A5115F" w14:textId="04FE6EB9"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7985854" w14:textId="77777777" w:rsidR="0080564E" w:rsidRPr="00A33264" w:rsidRDefault="0080564E" w:rsidP="00FD3D46">
            <w:pPr>
              <w:jc w:val="right"/>
              <w:rPr>
                <w:lang w:val="en-GB"/>
              </w:rPr>
            </w:pPr>
            <w:r w:rsidRPr="00A33264">
              <w:rPr>
                <w:lang w:val="en-GB"/>
              </w:rPr>
              <w:t>9,369</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A818128" w14:textId="285FF753"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544B1ED" w14:textId="30446530"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76A9522" w14:textId="2CF54159"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EE8107E" w14:textId="77777777" w:rsidR="0080564E" w:rsidRPr="00A33264" w:rsidRDefault="0080564E" w:rsidP="00FD3D46">
            <w:pPr>
              <w:jc w:val="right"/>
              <w:rPr>
                <w:b/>
                <w:bCs/>
                <w:lang w:val="en-GB"/>
              </w:rPr>
            </w:pPr>
            <w:r w:rsidRPr="00A33264">
              <w:rPr>
                <w:lang w:val="en-GB"/>
              </w:rPr>
              <w:t>70,204</w:t>
            </w:r>
          </w:p>
        </w:tc>
      </w:tr>
      <w:tr w:rsidR="0080564E" w:rsidRPr="00A33264" w14:paraId="7874C31D"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4DEE748" w14:textId="77777777" w:rsidR="0080564E" w:rsidRPr="00A33264" w:rsidRDefault="0080564E" w:rsidP="0080564E">
            <w:pPr>
              <w:rPr>
                <w:lang w:val="en-GB"/>
              </w:rPr>
            </w:pPr>
            <w:r w:rsidRPr="00A33264">
              <w:rPr>
                <w:lang w:val="en-GB"/>
              </w:rPr>
              <w:t>Ms Estelle Pearson</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65B9C43" w14:textId="5E1547E1"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386676C" w14:textId="77777777" w:rsidR="0080564E" w:rsidRPr="00A33264" w:rsidRDefault="0080564E" w:rsidP="00FD3D46">
            <w:pPr>
              <w:jc w:val="right"/>
              <w:rPr>
                <w:lang w:val="en-GB"/>
              </w:rPr>
            </w:pPr>
            <w:r w:rsidRPr="00A33264">
              <w:rPr>
                <w:lang w:val="en-GB"/>
              </w:rPr>
              <w:t>95,138</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63A4CBC" w14:textId="64726039"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59EB279" w14:textId="11B96F01"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4318E33" w14:textId="77777777" w:rsidR="0080564E" w:rsidRPr="00A33264" w:rsidRDefault="0080564E" w:rsidP="00FD3D46">
            <w:pPr>
              <w:jc w:val="right"/>
              <w:rPr>
                <w:lang w:val="en-GB"/>
              </w:rPr>
            </w:pPr>
            <w:r w:rsidRPr="00A33264">
              <w:rPr>
                <w:lang w:val="en-GB"/>
              </w:rPr>
              <w:t>15,012</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C28DD84" w14:textId="78B5EFFE"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6C70A7D" w14:textId="775253ED"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CEA28DD" w14:textId="0C90F577"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E2E7CC1" w14:textId="77777777" w:rsidR="0080564E" w:rsidRPr="00A33264" w:rsidRDefault="0080564E" w:rsidP="00FD3D46">
            <w:pPr>
              <w:jc w:val="right"/>
              <w:rPr>
                <w:b/>
                <w:bCs/>
                <w:lang w:val="en-GB"/>
              </w:rPr>
            </w:pPr>
            <w:r w:rsidRPr="00A33264">
              <w:rPr>
                <w:lang w:val="en-GB"/>
              </w:rPr>
              <w:t>110,150</w:t>
            </w:r>
          </w:p>
        </w:tc>
      </w:tr>
      <w:tr w:rsidR="0080564E" w:rsidRPr="00A33264" w14:paraId="271CA2E0"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26E28EC" w14:textId="77777777" w:rsidR="0080564E" w:rsidRPr="00A33264" w:rsidRDefault="0080564E" w:rsidP="0080564E">
            <w:pPr>
              <w:rPr>
                <w:lang w:val="en-GB"/>
              </w:rPr>
            </w:pPr>
            <w:r w:rsidRPr="00A33264">
              <w:rPr>
                <w:lang w:val="en-GB"/>
              </w:rPr>
              <w:t>Mr Samuel Porter</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724A31A" w14:textId="30601DBB" w:rsidR="0080564E" w:rsidRPr="00A33264" w:rsidRDefault="0080564E" w:rsidP="0080564E">
            <w:pPr>
              <w:rPr>
                <w:lang w:val="en-GB"/>
              </w:rPr>
            </w:pPr>
            <w:r w:rsidRPr="00A33264">
              <w:rPr>
                <w:lang w:val="en-GB"/>
              </w:rPr>
              <w:t>Deputy CEO Enabling Services</w:t>
            </w:r>
            <w:r w:rsidR="00591C73">
              <w:rPr>
                <w:lang w:val="en-GB"/>
              </w:rPr>
              <w:t xml:space="preserve"> </w:t>
            </w:r>
            <w:r w:rsidRPr="00A33264">
              <w:rPr>
                <w:lang w:val="en-GB"/>
              </w:rPr>
              <w:t>/</w:t>
            </w:r>
            <w:r w:rsidR="00591C73">
              <w:rPr>
                <w:lang w:val="en-GB"/>
              </w:rPr>
              <w:t xml:space="preserve"> </w:t>
            </w:r>
            <w:r w:rsidRPr="00A33264">
              <w:rPr>
                <w:lang w:val="en-GB"/>
              </w:rPr>
              <w:t>Chief Operating Officer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391ED37" w14:textId="77777777" w:rsidR="0080564E" w:rsidRPr="00A33264" w:rsidRDefault="0080564E" w:rsidP="00FD3D46">
            <w:pPr>
              <w:jc w:val="right"/>
              <w:rPr>
                <w:lang w:val="en-GB"/>
              </w:rPr>
            </w:pPr>
            <w:r w:rsidRPr="00A33264">
              <w:rPr>
                <w:lang w:val="en-GB"/>
              </w:rPr>
              <w:t>499,391</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0464FD6" w14:textId="3EAF8D7A"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471C46B" w14:textId="1B42FB39"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B892A7E" w14:textId="77777777" w:rsidR="0080564E" w:rsidRPr="00A33264" w:rsidRDefault="0080564E" w:rsidP="00FD3D46">
            <w:pPr>
              <w:jc w:val="right"/>
              <w:rPr>
                <w:lang w:val="en-GB"/>
              </w:rPr>
            </w:pPr>
            <w:r w:rsidRPr="00A33264">
              <w:rPr>
                <w:lang w:val="en-GB"/>
              </w:rPr>
              <w:t>44,307</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82FF3A6" w14:textId="77777777" w:rsidR="0080564E" w:rsidRPr="00A33264" w:rsidRDefault="0080564E" w:rsidP="00FD3D46">
            <w:pPr>
              <w:jc w:val="right"/>
              <w:rPr>
                <w:lang w:val="en-GB"/>
              </w:rPr>
            </w:pPr>
            <w:r w:rsidRPr="00A33264">
              <w:rPr>
                <w:lang w:val="en-GB"/>
              </w:rPr>
              <w:t>12,407</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2A2F2E8" w14:textId="3B2FDB5D"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04D92AF" w14:textId="71337ED5" w:rsidR="0080564E" w:rsidRPr="00A33264" w:rsidRDefault="00B15934"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B012CB2" w14:textId="77777777" w:rsidR="0080564E" w:rsidRPr="00A33264" w:rsidRDefault="0080564E" w:rsidP="00FD3D46">
            <w:pPr>
              <w:jc w:val="right"/>
              <w:rPr>
                <w:b/>
                <w:bCs/>
                <w:lang w:val="en-GB"/>
              </w:rPr>
            </w:pPr>
            <w:r w:rsidRPr="00A33264">
              <w:rPr>
                <w:lang w:val="en-GB"/>
              </w:rPr>
              <w:t>556,105</w:t>
            </w:r>
          </w:p>
        </w:tc>
      </w:tr>
      <w:tr w:rsidR="0080564E" w:rsidRPr="00A33264" w14:paraId="7CEEA4EE"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0A128BF" w14:textId="48EB313C" w:rsidR="0080564E" w:rsidRPr="00A33264" w:rsidRDefault="00B969E8" w:rsidP="0080564E">
            <w:pPr>
              <w:rPr>
                <w:lang w:val="en-GB"/>
              </w:rPr>
            </w:pPr>
            <w:r w:rsidRPr="00A33264">
              <w:rPr>
                <w:lang w:val="en-GB"/>
              </w:rPr>
              <w:lastRenderedPageBreak/>
              <w:t>Dr</w:t>
            </w:r>
            <w:r w:rsidR="0080564E" w:rsidRPr="00A33264">
              <w:rPr>
                <w:lang w:val="en-GB"/>
              </w:rPr>
              <w:t xml:space="preserve"> Peta Seaton</w:t>
            </w:r>
            <w:r w:rsidR="00877A07" w:rsidRPr="00A33264">
              <w:rPr>
                <w:lang w:val="en-GB"/>
              </w:rPr>
              <w:t xml:space="preserve"> AM</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1A4D1CD" w14:textId="71C78A88"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B11519A" w14:textId="77777777" w:rsidR="0080564E" w:rsidRPr="00A33264" w:rsidRDefault="0080564E" w:rsidP="00FD3D46">
            <w:pPr>
              <w:jc w:val="right"/>
              <w:rPr>
                <w:lang w:val="en-GB"/>
              </w:rPr>
            </w:pPr>
            <w:r w:rsidRPr="00A33264">
              <w:rPr>
                <w:lang w:val="en-GB"/>
              </w:rPr>
              <w:t>58,572</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274809F" w14:textId="1D181C54"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2A774162" w14:textId="72616BB1" w:rsidR="0080564E" w:rsidRPr="00A33264" w:rsidRDefault="0080564E" w:rsidP="00FD3D46">
            <w:pPr>
              <w:jc w:val="right"/>
              <w:rPr>
                <w:lang w:val="en-GB"/>
              </w:rPr>
            </w:pPr>
            <w:r w:rsidRPr="00A33264">
              <w:rPr>
                <w:lang w:val="en-GB"/>
              </w:rPr>
              <w:t>49</w:t>
            </w:r>
            <w:r w:rsidR="009023D0">
              <w:rPr>
                <w:lang w:val="en-GB"/>
              </w:rPr>
              <w:t>2</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3C141C7A" w14:textId="77777777" w:rsidR="0080564E" w:rsidRPr="00A33264" w:rsidRDefault="0080564E" w:rsidP="00FD3D46">
            <w:pPr>
              <w:jc w:val="right"/>
              <w:rPr>
                <w:lang w:val="en-GB"/>
              </w:rPr>
            </w:pPr>
            <w:r w:rsidRPr="00A33264">
              <w:rPr>
                <w:lang w:val="en-GB"/>
              </w:rPr>
              <w:t>9,020</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A953FEC" w14:textId="6A4BA526"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AC22523" w14:textId="6FC75E42"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51798D8" w14:textId="75A35C2B"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54F43F3" w14:textId="77777777" w:rsidR="0080564E" w:rsidRPr="00A33264" w:rsidRDefault="0080564E" w:rsidP="00FD3D46">
            <w:pPr>
              <w:jc w:val="right"/>
              <w:rPr>
                <w:b/>
                <w:bCs/>
                <w:lang w:val="en-GB"/>
              </w:rPr>
            </w:pPr>
            <w:r w:rsidRPr="00A33264">
              <w:rPr>
                <w:lang w:val="en-GB"/>
              </w:rPr>
              <w:t>68,084</w:t>
            </w:r>
          </w:p>
        </w:tc>
      </w:tr>
      <w:tr w:rsidR="0080564E" w:rsidRPr="00A33264" w14:paraId="1B6013C4"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A3A2EC7" w14:textId="77777777" w:rsidR="0080564E" w:rsidRPr="00A33264" w:rsidRDefault="0080564E" w:rsidP="0080564E">
            <w:pPr>
              <w:rPr>
                <w:lang w:val="en-GB"/>
              </w:rPr>
            </w:pPr>
            <w:r w:rsidRPr="00A33264">
              <w:rPr>
                <w:lang w:val="en-GB"/>
              </w:rPr>
              <w:t>Mr Matthew Swainson</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5216CEC" w14:textId="77777777" w:rsidR="0080564E" w:rsidRPr="00A33264" w:rsidRDefault="0080564E" w:rsidP="0080564E">
            <w:pPr>
              <w:rPr>
                <w:lang w:val="en-GB"/>
              </w:rPr>
            </w:pPr>
            <w:r w:rsidRPr="00A33264">
              <w:rPr>
                <w:lang w:val="en-GB"/>
              </w:rPr>
              <w:t>Acting Deputy Chief Executive Officer Governance, Risk and Legal</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7E5C7166" w14:textId="77777777" w:rsidR="0080564E" w:rsidRPr="00A33264" w:rsidRDefault="0080564E" w:rsidP="00FD3D46">
            <w:pPr>
              <w:jc w:val="right"/>
              <w:rPr>
                <w:lang w:val="en-GB"/>
              </w:rPr>
            </w:pPr>
            <w:r w:rsidRPr="00A33264">
              <w:rPr>
                <w:lang w:val="en-GB"/>
              </w:rPr>
              <w:t>96,019</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3B7743D3" w14:textId="31D897ED"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971D389" w14:textId="5DACBA43" w:rsidR="0080564E" w:rsidRPr="00A33264" w:rsidRDefault="0080564E" w:rsidP="00FD3D46">
            <w:pPr>
              <w:jc w:val="right"/>
              <w:rPr>
                <w:lang w:val="en-GB"/>
              </w:rPr>
            </w:pPr>
            <w:r w:rsidRPr="00A33264">
              <w:rPr>
                <w:lang w:val="en-GB"/>
              </w:rPr>
              <w:t>0</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4ECD1F76" w14:textId="77777777" w:rsidR="0080564E" w:rsidRPr="00A33264" w:rsidRDefault="0080564E" w:rsidP="00FD3D46">
            <w:pPr>
              <w:jc w:val="right"/>
              <w:rPr>
                <w:lang w:val="en-GB"/>
              </w:rPr>
            </w:pPr>
            <w:r w:rsidRPr="00A33264">
              <w:rPr>
                <w:lang w:val="en-GB"/>
              </w:rPr>
              <w:t>11,801</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2E3CD2E7" w14:textId="77777777" w:rsidR="0080564E" w:rsidRPr="00A33264" w:rsidRDefault="0080564E" w:rsidP="00FD3D46">
            <w:pPr>
              <w:jc w:val="right"/>
              <w:rPr>
                <w:lang w:val="en-GB"/>
              </w:rPr>
            </w:pPr>
            <w:r w:rsidRPr="00A33264">
              <w:rPr>
                <w:lang w:val="en-GB"/>
              </w:rPr>
              <w:t>2,494</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E73A402" w14:textId="331AD2A1"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6567D47D" w14:textId="0F753F6D"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hideMark/>
          </w:tcPr>
          <w:p w14:paraId="5B4FB1AD" w14:textId="77777777" w:rsidR="0080564E" w:rsidRPr="00A33264" w:rsidRDefault="0080564E" w:rsidP="00FD3D46">
            <w:pPr>
              <w:jc w:val="right"/>
              <w:rPr>
                <w:b/>
                <w:bCs/>
                <w:lang w:val="en-GB"/>
              </w:rPr>
            </w:pPr>
            <w:r w:rsidRPr="00A33264">
              <w:rPr>
                <w:lang w:val="en-GB"/>
              </w:rPr>
              <w:t>110,314</w:t>
            </w:r>
          </w:p>
        </w:tc>
      </w:tr>
      <w:tr w:rsidR="0080564E" w:rsidRPr="00A33264" w14:paraId="0A3C9004" w14:textId="77777777" w:rsidTr="004364A0">
        <w:trPr>
          <w:trHeight w:val="289"/>
        </w:trPr>
        <w:tc>
          <w:tcPr>
            <w:tcW w:w="2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4FE2F87B" w14:textId="1E6D608F" w:rsidR="0080564E" w:rsidRPr="00A33264" w:rsidRDefault="0080564E" w:rsidP="0080564E">
            <w:pPr>
              <w:rPr>
                <w:lang w:val="en-GB"/>
              </w:rPr>
            </w:pPr>
            <w:r w:rsidRPr="00A33264">
              <w:rPr>
                <w:lang w:val="en-GB"/>
              </w:rPr>
              <w:t xml:space="preserve">Ms Leah </w:t>
            </w:r>
            <w:r w:rsidR="009023D0">
              <w:rPr>
                <w:lang w:val="en-GB"/>
              </w:rPr>
              <w:t>v</w:t>
            </w:r>
            <w:r w:rsidRPr="00A33264">
              <w:rPr>
                <w:lang w:val="en-GB"/>
              </w:rPr>
              <w:t>an Poppel</w:t>
            </w:r>
          </w:p>
        </w:tc>
        <w:tc>
          <w:tcPr>
            <w:tcW w:w="184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1635BF4" w14:textId="02D6BBDC" w:rsidR="0080564E" w:rsidRPr="00A33264" w:rsidRDefault="0080564E" w:rsidP="0080564E">
            <w:pPr>
              <w:rPr>
                <w:lang w:val="en-GB"/>
              </w:rPr>
            </w:pPr>
            <w:r w:rsidRPr="00A33264">
              <w:rPr>
                <w:lang w:val="en-GB"/>
              </w:rPr>
              <w:t xml:space="preserve">Board </w:t>
            </w:r>
            <w:r w:rsidR="00BF6B6E">
              <w:rPr>
                <w:lang w:val="en-GB"/>
              </w:rPr>
              <w:t>m</w:t>
            </w:r>
            <w:r w:rsidRPr="00A33264">
              <w:rPr>
                <w:lang w:val="en-GB"/>
              </w:rPr>
              <w:t>ember</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BCB6E3D" w14:textId="77777777" w:rsidR="0080564E" w:rsidRPr="00A33264" w:rsidRDefault="0080564E" w:rsidP="00FD3D46">
            <w:pPr>
              <w:jc w:val="right"/>
              <w:rPr>
                <w:lang w:val="en-GB"/>
              </w:rPr>
            </w:pPr>
            <w:r w:rsidRPr="00A33264">
              <w:rPr>
                <w:lang w:val="en-GB"/>
              </w:rPr>
              <w:t>161,291</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65108C0" w14:textId="749D0C37" w:rsidR="0080564E" w:rsidRPr="00A33264" w:rsidRDefault="0080564E" w:rsidP="00FD3D46">
            <w:pPr>
              <w:jc w:val="right"/>
              <w:rPr>
                <w:lang w:val="en-GB"/>
              </w:rPr>
            </w:pPr>
            <w:r w:rsidRPr="00A33264">
              <w:rPr>
                <w:lang w:val="en-GB"/>
              </w:rPr>
              <w:t>0</w:t>
            </w:r>
          </w:p>
        </w:tc>
        <w:tc>
          <w:tcPr>
            <w:tcW w:w="1418"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DC9B1DA" w14:textId="77777777" w:rsidR="0080564E" w:rsidRPr="00A33264" w:rsidRDefault="0080564E" w:rsidP="00FD3D46">
            <w:pPr>
              <w:jc w:val="right"/>
              <w:rPr>
                <w:lang w:val="en-GB"/>
              </w:rPr>
            </w:pPr>
            <w:r w:rsidRPr="00A33264">
              <w:rPr>
                <w:lang w:val="en-GB"/>
              </w:rPr>
              <w:t>2,245</w:t>
            </w:r>
          </w:p>
        </w:tc>
        <w:tc>
          <w:tcPr>
            <w:tcW w:w="170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5DB8B4A9" w14:textId="77777777" w:rsidR="0080564E" w:rsidRPr="00A33264" w:rsidRDefault="0080564E" w:rsidP="00FD3D46">
            <w:pPr>
              <w:jc w:val="right"/>
              <w:rPr>
                <w:lang w:val="en-GB"/>
              </w:rPr>
            </w:pPr>
            <w:r w:rsidRPr="00A33264">
              <w:rPr>
                <w:lang w:val="en-GB"/>
              </w:rPr>
              <w:t>25,184</w:t>
            </w:r>
          </w:p>
        </w:tc>
        <w:tc>
          <w:tcPr>
            <w:tcW w:w="992"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11F7A7A4" w14:textId="0EBC684E"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64E6F5CC" w14:textId="53B4C4A4" w:rsidR="0080564E" w:rsidRPr="00A33264" w:rsidRDefault="0080564E" w:rsidP="00FD3D46">
            <w:pPr>
              <w:jc w:val="right"/>
              <w:rPr>
                <w:lang w:val="en-GB"/>
              </w:rPr>
            </w:pPr>
            <w:r w:rsidRPr="00A33264">
              <w:rPr>
                <w:lang w:val="en-GB"/>
              </w:rPr>
              <w:t>0</w:t>
            </w:r>
          </w:p>
        </w:tc>
        <w:tc>
          <w:tcPr>
            <w:tcW w:w="1134"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0B708E4C" w14:textId="6F5D195A" w:rsidR="0080564E" w:rsidRPr="00A33264" w:rsidRDefault="0080564E" w:rsidP="00FD3D46">
            <w:pPr>
              <w:jc w:val="right"/>
              <w:rPr>
                <w:lang w:val="en-GB"/>
              </w:rPr>
            </w:pPr>
            <w:r w:rsidRPr="00A33264">
              <w:rPr>
                <w:lang w:val="en-GB"/>
              </w:rPr>
              <w:t>0</w:t>
            </w:r>
          </w:p>
        </w:tc>
        <w:tc>
          <w:tcPr>
            <w:tcW w:w="1170" w:type="dxa"/>
            <w:tcBorders>
              <w:top w:val="single" w:sz="8" w:space="0" w:color="6B2876" w:themeColor="text1"/>
              <w:left w:val="single" w:sz="8" w:space="0" w:color="6B2876" w:themeColor="text1"/>
              <w:bottom w:val="single" w:sz="8" w:space="0" w:color="6B2876" w:themeColor="text1"/>
              <w:right w:val="single" w:sz="8" w:space="0" w:color="6B2876" w:themeColor="text1"/>
            </w:tcBorders>
            <w:shd w:val="clear" w:color="auto" w:fill="F7EEF7"/>
            <w:hideMark/>
          </w:tcPr>
          <w:p w14:paraId="780F9E65" w14:textId="77777777" w:rsidR="0080564E" w:rsidRPr="00A33264" w:rsidRDefault="0080564E" w:rsidP="00FD3D46">
            <w:pPr>
              <w:jc w:val="right"/>
              <w:rPr>
                <w:b/>
                <w:bCs/>
                <w:lang w:val="en-GB"/>
              </w:rPr>
            </w:pPr>
            <w:r w:rsidRPr="00A33264">
              <w:rPr>
                <w:lang w:val="en-GB"/>
              </w:rPr>
              <w:t>188,720</w:t>
            </w:r>
          </w:p>
        </w:tc>
      </w:tr>
    </w:tbl>
    <w:p w14:paraId="081505F3" w14:textId="77777777" w:rsidR="004364A0" w:rsidRDefault="004364A0" w:rsidP="004364A0">
      <w:pPr>
        <w:pStyle w:val="Tablenote"/>
      </w:pPr>
      <w:bookmarkStart w:id="374" w:name="_Toc169592999"/>
      <w:r>
        <w:t xml:space="preserve">Note: </w:t>
      </w:r>
      <w:r w:rsidRPr="001651D3">
        <w:t>All data is calculated on an accrual basis.</w:t>
      </w:r>
    </w:p>
    <w:p w14:paraId="3AC73D89" w14:textId="7D121A5B" w:rsidR="00255A26" w:rsidRPr="00A33264" w:rsidRDefault="00255A26" w:rsidP="00255A26">
      <w:pPr>
        <w:pStyle w:val="Heading4"/>
        <w:rPr>
          <w:lang w:val="en-GB"/>
        </w:rPr>
      </w:pPr>
      <w:r w:rsidRPr="00A33264">
        <w:rPr>
          <w:lang w:val="en-GB"/>
        </w:rPr>
        <w:t>Senior executives</w:t>
      </w:r>
      <w:bookmarkEnd w:id="374"/>
    </w:p>
    <w:p w14:paraId="051A57C8" w14:textId="651E2025" w:rsidR="001651D3" w:rsidRPr="00A33264" w:rsidRDefault="001651D3" w:rsidP="001651D3">
      <w:pPr>
        <w:rPr>
          <w:lang w:val="en-GB"/>
        </w:rPr>
      </w:pPr>
      <w:r w:rsidRPr="00A33264">
        <w:rPr>
          <w:lang w:val="en-GB"/>
        </w:rPr>
        <w:t xml:space="preserve">The NDIA’s senior executives </w:t>
      </w:r>
      <w:r w:rsidR="00C80315">
        <w:rPr>
          <w:lang w:val="en-GB"/>
        </w:rPr>
        <w:t>include</w:t>
      </w:r>
      <w:r w:rsidRPr="00A33264">
        <w:rPr>
          <w:lang w:val="en-GB"/>
        </w:rPr>
        <w:t>:</w:t>
      </w:r>
    </w:p>
    <w:p w14:paraId="5EA65481" w14:textId="4FC40F3F" w:rsidR="001651D3" w:rsidRPr="00A33264" w:rsidRDefault="001651D3" w:rsidP="001651D3">
      <w:pPr>
        <w:pStyle w:val="Bullet1"/>
        <w:rPr>
          <w:lang w:val="en-GB"/>
        </w:rPr>
      </w:pPr>
      <w:r w:rsidRPr="00A33264">
        <w:rPr>
          <w:lang w:val="en-GB"/>
        </w:rPr>
        <w:t xml:space="preserve">any official classified as Senior Executive Band 1, Band 2 or Band 3 under the </w:t>
      </w:r>
      <w:r w:rsidRPr="001A59E8">
        <w:rPr>
          <w:i/>
          <w:iCs/>
          <w:lang w:val="en-GB"/>
        </w:rPr>
        <w:t>Public Service Classification Rules 2000</w:t>
      </w:r>
      <w:r w:rsidRPr="00A33264">
        <w:rPr>
          <w:lang w:val="en-GB"/>
        </w:rPr>
        <w:t xml:space="preserve"> </w:t>
      </w:r>
    </w:p>
    <w:p w14:paraId="2E04CDF1" w14:textId="2F89BBA1" w:rsidR="001651D3" w:rsidRPr="00A33264" w:rsidRDefault="001651D3" w:rsidP="001651D3">
      <w:pPr>
        <w:pStyle w:val="Bullet1"/>
        <w:rPr>
          <w:lang w:val="en-GB"/>
        </w:rPr>
      </w:pPr>
      <w:r w:rsidRPr="00A33264">
        <w:rPr>
          <w:lang w:val="en-GB"/>
        </w:rPr>
        <w:t>any official with a position equivalent to Senior Executive Band 1, Band 2 or Band 3, including contractors and consultants prescribed as officials.</w:t>
      </w:r>
    </w:p>
    <w:p w14:paraId="2113BF9A" w14:textId="1479A2AE" w:rsidR="001651D3" w:rsidRPr="00A33264" w:rsidRDefault="001651D3" w:rsidP="001651D3">
      <w:pPr>
        <w:rPr>
          <w:lang w:val="en-GB"/>
        </w:rPr>
      </w:pPr>
      <w:r w:rsidRPr="00A33264">
        <w:rPr>
          <w:lang w:val="en-GB"/>
        </w:rPr>
        <w:lastRenderedPageBreak/>
        <w:t xml:space="preserve">The average remuneration received or due to be received for each of the NDIA’s senior executives who are not key management personnel for the year ended 30 June 2024 is shown in </w:t>
      </w:r>
      <w:r w:rsidR="00591C73">
        <w:rPr>
          <w:lang w:val="en-GB"/>
        </w:rPr>
        <w:t>T</w:t>
      </w:r>
      <w:r w:rsidRPr="00A33264">
        <w:rPr>
          <w:lang w:val="en-GB"/>
        </w:rPr>
        <w:t xml:space="preserve">able </w:t>
      </w:r>
      <w:r w:rsidR="00A27A9C">
        <w:rPr>
          <w:lang w:val="en-GB"/>
        </w:rPr>
        <w:t>12</w:t>
      </w:r>
      <w:r w:rsidRPr="00A33264">
        <w:rPr>
          <w:lang w:val="en-GB"/>
        </w:rPr>
        <w:t>.</w:t>
      </w:r>
    </w:p>
    <w:p w14:paraId="6645CA33" w14:textId="1962B5F8" w:rsidR="00255A26" w:rsidRPr="00A33264" w:rsidRDefault="0080564E" w:rsidP="00255A26">
      <w:pPr>
        <w:rPr>
          <w:u w:val="single"/>
          <w:lang w:val="en-GB"/>
        </w:rPr>
      </w:pPr>
      <w:r w:rsidRPr="00A33264">
        <w:rPr>
          <w:u w:val="single"/>
          <w:lang w:val="en-GB"/>
        </w:rPr>
        <w:t xml:space="preserve">Table </w:t>
      </w:r>
      <w:r w:rsidR="00A27A9C">
        <w:rPr>
          <w:u w:val="single"/>
          <w:lang w:val="en-GB"/>
        </w:rPr>
        <w:t>12</w:t>
      </w:r>
      <w:r w:rsidRPr="00A33264">
        <w:rPr>
          <w:u w:val="single"/>
          <w:lang w:val="en-GB"/>
        </w:rPr>
        <w:t>: Senior executive remuneration</w:t>
      </w:r>
    </w:p>
    <w:tbl>
      <w:tblPr>
        <w:tblW w:w="13528" w:type="dxa"/>
        <w:tblInd w:w="1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28" w:type="dxa"/>
          <w:left w:w="28" w:type="dxa"/>
          <w:bottom w:w="28" w:type="dxa"/>
          <w:right w:w="28" w:type="dxa"/>
        </w:tblCellMar>
        <w:tblLook w:val="01E0" w:firstRow="1" w:lastRow="1" w:firstColumn="1" w:lastColumn="1" w:noHBand="0" w:noVBand="0"/>
      </w:tblPr>
      <w:tblGrid>
        <w:gridCol w:w="2515"/>
        <w:gridCol w:w="1418"/>
        <w:gridCol w:w="992"/>
        <w:gridCol w:w="851"/>
        <w:gridCol w:w="1275"/>
        <w:gridCol w:w="1418"/>
        <w:gridCol w:w="1134"/>
        <w:gridCol w:w="1417"/>
        <w:gridCol w:w="1204"/>
        <w:gridCol w:w="1304"/>
      </w:tblGrid>
      <w:tr w:rsidR="0080564E" w:rsidRPr="00A33264" w14:paraId="1F8890B8" w14:textId="77777777" w:rsidTr="00F23525">
        <w:trPr>
          <w:cantSplit/>
          <w:trHeight w:val="2733"/>
          <w:tblHeader/>
        </w:trPr>
        <w:tc>
          <w:tcPr>
            <w:tcW w:w="2515" w:type="dxa"/>
            <w:tcBorders>
              <w:top w:val="single" w:sz="4" w:space="0" w:color="auto"/>
              <w:left w:val="single" w:sz="4" w:space="0" w:color="auto"/>
              <w:bottom w:val="single" w:sz="4" w:space="0" w:color="auto"/>
              <w:right w:val="single" w:sz="4" w:space="0" w:color="F9F9F9" w:themeColor="background1"/>
            </w:tcBorders>
            <w:shd w:val="clear" w:color="auto" w:fill="6B2876" w:themeFill="text1"/>
            <w:textDirection w:val="btLr"/>
            <w:vAlign w:val="center"/>
            <w:hideMark/>
          </w:tcPr>
          <w:p w14:paraId="13DD0E22" w14:textId="49156FB0" w:rsidR="0080564E" w:rsidRPr="00A33264" w:rsidRDefault="0080564E" w:rsidP="00D14422">
            <w:pPr>
              <w:spacing w:after="0" w:line="240" w:lineRule="auto"/>
              <w:ind w:left="113" w:right="113"/>
              <w:rPr>
                <w:b/>
                <w:color w:val="F9F9F9" w:themeColor="background1"/>
                <w:lang w:val="en-GB"/>
              </w:rPr>
            </w:pPr>
            <w:bookmarkStart w:id="375" w:name="ColumnTitle_Table12"/>
            <w:bookmarkEnd w:id="375"/>
            <w:r w:rsidRPr="00A33264">
              <w:rPr>
                <w:b/>
                <w:color w:val="F9F9F9" w:themeColor="background1"/>
                <w:lang w:val="en-GB"/>
              </w:rPr>
              <w:t xml:space="preserve">Senior executive remuneration </w:t>
            </w:r>
            <w:r w:rsidR="00083688">
              <w:rPr>
                <w:b/>
                <w:color w:val="F9F9F9" w:themeColor="background1"/>
                <w:lang w:val="en-GB"/>
              </w:rPr>
              <w:t>–</w:t>
            </w:r>
            <w:r w:rsidRPr="00A33264">
              <w:rPr>
                <w:b/>
                <w:color w:val="F9F9F9" w:themeColor="background1"/>
                <w:lang w:val="en-GB"/>
              </w:rPr>
              <w:t xml:space="preserve"> total remuneration bands</w:t>
            </w:r>
          </w:p>
        </w:tc>
        <w:tc>
          <w:tcPr>
            <w:tcW w:w="1418"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2273F409" w14:textId="14E12559" w:rsidR="0080564E" w:rsidRPr="00A33264" w:rsidRDefault="004167F7" w:rsidP="00D14422">
            <w:pPr>
              <w:spacing w:after="0" w:line="240" w:lineRule="auto"/>
              <w:ind w:left="113" w:right="113"/>
              <w:rPr>
                <w:b/>
                <w:color w:val="F9F9F9" w:themeColor="background1"/>
                <w:lang w:val="en-GB"/>
              </w:rPr>
            </w:pPr>
            <w:r>
              <w:rPr>
                <w:b/>
                <w:color w:val="F9F9F9" w:themeColor="background1"/>
                <w:lang w:val="en-GB"/>
              </w:rPr>
              <w:t xml:space="preserve">Senior executive </w:t>
            </w:r>
            <w:r w:rsidR="000645BC">
              <w:rPr>
                <w:b/>
                <w:color w:val="F9F9F9" w:themeColor="background1"/>
                <w:lang w:val="en-GB"/>
              </w:rPr>
              <w:t xml:space="preserve">remuneration </w:t>
            </w:r>
            <w:r w:rsidR="00672240">
              <w:rPr>
                <w:b/>
                <w:color w:val="F9F9F9" w:themeColor="background1"/>
                <w:lang w:val="en-GB"/>
              </w:rPr>
              <w:t>–</w:t>
            </w:r>
            <w:r w:rsidR="000645BC">
              <w:rPr>
                <w:b/>
                <w:color w:val="F9F9F9" w:themeColor="background1"/>
                <w:lang w:val="en-GB"/>
              </w:rPr>
              <w:t xml:space="preserve"> </w:t>
            </w:r>
            <w:r w:rsidR="0080564E" w:rsidRPr="00A33264">
              <w:rPr>
                <w:b/>
                <w:color w:val="F9F9F9" w:themeColor="background1"/>
                <w:lang w:val="en-GB"/>
              </w:rPr>
              <w:t>Number of senior executives</w:t>
            </w:r>
          </w:p>
        </w:tc>
        <w:tc>
          <w:tcPr>
            <w:tcW w:w="992"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5565D443" w14:textId="085ED0C3"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Short-term benefits </w:t>
            </w:r>
            <w:r w:rsidR="00672240">
              <w:rPr>
                <w:b/>
                <w:color w:val="F9F9F9" w:themeColor="background1"/>
                <w:lang w:val="en-GB"/>
              </w:rPr>
              <w:t>–</w:t>
            </w:r>
            <w:r w:rsidRPr="00A33264">
              <w:rPr>
                <w:b/>
                <w:color w:val="F9F9F9" w:themeColor="background1"/>
                <w:lang w:val="en-GB"/>
              </w:rPr>
              <w:t xml:space="preserve"> average base salary</w:t>
            </w:r>
          </w:p>
        </w:tc>
        <w:tc>
          <w:tcPr>
            <w:tcW w:w="851"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3E8CE3C2" w14:textId="3E0BB980"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Short-term benefits </w:t>
            </w:r>
            <w:r w:rsidR="00672240">
              <w:rPr>
                <w:b/>
                <w:color w:val="F9F9F9" w:themeColor="background1"/>
                <w:lang w:val="en-GB"/>
              </w:rPr>
              <w:t>–</w:t>
            </w:r>
            <w:r w:rsidRPr="00A33264">
              <w:rPr>
                <w:b/>
                <w:color w:val="F9F9F9" w:themeColor="background1"/>
                <w:lang w:val="en-GB"/>
              </w:rPr>
              <w:t xml:space="preserve"> average bonuses</w:t>
            </w:r>
          </w:p>
        </w:tc>
        <w:tc>
          <w:tcPr>
            <w:tcW w:w="1275"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3E0A6603" w14:textId="77793D45"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Short-term benefits </w:t>
            </w:r>
            <w:r w:rsidR="00672240">
              <w:rPr>
                <w:b/>
                <w:color w:val="F9F9F9" w:themeColor="background1"/>
                <w:lang w:val="en-GB"/>
              </w:rPr>
              <w:t>–</w:t>
            </w:r>
            <w:r w:rsidRPr="00A33264">
              <w:rPr>
                <w:b/>
                <w:color w:val="F9F9F9" w:themeColor="background1"/>
                <w:lang w:val="en-GB"/>
              </w:rPr>
              <w:t xml:space="preserve"> average other benefits and allowances</w:t>
            </w:r>
          </w:p>
        </w:tc>
        <w:tc>
          <w:tcPr>
            <w:tcW w:w="1418"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2FF86771" w14:textId="1A3ACC53"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Post-employment benefits </w:t>
            </w:r>
            <w:r w:rsidR="00672240">
              <w:rPr>
                <w:b/>
                <w:color w:val="F9F9F9" w:themeColor="background1"/>
                <w:lang w:val="en-GB"/>
              </w:rPr>
              <w:t>–</w:t>
            </w:r>
            <w:r w:rsidRPr="00A33264">
              <w:rPr>
                <w:b/>
                <w:color w:val="F9F9F9" w:themeColor="background1"/>
                <w:lang w:val="en-GB"/>
              </w:rPr>
              <w:t xml:space="preserve"> average superannuation contributions</w:t>
            </w:r>
          </w:p>
        </w:tc>
        <w:tc>
          <w:tcPr>
            <w:tcW w:w="1134"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67A53889" w14:textId="663B72C2"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Other long-term benefits </w:t>
            </w:r>
            <w:r w:rsidR="00672240">
              <w:rPr>
                <w:b/>
                <w:color w:val="F9F9F9" w:themeColor="background1"/>
                <w:lang w:val="en-GB"/>
              </w:rPr>
              <w:t>–</w:t>
            </w:r>
            <w:r w:rsidRPr="00A33264">
              <w:rPr>
                <w:b/>
                <w:color w:val="F9F9F9" w:themeColor="background1"/>
                <w:lang w:val="en-GB"/>
              </w:rPr>
              <w:t xml:space="preserve"> average long service leave</w:t>
            </w:r>
          </w:p>
        </w:tc>
        <w:tc>
          <w:tcPr>
            <w:tcW w:w="1417"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4876BB7B" w14:textId="6A9397AE"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Other long-term benefits </w:t>
            </w:r>
            <w:r w:rsidR="00672240">
              <w:rPr>
                <w:b/>
                <w:color w:val="F9F9F9" w:themeColor="background1"/>
                <w:lang w:val="en-GB"/>
              </w:rPr>
              <w:t>–</w:t>
            </w:r>
            <w:r w:rsidRPr="00A33264">
              <w:rPr>
                <w:b/>
                <w:color w:val="F9F9F9" w:themeColor="background1"/>
                <w:lang w:val="en-GB"/>
              </w:rPr>
              <w:t xml:space="preserve"> </w:t>
            </w:r>
            <w:r w:rsidR="00591C73">
              <w:rPr>
                <w:b/>
                <w:color w:val="F9F9F9" w:themeColor="background1"/>
                <w:lang w:val="en-GB"/>
              </w:rPr>
              <w:t>a</w:t>
            </w:r>
            <w:r w:rsidRPr="00A33264">
              <w:rPr>
                <w:b/>
                <w:color w:val="F9F9F9" w:themeColor="background1"/>
                <w:lang w:val="en-GB"/>
              </w:rPr>
              <w:t>verage other long-term benefits</w:t>
            </w:r>
          </w:p>
        </w:tc>
        <w:tc>
          <w:tcPr>
            <w:tcW w:w="1204"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0E03441D" w14:textId="364B1DC7"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Termination benefits </w:t>
            </w:r>
            <w:r w:rsidR="00A92707">
              <w:rPr>
                <w:b/>
                <w:color w:val="F9F9F9" w:themeColor="background1"/>
                <w:lang w:val="en-GB"/>
              </w:rPr>
              <w:t>–</w:t>
            </w:r>
            <w:r w:rsidRPr="00A33264">
              <w:rPr>
                <w:b/>
                <w:color w:val="F9F9F9" w:themeColor="background1"/>
                <w:lang w:val="en-GB"/>
              </w:rPr>
              <w:t xml:space="preserve"> average termination benefits</w:t>
            </w:r>
          </w:p>
        </w:tc>
        <w:tc>
          <w:tcPr>
            <w:tcW w:w="1304" w:type="dxa"/>
            <w:tcBorders>
              <w:top w:val="single" w:sz="4" w:space="0" w:color="auto"/>
              <w:left w:val="single" w:sz="4" w:space="0" w:color="F9F9F9" w:themeColor="background1"/>
              <w:bottom w:val="single" w:sz="4" w:space="0" w:color="auto"/>
              <w:right w:val="single" w:sz="4" w:space="0" w:color="auto"/>
            </w:tcBorders>
            <w:shd w:val="clear" w:color="auto" w:fill="6B2876" w:themeFill="text1"/>
            <w:textDirection w:val="btLr"/>
            <w:vAlign w:val="center"/>
            <w:hideMark/>
          </w:tcPr>
          <w:p w14:paraId="2E58CBA0" w14:textId="0463CEB9" w:rsidR="0080564E" w:rsidRPr="00A33264" w:rsidRDefault="0080564E" w:rsidP="00D14422">
            <w:pPr>
              <w:spacing w:after="0" w:line="240" w:lineRule="auto"/>
              <w:ind w:left="113" w:right="113"/>
              <w:rPr>
                <w:b/>
                <w:color w:val="F9F9F9" w:themeColor="background1"/>
                <w:lang w:val="en-GB"/>
              </w:rPr>
            </w:pPr>
            <w:r w:rsidRPr="00A33264">
              <w:rPr>
                <w:b/>
                <w:color w:val="F9F9F9" w:themeColor="background1"/>
                <w:lang w:val="en-GB"/>
              </w:rPr>
              <w:t xml:space="preserve">Total remuneration </w:t>
            </w:r>
            <w:r w:rsidR="00A92707">
              <w:rPr>
                <w:b/>
                <w:color w:val="F9F9F9" w:themeColor="background1"/>
                <w:lang w:val="en-GB"/>
              </w:rPr>
              <w:t>–</w:t>
            </w:r>
            <w:r w:rsidRPr="00A33264">
              <w:rPr>
                <w:b/>
                <w:color w:val="F9F9F9" w:themeColor="background1"/>
                <w:lang w:val="en-GB"/>
              </w:rPr>
              <w:t xml:space="preserve"> average total remuneration</w:t>
            </w:r>
          </w:p>
        </w:tc>
      </w:tr>
      <w:tr w:rsidR="0080564E" w:rsidRPr="00A33264" w14:paraId="3ADCB57F"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998E316" w14:textId="6878FF31" w:rsidR="0080564E" w:rsidRPr="00A33264" w:rsidRDefault="0080564E" w:rsidP="001C0A6D">
            <w:pPr>
              <w:spacing w:after="0"/>
              <w:rPr>
                <w:lang w:val="en-GB"/>
              </w:rPr>
            </w:pPr>
            <w:r w:rsidRPr="00A33264">
              <w:rPr>
                <w:lang w:val="en-GB"/>
              </w:rPr>
              <w:t>$0 to $220,000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94CAC57" w14:textId="77777777" w:rsidR="0080564E" w:rsidRPr="00A33264" w:rsidRDefault="0080564E" w:rsidP="001C0A6D">
            <w:pPr>
              <w:spacing w:after="0"/>
              <w:jc w:val="right"/>
              <w:rPr>
                <w:lang w:val="en-GB"/>
              </w:rPr>
            </w:pPr>
            <w:r w:rsidRPr="00A33264">
              <w:rPr>
                <w:lang w:val="en-GB"/>
              </w:rPr>
              <w:t>94</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D7C6E6F" w14:textId="77777777" w:rsidR="0080564E" w:rsidRPr="00A33264" w:rsidRDefault="0080564E" w:rsidP="001C0A6D">
            <w:pPr>
              <w:spacing w:after="0"/>
              <w:jc w:val="right"/>
              <w:rPr>
                <w:lang w:val="en-GB"/>
              </w:rPr>
            </w:pPr>
            <w:r w:rsidRPr="00A33264">
              <w:rPr>
                <w:lang w:val="en-GB"/>
              </w:rPr>
              <w:t>80,461</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9A5504B" w14:textId="317D49C8"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6064162" w14:textId="77777777" w:rsidR="0080564E" w:rsidRPr="00A33264" w:rsidRDefault="0080564E" w:rsidP="001C0A6D">
            <w:pPr>
              <w:spacing w:after="0"/>
              <w:jc w:val="right"/>
              <w:rPr>
                <w:lang w:val="en-GB"/>
              </w:rPr>
            </w:pPr>
            <w:r w:rsidRPr="00A33264">
              <w:rPr>
                <w:lang w:val="en-GB"/>
              </w:rPr>
              <w:t>552</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9073B6C" w14:textId="77777777" w:rsidR="0080564E" w:rsidRPr="00A33264" w:rsidRDefault="0080564E" w:rsidP="001C0A6D">
            <w:pPr>
              <w:spacing w:after="0"/>
              <w:jc w:val="right"/>
              <w:rPr>
                <w:lang w:val="en-GB"/>
              </w:rPr>
            </w:pPr>
            <w:r w:rsidRPr="00A33264">
              <w:rPr>
                <w:lang w:val="en-GB"/>
              </w:rPr>
              <w:t>11,051</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57F6A83" w14:textId="77777777" w:rsidR="0080564E" w:rsidRPr="00A33264" w:rsidRDefault="0080564E" w:rsidP="001C0A6D">
            <w:pPr>
              <w:spacing w:after="0"/>
              <w:jc w:val="right"/>
              <w:rPr>
                <w:lang w:val="en-GB"/>
              </w:rPr>
            </w:pPr>
            <w:r w:rsidRPr="00A33264">
              <w:rPr>
                <w:lang w:val="en-GB"/>
              </w:rPr>
              <w:t>2,035</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425F9FB" w14:textId="265BACBF"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FF3FC94" w14:textId="0381ED6D"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E2DB744" w14:textId="77777777" w:rsidR="0080564E" w:rsidRPr="00A33264" w:rsidRDefault="0080564E" w:rsidP="001C0A6D">
            <w:pPr>
              <w:spacing w:after="0"/>
              <w:jc w:val="right"/>
              <w:rPr>
                <w:lang w:val="en-GB"/>
              </w:rPr>
            </w:pPr>
            <w:r w:rsidRPr="00A33264">
              <w:rPr>
                <w:lang w:val="en-GB"/>
              </w:rPr>
              <w:t>94,099</w:t>
            </w:r>
          </w:p>
        </w:tc>
      </w:tr>
      <w:tr w:rsidR="0080564E" w:rsidRPr="00A33264" w14:paraId="72ED49DA"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vAlign w:val="center"/>
            <w:hideMark/>
          </w:tcPr>
          <w:p w14:paraId="65519FE7" w14:textId="04E2DE29" w:rsidR="0080564E" w:rsidRPr="00A33264" w:rsidRDefault="0080564E" w:rsidP="001C0A6D">
            <w:pPr>
              <w:spacing w:after="0"/>
              <w:rPr>
                <w:lang w:val="en-GB"/>
              </w:rPr>
            </w:pPr>
            <w:r w:rsidRPr="00A33264">
              <w:rPr>
                <w:lang w:val="en-GB"/>
              </w:rPr>
              <w:t>$220,001 to $245,000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705AFB" w14:textId="77777777" w:rsidR="0080564E" w:rsidRPr="00A33264" w:rsidRDefault="0080564E" w:rsidP="001C0A6D">
            <w:pPr>
              <w:spacing w:after="0"/>
              <w:jc w:val="right"/>
              <w:rPr>
                <w:lang w:val="en-GB"/>
              </w:rPr>
            </w:pPr>
            <w:r w:rsidRPr="00A33264">
              <w:rPr>
                <w:lang w:val="en-GB"/>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5EFE89" w14:textId="77777777" w:rsidR="0080564E" w:rsidRPr="00A33264" w:rsidRDefault="0080564E" w:rsidP="001C0A6D">
            <w:pPr>
              <w:spacing w:after="0"/>
              <w:jc w:val="right"/>
              <w:rPr>
                <w:lang w:val="en-GB"/>
              </w:rPr>
            </w:pPr>
            <w:r w:rsidRPr="00A33264">
              <w:rPr>
                <w:lang w:val="en-GB"/>
              </w:rPr>
              <w:t>199,767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57C62D" w14:textId="23FE2D41"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5AA8A8" w14:textId="77777777" w:rsidR="0080564E" w:rsidRPr="00A33264" w:rsidRDefault="0080564E" w:rsidP="001C0A6D">
            <w:pPr>
              <w:spacing w:after="0"/>
              <w:jc w:val="right"/>
              <w:rPr>
                <w:lang w:val="en-GB"/>
              </w:rPr>
            </w:pPr>
            <w:r w:rsidRPr="00A33264">
              <w:rPr>
                <w:lang w:val="en-GB"/>
              </w:rPr>
              <w:t>746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04F59E" w14:textId="77777777" w:rsidR="0080564E" w:rsidRPr="00A33264" w:rsidRDefault="0080564E" w:rsidP="001C0A6D">
            <w:pPr>
              <w:spacing w:after="0"/>
              <w:jc w:val="right"/>
              <w:rPr>
                <w:lang w:val="en-GB"/>
              </w:rPr>
            </w:pPr>
            <w:r w:rsidRPr="00A33264">
              <w:rPr>
                <w:lang w:val="en-GB"/>
              </w:rPr>
              <w:t>26,695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4F9E44" w14:textId="77777777" w:rsidR="0080564E" w:rsidRPr="00A33264" w:rsidRDefault="0080564E" w:rsidP="001C0A6D">
            <w:pPr>
              <w:spacing w:after="0"/>
              <w:jc w:val="right"/>
              <w:rPr>
                <w:lang w:val="en-GB"/>
              </w:rPr>
            </w:pPr>
            <w:r w:rsidRPr="00A33264">
              <w:rPr>
                <w:lang w:val="en-GB"/>
              </w:rPr>
              <w:t>5,243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7777CF" w14:textId="3BABE1F3"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vAlign w:val="center"/>
            <w:hideMark/>
          </w:tcPr>
          <w:p w14:paraId="263C29A0" w14:textId="5A0005BE"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D15A87A" w14:textId="77777777" w:rsidR="0080564E" w:rsidRPr="00A33264" w:rsidRDefault="0080564E" w:rsidP="001C0A6D">
            <w:pPr>
              <w:spacing w:after="0"/>
              <w:jc w:val="right"/>
              <w:rPr>
                <w:lang w:val="en-GB"/>
              </w:rPr>
            </w:pPr>
            <w:r w:rsidRPr="00A33264">
              <w:rPr>
                <w:lang w:val="en-GB"/>
              </w:rPr>
              <w:t>232,451</w:t>
            </w:r>
          </w:p>
        </w:tc>
      </w:tr>
      <w:tr w:rsidR="0080564E" w:rsidRPr="00A33264" w14:paraId="5CF8602F"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220A3A2" w14:textId="0E7178D4" w:rsidR="0080564E" w:rsidRPr="00A33264" w:rsidRDefault="0080564E" w:rsidP="001C0A6D">
            <w:pPr>
              <w:spacing w:after="0"/>
              <w:rPr>
                <w:lang w:val="en-GB"/>
              </w:rPr>
            </w:pPr>
            <w:r w:rsidRPr="00A33264">
              <w:rPr>
                <w:lang w:val="en-GB"/>
              </w:rPr>
              <w:t>$245,001 to $270,000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9324FD2" w14:textId="77777777" w:rsidR="0080564E" w:rsidRPr="00A33264" w:rsidRDefault="0080564E" w:rsidP="001C0A6D">
            <w:pPr>
              <w:spacing w:after="0"/>
              <w:jc w:val="right"/>
              <w:rPr>
                <w:lang w:val="en-GB"/>
              </w:rPr>
            </w:pPr>
            <w:r w:rsidRPr="00A33264">
              <w:rPr>
                <w:lang w:val="en-GB"/>
              </w:rPr>
              <w:t>15</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A2D208C" w14:textId="77777777" w:rsidR="0080564E" w:rsidRPr="00A33264" w:rsidRDefault="0080564E" w:rsidP="001C0A6D">
            <w:pPr>
              <w:spacing w:after="0"/>
              <w:jc w:val="right"/>
              <w:rPr>
                <w:lang w:val="en-GB"/>
              </w:rPr>
            </w:pPr>
            <w:r w:rsidRPr="00A33264">
              <w:rPr>
                <w:lang w:val="en-GB"/>
              </w:rPr>
              <w:t>220,100</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046A554" w14:textId="4573F2C2"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14154C5" w14:textId="77777777" w:rsidR="0080564E" w:rsidRPr="00A33264" w:rsidRDefault="0080564E" w:rsidP="001C0A6D">
            <w:pPr>
              <w:spacing w:after="0"/>
              <w:jc w:val="right"/>
              <w:rPr>
                <w:lang w:val="en-GB"/>
              </w:rPr>
            </w:pPr>
            <w:r w:rsidRPr="00A33264">
              <w:rPr>
                <w:lang w:val="en-GB"/>
              </w:rPr>
              <w:t>1,923</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25DC775" w14:textId="77777777" w:rsidR="0080564E" w:rsidRPr="00A33264" w:rsidRDefault="0080564E" w:rsidP="001C0A6D">
            <w:pPr>
              <w:spacing w:after="0"/>
              <w:jc w:val="right"/>
              <w:rPr>
                <w:lang w:val="en-GB"/>
              </w:rPr>
            </w:pPr>
            <w:r w:rsidRPr="00A33264">
              <w:rPr>
                <w:lang w:val="en-GB"/>
              </w:rPr>
              <w:t>30,557</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2B9AEB1" w14:textId="77777777" w:rsidR="0080564E" w:rsidRPr="00A33264" w:rsidRDefault="0080564E" w:rsidP="001C0A6D">
            <w:pPr>
              <w:spacing w:after="0"/>
              <w:jc w:val="right"/>
              <w:rPr>
                <w:lang w:val="en-GB"/>
              </w:rPr>
            </w:pPr>
            <w:r w:rsidRPr="00A33264">
              <w:rPr>
                <w:lang w:val="en-GB"/>
              </w:rPr>
              <w:t>5,534</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86F9850" w14:textId="6828A433"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C331101" w14:textId="6559CE6C"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E2001F7" w14:textId="1C0C7A8F" w:rsidR="0080564E" w:rsidRPr="00A33264" w:rsidRDefault="0080564E" w:rsidP="001C0A6D">
            <w:pPr>
              <w:spacing w:after="0"/>
              <w:jc w:val="right"/>
              <w:rPr>
                <w:lang w:val="en-GB"/>
              </w:rPr>
            </w:pPr>
            <w:r w:rsidRPr="00A33264">
              <w:rPr>
                <w:lang w:val="en-GB"/>
              </w:rPr>
              <w:t>258,11</w:t>
            </w:r>
            <w:r w:rsidR="009023D0">
              <w:rPr>
                <w:lang w:val="en-GB"/>
              </w:rPr>
              <w:t>4</w:t>
            </w:r>
          </w:p>
        </w:tc>
      </w:tr>
      <w:tr w:rsidR="0080564E" w:rsidRPr="00A33264" w14:paraId="62E11F06"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vAlign w:val="center"/>
            <w:hideMark/>
          </w:tcPr>
          <w:p w14:paraId="62FCD87D" w14:textId="32351DC1" w:rsidR="0080564E" w:rsidRPr="00A33264" w:rsidRDefault="0080564E" w:rsidP="001C0A6D">
            <w:pPr>
              <w:spacing w:after="0"/>
              <w:rPr>
                <w:lang w:val="en-GB"/>
              </w:rPr>
            </w:pPr>
            <w:r w:rsidRPr="00A33264">
              <w:rPr>
                <w:lang w:val="en-GB"/>
              </w:rPr>
              <w:t>$270,001 to $295,000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0A2022" w14:textId="77777777" w:rsidR="0080564E" w:rsidRPr="00A33264" w:rsidRDefault="0080564E" w:rsidP="001C0A6D">
            <w:pPr>
              <w:spacing w:after="0"/>
              <w:jc w:val="right"/>
              <w:rPr>
                <w:lang w:val="en-GB"/>
              </w:rPr>
            </w:pPr>
            <w:r w:rsidRPr="00A33264">
              <w:rPr>
                <w:lang w:val="en-GB"/>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7F8155" w14:textId="77777777" w:rsidR="0080564E" w:rsidRPr="00A33264" w:rsidRDefault="0080564E" w:rsidP="001C0A6D">
            <w:pPr>
              <w:spacing w:after="0"/>
              <w:jc w:val="right"/>
              <w:rPr>
                <w:lang w:val="en-GB"/>
              </w:rPr>
            </w:pPr>
            <w:r w:rsidRPr="00A33264">
              <w:rPr>
                <w:lang w:val="en-GB"/>
              </w:rPr>
              <w:t>242,493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917093" w14:textId="61F4D443"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89870F2" w14:textId="77777777" w:rsidR="0080564E" w:rsidRPr="00A33264" w:rsidRDefault="0080564E" w:rsidP="001C0A6D">
            <w:pPr>
              <w:spacing w:after="0"/>
              <w:jc w:val="right"/>
              <w:rPr>
                <w:lang w:val="en-GB"/>
              </w:rPr>
            </w:pPr>
            <w:r w:rsidRPr="00A33264">
              <w:rPr>
                <w:lang w:val="en-GB"/>
              </w:rPr>
              <w:t>4,719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31E0EF" w14:textId="77777777" w:rsidR="0080564E" w:rsidRPr="00A33264" w:rsidRDefault="0080564E" w:rsidP="001C0A6D">
            <w:pPr>
              <w:spacing w:after="0"/>
              <w:jc w:val="right"/>
              <w:rPr>
                <w:lang w:val="en-GB"/>
              </w:rPr>
            </w:pPr>
            <w:r w:rsidRPr="00A33264">
              <w:rPr>
                <w:lang w:val="en-GB"/>
              </w:rPr>
              <w:t>33,829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8F15AD" w14:textId="77777777" w:rsidR="0080564E" w:rsidRPr="00A33264" w:rsidRDefault="0080564E" w:rsidP="001C0A6D">
            <w:pPr>
              <w:spacing w:after="0"/>
              <w:jc w:val="right"/>
              <w:rPr>
                <w:lang w:val="en-GB"/>
              </w:rPr>
            </w:pPr>
            <w:r w:rsidRPr="00A33264">
              <w:rPr>
                <w:lang w:val="en-GB"/>
              </w:rPr>
              <w:t>6,109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3F7A91" w14:textId="25C3DDB4"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vAlign w:val="center"/>
            <w:hideMark/>
          </w:tcPr>
          <w:p w14:paraId="454DFC18" w14:textId="46ADE403"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BCD0261" w14:textId="25C67B38" w:rsidR="0080564E" w:rsidRPr="00A33264" w:rsidRDefault="0080564E" w:rsidP="001C0A6D">
            <w:pPr>
              <w:spacing w:after="0"/>
              <w:jc w:val="right"/>
              <w:rPr>
                <w:lang w:val="en-GB"/>
              </w:rPr>
            </w:pPr>
            <w:r w:rsidRPr="00A33264">
              <w:rPr>
                <w:lang w:val="en-GB"/>
              </w:rPr>
              <w:t>287,15</w:t>
            </w:r>
            <w:r w:rsidR="009023D0">
              <w:rPr>
                <w:lang w:val="en-GB"/>
              </w:rPr>
              <w:t>0</w:t>
            </w:r>
          </w:p>
        </w:tc>
      </w:tr>
      <w:tr w:rsidR="0080564E" w:rsidRPr="00A33264" w14:paraId="364C2C28"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41EE6BB" w14:textId="3AC34C8E" w:rsidR="0080564E" w:rsidRPr="00A33264" w:rsidRDefault="0080564E" w:rsidP="001C0A6D">
            <w:pPr>
              <w:spacing w:after="0"/>
              <w:rPr>
                <w:lang w:val="en-GB"/>
              </w:rPr>
            </w:pPr>
            <w:r w:rsidRPr="00A33264">
              <w:rPr>
                <w:lang w:val="en-GB"/>
              </w:rPr>
              <w:t>$295,001 to $320,000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0869256" w14:textId="77777777" w:rsidR="0080564E" w:rsidRPr="00A33264" w:rsidRDefault="0080564E" w:rsidP="001C0A6D">
            <w:pPr>
              <w:spacing w:after="0"/>
              <w:jc w:val="right"/>
              <w:rPr>
                <w:lang w:val="en-GB"/>
              </w:rPr>
            </w:pPr>
            <w:r w:rsidRPr="00A33264">
              <w:rPr>
                <w:lang w:val="en-GB"/>
              </w:rPr>
              <w:t>12</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5A8D791" w14:textId="77777777" w:rsidR="0080564E" w:rsidRPr="00A33264" w:rsidRDefault="0080564E" w:rsidP="001C0A6D">
            <w:pPr>
              <w:spacing w:after="0"/>
              <w:jc w:val="right"/>
              <w:rPr>
                <w:lang w:val="en-GB"/>
              </w:rPr>
            </w:pPr>
            <w:r w:rsidRPr="00A33264">
              <w:rPr>
                <w:lang w:val="en-GB"/>
              </w:rPr>
              <w:t>261,477</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962A5D9" w14:textId="2DB8E15C"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8815D4F" w14:textId="77777777" w:rsidR="0080564E" w:rsidRPr="00A33264" w:rsidRDefault="0080564E" w:rsidP="001C0A6D">
            <w:pPr>
              <w:spacing w:after="0"/>
              <w:jc w:val="right"/>
              <w:rPr>
                <w:lang w:val="en-GB"/>
              </w:rPr>
            </w:pPr>
            <w:r w:rsidRPr="00A33264">
              <w:rPr>
                <w:lang w:val="en-GB"/>
              </w:rPr>
              <w:t>1,863</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5E5739E" w14:textId="77777777" w:rsidR="0080564E" w:rsidRPr="00A33264" w:rsidRDefault="0080564E" w:rsidP="001C0A6D">
            <w:pPr>
              <w:spacing w:after="0"/>
              <w:jc w:val="right"/>
              <w:rPr>
                <w:lang w:val="en-GB"/>
              </w:rPr>
            </w:pPr>
            <w:r w:rsidRPr="00A33264">
              <w:rPr>
                <w:lang w:val="en-GB"/>
              </w:rPr>
              <w:t>37,496</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E915F05" w14:textId="77777777" w:rsidR="0080564E" w:rsidRPr="00A33264" w:rsidRDefault="0080564E" w:rsidP="001C0A6D">
            <w:pPr>
              <w:spacing w:after="0"/>
              <w:jc w:val="right"/>
              <w:rPr>
                <w:lang w:val="en-GB"/>
              </w:rPr>
            </w:pPr>
            <w:r w:rsidRPr="00A33264">
              <w:rPr>
                <w:lang w:val="en-GB"/>
              </w:rPr>
              <w:t>6,628</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9F72EDE" w14:textId="04162907"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ACDAB46" w14:textId="1F1BAD17"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F309835" w14:textId="77777777" w:rsidR="0080564E" w:rsidRPr="00A33264" w:rsidRDefault="0080564E" w:rsidP="001C0A6D">
            <w:pPr>
              <w:spacing w:after="0"/>
              <w:jc w:val="right"/>
              <w:rPr>
                <w:lang w:val="en-GB"/>
              </w:rPr>
            </w:pPr>
            <w:r w:rsidRPr="00A33264">
              <w:rPr>
                <w:lang w:val="en-GB"/>
              </w:rPr>
              <w:t>307,464</w:t>
            </w:r>
          </w:p>
        </w:tc>
      </w:tr>
      <w:tr w:rsidR="0080564E" w:rsidRPr="00A33264" w14:paraId="0608AFD2"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vAlign w:val="center"/>
            <w:hideMark/>
          </w:tcPr>
          <w:p w14:paraId="6B713EAB" w14:textId="715CBC73" w:rsidR="0080564E" w:rsidRPr="00A33264" w:rsidRDefault="0080564E" w:rsidP="001C0A6D">
            <w:pPr>
              <w:spacing w:after="0"/>
              <w:rPr>
                <w:lang w:val="en-GB"/>
              </w:rPr>
            </w:pPr>
            <w:r w:rsidRPr="00A33264">
              <w:rPr>
                <w:lang w:val="en-GB"/>
              </w:rPr>
              <w:t>$320,001 to $345,000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7E2413" w14:textId="77777777" w:rsidR="0080564E" w:rsidRPr="00A33264" w:rsidRDefault="0080564E" w:rsidP="001C0A6D">
            <w:pPr>
              <w:spacing w:after="0"/>
              <w:jc w:val="right"/>
              <w:rPr>
                <w:lang w:val="en-GB"/>
              </w:rPr>
            </w:pPr>
            <w:r w:rsidRPr="00A33264">
              <w:rPr>
                <w:lang w:val="en-GB"/>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3AD3C7" w14:textId="77777777" w:rsidR="0080564E" w:rsidRPr="00A33264" w:rsidRDefault="0080564E" w:rsidP="001C0A6D">
            <w:pPr>
              <w:spacing w:after="0"/>
              <w:jc w:val="right"/>
              <w:rPr>
                <w:lang w:val="en-GB"/>
              </w:rPr>
            </w:pPr>
            <w:r w:rsidRPr="00A33264">
              <w:rPr>
                <w:lang w:val="en-GB"/>
              </w:rPr>
              <w:t>279,103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DB6245" w14:textId="281F7FD6"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55B6FA" w14:textId="77777777" w:rsidR="0080564E" w:rsidRPr="00A33264" w:rsidRDefault="0080564E" w:rsidP="001C0A6D">
            <w:pPr>
              <w:spacing w:after="0"/>
              <w:jc w:val="right"/>
              <w:rPr>
                <w:lang w:val="en-GB"/>
              </w:rPr>
            </w:pPr>
            <w:r w:rsidRPr="00A33264">
              <w:rPr>
                <w:lang w:val="en-GB"/>
              </w:rPr>
              <w:t>4,906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595A5B" w14:textId="77777777" w:rsidR="0080564E" w:rsidRPr="00A33264" w:rsidRDefault="0080564E" w:rsidP="001C0A6D">
            <w:pPr>
              <w:spacing w:after="0"/>
              <w:jc w:val="right"/>
              <w:rPr>
                <w:lang w:val="en-GB"/>
              </w:rPr>
            </w:pPr>
            <w:r w:rsidRPr="00A33264">
              <w:rPr>
                <w:lang w:val="en-GB"/>
              </w:rPr>
              <w:t>38,489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C1E1E" w14:textId="77777777" w:rsidR="0080564E" w:rsidRPr="00A33264" w:rsidRDefault="0080564E" w:rsidP="001C0A6D">
            <w:pPr>
              <w:spacing w:after="0"/>
              <w:jc w:val="right"/>
              <w:rPr>
                <w:lang w:val="en-GB"/>
              </w:rPr>
            </w:pPr>
            <w:r w:rsidRPr="00A33264">
              <w:rPr>
                <w:lang w:val="en-GB"/>
              </w:rPr>
              <w:t>7,132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4C1C32" w14:textId="1F85A187"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vAlign w:val="center"/>
            <w:hideMark/>
          </w:tcPr>
          <w:p w14:paraId="1EE285F4" w14:textId="64A02C08"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339A8AB" w14:textId="77777777" w:rsidR="0080564E" w:rsidRPr="00A33264" w:rsidRDefault="0080564E" w:rsidP="001C0A6D">
            <w:pPr>
              <w:spacing w:after="0"/>
              <w:jc w:val="right"/>
              <w:rPr>
                <w:lang w:val="en-GB"/>
              </w:rPr>
            </w:pPr>
            <w:r w:rsidRPr="00A33264">
              <w:rPr>
                <w:lang w:val="en-GB"/>
              </w:rPr>
              <w:t>329,630</w:t>
            </w:r>
          </w:p>
        </w:tc>
      </w:tr>
      <w:tr w:rsidR="0080564E" w:rsidRPr="00A33264" w14:paraId="29761211"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F5739FB" w14:textId="0DB671F4" w:rsidR="0080564E" w:rsidRPr="00A33264" w:rsidRDefault="0080564E" w:rsidP="001C0A6D">
            <w:pPr>
              <w:spacing w:after="0"/>
              <w:rPr>
                <w:lang w:val="en-GB"/>
              </w:rPr>
            </w:pPr>
            <w:r w:rsidRPr="00A33264">
              <w:rPr>
                <w:lang w:val="en-GB"/>
              </w:rPr>
              <w:t>$345,001 to $370,000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0581B64" w14:textId="77777777" w:rsidR="0080564E" w:rsidRPr="00A33264" w:rsidRDefault="0080564E" w:rsidP="001C0A6D">
            <w:pPr>
              <w:spacing w:after="0"/>
              <w:jc w:val="right"/>
              <w:rPr>
                <w:lang w:val="en-GB"/>
              </w:rPr>
            </w:pPr>
            <w:r w:rsidRPr="00A33264">
              <w:rPr>
                <w:lang w:val="en-GB"/>
              </w:rPr>
              <w:t>3</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F1F9090" w14:textId="77777777" w:rsidR="0080564E" w:rsidRPr="00A33264" w:rsidRDefault="0080564E" w:rsidP="001C0A6D">
            <w:pPr>
              <w:spacing w:after="0"/>
              <w:jc w:val="right"/>
              <w:rPr>
                <w:lang w:val="en-GB"/>
              </w:rPr>
            </w:pPr>
            <w:r w:rsidRPr="00A33264">
              <w:rPr>
                <w:lang w:val="en-GB"/>
              </w:rPr>
              <w:t>287,100</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8F9B7DC" w14:textId="109C8629"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F0F3AB4" w14:textId="77777777" w:rsidR="0080564E" w:rsidRPr="00A33264" w:rsidRDefault="0080564E" w:rsidP="001C0A6D">
            <w:pPr>
              <w:spacing w:after="0"/>
              <w:jc w:val="right"/>
              <w:rPr>
                <w:lang w:val="en-GB"/>
              </w:rPr>
            </w:pPr>
            <w:r w:rsidRPr="00A33264">
              <w:rPr>
                <w:lang w:val="en-GB"/>
              </w:rPr>
              <w:t>10,000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64BE5AE" w14:textId="77777777" w:rsidR="0080564E" w:rsidRPr="00A33264" w:rsidRDefault="0080564E" w:rsidP="001C0A6D">
            <w:pPr>
              <w:spacing w:after="0"/>
              <w:jc w:val="right"/>
              <w:rPr>
                <w:lang w:val="en-GB"/>
              </w:rPr>
            </w:pPr>
            <w:r w:rsidRPr="00A33264">
              <w:rPr>
                <w:lang w:val="en-GB"/>
              </w:rPr>
              <w:t>51,025</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8B71954" w14:textId="77777777" w:rsidR="0080564E" w:rsidRPr="00A33264" w:rsidRDefault="0080564E" w:rsidP="001C0A6D">
            <w:pPr>
              <w:spacing w:after="0"/>
              <w:jc w:val="right"/>
              <w:rPr>
                <w:lang w:val="en-GB"/>
              </w:rPr>
            </w:pPr>
            <w:r w:rsidRPr="00A33264">
              <w:rPr>
                <w:lang w:val="en-GB"/>
              </w:rPr>
              <w:t>7,223</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353928B" w14:textId="42BEFA7D"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829AEF8" w14:textId="61FF277F"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22A3D15" w14:textId="4A71E0D2" w:rsidR="0080564E" w:rsidRPr="00A33264" w:rsidRDefault="0080564E" w:rsidP="001C0A6D">
            <w:pPr>
              <w:spacing w:after="0"/>
              <w:jc w:val="right"/>
              <w:rPr>
                <w:lang w:val="en-GB"/>
              </w:rPr>
            </w:pPr>
            <w:r w:rsidRPr="00A33264">
              <w:rPr>
                <w:lang w:val="en-GB"/>
              </w:rPr>
              <w:t>355,34</w:t>
            </w:r>
            <w:r w:rsidR="009023D0">
              <w:rPr>
                <w:lang w:val="en-GB"/>
              </w:rPr>
              <w:t>8</w:t>
            </w:r>
          </w:p>
        </w:tc>
      </w:tr>
      <w:tr w:rsidR="0080564E" w:rsidRPr="00A33264" w14:paraId="2D5CFF92"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vAlign w:val="center"/>
            <w:hideMark/>
          </w:tcPr>
          <w:p w14:paraId="5CC554C9" w14:textId="2B3E5FF4" w:rsidR="0080564E" w:rsidRPr="00A33264" w:rsidRDefault="0080564E" w:rsidP="001C0A6D">
            <w:pPr>
              <w:spacing w:after="0"/>
              <w:rPr>
                <w:lang w:val="en-GB"/>
              </w:rPr>
            </w:pPr>
            <w:r w:rsidRPr="00A33264">
              <w:rPr>
                <w:lang w:val="en-GB"/>
              </w:rPr>
              <w:t>$370,001 to $395,000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52919E" w14:textId="77777777" w:rsidR="0080564E" w:rsidRPr="00A33264" w:rsidRDefault="0080564E" w:rsidP="001C0A6D">
            <w:pPr>
              <w:spacing w:after="0"/>
              <w:jc w:val="right"/>
              <w:rPr>
                <w:lang w:val="en-GB"/>
              </w:rPr>
            </w:pPr>
            <w:r w:rsidRPr="00A33264">
              <w:rPr>
                <w:lang w:val="en-GB"/>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A911C6" w14:textId="77777777" w:rsidR="0080564E" w:rsidRPr="00A33264" w:rsidRDefault="0080564E" w:rsidP="001C0A6D">
            <w:pPr>
              <w:spacing w:after="0"/>
              <w:jc w:val="right"/>
              <w:rPr>
                <w:lang w:val="en-GB"/>
              </w:rPr>
            </w:pPr>
            <w:r w:rsidRPr="00A33264">
              <w:rPr>
                <w:lang w:val="en-GB"/>
              </w:rPr>
              <w:t>232,315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1B9552" w14:textId="519D1342"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3C5411" w14:textId="77777777" w:rsidR="0080564E" w:rsidRPr="00A33264" w:rsidRDefault="0080564E" w:rsidP="001C0A6D">
            <w:pPr>
              <w:spacing w:after="0"/>
              <w:jc w:val="right"/>
              <w:rPr>
                <w:lang w:val="en-GB"/>
              </w:rPr>
            </w:pPr>
            <w:r w:rsidRPr="00A33264">
              <w:rPr>
                <w:lang w:val="en-GB"/>
              </w:rPr>
              <w:t>308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71CB85" w14:textId="77777777" w:rsidR="0080564E" w:rsidRPr="00A33264" w:rsidRDefault="0080564E" w:rsidP="001C0A6D">
            <w:pPr>
              <w:spacing w:after="0"/>
              <w:jc w:val="right"/>
              <w:rPr>
                <w:lang w:val="en-GB"/>
              </w:rPr>
            </w:pPr>
            <w:r w:rsidRPr="00A33264">
              <w:rPr>
                <w:lang w:val="en-GB"/>
              </w:rPr>
              <w:t>27,412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9981C2" w14:textId="77777777" w:rsidR="0080564E" w:rsidRPr="00A33264" w:rsidRDefault="0080564E" w:rsidP="001C0A6D">
            <w:pPr>
              <w:spacing w:after="0"/>
              <w:jc w:val="right"/>
              <w:rPr>
                <w:lang w:val="en-GB"/>
              </w:rPr>
            </w:pPr>
            <w:r w:rsidRPr="00A33264">
              <w:rPr>
                <w:lang w:val="en-GB"/>
              </w:rPr>
              <w:t>5,854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13E485" w14:textId="0E27B173"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vAlign w:val="center"/>
            <w:hideMark/>
          </w:tcPr>
          <w:p w14:paraId="44326B4D" w14:textId="74835E38" w:rsidR="0080564E" w:rsidRPr="00A33264" w:rsidRDefault="0080564E" w:rsidP="001C0A6D">
            <w:pPr>
              <w:spacing w:after="0"/>
              <w:jc w:val="right"/>
              <w:rPr>
                <w:lang w:val="en-GB"/>
              </w:rPr>
            </w:pPr>
            <w:r w:rsidRPr="00A33264">
              <w:rPr>
                <w:lang w:val="en-GB"/>
              </w:rPr>
              <w:t>116,120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D4B5086" w14:textId="77777777" w:rsidR="0080564E" w:rsidRPr="00A33264" w:rsidRDefault="0080564E" w:rsidP="001C0A6D">
            <w:pPr>
              <w:spacing w:after="0"/>
              <w:jc w:val="right"/>
              <w:rPr>
                <w:lang w:val="en-GB"/>
              </w:rPr>
            </w:pPr>
            <w:r w:rsidRPr="00A33264">
              <w:rPr>
                <w:lang w:val="en-GB"/>
              </w:rPr>
              <w:t>382,009</w:t>
            </w:r>
          </w:p>
        </w:tc>
      </w:tr>
      <w:tr w:rsidR="0080564E" w:rsidRPr="00A33264" w14:paraId="1DC587E8"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3C5442D" w14:textId="77777777" w:rsidR="0080564E" w:rsidRPr="00A33264" w:rsidRDefault="0080564E" w:rsidP="001C0A6D">
            <w:pPr>
              <w:spacing w:after="0"/>
              <w:rPr>
                <w:lang w:val="en-GB"/>
              </w:rPr>
            </w:pPr>
            <w:r w:rsidRPr="00A33264">
              <w:rPr>
                <w:lang w:val="en-GB"/>
              </w:rPr>
              <w:t>$395,001 to $420,000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1D55EC5" w14:textId="77777777" w:rsidR="0080564E" w:rsidRPr="00A33264" w:rsidRDefault="0080564E" w:rsidP="001C0A6D">
            <w:pPr>
              <w:spacing w:after="0"/>
              <w:jc w:val="right"/>
              <w:rPr>
                <w:lang w:val="en-GB"/>
              </w:rPr>
            </w:pPr>
            <w:r w:rsidRPr="00A33264">
              <w:rPr>
                <w:lang w:val="en-GB"/>
              </w:rPr>
              <w:t>4</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1A17F0A" w14:textId="77777777" w:rsidR="0080564E" w:rsidRPr="00A33264" w:rsidRDefault="0080564E" w:rsidP="001C0A6D">
            <w:pPr>
              <w:spacing w:after="0"/>
              <w:jc w:val="right"/>
              <w:rPr>
                <w:lang w:val="en-GB"/>
              </w:rPr>
            </w:pPr>
            <w:r w:rsidRPr="00A33264">
              <w:rPr>
                <w:lang w:val="en-GB"/>
              </w:rPr>
              <w:t>231,094</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B936371" w14:textId="5690473F"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05AEAD2" w14:textId="77777777" w:rsidR="0080564E" w:rsidRPr="00A33264" w:rsidRDefault="0080564E" w:rsidP="001C0A6D">
            <w:pPr>
              <w:spacing w:after="0"/>
              <w:jc w:val="right"/>
              <w:rPr>
                <w:lang w:val="en-GB"/>
              </w:rPr>
            </w:pPr>
            <w:r w:rsidRPr="00A33264">
              <w:rPr>
                <w:lang w:val="en-GB"/>
              </w:rPr>
              <w:t>7,416</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AEF7566" w14:textId="77777777" w:rsidR="0080564E" w:rsidRPr="00A33264" w:rsidRDefault="0080564E" w:rsidP="001C0A6D">
            <w:pPr>
              <w:spacing w:after="0"/>
              <w:jc w:val="right"/>
              <w:rPr>
                <w:lang w:val="en-GB"/>
              </w:rPr>
            </w:pPr>
            <w:r w:rsidRPr="00A33264">
              <w:rPr>
                <w:lang w:val="en-GB"/>
              </w:rPr>
              <w:t>43,797</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F778E3D" w14:textId="77777777" w:rsidR="0080564E" w:rsidRPr="00A33264" w:rsidRDefault="0080564E" w:rsidP="001C0A6D">
            <w:pPr>
              <w:spacing w:after="0"/>
              <w:jc w:val="right"/>
              <w:rPr>
                <w:lang w:val="en-GB"/>
              </w:rPr>
            </w:pPr>
            <w:r w:rsidRPr="00A33264">
              <w:rPr>
                <w:lang w:val="en-GB"/>
              </w:rPr>
              <w:t>5,854</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8989F3D" w14:textId="236966EC"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221C258" w14:textId="6EC275DD" w:rsidR="0080564E" w:rsidRPr="00A33264" w:rsidRDefault="0080564E" w:rsidP="001C0A6D">
            <w:pPr>
              <w:spacing w:after="0"/>
              <w:jc w:val="right"/>
              <w:rPr>
                <w:lang w:val="en-GB"/>
              </w:rPr>
            </w:pPr>
            <w:r w:rsidRPr="00A33264">
              <w:rPr>
                <w:lang w:val="en-GB"/>
              </w:rPr>
              <w:t>115,435</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429AC59" w14:textId="77777777" w:rsidR="0080564E" w:rsidRPr="00A33264" w:rsidRDefault="0080564E" w:rsidP="001C0A6D">
            <w:pPr>
              <w:spacing w:after="0"/>
              <w:jc w:val="right"/>
              <w:rPr>
                <w:lang w:val="en-GB"/>
              </w:rPr>
            </w:pPr>
            <w:r w:rsidRPr="00A33264">
              <w:rPr>
                <w:lang w:val="en-GB"/>
              </w:rPr>
              <w:t>403,596</w:t>
            </w:r>
          </w:p>
        </w:tc>
      </w:tr>
      <w:tr w:rsidR="0080564E" w:rsidRPr="00A33264" w14:paraId="49C27C27"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vAlign w:val="center"/>
            <w:hideMark/>
          </w:tcPr>
          <w:p w14:paraId="3DFBA440" w14:textId="77777777" w:rsidR="0080564E" w:rsidRPr="00A33264" w:rsidRDefault="0080564E" w:rsidP="001C0A6D">
            <w:pPr>
              <w:spacing w:after="0"/>
              <w:rPr>
                <w:lang w:val="en-GB"/>
              </w:rPr>
            </w:pPr>
            <w:r w:rsidRPr="00A33264">
              <w:rPr>
                <w:lang w:val="en-GB"/>
              </w:rPr>
              <w:lastRenderedPageBreak/>
              <w:t>$420,001 to $445,000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D90456" w14:textId="77777777" w:rsidR="0080564E" w:rsidRPr="00A33264" w:rsidRDefault="0080564E" w:rsidP="001C0A6D">
            <w:pPr>
              <w:spacing w:after="0"/>
              <w:jc w:val="right"/>
              <w:rPr>
                <w:lang w:val="en-GB"/>
              </w:rPr>
            </w:pPr>
            <w:r w:rsidRPr="00A33264">
              <w:rPr>
                <w:lang w:val="en-GB"/>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885653" w14:textId="77777777" w:rsidR="0080564E" w:rsidRPr="00A33264" w:rsidRDefault="0080564E" w:rsidP="001C0A6D">
            <w:pPr>
              <w:spacing w:after="0"/>
              <w:jc w:val="right"/>
              <w:rPr>
                <w:lang w:val="en-GB"/>
              </w:rPr>
            </w:pPr>
            <w:r w:rsidRPr="00A33264">
              <w:rPr>
                <w:lang w:val="en-GB"/>
              </w:rPr>
              <w:t>139,346</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646407" w14:textId="34C83F90"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5E2B05" w14:textId="77777777" w:rsidR="0080564E" w:rsidRPr="00A33264" w:rsidRDefault="0080564E" w:rsidP="001C0A6D">
            <w:pPr>
              <w:spacing w:after="0"/>
              <w:jc w:val="right"/>
              <w:rPr>
                <w:lang w:val="en-GB"/>
              </w:rPr>
            </w:pPr>
            <w:r w:rsidRPr="00A33264">
              <w:rPr>
                <w:lang w:val="en-GB"/>
              </w:rPr>
              <w:t>13,493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A54DC8" w14:textId="77777777" w:rsidR="0080564E" w:rsidRPr="00A33264" w:rsidRDefault="0080564E" w:rsidP="001C0A6D">
            <w:pPr>
              <w:spacing w:after="0"/>
              <w:jc w:val="right"/>
              <w:rPr>
                <w:lang w:val="en-GB"/>
              </w:rPr>
            </w:pPr>
            <w:r w:rsidRPr="00A33264">
              <w:rPr>
                <w:lang w:val="en-GB"/>
              </w:rPr>
              <w:t>18,100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A5F23D" w14:textId="77777777" w:rsidR="0080564E" w:rsidRPr="00A33264" w:rsidRDefault="0080564E" w:rsidP="001C0A6D">
            <w:pPr>
              <w:spacing w:after="0"/>
              <w:jc w:val="right"/>
              <w:rPr>
                <w:lang w:val="en-GB"/>
              </w:rPr>
            </w:pPr>
            <w:r w:rsidRPr="00A33264">
              <w:rPr>
                <w:lang w:val="en-GB"/>
              </w:rPr>
              <w:t>3,379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4AB5F3" w14:textId="5BF59338"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vAlign w:val="center"/>
            <w:hideMark/>
          </w:tcPr>
          <w:p w14:paraId="1D32F010" w14:textId="473A1A81" w:rsidR="0080564E" w:rsidRPr="00A33264" w:rsidRDefault="0080564E" w:rsidP="001C0A6D">
            <w:pPr>
              <w:spacing w:after="0"/>
              <w:jc w:val="right"/>
              <w:rPr>
                <w:lang w:val="en-GB"/>
              </w:rPr>
            </w:pPr>
            <w:r w:rsidRPr="00A33264">
              <w:rPr>
                <w:lang w:val="en-GB"/>
              </w:rPr>
              <w:t>264,865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63065E9" w14:textId="77777777" w:rsidR="0080564E" w:rsidRPr="00A33264" w:rsidRDefault="0080564E" w:rsidP="001C0A6D">
            <w:pPr>
              <w:spacing w:after="0"/>
              <w:jc w:val="right"/>
              <w:rPr>
                <w:lang w:val="en-GB"/>
              </w:rPr>
            </w:pPr>
            <w:r w:rsidRPr="00A33264">
              <w:rPr>
                <w:lang w:val="en-GB"/>
              </w:rPr>
              <w:t>439,183</w:t>
            </w:r>
          </w:p>
        </w:tc>
      </w:tr>
      <w:tr w:rsidR="0080564E" w:rsidRPr="00A33264" w14:paraId="5EADDE38"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521BC35" w14:textId="77777777" w:rsidR="0080564E" w:rsidRPr="00A33264" w:rsidRDefault="0080564E" w:rsidP="001C0A6D">
            <w:pPr>
              <w:spacing w:after="0"/>
              <w:rPr>
                <w:lang w:val="en-GB"/>
              </w:rPr>
            </w:pPr>
            <w:r w:rsidRPr="00A33264">
              <w:rPr>
                <w:lang w:val="en-GB"/>
              </w:rPr>
              <w:t>$445,001 to $470,000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A3E2781" w14:textId="73A834A1" w:rsidR="0080564E" w:rsidRPr="00A33264" w:rsidRDefault="0080564E" w:rsidP="001C0A6D">
            <w:pPr>
              <w:spacing w:after="0"/>
              <w:jc w:val="right"/>
              <w:rPr>
                <w:lang w:val="en-GB"/>
              </w:rPr>
            </w:pPr>
            <w:r w:rsidRPr="00A33264">
              <w:rPr>
                <w:lang w:val="en-GB"/>
              </w:rPr>
              <w:t>0</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D7E4911" w14:textId="437CD030" w:rsidR="0080564E" w:rsidRPr="00A33264" w:rsidRDefault="0080564E" w:rsidP="001C0A6D">
            <w:pPr>
              <w:spacing w:after="0"/>
              <w:jc w:val="right"/>
              <w:rPr>
                <w:lang w:val="en-GB"/>
              </w:rPr>
            </w:pPr>
            <w:r w:rsidRPr="00A33264">
              <w:rPr>
                <w:lang w:val="en-GB"/>
              </w:rPr>
              <w:t>0</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0C5FCC5" w14:textId="3B4EFE76"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67F0B79" w14:textId="5F90C33B" w:rsidR="0080564E" w:rsidRPr="00A33264" w:rsidRDefault="0080564E" w:rsidP="001C0A6D">
            <w:pPr>
              <w:spacing w:after="0"/>
              <w:jc w:val="right"/>
              <w:rPr>
                <w:lang w:val="en-GB"/>
              </w:rPr>
            </w:pPr>
            <w:r w:rsidRPr="00A33264">
              <w:rPr>
                <w:lang w:val="en-GB"/>
              </w:rPr>
              <w:t>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2E80F2E" w14:textId="105A518B" w:rsidR="0080564E" w:rsidRPr="00A33264" w:rsidRDefault="0080564E" w:rsidP="001C0A6D">
            <w:pPr>
              <w:spacing w:after="0"/>
              <w:jc w:val="right"/>
              <w:rPr>
                <w:lang w:val="en-GB"/>
              </w:rPr>
            </w:pPr>
            <w:r w:rsidRPr="00A33264">
              <w:rPr>
                <w:lang w:val="en-GB"/>
              </w:rPr>
              <w:t>0</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B9B12AF" w14:textId="66400DAF" w:rsidR="0080564E" w:rsidRPr="00A33264" w:rsidRDefault="0080564E" w:rsidP="001C0A6D">
            <w:pPr>
              <w:spacing w:after="0"/>
              <w:jc w:val="right"/>
              <w:rPr>
                <w:lang w:val="en-GB"/>
              </w:rPr>
            </w:pPr>
            <w:r w:rsidRPr="00A33264">
              <w:rPr>
                <w:lang w:val="en-GB"/>
              </w:rPr>
              <w:t>0</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728752E" w14:textId="0DF7A2A9"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62439A1" w14:textId="45ED510B"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6C3C01C" w14:textId="23440A35" w:rsidR="0080564E" w:rsidRPr="00A33264" w:rsidRDefault="0080564E" w:rsidP="001C0A6D">
            <w:pPr>
              <w:spacing w:after="0"/>
              <w:jc w:val="right"/>
              <w:rPr>
                <w:lang w:val="en-GB"/>
              </w:rPr>
            </w:pPr>
            <w:r w:rsidRPr="00A33264">
              <w:rPr>
                <w:lang w:val="en-GB"/>
              </w:rPr>
              <w:t>0</w:t>
            </w:r>
          </w:p>
        </w:tc>
      </w:tr>
      <w:tr w:rsidR="0080564E" w:rsidRPr="00A33264" w14:paraId="3489C561"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vAlign w:val="center"/>
            <w:hideMark/>
          </w:tcPr>
          <w:p w14:paraId="4F32E156" w14:textId="77777777" w:rsidR="0080564E" w:rsidRPr="00A33264" w:rsidRDefault="0080564E" w:rsidP="001C0A6D">
            <w:pPr>
              <w:spacing w:after="0"/>
              <w:rPr>
                <w:lang w:val="en-GB"/>
              </w:rPr>
            </w:pPr>
            <w:r w:rsidRPr="00A33264">
              <w:rPr>
                <w:lang w:val="en-GB"/>
              </w:rPr>
              <w:t>$470,001 to $495,000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FB75A8" w14:textId="65F06D08" w:rsidR="0080564E" w:rsidRPr="00A33264" w:rsidRDefault="0080564E" w:rsidP="001C0A6D">
            <w:pPr>
              <w:spacing w:after="0"/>
              <w:jc w:val="right"/>
              <w:rPr>
                <w:lang w:val="en-GB"/>
              </w:rPr>
            </w:pPr>
            <w:r w:rsidRPr="00A33264">
              <w:rPr>
                <w:lang w:val="en-GB"/>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DDB0EE" w14:textId="659D3BC7" w:rsidR="0080564E" w:rsidRPr="00A33264" w:rsidRDefault="0080564E" w:rsidP="001C0A6D">
            <w:pPr>
              <w:spacing w:after="0"/>
              <w:jc w:val="right"/>
              <w:rPr>
                <w:lang w:val="en-GB"/>
              </w:rPr>
            </w:pPr>
            <w:r w:rsidRPr="00A33264">
              <w:rPr>
                <w:lang w:val="en-GB"/>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D980E3" w14:textId="32366C5A"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3269EB" w14:textId="07D40724" w:rsidR="0080564E" w:rsidRPr="00A33264" w:rsidRDefault="0080564E" w:rsidP="001C0A6D">
            <w:pPr>
              <w:spacing w:after="0"/>
              <w:jc w:val="right"/>
              <w:rPr>
                <w:lang w:val="en-GB"/>
              </w:rPr>
            </w:pPr>
            <w:r w:rsidRPr="00A33264">
              <w:rPr>
                <w:lang w:val="en-GB"/>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16341D" w14:textId="05D8680F" w:rsidR="0080564E" w:rsidRPr="00A33264" w:rsidRDefault="0080564E" w:rsidP="001C0A6D">
            <w:pPr>
              <w:spacing w:after="0"/>
              <w:jc w:val="right"/>
              <w:rPr>
                <w:lang w:val="en-GB"/>
              </w:rPr>
            </w:pPr>
            <w:r w:rsidRPr="00A33264">
              <w:rPr>
                <w:lang w:val="en-GB"/>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DA0AE8" w14:textId="19D777CF" w:rsidR="0080564E" w:rsidRPr="00A33264" w:rsidRDefault="0080564E" w:rsidP="001C0A6D">
            <w:pPr>
              <w:spacing w:after="0"/>
              <w:jc w:val="right"/>
              <w:rPr>
                <w:lang w:val="en-GB"/>
              </w:rPr>
            </w:pPr>
            <w:r w:rsidRPr="00A33264">
              <w:rPr>
                <w:lang w:val="en-GB"/>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E16655" w14:textId="1F263117"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41FB50D" w14:textId="0BC8A605" w:rsidR="0080564E" w:rsidRPr="00A33264" w:rsidRDefault="0080564E" w:rsidP="001C0A6D">
            <w:pPr>
              <w:spacing w:after="0"/>
              <w:jc w:val="right"/>
              <w:rPr>
                <w:lang w:val="en-GB"/>
              </w:rPr>
            </w:pPr>
            <w:r w:rsidRPr="00A33264">
              <w:rPr>
                <w:lang w:val="en-GB"/>
              </w:rPr>
              <w:t>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F719C66" w14:textId="2BE2E362" w:rsidR="0080564E" w:rsidRPr="00A33264" w:rsidRDefault="0080564E" w:rsidP="001C0A6D">
            <w:pPr>
              <w:spacing w:after="0"/>
              <w:jc w:val="right"/>
              <w:rPr>
                <w:lang w:val="en-GB"/>
              </w:rPr>
            </w:pPr>
            <w:r w:rsidRPr="00A33264">
              <w:rPr>
                <w:lang w:val="en-GB"/>
              </w:rPr>
              <w:t>0</w:t>
            </w:r>
          </w:p>
        </w:tc>
      </w:tr>
      <w:tr w:rsidR="0080564E" w:rsidRPr="00A33264" w14:paraId="0730FF15" w14:textId="77777777" w:rsidTr="00F23525">
        <w:trPr>
          <w:trHeight w:val="454"/>
        </w:trPr>
        <w:tc>
          <w:tcPr>
            <w:tcW w:w="251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465E94A" w14:textId="77777777" w:rsidR="0080564E" w:rsidRPr="00A33264" w:rsidRDefault="0080564E" w:rsidP="001C0A6D">
            <w:pPr>
              <w:spacing w:after="0"/>
              <w:rPr>
                <w:lang w:val="en-GB"/>
              </w:rPr>
            </w:pPr>
            <w:r w:rsidRPr="00A33264">
              <w:rPr>
                <w:lang w:val="en-GB"/>
              </w:rPr>
              <w:t>$495,001 and above</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4B3878F" w14:textId="77777777" w:rsidR="0080564E" w:rsidRPr="00A33264" w:rsidRDefault="0080564E" w:rsidP="001C0A6D">
            <w:pPr>
              <w:spacing w:after="0"/>
              <w:jc w:val="right"/>
              <w:rPr>
                <w:lang w:val="en-GB"/>
              </w:rPr>
            </w:pPr>
            <w:r w:rsidRPr="00A33264">
              <w:rPr>
                <w:lang w:val="en-GB"/>
              </w:rPr>
              <w:t>1</w:t>
            </w:r>
          </w:p>
        </w:tc>
        <w:tc>
          <w:tcPr>
            <w:tcW w:w="992"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6646453" w14:textId="77777777" w:rsidR="0080564E" w:rsidRPr="00A33264" w:rsidRDefault="0080564E" w:rsidP="001C0A6D">
            <w:pPr>
              <w:spacing w:after="0"/>
              <w:jc w:val="right"/>
              <w:rPr>
                <w:lang w:val="en-GB"/>
              </w:rPr>
            </w:pPr>
            <w:r w:rsidRPr="00A33264">
              <w:rPr>
                <w:lang w:val="en-GB"/>
              </w:rPr>
              <w:t>234,453</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46982DD" w14:textId="3A39FC8C" w:rsidR="0080564E" w:rsidRPr="00A33264" w:rsidRDefault="0080564E"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ECE59C4" w14:textId="77777777" w:rsidR="0080564E" w:rsidRPr="00A33264" w:rsidRDefault="0080564E" w:rsidP="001C0A6D">
            <w:pPr>
              <w:spacing w:after="0"/>
              <w:jc w:val="right"/>
              <w:rPr>
                <w:lang w:val="en-GB"/>
              </w:rPr>
            </w:pPr>
            <w:r w:rsidRPr="00A33264">
              <w:rPr>
                <w:lang w:val="en-GB"/>
              </w:rPr>
              <w:t>0</w:t>
            </w:r>
          </w:p>
        </w:tc>
        <w:tc>
          <w:tcPr>
            <w:tcW w:w="1418"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D5662E3" w14:textId="77777777" w:rsidR="0080564E" w:rsidRPr="00A33264" w:rsidRDefault="0080564E" w:rsidP="001C0A6D">
            <w:pPr>
              <w:spacing w:after="0"/>
              <w:jc w:val="right"/>
              <w:rPr>
                <w:lang w:val="en-GB"/>
              </w:rPr>
            </w:pPr>
            <w:r w:rsidRPr="00A33264">
              <w:rPr>
                <w:lang w:val="en-GB"/>
              </w:rPr>
              <w:t>39,935</w:t>
            </w:r>
          </w:p>
        </w:tc>
        <w:tc>
          <w:tcPr>
            <w:tcW w:w="113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61C582A" w14:textId="77777777" w:rsidR="0080564E" w:rsidRPr="00A33264" w:rsidRDefault="0080564E" w:rsidP="001C0A6D">
            <w:pPr>
              <w:spacing w:after="0"/>
              <w:jc w:val="right"/>
              <w:rPr>
                <w:lang w:val="en-GB"/>
              </w:rPr>
            </w:pPr>
            <w:r w:rsidRPr="00A33264">
              <w:rPr>
                <w:lang w:val="en-GB"/>
              </w:rPr>
              <w:t>5,667</w:t>
            </w:r>
          </w:p>
        </w:tc>
        <w:tc>
          <w:tcPr>
            <w:tcW w:w="141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86EF17D" w14:textId="5D9A4772" w:rsidR="0080564E" w:rsidRPr="00A33264" w:rsidRDefault="0080564E" w:rsidP="001C0A6D">
            <w:pPr>
              <w:spacing w:after="0"/>
              <w:jc w:val="right"/>
              <w:rPr>
                <w:lang w:val="en-GB"/>
              </w:rPr>
            </w:pPr>
            <w:r w:rsidRPr="00A33264">
              <w:rPr>
                <w:lang w:val="en-GB"/>
              </w:rPr>
              <w:t>0</w:t>
            </w:r>
          </w:p>
        </w:tc>
        <w:tc>
          <w:tcPr>
            <w:tcW w:w="12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3332506" w14:textId="77777777" w:rsidR="0080564E" w:rsidRPr="00A33264" w:rsidRDefault="0080564E" w:rsidP="001C0A6D">
            <w:pPr>
              <w:spacing w:after="0"/>
              <w:jc w:val="right"/>
              <w:rPr>
                <w:lang w:val="en-GB"/>
              </w:rPr>
            </w:pPr>
            <w:r w:rsidRPr="00A33264">
              <w:rPr>
                <w:lang w:val="en-GB"/>
              </w:rPr>
              <w:t>261,782</w:t>
            </w:r>
          </w:p>
        </w:tc>
        <w:tc>
          <w:tcPr>
            <w:tcW w:w="1304"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C201E23" w14:textId="0DCAAB17" w:rsidR="0080564E" w:rsidRPr="00A33264" w:rsidRDefault="0080564E" w:rsidP="001C0A6D">
            <w:pPr>
              <w:spacing w:after="0"/>
              <w:jc w:val="right"/>
              <w:rPr>
                <w:lang w:val="en-GB"/>
              </w:rPr>
            </w:pPr>
            <w:r w:rsidRPr="00A33264">
              <w:rPr>
                <w:lang w:val="en-GB"/>
              </w:rPr>
              <w:t>541,83</w:t>
            </w:r>
            <w:r w:rsidR="009023D0">
              <w:rPr>
                <w:lang w:val="en-GB"/>
              </w:rPr>
              <w:t>7</w:t>
            </w:r>
          </w:p>
        </w:tc>
      </w:tr>
    </w:tbl>
    <w:p w14:paraId="6B8751B9" w14:textId="67614F85" w:rsidR="00255A26" w:rsidRPr="00A33264" w:rsidRDefault="00255A26" w:rsidP="00255A26">
      <w:pPr>
        <w:pStyle w:val="Heading4"/>
        <w:rPr>
          <w:lang w:val="en-GB"/>
        </w:rPr>
      </w:pPr>
      <w:bookmarkStart w:id="376" w:name="_Toc169593000"/>
      <w:r w:rsidRPr="00A33264">
        <w:rPr>
          <w:lang w:val="en-GB"/>
        </w:rPr>
        <w:t>Other highly paid staff</w:t>
      </w:r>
      <w:bookmarkEnd w:id="376"/>
    </w:p>
    <w:p w14:paraId="4A93396B" w14:textId="77777777" w:rsidR="001651D3" w:rsidRPr="00A33264" w:rsidRDefault="001651D3" w:rsidP="001651D3">
      <w:pPr>
        <w:rPr>
          <w:lang w:val="en-GB"/>
        </w:rPr>
      </w:pPr>
      <w:r w:rsidRPr="00A33264">
        <w:rPr>
          <w:lang w:val="en-GB"/>
        </w:rPr>
        <w:t>Other highly paid staff are officials, including contractors and consultants prescribed as officials:</w:t>
      </w:r>
    </w:p>
    <w:p w14:paraId="0D0EA5CD" w14:textId="77777777" w:rsidR="001651D3" w:rsidRPr="00A33264" w:rsidRDefault="001651D3" w:rsidP="001651D3">
      <w:pPr>
        <w:pStyle w:val="Bullet1"/>
        <w:rPr>
          <w:lang w:val="en-GB"/>
        </w:rPr>
      </w:pPr>
      <w:r w:rsidRPr="00A33264">
        <w:rPr>
          <w:lang w:val="en-GB"/>
        </w:rPr>
        <w:t>who are neither key management personnel nor senior executives</w:t>
      </w:r>
    </w:p>
    <w:p w14:paraId="05FB5A7B" w14:textId="77777777" w:rsidR="001651D3" w:rsidRPr="00A33264" w:rsidRDefault="001651D3" w:rsidP="001651D3">
      <w:pPr>
        <w:pStyle w:val="Bullet1"/>
        <w:rPr>
          <w:lang w:val="en-GB"/>
        </w:rPr>
      </w:pPr>
      <w:r w:rsidRPr="00A33264">
        <w:rPr>
          <w:lang w:val="en-GB"/>
        </w:rPr>
        <w:t>whose total remuneration exceeds $250,000.</w:t>
      </w:r>
    </w:p>
    <w:p w14:paraId="14D07BD6" w14:textId="1D2B7B30" w:rsidR="006418CC" w:rsidRDefault="001651D3" w:rsidP="006418CC">
      <w:pPr>
        <w:rPr>
          <w:u w:val="single"/>
          <w:lang w:val="en-GB"/>
        </w:rPr>
      </w:pPr>
      <w:r w:rsidRPr="00A33264">
        <w:rPr>
          <w:lang w:val="en-GB"/>
        </w:rPr>
        <w:t xml:space="preserve">The average remuneration received or due to be received for each of the NDIA’s other highly paid staff for the year ended 30 June 2024 is shown in </w:t>
      </w:r>
      <w:r w:rsidR="00591C73">
        <w:rPr>
          <w:lang w:val="en-GB"/>
        </w:rPr>
        <w:t>T</w:t>
      </w:r>
      <w:r w:rsidRPr="00A33264">
        <w:rPr>
          <w:lang w:val="en-GB"/>
        </w:rPr>
        <w:t xml:space="preserve">able </w:t>
      </w:r>
      <w:r w:rsidR="00A27A9C">
        <w:rPr>
          <w:lang w:val="en-GB"/>
        </w:rPr>
        <w:t>13</w:t>
      </w:r>
      <w:r w:rsidRPr="00A33264">
        <w:rPr>
          <w:lang w:val="en-GB"/>
        </w:rPr>
        <w:t>.</w:t>
      </w:r>
      <w:r w:rsidR="006418CC">
        <w:rPr>
          <w:u w:val="single"/>
          <w:lang w:val="en-GB"/>
        </w:rPr>
        <w:br w:type="page"/>
      </w:r>
    </w:p>
    <w:p w14:paraId="25120163" w14:textId="64686AA7" w:rsidR="00255A26" w:rsidRPr="00A33264" w:rsidRDefault="002E3180" w:rsidP="00255A26">
      <w:pPr>
        <w:rPr>
          <w:u w:val="single"/>
          <w:lang w:val="en-GB"/>
        </w:rPr>
      </w:pPr>
      <w:r w:rsidRPr="00A33264">
        <w:rPr>
          <w:u w:val="single"/>
          <w:lang w:val="en-GB"/>
        </w:rPr>
        <w:lastRenderedPageBreak/>
        <w:t xml:space="preserve">Table </w:t>
      </w:r>
      <w:r w:rsidR="00A27A9C">
        <w:rPr>
          <w:u w:val="single"/>
          <w:lang w:val="en-GB"/>
        </w:rPr>
        <w:t>13</w:t>
      </w:r>
      <w:r w:rsidRPr="00A33264">
        <w:rPr>
          <w:u w:val="single"/>
          <w:lang w:val="en-GB"/>
        </w:rPr>
        <w:t>: Information about remuneration for other highly paid staff</w:t>
      </w:r>
    </w:p>
    <w:tbl>
      <w:tblPr>
        <w:tblW w:w="13543" w:type="dxa"/>
        <w:tblInd w:w="1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530"/>
        <w:gridCol w:w="851"/>
        <w:gridCol w:w="840"/>
        <w:gridCol w:w="993"/>
        <w:gridCol w:w="1416"/>
        <w:gridCol w:w="1735"/>
        <w:gridCol w:w="1275"/>
        <w:gridCol w:w="1240"/>
        <w:gridCol w:w="1416"/>
        <w:gridCol w:w="1247"/>
      </w:tblGrid>
      <w:tr w:rsidR="00DE2ADF" w:rsidRPr="00A33264" w14:paraId="22D33F47" w14:textId="77777777" w:rsidTr="00F23525">
        <w:trPr>
          <w:cantSplit/>
          <w:trHeight w:val="2684"/>
          <w:tblHeader/>
        </w:trPr>
        <w:tc>
          <w:tcPr>
            <w:tcW w:w="2530" w:type="dxa"/>
            <w:tcBorders>
              <w:top w:val="single" w:sz="4" w:space="0" w:color="auto"/>
              <w:left w:val="single" w:sz="4" w:space="0" w:color="auto"/>
              <w:bottom w:val="single" w:sz="4" w:space="0" w:color="auto"/>
              <w:right w:val="single" w:sz="4" w:space="0" w:color="F9F9F9" w:themeColor="background1"/>
            </w:tcBorders>
            <w:shd w:val="clear" w:color="auto" w:fill="6B2876" w:themeFill="text1"/>
            <w:textDirection w:val="btLr"/>
            <w:vAlign w:val="center"/>
            <w:hideMark/>
          </w:tcPr>
          <w:p w14:paraId="2132DE79" w14:textId="77777777" w:rsidR="002E3180" w:rsidRPr="00A33264" w:rsidRDefault="002E3180" w:rsidP="001C0A6D">
            <w:pPr>
              <w:spacing w:after="0"/>
              <w:ind w:left="113" w:right="113"/>
              <w:rPr>
                <w:b/>
                <w:color w:val="F9F9F9" w:themeColor="background1"/>
                <w:lang w:val="en-GB"/>
              </w:rPr>
            </w:pPr>
            <w:bookmarkStart w:id="377" w:name="ColumnTitle_Table13"/>
            <w:bookmarkEnd w:id="377"/>
            <w:r w:rsidRPr="00A33264">
              <w:rPr>
                <w:b/>
                <w:color w:val="F9F9F9" w:themeColor="background1"/>
                <w:lang w:val="en-GB"/>
              </w:rPr>
              <w:t>Total remuneration bands</w:t>
            </w:r>
          </w:p>
        </w:tc>
        <w:tc>
          <w:tcPr>
            <w:tcW w:w="851"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378D816E" w14:textId="77777777"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Number of other highly paid staff</w:t>
            </w:r>
          </w:p>
        </w:tc>
        <w:tc>
          <w:tcPr>
            <w:tcW w:w="840"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4AAB18A6" w14:textId="77777777"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Short-term benefits Average base salary</w:t>
            </w:r>
          </w:p>
        </w:tc>
        <w:tc>
          <w:tcPr>
            <w:tcW w:w="993"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20DD8148" w14:textId="77777777"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Short-term benefits Average bonuses</w:t>
            </w:r>
          </w:p>
        </w:tc>
        <w:tc>
          <w:tcPr>
            <w:tcW w:w="1416"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6CB56CFD" w14:textId="77777777"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Short-term benefits Average other benefits and allowances</w:t>
            </w:r>
          </w:p>
        </w:tc>
        <w:tc>
          <w:tcPr>
            <w:tcW w:w="1735"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0FE85F89" w14:textId="77777777" w:rsidR="00EB29F1" w:rsidRDefault="002E3180" w:rsidP="001C0A6D">
            <w:pPr>
              <w:spacing w:after="0"/>
              <w:ind w:left="113" w:right="113"/>
              <w:rPr>
                <w:b/>
                <w:color w:val="F9F9F9" w:themeColor="background1"/>
                <w:lang w:val="en-GB"/>
              </w:rPr>
            </w:pPr>
            <w:r w:rsidRPr="00A33264">
              <w:rPr>
                <w:b/>
                <w:color w:val="F9F9F9" w:themeColor="background1"/>
                <w:lang w:val="en-GB"/>
              </w:rPr>
              <w:t xml:space="preserve">Post-employment benefits </w:t>
            </w:r>
          </w:p>
          <w:p w14:paraId="07230AD8" w14:textId="40517453"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Average superannuation contributions</w:t>
            </w:r>
          </w:p>
        </w:tc>
        <w:tc>
          <w:tcPr>
            <w:tcW w:w="1275"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12DEF7D6" w14:textId="77777777" w:rsidR="006B04F5" w:rsidRDefault="002E3180" w:rsidP="001C0A6D">
            <w:pPr>
              <w:spacing w:after="0"/>
              <w:ind w:left="113" w:right="113"/>
              <w:rPr>
                <w:b/>
                <w:color w:val="F9F9F9" w:themeColor="background1"/>
                <w:lang w:val="en-GB"/>
              </w:rPr>
            </w:pPr>
            <w:r w:rsidRPr="00A33264">
              <w:rPr>
                <w:b/>
                <w:color w:val="F9F9F9" w:themeColor="background1"/>
                <w:lang w:val="en-GB"/>
              </w:rPr>
              <w:t xml:space="preserve">Other long-term benefits </w:t>
            </w:r>
          </w:p>
          <w:p w14:paraId="6663A75B" w14:textId="5110F6F5"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Average long service leave</w:t>
            </w:r>
          </w:p>
        </w:tc>
        <w:tc>
          <w:tcPr>
            <w:tcW w:w="1240"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18183251" w14:textId="519E4DB9"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 xml:space="preserve">Average other long </w:t>
            </w:r>
            <w:r w:rsidR="005A6000" w:rsidRPr="00A33264">
              <w:rPr>
                <w:b/>
                <w:color w:val="F9F9F9" w:themeColor="background1"/>
                <w:lang w:val="en-GB"/>
              </w:rPr>
              <w:t>term benefits</w:t>
            </w:r>
          </w:p>
        </w:tc>
        <w:tc>
          <w:tcPr>
            <w:tcW w:w="1416" w:type="dxa"/>
            <w:tcBorders>
              <w:top w:val="single" w:sz="4" w:space="0" w:color="auto"/>
              <w:left w:val="single" w:sz="4" w:space="0" w:color="F9F9F9" w:themeColor="background1"/>
              <w:bottom w:val="single" w:sz="4" w:space="0" w:color="auto"/>
              <w:right w:val="single" w:sz="4" w:space="0" w:color="F9F9F9" w:themeColor="background1"/>
            </w:tcBorders>
            <w:shd w:val="clear" w:color="auto" w:fill="6B2876" w:themeFill="text1"/>
            <w:textDirection w:val="btLr"/>
            <w:vAlign w:val="center"/>
            <w:hideMark/>
          </w:tcPr>
          <w:p w14:paraId="734F023F" w14:textId="77777777"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Termination benefits Average termination   benefits</w:t>
            </w:r>
          </w:p>
        </w:tc>
        <w:tc>
          <w:tcPr>
            <w:tcW w:w="1247" w:type="dxa"/>
            <w:tcBorders>
              <w:top w:val="single" w:sz="4" w:space="0" w:color="auto"/>
              <w:left w:val="single" w:sz="4" w:space="0" w:color="F9F9F9" w:themeColor="background1"/>
              <w:bottom w:val="single" w:sz="4" w:space="0" w:color="auto"/>
              <w:right w:val="single" w:sz="4" w:space="0" w:color="auto"/>
            </w:tcBorders>
            <w:shd w:val="clear" w:color="auto" w:fill="6B2876" w:themeFill="text1"/>
            <w:textDirection w:val="btLr"/>
            <w:vAlign w:val="center"/>
            <w:hideMark/>
          </w:tcPr>
          <w:p w14:paraId="39162D43" w14:textId="77777777" w:rsidR="002E3180" w:rsidRPr="00A33264" w:rsidRDefault="002E3180" w:rsidP="001C0A6D">
            <w:pPr>
              <w:spacing w:after="0"/>
              <w:ind w:left="113" w:right="113"/>
              <w:rPr>
                <w:b/>
                <w:color w:val="F9F9F9" w:themeColor="background1"/>
                <w:lang w:val="en-GB"/>
              </w:rPr>
            </w:pPr>
            <w:r w:rsidRPr="00A33264">
              <w:rPr>
                <w:b/>
                <w:color w:val="F9F9F9" w:themeColor="background1"/>
                <w:lang w:val="en-GB"/>
              </w:rPr>
              <w:t>Average total remuneration</w:t>
            </w:r>
          </w:p>
        </w:tc>
      </w:tr>
      <w:tr w:rsidR="002E3180" w:rsidRPr="00A33264" w14:paraId="0306DA0B"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D2F5BC4" w14:textId="77777777" w:rsidR="002E3180" w:rsidRPr="00A33264" w:rsidRDefault="002E3180" w:rsidP="001C0A6D">
            <w:pPr>
              <w:spacing w:after="0"/>
              <w:rPr>
                <w:lang w:val="en-GB"/>
              </w:rPr>
            </w:pPr>
            <w:r w:rsidRPr="00A33264">
              <w:rPr>
                <w:lang w:val="en-GB"/>
              </w:rPr>
              <w:t xml:space="preserve"> $250,000 to $270,000 </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CE020EE"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D5C232C"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2BE5195"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A4CB20B"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B5745F0"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E22B7EA"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4F680E6"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4FBBB8D1"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FAE0BC8" w14:textId="77777777" w:rsidR="002E3180" w:rsidRPr="00A33264" w:rsidRDefault="002E3180" w:rsidP="001C0A6D">
            <w:pPr>
              <w:spacing w:after="0"/>
              <w:jc w:val="right"/>
              <w:rPr>
                <w:lang w:val="en-GB"/>
              </w:rPr>
            </w:pPr>
            <w:r w:rsidRPr="00A33264">
              <w:rPr>
                <w:lang w:val="en-GB"/>
              </w:rPr>
              <w:t>0</w:t>
            </w:r>
          </w:p>
        </w:tc>
      </w:tr>
      <w:tr w:rsidR="002E3180" w:rsidRPr="00A33264" w14:paraId="017F3AD2"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38E77824" w14:textId="77777777" w:rsidR="002E3180" w:rsidRPr="00A33264" w:rsidRDefault="002E3180" w:rsidP="001C0A6D">
            <w:pPr>
              <w:spacing w:after="0"/>
              <w:rPr>
                <w:lang w:val="en-GB"/>
              </w:rPr>
            </w:pPr>
            <w:r w:rsidRPr="00A33264">
              <w:rPr>
                <w:lang w:val="en-GB"/>
              </w:rPr>
              <w:t xml:space="preserve"> $270,001 to $295,000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F8D400"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3EE9C317"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EE20F3"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272CAB7"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vAlign w:val="center"/>
            <w:hideMark/>
          </w:tcPr>
          <w:p w14:paraId="18D7B06A"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97957F"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vAlign w:val="center"/>
            <w:hideMark/>
          </w:tcPr>
          <w:p w14:paraId="434EEB73"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5AB6B1A"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C38937E" w14:textId="77777777" w:rsidR="002E3180" w:rsidRPr="00A33264" w:rsidRDefault="002E3180" w:rsidP="001C0A6D">
            <w:pPr>
              <w:spacing w:after="0"/>
              <w:jc w:val="right"/>
              <w:rPr>
                <w:lang w:val="en-GB"/>
              </w:rPr>
            </w:pPr>
            <w:r w:rsidRPr="00A33264">
              <w:rPr>
                <w:lang w:val="en-GB"/>
              </w:rPr>
              <w:t>0</w:t>
            </w:r>
          </w:p>
        </w:tc>
      </w:tr>
      <w:tr w:rsidR="002E3180" w:rsidRPr="00A33264" w14:paraId="0382F53B"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90028F0" w14:textId="77777777" w:rsidR="002E3180" w:rsidRPr="00A33264" w:rsidRDefault="002E3180" w:rsidP="001C0A6D">
            <w:pPr>
              <w:spacing w:after="0"/>
              <w:rPr>
                <w:lang w:val="en-GB"/>
              </w:rPr>
            </w:pPr>
            <w:r w:rsidRPr="00A33264">
              <w:rPr>
                <w:lang w:val="en-GB"/>
              </w:rPr>
              <w:t xml:space="preserve"> $295,001 to $320,000 </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62F3DD4"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D63CDA9"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8D5B43F"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970A548"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181B789"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86AF0B1"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9A07BC2"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CB8A9EC"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35BCAE1" w14:textId="77777777" w:rsidR="002E3180" w:rsidRPr="00A33264" w:rsidRDefault="002E3180" w:rsidP="001C0A6D">
            <w:pPr>
              <w:spacing w:after="0"/>
              <w:jc w:val="right"/>
              <w:rPr>
                <w:lang w:val="en-GB"/>
              </w:rPr>
            </w:pPr>
            <w:r w:rsidRPr="00A33264">
              <w:rPr>
                <w:lang w:val="en-GB"/>
              </w:rPr>
              <w:t>0</w:t>
            </w:r>
          </w:p>
        </w:tc>
      </w:tr>
      <w:tr w:rsidR="002E3180" w:rsidRPr="00A33264" w14:paraId="4F144B04"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52068397" w14:textId="77777777" w:rsidR="002E3180" w:rsidRPr="00A33264" w:rsidRDefault="002E3180" w:rsidP="001C0A6D">
            <w:pPr>
              <w:spacing w:after="0"/>
              <w:rPr>
                <w:lang w:val="en-GB"/>
              </w:rPr>
            </w:pPr>
            <w:r w:rsidRPr="00A33264">
              <w:rPr>
                <w:lang w:val="en-GB"/>
              </w:rPr>
              <w:t xml:space="preserve"> $320,001 to $345,000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F329AC"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319281F4"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9038A4"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3D9E4F7"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vAlign w:val="center"/>
            <w:hideMark/>
          </w:tcPr>
          <w:p w14:paraId="79319518"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31B0DA"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vAlign w:val="center"/>
            <w:hideMark/>
          </w:tcPr>
          <w:p w14:paraId="535A9434"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4F47637"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1680854" w14:textId="77777777" w:rsidR="002E3180" w:rsidRPr="00A33264" w:rsidRDefault="002E3180" w:rsidP="001C0A6D">
            <w:pPr>
              <w:spacing w:after="0"/>
              <w:jc w:val="right"/>
              <w:rPr>
                <w:lang w:val="en-GB"/>
              </w:rPr>
            </w:pPr>
            <w:r w:rsidRPr="00A33264">
              <w:rPr>
                <w:lang w:val="en-GB"/>
              </w:rPr>
              <w:t>0</w:t>
            </w:r>
          </w:p>
        </w:tc>
      </w:tr>
      <w:tr w:rsidR="002E3180" w:rsidRPr="00A33264" w14:paraId="5FCAF8E0"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88EC3C0" w14:textId="77777777" w:rsidR="002E3180" w:rsidRPr="00A33264" w:rsidRDefault="002E3180" w:rsidP="001C0A6D">
            <w:pPr>
              <w:spacing w:after="0"/>
              <w:rPr>
                <w:lang w:val="en-GB"/>
              </w:rPr>
            </w:pPr>
            <w:r w:rsidRPr="00A33264">
              <w:rPr>
                <w:lang w:val="en-GB"/>
              </w:rPr>
              <w:t xml:space="preserve"> $345,001 to $370,000 </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7F87AC8"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28B494A"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4874E77"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5D9CFA5"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FFFD16C"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411E5F7"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DB00461"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4A4DA4C"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3578660" w14:textId="77777777" w:rsidR="002E3180" w:rsidRPr="00A33264" w:rsidRDefault="002E3180" w:rsidP="001C0A6D">
            <w:pPr>
              <w:spacing w:after="0"/>
              <w:jc w:val="right"/>
              <w:rPr>
                <w:lang w:val="en-GB"/>
              </w:rPr>
            </w:pPr>
            <w:r w:rsidRPr="00A33264">
              <w:rPr>
                <w:lang w:val="en-GB"/>
              </w:rPr>
              <w:t>0</w:t>
            </w:r>
          </w:p>
        </w:tc>
      </w:tr>
      <w:tr w:rsidR="002E3180" w:rsidRPr="00A33264" w14:paraId="254FE4FC"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08BA87B7" w14:textId="77777777" w:rsidR="002E3180" w:rsidRPr="00A33264" w:rsidRDefault="002E3180" w:rsidP="001C0A6D">
            <w:pPr>
              <w:spacing w:after="0"/>
              <w:rPr>
                <w:lang w:val="en-GB"/>
              </w:rPr>
            </w:pPr>
            <w:r w:rsidRPr="00A33264">
              <w:rPr>
                <w:lang w:val="en-GB"/>
              </w:rPr>
              <w:t xml:space="preserve"> $370,001 to $395,000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F51EE4"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34AEFF80"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8C8FEB"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379E99D"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vAlign w:val="center"/>
            <w:hideMark/>
          </w:tcPr>
          <w:p w14:paraId="7703EB32"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62E216"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vAlign w:val="center"/>
            <w:hideMark/>
          </w:tcPr>
          <w:p w14:paraId="288848D3"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F5E909C"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9DE6EDD" w14:textId="77777777" w:rsidR="002E3180" w:rsidRPr="00A33264" w:rsidRDefault="002E3180" w:rsidP="001C0A6D">
            <w:pPr>
              <w:spacing w:after="0"/>
              <w:jc w:val="right"/>
              <w:rPr>
                <w:lang w:val="en-GB"/>
              </w:rPr>
            </w:pPr>
            <w:r w:rsidRPr="00A33264">
              <w:rPr>
                <w:lang w:val="en-GB"/>
              </w:rPr>
              <w:t>0</w:t>
            </w:r>
          </w:p>
        </w:tc>
      </w:tr>
      <w:tr w:rsidR="002E3180" w:rsidRPr="00A33264" w14:paraId="52C1C729"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5106314" w14:textId="77777777" w:rsidR="002E3180" w:rsidRPr="00A33264" w:rsidRDefault="002E3180" w:rsidP="001C0A6D">
            <w:pPr>
              <w:spacing w:after="0"/>
              <w:rPr>
                <w:lang w:val="en-GB"/>
              </w:rPr>
            </w:pPr>
            <w:r w:rsidRPr="00A33264">
              <w:rPr>
                <w:lang w:val="en-GB"/>
              </w:rPr>
              <w:t xml:space="preserve"> $395,001 to $420,000 </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0B5AD56"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4C7A97D"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ABDF3CE"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43F060C"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0D7B687"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E822D69"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3150336"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38292860"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DFECB16" w14:textId="77777777" w:rsidR="002E3180" w:rsidRPr="00A33264" w:rsidRDefault="002E3180" w:rsidP="001C0A6D">
            <w:pPr>
              <w:spacing w:after="0"/>
              <w:jc w:val="right"/>
              <w:rPr>
                <w:lang w:val="en-GB"/>
              </w:rPr>
            </w:pPr>
            <w:r w:rsidRPr="00A33264">
              <w:rPr>
                <w:lang w:val="en-GB"/>
              </w:rPr>
              <w:t>0</w:t>
            </w:r>
          </w:p>
        </w:tc>
      </w:tr>
      <w:tr w:rsidR="002E3180" w:rsidRPr="00A33264" w14:paraId="52804F39"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6F024443" w14:textId="77777777" w:rsidR="002E3180" w:rsidRPr="00A33264" w:rsidRDefault="002E3180" w:rsidP="001C0A6D">
            <w:pPr>
              <w:spacing w:after="0"/>
              <w:rPr>
                <w:lang w:val="en-GB"/>
              </w:rPr>
            </w:pPr>
            <w:r w:rsidRPr="00A33264">
              <w:rPr>
                <w:lang w:val="en-GB"/>
              </w:rPr>
              <w:t xml:space="preserve"> $420,001 to $445,000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01AC69"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6C400B8A"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078D57"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CC62522"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vAlign w:val="center"/>
            <w:hideMark/>
          </w:tcPr>
          <w:p w14:paraId="088B842A"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59E7A4"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vAlign w:val="center"/>
            <w:hideMark/>
          </w:tcPr>
          <w:p w14:paraId="73187B1B"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D37B6D1"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D6D3B15" w14:textId="77777777" w:rsidR="002E3180" w:rsidRPr="00A33264" w:rsidRDefault="002E3180" w:rsidP="001C0A6D">
            <w:pPr>
              <w:spacing w:after="0"/>
              <w:jc w:val="right"/>
              <w:rPr>
                <w:lang w:val="en-GB"/>
              </w:rPr>
            </w:pPr>
            <w:r w:rsidRPr="00A33264">
              <w:rPr>
                <w:lang w:val="en-GB"/>
              </w:rPr>
              <w:t>0</w:t>
            </w:r>
          </w:p>
        </w:tc>
      </w:tr>
      <w:tr w:rsidR="002E3180" w:rsidRPr="00A33264" w14:paraId="246C310C"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F6C1932" w14:textId="77777777" w:rsidR="002E3180" w:rsidRPr="00A33264" w:rsidRDefault="002E3180" w:rsidP="001C0A6D">
            <w:pPr>
              <w:spacing w:after="0"/>
              <w:rPr>
                <w:lang w:val="en-GB"/>
              </w:rPr>
            </w:pPr>
            <w:r w:rsidRPr="00A33264">
              <w:rPr>
                <w:lang w:val="en-GB"/>
              </w:rPr>
              <w:t xml:space="preserve"> $445,001 to $470,000 </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10F64B0"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6967F65"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6A1F5CC"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E5F5E1D"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BAA518F"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0079850"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E6B2C32"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08B732D"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0CE4650" w14:textId="77777777" w:rsidR="002E3180" w:rsidRPr="00A33264" w:rsidRDefault="002E3180" w:rsidP="001C0A6D">
            <w:pPr>
              <w:spacing w:after="0"/>
              <w:jc w:val="right"/>
              <w:rPr>
                <w:lang w:val="en-GB"/>
              </w:rPr>
            </w:pPr>
            <w:r w:rsidRPr="00A33264">
              <w:rPr>
                <w:lang w:val="en-GB"/>
              </w:rPr>
              <w:t>0</w:t>
            </w:r>
          </w:p>
        </w:tc>
      </w:tr>
      <w:tr w:rsidR="002E3180" w:rsidRPr="00A33264" w14:paraId="35BEE472"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65A265DC" w14:textId="77777777" w:rsidR="002E3180" w:rsidRPr="00A33264" w:rsidRDefault="002E3180" w:rsidP="001C0A6D">
            <w:pPr>
              <w:spacing w:after="0"/>
              <w:rPr>
                <w:lang w:val="en-GB"/>
              </w:rPr>
            </w:pPr>
            <w:r w:rsidRPr="00A33264">
              <w:rPr>
                <w:lang w:val="en-GB"/>
              </w:rPr>
              <w:t xml:space="preserve"> $470,001 to $495,000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2A9439"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56850661"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528F81"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25820A8"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vAlign w:val="center"/>
            <w:hideMark/>
          </w:tcPr>
          <w:p w14:paraId="29E989E0"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F5B1CBB"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vAlign w:val="center"/>
            <w:hideMark/>
          </w:tcPr>
          <w:p w14:paraId="656A2146"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38B77A3"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8796FB3" w14:textId="77777777" w:rsidR="002E3180" w:rsidRPr="00A33264" w:rsidRDefault="002E3180" w:rsidP="001C0A6D">
            <w:pPr>
              <w:spacing w:after="0"/>
              <w:jc w:val="right"/>
              <w:rPr>
                <w:lang w:val="en-GB"/>
              </w:rPr>
            </w:pPr>
            <w:r w:rsidRPr="00A33264">
              <w:rPr>
                <w:lang w:val="en-GB"/>
              </w:rPr>
              <w:t>0</w:t>
            </w:r>
          </w:p>
        </w:tc>
      </w:tr>
      <w:tr w:rsidR="002E3180" w:rsidRPr="00A33264" w14:paraId="3454DC51" w14:textId="77777777" w:rsidTr="00F23525">
        <w:trPr>
          <w:trHeight w:val="454"/>
        </w:trPr>
        <w:tc>
          <w:tcPr>
            <w:tcW w:w="253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74EA8A7" w14:textId="77777777" w:rsidR="002E3180" w:rsidRPr="00A33264" w:rsidRDefault="002E3180" w:rsidP="001C0A6D">
            <w:pPr>
              <w:spacing w:after="0"/>
              <w:rPr>
                <w:lang w:val="en-GB"/>
              </w:rPr>
            </w:pPr>
            <w:r w:rsidRPr="00A33264">
              <w:rPr>
                <w:lang w:val="en-GB"/>
              </w:rPr>
              <w:t>$495,001 and above</w:t>
            </w:r>
          </w:p>
        </w:tc>
        <w:tc>
          <w:tcPr>
            <w:tcW w:w="851"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FA8F433" w14:textId="77777777" w:rsidR="002E3180" w:rsidRPr="00A33264" w:rsidRDefault="002E3180" w:rsidP="001C0A6D">
            <w:pPr>
              <w:spacing w:after="0"/>
              <w:jc w:val="right"/>
              <w:rPr>
                <w:lang w:val="en-GB"/>
              </w:rPr>
            </w:pPr>
            <w:r w:rsidRPr="00A33264">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FAD00CD" w14:textId="77777777" w:rsidR="002E3180" w:rsidRPr="00A33264" w:rsidRDefault="002E3180" w:rsidP="001C0A6D">
            <w:pPr>
              <w:spacing w:after="0"/>
              <w:jc w:val="right"/>
              <w:rPr>
                <w:lang w:val="en-GB"/>
              </w:rPr>
            </w:pPr>
            <w:r w:rsidRPr="00A33264">
              <w:rPr>
                <w:lang w:val="en-GB"/>
              </w:rPr>
              <w:t>0</w:t>
            </w:r>
          </w:p>
        </w:tc>
        <w:tc>
          <w:tcPr>
            <w:tcW w:w="993"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B047BC3"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160C9FAA" w14:textId="77777777" w:rsidR="002E3180" w:rsidRPr="00A33264" w:rsidRDefault="002E3180" w:rsidP="001C0A6D">
            <w:pPr>
              <w:spacing w:after="0"/>
              <w:jc w:val="right"/>
              <w:rPr>
                <w:lang w:val="en-GB"/>
              </w:rPr>
            </w:pPr>
            <w:r w:rsidRPr="00A33264">
              <w:rPr>
                <w:lang w:val="en-GB"/>
              </w:rPr>
              <w:t>0</w:t>
            </w:r>
          </w:p>
        </w:tc>
        <w:tc>
          <w:tcPr>
            <w:tcW w:w="173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7D55FC98" w14:textId="77777777" w:rsidR="002E3180" w:rsidRPr="00A33264" w:rsidRDefault="002E3180" w:rsidP="001C0A6D">
            <w:pPr>
              <w:spacing w:after="0"/>
              <w:jc w:val="right"/>
              <w:rPr>
                <w:lang w:val="en-GB"/>
              </w:rPr>
            </w:pPr>
            <w:r w:rsidRPr="00A33264">
              <w:rPr>
                <w:lang w:val="en-GB"/>
              </w:rPr>
              <w:t>0</w:t>
            </w:r>
          </w:p>
        </w:tc>
        <w:tc>
          <w:tcPr>
            <w:tcW w:w="1275"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66C84A21" w14:textId="77777777" w:rsidR="002E3180" w:rsidRPr="00A33264" w:rsidRDefault="002E3180" w:rsidP="001C0A6D">
            <w:pPr>
              <w:spacing w:after="0"/>
              <w:jc w:val="right"/>
              <w:rPr>
                <w:lang w:val="en-GB"/>
              </w:rPr>
            </w:pPr>
            <w:r w:rsidRPr="00A33264">
              <w:rPr>
                <w:lang w:val="en-GB"/>
              </w:rPr>
              <w:t>0</w:t>
            </w:r>
          </w:p>
        </w:tc>
        <w:tc>
          <w:tcPr>
            <w:tcW w:w="1240"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2CD0B805" w14:textId="77777777" w:rsidR="002E3180" w:rsidRPr="00A33264" w:rsidRDefault="002E3180" w:rsidP="001C0A6D">
            <w:pPr>
              <w:spacing w:after="0"/>
              <w:jc w:val="right"/>
              <w:rPr>
                <w:lang w:val="en-GB"/>
              </w:rPr>
            </w:pPr>
            <w:r w:rsidRPr="00A33264">
              <w:rPr>
                <w:lang w:val="en-GB"/>
              </w:rPr>
              <w:t>0</w:t>
            </w:r>
          </w:p>
        </w:tc>
        <w:tc>
          <w:tcPr>
            <w:tcW w:w="1416"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5E305E19" w14:textId="77777777" w:rsidR="002E3180" w:rsidRPr="00A33264" w:rsidRDefault="002E3180" w:rsidP="001C0A6D">
            <w:pPr>
              <w:spacing w:after="0"/>
              <w:jc w:val="right"/>
              <w:rPr>
                <w:lang w:val="en-GB"/>
              </w:rPr>
            </w:pPr>
            <w:r w:rsidRPr="00A33264">
              <w:rPr>
                <w:lang w:val="en-GB"/>
              </w:rPr>
              <w:t>0</w:t>
            </w:r>
          </w:p>
        </w:tc>
        <w:tc>
          <w:tcPr>
            <w:tcW w:w="1247" w:type="dxa"/>
            <w:tcBorders>
              <w:top w:val="single" w:sz="4" w:space="0" w:color="auto"/>
              <w:left w:val="single" w:sz="4" w:space="0" w:color="auto"/>
              <w:bottom w:val="single" w:sz="4" w:space="0" w:color="auto"/>
              <w:right w:val="single" w:sz="4" w:space="0" w:color="auto"/>
            </w:tcBorders>
            <w:shd w:val="clear" w:color="auto" w:fill="F7EEF7"/>
            <w:vAlign w:val="center"/>
            <w:hideMark/>
          </w:tcPr>
          <w:p w14:paraId="0096CD76" w14:textId="77777777" w:rsidR="002E3180" w:rsidRPr="00A33264" w:rsidRDefault="002E3180" w:rsidP="001C0A6D">
            <w:pPr>
              <w:spacing w:after="0"/>
              <w:jc w:val="right"/>
              <w:rPr>
                <w:lang w:val="en-GB"/>
              </w:rPr>
            </w:pPr>
            <w:r w:rsidRPr="00A33264">
              <w:rPr>
                <w:lang w:val="en-GB"/>
              </w:rPr>
              <w:t>0</w:t>
            </w:r>
          </w:p>
        </w:tc>
      </w:tr>
    </w:tbl>
    <w:p w14:paraId="59FB7640" w14:textId="77777777" w:rsidR="002E3180" w:rsidRPr="00A33264" w:rsidRDefault="002E3180" w:rsidP="00255A26">
      <w:pPr>
        <w:rPr>
          <w:lang w:val="en-GB"/>
        </w:rPr>
      </w:pPr>
    </w:p>
    <w:p w14:paraId="4CA36D05" w14:textId="77777777" w:rsidR="00E70ACE" w:rsidRPr="00A33264" w:rsidRDefault="00E70ACE" w:rsidP="00255A26">
      <w:pPr>
        <w:pStyle w:val="Heading3"/>
        <w:rPr>
          <w:lang w:val="en-GB"/>
        </w:rPr>
        <w:sectPr w:rsidR="00E70ACE" w:rsidRPr="00A33264" w:rsidSect="00F23525">
          <w:footerReference w:type="default" r:id="rId95"/>
          <w:headerReference w:type="first" r:id="rId96"/>
          <w:footerReference w:type="first" r:id="rId97"/>
          <w:pgSz w:w="16838" w:h="11906" w:orient="landscape" w:code="9"/>
          <w:pgMar w:top="1361" w:right="1361" w:bottom="1361" w:left="1361" w:header="561" w:footer="374" w:gutter="0"/>
          <w:cols w:space="708"/>
          <w:titlePg/>
          <w:docGrid w:linePitch="360"/>
        </w:sectPr>
      </w:pPr>
      <w:bookmarkStart w:id="378" w:name="_Toc169593001"/>
      <w:bookmarkStart w:id="379" w:name="_Toc174354212"/>
    </w:p>
    <w:p w14:paraId="3D153A42" w14:textId="197A2553" w:rsidR="00255A26" w:rsidRPr="00A33264" w:rsidRDefault="00255A26" w:rsidP="00255A26">
      <w:pPr>
        <w:pStyle w:val="Heading3"/>
        <w:rPr>
          <w:lang w:val="en-GB"/>
        </w:rPr>
      </w:pPr>
      <w:bookmarkStart w:id="380" w:name="_Toc175316916"/>
      <w:bookmarkStart w:id="381" w:name="_Toc176786407"/>
      <w:bookmarkStart w:id="382" w:name="_Toc180505689"/>
      <w:r w:rsidRPr="00A33264">
        <w:rPr>
          <w:lang w:val="en-GB"/>
        </w:rPr>
        <w:lastRenderedPageBreak/>
        <w:t>Reports by parliamentary committees</w:t>
      </w:r>
      <w:bookmarkEnd w:id="378"/>
      <w:bookmarkEnd w:id="379"/>
      <w:bookmarkEnd w:id="380"/>
      <w:bookmarkEnd w:id="381"/>
      <w:bookmarkEnd w:id="382"/>
    </w:p>
    <w:p w14:paraId="4971A7EA" w14:textId="5ADFAEF3" w:rsidR="000175BD" w:rsidRPr="00A33264" w:rsidRDefault="000175BD" w:rsidP="00763AF2">
      <w:pPr>
        <w:pStyle w:val="Heading4"/>
        <w:rPr>
          <w:lang w:val="en-GB"/>
        </w:rPr>
      </w:pPr>
      <w:r w:rsidRPr="00A33264">
        <w:rPr>
          <w:lang w:val="en-GB"/>
        </w:rPr>
        <w:t>Joint Standing Committee on the National Disability Insurance Scheme</w:t>
      </w:r>
    </w:p>
    <w:p w14:paraId="3052E96B" w14:textId="52477A57" w:rsidR="006520F1" w:rsidRPr="00A33264" w:rsidRDefault="006520F1" w:rsidP="006520F1">
      <w:pPr>
        <w:rPr>
          <w:lang w:val="en-GB"/>
        </w:rPr>
      </w:pPr>
      <w:r w:rsidRPr="00A33264">
        <w:rPr>
          <w:lang w:val="en-GB"/>
        </w:rPr>
        <w:t xml:space="preserve">In 2023–24 the NDIA participated in 3 inquiries by the Joint Standing Committee on the </w:t>
      </w:r>
      <w:r w:rsidR="00CA5D3C">
        <w:rPr>
          <w:lang w:val="en-GB"/>
        </w:rPr>
        <w:t>NDIS</w:t>
      </w:r>
      <w:r w:rsidRPr="00A33264">
        <w:rPr>
          <w:lang w:val="en-GB"/>
        </w:rPr>
        <w:t>:</w:t>
      </w:r>
    </w:p>
    <w:p w14:paraId="77D1744D" w14:textId="400CDEBF" w:rsidR="006520F1" w:rsidRPr="00A33264" w:rsidRDefault="00591C73" w:rsidP="006520F1">
      <w:pPr>
        <w:pStyle w:val="Bullet1"/>
        <w:rPr>
          <w:lang w:val="en-GB"/>
        </w:rPr>
      </w:pPr>
      <w:r>
        <w:rPr>
          <w:lang w:val="en-GB"/>
        </w:rPr>
        <w:t>an i</w:t>
      </w:r>
      <w:r w:rsidR="006520F1" w:rsidRPr="00A33264">
        <w:rPr>
          <w:lang w:val="en-GB"/>
        </w:rPr>
        <w:t xml:space="preserve">nquiry into </w:t>
      </w:r>
      <w:r>
        <w:rPr>
          <w:lang w:val="en-GB"/>
        </w:rPr>
        <w:t>g</w:t>
      </w:r>
      <w:r w:rsidR="006520F1" w:rsidRPr="00A33264">
        <w:rPr>
          <w:lang w:val="en-GB"/>
        </w:rPr>
        <w:t xml:space="preserve">eneral </w:t>
      </w:r>
      <w:r>
        <w:rPr>
          <w:lang w:val="en-GB"/>
        </w:rPr>
        <w:t>i</w:t>
      </w:r>
      <w:r w:rsidR="006520F1" w:rsidRPr="00A33264">
        <w:rPr>
          <w:lang w:val="en-GB"/>
        </w:rPr>
        <w:t xml:space="preserve">ssues around the </w:t>
      </w:r>
      <w:r w:rsidR="00AF66ED">
        <w:rPr>
          <w:lang w:val="en-GB"/>
        </w:rPr>
        <w:t>i</w:t>
      </w:r>
      <w:r w:rsidR="006520F1" w:rsidRPr="00A33264">
        <w:rPr>
          <w:lang w:val="en-GB"/>
        </w:rPr>
        <w:t xml:space="preserve">mplementation and </w:t>
      </w:r>
      <w:r w:rsidR="00AF66ED">
        <w:rPr>
          <w:lang w:val="en-GB"/>
        </w:rPr>
        <w:t>p</w:t>
      </w:r>
      <w:r w:rsidR="006520F1" w:rsidRPr="00A33264">
        <w:rPr>
          <w:lang w:val="en-GB"/>
        </w:rPr>
        <w:t>erformance of the NDIS</w:t>
      </w:r>
    </w:p>
    <w:p w14:paraId="3967A449" w14:textId="7ECCD37E" w:rsidR="006520F1" w:rsidRPr="00A33264" w:rsidRDefault="00591C73" w:rsidP="006520F1">
      <w:pPr>
        <w:pStyle w:val="Bullet1"/>
        <w:rPr>
          <w:lang w:val="en-GB"/>
        </w:rPr>
      </w:pPr>
      <w:r>
        <w:rPr>
          <w:lang w:val="en-GB"/>
        </w:rPr>
        <w:t>an i</w:t>
      </w:r>
      <w:r w:rsidR="006520F1" w:rsidRPr="00A33264">
        <w:rPr>
          <w:lang w:val="en-GB"/>
        </w:rPr>
        <w:t xml:space="preserve">nquiry into </w:t>
      </w:r>
      <w:r>
        <w:rPr>
          <w:lang w:val="en-GB"/>
        </w:rPr>
        <w:t>c</w:t>
      </w:r>
      <w:r w:rsidR="006520F1" w:rsidRPr="00A33264">
        <w:rPr>
          <w:lang w:val="en-GB"/>
        </w:rPr>
        <w:t xml:space="preserve">apability and </w:t>
      </w:r>
      <w:r>
        <w:rPr>
          <w:lang w:val="en-GB"/>
        </w:rPr>
        <w:t>c</w:t>
      </w:r>
      <w:r w:rsidR="006520F1" w:rsidRPr="00A33264">
        <w:rPr>
          <w:lang w:val="en-GB"/>
        </w:rPr>
        <w:t>ulture of the NDIA</w:t>
      </w:r>
    </w:p>
    <w:p w14:paraId="5816572A" w14:textId="12DA95A4" w:rsidR="006520F1" w:rsidRPr="00A33264" w:rsidRDefault="00591C73" w:rsidP="006520F1">
      <w:pPr>
        <w:pStyle w:val="Bullet1"/>
        <w:rPr>
          <w:lang w:val="en-GB"/>
        </w:rPr>
      </w:pPr>
      <w:r>
        <w:rPr>
          <w:lang w:val="en-GB"/>
        </w:rPr>
        <w:t>an</w:t>
      </w:r>
      <w:r w:rsidR="002F48B3">
        <w:rPr>
          <w:lang w:val="en-GB"/>
        </w:rPr>
        <w:t xml:space="preserve"> </w:t>
      </w:r>
      <w:r>
        <w:rPr>
          <w:lang w:val="en-GB"/>
        </w:rPr>
        <w:t>i</w:t>
      </w:r>
      <w:r w:rsidR="006520F1" w:rsidRPr="00A33264">
        <w:rPr>
          <w:lang w:val="en-GB"/>
        </w:rPr>
        <w:t>nquiry into NDIS participant experience in rural, regional and remote Australia.</w:t>
      </w:r>
    </w:p>
    <w:p w14:paraId="6857E9FC" w14:textId="3AE42AC0" w:rsidR="000175BD" w:rsidRDefault="006520F1" w:rsidP="006520F1">
      <w:pPr>
        <w:rPr>
          <w:lang w:val="en-GB"/>
        </w:rPr>
      </w:pPr>
      <w:r w:rsidRPr="00A33264">
        <w:rPr>
          <w:lang w:val="en-GB"/>
        </w:rPr>
        <w:t xml:space="preserve">In 2023–24 the </w:t>
      </w:r>
      <w:r w:rsidR="00591C73">
        <w:rPr>
          <w:lang w:val="en-GB"/>
        </w:rPr>
        <w:t>c</w:t>
      </w:r>
      <w:r w:rsidRPr="00A33264">
        <w:rPr>
          <w:lang w:val="en-GB"/>
        </w:rPr>
        <w:t xml:space="preserve">ommittee tabled one final report of the </w:t>
      </w:r>
      <w:r w:rsidR="00591C73">
        <w:rPr>
          <w:lang w:val="en-GB"/>
        </w:rPr>
        <w:t>c</w:t>
      </w:r>
      <w:r w:rsidRPr="00A33264">
        <w:rPr>
          <w:lang w:val="en-GB"/>
        </w:rPr>
        <w:t xml:space="preserve">apability and </w:t>
      </w:r>
      <w:r w:rsidR="00591C73">
        <w:rPr>
          <w:lang w:val="en-GB"/>
        </w:rPr>
        <w:t>c</w:t>
      </w:r>
      <w:r w:rsidRPr="00A33264">
        <w:rPr>
          <w:lang w:val="en-GB"/>
        </w:rPr>
        <w:t xml:space="preserve">ulture </w:t>
      </w:r>
      <w:r w:rsidR="00591C73">
        <w:rPr>
          <w:lang w:val="en-GB"/>
        </w:rPr>
        <w:t>inquiry</w:t>
      </w:r>
      <w:r w:rsidRPr="00A33264">
        <w:rPr>
          <w:lang w:val="en-GB"/>
        </w:rPr>
        <w:t xml:space="preserve"> and the </w:t>
      </w:r>
      <w:r w:rsidRPr="00F86FC3">
        <w:rPr>
          <w:i/>
          <w:lang w:val="en-GB"/>
        </w:rPr>
        <w:t>General Issues – Annual Report No. 1 of the 47th Parliament</w:t>
      </w:r>
      <w:r w:rsidRPr="00A33264">
        <w:rPr>
          <w:lang w:val="en-GB"/>
        </w:rPr>
        <w:t>.</w:t>
      </w:r>
    </w:p>
    <w:p w14:paraId="14A6FDFE" w14:textId="1280BD62" w:rsidR="00907B76" w:rsidRPr="00A33264" w:rsidRDefault="00907B76" w:rsidP="006520F1">
      <w:pPr>
        <w:rPr>
          <w:lang w:val="en-GB"/>
        </w:rPr>
      </w:pPr>
      <w:r>
        <w:rPr>
          <w:lang w:val="en-GB"/>
        </w:rPr>
        <w:t xml:space="preserve">Note: </w:t>
      </w:r>
      <w:r w:rsidRPr="006520F1">
        <w:t xml:space="preserve">A Joint Standing Committee on the </w:t>
      </w:r>
      <w:r w:rsidR="00CA5D3C">
        <w:t>NDIS</w:t>
      </w:r>
      <w:r w:rsidRPr="006520F1">
        <w:t xml:space="preserve"> also operated under the previous parliament, from 2019 until the dissolution of the House of Representatives for the May 2022 federal election</w:t>
      </w:r>
      <w:r w:rsidR="004364A0">
        <w:t>.</w:t>
      </w:r>
    </w:p>
    <w:p w14:paraId="492D425E" w14:textId="0508A8B4" w:rsidR="000175BD" w:rsidRPr="00A33264" w:rsidRDefault="000175BD" w:rsidP="00763AF2">
      <w:pPr>
        <w:pStyle w:val="Heading4"/>
        <w:rPr>
          <w:lang w:val="en-GB"/>
        </w:rPr>
      </w:pPr>
      <w:r w:rsidRPr="00A33264">
        <w:rPr>
          <w:lang w:val="en-GB"/>
        </w:rPr>
        <w:t>Senate Standing Committee</w:t>
      </w:r>
      <w:r w:rsidR="006520F1" w:rsidRPr="00A33264">
        <w:rPr>
          <w:lang w:val="en-GB"/>
        </w:rPr>
        <w:t>s</w:t>
      </w:r>
      <w:r w:rsidRPr="00A33264">
        <w:rPr>
          <w:lang w:val="en-GB"/>
        </w:rPr>
        <w:t xml:space="preserve"> on Community Affairs</w:t>
      </w:r>
    </w:p>
    <w:p w14:paraId="1F3AD229" w14:textId="73A08969" w:rsidR="006520F1" w:rsidRPr="00A33264" w:rsidRDefault="006520F1" w:rsidP="006520F1">
      <w:pPr>
        <w:rPr>
          <w:lang w:val="en-GB"/>
        </w:rPr>
      </w:pPr>
      <w:r w:rsidRPr="00A33264">
        <w:rPr>
          <w:lang w:val="en-GB"/>
        </w:rPr>
        <w:t xml:space="preserve">In 2023–24 the NDIA appeared at 4 Senate </w:t>
      </w:r>
      <w:r w:rsidR="00907B76">
        <w:rPr>
          <w:lang w:val="en-GB"/>
        </w:rPr>
        <w:t>e</w:t>
      </w:r>
      <w:r w:rsidRPr="00A33264">
        <w:rPr>
          <w:lang w:val="en-GB"/>
        </w:rPr>
        <w:t>stimates hearings before the Senate Community Affairs</w:t>
      </w:r>
      <w:r w:rsidR="00907B76">
        <w:rPr>
          <w:lang w:val="en-GB"/>
        </w:rPr>
        <w:t xml:space="preserve"> Legislation Committee</w:t>
      </w:r>
      <w:r w:rsidRPr="00A33264">
        <w:rPr>
          <w:lang w:val="en-GB"/>
        </w:rPr>
        <w:t xml:space="preserve"> for Budget, </w:t>
      </w:r>
      <w:r w:rsidR="00907B76">
        <w:rPr>
          <w:lang w:val="en-GB"/>
        </w:rPr>
        <w:t>s</w:t>
      </w:r>
      <w:r w:rsidRPr="00A33264">
        <w:rPr>
          <w:lang w:val="en-GB"/>
        </w:rPr>
        <w:t xml:space="preserve">upplementary and </w:t>
      </w:r>
      <w:r w:rsidR="00907B76">
        <w:rPr>
          <w:lang w:val="en-GB"/>
        </w:rPr>
        <w:t>a</w:t>
      </w:r>
      <w:r w:rsidRPr="00A33264">
        <w:rPr>
          <w:lang w:val="en-GB"/>
        </w:rPr>
        <w:t xml:space="preserve">dditional </w:t>
      </w:r>
      <w:r w:rsidR="00907B76">
        <w:rPr>
          <w:lang w:val="en-GB"/>
        </w:rPr>
        <w:t>e</w:t>
      </w:r>
      <w:r w:rsidRPr="00A33264">
        <w:rPr>
          <w:lang w:val="en-GB"/>
        </w:rPr>
        <w:t xml:space="preserve">stimates, including one spill-over hearing for </w:t>
      </w:r>
      <w:r w:rsidR="00907B76">
        <w:rPr>
          <w:lang w:val="en-GB"/>
        </w:rPr>
        <w:t>a</w:t>
      </w:r>
      <w:r w:rsidRPr="00A33264">
        <w:rPr>
          <w:lang w:val="en-GB"/>
        </w:rPr>
        <w:t xml:space="preserve">dditional </w:t>
      </w:r>
      <w:r w:rsidR="00907B76">
        <w:rPr>
          <w:lang w:val="en-GB"/>
        </w:rPr>
        <w:t>e</w:t>
      </w:r>
      <w:r w:rsidRPr="00A33264">
        <w:rPr>
          <w:lang w:val="en-GB"/>
        </w:rPr>
        <w:t>stimates.</w:t>
      </w:r>
    </w:p>
    <w:p w14:paraId="2E9D328E" w14:textId="50F21B0D" w:rsidR="006520F1" w:rsidRPr="00A33264" w:rsidRDefault="006520F1" w:rsidP="006520F1">
      <w:pPr>
        <w:rPr>
          <w:lang w:val="en-GB"/>
        </w:rPr>
      </w:pPr>
      <w:r w:rsidRPr="00A33264">
        <w:rPr>
          <w:lang w:val="en-GB"/>
        </w:rPr>
        <w:t xml:space="preserve">The </w:t>
      </w:r>
      <w:r w:rsidR="00907B76">
        <w:rPr>
          <w:lang w:val="en-GB"/>
        </w:rPr>
        <w:t>c</w:t>
      </w:r>
      <w:r w:rsidRPr="00A33264">
        <w:rPr>
          <w:lang w:val="en-GB"/>
        </w:rPr>
        <w:t xml:space="preserve">ommittee inquired into the National Disability Insurance Scheme Amendment (Getting the NDIS Back on Track No. 1) Bill 2024 [Provisions]. The NDIA contributed to 2 Social Services </w:t>
      </w:r>
      <w:r w:rsidR="004364A0">
        <w:rPr>
          <w:lang w:val="en-GB"/>
        </w:rPr>
        <w:t>p</w:t>
      </w:r>
      <w:r w:rsidRPr="00A33264">
        <w:rPr>
          <w:lang w:val="en-GB"/>
        </w:rPr>
        <w:t>ortfolio submissions</w:t>
      </w:r>
      <w:r w:rsidR="00907B76">
        <w:rPr>
          <w:lang w:val="en-GB"/>
        </w:rPr>
        <w:t xml:space="preserve"> on the </w:t>
      </w:r>
      <w:r w:rsidR="004364A0">
        <w:rPr>
          <w:lang w:val="en-GB"/>
        </w:rPr>
        <w:t>B</w:t>
      </w:r>
      <w:r w:rsidR="00907B76">
        <w:rPr>
          <w:lang w:val="en-GB"/>
        </w:rPr>
        <w:t>ill,</w:t>
      </w:r>
      <w:r w:rsidRPr="00A33264">
        <w:rPr>
          <w:lang w:val="en-GB"/>
        </w:rPr>
        <w:t xml:space="preserve"> on 17 May 2024 and 6 June 2024</w:t>
      </w:r>
      <w:r w:rsidR="00907B76">
        <w:rPr>
          <w:lang w:val="en-GB"/>
        </w:rPr>
        <w:t>,</w:t>
      </w:r>
      <w:r w:rsidRPr="00A33264">
        <w:rPr>
          <w:lang w:val="en-GB"/>
        </w:rPr>
        <w:t xml:space="preserve"> and appeared at 2 public hearings</w:t>
      </w:r>
      <w:r w:rsidR="00907B76">
        <w:rPr>
          <w:lang w:val="en-GB"/>
        </w:rPr>
        <w:t>,</w:t>
      </w:r>
      <w:r w:rsidRPr="00A33264">
        <w:rPr>
          <w:lang w:val="en-GB"/>
        </w:rPr>
        <w:t xml:space="preserve"> on 22 May 2024 and 14 June 2024. The final report of the inquiry was tabled on 20 June 2024.</w:t>
      </w:r>
    </w:p>
    <w:p w14:paraId="547762B2" w14:textId="3CD9CE22" w:rsidR="000175BD" w:rsidRPr="00A33264" w:rsidRDefault="006520F1" w:rsidP="006520F1">
      <w:pPr>
        <w:rPr>
          <w:lang w:val="en-GB"/>
        </w:rPr>
      </w:pPr>
      <w:r w:rsidRPr="00A33264">
        <w:rPr>
          <w:lang w:val="en-GB"/>
        </w:rPr>
        <w:t xml:space="preserve">The </w:t>
      </w:r>
      <w:r w:rsidR="007641EF">
        <w:rPr>
          <w:lang w:val="en-GB"/>
        </w:rPr>
        <w:t>c</w:t>
      </w:r>
      <w:r w:rsidRPr="00A33264">
        <w:rPr>
          <w:lang w:val="en-GB"/>
        </w:rPr>
        <w:t>ommittee also inquired into</w:t>
      </w:r>
      <w:r w:rsidR="007641EF">
        <w:rPr>
          <w:lang w:val="en-GB"/>
        </w:rPr>
        <w:t xml:space="preserve"> the</w:t>
      </w:r>
      <w:r w:rsidRPr="00A33264">
        <w:rPr>
          <w:lang w:val="en-GB"/>
        </w:rPr>
        <w:t xml:space="preserve"> Disability Services and Inclusion Bill 2023 [Provisions] and </w:t>
      </w:r>
      <w:r w:rsidR="007641EF">
        <w:rPr>
          <w:lang w:val="en-GB"/>
        </w:rPr>
        <w:t xml:space="preserve">the </w:t>
      </w:r>
      <w:r w:rsidRPr="00A33264">
        <w:rPr>
          <w:lang w:val="en-GB"/>
        </w:rPr>
        <w:t>Disability Services and Inclusion (Consequential Amendments and Transitional Provisions) Bill 2023 [Provisions]. The NDIA provided a submission to the inquiry on 17 October 202</w:t>
      </w:r>
      <w:r w:rsidR="00C4270E" w:rsidRPr="00A33264">
        <w:rPr>
          <w:lang w:val="en-GB"/>
        </w:rPr>
        <w:t>3</w:t>
      </w:r>
      <w:r w:rsidRPr="00A33264">
        <w:rPr>
          <w:lang w:val="en-GB"/>
        </w:rPr>
        <w:t>. The final report was tabled on 9 November 2023.</w:t>
      </w:r>
    </w:p>
    <w:p w14:paraId="20E035A9" w14:textId="711148DC" w:rsidR="000175BD" w:rsidRPr="00A33264" w:rsidRDefault="007641EF" w:rsidP="00763AF2">
      <w:pPr>
        <w:pStyle w:val="Heading4"/>
        <w:rPr>
          <w:lang w:val="en-GB"/>
        </w:rPr>
      </w:pPr>
      <w:r>
        <w:rPr>
          <w:lang w:val="en-GB"/>
        </w:rPr>
        <w:t xml:space="preserve">Senate </w:t>
      </w:r>
      <w:r w:rsidR="006520F1" w:rsidRPr="00A33264">
        <w:rPr>
          <w:lang w:val="en-GB"/>
        </w:rPr>
        <w:t>Select Committee into the Provision of and Access to Dental Services in Australia</w:t>
      </w:r>
    </w:p>
    <w:p w14:paraId="494204C5" w14:textId="0B1FFCA3" w:rsidR="000175BD" w:rsidRPr="00A33264" w:rsidRDefault="006520F1" w:rsidP="000175BD">
      <w:pPr>
        <w:rPr>
          <w:lang w:val="en-GB"/>
        </w:rPr>
      </w:pPr>
      <w:r w:rsidRPr="00A33264">
        <w:rPr>
          <w:lang w:val="en-GB"/>
        </w:rPr>
        <w:t xml:space="preserve">The NDIA provided a submission to the </w:t>
      </w:r>
      <w:r w:rsidR="00AF66ED">
        <w:rPr>
          <w:lang w:val="en-GB"/>
        </w:rPr>
        <w:t>c</w:t>
      </w:r>
      <w:r w:rsidRPr="00A33264">
        <w:rPr>
          <w:lang w:val="en-GB"/>
        </w:rPr>
        <w:t>ommittee on 18 September 2023 and attended a hearing on 20 October 2023. The final report of the inquiry was tabled on 30 November 2023.</w:t>
      </w:r>
    </w:p>
    <w:p w14:paraId="54C7B847" w14:textId="7F5E4D9C" w:rsidR="000175BD" w:rsidRPr="00A33264" w:rsidRDefault="000175BD" w:rsidP="00763AF2">
      <w:pPr>
        <w:pStyle w:val="Heading4"/>
        <w:rPr>
          <w:lang w:val="en-GB"/>
        </w:rPr>
      </w:pPr>
      <w:r w:rsidRPr="00A33264">
        <w:rPr>
          <w:lang w:val="en-GB"/>
        </w:rPr>
        <w:lastRenderedPageBreak/>
        <w:t>Joint Committee of Public Accounts and Audit</w:t>
      </w:r>
    </w:p>
    <w:p w14:paraId="073B0150" w14:textId="122E2404" w:rsidR="006520F1" w:rsidRPr="00A33264" w:rsidRDefault="006520F1" w:rsidP="006520F1">
      <w:pPr>
        <w:rPr>
          <w:lang w:val="en-GB"/>
        </w:rPr>
      </w:pPr>
      <w:r w:rsidRPr="00A33264">
        <w:rPr>
          <w:lang w:val="en-GB"/>
        </w:rPr>
        <w:t>In 2023–24 the Joint Committee of Public Accounts and Audit (JCPAA) inquired into Commonwealth Financial Statements 2022–23: Auditor-General Report No. 9 of 2023–24. On 5 April 202</w:t>
      </w:r>
      <w:r w:rsidR="003638FC" w:rsidRPr="00A33264">
        <w:rPr>
          <w:lang w:val="en-GB"/>
        </w:rPr>
        <w:t>3</w:t>
      </w:r>
      <w:r w:rsidRPr="00A33264">
        <w:rPr>
          <w:lang w:val="en-GB"/>
        </w:rPr>
        <w:t xml:space="preserve"> the NDIA provided a submission to the inquiry. On 15 November 2023 the JCPAA tabled </w:t>
      </w:r>
      <w:r w:rsidRPr="00F86FC3">
        <w:rPr>
          <w:i/>
          <w:lang w:val="en-GB"/>
        </w:rPr>
        <w:t>Report 501</w:t>
      </w:r>
      <w:r w:rsidR="007641EF" w:rsidRPr="003131F3">
        <w:rPr>
          <w:i/>
          <w:iCs/>
          <w:lang w:val="en-GB"/>
        </w:rPr>
        <w:t>:</w:t>
      </w:r>
      <w:r w:rsidRPr="00F86FC3">
        <w:rPr>
          <w:i/>
          <w:lang w:val="en-GB"/>
        </w:rPr>
        <w:t xml:space="preserve"> Annual Report 2022–23</w:t>
      </w:r>
      <w:r w:rsidRPr="00A33264">
        <w:rPr>
          <w:lang w:val="en-GB"/>
        </w:rPr>
        <w:t>.</w:t>
      </w:r>
    </w:p>
    <w:p w14:paraId="7DAE1D6B" w14:textId="19514458" w:rsidR="006520F1" w:rsidRPr="00A33264" w:rsidRDefault="006520F1" w:rsidP="006520F1">
      <w:pPr>
        <w:rPr>
          <w:lang w:val="en-GB"/>
        </w:rPr>
      </w:pPr>
      <w:r w:rsidRPr="00A33264">
        <w:rPr>
          <w:lang w:val="en-GB"/>
        </w:rPr>
        <w:t xml:space="preserve">The JCPAA inquired into Commonwealth </w:t>
      </w:r>
      <w:r w:rsidR="007641EF">
        <w:rPr>
          <w:lang w:val="en-GB"/>
        </w:rPr>
        <w:t>p</w:t>
      </w:r>
      <w:r w:rsidRPr="00A33264">
        <w:rPr>
          <w:lang w:val="en-GB"/>
        </w:rPr>
        <w:t>rocurement</w:t>
      </w:r>
      <w:r w:rsidR="007641EF">
        <w:rPr>
          <w:lang w:val="en-GB"/>
        </w:rPr>
        <w:t>, particularly matters dealt with or connected to</w:t>
      </w:r>
      <w:r w:rsidRPr="00A33264">
        <w:rPr>
          <w:lang w:val="en-GB"/>
        </w:rPr>
        <w:t xml:space="preserve"> Auditor-</w:t>
      </w:r>
      <w:r w:rsidR="00705C90" w:rsidRPr="00A33264">
        <w:rPr>
          <w:lang w:val="en-GB"/>
        </w:rPr>
        <w:t xml:space="preserve">General </w:t>
      </w:r>
      <w:r w:rsidR="00AF66ED">
        <w:rPr>
          <w:lang w:val="en-GB"/>
        </w:rPr>
        <w:t>r</w:t>
      </w:r>
      <w:r w:rsidR="00705C90" w:rsidRPr="00A33264">
        <w:rPr>
          <w:lang w:val="en-GB"/>
        </w:rPr>
        <w:t>eports</w:t>
      </w:r>
      <w:r w:rsidRPr="00A33264">
        <w:rPr>
          <w:lang w:val="en-GB"/>
        </w:rPr>
        <w:t xml:space="preserve"> </w:t>
      </w:r>
      <w:r w:rsidR="007641EF">
        <w:rPr>
          <w:lang w:val="en-GB"/>
        </w:rPr>
        <w:t>No</w:t>
      </w:r>
      <w:r w:rsidR="004364A0">
        <w:rPr>
          <w:lang w:val="en-GB"/>
        </w:rPr>
        <w:t>s</w:t>
      </w:r>
      <w:r w:rsidR="007641EF">
        <w:rPr>
          <w:lang w:val="en-GB"/>
        </w:rPr>
        <w:t xml:space="preserve"> </w:t>
      </w:r>
      <w:r w:rsidRPr="00A33264">
        <w:rPr>
          <w:lang w:val="en-GB"/>
        </w:rPr>
        <w:t>6, 15, 30</w:t>
      </w:r>
      <w:r w:rsidR="007641EF">
        <w:rPr>
          <w:lang w:val="en-GB"/>
        </w:rPr>
        <w:t xml:space="preserve"> and</w:t>
      </w:r>
      <w:r w:rsidRPr="00A33264">
        <w:rPr>
          <w:lang w:val="en-GB"/>
        </w:rPr>
        <w:t xml:space="preserve"> 42</w:t>
      </w:r>
      <w:r w:rsidR="007641EF">
        <w:rPr>
          <w:lang w:val="en-GB"/>
        </w:rPr>
        <w:t xml:space="preserve"> of</w:t>
      </w:r>
      <w:r w:rsidRPr="00A33264">
        <w:rPr>
          <w:lang w:val="en-GB"/>
        </w:rPr>
        <w:t xml:space="preserve"> 2021</w:t>
      </w:r>
      <w:r w:rsidR="007641EF" w:rsidRPr="00A33264">
        <w:rPr>
          <w:lang w:val="en-GB"/>
        </w:rPr>
        <w:t>–</w:t>
      </w:r>
      <w:r w:rsidRPr="00A33264">
        <w:rPr>
          <w:lang w:val="en-GB"/>
        </w:rPr>
        <w:t xml:space="preserve">22 and </w:t>
      </w:r>
      <w:r w:rsidR="007641EF">
        <w:rPr>
          <w:lang w:val="en-GB"/>
        </w:rPr>
        <w:t xml:space="preserve">No. </w:t>
      </w:r>
      <w:r w:rsidRPr="00A33264">
        <w:rPr>
          <w:lang w:val="en-GB"/>
        </w:rPr>
        <w:t xml:space="preserve">5 </w:t>
      </w:r>
      <w:r w:rsidR="007641EF">
        <w:rPr>
          <w:lang w:val="en-GB"/>
        </w:rPr>
        <w:t xml:space="preserve">of </w:t>
      </w:r>
      <w:r w:rsidRPr="00A33264">
        <w:rPr>
          <w:lang w:val="en-GB"/>
        </w:rPr>
        <w:t>2022</w:t>
      </w:r>
      <w:r w:rsidR="007641EF" w:rsidRPr="00A33264">
        <w:rPr>
          <w:lang w:val="en-GB"/>
        </w:rPr>
        <w:t>–</w:t>
      </w:r>
      <w:r w:rsidRPr="00A33264">
        <w:rPr>
          <w:lang w:val="en-GB"/>
        </w:rPr>
        <w:t xml:space="preserve">23. The NDIA attended a hearing on 14 April 2023. </w:t>
      </w:r>
    </w:p>
    <w:p w14:paraId="10B79D25" w14:textId="140A2F30" w:rsidR="000175BD" w:rsidRPr="00A33264" w:rsidRDefault="006520F1" w:rsidP="006520F1">
      <w:pPr>
        <w:rPr>
          <w:lang w:val="en-GB"/>
        </w:rPr>
      </w:pPr>
      <w:r w:rsidRPr="00A33264">
        <w:rPr>
          <w:lang w:val="en-GB"/>
        </w:rPr>
        <w:t>On 12 May 2023 the JCPAA adopted a separate inquiry to specifically consider procurement issues arising from the Independent Review of Services Australia and NDIA Procurement and Contracting. The NDIA provided a submission on 12 December 2023 and attended a hearing on 1 February 2024. The JCPAA tabled an interim report on 13 September 2023 and a final report on 26 June 2024.</w:t>
      </w:r>
    </w:p>
    <w:p w14:paraId="782CB03D" w14:textId="08C47798" w:rsidR="006520F1" w:rsidRPr="00A33264" w:rsidRDefault="006520F1" w:rsidP="00763AF2">
      <w:pPr>
        <w:pStyle w:val="Heading4"/>
        <w:rPr>
          <w:lang w:val="en-GB"/>
        </w:rPr>
      </w:pPr>
      <w:r w:rsidRPr="00A33264">
        <w:rPr>
          <w:lang w:val="en-GB"/>
        </w:rPr>
        <w:t xml:space="preserve">Senate Standing Committee on </w:t>
      </w:r>
      <w:r w:rsidR="00820C69" w:rsidRPr="00A33264">
        <w:rPr>
          <w:lang w:val="en-GB"/>
        </w:rPr>
        <w:t>Legal and Constitutional Affairs</w:t>
      </w:r>
    </w:p>
    <w:p w14:paraId="6571FDF5" w14:textId="65C1107D" w:rsidR="006520F1" w:rsidRPr="00A33264" w:rsidRDefault="00820C69" w:rsidP="006520F1">
      <w:pPr>
        <w:rPr>
          <w:lang w:val="en-GB"/>
        </w:rPr>
      </w:pPr>
      <w:r w:rsidRPr="00A33264">
        <w:rPr>
          <w:lang w:val="en-GB"/>
        </w:rPr>
        <w:t xml:space="preserve">In 2023–24 the Senate Legal and Constitutional Affairs </w:t>
      </w:r>
      <w:r w:rsidR="007641EF">
        <w:rPr>
          <w:lang w:val="en-GB"/>
        </w:rPr>
        <w:t xml:space="preserve">Legislation Committee </w:t>
      </w:r>
      <w:r w:rsidRPr="00A33264">
        <w:rPr>
          <w:lang w:val="en-GB"/>
        </w:rPr>
        <w:t>inquired into the Administrative Review Tribunal Bill 2023 [</w:t>
      </w:r>
      <w:r w:rsidRPr="00FC6941">
        <w:rPr>
          <w:lang w:val="en-GB"/>
        </w:rPr>
        <w:t>Provisions</w:t>
      </w:r>
      <w:r w:rsidRPr="00A33264">
        <w:rPr>
          <w:lang w:val="en-GB"/>
        </w:rPr>
        <w:t>] and related bills. The NDIA provided a submission to the inquiry on 6 March 2024. The final report was tabled on 13 May 2024.</w:t>
      </w:r>
    </w:p>
    <w:p w14:paraId="31F40351" w14:textId="037387A6" w:rsidR="000175BD" w:rsidRPr="00A33264" w:rsidRDefault="00255A26">
      <w:pPr>
        <w:pStyle w:val="Heading4"/>
        <w:rPr>
          <w:lang w:val="en-GB"/>
        </w:rPr>
      </w:pPr>
      <w:bookmarkStart w:id="383" w:name="_Toc169593002"/>
      <w:r w:rsidRPr="00A33264">
        <w:rPr>
          <w:lang w:val="en-GB"/>
        </w:rPr>
        <w:t>Royal Commission</w:t>
      </w:r>
      <w:bookmarkEnd w:id="383"/>
      <w:r w:rsidR="000175BD" w:rsidRPr="00A33264">
        <w:rPr>
          <w:lang w:val="en-GB"/>
        </w:rPr>
        <w:t xml:space="preserve"> into Violence, Abuse, Neglect and Exploitation of People with Disability</w:t>
      </w:r>
    </w:p>
    <w:p w14:paraId="55489A1B" w14:textId="7AF76C25" w:rsidR="00F14787" w:rsidRPr="00A33264" w:rsidRDefault="00F14787" w:rsidP="00F14787">
      <w:pPr>
        <w:rPr>
          <w:lang w:val="en-GB"/>
        </w:rPr>
      </w:pPr>
      <w:r w:rsidRPr="00A33264">
        <w:rPr>
          <w:lang w:val="en-GB"/>
        </w:rPr>
        <w:t xml:space="preserve">The Royal Commission into Violence, Abuse, Neglect and Exploitation of People with Disability undertook an expansive examination over </w:t>
      </w:r>
      <w:r w:rsidR="007641EF">
        <w:rPr>
          <w:lang w:val="en-GB"/>
        </w:rPr>
        <w:t>4½</w:t>
      </w:r>
      <w:r w:rsidRPr="00A33264">
        <w:rPr>
          <w:lang w:val="en-GB"/>
        </w:rPr>
        <w:t xml:space="preserve"> years of matters affecting the lives and experiences of Australians with disability.</w:t>
      </w:r>
    </w:p>
    <w:p w14:paraId="5D4CE548" w14:textId="5DB7B590" w:rsidR="00F14787" w:rsidRPr="00A33264" w:rsidRDefault="00F14787" w:rsidP="00F14787">
      <w:pPr>
        <w:rPr>
          <w:lang w:val="en-GB"/>
        </w:rPr>
      </w:pPr>
      <w:r w:rsidRPr="00A33264">
        <w:rPr>
          <w:lang w:val="en-GB"/>
        </w:rPr>
        <w:t xml:space="preserve">On 28 September 2023 the </w:t>
      </w:r>
      <w:r w:rsidR="008662F5" w:rsidRPr="00A33264">
        <w:rPr>
          <w:lang w:val="en-GB"/>
        </w:rPr>
        <w:t>Royal Commission’s</w:t>
      </w:r>
      <w:r w:rsidRPr="00A33264">
        <w:rPr>
          <w:lang w:val="en-GB"/>
        </w:rPr>
        <w:t xml:space="preserve"> </w:t>
      </w:r>
      <w:r w:rsidR="008662F5" w:rsidRPr="00A33264">
        <w:rPr>
          <w:lang w:val="en-GB"/>
        </w:rPr>
        <w:t>f</w:t>
      </w:r>
      <w:r w:rsidRPr="00A33264">
        <w:rPr>
          <w:lang w:val="en-GB"/>
        </w:rPr>
        <w:t xml:space="preserve">inal </w:t>
      </w:r>
      <w:r w:rsidR="008662F5" w:rsidRPr="00A33264">
        <w:rPr>
          <w:lang w:val="en-GB"/>
        </w:rPr>
        <w:t>r</w:t>
      </w:r>
      <w:r w:rsidRPr="00A33264">
        <w:rPr>
          <w:lang w:val="en-GB"/>
        </w:rPr>
        <w:t>eport was delivered to the Governor</w:t>
      </w:r>
      <w:r w:rsidR="007641EF">
        <w:rPr>
          <w:lang w:val="en-GB"/>
        </w:rPr>
        <w:t>-</w:t>
      </w:r>
      <w:r w:rsidRPr="00A33264">
        <w:rPr>
          <w:lang w:val="en-GB"/>
        </w:rPr>
        <w:t>General</w:t>
      </w:r>
      <w:r w:rsidR="007641EF">
        <w:rPr>
          <w:lang w:val="en-GB"/>
        </w:rPr>
        <w:t>.</w:t>
      </w:r>
      <w:r w:rsidRPr="00A33264">
        <w:rPr>
          <w:lang w:val="en-GB"/>
        </w:rPr>
        <w:t xml:space="preserve"> </w:t>
      </w:r>
      <w:r w:rsidR="007641EF">
        <w:rPr>
          <w:lang w:val="en-GB"/>
        </w:rPr>
        <w:t>T</w:t>
      </w:r>
      <w:r w:rsidRPr="00A33264">
        <w:rPr>
          <w:lang w:val="en-GB"/>
        </w:rPr>
        <w:t xml:space="preserve">he Australian Government tabled the </w:t>
      </w:r>
      <w:r w:rsidR="008662F5" w:rsidRPr="00A33264">
        <w:rPr>
          <w:lang w:val="en-GB"/>
        </w:rPr>
        <w:t>f</w:t>
      </w:r>
      <w:r w:rsidRPr="00A33264">
        <w:rPr>
          <w:lang w:val="en-GB"/>
        </w:rPr>
        <w:t xml:space="preserve">inal </w:t>
      </w:r>
      <w:r w:rsidR="008662F5" w:rsidRPr="00A33264">
        <w:rPr>
          <w:lang w:val="en-GB"/>
        </w:rPr>
        <w:t>r</w:t>
      </w:r>
      <w:r w:rsidRPr="00A33264">
        <w:rPr>
          <w:lang w:val="en-GB"/>
        </w:rPr>
        <w:t xml:space="preserve">eport in Parliament on 29 September 2023. The NDIA welcomed the </w:t>
      </w:r>
      <w:r w:rsidR="00993D6D" w:rsidRPr="00A33264">
        <w:rPr>
          <w:lang w:val="en-GB"/>
        </w:rPr>
        <w:t>Royal Commission’s</w:t>
      </w:r>
      <w:r w:rsidRPr="00A33264">
        <w:rPr>
          <w:lang w:val="en-GB"/>
        </w:rPr>
        <w:t xml:space="preserve"> </w:t>
      </w:r>
      <w:r w:rsidR="00993D6D" w:rsidRPr="00A33264">
        <w:rPr>
          <w:lang w:val="en-GB"/>
        </w:rPr>
        <w:t>f</w:t>
      </w:r>
      <w:r w:rsidRPr="00A33264">
        <w:rPr>
          <w:lang w:val="en-GB"/>
        </w:rPr>
        <w:t xml:space="preserve">inal </w:t>
      </w:r>
      <w:r w:rsidR="00993D6D" w:rsidRPr="00A33264">
        <w:rPr>
          <w:lang w:val="en-GB"/>
        </w:rPr>
        <w:t>r</w:t>
      </w:r>
      <w:r w:rsidRPr="00A33264">
        <w:rPr>
          <w:lang w:val="en-GB"/>
        </w:rPr>
        <w:t xml:space="preserve">eport and gave thanks to the Royal Commission for its extensive work. </w:t>
      </w:r>
    </w:p>
    <w:p w14:paraId="6A04F570" w14:textId="41C71D5A" w:rsidR="00F14787" w:rsidRPr="00A33264" w:rsidRDefault="007641EF" w:rsidP="00F14787">
      <w:pPr>
        <w:rPr>
          <w:lang w:val="en-GB"/>
        </w:rPr>
      </w:pPr>
      <w:r>
        <w:rPr>
          <w:lang w:val="en-GB"/>
        </w:rPr>
        <w:t>During the Royal Commission</w:t>
      </w:r>
      <w:r w:rsidR="00F14787" w:rsidRPr="00A33264">
        <w:rPr>
          <w:lang w:val="en-GB"/>
        </w:rPr>
        <w:t>, the disability community contributed to 32 substantive public hearings, 1,785 private sessions, 7,944 submissions and more than 700 community engagements. The NDIA acknowledges and thanks the disability community for sharing their experiences, expertise and stories throughout this process.</w:t>
      </w:r>
    </w:p>
    <w:p w14:paraId="5B48B44F" w14:textId="604ECBB8" w:rsidR="00F14787" w:rsidRPr="00A33264" w:rsidRDefault="00F14787" w:rsidP="00F14787">
      <w:pPr>
        <w:rPr>
          <w:lang w:val="en-GB"/>
        </w:rPr>
      </w:pPr>
      <w:r w:rsidRPr="00A33264">
        <w:rPr>
          <w:lang w:val="en-GB"/>
        </w:rPr>
        <w:t xml:space="preserve">The </w:t>
      </w:r>
      <w:r w:rsidR="00993D6D" w:rsidRPr="00A33264">
        <w:rPr>
          <w:lang w:val="en-GB"/>
        </w:rPr>
        <w:t>Royal Commission</w:t>
      </w:r>
      <w:r w:rsidRPr="00A33264">
        <w:rPr>
          <w:lang w:val="en-GB"/>
        </w:rPr>
        <w:t xml:space="preserve"> made 222 recommendations to improve laws, policies, structures and practices to ensure a more inclusive and just society. The </w:t>
      </w:r>
      <w:r w:rsidRPr="00A33264">
        <w:rPr>
          <w:lang w:val="en-GB"/>
        </w:rPr>
        <w:lastRenderedPageBreak/>
        <w:t>recommendations aim to support the independence of people with disability and their rights to live free from violence, abuse, neglect and exploitation.</w:t>
      </w:r>
    </w:p>
    <w:p w14:paraId="0F3A26C0" w14:textId="0EBDE17C" w:rsidR="00F14787" w:rsidRPr="00A33264" w:rsidRDefault="00F14787" w:rsidP="00F14787">
      <w:pPr>
        <w:rPr>
          <w:lang w:val="en-GB"/>
        </w:rPr>
      </w:pPr>
      <w:r w:rsidRPr="00A33264">
        <w:rPr>
          <w:lang w:val="en-GB"/>
        </w:rPr>
        <w:t>Of these recommendations, 19 directly or substantively involve the NDIA. These recommendations cover the areas of housing, employment, participants in the justice system, advocacy, support coordination</w:t>
      </w:r>
      <w:r w:rsidR="00B43B3B">
        <w:rPr>
          <w:lang w:val="en-GB"/>
        </w:rPr>
        <w:t>,</w:t>
      </w:r>
      <w:r w:rsidRPr="00A33264">
        <w:rPr>
          <w:lang w:val="en-GB"/>
        </w:rPr>
        <w:t xml:space="preserve"> and First Nations participants. </w:t>
      </w:r>
    </w:p>
    <w:p w14:paraId="44ED4461" w14:textId="6816EC9D" w:rsidR="00F14787" w:rsidRPr="00A33264" w:rsidRDefault="00F14787" w:rsidP="00F14787">
      <w:pPr>
        <w:rPr>
          <w:lang w:val="en-GB"/>
        </w:rPr>
      </w:pPr>
      <w:r w:rsidRPr="00A33264">
        <w:rPr>
          <w:lang w:val="en-GB"/>
        </w:rPr>
        <w:t xml:space="preserve">The NDIA has started to address many of the </w:t>
      </w:r>
      <w:r w:rsidR="00993D6D" w:rsidRPr="00A33264">
        <w:rPr>
          <w:lang w:val="en-GB"/>
        </w:rPr>
        <w:t>Royal Commission’s</w:t>
      </w:r>
      <w:r w:rsidRPr="00A33264">
        <w:rPr>
          <w:lang w:val="en-GB"/>
        </w:rPr>
        <w:t xml:space="preserve"> recommendations in coordination with stakeholders. These </w:t>
      </w:r>
      <w:r w:rsidR="007641EF">
        <w:rPr>
          <w:lang w:val="en-GB"/>
        </w:rPr>
        <w:t xml:space="preserve">responses </w:t>
      </w:r>
      <w:r w:rsidRPr="00A33264">
        <w:rPr>
          <w:lang w:val="en-GB"/>
        </w:rPr>
        <w:t xml:space="preserve">include: </w:t>
      </w:r>
    </w:p>
    <w:p w14:paraId="5D6512A8" w14:textId="6971171F" w:rsidR="00F14787" w:rsidRPr="00A33264" w:rsidRDefault="007641EF" w:rsidP="00F14787">
      <w:pPr>
        <w:pStyle w:val="Bullet1"/>
        <w:rPr>
          <w:lang w:val="en-GB"/>
        </w:rPr>
      </w:pPr>
      <w:r>
        <w:rPr>
          <w:lang w:val="en-GB"/>
        </w:rPr>
        <w:t>i</w:t>
      </w:r>
      <w:r w:rsidR="00F14787" w:rsidRPr="00A33264">
        <w:rPr>
          <w:lang w:val="en-GB"/>
        </w:rPr>
        <w:t xml:space="preserve">ntroducing an improved hospital discharge process and boosting the number of </w:t>
      </w:r>
      <w:r w:rsidR="00993D6D" w:rsidRPr="00A33264">
        <w:rPr>
          <w:lang w:val="en-GB"/>
        </w:rPr>
        <w:t>h</w:t>
      </w:r>
      <w:r w:rsidR="00F14787" w:rsidRPr="00A33264">
        <w:rPr>
          <w:lang w:val="en-GB"/>
        </w:rPr>
        <w:t xml:space="preserve">ospital </w:t>
      </w:r>
      <w:r w:rsidR="00993D6D" w:rsidRPr="00A33264">
        <w:rPr>
          <w:lang w:val="en-GB"/>
        </w:rPr>
        <w:t>l</w:t>
      </w:r>
      <w:r w:rsidR="00F14787" w:rsidRPr="00A33264">
        <w:rPr>
          <w:lang w:val="en-GB"/>
        </w:rPr>
        <w:t xml:space="preserve">iaison </w:t>
      </w:r>
      <w:r w:rsidR="00993D6D" w:rsidRPr="00A33264">
        <w:rPr>
          <w:lang w:val="en-GB"/>
        </w:rPr>
        <w:t>o</w:t>
      </w:r>
      <w:r w:rsidR="00F14787" w:rsidRPr="00A33264">
        <w:rPr>
          <w:lang w:val="en-GB"/>
        </w:rPr>
        <w:t>fficers to support safe and timely discharge from hospital</w:t>
      </w:r>
    </w:p>
    <w:p w14:paraId="09899392" w14:textId="7EA39438" w:rsidR="00F14787" w:rsidRPr="00A33264" w:rsidRDefault="007641EF" w:rsidP="00F14787">
      <w:pPr>
        <w:pStyle w:val="Bullet1"/>
        <w:rPr>
          <w:lang w:val="en-GB"/>
        </w:rPr>
      </w:pPr>
      <w:r>
        <w:rPr>
          <w:lang w:val="en-GB"/>
        </w:rPr>
        <w:t>r</w:t>
      </w:r>
      <w:r w:rsidR="00F14787" w:rsidRPr="00A33264">
        <w:rPr>
          <w:lang w:val="en-GB"/>
        </w:rPr>
        <w:t xml:space="preserve">eleasing a new Supported </w:t>
      </w:r>
      <w:r w:rsidR="00705C90" w:rsidRPr="00A33264">
        <w:rPr>
          <w:lang w:val="en-GB"/>
        </w:rPr>
        <w:t>Decision-Making</w:t>
      </w:r>
      <w:r w:rsidR="00F14787" w:rsidRPr="00A33264">
        <w:rPr>
          <w:lang w:val="en-GB"/>
        </w:rPr>
        <w:t xml:space="preserve"> Policy that empowers participants to make their own decisions about the supports that affect them</w:t>
      </w:r>
    </w:p>
    <w:p w14:paraId="193C7B64" w14:textId="6BBD4E18" w:rsidR="000175BD" w:rsidRPr="00A33264" w:rsidRDefault="007641EF" w:rsidP="00F14787">
      <w:pPr>
        <w:pStyle w:val="Bullet1"/>
        <w:rPr>
          <w:lang w:val="en-GB"/>
        </w:rPr>
      </w:pPr>
      <w:r>
        <w:rPr>
          <w:lang w:val="en-GB"/>
        </w:rPr>
        <w:t>i</w:t>
      </w:r>
      <w:r w:rsidR="00F14787" w:rsidRPr="00A33264">
        <w:rPr>
          <w:lang w:val="en-GB"/>
        </w:rPr>
        <w:t>ntroducing an updated Participant Employment Strategy to improve planning for employment and support employers engaging with NDIS participants</w:t>
      </w:r>
    </w:p>
    <w:p w14:paraId="75D676E8" w14:textId="6D3AAF97" w:rsidR="00F14787" w:rsidRPr="00A33264" w:rsidRDefault="007641EF" w:rsidP="00F14787">
      <w:pPr>
        <w:pStyle w:val="Bullet1"/>
        <w:rPr>
          <w:lang w:val="en-GB"/>
        </w:rPr>
      </w:pPr>
      <w:r>
        <w:rPr>
          <w:lang w:val="en-GB"/>
        </w:rPr>
        <w:t>c</w:t>
      </w:r>
      <w:r w:rsidR="00F14787" w:rsidRPr="00A33264">
        <w:rPr>
          <w:lang w:val="en-GB"/>
        </w:rPr>
        <w:t>onducting a 12-month Justice Liaison Project to identify ways to improve transition of participants from custody and forensic settings to the community</w:t>
      </w:r>
    </w:p>
    <w:p w14:paraId="3F9CA22F" w14:textId="7F6F145C" w:rsidR="00F14787" w:rsidRPr="00A33264" w:rsidRDefault="007641EF" w:rsidP="00F14787">
      <w:pPr>
        <w:pStyle w:val="Bullet1"/>
        <w:rPr>
          <w:lang w:val="en-GB"/>
        </w:rPr>
      </w:pPr>
      <w:r>
        <w:rPr>
          <w:lang w:val="en-GB"/>
        </w:rPr>
        <w:t>l</w:t>
      </w:r>
      <w:r w:rsidR="00F14787" w:rsidRPr="00A33264">
        <w:rPr>
          <w:lang w:val="en-GB"/>
        </w:rPr>
        <w:t>aunching the new Participant Safeguarding Policy to improve the safety of participants and minimise the risk of violence, abuse, neglect and exploitation.</w:t>
      </w:r>
    </w:p>
    <w:p w14:paraId="7706C14F" w14:textId="636D0BD3" w:rsidR="00F14787" w:rsidRPr="00A33264" w:rsidRDefault="00F14787" w:rsidP="00F14787">
      <w:pPr>
        <w:rPr>
          <w:lang w:val="en-GB"/>
        </w:rPr>
      </w:pPr>
      <w:r w:rsidRPr="00A33264">
        <w:rPr>
          <w:lang w:val="en-GB"/>
        </w:rPr>
        <w:t xml:space="preserve">The NDIA welcomes the continued collaboration across governments and stakeholders to progress the </w:t>
      </w:r>
      <w:r w:rsidR="00993D6D" w:rsidRPr="00A33264">
        <w:rPr>
          <w:lang w:val="en-GB"/>
        </w:rPr>
        <w:t>Royal Commission’s</w:t>
      </w:r>
      <w:r w:rsidRPr="00A33264">
        <w:rPr>
          <w:lang w:val="en-GB"/>
        </w:rPr>
        <w:t xml:space="preserve"> recommendations. </w:t>
      </w:r>
      <w:r w:rsidR="007641EF">
        <w:rPr>
          <w:lang w:val="en-GB"/>
        </w:rPr>
        <w:t>We are</w:t>
      </w:r>
      <w:r w:rsidRPr="00A33264">
        <w:rPr>
          <w:lang w:val="en-GB"/>
        </w:rPr>
        <w:t xml:space="preserve"> committed to embed</w:t>
      </w:r>
      <w:r w:rsidR="00993D6D" w:rsidRPr="00A33264">
        <w:rPr>
          <w:lang w:val="en-GB"/>
        </w:rPr>
        <w:t>ding</w:t>
      </w:r>
      <w:r w:rsidRPr="00A33264">
        <w:rPr>
          <w:lang w:val="en-GB"/>
        </w:rPr>
        <w:t xml:space="preserve"> an integrated system of supports for all people living with a disability.</w:t>
      </w:r>
    </w:p>
    <w:p w14:paraId="5E9F7B20" w14:textId="32E6112B" w:rsidR="00F14787" w:rsidRPr="00A33264" w:rsidRDefault="00F14787" w:rsidP="00F14787">
      <w:pPr>
        <w:rPr>
          <w:lang w:val="en-GB"/>
        </w:rPr>
      </w:pPr>
      <w:r w:rsidRPr="00A33264">
        <w:rPr>
          <w:lang w:val="en-GB"/>
        </w:rPr>
        <w:t xml:space="preserve">This report reflects work to 30 June 2024 and does not capture the </w:t>
      </w:r>
      <w:r w:rsidR="007641EF">
        <w:rPr>
          <w:lang w:val="en-GB"/>
        </w:rPr>
        <w:t>j</w:t>
      </w:r>
      <w:r w:rsidRPr="00A33264">
        <w:rPr>
          <w:lang w:val="en-GB"/>
        </w:rPr>
        <w:t xml:space="preserve">oint </w:t>
      </w:r>
      <w:r w:rsidR="007641EF">
        <w:rPr>
          <w:lang w:val="en-GB"/>
        </w:rPr>
        <w:t>g</w:t>
      </w:r>
      <w:r w:rsidRPr="00A33264">
        <w:rPr>
          <w:lang w:val="en-GB"/>
        </w:rPr>
        <w:t xml:space="preserve">overnment response to the </w:t>
      </w:r>
      <w:r w:rsidR="00993D6D" w:rsidRPr="00A33264">
        <w:rPr>
          <w:lang w:val="en-GB"/>
        </w:rPr>
        <w:t>Royal Commission</w:t>
      </w:r>
      <w:r w:rsidR="00411BFD">
        <w:rPr>
          <w:lang w:val="en-GB"/>
        </w:rPr>
        <w:t>,</w:t>
      </w:r>
      <w:r w:rsidRPr="00A33264">
        <w:rPr>
          <w:lang w:val="en-GB"/>
        </w:rPr>
        <w:t xml:space="preserve"> </w:t>
      </w:r>
      <w:r w:rsidR="00D211A2" w:rsidRPr="00A33264">
        <w:rPr>
          <w:lang w:val="en-GB"/>
        </w:rPr>
        <w:t>which was</w:t>
      </w:r>
      <w:r w:rsidRPr="00A33264">
        <w:rPr>
          <w:lang w:val="en-GB"/>
        </w:rPr>
        <w:t xml:space="preserve"> published in July 2024. The NDIA’s continued progress on the recommendations will be reported on further in the </w:t>
      </w:r>
      <w:r w:rsidR="00316AF2">
        <w:rPr>
          <w:lang w:val="en-GB"/>
        </w:rPr>
        <w:t>a</w:t>
      </w:r>
      <w:r w:rsidRPr="00A33264">
        <w:rPr>
          <w:lang w:val="en-GB"/>
        </w:rPr>
        <w:t xml:space="preserve">nnual </w:t>
      </w:r>
      <w:r w:rsidR="00316AF2">
        <w:rPr>
          <w:lang w:val="en-GB"/>
        </w:rPr>
        <w:t>r</w:t>
      </w:r>
      <w:r w:rsidRPr="00A33264">
        <w:rPr>
          <w:lang w:val="en-GB"/>
        </w:rPr>
        <w:t>eport</w:t>
      </w:r>
      <w:r w:rsidR="004364A0">
        <w:rPr>
          <w:lang w:val="en-GB"/>
        </w:rPr>
        <w:t xml:space="preserve"> </w:t>
      </w:r>
      <w:r w:rsidR="00371D0C">
        <w:rPr>
          <w:lang w:val="en-GB"/>
        </w:rPr>
        <w:t xml:space="preserve">for </w:t>
      </w:r>
      <w:r w:rsidR="004364A0" w:rsidRPr="00A33264">
        <w:rPr>
          <w:lang w:val="en-GB"/>
        </w:rPr>
        <w:t>2024–25</w:t>
      </w:r>
      <w:r w:rsidRPr="00A33264">
        <w:rPr>
          <w:lang w:val="en-GB"/>
        </w:rPr>
        <w:t>.</w:t>
      </w:r>
    </w:p>
    <w:p w14:paraId="76D63FFC" w14:textId="2D9B4DD5" w:rsidR="00255A26" w:rsidRPr="00A33264" w:rsidRDefault="00255A26" w:rsidP="00255A26">
      <w:pPr>
        <w:pStyle w:val="Heading3"/>
        <w:rPr>
          <w:lang w:val="en-GB"/>
        </w:rPr>
      </w:pPr>
      <w:bookmarkStart w:id="384" w:name="_Toc169593003"/>
      <w:bookmarkStart w:id="385" w:name="_Toc174354213"/>
      <w:bookmarkStart w:id="386" w:name="_Toc175316917"/>
      <w:bookmarkStart w:id="387" w:name="_Toc176786408"/>
      <w:bookmarkStart w:id="388" w:name="_Toc180505690"/>
      <w:r w:rsidRPr="00A33264">
        <w:rPr>
          <w:lang w:val="en-GB"/>
        </w:rPr>
        <w:t>Judicial decisions and external reviews</w:t>
      </w:r>
      <w:bookmarkEnd w:id="384"/>
      <w:bookmarkEnd w:id="385"/>
      <w:bookmarkEnd w:id="386"/>
      <w:bookmarkEnd w:id="387"/>
      <w:bookmarkEnd w:id="388"/>
    </w:p>
    <w:p w14:paraId="0CB58CE9" w14:textId="666D44FB" w:rsidR="00255A26" w:rsidRPr="00A33264" w:rsidRDefault="00E83B0D" w:rsidP="00255A26">
      <w:pPr>
        <w:rPr>
          <w:lang w:val="en-GB"/>
        </w:rPr>
      </w:pPr>
      <w:r w:rsidRPr="00A33264">
        <w:rPr>
          <w:lang w:val="en-GB"/>
        </w:rPr>
        <w:t>The operations of the NDIA and decisions made in the delivery of the NDIS are subject to scrutiny by external entities.</w:t>
      </w:r>
    </w:p>
    <w:p w14:paraId="087F4C04" w14:textId="08FC3DC2" w:rsidR="00096E39" w:rsidRPr="00A33264" w:rsidRDefault="00096E39" w:rsidP="00096E39">
      <w:pPr>
        <w:pStyle w:val="Heading4"/>
        <w:rPr>
          <w:lang w:val="en-GB"/>
        </w:rPr>
      </w:pPr>
      <w:bookmarkStart w:id="389" w:name="_Toc169593004"/>
      <w:r w:rsidRPr="00A33264">
        <w:rPr>
          <w:lang w:val="en-GB"/>
        </w:rPr>
        <w:t>Federal</w:t>
      </w:r>
      <w:r w:rsidR="000175BD" w:rsidRPr="00A33264">
        <w:rPr>
          <w:lang w:val="en-GB"/>
        </w:rPr>
        <w:t xml:space="preserve"> </w:t>
      </w:r>
      <w:r w:rsidRPr="00A33264">
        <w:rPr>
          <w:lang w:val="en-GB"/>
        </w:rPr>
        <w:t>Court of Australia</w:t>
      </w:r>
      <w:bookmarkEnd w:id="389"/>
    </w:p>
    <w:p w14:paraId="5793E0B4" w14:textId="43327A59" w:rsidR="00E83B0D" w:rsidRPr="00A33264" w:rsidRDefault="00E83B0D" w:rsidP="00E83B0D">
      <w:pPr>
        <w:rPr>
          <w:lang w:val="en-GB"/>
        </w:rPr>
      </w:pPr>
      <w:r w:rsidRPr="00A33264">
        <w:rPr>
          <w:lang w:val="en-GB"/>
        </w:rPr>
        <w:t xml:space="preserve">The Federal Court handed down 2 substantive decisions </w:t>
      </w:r>
      <w:r w:rsidR="007641EF">
        <w:rPr>
          <w:lang w:val="en-GB"/>
        </w:rPr>
        <w:t xml:space="preserve">involving the NDIA </w:t>
      </w:r>
      <w:r w:rsidRPr="00A33264">
        <w:rPr>
          <w:lang w:val="en-GB"/>
        </w:rPr>
        <w:t xml:space="preserve">during 2023–24: </w:t>
      </w:r>
    </w:p>
    <w:p w14:paraId="5F204091" w14:textId="150FEDAC" w:rsidR="00E83B0D" w:rsidRPr="00A33264" w:rsidRDefault="00E83B0D" w:rsidP="00E83B0D">
      <w:pPr>
        <w:pStyle w:val="Bullet1"/>
        <w:rPr>
          <w:lang w:val="en-GB"/>
        </w:rPr>
      </w:pPr>
      <w:r w:rsidRPr="00A33264">
        <w:rPr>
          <w:lang w:val="en-GB"/>
        </w:rPr>
        <w:t xml:space="preserve">Reasons for </w:t>
      </w:r>
      <w:r w:rsidRPr="00BB40DF">
        <w:rPr>
          <w:i/>
          <w:iCs/>
          <w:lang w:val="en-GB"/>
        </w:rPr>
        <w:t>Public Trustee of South Australia (as litigation representative for Isherwood) v National Disability Insurance Agency (No 2)</w:t>
      </w:r>
      <w:r w:rsidRPr="00A33264">
        <w:rPr>
          <w:lang w:val="en-GB"/>
        </w:rPr>
        <w:t xml:space="preserve"> [2023] FCA 852 were published on 28 July 2023</w:t>
      </w:r>
      <w:r w:rsidR="007641EF">
        <w:rPr>
          <w:lang w:val="en-GB"/>
        </w:rPr>
        <w:t xml:space="preserve">. </w:t>
      </w:r>
      <w:r w:rsidR="0083276D">
        <w:rPr>
          <w:lang w:val="en-GB"/>
        </w:rPr>
        <w:t>The decision</w:t>
      </w:r>
      <w:r w:rsidRPr="00A33264">
        <w:rPr>
          <w:lang w:val="en-GB"/>
        </w:rPr>
        <w:t xml:space="preserve"> concern</w:t>
      </w:r>
      <w:r w:rsidR="007641EF">
        <w:rPr>
          <w:lang w:val="en-GB"/>
        </w:rPr>
        <w:t>ed</w:t>
      </w:r>
      <w:r w:rsidRPr="00A33264">
        <w:rPr>
          <w:lang w:val="en-GB"/>
        </w:rPr>
        <w:t xml:space="preserve"> a failure by the </w:t>
      </w:r>
      <w:r w:rsidRPr="00A33264">
        <w:rPr>
          <w:lang w:val="en-GB"/>
        </w:rPr>
        <w:lastRenderedPageBreak/>
        <w:t xml:space="preserve">Administrative Appeals Tribunal (AAT) to provide procedural fairness to the parties where further evidence was produced after the substantive hearing. The Federal Court held that the AAT did not provide procedural fairness to the </w:t>
      </w:r>
      <w:r w:rsidR="007641EF">
        <w:rPr>
          <w:lang w:val="en-GB"/>
        </w:rPr>
        <w:t>a</w:t>
      </w:r>
      <w:r w:rsidRPr="00A33264">
        <w:rPr>
          <w:lang w:val="en-GB"/>
        </w:rPr>
        <w:t>pplicant, and the matter was remitted for further decision by the AAT.</w:t>
      </w:r>
    </w:p>
    <w:p w14:paraId="5B969C5E" w14:textId="02DB20C9" w:rsidR="00096E39" w:rsidRPr="00A33264" w:rsidRDefault="00E83B0D" w:rsidP="00E83B0D">
      <w:pPr>
        <w:pStyle w:val="Bullet1"/>
        <w:rPr>
          <w:lang w:val="en-GB"/>
        </w:rPr>
      </w:pPr>
      <w:r w:rsidRPr="00A33264">
        <w:rPr>
          <w:lang w:val="en-GB"/>
        </w:rPr>
        <w:t xml:space="preserve">Reasons for </w:t>
      </w:r>
      <w:r w:rsidRPr="00BB40DF">
        <w:rPr>
          <w:i/>
          <w:iCs/>
          <w:lang w:val="en-GB"/>
        </w:rPr>
        <w:t>Warwick v National Disability Insurance Agency</w:t>
      </w:r>
      <w:r w:rsidRPr="00A33264">
        <w:rPr>
          <w:lang w:val="en-GB"/>
        </w:rPr>
        <w:t xml:space="preserve"> [2024] FCA 616 were published on 12 June 2024</w:t>
      </w:r>
      <w:r w:rsidR="007641EF">
        <w:rPr>
          <w:lang w:val="en-GB"/>
        </w:rPr>
        <w:t>. The decision</w:t>
      </w:r>
      <w:r w:rsidRPr="00A33264">
        <w:rPr>
          <w:lang w:val="en-GB"/>
        </w:rPr>
        <w:t xml:space="preserve"> concern</w:t>
      </w:r>
      <w:r w:rsidR="007641EF">
        <w:rPr>
          <w:lang w:val="en-GB"/>
        </w:rPr>
        <w:t>ed</w:t>
      </w:r>
      <w:r w:rsidRPr="00A33264">
        <w:rPr>
          <w:lang w:val="en-GB"/>
        </w:rPr>
        <w:t xml:space="preserve"> whether relocation costs constituted ‘day-to-day living costs’ under Rule 5.1(d) of the </w:t>
      </w:r>
      <w:r w:rsidRPr="00157AAC">
        <w:rPr>
          <w:i/>
          <w:iCs/>
          <w:lang w:val="en-GB"/>
        </w:rPr>
        <w:t xml:space="preserve">National Disability </w:t>
      </w:r>
      <w:r w:rsidR="002C0768" w:rsidRPr="00157AAC">
        <w:rPr>
          <w:i/>
          <w:iCs/>
          <w:lang w:val="en-GB"/>
        </w:rPr>
        <w:t>I</w:t>
      </w:r>
      <w:r w:rsidRPr="00157AAC">
        <w:rPr>
          <w:i/>
          <w:iCs/>
          <w:lang w:val="en-GB"/>
        </w:rPr>
        <w:t>nsurance Scheme (Support for Participants) Rules 2013</w:t>
      </w:r>
      <w:r w:rsidRPr="00A33264">
        <w:rPr>
          <w:lang w:val="en-GB"/>
        </w:rPr>
        <w:t xml:space="preserve">. The Federal Court held the AAT erred in its construction of Rule 5.1(d) and that the </w:t>
      </w:r>
      <w:r w:rsidR="004364A0">
        <w:rPr>
          <w:lang w:val="en-GB"/>
        </w:rPr>
        <w:t>r</w:t>
      </w:r>
      <w:r w:rsidRPr="00A33264">
        <w:rPr>
          <w:lang w:val="en-GB"/>
        </w:rPr>
        <w:t>ule did not apply.</w:t>
      </w:r>
    </w:p>
    <w:p w14:paraId="57A477D9" w14:textId="0CD34735" w:rsidR="00096E39" w:rsidRPr="00A33264" w:rsidRDefault="00096E39" w:rsidP="00096E39">
      <w:pPr>
        <w:pStyle w:val="Heading4"/>
        <w:rPr>
          <w:lang w:val="en-GB"/>
        </w:rPr>
      </w:pPr>
      <w:bookmarkStart w:id="390" w:name="_Toc169593005"/>
      <w:r w:rsidRPr="00A33264">
        <w:rPr>
          <w:lang w:val="en-GB"/>
        </w:rPr>
        <w:t>Administrative Appeals Tribunal reviews</w:t>
      </w:r>
      <w:bookmarkEnd w:id="390"/>
    </w:p>
    <w:p w14:paraId="7C425478" w14:textId="511464DE" w:rsidR="00096E39" w:rsidRPr="00A33264" w:rsidRDefault="00E83B0D" w:rsidP="00096E39">
      <w:pPr>
        <w:rPr>
          <w:lang w:val="en-GB"/>
        </w:rPr>
      </w:pPr>
      <w:r w:rsidRPr="00A33264">
        <w:rPr>
          <w:lang w:val="en-GB"/>
        </w:rPr>
        <w:t xml:space="preserve">The AAT is responsible for independently reviewing a range of decisions made under the NDIS Act, including decisions about whether a person meets the access criteria to become a participant in the </w:t>
      </w:r>
      <w:r w:rsidR="00CA5D3C">
        <w:rPr>
          <w:lang w:val="en-GB"/>
        </w:rPr>
        <w:t>NDIS</w:t>
      </w:r>
      <w:r w:rsidRPr="00A33264">
        <w:rPr>
          <w:lang w:val="en-GB"/>
        </w:rPr>
        <w:t xml:space="preserve">, and </w:t>
      </w:r>
      <w:r w:rsidR="007641EF">
        <w:rPr>
          <w:lang w:val="en-GB"/>
        </w:rPr>
        <w:t xml:space="preserve">decisions </w:t>
      </w:r>
      <w:r w:rsidRPr="00A33264">
        <w:rPr>
          <w:lang w:val="en-GB"/>
        </w:rPr>
        <w:t xml:space="preserve">relating to supports provided under the </w:t>
      </w:r>
      <w:r w:rsidR="00CA5D3C">
        <w:rPr>
          <w:lang w:val="en-GB"/>
        </w:rPr>
        <w:t>NDIS</w:t>
      </w:r>
      <w:r w:rsidRPr="00A33264">
        <w:rPr>
          <w:lang w:val="en-GB"/>
        </w:rPr>
        <w:t>. In 2023–24, 4,043 applications for external merits review were lodged by participants in the AAT. There were 3,981 cases finalised during 2023–24, 97.2% of which were finalised through alternative dispute resolution without requiring a substantive hearing. As at 30 June 2024, 2,973 matters were open</w:t>
      </w:r>
      <w:r w:rsidR="007641EF">
        <w:rPr>
          <w:lang w:val="en-GB"/>
        </w:rPr>
        <w:t>.</w:t>
      </w:r>
      <w:r w:rsidRPr="00A33264">
        <w:rPr>
          <w:lang w:val="en-GB"/>
        </w:rPr>
        <w:t xml:space="preserve"> </w:t>
      </w:r>
      <w:r w:rsidR="007641EF">
        <w:rPr>
          <w:lang w:val="en-GB"/>
        </w:rPr>
        <w:t>T</w:t>
      </w:r>
      <w:r w:rsidRPr="00A33264">
        <w:rPr>
          <w:lang w:val="en-GB"/>
        </w:rPr>
        <w:t xml:space="preserve">hat is a 2.1% increase in open cases from the same time last year (as at 1 July 2023) and a 30% reduction in open cases from the year before (as at 1 July 2022). The AAT handed down 110 hearing decisions in 2023–24. </w:t>
      </w:r>
      <w:r w:rsidR="007641EF">
        <w:rPr>
          <w:lang w:val="en-GB"/>
        </w:rPr>
        <w:t>It</w:t>
      </w:r>
      <w:r w:rsidRPr="00A33264">
        <w:rPr>
          <w:lang w:val="en-GB"/>
        </w:rPr>
        <w:t xml:space="preserve"> affirmed 55 decisions, varied 12 decisions and set aside 43 decisions. The NDIA remains focused on resolving AAT disputes by taking a participant-centric approach.</w:t>
      </w:r>
    </w:p>
    <w:p w14:paraId="0B19EA68" w14:textId="2C798CD4" w:rsidR="00096E39" w:rsidRPr="00A33264" w:rsidRDefault="00096E39" w:rsidP="00096E39">
      <w:pPr>
        <w:pStyle w:val="Heading4"/>
        <w:rPr>
          <w:lang w:val="en-GB"/>
        </w:rPr>
      </w:pPr>
      <w:bookmarkStart w:id="391" w:name="_Toc169593006"/>
      <w:r w:rsidRPr="00A33264">
        <w:rPr>
          <w:lang w:val="en-GB"/>
        </w:rPr>
        <w:t>Australian Human Rights Commission</w:t>
      </w:r>
      <w:bookmarkEnd w:id="391"/>
    </w:p>
    <w:p w14:paraId="3BB6DE27" w14:textId="166E745D" w:rsidR="00096E39" w:rsidRPr="00A33264" w:rsidRDefault="00E83B0D" w:rsidP="00096E39">
      <w:pPr>
        <w:rPr>
          <w:lang w:val="en-GB"/>
        </w:rPr>
      </w:pPr>
      <w:r w:rsidRPr="00A33264">
        <w:rPr>
          <w:lang w:val="en-GB"/>
        </w:rPr>
        <w:t xml:space="preserve">The Australian Human Rights Commission (AHRC) is an independent statutory body </w:t>
      </w:r>
      <w:r w:rsidR="00993D6D" w:rsidRPr="00A33264">
        <w:rPr>
          <w:lang w:val="en-GB"/>
        </w:rPr>
        <w:t>that</w:t>
      </w:r>
      <w:r w:rsidRPr="00A33264">
        <w:rPr>
          <w:lang w:val="en-GB"/>
        </w:rPr>
        <w:t xml:space="preserve"> investigates complaints about discrimination and human rights breaches. The AHRC has statutory responsibilities under the </w:t>
      </w:r>
      <w:r w:rsidRPr="00A33264">
        <w:rPr>
          <w:i/>
          <w:iCs/>
          <w:lang w:val="en-GB"/>
        </w:rPr>
        <w:t>Age Discrimination Act 2004</w:t>
      </w:r>
      <w:r w:rsidRPr="00A33264">
        <w:rPr>
          <w:lang w:val="en-GB"/>
        </w:rPr>
        <w:t xml:space="preserve">, </w:t>
      </w:r>
      <w:r w:rsidRPr="00A33264">
        <w:rPr>
          <w:i/>
          <w:iCs/>
          <w:lang w:val="en-GB"/>
        </w:rPr>
        <w:t>Australian Human Rights Commission Act 1986</w:t>
      </w:r>
      <w:r w:rsidRPr="00A33264">
        <w:rPr>
          <w:lang w:val="en-GB"/>
        </w:rPr>
        <w:t xml:space="preserve">, </w:t>
      </w:r>
      <w:r w:rsidRPr="00A33264">
        <w:rPr>
          <w:i/>
          <w:iCs/>
          <w:lang w:val="en-GB"/>
        </w:rPr>
        <w:t>Disability Discrimination Act 1992</w:t>
      </w:r>
      <w:r w:rsidRPr="00A33264">
        <w:rPr>
          <w:lang w:val="en-GB"/>
        </w:rPr>
        <w:t xml:space="preserve">, </w:t>
      </w:r>
      <w:r w:rsidRPr="00A33264">
        <w:rPr>
          <w:i/>
          <w:iCs/>
          <w:lang w:val="en-GB"/>
        </w:rPr>
        <w:t>Racial Discrimination Act 1975</w:t>
      </w:r>
      <w:r w:rsidRPr="00A33264">
        <w:rPr>
          <w:lang w:val="en-GB"/>
        </w:rPr>
        <w:t xml:space="preserve">, and </w:t>
      </w:r>
      <w:r w:rsidRPr="00A33264">
        <w:rPr>
          <w:i/>
          <w:iCs/>
          <w:lang w:val="en-GB"/>
        </w:rPr>
        <w:t>Sex Discrimination Act 1984</w:t>
      </w:r>
      <w:r w:rsidRPr="00A33264">
        <w:rPr>
          <w:lang w:val="en-GB"/>
        </w:rPr>
        <w:t>. In 2023–24 the NDIA received 8 complaints from the AHRC, of which 4 were open at the end of the financial year.</w:t>
      </w:r>
    </w:p>
    <w:p w14:paraId="30AB6E65" w14:textId="79A52D9B" w:rsidR="00096E39" w:rsidRPr="00A33264" w:rsidRDefault="00096E39" w:rsidP="00096E39">
      <w:pPr>
        <w:pStyle w:val="Heading4"/>
        <w:rPr>
          <w:lang w:val="en-GB"/>
        </w:rPr>
      </w:pPr>
      <w:bookmarkStart w:id="392" w:name="_Toc169593007"/>
      <w:r w:rsidRPr="00A33264">
        <w:rPr>
          <w:lang w:val="en-GB"/>
        </w:rPr>
        <w:t>Fair Work Commission</w:t>
      </w:r>
      <w:bookmarkEnd w:id="392"/>
    </w:p>
    <w:p w14:paraId="3F0B0085" w14:textId="25801915" w:rsidR="00096E39" w:rsidRPr="00A33264" w:rsidRDefault="00E83B0D" w:rsidP="00096E39">
      <w:pPr>
        <w:rPr>
          <w:lang w:val="en-GB"/>
        </w:rPr>
      </w:pPr>
      <w:r w:rsidRPr="00A33264">
        <w:rPr>
          <w:lang w:val="en-GB"/>
        </w:rPr>
        <w:t xml:space="preserve">The Fair Work Commission is Australia’s national workplace relations tribunal. </w:t>
      </w:r>
      <w:r w:rsidR="007641EF">
        <w:rPr>
          <w:lang w:val="en-GB"/>
        </w:rPr>
        <w:t>It</w:t>
      </w:r>
      <w:r w:rsidRPr="00A33264">
        <w:rPr>
          <w:lang w:val="en-GB"/>
        </w:rPr>
        <w:t xml:space="preserve"> is responsible for setting minimum wages for Australia, helping with issues in the workplace and regulating registered organisations. In 2023–24 the NDIA received 8 applications to the F</w:t>
      </w:r>
      <w:r w:rsidR="00196F6D">
        <w:rPr>
          <w:lang w:val="en-GB"/>
        </w:rPr>
        <w:t xml:space="preserve">air </w:t>
      </w:r>
      <w:r w:rsidRPr="00A33264">
        <w:rPr>
          <w:lang w:val="en-GB"/>
        </w:rPr>
        <w:t>W</w:t>
      </w:r>
      <w:r w:rsidR="00196F6D">
        <w:rPr>
          <w:lang w:val="en-GB"/>
        </w:rPr>
        <w:t xml:space="preserve">ork </w:t>
      </w:r>
      <w:r w:rsidRPr="00A33264">
        <w:rPr>
          <w:lang w:val="en-GB"/>
        </w:rPr>
        <w:t>C</w:t>
      </w:r>
      <w:r w:rsidR="00196F6D">
        <w:rPr>
          <w:lang w:val="en-GB"/>
        </w:rPr>
        <w:t>ommission</w:t>
      </w:r>
      <w:r w:rsidRPr="00A33264">
        <w:rPr>
          <w:lang w:val="en-GB"/>
        </w:rPr>
        <w:t>, of which 2 were open at the end of the financial year.</w:t>
      </w:r>
    </w:p>
    <w:p w14:paraId="601C76EB" w14:textId="596F8E0B" w:rsidR="00096E39" w:rsidRPr="00A33264" w:rsidRDefault="00096E39" w:rsidP="00096E39">
      <w:pPr>
        <w:pStyle w:val="Heading4"/>
        <w:rPr>
          <w:lang w:val="en-GB"/>
        </w:rPr>
      </w:pPr>
      <w:bookmarkStart w:id="393" w:name="_Toc169593008"/>
      <w:r w:rsidRPr="00A33264">
        <w:rPr>
          <w:lang w:val="en-GB"/>
        </w:rPr>
        <w:lastRenderedPageBreak/>
        <w:t>Federal Circuit Court</w:t>
      </w:r>
      <w:bookmarkEnd w:id="393"/>
      <w:r w:rsidR="00E83B0D" w:rsidRPr="00A33264">
        <w:rPr>
          <w:lang w:val="en-GB"/>
        </w:rPr>
        <w:t xml:space="preserve"> and Family Court of Australia</w:t>
      </w:r>
    </w:p>
    <w:p w14:paraId="0A0D0385" w14:textId="0FD89843" w:rsidR="00096E39" w:rsidRPr="00A33264" w:rsidRDefault="00E83B0D" w:rsidP="00096E39">
      <w:pPr>
        <w:rPr>
          <w:lang w:val="en-GB"/>
        </w:rPr>
      </w:pPr>
      <w:r w:rsidRPr="00A33264">
        <w:rPr>
          <w:lang w:val="en-GB"/>
        </w:rPr>
        <w:t xml:space="preserve">The Federal Circuit and Family Court of Australia (FCFCA) deals with family law, migration, and general federal law matters. In 2023–24 the NDIA received </w:t>
      </w:r>
      <w:r w:rsidR="00993D6D" w:rsidRPr="00A33264">
        <w:rPr>
          <w:lang w:val="en-GB"/>
        </w:rPr>
        <w:t>one</w:t>
      </w:r>
      <w:r w:rsidRPr="00A33264">
        <w:rPr>
          <w:lang w:val="en-GB"/>
        </w:rPr>
        <w:t xml:space="preserve"> application from the FCFCA</w:t>
      </w:r>
      <w:r w:rsidR="00993D6D" w:rsidRPr="00A33264">
        <w:rPr>
          <w:lang w:val="en-GB"/>
        </w:rPr>
        <w:t>,</w:t>
      </w:r>
      <w:r w:rsidRPr="00A33264">
        <w:rPr>
          <w:lang w:val="en-GB"/>
        </w:rPr>
        <w:t xml:space="preserve"> which was open at the end of the financial year</w:t>
      </w:r>
      <w:r w:rsidR="00993D6D" w:rsidRPr="00A33264">
        <w:rPr>
          <w:lang w:val="en-GB"/>
        </w:rPr>
        <w:t>.</w:t>
      </w:r>
    </w:p>
    <w:p w14:paraId="01D957E1" w14:textId="24F87CCD" w:rsidR="00096E39" w:rsidRPr="00A33264" w:rsidRDefault="00096E39" w:rsidP="00096E39">
      <w:pPr>
        <w:pStyle w:val="Heading4"/>
        <w:rPr>
          <w:lang w:val="en-GB"/>
        </w:rPr>
      </w:pPr>
      <w:bookmarkStart w:id="394" w:name="_Toc169593009"/>
      <w:bookmarkStart w:id="395" w:name="_Hlk174610092"/>
      <w:r w:rsidRPr="00A33264">
        <w:rPr>
          <w:lang w:val="en-GB"/>
        </w:rPr>
        <w:t>Australian National Audit Office reports</w:t>
      </w:r>
      <w:bookmarkEnd w:id="394"/>
    </w:p>
    <w:p w14:paraId="680D0A76" w14:textId="4DEF406A" w:rsidR="007963B3" w:rsidRPr="00A33264" w:rsidRDefault="007963B3" w:rsidP="007963B3">
      <w:pPr>
        <w:rPr>
          <w:lang w:val="en-GB"/>
        </w:rPr>
      </w:pPr>
      <w:bookmarkStart w:id="396" w:name="_Hlk174610264"/>
      <w:r w:rsidRPr="00A33264">
        <w:rPr>
          <w:lang w:val="en-GB"/>
        </w:rPr>
        <w:t>The Australian National Audit Office (ANAO) conducts performance audits of the efficiency and effectiveness of the NDIA’s operations</w:t>
      </w:r>
      <w:r w:rsidR="00196F6D">
        <w:rPr>
          <w:lang w:val="en-GB"/>
        </w:rPr>
        <w:t>,</w:t>
      </w:r>
      <w:r w:rsidRPr="00A33264">
        <w:rPr>
          <w:lang w:val="en-GB"/>
        </w:rPr>
        <w:t xml:space="preserve"> and financial statements audits of NDIA financial statements. In 2023–24 the ANAO undertook 2 performance audits involving the NDIA. </w:t>
      </w:r>
      <w:r w:rsidR="00196F6D">
        <w:rPr>
          <w:i/>
          <w:iCs/>
          <w:lang w:val="en-GB"/>
        </w:rPr>
        <w:t>Auditor-General Report No. 23 2023</w:t>
      </w:r>
      <w:r w:rsidR="00196F6D" w:rsidRPr="003131F3">
        <w:rPr>
          <w:i/>
          <w:iCs/>
          <w:lang w:val="en-GB"/>
        </w:rPr>
        <w:t>–</w:t>
      </w:r>
      <w:r w:rsidR="00196F6D">
        <w:rPr>
          <w:i/>
          <w:iCs/>
          <w:lang w:val="en-GB"/>
        </w:rPr>
        <w:t xml:space="preserve">24: </w:t>
      </w:r>
      <w:r w:rsidRPr="00F86FC3">
        <w:rPr>
          <w:i/>
          <w:lang w:val="en-GB"/>
        </w:rPr>
        <w:t xml:space="preserve">Management of </w:t>
      </w:r>
      <w:r w:rsidR="00B43B3B">
        <w:rPr>
          <w:i/>
          <w:lang w:val="en-GB"/>
        </w:rPr>
        <w:t>c</w:t>
      </w:r>
      <w:r w:rsidRPr="00F86FC3">
        <w:rPr>
          <w:i/>
          <w:lang w:val="en-GB"/>
        </w:rPr>
        <w:t>omplaints by the National Disability Insurance</w:t>
      </w:r>
      <w:r w:rsidR="00B43B3B">
        <w:rPr>
          <w:i/>
          <w:lang w:val="en-GB"/>
        </w:rPr>
        <w:t xml:space="preserve"> Agency</w:t>
      </w:r>
      <w:r w:rsidRPr="00A33264">
        <w:rPr>
          <w:lang w:val="en-GB"/>
        </w:rPr>
        <w:t xml:space="preserve"> was published on 22 April 2024. It made 2 recommendations, </w:t>
      </w:r>
      <w:r w:rsidR="00196F6D">
        <w:rPr>
          <w:lang w:val="en-GB"/>
        </w:rPr>
        <w:t xml:space="preserve">both </w:t>
      </w:r>
      <w:r w:rsidRPr="00A33264">
        <w:rPr>
          <w:lang w:val="en-GB"/>
        </w:rPr>
        <w:t xml:space="preserve">of which were agreed </w:t>
      </w:r>
      <w:r w:rsidR="00196F6D">
        <w:rPr>
          <w:lang w:val="en-GB"/>
        </w:rPr>
        <w:t xml:space="preserve">to </w:t>
      </w:r>
      <w:r w:rsidRPr="00A33264">
        <w:rPr>
          <w:lang w:val="en-GB"/>
        </w:rPr>
        <w:t xml:space="preserve">by the NDIA. </w:t>
      </w:r>
      <w:r w:rsidR="00196F6D" w:rsidRPr="00515544">
        <w:rPr>
          <w:i/>
          <w:iCs/>
          <w:lang w:val="en-GB"/>
        </w:rPr>
        <w:t xml:space="preserve">Auditor-General Report No. </w:t>
      </w:r>
      <w:r w:rsidR="00196F6D">
        <w:rPr>
          <w:i/>
          <w:iCs/>
          <w:lang w:val="en-GB"/>
        </w:rPr>
        <w:t>3</w:t>
      </w:r>
      <w:r w:rsidR="00196F6D" w:rsidRPr="00515544">
        <w:rPr>
          <w:i/>
          <w:iCs/>
          <w:lang w:val="en-GB"/>
        </w:rPr>
        <w:t>3 2023–24</w:t>
      </w:r>
      <w:r w:rsidR="00196F6D" w:rsidRPr="00E40940">
        <w:rPr>
          <w:i/>
          <w:iCs/>
          <w:lang w:val="en-GB"/>
        </w:rPr>
        <w:t>:</w:t>
      </w:r>
      <w:r w:rsidR="00196F6D" w:rsidRPr="00F86FC3">
        <w:rPr>
          <w:i/>
          <w:lang w:val="en-GB"/>
        </w:rPr>
        <w:t xml:space="preserve"> </w:t>
      </w:r>
      <w:r w:rsidRPr="00F86FC3">
        <w:rPr>
          <w:i/>
          <w:lang w:val="en-GB"/>
        </w:rPr>
        <w:t xml:space="preserve">Compliance with </w:t>
      </w:r>
      <w:r w:rsidR="00B43B3B">
        <w:rPr>
          <w:i/>
          <w:lang w:val="en-GB"/>
        </w:rPr>
        <w:t>c</w:t>
      </w:r>
      <w:r w:rsidRPr="00F86FC3">
        <w:rPr>
          <w:i/>
          <w:lang w:val="en-GB"/>
        </w:rPr>
        <w:t xml:space="preserve">orporate </w:t>
      </w:r>
      <w:r w:rsidR="00B43B3B">
        <w:rPr>
          <w:i/>
          <w:lang w:val="en-GB"/>
        </w:rPr>
        <w:t>c</w:t>
      </w:r>
      <w:r w:rsidRPr="00F86FC3">
        <w:rPr>
          <w:i/>
          <w:lang w:val="en-GB"/>
        </w:rPr>
        <w:t>redit</w:t>
      </w:r>
      <w:r w:rsidR="00B43B3B">
        <w:rPr>
          <w:i/>
          <w:lang w:val="en-GB"/>
        </w:rPr>
        <w:t xml:space="preserve"> c</w:t>
      </w:r>
      <w:r w:rsidRPr="00F86FC3">
        <w:rPr>
          <w:i/>
          <w:lang w:val="en-GB"/>
        </w:rPr>
        <w:t xml:space="preserve">ard </w:t>
      </w:r>
      <w:r w:rsidR="00B43B3B">
        <w:rPr>
          <w:i/>
          <w:lang w:val="en-GB"/>
        </w:rPr>
        <w:t>r</w:t>
      </w:r>
      <w:r w:rsidRPr="00F86FC3">
        <w:rPr>
          <w:i/>
          <w:lang w:val="en-GB"/>
        </w:rPr>
        <w:t>equirements in the National Disability Insurance Agency</w:t>
      </w:r>
      <w:r w:rsidRPr="00A33264">
        <w:rPr>
          <w:lang w:val="en-GB"/>
        </w:rPr>
        <w:t xml:space="preserve"> was published on 30 May 2024. It made 9 recommendations, all of which were agreed </w:t>
      </w:r>
      <w:r w:rsidR="00196F6D">
        <w:rPr>
          <w:lang w:val="en-GB"/>
        </w:rPr>
        <w:t xml:space="preserve">to </w:t>
      </w:r>
      <w:r w:rsidRPr="00A33264">
        <w:rPr>
          <w:lang w:val="en-GB"/>
        </w:rPr>
        <w:t>by the NDIA.</w:t>
      </w:r>
    </w:p>
    <w:p w14:paraId="77E5FD94" w14:textId="440CD5AD" w:rsidR="009F7C45" w:rsidRPr="00A33264" w:rsidRDefault="007963B3" w:rsidP="007963B3">
      <w:pPr>
        <w:rPr>
          <w:lang w:val="en-GB"/>
        </w:rPr>
      </w:pPr>
      <w:r w:rsidRPr="00A33264">
        <w:rPr>
          <w:lang w:val="en-GB"/>
        </w:rPr>
        <w:t xml:space="preserve">All ANAO recommendations from </w:t>
      </w:r>
      <w:r w:rsidR="00196F6D">
        <w:rPr>
          <w:lang w:val="en-GB"/>
        </w:rPr>
        <w:t>its</w:t>
      </w:r>
      <w:r w:rsidRPr="00A33264">
        <w:rPr>
          <w:lang w:val="en-GB"/>
        </w:rPr>
        <w:t xml:space="preserve"> performance, performance statements and financial statements audits are actively monitored and addressed within the necessary timelines</w:t>
      </w:r>
      <w:r w:rsidR="00196F6D">
        <w:rPr>
          <w:lang w:val="en-GB"/>
        </w:rPr>
        <w:t>,</w:t>
      </w:r>
      <w:r w:rsidRPr="00A33264">
        <w:rPr>
          <w:lang w:val="en-GB"/>
        </w:rPr>
        <w:t xml:space="preserve"> with </w:t>
      </w:r>
      <w:r w:rsidR="00196F6D">
        <w:rPr>
          <w:lang w:val="en-GB"/>
        </w:rPr>
        <w:t xml:space="preserve">oversight from </w:t>
      </w:r>
      <w:r w:rsidRPr="00A33264">
        <w:rPr>
          <w:lang w:val="en-GB"/>
        </w:rPr>
        <w:t>both</w:t>
      </w:r>
      <w:r w:rsidR="00196F6D">
        <w:rPr>
          <w:lang w:val="en-GB"/>
        </w:rPr>
        <w:t xml:space="preserve"> the</w:t>
      </w:r>
      <w:r w:rsidRPr="00A33264">
        <w:rPr>
          <w:lang w:val="en-GB"/>
        </w:rPr>
        <w:t xml:space="preserve"> Strategic Leadership Team and </w:t>
      </w:r>
      <w:r w:rsidR="00196F6D">
        <w:rPr>
          <w:lang w:val="en-GB"/>
        </w:rPr>
        <w:t xml:space="preserve">the </w:t>
      </w:r>
      <w:r w:rsidRPr="00A33264">
        <w:rPr>
          <w:lang w:val="en-GB"/>
        </w:rPr>
        <w:t>Board Audit and Risk Committee.</w:t>
      </w:r>
    </w:p>
    <w:p w14:paraId="6CC31CD3" w14:textId="3ECF989F" w:rsidR="00096E39" w:rsidRPr="00A33264" w:rsidRDefault="00096E39" w:rsidP="00096E39">
      <w:pPr>
        <w:pStyle w:val="Heading4"/>
        <w:rPr>
          <w:lang w:val="en-GB"/>
        </w:rPr>
      </w:pPr>
      <w:bookmarkStart w:id="397" w:name="_Toc169593010"/>
      <w:bookmarkEnd w:id="395"/>
      <w:bookmarkEnd w:id="396"/>
      <w:r w:rsidRPr="00A33264">
        <w:rPr>
          <w:lang w:val="en-GB"/>
        </w:rPr>
        <w:t>Freedom of Information</w:t>
      </w:r>
      <w:bookmarkEnd w:id="397"/>
    </w:p>
    <w:p w14:paraId="2A75502B" w14:textId="5D2ADB12" w:rsidR="00B8787E" w:rsidRPr="00A33264" w:rsidRDefault="00B8787E" w:rsidP="00B8787E">
      <w:pPr>
        <w:rPr>
          <w:lang w:val="en-GB"/>
        </w:rPr>
      </w:pPr>
      <w:r w:rsidRPr="00A33264">
        <w:rPr>
          <w:lang w:val="en-GB"/>
        </w:rPr>
        <w:t xml:space="preserve">Under the </w:t>
      </w:r>
      <w:r w:rsidRPr="00A33264">
        <w:rPr>
          <w:i/>
          <w:iCs/>
          <w:lang w:val="en-GB"/>
        </w:rPr>
        <w:t>Freedom of Information Act 1982</w:t>
      </w:r>
      <w:r w:rsidRPr="00A33264">
        <w:rPr>
          <w:lang w:val="en-GB"/>
        </w:rPr>
        <w:t xml:space="preserve"> </w:t>
      </w:r>
      <w:r w:rsidR="004364A0">
        <w:rPr>
          <w:lang w:val="en-GB"/>
        </w:rPr>
        <w:t xml:space="preserve">(Cth) </w:t>
      </w:r>
      <w:r w:rsidRPr="00A33264">
        <w:rPr>
          <w:lang w:val="en-GB"/>
        </w:rPr>
        <w:t>(FOI Act), a person may request access to information held by the NDIA.</w:t>
      </w:r>
    </w:p>
    <w:p w14:paraId="71914CC5" w14:textId="77B3DFE1" w:rsidR="00B8787E" w:rsidRPr="00A33264" w:rsidRDefault="00B8787E" w:rsidP="00B8787E">
      <w:pPr>
        <w:rPr>
          <w:lang w:val="en-GB"/>
        </w:rPr>
      </w:pPr>
      <w:r w:rsidRPr="00A33264">
        <w:rPr>
          <w:lang w:val="en-GB"/>
        </w:rPr>
        <w:t xml:space="preserve">The NDIA </w:t>
      </w:r>
      <w:r w:rsidR="00196F6D">
        <w:rPr>
          <w:lang w:val="en-GB"/>
        </w:rPr>
        <w:t>applies</w:t>
      </w:r>
      <w:r w:rsidR="00196F6D" w:rsidRPr="00A33264">
        <w:rPr>
          <w:lang w:val="en-GB"/>
        </w:rPr>
        <w:t xml:space="preserve"> </w:t>
      </w:r>
      <w:r w:rsidRPr="00A33264">
        <w:rPr>
          <w:lang w:val="en-GB"/>
        </w:rPr>
        <w:t>a participant lens</w:t>
      </w:r>
      <w:r w:rsidR="00196F6D">
        <w:rPr>
          <w:lang w:val="en-GB"/>
        </w:rPr>
        <w:t xml:space="preserve"> to </w:t>
      </w:r>
      <w:r w:rsidR="004364A0">
        <w:rPr>
          <w:lang w:val="en-GB"/>
        </w:rPr>
        <w:t>freedom of information (</w:t>
      </w:r>
      <w:r w:rsidR="00196F6D">
        <w:rPr>
          <w:lang w:val="en-GB"/>
        </w:rPr>
        <w:t>FOI</w:t>
      </w:r>
      <w:r w:rsidR="004364A0">
        <w:rPr>
          <w:lang w:val="en-GB"/>
        </w:rPr>
        <w:t>)</w:t>
      </w:r>
      <w:r w:rsidR="00196F6D">
        <w:rPr>
          <w:lang w:val="en-GB"/>
        </w:rPr>
        <w:t xml:space="preserve"> requests</w:t>
      </w:r>
      <w:r w:rsidRPr="00A33264">
        <w:rPr>
          <w:lang w:val="en-GB"/>
        </w:rPr>
        <w:t xml:space="preserve"> and will refer participants to the Participant Information Access </w:t>
      </w:r>
      <w:r w:rsidR="00196F6D">
        <w:rPr>
          <w:lang w:val="en-GB"/>
        </w:rPr>
        <w:t xml:space="preserve">scheme </w:t>
      </w:r>
      <w:r w:rsidRPr="00A33264">
        <w:rPr>
          <w:lang w:val="en-GB"/>
        </w:rPr>
        <w:t xml:space="preserve">pathway where appropriate </w:t>
      </w:r>
      <w:r w:rsidR="00196F6D">
        <w:rPr>
          <w:lang w:val="en-GB"/>
        </w:rPr>
        <w:t>so that they can</w:t>
      </w:r>
      <w:r w:rsidRPr="00A33264">
        <w:rPr>
          <w:lang w:val="en-GB"/>
        </w:rPr>
        <w:t xml:space="preserve"> access their personal information more quickly and easily without needing to make or pursue a formal application under the FOI Act. </w:t>
      </w:r>
    </w:p>
    <w:p w14:paraId="5D1743A8" w14:textId="4AA0C581" w:rsidR="00096E39" w:rsidRPr="00A33264" w:rsidRDefault="00B8787E" w:rsidP="00B8787E">
      <w:pPr>
        <w:rPr>
          <w:lang w:val="en-GB"/>
        </w:rPr>
      </w:pPr>
      <w:r w:rsidRPr="00A33264">
        <w:rPr>
          <w:lang w:val="en-GB"/>
        </w:rPr>
        <w:t>In 2023–24 the NDIA received 1,386 requests under the FOI Act</w:t>
      </w:r>
      <w:r w:rsidR="00196F6D">
        <w:rPr>
          <w:lang w:val="en-GB"/>
        </w:rPr>
        <w:t>,</w:t>
      </w:r>
      <w:r w:rsidRPr="00A33264">
        <w:rPr>
          <w:lang w:val="en-GB"/>
        </w:rPr>
        <w:t xml:space="preserve"> compared </w:t>
      </w:r>
      <w:r w:rsidR="004364A0">
        <w:rPr>
          <w:lang w:val="en-GB"/>
        </w:rPr>
        <w:t>with</w:t>
      </w:r>
      <w:r w:rsidRPr="00A33264">
        <w:rPr>
          <w:lang w:val="en-GB"/>
        </w:rPr>
        <w:t xml:space="preserve"> 1</w:t>
      </w:r>
      <w:r w:rsidR="00196F6D">
        <w:rPr>
          <w:lang w:val="en-GB"/>
        </w:rPr>
        <w:t>,</w:t>
      </w:r>
      <w:r w:rsidRPr="00A33264">
        <w:rPr>
          <w:lang w:val="en-GB"/>
        </w:rPr>
        <w:t>753 in 2022</w:t>
      </w:r>
      <w:r w:rsidR="00993D6D" w:rsidRPr="00A33264">
        <w:rPr>
          <w:lang w:val="en-GB"/>
        </w:rPr>
        <w:t>–</w:t>
      </w:r>
      <w:r w:rsidRPr="00A33264">
        <w:rPr>
          <w:lang w:val="en-GB"/>
        </w:rPr>
        <w:t>23</w:t>
      </w:r>
      <w:r w:rsidR="00196F6D">
        <w:rPr>
          <w:lang w:val="en-GB"/>
        </w:rPr>
        <w:t>,</w:t>
      </w:r>
      <w:r w:rsidRPr="00A33264">
        <w:rPr>
          <w:lang w:val="en-GB"/>
        </w:rPr>
        <w:t xml:space="preserve"> and 31 requests for internal review of an access decision. </w:t>
      </w:r>
      <w:r w:rsidR="00196F6D">
        <w:rPr>
          <w:lang w:val="en-GB"/>
        </w:rPr>
        <w:t>T</w:t>
      </w:r>
      <w:r w:rsidRPr="00A33264">
        <w:rPr>
          <w:lang w:val="en-GB"/>
        </w:rPr>
        <w:t xml:space="preserve">he Office of the Australian Information Commissioner notified the NDIA </w:t>
      </w:r>
      <w:r w:rsidR="00196F6D">
        <w:rPr>
          <w:lang w:val="en-GB"/>
        </w:rPr>
        <w:t xml:space="preserve">that </w:t>
      </w:r>
      <w:r w:rsidRPr="00A33264">
        <w:rPr>
          <w:lang w:val="en-GB"/>
        </w:rPr>
        <w:t>it</w:t>
      </w:r>
      <w:r w:rsidR="00196F6D">
        <w:rPr>
          <w:lang w:val="en-GB"/>
        </w:rPr>
        <w:t xml:space="preserve"> had</w:t>
      </w:r>
      <w:r w:rsidRPr="00A33264">
        <w:rPr>
          <w:lang w:val="en-GB"/>
        </w:rPr>
        <w:t xml:space="preserve"> received 77 applications for a review of the </w:t>
      </w:r>
      <w:r w:rsidR="00196F6D">
        <w:rPr>
          <w:lang w:val="en-GB"/>
        </w:rPr>
        <w:t>NDIA</w:t>
      </w:r>
      <w:r w:rsidRPr="00A33264">
        <w:rPr>
          <w:lang w:val="en-GB"/>
        </w:rPr>
        <w:t>’s access decisions. One matter was subject to an application to and determination by the AAT.</w:t>
      </w:r>
    </w:p>
    <w:p w14:paraId="63D42834" w14:textId="5CB4B8A7" w:rsidR="00096E39" w:rsidRPr="00A33264" w:rsidRDefault="00096E39" w:rsidP="00096E39">
      <w:pPr>
        <w:pStyle w:val="Heading4"/>
        <w:rPr>
          <w:lang w:val="en-GB"/>
        </w:rPr>
      </w:pPr>
      <w:bookmarkStart w:id="398" w:name="_Toc169593011"/>
      <w:r w:rsidRPr="00A33264">
        <w:rPr>
          <w:lang w:val="en-GB"/>
        </w:rPr>
        <w:t xml:space="preserve">Participant Information Access </w:t>
      </w:r>
      <w:r w:rsidR="00993D6D" w:rsidRPr="00A33264">
        <w:rPr>
          <w:lang w:val="en-GB"/>
        </w:rPr>
        <w:t>s</w:t>
      </w:r>
      <w:r w:rsidRPr="00A33264">
        <w:rPr>
          <w:lang w:val="en-GB"/>
        </w:rPr>
        <w:t>cheme</w:t>
      </w:r>
      <w:bookmarkEnd w:id="398"/>
    </w:p>
    <w:p w14:paraId="6A585C18" w14:textId="03A293AF" w:rsidR="00096E39" w:rsidRPr="00A33264" w:rsidRDefault="00B8787E" w:rsidP="00096E39">
      <w:pPr>
        <w:rPr>
          <w:lang w:val="en-GB"/>
        </w:rPr>
      </w:pPr>
      <w:r w:rsidRPr="00A33264">
        <w:rPr>
          <w:lang w:val="en-GB"/>
        </w:rPr>
        <w:t xml:space="preserve">The Participant Information Access scheme allows current and prospective participants, as well as nominated representatives, to request access to personal information held by the NDIA. The NDIA implemented the scheme in 2021 to assist participants to access their personal information more quickly and easily without needing to make or pursue a formal application under the FOI Act. The scheme is well </w:t>
      </w:r>
      <w:r w:rsidRPr="00A33264">
        <w:rPr>
          <w:lang w:val="en-GB"/>
        </w:rPr>
        <w:lastRenderedPageBreak/>
        <w:t>used by NDIS participants</w:t>
      </w:r>
      <w:r w:rsidR="00196F6D">
        <w:rPr>
          <w:lang w:val="en-GB"/>
        </w:rPr>
        <w:t>. The NDIA received</w:t>
      </w:r>
      <w:r w:rsidRPr="00A33264">
        <w:rPr>
          <w:lang w:val="en-GB"/>
        </w:rPr>
        <w:t xml:space="preserve"> 7,662 P</w:t>
      </w:r>
      <w:r w:rsidR="00196F6D">
        <w:rPr>
          <w:lang w:val="en-GB"/>
        </w:rPr>
        <w:t xml:space="preserve">articipant </w:t>
      </w:r>
      <w:r w:rsidRPr="00A33264">
        <w:rPr>
          <w:lang w:val="en-GB"/>
        </w:rPr>
        <w:t>I</w:t>
      </w:r>
      <w:r w:rsidR="00196F6D">
        <w:rPr>
          <w:lang w:val="en-GB"/>
        </w:rPr>
        <w:t xml:space="preserve">nformation </w:t>
      </w:r>
      <w:r w:rsidRPr="00A33264">
        <w:rPr>
          <w:lang w:val="en-GB"/>
        </w:rPr>
        <w:t>A</w:t>
      </w:r>
      <w:r w:rsidR="00196F6D">
        <w:rPr>
          <w:lang w:val="en-GB"/>
        </w:rPr>
        <w:t>ccess</w:t>
      </w:r>
      <w:r w:rsidRPr="00A33264">
        <w:rPr>
          <w:lang w:val="en-GB"/>
        </w:rPr>
        <w:t xml:space="preserve"> requests in 2023–24 compared </w:t>
      </w:r>
      <w:r w:rsidR="004364A0">
        <w:rPr>
          <w:lang w:val="en-GB"/>
        </w:rPr>
        <w:t>with</w:t>
      </w:r>
      <w:r w:rsidRPr="00A33264">
        <w:rPr>
          <w:lang w:val="en-GB"/>
        </w:rPr>
        <w:t xml:space="preserve"> 4</w:t>
      </w:r>
      <w:r w:rsidR="00196F6D">
        <w:rPr>
          <w:lang w:val="en-GB"/>
        </w:rPr>
        <w:t>,</w:t>
      </w:r>
      <w:r w:rsidRPr="00A33264">
        <w:rPr>
          <w:lang w:val="en-GB"/>
        </w:rPr>
        <w:t>807 in 2022</w:t>
      </w:r>
      <w:r w:rsidR="00993D6D" w:rsidRPr="00A33264">
        <w:rPr>
          <w:lang w:val="en-GB"/>
        </w:rPr>
        <w:t>–</w:t>
      </w:r>
      <w:r w:rsidRPr="00A33264">
        <w:rPr>
          <w:lang w:val="en-GB"/>
        </w:rPr>
        <w:t>23.</w:t>
      </w:r>
    </w:p>
    <w:p w14:paraId="13D19546" w14:textId="08B5CCF1" w:rsidR="00096E39" w:rsidRPr="00A33264" w:rsidRDefault="00096E39" w:rsidP="00096E39">
      <w:pPr>
        <w:pStyle w:val="Heading4"/>
        <w:rPr>
          <w:lang w:val="en-GB"/>
        </w:rPr>
      </w:pPr>
      <w:bookmarkStart w:id="399" w:name="_Toc169593012"/>
      <w:r w:rsidRPr="00A33264">
        <w:rPr>
          <w:lang w:val="en-GB"/>
        </w:rPr>
        <w:t>Commonwealth Ombudsman</w:t>
      </w:r>
      <w:bookmarkEnd w:id="399"/>
    </w:p>
    <w:p w14:paraId="6CB0038A" w14:textId="0F0856E7" w:rsidR="00B8787E" w:rsidRPr="00A33264" w:rsidRDefault="00B8787E" w:rsidP="00B8787E">
      <w:pPr>
        <w:rPr>
          <w:lang w:val="en-GB"/>
        </w:rPr>
      </w:pPr>
      <w:r w:rsidRPr="00A33264">
        <w:rPr>
          <w:lang w:val="en-GB"/>
        </w:rPr>
        <w:t xml:space="preserve">Under the </w:t>
      </w:r>
      <w:r w:rsidRPr="00A33264">
        <w:rPr>
          <w:i/>
          <w:iCs/>
          <w:lang w:val="en-GB"/>
        </w:rPr>
        <w:t>Ombudsman Act 1976</w:t>
      </w:r>
      <w:r w:rsidR="004364A0">
        <w:rPr>
          <w:lang w:val="en-GB"/>
        </w:rPr>
        <w:t xml:space="preserve"> (Cth),</w:t>
      </w:r>
      <w:r w:rsidRPr="00A33264">
        <w:rPr>
          <w:lang w:val="en-GB"/>
        </w:rPr>
        <w:t xml:space="preserve"> the Commonwealth Ombudsman may consider complaints from individuals, groups or organisations about administrative actions and decisions of Australian Government agencies</w:t>
      </w:r>
      <w:r w:rsidR="00993D6D" w:rsidRPr="00A33264">
        <w:rPr>
          <w:lang w:val="en-GB"/>
        </w:rPr>
        <w:t>,</w:t>
      </w:r>
      <w:r w:rsidRPr="00A33264">
        <w:rPr>
          <w:lang w:val="en-GB"/>
        </w:rPr>
        <w:t xml:space="preserve"> including the NDIA. </w:t>
      </w:r>
    </w:p>
    <w:p w14:paraId="3784B48D" w14:textId="77777777" w:rsidR="00B8787E" w:rsidRPr="00A33264" w:rsidRDefault="00B8787E" w:rsidP="00B8787E">
      <w:pPr>
        <w:rPr>
          <w:lang w:val="en-GB"/>
        </w:rPr>
      </w:pPr>
      <w:r w:rsidRPr="00A33264">
        <w:rPr>
          <w:lang w:val="en-GB"/>
        </w:rPr>
        <w:t>The NDIA assists the Commonwealth Ombudsman to address complaints by accepting complaint transfers and providing information and documents in response to Ombudsman inquiries, requests and formal notices.</w:t>
      </w:r>
    </w:p>
    <w:p w14:paraId="7E1BA2A3" w14:textId="32AE7842" w:rsidR="00096E39" w:rsidRPr="00A33264" w:rsidRDefault="00B8787E" w:rsidP="00B8787E">
      <w:pPr>
        <w:rPr>
          <w:lang w:val="en-GB"/>
        </w:rPr>
      </w:pPr>
      <w:r w:rsidRPr="00A33264">
        <w:rPr>
          <w:lang w:val="en-GB"/>
        </w:rPr>
        <w:t>In 2023</w:t>
      </w:r>
      <w:r w:rsidR="00993D6D" w:rsidRPr="00A33264">
        <w:rPr>
          <w:lang w:val="en-GB"/>
        </w:rPr>
        <w:t>–</w:t>
      </w:r>
      <w:r w:rsidRPr="00A33264">
        <w:rPr>
          <w:lang w:val="en-GB"/>
        </w:rPr>
        <w:t xml:space="preserve">24 the Commonwealth Ombudsman contacted the </w:t>
      </w:r>
      <w:r w:rsidR="00196F6D">
        <w:rPr>
          <w:lang w:val="en-GB"/>
        </w:rPr>
        <w:t>NDIA</w:t>
      </w:r>
      <w:r w:rsidRPr="00A33264">
        <w:rPr>
          <w:lang w:val="en-GB"/>
        </w:rPr>
        <w:t xml:space="preserve"> regarding 131 complaints</w:t>
      </w:r>
      <w:r w:rsidR="00196F6D">
        <w:rPr>
          <w:lang w:val="en-GB"/>
        </w:rPr>
        <w:t>,</w:t>
      </w:r>
      <w:r w:rsidRPr="00A33264">
        <w:rPr>
          <w:lang w:val="en-GB"/>
        </w:rPr>
        <w:t xml:space="preserve"> compared to 113 in 2022</w:t>
      </w:r>
      <w:r w:rsidR="00993D6D" w:rsidRPr="00A33264">
        <w:rPr>
          <w:lang w:val="en-GB"/>
        </w:rPr>
        <w:t>–</w:t>
      </w:r>
      <w:r w:rsidRPr="00A33264">
        <w:rPr>
          <w:lang w:val="en-GB"/>
        </w:rPr>
        <w:t>23.</w:t>
      </w:r>
    </w:p>
    <w:p w14:paraId="7E28CBB4" w14:textId="2B61DE41" w:rsidR="00096E39" w:rsidRPr="00A33264" w:rsidRDefault="00096E39" w:rsidP="00096E39">
      <w:pPr>
        <w:pStyle w:val="Heading4"/>
        <w:rPr>
          <w:lang w:val="en-GB"/>
        </w:rPr>
      </w:pPr>
      <w:bookmarkStart w:id="400" w:name="_Toc169593013"/>
      <w:r w:rsidRPr="00A33264">
        <w:rPr>
          <w:lang w:val="en-GB"/>
        </w:rPr>
        <w:t>NDIS Quality and Safeguards Commission</w:t>
      </w:r>
      <w:bookmarkEnd w:id="400"/>
    </w:p>
    <w:p w14:paraId="051AD1FB" w14:textId="77777777" w:rsidR="00B8787E" w:rsidRPr="00A33264" w:rsidRDefault="00B8787E" w:rsidP="00B8787E">
      <w:pPr>
        <w:rPr>
          <w:lang w:val="en-GB"/>
        </w:rPr>
      </w:pPr>
      <w:r w:rsidRPr="00A33264">
        <w:rPr>
          <w:lang w:val="en-GB"/>
        </w:rPr>
        <w:t xml:space="preserve">The NDIS Quality and Safeguards Commission (NDIS Commission) is an independent agency established to improve the quality and safety of NDIS supports and services, regulate NDIS providers, provide national consistency, promote safety and quality services, resolve problems and identify areas for improvement. </w:t>
      </w:r>
    </w:p>
    <w:p w14:paraId="217E071E" w14:textId="74F6FA40" w:rsidR="00096E39" w:rsidRPr="00A33264" w:rsidRDefault="00B8787E" w:rsidP="00B8787E">
      <w:pPr>
        <w:rPr>
          <w:lang w:val="en-GB"/>
        </w:rPr>
      </w:pPr>
      <w:r w:rsidRPr="00A33264">
        <w:rPr>
          <w:lang w:val="en-GB"/>
        </w:rPr>
        <w:t xml:space="preserve">The NDIA works with the NDIS Commission to resolve matters within each organisation’s respective areas of responsibility under the NDIS Act. The NDIA and the NDIS Commission have operational protocols to guide </w:t>
      </w:r>
      <w:r w:rsidR="00196F6D">
        <w:rPr>
          <w:lang w:val="en-GB"/>
        </w:rPr>
        <w:t>their</w:t>
      </w:r>
      <w:r w:rsidR="00196F6D" w:rsidRPr="00A33264">
        <w:rPr>
          <w:lang w:val="en-GB"/>
        </w:rPr>
        <w:t xml:space="preserve"> </w:t>
      </w:r>
      <w:r w:rsidRPr="00A33264">
        <w:rPr>
          <w:lang w:val="en-GB"/>
        </w:rPr>
        <w:t>interaction on these matters.</w:t>
      </w:r>
    </w:p>
    <w:p w14:paraId="3CFF1965" w14:textId="41EB523A" w:rsidR="00096E39" w:rsidRPr="00A33264" w:rsidRDefault="00196F6D" w:rsidP="00096E39">
      <w:pPr>
        <w:pStyle w:val="Heading4"/>
        <w:rPr>
          <w:lang w:val="en-GB"/>
        </w:rPr>
      </w:pPr>
      <w:bookmarkStart w:id="401" w:name="_Toc169593014"/>
      <w:r>
        <w:rPr>
          <w:lang w:val="en-GB"/>
        </w:rPr>
        <w:t>NSW</w:t>
      </w:r>
      <w:r w:rsidR="00096E39" w:rsidRPr="00A33264">
        <w:rPr>
          <w:lang w:val="en-GB"/>
        </w:rPr>
        <w:t xml:space="preserve"> Ageing and Disability Commission</w:t>
      </w:r>
      <w:bookmarkEnd w:id="401"/>
    </w:p>
    <w:p w14:paraId="6204DF7B" w14:textId="73C9D2D2" w:rsidR="00096E39" w:rsidRPr="00A33264" w:rsidRDefault="00B8787E" w:rsidP="00096E39">
      <w:pPr>
        <w:rPr>
          <w:lang w:val="en-GB"/>
        </w:rPr>
      </w:pPr>
      <w:r w:rsidRPr="00A33264">
        <w:rPr>
          <w:lang w:val="en-GB"/>
        </w:rPr>
        <w:t xml:space="preserve">The NSW Ageing and Disability Commission is an independent agency of the New South Wales Government, established to protect older people and adults with disability from abuse, neglect and exploitation in their family, home and community. The NDIA shares information with the </w:t>
      </w:r>
      <w:r w:rsidR="00196F6D">
        <w:rPr>
          <w:lang w:val="en-GB"/>
        </w:rPr>
        <w:t>NSW</w:t>
      </w:r>
      <w:r w:rsidRPr="00A33264">
        <w:rPr>
          <w:lang w:val="en-GB"/>
        </w:rPr>
        <w:t xml:space="preserve"> Ageing and Disability Commission when requested to ensure the safety of NDIS participants.</w:t>
      </w:r>
    </w:p>
    <w:p w14:paraId="574A8CB5" w14:textId="052D285D" w:rsidR="00096E39" w:rsidRPr="00A33264" w:rsidRDefault="00096E39" w:rsidP="00096E39">
      <w:pPr>
        <w:pStyle w:val="Heading4"/>
        <w:rPr>
          <w:lang w:val="en-GB"/>
        </w:rPr>
      </w:pPr>
      <w:bookmarkStart w:id="402" w:name="_Toc169593015"/>
      <w:r w:rsidRPr="00A33264">
        <w:rPr>
          <w:lang w:val="en-GB"/>
        </w:rPr>
        <w:t>Merit Protection Commission</w:t>
      </w:r>
      <w:bookmarkEnd w:id="402"/>
    </w:p>
    <w:p w14:paraId="70663130" w14:textId="6F2BA7EA" w:rsidR="007B3D2E" w:rsidRPr="00A33264" w:rsidRDefault="007B3D2E" w:rsidP="007B3D2E">
      <w:pPr>
        <w:rPr>
          <w:lang w:val="en-GB"/>
        </w:rPr>
      </w:pPr>
      <w:r w:rsidRPr="00A33264">
        <w:rPr>
          <w:lang w:val="en-GB"/>
        </w:rPr>
        <w:t>The Merit Protection Commission (MPC) is an independent statutory office providing employment services to the APS and the Parliamentary Service. The MPC reviews certain APS engagement and promotion decisions as well as a range of workplace decisions that may impact an APS employee</w:t>
      </w:r>
      <w:r w:rsidR="00993D6D" w:rsidRPr="00A33264">
        <w:rPr>
          <w:lang w:val="en-GB"/>
        </w:rPr>
        <w:t>,</w:t>
      </w:r>
      <w:r w:rsidRPr="00A33264">
        <w:rPr>
          <w:lang w:val="en-GB"/>
        </w:rPr>
        <w:t xml:space="preserve"> such as leave requests, misconduct outcomes and performance management. It also provides recruitment and inquiry services to agencies.</w:t>
      </w:r>
    </w:p>
    <w:p w14:paraId="1B79FD12" w14:textId="15F83B0D" w:rsidR="007B3D2E" w:rsidRPr="00A33264" w:rsidRDefault="007B3D2E" w:rsidP="007B3D2E">
      <w:pPr>
        <w:rPr>
          <w:lang w:val="en-GB"/>
        </w:rPr>
      </w:pPr>
      <w:r w:rsidRPr="00A33264">
        <w:rPr>
          <w:lang w:val="en-GB"/>
        </w:rPr>
        <w:lastRenderedPageBreak/>
        <w:t xml:space="preserve">In 2023–24 the NDIA had </w:t>
      </w:r>
      <w:r w:rsidR="00993D6D" w:rsidRPr="00A33264">
        <w:rPr>
          <w:lang w:val="en-GB"/>
        </w:rPr>
        <w:t>one</w:t>
      </w:r>
      <w:r w:rsidRPr="00A33264">
        <w:rPr>
          <w:lang w:val="en-GB"/>
        </w:rPr>
        <w:t xml:space="preserve"> open</w:t>
      </w:r>
      <w:r w:rsidR="00196F6D">
        <w:rPr>
          <w:lang w:val="en-GB"/>
        </w:rPr>
        <w:t xml:space="preserve"> </w:t>
      </w:r>
      <w:r w:rsidR="00993D6D" w:rsidRPr="00A33264">
        <w:rPr>
          <w:lang w:val="en-GB"/>
        </w:rPr>
        <w:t>or</w:t>
      </w:r>
      <w:r w:rsidRPr="00A33264">
        <w:rPr>
          <w:lang w:val="en-GB"/>
        </w:rPr>
        <w:t xml:space="preserve"> ongoing application from the previous financial year</w:t>
      </w:r>
      <w:r w:rsidR="00993D6D" w:rsidRPr="00A33264">
        <w:rPr>
          <w:lang w:val="en-GB"/>
        </w:rPr>
        <w:t>,</w:t>
      </w:r>
      <w:r w:rsidRPr="00A33264">
        <w:rPr>
          <w:lang w:val="en-GB"/>
        </w:rPr>
        <w:t xml:space="preserve"> and </w:t>
      </w:r>
      <w:r w:rsidR="00184F07" w:rsidRPr="00A33264">
        <w:rPr>
          <w:lang w:val="en-GB"/>
        </w:rPr>
        <w:t>8</w:t>
      </w:r>
      <w:r w:rsidRPr="00A33264">
        <w:rPr>
          <w:lang w:val="en-GB"/>
        </w:rPr>
        <w:t xml:space="preserve"> new applications submitted to the MPC relating to workplace decisions. As of 30 June 2024, </w:t>
      </w:r>
      <w:r w:rsidR="00184F07" w:rsidRPr="00A33264">
        <w:rPr>
          <w:lang w:val="en-GB"/>
        </w:rPr>
        <w:t>2</w:t>
      </w:r>
      <w:r w:rsidRPr="00A33264">
        <w:rPr>
          <w:lang w:val="en-GB"/>
        </w:rPr>
        <w:t xml:space="preserve"> of the </w:t>
      </w:r>
      <w:r w:rsidR="00196F6D">
        <w:rPr>
          <w:lang w:val="en-GB"/>
        </w:rPr>
        <w:t>NDIA</w:t>
      </w:r>
      <w:r w:rsidR="00196F6D" w:rsidRPr="00A33264">
        <w:rPr>
          <w:lang w:val="en-GB"/>
        </w:rPr>
        <w:t xml:space="preserve">’s </w:t>
      </w:r>
      <w:r w:rsidRPr="00A33264">
        <w:rPr>
          <w:lang w:val="en-GB"/>
        </w:rPr>
        <w:t xml:space="preserve">original decisions in these matters were upheld, </w:t>
      </w:r>
      <w:r w:rsidR="00993D6D" w:rsidRPr="00A33264">
        <w:rPr>
          <w:lang w:val="en-GB"/>
        </w:rPr>
        <w:t>one</w:t>
      </w:r>
      <w:r w:rsidRPr="00A33264">
        <w:rPr>
          <w:lang w:val="en-GB"/>
        </w:rPr>
        <w:t xml:space="preserve"> decision was set aside and substituted, </w:t>
      </w:r>
      <w:r w:rsidR="00993D6D" w:rsidRPr="00A33264">
        <w:rPr>
          <w:lang w:val="en-GB"/>
        </w:rPr>
        <w:t>one</w:t>
      </w:r>
      <w:r w:rsidRPr="00A33264">
        <w:rPr>
          <w:lang w:val="en-GB"/>
        </w:rPr>
        <w:t xml:space="preserve"> application was not reviewable as the employee resigned, and </w:t>
      </w:r>
      <w:r w:rsidR="00184F07" w:rsidRPr="00A33264">
        <w:rPr>
          <w:lang w:val="en-GB"/>
        </w:rPr>
        <w:t>5</w:t>
      </w:r>
      <w:r w:rsidRPr="00A33264">
        <w:rPr>
          <w:lang w:val="en-GB"/>
        </w:rPr>
        <w:t xml:space="preserve"> matters were ongoing</w:t>
      </w:r>
      <w:r w:rsidR="00196F6D">
        <w:rPr>
          <w:lang w:val="en-GB"/>
        </w:rPr>
        <w:t xml:space="preserve"> </w:t>
      </w:r>
      <w:r w:rsidR="00993D6D" w:rsidRPr="00A33264">
        <w:rPr>
          <w:lang w:val="en-GB"/>
        </w:rPr>
        <w:t>or</w:t>
      </w:r>
      <w:r w:rsidRPr="00A33264">
        <w:rPr>
          <w:lang w:val="en-GB"/>
        </w:rPr>
        <w:t xml:space="preserve"> under review with the MPC.</w:t>
      </w:r>
    </w:p>
    <w:p w14:paraId="6E80BA4B" w14:textId="57BB3EED" w:rsidR="00096E39" w:rsidRPr="00A33264" w:rsidRDefault="007B3D2E" w:rsidP="007B3D2E">
      <w:pPr>
        <w:rPr>
          <w:lang w:val="en-GB"/>
        </w:rPr>
      </w:pPr>
      <w:r w:rsidRPr="00A33264">
        <w:rPr>
          <w:lang w:val="en-GB"/>
        </w:rPr>
        <w:t>In 2023</w:t>
      </w:r>
      <w:r w:rsidR="00993D6D" w:rsidRPr="00A33264">
        <w:rPr>
          <w:lang w:val="en-GB"/>
        </w:rPr>
        <w:t>–</w:t>
      </w:r>
      <w:r w:rsidRPr="00A33264">
        <w:rPr>
          <w:lang w:val="en-GB"/>
        </w:rPr>
        <w:t xml:space="preserve">24 the NDIA had </w:t>
      </w:r>
      <w:r w:rsidR="00184F07" w:rsidRPr="00A33264">
        <w:rPr>
          <w:lang w:val="en-GB"/>
        </w:rPr>
        <w:t>8</w:t>
      </w:r>
      <w:r w:rsidRPr="00A33264">
        <w:rPr>
          <w:lang w:val="en-GB"/>
        </w:rPr>
        <w:t xml:space="preserve"> applications </w:t>
      </w:r>
      <w:r w:rsidR="00196F6D">
        <w:rPr>
          <w:lang w:val="en-GB"/>
        </w:rPr>
        <w:t xml:space="preserve">submitted </w:t>
      </w:r>
      <w:r w:rsidRPr="00A33264">
        <w:rPr>
          <w:lang w:val="en-GB"/>
        </w:rPr>
        <w:t xml:space="preserve">to the MPC </w:t>
      </w:r>
      <w:r w:rsidR="00196F6D">
        <w:rPr>
          <w:lang w:val="en-GB"/>
        </w:rPr>
        <w:t>relating</w:t>
      </w:r>
      <w:r w:rsidRPr="00A33264">
        <w:rPr>
          <w:lang w:val="en-GB"/>
        </w:rPr>
        <w:t xml:space="preserve"> to engagement and promotion decisions. On review, </w:t>
      </w:r>
      <w:r w:rsidR="00184F07" w:rsidRPr="00A33264">
        <w:rPr>
          <w:lang w:val="en-GB"/>
        </w:rPr>
        <w:t>4</w:t>
      </w:r>
      <w:r w:rsidRPr="00A33264">
        <w:rPr>
          <w:lang w:val="en-GB"/>
        </w:rPr>
        <w:t xml:space="preserve"> of the </w:t>
      </w:r>
      <w:r w:rsidR="00196F6D">
        <w:rPr>
          <w:lang w:val="en-GB"/>
        </w:rPr>
        <w:t>NDIA</w:t>
      </w:r>
      <w:r w:rsidRPr="00A33264">
        <w:rPr>
          <w:lang w:val="en-GB"/>
        </w:rPr>
        <w:t xml:space="preserve">’s original decisions were upheld, </w:t>
      </w:r>
      <w:r w:rsidR="00184F07" w:rsidRPr="00A33264">
        <w:rPr>
          <w:lang w:val="en-GB"/>
        </w:rPr>
        <w:t>3</w:t>
      </w:r>
      <w:r w:rsidRPr="00A33264">
        <w:rPr>
          <w:lang w:val="en-GB"/>
        </w:rPr>
        <w:t xml:space="preserve"> were deemed invalid and closed, and </w:t>
      </w:r>
      <w:r w:rsidR="00993D6D" w:rsidRPr="00A33264">
        <w:rPr>
          <w:lang w:val="en-GB"/>
        </w:rPr>
        <w:t>one</w:t>
      </w:r>
      <w:r w:rsidRPr="00A33264">
        <w:rPr>
          <w:lang w:val="en-GB"/>
        </w:rPr>
        <w:t xml:space="preserve"> was withdrawn by the applicant.</w:t>
      </w:r>
    </w:p>
    <w:p w14:paraId="04D8D023" w14:textId="26B3FCEF" w:rsidR="00255A26" w:rsidRPr="00A33264" w:rsidRDefault="00255A26" w:rsidP="00255A26">
      <w:pPr>
        <w:pStyle w:val="Heading3"/>
        <w:rPr>
          <w:lang w:val="en-GB"/>
        </w:rPr>
      </w:pPr>
      <w:bookmarkStart w:id="403" w:name="_Toc169593016"/>
      <w:bookmarkStart w:id="404" w:name="_Toc174354214"/>
      <w:bookmarkStart w:id="405" w:name="_Toc175316918"/>
      <w:bookmarkStart w:id="406" w:name="_Toc176786409"/>
      <w:bookmarkStart w:id="407" w:name="_Toc180505691"/>
      <w:r w:rsidRPr="00A33264">
        <w:rPr>
          <w:lang w:val="en-GB"/>
        </w:rPr>
        <w:t xml:space="preserve">Other PGPA </w:t>
      </w:r>
      <w:r w:rsidR="00196F6D">
        <w:rPr>
          <w:lang w:val="en-GB"/>
        </w:rPr>
        <w:t xml:space="preserve">Act </w:t>
      </w:r>
      <w:r w:rsidRPr="00A33264">
        <w:rPr>
          <w:lang w:val="en-GB"/>
        </w:rPr>
        <w:t>reportable items</w:t>
      </w:r>
      <w:bookmarkEnd w:id="403"/>
      <w:bookmarkEnd w:id="404"/>
      <w:bookmarkEnd w:id="405"/>
      <w:bookmarkEnd w:id="406"/>
      <w:bookmarkEnd w:id="407"/>
    </w:p>
    <w:p w14:paraId="78372C0B" w14:textId="6F3EBF00" w:rsidR="00255A26" w:rsidRPr="00A33264" w:rsidRDefault="00F212DD" w:rsidP="00F212DD">
      <w:pPr>
        <w:pStyle w:val="Heading4"/>
        <w:rPr>
          <w:lang w:val="en-GB"/>
        </w:rPr>
      </w:pPr>
      <w:r w:rsidRPr="00A33264">
        <w:rPr>
          <w:lang w:val="en-GB"/>
        </w:rPr>
        <w:t>Ministerial directions and government policy orders</w:t>
      </w:r>
    </w:p>
    <w:p w14:paraId="0762C5B0" w14:textId="20F09A0A" w:rsidR="00F212DD" w:rsidRPr="00A33264" w:rsidRDefault="00820C69" w:rsidP="00F212DD">
      <w:pPr>
        <w:rPr>
          <w:lang w:val="en-GB"/>
        </w:rPr>
      </w:pPr>
      <w:r w:rsidRPr="00A33264">
        <w:rPr>
          <w:lang w:val="en-GB"/>
        </w:rPr>
        <w:t>The NDIA did not receive any government policy orders or ministerial directions from the Minister for the NDIS in 2023–24.</w:t>
      </w:r>
    </w:p>
    <w:p w14:paraId="0676D1D9" w14:textId="10BC5FE0" w:rsidR="00F212DD" w:rsidRPr="00A33264" w:rsidRDefault="00F212DD" w:rsidP="00F212DD">
      <w:pPr>
        <w:pStyle w:val="Heading4"/>
        <w:rPr>
          <w:lang w:val="en-GB"/>
        </w:rPr>
      </w:pPr>
      <w:r w:rsidRPr="00A33264">
        <w:rPr>
          <w:lang w:val="en-GB"/>
        </w:rPr>
        <w:t>Location of major activities or facilities</w:t>
      </w:r>
    </w:p>
    <w:p w14:paraId="4312F5C8" w14:textId="3DCED3B2" w:rsidR="00F212DD" w:rsidRPr="00A33264" w:rsidRDefault="00A13864" w:rsidP="00F212DD">
      <w:pPr>
        <w:rPr>
          <w:lang w:val="en-GB"/>
        </w:rPr>
      </w:pPr>
      <w:r w:rsidRPr="00A33264">
        <w:rPr>
          <w:lang w:val="en-GB"/>
        </w:rPr>
        <w:t>As at 30 June 2024 the NDIA had staff at over 152 locations across Australia. Approximately 70% of these sites are shared with other agencies to efficiently deliver Australian Government services. We continue to work with other agencies to consolidate into shared sites, where appropriate.</w:t>
      </w:r>
    </w:p>
    <w:p w14:paraId="72B5C9FD" w14:textId="1A685A9B" w:rsidR="00F212DD" w:rsidRPr="00A33264" w:rsidRDefault="00F212DD" w:rsidP="00F212DD">
      <w:pPr>
        <w:pStyle w:val="Heading4"/>
        <w:rPr>
          <w:lang w:val="en-GB"/>
        </w:rPr>
      </w:pPr>
      <w:r w:rsidRPr="00A33264">
        <w:rPr>
          <w:lang w:val="en-GB"/>
        </w:rPr>
        <w:t>Indemnities and insurance premiums</w:t>
      </w:r>
    </w:p>
    <w:p w14:paraId="3D39BA64" w14:textId="6398E222" w:rsidR="00F212DD" w:rsidRPr="00A33264" w:rsidRDefault="00F212DD" w:rsidP="00F212DD">
      <w:pPr>
        <w:rPr>
          <w:lang w:val="en-GB"/>
        </w:rPr>
      </w:pPr>
      <w:r w:rsidRPr="00A33264">
        <w:rPr>
          <w:lang w:val="en-GB"/>
        </w:rPr>
        <w:t>The NDIA purchased directors’ and officers’ liability cover from Comcover (the Commonwealth’s self-insurance fund). The premium paid in 2023–24 for this cover was $879,765.94 (GST inclusive).</w:t>
      </w:r>
    </w:p>
    <w:p w14:paraId="3C8108C1" w14:textId="67994935" w:rsidR="00F212DD" w:rsidRPr="00A33264" w:rsidRDefault="00F212DD" w:rsidP="00F212DD">
      <w:pPr>
        <w:pStyle w:val="Heading4"/>
        <w:rPr>
          <w:lang w:val="en-GB"/>
        </w:rPr>
      </w:pPr>
      <w:r w:rsidRPr="00A33264">
        <w:rPr>
          <w:lang w:val="en-GB"/>
        </w:rPr>
        <w:t>Related entity transactions</w:t>
      </w:r>
    </w:p>
    <w:p w14:paraId="06BFA573" w14:textId="651C25ED" w:rsidR="00F212DD" w:rsidRPr="00A33264" w:rsidRDefault="00115A04" w:rsidP="00115A04">
      <w:pPr>
        <w:rPr>
          <w:lang w:val="en-GB"/>
        </w:rPr>
      </w:pPr>
      <w:r w:rsidRPr="00A33264">
        <w:rPr>
          <w:lang w:val="en-GB"/>
        </w:rPr>
        <w:t>Related entity transactions are addressed in the NDIA Financial Statements.</w:t>
      </w:r>
    </w:p>
    <w:p w14:paraId="055AC837" w14:textId="0CF26E9F" w:rsidR="00F212DD" w:rsidRPr="00A33264" w:rsidRDefault="00F212DD" w:rsidP="00F212DD">
      <w:pPr>
        <w:pStyle w:val="Heading4"/>
        <w:rPr>
          <w:lang w:val="en-GB"/>
        </w:rPr>
      </w:pPr>
      <w:r w:rsidRPr="00A33264">
        <w:rPr>
          <w:lang w:val="en-GB"/>
        </w:rPr>
        <w:t>Obtaining information from subsidiaries</w:t>
      </w:r>
    </w:p>
    <w:p w14:paraId="36C9C7DD" w14:textId="3D659145" w:rsidR="00F212DD" w:rsidRPr="00A33264" w:rsidRDefault="004B676D" w:rsidP="000175BD">
      <w:pPr>
        <w:rPr>
          <w:lang w:val="en-GB"/>
        </w:rPr>
      </w:pPr>
      <w:r w:rsidRPr="00A33264">
        <w:rPr>
          <w:lang w:val="en-GB"/>
        </w:rPr>
        <w:t>T</w:t>
      </w:r>
      <w:r w:rsidR="000175BD" w:rsidRPr="00A33264">
        <w:rPr>
          <w:lang w:val="en-GB"/>
        </w:rPr>
        <w:t>he NDIA has no subsidiaries.</w:t>
      </w:r>
    </w:p>
    <w:p w14:paraId="19077747" w14:textId="5DF368F7" w:rsidR="00C60755" w:rsidRPr="00A33264" w:rsidRDefault="00C60755" w:rsidP="00C60755">
      <w:pPr>
        <w:pStyle w:val="Heading4"/>
        <w:rPr>
          <w:lang w:val="en-GB"/>
        </w:rPr>
      </w:pPr>
      <w:r w:rsidRPr="00A33264">
        <w:rPr>
          <w:lang w:val="en-GB"/>
        </w:rPr>
        <w:t xml:space="preserve">Significant noncompliance with </w:t>
      </w:r>
      <w:r w:rsidR="00056100">
        <w:rPr>
          <w:lang w:val="en-GB"/>
        </w:rPr>
        <w:t>f</w:t>
      </w:r>
      <w:r w:rsidRPr="00A33264">
        <w:rPr>
          <w:lang w:val="en-GB"/>
        </w:rPr>
        <w:t xml:space="preserve">inance </w:t>
      </w:r>
      <w:r w:rsidR="00056100">
        <w:rPr>
          <w:lang w:val="en-GB"/>
        </w:rPr>
        <w:t>l</w:t>
      </w:r>
      <w:r w:rsidRPr="00A33264">
        <w:rPr>
          <w:lang w:val="en-GB"/>
        </w:rPr>
        <w:t>aw</w:t>
      </w:r>
    </w:p>
    <w:p w14:paraId="3D148A67" w14:textId="1E92DBEE" w:rsidR="00C60755" w:rsidRPr="00A33264" w:rsidRDefault="00B8787E" w:rsidP="00C60755">
      <w:pPr>
        <w:rPr>
          <w:lang w:val="en-GB"/>
        </w:rPr>
      </w:pPr>
      <w:r w:rsidRPr="00A33264">
        <w:rPr>
          <w:lang w:val="en-GB"/>
        </w:rPr>
        <w:t xml:space="preserve">No instances of significant noncompliance with finance law were reported to the responsible </w:t>
      </w:r>
      <w:r w:rsidR="00196F6D">
        <w:rPr>
          <w:lang w:val="en-GB"/>
        </w:rPr>
        <w:t>m</w:t>
      </w:r>
      <w:r w:rsidRPr="00A33264">
        <w:rPr>
          <w:lang w:val="en-GB"/>
        </w:rPr>
        <w:t xml:space="preserve">inister under </w:t>
      </w:r>
      <w:r w:rsidR="00196F6D">
        <w:rPr>
          <w:lang w:val="en-GB"/>
        </w:rPr>
        <w:t>section</w:t>
      </w:r>
      <w:r w:rsidRPr="00A33264">
        <w:rPr>
          <w:lang w:val="en-GB"/>
        </w:rPr>
        <w:t xml:space="preserve"> 19(1)(e) of the PGPA Act in 2023–24.</w:t>
      </w:r>
    </w:p>
    <w:p w14:paraId="7692C908" w14:textId="45A2E66E" w:rsidR="00255A26" w:rsidRPr="00A33264" w:rsidRDefault="00255A26" w:rsidP="00255A26">
      <w:pPr>
        <w:pStyle w:val="Heading3"/>
        <w:rPr>
          <w:lang w:val="en-GB"/>
        </w:rPr>
      </w:pPr>
      <w:bookmarkStart w:id="408" w:name="_Toc169593017"/>
      <w:bookmarkStart w:id="409" w:name="_Toc174354215"/>
      <w:bookmarkStart w:id="410" w:name="_Toc175316919"/>
      <w:bookmarkStart w:id="411" w:name="_Toc176786410"/>
      <w:bookmarkStart w:id="412" w:name="_Toc180505692"/>
      <w:r w:rsidRPr="00A33264">
        <w:rPr>
          <w:lang w:val="en-GB"/>
        </w:rPr>
        <w:t>Advertising and market research</w:t>
      </w:r>
      <w:bookmarkEnd w:id="408"/>
      <w:bookmarkEnd w:id="409"/>
      <w:bookmarkEnd w:id="410"/>
      <w:bookmarkEnd w:id="411"/>
      <w:bookmarkEnd w:id="412"/>
    </w:p>
    <w:p w14:paraId="67987F87" w14:textId="6BD7E8E0" w:rsidR="00255A26" w:rsidRPr="00A33264" w:rsidRDefault="00F212DD" w:rsidP="00255A26">
      <w:pPr>
        <w:rPr>
          <w:lang w:val="en-GB"/>
        </w:rPr>
      </w:pPr>
      <w:r w:rsidRPr="00A33264">
        <w:rPr>
          <w:lang w:val="en-GB"/>
        </w:rPr>
        <w:t xml:space="preserve">The following information is provided in accordance with section 311A of the </w:t>
      </w:r>
      <w:r w:rsidRPr="00A33264">
        <w:rPr>
          <w:i/>
          <w:iCs/>
          <w:lang w:val="en-GB"/>
        </w:rPr>
        <w:t>Commonwealth Electoral Act 1918</w:t>
      </w:r>
      <w:r w:rsidRPr="00A33264">
        <w:rPr>
          <w:lang w:val="en-GB"/>
        </w:rPr>
        <w:t xml:space="preserve"> </w:t>
      </w:r>
      <w:r w:rsidR="004364A0">
        <w:rPr>
          <w:lang w:val="en-GB"/>
        </w:rPr>
        <w:t xml:space="preserve">(Cth) </w:t>
      </w:r>
      <w:r w:rsidRPr="00A33264">
        <w:rPr>
          <w:lang w:val="en-GB"/>
        </w:rPr>
        <w:t xml:space="preserve">and discloses payments above $16,300.00 </w:t>
      </w:r>
      <w:r w:rsidRPr="00A33264">
        <w:rPr>
          <w:lang w:val="en-GB"/>
        </w:rPr>
        <w:lastRenderedPageBreak/>
        <w:t>(including GST), as specified by the Australian Electoral Commission, to advertising, market research, polling, direct mail and media advertising organisations.</w:t>
      </w:r>
      <w:r w:rsidR="004364A0">
        <w:rPr>
          <w:lang w:val="en-GB"/>
        </w:rPr>
        <w:t xml:space="preserve"> Tables 14 to 18 show details of payments to advertising organisations, market research organisations, polling organisations, direct mail organisations and media advertising organisations.</w:t>
      </w:r>
    </w:p>
    <w:p w14:paraId="686B9657" w14:textId="030BEF90" w:rsidR="00F212DD" w:rsidRPr="00A33264" w:rsidRDefault="00F212DD" w:rsidP="00255A26">
      <w:pPr>
        <w:rPr>
          <w:u w:val="single"/>
          <w:lang w:val="en-GB"/>
        </w:rPr>
      </w:pPr>
      <w:r w:rsidRPr="00A33264">
        <w:rPr>
          <w:u w:val="single"/>
          <w:lang w:val="en-GB"/>
        </w:rPr>
        <w:t xml:space="preserve">Table </w:t>
      </w:r>
      <w:r w:rsidR="00A27A9C">
        <w:rPr>
          <w:u w:val="single"/>
          <w:lang w:val="en-GB"/>
        </w:rPr>
        <w:t>14</w:t>
      </w:r>
      <w:r w:rsidRPr="00A33264">
        <w:rPr>
          <w:u w:val="single"/>
          <w:lang w:val="en-GB"/>
        </w:rPr>
        <w:t>: Payments to advertising organisations in 2023–24</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3402"/>
        <w:gridCol w:w="3402"/>
        <w:gridCol w:w="2211"/>
      </w:tblGrid>
      <w:tr w:rsidR="00F212DD" w:rsidRPr="00A33264" w14:paraId="01205ED3" w14:textId="77777777" w:rsidTr="003752D4">
        <w:trPr>
          <w:cnfStyle w:val="100000000000" w:firstRow="1" w:lastRow="0" w:firstColumn="0" w:lastColumn="0" w:oddVBand="0" w:evenVBand="0" w:oddHBand="0" w:evenHBand="0" w:firstRowFirstColumn="0" w:firstRowLastColumn="0" w:lastRowFirstColumn="0" w:lastRowLastColumn="0"/>
          <w:cantSplit/>
          <w:trHeight w:val="567"/>
        </w:trPr>
        <w:tc>
          <w:tcPr>
            <w:tcW w:w="3402" w:type="dxa"/>
            <w:tcBorders>
              <w:top w:val="single" w:sz="4" w:space="0" w:color="6B2876" w:themeColor="text1"/>
              <w:bottom w:val="single" w:sz="4" w:space="0" w:color="6B2876" w:themeColor="text1"/>
            </w:tcBorders>
            <w:vAlign w:val="center"/>
          </w:tcPr>
          <w:p w14:paraId="17B68429" w14:textId="47D98AF6" w:rsidR="00F212DD" w:rsidRPr="00A33264" w:rsidRDefault="00F212DD" w:rsidP="00F212DD">
            <w:pPr>
              <w:pStyle w:val="TableBody"/>
              <w:rPr>
                <w:lang w:val="en-GB"/>
              </w:rPr>
            </w:pPr>
            <w:bookmarkStart w:id="413" w:name="ColumnTitle_Table14"/>
            <w:bookmarkEnd w:id="413"/>
            <w:r w:rsidRPr="00A33264">
              <w:rPr>
                <w:lang w:val="en-GB"/>
              </w:rPr>
              <w:t>Organisation</w:t>
            </w:r>
          </w:p>
        </w:tc>
        <w:tc>
          <w:tcPr>
            <w:tcW w:w="3402" w:type="dxa"/>
            <w:tcBorders>
              <w:top w:val="single" w:sz="4" w:space="0" w:color="6B2876" w:themeColor="text1"/>
              <w:bottom w:val="single" w:sz="4" w:space="0" w:color="6B2876" w:themeColor="text1"/>
            </w:tcBorders>
            <w:vAlign w:val="center"/>
          </w:tcPr>
          <w:p w14:paraId="169FCBDE" w14:textId="206C0022" w:rsidR="00F212DD" w:rsidRPr="00A33264" w:rsidRDefault="00F212DD" w:rsidP="00F212DD">
            <w:pPr>
              <w:pStyle w:val="TableBody"/>
              <w:rPr>
                <w:lang w:val="en-GB"/>
              </w:rPr>
            </w:pPr>
            <w:r w:rsidRPr="00A33264">
              <w:rPr>
                <w:lang w:val="en-GB"/>
              </w:rPr>
              <w:t>Service provided</w:t>
            </w:r>
          </w:p>
        </w:tc>
        <w:tc>
          <w:tcPr>
            <w:tcW w:w="2211" w:type="dxa"/>
            <w:tcBorders>
              <w:top w:val="single" w:sz="4" w:space="0" w:color="6B2876" w:themeColor="text1"/>
              <w:bottom w:val="single" w:sz="4" w:space="0" w:color="6B2876" w:themeColor="text1"/>
            </w:tcBorders>
          </w:tcPr>
          <w:p w14:paraId="0B5CC5E3" w14:textId="3C359782" w:rsidR="00F212DD" w:rsidRPr="00A33264" w:rsidRDefault="00F212DD" w:rsidP="00F212DD">
            <w:pPr>
              <w:pStyle w:val="TableBody"/>
              <w:jc w:val="right"/>
              <w:rPr>
                <w:lang w:val="en-GB"/>
              </w:rPr>
            </w:pPr>
            <w:r w:rsidRPr="00A33264">
              <w:rPr>
                <w:lang w:val="en-GB"/>
              </w:rPr>
              <w:t>Amount paid $ (including GST)</w:t>
            </w:r>
          </w:p>
        </w:tc>
      </w:tr>
      <w:tr w:rsidR="00F212DD" w:rsidRPr="00A33264" w14:paraId="5F5AF1F0" w14:textId="77777777" w:rsidTr="00BF5D0D">
        <w:trPr>
          <w:cnfStyle w:val="000000100000" w:firstRow="0" w:lastRow="0" w:firstColumn="0" w:lastColumn="0" w:oddVBand="0" w:evenVBand="0" w:oddHBand="1" w:evenHBand="0" w:firstRowFirstColumn="0" w:firstRowLastColumn="0" w:lastRowFirstColumn="0" w:lastRowLastColumn="0"/>
          <w:cantSplit/>
        </w:trPr>
        <w:tc>
          <w:tcPr>
            <w:tcW w:w="3402" w:type="dxa"/>
          </w:tcPr>
          <w:p w14:paraId="51E27175" w14:textId="3AA19631" w:rsidR="00F212DD" w:rsidRPr="00A33264" w:rsidRDefault="00F212DD" w:rsidP="00F212DD">
            <w:pPr>
              <w:pStyle w:val="TableBody"/>
              <w:rPr>
                <w:szCs w:val="24"/>
                <w:lang w:val="en-GB"/>
              </w:rPr>
            </w:pPr>
            <w:r w:rsidRPr="00A33264">
              <w:rPr>
                <w:color w:val="000000"/>
                <w:szCs w:val="24"/>
                <w:lang w:val="en-GB"/>
              </w:rPr>
              <w:t>Universal McCann</w:t>
            </w:r>
          </w:p>
        </w:tc>
        <w:tc>
          <w:tcPr>
            <w:tcW w:w="3402" w:type="dxa"/>
          </w:tcPr>
          <w:p w14:paraId="427976FB" w14:textId="637C3DF1" w:rsidR="00F212DD" w:rsidRPr="00A33264" w:rsidRDefault="00F212DD" w:rsidP="00F212DD">
            <w:pPr>
              <w:pStyle w:val="TableBody"/>
              <w:rPr>
                <w:szCs w:val="24"/>
                <w:lang w:val="en-GB"/>
              </w:rPr>
            </w:pPr>
            <w:r w:rsidRPr="00A33264">
              <w:rPr>
                <w:color w:val="000000"/>
                <w:szCs w:val="24"/>
                <w:lang w:val="en-GB"/>
              </w:rPr>
              <w:t xml:space="preserve">Recruitment </w:t>
            </w:r>
            <w:r w:rsidR="00993D6D" w:rsidRPr="00A33264">
              <w:rPr>
                <w:color w:val="000000"/>
                <w:szCs w:val="24"/>
                <w:lang w:val="en-GB"/>
              </w:rPr>
              <w:t>a</w:t>
            </w:r>
            <w:r w:rsidRPr="00A33264">
              <w:rPr>
                <w:color w:val="000000"/>
                <w:szCs w:val="24"/>
                <w:lang w:val="en-GB"/>
              </w:rPr>
              <w:t>dvertising</w:t>
            </w:r>
          </w:p>
        </w:tc>
        <w:tc>
          <w:tcPr>
            <w:tcW w:w="2211" w:type="dxa"/>
          </w:tcPr>
          <w:p w14:paraId="48D6467C" w14:textId="0284DF24" w:rsidR="00F212DD" w:rsidRPr="00A33264" w:rsidRDefault="00F212DD" w:rsidP="00F212DD">
            <w:pPr>
              <w:pStyle w:val="TableBody"/>
              <w:jc w:val="right"/>
              <w:rPr>
                <w:szCs w:val="24"/>
                <w:lang w:val="en-GB"/>
              </w:rPr>
            </w:pPr>
            <w:r w:rsidRPr="00A33264">
              <w:rPr>
                <w:color w:val="000000"/>
                <w:szCs w:val="24"/>
                <w:lang w:val="en-GB"/>
              </w:rPr>
              <w:t>$348,952.89</w:t>
            </w:r>
          </w:p>
        </w:tc>
      </w:tr>
      <w:tr w:rsidR="00F212DD" w:rsidRPr="00A33264" w14:paraId="1C3A97DF" w14:textId="77777777" w:rsidTr="00BF5D0D">
        <w:trPr>
          <w:cantSplit/>
        </w:trPr>
        <w:tc>
          <w:tcPr>
            <w:tcW w:w="3402" w:type="dxa"/>
            <w:shd w:val="clear" w:color="auto" w:fill="auto"/>
            <w:vAlign w:val="center"/>
          </w:tcPr>
          <w:p w14:paraId="3F007DCC" w14:textId="099434EC" w:rsidR="00F212DD" w:rsidRPr="00A33264" w:rsidRDefault="00F212DD" w:rsidP="00F212DD">
            <w:pPr>
              <w:pStyle w:val="TableBody"/>
              <w:rPr>
                <w:szCs w:val="24"/>
                <w:lang w:val="en-GB"/>
              </w:rPr>
            </w:pPr>
            <w:r w:rsidRPr="00A33264">
              <w:rPr>
                <w:color w:val="F9F9F9" w:themeColor="background1"/>
                <w:szCs w:val="24"/>
                <w:lang w:val="en-GB"/>
              </w:rPr>
              <w:t>blank</w:t>
            </w:r>
          </w:p>
        </w:tc>
        <w:tc>
          <w:tcPr>
            <w:tcW w:w="3402" w:type="dxa"/>
            <w:vAlign w:val="center"/>
          </w:tcPr>
          <w:p w14:paraId="0161ED04" w14:textId="764EF6FA" w:rsidR="00F212DD" w:rsidRPr="00A33264" w:rsidRDefault="00F212DD" w:rsidP="00F212DD">
            <w:pPr>
              <w:pStyle w:val="TableBody"/>
              <w:jc w:val="right"/>
              <w:rPr>
                <w:b/>
                <w:bCs/>
                <w:szCs w:val="24"/>
                <w:lang w:val="en-GB"/>
              </w:rPr>
            </w:pPr>
            <w:r w:rsidRPr="00A33264">
              <w:rPr>
                <w:b/>
                <w:bCs/>
                <w:szCs w:val="24"/>
                <w:lang w:val="en-GB"/>
              </w:rPr>
              <w:t>Total:</w:t>
            </w:r>
          </w:p>
        </w:tc>
        <w:tc>
          <w:tcPr>
            <w:tcW w:w="2211" w:type="dxa"/>
          </w:tcPr>
          <w:p w14:paraId="24CE5FB6" w14:textId="165A2FD2" w:rsidR="00F212DD" w:rsidRPr="00A33264" w:rsidRDefault="00BF5D0D" w:rsidP="00F212DD">
            <w:pPr>
              <w:pStyle w:val="TableBody"/>
              <w:jc w:val="right"/>
              <w:rPr>
                <w:b/>
                <w:bCs/>
                <w:szCs w:val="24"/>
                <w:lang w:val="en-GB"/>
              </w:rPr>
            </w:pPr>
            <w:r w:rsidRPr="00A33264">
              <w:rPr>
                <w:b/>
                <w:bCs/>
                <w:color w:val="000000"/>
                <w:szCs w:val="24"/>
                <w:lang w:val="en-GB"/>
              </w:rPr>
              <w:t>$348,952.89</w:t>
            </w:r>
          </w:p>
        </w:tc>
      </w:tr>
    </w:tbl>
    <w:p w14:paraId="669D1439" w14:textId="7BF22054" w:rsidR="00F212DD" w:rsidRPr="00A33264" w:rsidRDefault="00F212DD" w:rsidP="00F212DD">
      <w:pPr>
        <w:spacing w:before="120"/>
        <w:rPr>
          <w:u w:val="single"/>
          <w:lang w:val="en-GB"/>
        </w:rPr>
      </w:pPr>
      <w:r w:rsidRPr="00A33264">
        <w:rPr>
          <w:u w:val="single"/>
          <w:lang w:val="en-GB"/>
        </w:rPr>
        <w:t xml:space="preserve">Table </w:t>
      </w:r>
      <w:r w:rsidR="00A27A9C">
        <w:rPr>
          <w:u w:val="single"/>
          <w:lang w:val="en-GB"/>
        </w:rPr>
        <w:t>15</w:t>
      </w:r>
      <w:r w:rsidRPr="00A33264">
        <w:rPr>
          <w:u w:val="single"/>
          <w:lang w:val="en-GB"/>
        </w:rPr>
        <w:t>: Payments to market research organisations in 2023–24</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3402"/>
        <w:gridCol w:w="3402"/>
        <w:gridCol w:w="2211"/>
      </w:tblGrid>
      <w:tr w:rsidR="00F212DD" w:rsidRPr="00A33264" w14:paraId="428A79D6"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3402" w:type="dxa"/>
            <w:tcBorders>
              <w:top w:val="single" w:sz="4" w:space="0" w:color="6B2876" w:themeColor="text1"/>
              <w:bottom w:val="single" w:sz="4" w:space="0" w:color="6B2876" w:themeColor="text1"/>
            </w:tcBorders>
            <w:vAlign w:val="center"/>
          </w:tcPr>
          <w:p w14:paraId="331DBB94" w14:textId="77777777" w:rsidR="00F212DD" w:rsidRPr="00A33264" w:rsidRDefault="00F212DD">
            <w:pPr>
              <w:pStyle w:val="TableBody"/>
              <w:rPr>
                <w:szCs w:val="24"/>
                <w:lang w:val="en-GB"/>
              </w:rPr>
            </w:pPr>
            <w:bookmarkStart w:id="414" w:name="ColumnTitle_Table15"/>
            <w:bookmarkEnd w:id="414"/>
            <w:r w:rsidRPr="00A33264">
              <w:rPr>
                <w:szCs w:val="24"/>
                <w:lang w:val="en-GB"/>
              </w:rPr>
              <w:t>Organisation</w:t>
            </w:r>
          </w:p>
        </w:tc>
        <w:tc>
          <w:tcPr>
            <w:tcW w:w="3402" w:type="dxa"/>
            <w:tcBorders>
              <w:top w:val="single" w:sz="4" w:space="0" w:color="6B2876" w:themeColor="text1"/>
              <w:bottom w:val="single" w:sz="4" w:space="0" w:color="6B2876" w:themeColor="text1"/>
            </w:tcBorders>
            <w:vAlign w:val="center"/>
          </w:tcPr>
          <w:p w14:paraId="16B1F3AF" w14:textId="77777777" w:rsidR="00F212DD" w:rsidRPr="00A33264" w:rsidRDefault="00F212DD">
            <w:pPr>
              <w:pStyle w:val="TableBody"/>
              <w:rPr>
                <w:szCs w:val="24"/>
                <w:lang w:val="en-GB"/>
              </w:rPr>
            </w:pPr>
            <w:r w:rsidRPr="00A33264">
              <w:rPr>
                <w:szCs w:val="24"/>
                <w:lang w:val="en-GB"/>
              </w:rPr>
              <w:t>Service provided</w:t>
            </w:r>
          </w:p>
        </w:tc>
        <w:tc>
          <w:tcPr>
            <w:tcW w:w="2211" w:type="dxa"/>
            <w:tcBorders>
              <w:top w:val="single" w:sz="4" w:space="0" w:color="6B2876" w:themeColor="text1"/>
              <w:bottom w:val="single" w:sz="4" w:space="0" w:color="6B2876" w:themeColor="text1"/>
            </w:tcBorders>
          </w:tcPr>
          <w:p w14:paraId="43DE4F06" w14:textId="77777777" w:rsidR="00F212DD" w:rsidRPr="00A33264" w:rsidRDefault="00F212DD">
            <w:pPr>
              <w:pStyle w:val="TableBody"/>
              <w:jc w:val="right"/>
              <w:rPr>
                <w:szCs w:val="24"/>
                <w:lang w:val="en-GB"/>
              </w:rPr>
            </w:pPr>
            <w:r w:rsidRPr="00A33264">
              <w:rPr>
                <w:szCs w:val="24"/>
                <w:lang w:val="en-GB"/>
              </w:rPr>
              <w:t>Amount paid $ (including GST)</w:t>
            </w:r>
          </w:p>
        </w:tc>
      </w:tr>
      <w:tr w:rsidR="00BF5D0D" w:rsidRPr="00A33264" w14:paraId="5DEFC75B" w14:textId="77777777" w:rsidTr="00BF5D0D">
        <w:trPr>
          <w:cnfStyle w:val="000000100000" w:firstRow="0" w:lastRow="0" w:firstColumn="0" w:lastColumn="0" w:oddVBand="0" w:evenVBand="0" w:oddHBand="1" w:evenHBand="0" w:firstRowFirstColumn="0" w:firstRowLastColumn="0" w:lastRowFirstColumn="0" w:lastRowLastColumn="0"/>
          <w:cantSplit/>
        </w:trPr>
        <w:tc>
          <w:tcPr>
            <w:tcW w:w="3402" w:type="dxa"/>
          </w:tcPr>
          <w:p w14:paraId="5570ECB8" w14:textId="38DE1392" w:rsidR="00BF5D0D" w:rsidRPr="00A33264" w:rsidRDefault="00BF5D0D" w:rsidP="00BF5D0D">
            <w:pPr>
              <w:pStyle w:val="TableBody"/>
              <w:rPr>
                <w:szCs w:val="24"/>
                <w:lang w:val="en-GB"/>
              </w:rPr>
            </w:pPr>
            <w:r w:rsidRPr="00A33264">
              <w:rPr>
                <w:color w:val="000000"/>
                <w:szCs w:val="24"/>
                <w:lang w:val="en-GB"/>
              </w:rPr>
              <w:t>Hall and Partners Pty Ltd</w:t>
            </w:r>
          </w:p>
        </w:tc>
        <w:tc>
          <w:tcPr>
            <w:tcW w:w="3402" w:type="dxa"/>
          </w:tcPr>
          <w:p w14:paraId="683630D9" w14:textId="3E5AE7BF" w:rsidR="00BF5D0D" w:rsidRPr="00A33264" w:rsidRDefault="00BF5D0D" w:rsidP="00BF5D0D">
            <w:pPr>
              <w:pStyle w:val="TableBody"/>
              <w:rPr>
                <w:szCs w:val="24"/>
                <w:lang w:val="en-GB"/>
              </w:rPr>
            </w:pPr>
            <w:r w:rsidRPr="00A33264">
              <w:rPr>
                <w:color w:val="000000"/>
                <w:szCs w:val="24"/>
                <w:lang w:val="en-GB"/>
              </w:rPr>
              <w:t xml:space="preserve">Community </w:t>
            </w:r>
            <w:r w:rsidR="00993D6D" w:rsidRPr="00A33264">
              <w:rPr>
                <w:color w:val="000000"/>
                <w:szCs w:val="24"/>
                <w:lang w:val="en-GB"/>
              </w:rPr>
              <w:t>s</w:t>
            </w:r>
            <w:r w:rsidRPr="00A33264">
              <w:rPr>
                <w:color w:val="000000"/>
                <w:szCs w:val="24"/>
                <w:lang w:val="en-GB"/>
              </w:rPr>
              <w:t xml:space="preserve">entiment </w:t>
            </w:r>
            <w:r w:rsidR="00993D6D" w:rsidRPr="00A33264">
              <w:rPr>
                <w:color w:val="000000"/>
                <w:szCs w:val="24"/>
                <w:lang w:val="en-GB"/>
              </w:rPr>
              <w:t>i</w:t>
            </w:r>
            <w:r w:rsidRPr="00A33264">
              <w:rPr>
                <w:color w:val="000000"/>
                <w:szCs w:val="24"/>
                <w:lang w:val="en-GB"/>
              </w:rPr>
              <w:t>nsights</w:t>
            </w:r>
          </w:p>
        </w:tc>
        <w:tc>
          <w:tcPr>
            <w:tcW w:w="2211" w:type="dxa"/>
          </w:tcPr>
          <w:p w14:paraId="01FCE527" w14:textId="1A5DF6EA" w:rsidR="00BF5D0D" w:rsidRPr="00A33264" w:rsidRDefault="00BF5D0D" w:rsidP="00BF5D0D">
            <w:pPr>
              <w:pStyle w:val="TableBody"/>
              <w:jc w:val="right"/>
              <w:rPr>
                <w:szCs w:val="24"/>
                <w:lang w:val="en-GB"/>
              </w:rPr>
            </w:pPr>
            <w:r w:rsidRPr="00A33264">
              <w:rPr>
                <w:color w:val="000000"/>
                <w:szCs w:val="24"/>
                <w:lang w:val="en-GB"/>
              </w:rPr>
              <w:t>$324,500.00</w:t>
            </w:r>
          </w:p>
        </w:tc>
      </w:tr>
      <w:tr w:rsidR="00BF5D0D" w:rsidRPr="00A33264" w14:paraId="175CFE9C" w14:textId="77777777" w:rsidTr="00BF5D0D">
        <w:trPr>
          <w:cantSplit/>
        </w:trPr>
        <w:tc>
          <w:tcPr>
            <w:tcW w:w="3402" w:type="dxa"/>
            <w:shd w:val="clear" w:color="auto" w:fill="auto"/>
            <w:vAlign w:val="center"/>
          </w:tcPr>
          <w:p w14:paraId="52BFE51F" w14:textId="77777777" w:rsidR="00BF5D0D" w:rsidRPr="00A33264" w:rsidRDefault="00BF5D0D" w:rsidP="00BF5D0D">
            <w:pPr>
              <w:pStyle w:val="TableBody"/>
              <w:rPr>
                <w:szCs w:val="24"/>
                <w:lang w:val="en-GB"/>
              </w:rPr>
            </w:pPr>
            <w:r w:rsidRPr="00A33264">
              <w:rPr>
                <w:color w:val="F9F9F9" w:themeColor="background1"/>
                <w:szCs w:val="24"/>
                <w:lang w:val="en-GB"/>
              </w:rPr>
              <w:t>blank</w:t>
            </w:r>
          </w:p>
        </w:tc>
        <w:tc>
          <w:tcPr>
            <w:tcW w:w="3402" w:type="dxa"/>
            <w:vAlign w:val="center"/>
          </w:tcPr>
          <w:p w14:paraId="26C5B8CB" w14:textId="77777777" w:rsidR="00BF5D0D" w:rsidRPr="00A33264" w:rsidRDefault="00BF5D0D" w:rsidP="00BF5D0D">
            <w:pPr>
              <w:pStyle w:val="TableBody"/>
              <w:jc w:val="right"/>
              <w:rPr>
                <w:b/>
                <w:bCs/>
                <w:szCs w:val="24"/>
                <w:lang w:val="en-GB"/>
              </w:rPr>
            </w:pPr>
            <w:r w:rsidRPr="00A33264">
              <w:rPr>
                <w:b/>
                <w:bCs/>
                <w:szCs w:val="24"/>
                <w:lang w:val="en-GB"/>
              </w:rPr>
              <w:t>Total:</w:t>
            </w:r>
          </w:p>
        </w:tc>
        <w:tc>
          <w:tcPr>
            <w:tcW w:w="2211" w:type="dxa"/>
          </w:tcPr>
          <w:p w14:paraId="0A4F181E" w14:textId="0B5D34AC" w:rsidR="00BF5D0D" w:rsidRPr="00A33264" w:rsidRDefault="00BF5D0D" w:rsidP="00BF5D0D">
            <w:pPr>
              <w:pStyle w:val="TableBody"/>
              <w:jc w:val="right"/>
              <w:rPr>
                <w:b/>
                <w:bCs/>
                <w:szCs w:val="24"/>
                <w:lang w:val="en-GB"/>
              </w:rPr>
            </w:pPr>
            <w:r w:rsidRPr="00A33264">
              <w:rPr>
                <w:b/>
                <w:bCs/>
                <w:szCs w:val="24"/>
                <w:lang w:val="en-GB"/>
              </w:rPr>
              <w:t>$324,500.00</w:t>
            </w:r>
          </w:p>
        </w:tc>
      </w:tr>
    </w:tbl>
    <w:p w14:paraId="65A053A0" w14:textId="4CFBFF4B" w:rsidR="00F212DD" w:rsidRPr="00A33264" w:rsidRDefault="00F212DD" w:rsidP="00F212DD">
      <w:pPr>
        <w:spacing w:before="120"/>
        <w:rPr>
          <w:u w:val="single"/>
          <w:lang w:val="en-GB"/>
        </w:rPr>
      </w:pPr>
      <w:r w:rsidRPr="00A33264">
        <w:rPr>
          <w:u w:val="single"/>
          <w:lang w:val="en-GB"/>
        </w:rPr>
        <w:t xml:space="preserve">Table </w:t>
      </w:r>
      <w:r w:rsidR="00A27A9C">
        <w:rPr>
          <w:u w:val="single"/>
          <w:lang w:val="en-GB"/>
        </w:rPr>
        <w:t>16</w:t>
      </w:r>
      <w:r w:rsidRPr="00A33264">
        <w:rPr>
          <w:u w:val="single"/>
          <w:lang w:val="en-GB"/>
        </w:rPr>
        <w:t>: Payments to polling organisations in 2023–24</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3402"/>
        <w:gridCol w:w="3402"/>
        <w:gridCol w:w="2211"/>
      </w:tblGrid>
      <w:tr w:rsidR="00F212DD" w:rsidRPr="00A33264" w14:paraId="439A009E"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3402" w:type="dxa"/>
            <w:tcBorders>
              <w:top w:val="single" w:sz="4" w:space="0" w:color="6B2876" w:themeColor="text1"/>
              <w:bottom w:val="single" w:sz="4" w:space="0" w:color="6B2876" w:themeColor="text1"/>
            </w:tcBorders>
            <w:vAlign w:val="center"/>
          </w:tcPr>
          <w:p w14:paraId="52B520BA" w14:textId="77777777" w:rsidR="00F212DD" w:rsidRPr="00A33264" w:rsidRDefault="00F212DD">
            <w:pPr>
              <w:pStyle w:val="TableBody"/>
              <w:rPr>
                <w:lang w:val="en-GB"/>
              </w:rPr>
            </w:pPr>
            <w:bookmarkStart w:id="415" w:name="ColumnTitle_Table16"/>
            <w:bookmarkEnd w:id="415"/>
            <w:r w:rsidRPr="00A33264">
              <w:rPr>
                <w:lang w:val="en-GB"/>
              </w:rPr>
              <w:t>Organisation</w:t>
            </w:r>
          </w:p>
        </w:tc>
        <w:tc>
          <w:tcPr>
            <w:tcW w:w="3402" w:type="dxa"/>
            <w:tcBorders>
              <w:top w:val="single" w:sz="4" w:space="0" w:color="6B2876" w:themeColor="text1"/>
              <w:bottom w:val="single" w:sz="4" w:space="0" w:color="6B2876" w:themeColor="text1"/>
            </w:tcBorders>
            <w:vAlign w:val="center"/>
          </w:tcPr>
          <w:p w14:paraId="09B5663A" w14:textId="77777777" w:rsidR="00F212DD" w:rsidRPr="00A33264" w:rsidRDefault="00F212DD">
            <w:pPr>
              <w:pStyle w:val="TableBody"/>
              <w:rPr>
                <w:lang w:val="en-GB"/>
              </w:rPr>
            </w:pPr>
            <w:r w:rsidRPr="00A33264">
              <w:rPr>
                <w:lang w:val="en-GB"/>
              </w:rPr>
              <w:t>Service provided</w:t>
            </w:r>
          </w:p>
        </w:tc>
        <w:tc>
          <w:tcPr>
            <w:tcW w:w="2211" w:type="dxa"/>
            <w:tcBorders>
              <w:top w:val="single" w:sz="4" w:space="0" w:color="6B2876" w:themeColor="text1"/>
              <w:bottom w:val="single" w:sz="4" w:space="0" w:color="6B2876" w:themeColor="text1"/>
            </w:tcBorders>
          </w:tcPr>
          <w:p w14:paraId="0F1F6CB4" w14:textId="77777777" w:rsidR="00F212DD" w:rsidRPr="00A33264" w:rsidRDefault="00F212DD">
            <w:pPr>
              <w:pStyle w:val="TableBody"/>
              <w:jc w:val="right"/>
              <w:rPr>
                <w:lang w:val="en-GB"/>
              </w:rPr>
            </w:pPr>
            <w:r w:rsidRPr="00A33264">
              <w:rPr>
                <w:lang w:val="en-GB"/>
              </w:rPr>
              <w:t>Amount paid $ (including GST)</w:t>
            </w:r>
          </w:p>
        </w:tc>
      </w:tr>
      <w:tr w:rsidR="00F212DD" w:rsidRPr="00A33264" w14:paraId="4D976DE9" w14:textId="77777777" w:rsidTr="00BF5D0D">
        <w:trPr>
          <w:cnfStyle w:val="000000100000" w:firstRow="0" w:lastRow="0" w:firstColumn="0" w:lastColumn="0" w:oddVBand="0" w:evenVBand="0" w:oddHBand="1" w:evenHBand="0" w:firstRowFirstColumn="0" w:firstRowLastColumn="0" w:lastRowFirstColumn="0" w:lastRowLastColumn="0"/>
          <w:cantSplit/>
        </w:trPr>
        <w:tc>
          <w:tcPr>
            <w:tcW w:w="3402" w:type="dxa"/>
            <w:vAlign w:val="center"/>
          </w:tcPr>
          <w:p w14:paraId="06169554" w14:textId="4107C0D3" w:rsidR="00F212DD" w:rsidRPr="00A33264" w:rsidRDefault="00BF5D0D">
            <w:pPr>
              <w:pStyle w:val="TableBody"/>
              <w:rPr>
                <w:lang w:val="en-GB"/>
              </w:rPr>
            </w:pPr>
            <w:r w:rsidRPr="00A33264">
              <w:rPr>
                <w:lang w:val="en-GB"/>
              </w:rPr>
              <w:t>Nil</w:t>
            </w:r>
          </w:p>
        </w:tc>
        <w:tc>
          <w:tcPr>
            <w:tcW w:w="3402" w:type="dxa"/>
            <w:vAlign w:val="center"/>
          </w:tcPr>
          <w:p w14:paraId="2B6B6885" w14:textId="61186A48" w:rsidR="00F212DD" w:rsidRPr="00A33264" w:rsidRDefault="00BF5D0D">
            <w:pPr>
              <w:pStyle w:val="TableBody"/>
              <w:rPr>
                <w:color w:val="F7EEF7"/>
                <w:lang w:val="en-GB"/>
              </w:rPr>
            </w:pPr>
            <w:r w:rsidRPr="00A33264">
              <w:rPr>
                <w:color w:val="F7EEF7"/>
                <w:lang w:val="en-GB"/>
              </w:rPr>
              <w:t>blank</w:t>
            </w:r>
          </w:p>
        </w:tc>
        <w:tc>
          <w:tcPr>
            <w:tcW w:w="2211" w:type="dxa"/>
          </w:tcPr>
          <w:p w14:paraId="52958836" w14:textId="7EB1183E" w:rsidR="00F212DD" w:rsidRPr="00A33264" w:rsidRDefault="00BF5D0D">
            <w:pPr>
              <w:pStyle w:val="TableBody"/>
              <w:jc w:val="right"/>
              <w:rPr>
                <w:lang w:val="en-GB"/>
              </w:rPr>
            </w:pPr>
            <w:r w:rsidRPr="00A33264">
              <w:rPr>
                <w:color w:val="F7EEF7"/>
                <w:lang w:val="en-GB"/>
              </w:rPr>
              <w:t>blank</w:t>
            </w:r>
          </w:p>
        </w:tc>
      </w:tr>
    </w:tbl>
    <w:p w14:paraId="0FBF0BC8" w14:textId="33C36A77" w:rsidR="00F212DD" w:rsidRPr="00A33264" w:rsidRDefault="00F212DD" w:rsidP="00F212DD">
      <w:pPr>
        <w:spacing w:before="120"/>
        <w:rPr>
          <w:u w:val="single"/>
          <w:lang w:val="en-GB"/>
        </w:rPr>
      </w:pPr>
      <w:r w:rsidRPr="00A33264">
        <w:rPr>
          <w:u w:val="single"/>
          <w:lang w:val="en-GB"/>
        </w:rPr>
        <w:t xml:space="preserve">Table </w:t>
      </w:r>
      <w:r w:rsidR="00A27A9C">
        <w:rPr>
          <w:u w:val="single"/>
          <w:lang w:val="en-GB"/>
        </w:rPr>
        <w:t>17</w:t>
      </w:r>
      <w:r w:rsidRPr="00A33264">
        <w:rPr>
          <w:u w:val="single"/>
          <w:lang w:val="en-GB"/>
        </w:rPr>
        <w:t>: Payments to direct mail organisations in 2023–24</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3402"/>
        <w:gridCol w:w="3402"/>
        <w:gridCol w:w="2211"/>
      </w:tblGrid>
      <w:tr w:rsidR="00F212DD" w:rsidRPr="00A33264" w14:paraId="284E8898"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3402" w:type="dxa"/>
            <w:tcBorders>
              <w:top w:val="single" w:sz="4" w:space="0" w:color="6B2876" w:themeColor="text1"/>
              <w:bottom w:val="single" w:sz="4" w:space="0" w:color="6B2876" w:themeColor="text1"/>
            </w:tcBorders>
            <w:vAlign w:val="center"/>
          </w:tcPr>
          <w:p w14:paraId="2F33BED7" w14:textId="77777777" w:rsidR="00F212DD" w:rsidRPr="00A33264" w:rsidRDefault="00F212DD">
            <w:pPr>
              <w:pStyle w:val="TableBody"/>
              <w:rPr>
                <w:lang w:val="en-GB"/>
              </w:rPr>
            </w:pPr>
            <w:bookmarkStart w:id="416" w:name="ColumnTitle_Table17"/>
            <w:bookmarkEnd w:id="416"/>
            <w:r w:rsidRPr="00A33264">
              <w:rPr>
                <w:lang w:val="en-GB"/>
              </w:rPr>
              <w:t>Organisation</w:t>
            </w:r>
          </w:p>
        </w:tc>
        <w:tc>
          <w:tcPr>
            <w:tcW w:w="3402" w:type="dxa"/>
            <w:tcBorders>
              <w:top w:val="single" w:sz="4" w:space="0" w:color="6B2876" w:themeColor="text1"/>
              <w:bottom w:val="single" w:sz="4" w:space="0" w:color="6B2876" w:themeColor="text1"/>
            </w:tcBorders>
            <w:vAlign w:val="center"/>
          </w:tcPr>
          <w:p w14:paraId="6F2D0702" w14:textId="77777777" w:rsidR="00F212DD" w:rsidRPr="00A33264" w:rsidRDefault="00F212DD">
            <w:pPr>
              <w:pStyle w:val="TableBody"/>
              <w:rPr>
                <w:lang w:val="en-GB"/>
              </w:rPr>
            </w:pPr>
            <w:r w:rsidRPr="00A33264">
              <w:rPr>
                <w:lang w:val="en-GB"/>
              </w:rPr>
              <w:t>Service provided</w:t>
            </w:r>
          </w:p>
        </w:tc>
        <w:tc>
          <w:tcPr>
            <w:tcW w:w="2211" w:type="dxa"/>
            <w:tcBorders>
              <w:top w:val="single" w:sz="4" w:space="0" w:color="6B2876" w:themeColor="text1"/>
              <w:bottom w:val="single" w:sz="4" w:space="0" w:color="6B2876" w:themeColor="text1"/>
            </w:tcBorders>
          </w:tcPr>
          <w:p w14:paraId="2D72CDD1" w14:textId="77777777" w:rsidR="00F212DD" w:rsidRPr="00A33264" w:rsidRDefault="00F212DD">
            <w:pPr>
              <w:pStyle w:val="TableBody"/>
              <w:jc w:val="right"/>
              <w:rPr>
                <w:lang w:val="en-GB"/>
              </w:rPr>
            </w:pPr>
            <w:r w:rsidRPr="00A33264">
              <w:rPr>
                <w:lang w:val="en-GB"/>
              </w:rPr>
              <w:t>Amount paid $ (including GST)</w:t>
            </w:r>
          </w:p>
        </w:tc>
      </w:tr>
      <w:tr w:rsidR="00F212DD" w:rsidRPr="00A33264" w14:paraId="4B175BF9" w14:textId="77777777" w:rsidTr="00BF5D0D">
        <w:trPr>
          <w:cnfStyle w:val="000000100000" w:firstRow="0" w:lastRow="0" w:firstColumn="0" w:lastColumn="0" w:oddVBand="0" w:evenVBand="0" w:oddHBand="1" w:evenHBand="0" w:firstRowFirstColumn="0" w:firstRowLastColumn="0" w:lastRowFirstColumn="0" w:lastRowLastColumn="0"/>
          <w:cantSplit/>
        </w:trPr>
        <w:tc>
          <w:tcPr>
            <w:tcW w:w="3402" w:type="dxa"/>
            <w:vAlign w:val="center"/>
          </w:tcPr>
          <w:p w14:paraId="67DAF580" w14:textId="6266BDF8" w:rsidR="00F212DD" w:rsidRPr="00A33264" w:rsidRDefault="00BF5D0D">
            <w:pPr>
              <w:pStyle w:val="TableBody"/>
              <w:rPr>
                <w:lang w:val="en-GB"/>
              </w:rPr>
            </w:pPr>
            <w:r w:rsidRPr="00A33264">
              <w:rPr>
                <w:lang w:val="en-GB"/>
              </w:rPr>
              <w:t>National Mailing and Marketing Pty Ltd</w:t>
            </w:r>
          </w:p>
        </w:tc>
        <w:tc>
          <w:tcPr>
            <w:tcW w:w="3402" w:type="dxa"/>
            <w:vAlign w:val="center"/>
          </w:tcPr>
          <w:p w14:paraId="560917E0" w14:textId="0DAD63BC" w:rsidR="00F212DD" w:rsidRPr="00A33264" w:rsidRDefault="00BF5D0D">
            <w:pPr>
              <w:pStyle w:val="TableBody"/>
              <w:rPr>
                <w:lang w:val="en-GB"/>
              </w:rPr>
            </w:pPr>
            <w:r w:rsidRPr="00A33264">
              <w:rPr>
                <w:lang w:val="en-GB"/>
              </w:rPr>
              <w:t xml:space="preserve">Warehousing and </w:t>
            </w:r>
            <w:r w:rsidR="00993D6D" w:rsidRPr="00A33264">
              <w:rPr>
                <w:lang w:val="en-GB"/>
              </w:rPr>
              <w:t>d</w:t>
            </w:r>
            <w:r w:rsidRPr="00A33264">
              <w:rPr>
                <w:lang w:val="en-GB"/>
              </w:rPr>
              <w:t>istribution</w:t>
            </w:r>
          </w:p>
        </w:tc>
        <w:tc>
          <w:tcPr>
            <w:tcW w:w="2211" w:type="dxa"/>
          </w:tcPr>
          <w:p w14:paraId="35E5C730" w14:textId="5E9158BA" w:rsidR="00F212DD" w:rsidRPr="00A33264" w:rsidRDefault="00BF5D0D">
            <w:pPr>
              <w:pStyle w:val="TableBody"/>
              <w:jc w:val="right"/>
              <w:rPr>
                <w:lang w:val="en-GB"/>
              </w:rPr>
            </w:pPr>
            <w:r w:rsidRPr="00A33264">
              <w:rPr>
                <w:lang w:val="en-GB"/>
              </w:rPr>
              <w:t>$190,284.73</w:t>
            </w:r>
          </w:p>
        </w:tc>
      </w:tr>
      <w:tr w:rsidR="00F212DD" w:rsidRPr="00A33264" w14:paraId="5E383FB4" w14:textId="77777777" w:rsidTr="00BF5D0D">
        <w:trPr>
          <w:cantSplit/>
        </w:trPr>
        <w:tc>
          <w:tcPr>
            <w:tcW w:w="3402" w:type="dxa"/>
            <w:shd w:val="clear" w:color="auto" w:fill="auto"/>
            <w:vAlign w:val="center"/>
          </w:tcPr>
          <w:p w14:paraId="5A3029A3" w14:textId="77777777" w:rsidR="00F212DD" w:rsidRPr="00A33264" w:rsidRDefault="00F212DD">
            <w:pPr>
              <w:pStyle w:val="TableBody"/>
              <w:rPr>
                <w:lang w:val="en-GB"/>
              </w:rPr>
            </w:pPr>
            <w:r w:rsidRPr="00A33264">
              <w:rPr>
                <w:color w:val="F9F9F9" w:themeColor="background1"/>
                <w:lang w:val="en-GB"/>
              </w:rPr>
              <w:t>blank</w:t>
            </w:r>
          </w:p>
        </w:tc>
        <w:tc>
          <w:tcPr>
            <w:tcW w:w="3402" w:type="dxa"/>
            <w:vAlign w:val="center"/>
          </w:tcPr>
          <w:p w14:paraId="04BA2550" w14:textId="77777777" w:rsidR="00F212DD" w:rsidRPr="00A33264" w:rsidRDefault="00F212DD">
            <w:pPr>
              <w:pStyle w:val="TableBody"/>
              <w:jc w:val="right"/>
              <w:rPr>
                <w:b/>
                <w:bCs/>
                <w:lang w:val="en-GB"/>
              </w:rPr>
            </w:pPr>
            <w:r w:rsidRPr="00A33264">
              <w:rPr>
                <w:b/>
                <w:bCs/>
                <w:lang w:val="en-GB"/>
              </w:rPr>
              <w:t>Total:</w:t>
            </w:r>
          </w:p>
        </w:tc>
        <w:tc>
          <w:tcPr>
            <w:tcW w:w="2211" w:type="dxa"/>
          </w:tcPr>
          <w:p w14:paraId="74363265" w14:textId="0905CA4A" w:rsidR="00F212DD" w:rsidRPr="00A33264" w:rsidRDefault="00BF5D0D">
            <w:pPr>
              <w:pStyle w:val="TableBody"/>
              <w:jc w:val="right"/>
              <w:rPr>
                <w:b/>
                <w:bCs/>
                <w:lang w:val="en-GB"/>
              </w:rPr>
            </w:pPr>
            <w:r w:rsidRPr="00A33264">
              <w:rPr>
                <w:b/>
                <w:bCs/>
                <w:lang w:val="en-GB"/>
              </w:rPr>
              <w:t>$190,284.73</w:t>
            </w:r>
          </w:p>
        </w:tc>
      </w:tr>
    </w:tbl>
    <w:p w14:paraId="43A73BF0" w14:textId="77777777" w:rsidR="00F23525" w:rsidRDefault="00F23525" w:rsidP="00F212DD">
      <w:pPr>
        <w:spacing w:before="120"/>
        <w:rPr>
          <w:u w:val="single"/>
          <w:lang w:val="en-GB"/>
        </w:rPr>
      </w:pPr>
      <w:r>
        <w:rPr>
          <w:u w:val="single"/>
          <w:lang w:val="en-GB"/>
        </w:rPr>
        <w:br w:type="page"/>
      </w:r>
    </w:p>
    <w:p w14:paraId="664FD03C" w14:textId="23C7D0F0" w:rsidR="00F212DD" w:rsidRPr="00A33264" w:rsidRDefault="00F212DD" w:rsidP="00F212DD">
      <w:pPr>
        <w:spacing w:before="120"/>
        <w:rPr>
          <w:u w:val="single"/>
          <w:lang w:val="en-GB"/>
        </w:rPr>
      </w:pPr>
      <w:r w:rsidRPr="00A33264">
        <w:rPr>
          <w:u w:val="single"/>
          <w:lang w:val="en-GB"/>
        </w:rPr>
        <w:lastRenderedPageBreak/>
        <w:t xml:space="preserve">Table </w:t>
      </w:r>
      <w:r w:rsidR="00A27A9C">
        <w:rPr>
          <w:u w:val="single"/>
          <w:lang w:val="en-GB"/>
        </w:rPr>
        <w:t>18</w:t>
      </w:r>
      <w:r w:rsidRPr="00A33264">
        <w:rPr>
          <w:u w:val="single"/>
          <w:lang w:val="en-GB"/>
        </w:rPr>
        <w:t>: Payments to media advertising organisations in 2023–24</w:t>
      </w:r>
    </w:p>
    <w:tbl>
      <w:tblPr>
        <w:tblStyle w:val="GridTable4"/>
        <w:tblW w:w="9015" w:type="dxa"/>
        <w:tblCellMar>
          <w:top w:w="28" w:type="dxa"/>
          <w:left w:w="28" w:type="dxa"/>
          <w:bottom w:w="28" w:type="dxa"/>
          <w:right w:w="28" w:type="dxa"/>
        </w:tblCellMar>
        <w:tblLook w:val="0420" w:firstRow="1" w:lastRow="0" w:firstColumn="0" w:lastColumn="0" w:noHBand="0" w:noVBand="1"/>
      </w:tblPr>
      <w:tblGrid>
        <w:gridCol w:w="3402"/>
        <w:gridCol w:w="3402"/>
        <w:gridCol w:w="2211"/>
      </w:tblGrid>
      <w:tr w:rsidR="00F212DD" w:rsidRPr="00A33264" w14:paraId="155FD35B"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3402" w:type="dxa"/>
            <w:tcBorders>
              <w:top w:val="single" w:sz="4" w:space="0" w:color="6B2876" w:themeColor="text1"/>
              <w:bottom w:val="single" w:sz="4" w:space="0" w:color="6B2876" w:themeColor="text1"/>
            </w:tcBorders>
            <w:vAlign w:val="center"/>
          </w:tcPr>
          <w:p w14:paraId="1EF47700" w14:textId="77777777" w:rsidR="00F212DD" w:rsidRPr="00A33264" w:rsidRDefault="00F212DD">
            <w:pPr>
              <w:pStyle w:val="TableBody"/>
              <w:rPr>
                <w:lang w:val="en-GB"/>
              </w:rPr>
            </w:pPr>
            <w:bookmarkStart w:id="417" w:name="ColumnTitle_Table18"/>
            <w:bookmarkEnd w:id="417"/>
            <w:r w:rsidRPr="00A33264">
              <w:rPr>
                <w:lang w:val="en-GB"/>
              </w:rPr>
              <w:t>Organisation</w:t>
            </w:r>
          </w:p>
        </w:tc>
        <w:tc>
          <w:tcPr>
            <w:tcW w:w="3402" w:type="dxa"/>
            <w:tcBorders>
              <w:top w:val="single" w:sz="4" w:space="0" w:color="6B2876" w:themeColor="text1"/>
              <w:bottom w:val="single" w:sz="4" w:space="0" w:color="6B2876" w:themeColor="text1"/>
            </w:tcBorders>
            <w:vAlign w:val="center"/>
          </w:tcPr>
          <w:p w14:paraId="2385EF60" w14:textId="77777777" w:rsidR="00F212DD" w:rsidRPr="00A33264" w:rsidRDefault="00F212DD">
            <w:pPr>
              <w:pStyle w:val="TableBody"/>
              <w:rPr>
                <w:lang w:val="en-GB"/>
              </w:rPr>
            </w:pPr>
            <w:r w:rsidRPr="00A33264">
              <w:rPr>
                <w:lang w:val="en-GB"/>
              </w:rPr>
              <w:t>Service provided</w:t>
            </w:r>
          </w:p>
        </w:tc>
        <w:tc>
          <w:tcPr>
            <w:tcW w:w="2211" w:type="dxa"/>
            <w:tcBorders>
              <w:top w:val="single" w:sz="4" w:space="0" w:color="6B2876" w:themeColor="text1"/>
              <w:bottom w:val="single" w:sz="4" w:space="0" w:color="6B2876" w:themeColor="text1"/>
            </w:tcBorders>
          </w:tcPr>
          <w:p w14:paraId="643D0E70" w14:textId="77777777" w:rsidR="00F212DD" w:rsidRPr="00A33264" w:rsidRDefault="00F212DD">
            <w:pPr>
              <w:pStyle w:val="TableBody"/>
              <w:jc w:val="right"/>
              <w:rPr>
                <w:lang w:val="en-GB"/>
              </w:rPr>
            </w:pPr>
            <w:r w:rsidRPr="00A33264">
              <w:rPr>
                <w:lang w:val="en-GB"/>
              </w:rPr>
              <w:t>Amount paid $ (including GST)</w:t>
            </w:r>
          </w:p>
        </w:tc>
      </w:tr>
      <w:tr w:rsidR="00F212DD" w:rsidRPr="00A33264" w14:paraId="58057403" w14:textId="77777777" w:rsidTr="00BF5D0D">
        <w:trPr>
          <w:cnfStyle w:val="000000100000" w:firstRow="0" w:lastRow="0" w:firstColumn="0" w:lastColumn="0" w:oddVBand="0" w:evenVBand="0" w:oddHBand="1" w:evenHBand="0" w:firstRowFirstColumn="0" w:firstRowLastColumn="0" w:lastRowFirstColumn="0" w:lastRowLastColumn="0"/>
          <w:cantSplit/>
        </w:trPr>
        <w:tc>
          <w:tcPr>
            <w:tcW w:w="3402" w:type="dxa"/>
            <w:vAlign w:val="center"/>
          </w:tcPr>
          <w:p w14:paraId="183BF66B" w14:textId="1F93A185" w:rsidR="00F212DD" w:rsidRPr="00A33264" w:rsidRDefault="00BF5D0D">
            <w:pPr>
              <w:pStyle w:val="TableBody"/>
              <w:rPr>
                <w:lang w:val="en-GB"/>
              </w:rPr>
            </w:pPr>
            <w:r w:rsidRPr="00A33264">
              <w:rPr>
                <w:lang w:val="en-GB"/>
              </w:rPr>
              <w:t>LinkedIn Singapore Pte Ltd</w:t>
            </w:r>
          </w:p>
        </w:tc>
        <w:tc>
          <w:tcPr>
            <w:tcW w:w="3402" w:type="dxa"/>
            <w:vAlign w:val="center"/>
          </w:tcPr>
          <w:p w14:paraId="4F692EBA" w14:textId="1F7CC1F3" w:rsidR="00F212DD" w:rsidRPr="00A33264" w:rsidRDefault="00BF5D0D">
            <w:pPr>
              <w:pStyle w:val="TableBody"/>
              <w:rPr>
                <w:lang w:val="en-GB"/>
              </w:rPr>
            </w:pPr>
            <w:r w:rsidRPr="00A33264">
              <w:rPr>
                <w:lang w:val="en-GB"/>
              </w:rPr>
              <w:t xml:space="preserve">LinkedIn Learning </w:t>
            </w:r>
            <w:r w:rsidR="00993D6D" w:rsidRPr="00A33264">
              <w:rPr>
                <w:lang w:val="en-GB"/>
              </w:rPr>
              <w:t>a</w:t>
            </w:r>
            <w:r w:rsidRPr="00A33264">
              <w:rPr>
                <w:lang w:val="en-GB"/>
              </w:rPr>
              <w:t xml:space="preserve">nnual </w:t>
            </w:r>
            <w:r w:rsidR="00993D6D" w:rsidRPr="00A33264">
              <w:rPr>
                <w:lang w:val="en-GB"/>
              </w:rPr>
              <w:t>s</w:t>
            </w:r>
            <w:r w:rsidRPr="00A33264">
              <w:rPr>
                <w:lang w:val="en-GB"/>
              </w:rPr>
              <w:t>ubscription</w:t>
            </w:r>
          </w:p>
        </w:tc>
        <w:tc>
          <w:tcPr>
            <w:tcW w:w="2211" w:type="dxa"/>
          </w:tcPr>
          <w:p w14:paraId="113276D5" w14:textId="231E063F" w:rsidR="00F212DD" w:rsidRPr="00A33264" w:rsidRDefault="00BF5D0D">
            <w:pPr>
              <w:pStyle w:val="TableBody"/>
              <w:jc w:val="right"/>
              <w:rPr>
                <w:lang w:val="en-GB"/>
              </w:rPr>
            </w:pPr>
            <w:r w:rsidRPr="00A33264">
              <w:rPr>
                <w:lang w:val="en-GB"/>
              </w:rPr>
              <w:t>$80,712.32</w:t>
            </w:r>
          </w:p>
        </w:tc>
      </w:tr>
      <w:tr w:rsidR="00F212DD" w:rsidRPr="00A33264" w14:paraId="34C814F3" w14:textId="77777777" w:rsidTr="00BF5D0D">
        <w:trPr>
          <w:cantSplit/>
        </w:trPr>
        <w:tc>
          <w:tcPr>
            <w:tcW w:w="3402" w:type="dxa"/>
            <w:shd w:val="clear" w:color="auto" w:fill="auto"/>
            <w:vAlign w:val="center"/>
          </w:tcPr>
          <w:p w14:paraId="64407E7D" w14:textId="77777777" w:rsidR="00F212DD" w:rsidRPr="00A33264" w:rsidRDefault="00F212DD">
            <w:pPr>
              <w:pStyle w:val="TableBody"/>
              <w:rPr>
                <w:lang w:val="en-GB"/>
              </w:rPr>
            </w:pPr>
            <w:r w:rsidRPr="00A33264">
              <w:rPr>
                <w:color w:val="F9F9F9" w:themeColor="background1"/>
                <w:lang w:val="en-GB"/>
              </w:rPr>
              <w:t>blank</w:t>
            </w:r>
          </w:p>
        </w:tc>
        <w:tc>
          <w:tcPr>
            <w:tcW w:w="3402" w:type="dxa"/>
            <w:vAlign w:val="center"/>
          </w:tcPr>
          <w:p w14:paraId="194174BA" w14:textId="77777777" w:rsidR="00F212DD" w:rsidRPr="00A33264" w:rsidRDefault="00F212DD">
            <w:pPr>
              <w:pStyle w:val="TableBody"/>
              <w:jc w:val="right"/>
              <w:rPr>
                <w:b/>
                <w:bCs/>
                <w:lang w:val="en-GB"/>
              </w:rPr>
            </w:pPr>
            <w:r w:rsidRPr="00A33264">
              <w:rPr>
                <w:b/>
                <w:bCs/>
                <w:lang w:val="en-GB"/>
              </w:rPr>
              <w:t>Total:</w:t>
            </w:r>
          </w:p>
        </w:tc>
        <w:tc>
          <w:tcPr>
            <w:tcW w:w="2211" w:type="dxa"/>
          </w:tcPr>
          <w:p w14:paraId="7F27CBF3" w14:textId="51E2531C" w:rsidR="00F212DD" w:rsidRPr="00A33264" w:rsidRDefault="00BF5D0D">
            <w:pPr>
              <w:pStyle w:val="TableBody"/>
              <w:jc w:val="right"/>
              <w:rPr>
                <w:b/>
                <w:bCs/>
                <w:lang w:val="en-GB"/>
              </w:rPr>
            </w:pPr>
            <w:r w:rsidRPr="00A33264">
              <w:rPr>
                <w:b/>
                <w:bCs/>
                <w:lang w:val="en-GB"/>
              </w:rPr>
              <w:t>$80,712.32</w:t>
            </w:r>
          </w:p>
        </w:tc>
      </w:tr>
    </w:tbl>
    <w:p w14:paraId="14BDBFB4" w14:textId="0B816ECF" w:rsidR="00F212DD" w:rsidRPr="00A33264" w:rsidRDefault="00F212DD" w:rsidP="00F212DD">
      <w:pPr>
        <w:spacing w:before="120"/>
        <w:rPr>
          <w:lang w:val="en-GB"/>
        </w:rPr>
      </w:pPr>
      <w:r w:rsidRPr="00A33264">
        <w:rPr>
          <w:lang w:val="en-GB"/>
        </w:rPr>
        <w:t>The grand total of all payments to advertising, market research, polling, direct mail, and media advertising organisations in 2023–24 is $944,449.94.</w:t>
      </w:r>
    </w:p>
    <w:p w14:paraId="58F26EFB" w14:textId="0392497D" w:rsidR="00255A26" w:rsidRPr="00A33264" w:rsidRDefault="00255A26" w:rsidP="00255A26">
      <w:pPr>
        <w:pStyle w:val="Heading3"/>
        <w:rPr>
          <w:lang w:val="en-GB"/>
        </w:rPr>
      </w:pPr>
      <w:bookmarkStart w:id="418" w:name="_Toc169593018"/>
      <w:bookmarkStart w:id="419" w:name="_Toc174354216"/>
      <w:bookmarkStart w:id="420" w:name="_Toc175316920"/>
      <w:bookmarkStart w:id="421" w:name="_Toc176786411"/>
      <w:bookmarkStart w:id="422" w:name="_Toc180505693"/>
      <w:r w:rsidRPr="00A33264">
        <w:rPr>
          <w:lang w:val="en-GB"/>
        </w:rPr>
        <w:t>Ecologically sustainable development and environmental performance</w:t>
      </w:r>
      <w:bookmarkEnd w:id="418"/>
      <w:bookmarkEnd w:id="419"/>
      <w:bookmarkEnd w:id="420"/>
      <w:bookmarkEnd w:id="421"/>
      <w:bookmarkEnd w:id="422"/>
    </w:p>
    <w:p w14:paraId="0C02C904" w14:textId="58546855" w:rsidR="000175BD" w:rsidRPr="00A33264" w:rsidRDefault="000175BD" w:rsidP="000175BD">
      <w:pPr>
        <w:pStyle w:val="Heading5"/>
        <w:rPr>
          <w:lang w:val="en-GB"/>
        </w:rPr>
      </w:pPr>
      <w:r w:rsidRPr="00A33264">
        <w:rPr>
          <w:lang w:val="en-GB"/>
        </w:rPr>
        <w:t>Fleet and fuel usage</w:t>
      </w:r>
    </w:p>
    <w:p w14:paraId="47E8A7EC" w14:textId="7A906770" w:rsidR="00A13864" w:rsidRPr="00A33264" w:rsidRDefault="00A13864" w:rsidP="00A13864">
      <w:pPr>
        <w:rPr>
          <w:lang w:val="en-GB"/>
        </w:rPr>
      </w:pPr>
      <w:r w:rsidRPr="00A33264">
        <w:rPr>
          <w:lang w:val="en-GB"/>
        </w:rPr>
        <w:t>During 2023</w:t>
      </w:r>
      <w:r w:rsidR="00993D6D" w:rsidRPr="00A33264">
        <w:rPr>
          <w:lang w:val="en-GB"/>
        </w:rPr>
        <w:t>–</w:t>
      </w:r>
      <w:r w:rsidRPr="00A33264">
        <w:rPr>
          <w:lang w:val="en-GB"/>
        </w:rPr>
        <w:t xml:space="preserve">24 the </w:t>
      </w:r>
      <w:r w:rsidR="00196F6D">
        <w:rPr>
          <w:lang w:val="en-GB"/>
        </w:rPr>
        <w:t>NDIA</w:t>
      </w:r>
      <w:r w:rsidRPr="00A33264">
        <w:rPr>
          <w:lang w:val="en-GB"/>
        </w:rPr>
        <w:t xml:space="preserve"> </w:t>
      </w:r>
      <w:r w:rsidR="00196F6D">
        <w:rPr>
          <w:lang w:val="en-GB"/>
        </w:rPr>
        <w:t>increased</w:t>
      </w:r>
      <w:r w:rsidRPr="00A33264">
        <w:rPr>
          <w:lang w:val="en-GB"/>
        </w:rPr>
        <w:t xml:space="preserve"> its green vehicle </w:t>
      </w:r>
      <w:r w:rsidR="00196F6D">
        <w:rPr>
          <w:lang w:val="en-GB"/>
        </w:rPr>
        <w:t xml:space="preserve">fleet </w:t>
      </w:r>
      <w:r w:rsidRPr="00A33264">
        <w:rPr>
          <w:lang w:val="en-GB"/>
        </w:rPr>
        <w:t>by replacing hybrid and internal combustion engine vehicles with greener options</w:t>
      </w:r>
      <w:r w:rsidR="00993D6D" w:rsidRPr="00A33264">
        <w:rPr>
          <w:lang w:val="en-GB"/>
        </w:rPr>
        <w:t>,</w:t>
      </w:r>
      <w:r w:rsidRPr="00A33264">
        <w:rPr>
          <w:lang w:val="en-GB"/>
        </w:rPr>
        <w:t xml:space="preserve"> such as plug-in hybrid electric vehicles, battery electric vehicles and lower </w:t>
      </w:r>
      <w:r w:rsidR="00B43B3B">
        <w:rPr>
          <w:lang w:val="en-GB"/>
        </w:rPr>
        <w:t>c</w:t>
      </w:r>
      <w:r w:rsidR="00FC1329">
        <w:rPr>
          <w:lang w:val="en-GB"/>
        </w:rPr>
        <w:t xml:space="preserve">arbon </w:t>
      </w:r>
      <w:r w:rsidR="00B43B3B">
        <w:rPr>
          <w:lang w:val="en-GB"/>
        </w:rPr>
        <w:t>d</w:t>
      </w:r>
      <w:r w:rsidR="00FC1329">
        <w:rPr>
          <w:lang w:val="en-GB"/>
        </w:rPr>
        <w:t>ioxide (</w:t>
      </w:r>
      <w:r w:rsidRPr="00A33264">
        <w:rPr>
          <w:lang w:val="en-GB"/>
        </w:rPr>
        <w:t>CO</w:t>
      </w:r>
      <w:r w:rsidRPr="00A33264">
        <w:rPr>
          <w:vertAlign w:val="subscript"/>
          <w:lang w:val="en-GB"/>
        </w:rPr>
        <w:t>2</w:t>
      </w:r>
      <w:r w:rsidR="00FC1329">
        <w:rPr>
          <w:lang w:val="en-GB"/>
        </w:rPr>
        <w:t>)</w:t>
      </w:r>
      <w:r w:rsidRPr="00A33264">
        <w:rPr>
          <w:lang w:val="en-GB"/>
        </w:rPr>
        <w:t xml:space="preserve"> emitting internal combustion engine vehicles.</w:t>
      </w:r>
    </w:p>
    <w:p w14:paraId="69205B4A" w14:textId="7648A398" w:rsidR="00255A26" w:rsidRPr="00A33264" w:rsidRDefault="00CA5D3C" w:rsidP="00A13864">
      <w:pPr>
        <w:rPr>
          <w:lang w:val="en-GB"/>
        </w:rPr>
      </w:pPr>
      <w:r>
        <w:rPr>
          <w:lang w:val="en-GB"/>
        </w:rPr>
        <w:t>In 2023</w:t>
      </w:r>
      <w:r w:rsidR="00B43B3B" w:rsidRPr="00A33264">
        <w:rPr>
          <w:lang w:val="en-GB"/>
        </w:rPr>
        <w:t>–</w:t>
      </w:r>
      <w:r>
        <w:rPr>
          <w:lang w:val="en-GB"/>
        </w:rPr>
        <w:t>24 the</w:t>
      </w:r>
      <w:r w:rsidR="00196F6D" w:rsidRPr="00A33264">
        <w:rPr>
          <w:lang w:val="en-GB"/>
        </w:rPr>
        <w:t xml:space="preserve"> </w:t>
      </w:r>
      <w:r>
        <w:rPr>
          <w:lang w:val="en-GB"/>
        </w:rPr>
        <w:t xml:space="preserve">NDIA </w:t>
      </w:r>
      <w:r w:rsidR="00A13864" w:rsidRPr="00A33264">
        <w:rPr>
          <w:lang w:val="en-GB"/>
        </w:rPr>
        <w:t>maintain</w:t>
      </w:r>
      <w:r>
        <w:rPr>
          <w:lang w:val="en-GB"/>
        </w:rPr>
        <w:t>ed</w:t>
      </w:r>
      <w:r w:rsidR="00A13864" w:rsidRPr="00A33264">
        <w:rPr>
          <w:lang w:val="en-GB"/>
        </w:rPr>
        <w:t xml:space="preserve"> a fleet portfolio of 98 vehicles</w:t>
      </w:r>
      <w:r w:rsidR="00993D6D" w:rsidRPr="00A33264">
        <w:rPr>
          <w:lang w:val="en-GB"/>
        </w:rPr>
        <w:t>;</w:t>
      </w:r>
      <w:r w:rsidR="00A13864" w:rsidRPr="00A33264">
        <w:rPr>
          <w:lang w:val="en-GB"/>
        </w:rPr>
        <w:t xml:space="preserve"> 71 vehicles </w:t>
      </w:r>
      <w:r>
        <w:rPr>
          <w:lang w:val="en-GB"/>
        </w:rPr>
        <w:t>we</w:t>
      </w:r>
      <w:r w:rsidR="00A13864" w:rsidRPr="00A33264">
        <w:rPr>
          <w:lang w:val="en-GB"/>
        </w:rPr>
        <w:t xml:space="preserve">re based in metro and regional areas and 27 vehicles </w:t>
      </w:r>
      <w:r>
        <w:rPr>
          <w:lang w:val="en-GB"/>
        </w:rPr>
        <w:t>we</w:t>
      </w:r>
      <w:r w:rsidR="00A13864" w:rsidRPr="00A33264">
        <w:rPr>
          <w:lang w:val="en-GB"/>
        </w:rPr>
        <w:t xml:space="preserve">re based in remote locations. </w:t>
      </w:r>
      <w:r w:rsidR="00993D6D" w:rsidRPr="00A9438A">
        <w:rPr>
          <w:lang w:val="en-GB"/>
        </w:rPr>
        <w:t>Seventy-</w:t>
      </w:r>
      <w:r w:rsidR="003F25CD" w:rsidRPr="00A9438A">
        <w:rPr>
          <w:lang w:val="en-GB"/>
        </w:rPr>
        <w:t>two</w:t>
      </w:r>
      <w:r w:rsidR="00993D6D" w:rsidRPr="00A9438A">
        <w:rPr>
          <w:lang w:val="en-GB"/>
        </w:rPr>
        <w:t xml:space="preserve"> </w:t>
      </w:r>
      <w:r w:rsidR="00993D6D" w:rsidRPr="00A33264">
        <w:rPr>
          <w:lang w:val="en-GB"/>
        </w:rPr>
        <w:t>per cent</w:t>
      </w:r>
      <w:r w:rsidR="00A13864" w:rsidRPr="00A33264">
        <w:rPr>
          <w:lang w:val="en-GB"/>
        </w:rPr>
        <w:t xml:space="preserve"> of the NDIA fleet consists of low</w:t>
      </w:r>
      <w:r w:rsidR="00196F6D">
        <w:rPr>
          <w:lang w:val="en-GB"/>
        </w:rPr>
        <w:t>-</w:t>
      </w:r>
      <w:r w:rsidR="00A13864" w:rsidRPr="00A33264">
        <w:rPr>
          <w:lang w:val="en-GB"/>
        </w:rPr>
        <w:t>emission vehicles</w:t>
      </w:r>
      <w:r w:rsidR="00993D6D" w:rsidRPr="00A33264">
        <w:rPr>
          <w:lang w:val="en-GB"/>
        </w:rPr>
        <w:t>,</w:t>
      </w:r>
      <w:r w:rsidR="00A13864" w:rsidRPr="00A33264">
        <w:rPr>
          <w:lang w:val="en-GB"/>
        </w:rPr>
        <w:t xml:space="preserve"> includ</w:t>
      </w:r>
      <w:r w:rsidR="00993D6D" w:rsidRPr="00A33264">
        <w:rPr>
          <w:lang w:val="en-GB"/>
        </w:rPr>
        <w:t>ing</w:t>
      </w:r>
      <w:r w:rsidR="00A13864" w:rsidRPr="00A33264">
        <w:rPr>
          <w:lang w:val="en-GB"/>
        </w:rPr>
        <w:t xml:space="preserve"> 7 battery electric vehicles and 64 plug-in hybrid vehicles.</w:t>
      </w:r>
    </w:p>
    <w:p w14:paraId="3DE37DDF" w14:textId="64226642" w:rsidR="000175BD" w:rsidRPr="00A33264" w:rsidRDefault="000175BD" w:rsidP="000175BD">
      <w:pPr>
        <w:pStyle w:val="Heading5"/>
        <w:rPr>
          <w:lang w:val="en-GB"/>
        </w:rPr>
      </w:pPr>
      <w:r w:rsidRPr="00A33264">
        <w:rPr>
          <w:lang w:val="en-GB"/>
        </w:rPr>
        <w:t>Air travel</w:t>
      </w:r>
    </w:p>
    <w:p w14:paraId="5CD6EA2D" w14:textId="633BE499" w:rsidR="000175BD" w:rsidRPr="00A33264" w:rsidRDefault="00A13864" w:rsidP="000175BD">
      <w:pPr>
        <w:rPr>
          <w:lang w:val="en-GB"/>
        </w:rPr>
      </w:pPr>
      <w:r w:rsidRPr="00A33264">
        <w:rPr>
          <w:lang w:val="en-GB"/>
        </w:rPr>
        <w:t xml:space="preserve">The </w:t>
      </w:r>
      <w:r w:rsidR="00196F6D">
        <w:rPr>
          <w:lang w:val="en-GB"/>
        </w:rPr>
        <w:t>NDIA</w:t>
      </w:r>
      <w:r w:rsidR="00196F6D" w:rsidRPr="00A33264">
        <w:rPr>
          <w:lang w:val="en-GB"/>
        </w:rPr>
        <w:t xml:space="preserve"> </w:t>
      </w:r>
      <w:r w:rsidRPr="00A33264">
        <w:rPr>
          <w:lang w:val="en-GB"/>
        </w:rPr>
        <w:t xml:space="preserve">has continued to heavily leverage technology such as videoconferencing to minimise the need for travel between locations. </w:t>
      </w:r>
    </w:p>
    <w:p w14:paraId="759B2B3E" w14:textId="7E4C8025" w:rsidR="000175BD" w:rsidRPr="00A33264" w:rsidRDefault="000175BD" w:rsidP="000175BD">
      <w:pPr>
        <w:pStyle w:val="Heading5"/>
        <w:rPr>
          <w:lang w:val="en-GB"/>
        </w:rPr>
      </w:pPr>
      <w:r w:rsidRPr="00A33264">
        <w:rPr>
          <w:lang w:val="en-GB"/>
        </w:rPr>
        <w:t>Property</w:t>
      </w:r>
    </w:p>
    <w:p w14:paraId="5875845E" w14:textId="2F63FDC4" w:rsidR="00F23525" w:rsidRPr="00F23525" w:rsidRDefault="00A13864" w:rsidP="00F23525">
      <w:r w:rsidRPr="00A33264">
        <w:rPr>
          <w:lang w:val="en-GB"/>
        </w:rPr>
        <w:t xml:space="preserve">The </w:t>
      </w:r>
      <w:r w:rsidR="00196F6D">
        <w:rPr>
          <w:lang w:val="en-GB"/>
        </w:rPr>
        <w:t>NDIA</w:t>
      </w:r>
      <w:r w:rsidR="00196F6D" w:rsidRPr="00A33264">
        <w:rPr>
          <w:lang w:val="en-GB"/>
        </w:rPr>
        <w:t xml:space="preserve"> </w:t>
      </w:r>
      <w:r w:rsidRPr="00A33264">
        <w:rPr>
          <w:lang w:val="en-GB"/>
        </w:rPr>
        <w:t>is committed to sustainable development and environmental performance. Through our property activities, we seek a minimum 5 Star Green Star Design and 4.5 Star NABERS Energy Base Building Office rating, wherever possible.</w:t>
      </w:r>
      <w:bookmarkStart w:id="423" w:name="_Toc169593019"/>
      <w:r w:rsidR="00F23525" w:rsidRPr="00F23525">
        <w:br w:type="page"/>
      </w:r>
    </w:p>
    <w:p w14:paraId="335D0CE4" w14:textId="53F4267E" w:rsidR="00CD63B3" w:rsidRPr="00A33264" w:rsidRDefault="00CD63B3" w:rsidP="00CD63B3">
      <w:pPr>
        <w:pStyle w:val="Heading4"/>
        <w:rPr>
          <w:lang w:val="en-GB"/>
        </w:rPr>
      </w:pPr>
      <w:r w:rsidRPr="00A33264">
        <w:rPr>
          <w:lang w:val="en-GB"/>
        </w:rPr>
        <w:lastRenderedPageBreak/>
        <w:t>APS Net Zero 2030 annual reporting requirements</w:t>
      </w:r>
      <w:bookmarkEnd w:id="423"/>
    </w:p>
    <w:p w14:paraId="55933BF9" w14:textId="23899D86" w:rsidR="000175BD" w:rsidRPr="00A33264" w:rsidRDefault="000175BD" w:rsidP="00CD63B3">
      <w:pPr>
        <w:pStyle w:val="Heading5"/>
        <w:rPr>
          <w:lang w:val="en-GB"/>
        </w:rPr>
      </w:pPr>
      <w:r w:rsidRPr="00A33264">
        <w:rPr>
          <w:lang w:val="en-GB"/>
        </w:rPr>
        <w:t>Carbon emissions</w:t>
      </w:r>
    </w:p>
    <w:p w14:paraId="24D07161" w14:textId="0AC642B9" w:rsidR="000175BD" w:rsidRPr="00A33264" w:rsidRDefault="00A13864" w:rsidP="000175BD">
      <w:pPr>
        <w:rPr>
          <w:lang w:val="en-GB"/>
        </w:rPr>
      </w:pPr>
      <w:r w:rsidRPr="00A33264">
        <w:rPr>
          <w:lang w:val="en-GB"/>
        </w:rPr>
        <w:t xml:space="preserve">The </w:t>
      </w:r>
      <w:r w:rsidR="00196F6D">
        <w:rPr>
          <w:lang w:val="en-GB"/>
        </w:rPr>
        <w:t>NDIA</w:t>
      </w:r>
      <w:r w:rsidR="00196F6D" w:rsidRPr="00A33264">
        <w:rPr>
          <w:lang w:val="en-GB"/>
        </w:rPr>
        <w:t xml:space="preserve">’s </w:t>
      </w:r>
      <w:r w:rsidRPr="00A33264">
        <w:rPr>
          <w:lang w:val="en-GB"/>
        </w:rPr>
        <w:t>greenhouse gas emissions reporting has been developed using methodology consistent with the APS Net Zero 2030 policy.</w:t>
      </w:r>
      <w:r w:rsidR="004364A0">
        <w:rPr>
          <w:lang w:val="en-GB"/>
        </w:rPr>
        <w:t xml:space="preserve"> Tables 19 and 20 show our greenhouse gas emissions by location-based approach and market-based approach.</w:t>
      </w:r>
    </w:p>
    <w:p w14:paraId="156F489D" w14:textId="7F391B3D" w:rsidR="00096E39" w:rsidRPr="00A33264" w:rsidRDefault="00CD63B3" w:rsidP="00096E39">
      <w:pPr>
        <w:rPr>
          <w:u w:val="single"/>
          <w:lang w:val="en-GB"/>
        </w:rPr>
      </w:pPr>
      <w:r w:rsidRPr="00A33264">
        <w:rPr>
          <w:u w:val="single"/>
          <w:lang w:val="en-GB"/>
        </w:rPr>
        <w:t xml:space="preserve">Table </w:t>
      </w:r>
      <w:r w:rsidR="00A27A9C">
        <w:rPr>
          <w:u w:val="single"/>
          <w:lang w:val="en-GB"/>
        </w:rPr>
        <w:t>19</w:t>
      </w:r>
      <w:r w:rsidRPr="00A33264">
        <w:rPr>
          <w:u w:val="single"/>
          <w:lang w:val="en-GB"/>
        </w:rPr>
        <w:t>: Greenhouse gas emissions inventory – location-based method</w:t>
      </w:r>
    </w:p>
    <w:tbl>
      <w:tblPr>
        <w:tblStyle w:val="GridTable4"/>
        <w:tblW w:w="9183" w:type="dxa"/>
        <w:tblCellMar>
          <w:top w:w="28" w:type="dxa"/>
          <w:left w:w="28" w:type="dxa"/>
          <w:bottom w:w="28" w:type="dxa"/>
          <w:right w:w="28" w:type="dxa"/>
        </w:tblCellMar>
        <w:tblLook w:val="0420" w:firstRow="1" w:lastRow="0" w:firstColumn="0" w:lastColumn="0" w:noHBand="0" w:noVBand="1"/>
      </w:tblPr>
      <w:tblGrid>
        <w:gridCol w:w="2835"/>
        <w:gridCol w:w="1587"/>
        <w:gridCol w:w="1587"/>
        <w:gridCol w:w="1587"/>
        <w:gridCol w:w="1587"/>
      </w:tblGrid>
      <w:tr w:rsidR="00CD63B3" w:rsidRPr="00A33264" w14:paraId="7E7CAB04"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2835" w:type="dxa"/>
            <w:tcBorders>
              <w:top w:val="single" w:sz="4" w:space="0" w:color="6B2876" w:themeColor="text1"/>
              <w:bottom w:val="single" w:sz="4" w:space="0" w:color="6B2876" w:themeColor="text1"/>
            </w:tcBorders>
          </w:tcPr>
          <w:p w14:paraId="464DCFBE" w14:textId="76A44613" w:rsidR="00CD63B3" w:rsidRPr="00A33264" w:rsidRDefault="00CD63B3" w:rsidP="00CD63B3">
            <w:pPr>
              <w:pStyle w:val="TableBody"/>
              <w:rPr>
                <w:lang w:val="en-GB"/>
              </w:rPr>
            </w:pPr>
            <w:bookmarkStart w:id="424" w:name="ColumnTitle_Table19"/>
            <w:bookmarkEnd w:id="424"/>
            <w:r w:rsidRPr="00A33264">
              <w:rPr>
                <w:lang w:val="en-GB"/>
              </w:rPr>
              <w:t>Emission source</w:t>
            </w:r>
          </w:p>
        </w:tc>
        <w:tc>
          <w:tcPr>
            <w:tcW w:w="1587" w:type="dxa"/>
            <w:tcBorders>
              <w:top w:val="single" w:sz="4" w:space="0" w:color="6B2876" w:themeColor="text1"/>
              <w:bottom w:val="single" w:sz="4" w:space="0" w:color="6B2876" w:themeColor="text1"/>
            </w:tcBorders>
          </w:tcPr>
          <w:p w14:paraId="32277DC5" w14:textId="26142A64" w:rsidR="00CD63B3" w:rsidRPr="00A33264" w:rsidRDefault="00CD63B3" w:rsidP="00CD63B3">
            <w:pPr>
              <w:pStyle w:val="TableBody"/>
              <w:rPr>
                <w:szCs w:val="24"/>
                <w:lang w:val="en-GB"/>
              </w:rPr>
            </w:pPr>
            <w:r w:rsidRPr="00A33264">
              <w:rPr>
                <w:szCs w:val="24"/>
                <w:lang w:val="en-GB" w:eastAsia="en-AU"/>
              </w:rPr>
              <w:t xml:space="preserve">Scope 1 </w:t>
            </w:r>
            <w:r w:rsidR="00E3517A">
              <w:rPr>
                <w:szCs w:val="24"/>
                <w:lang w:val="en-GB" w:eastAsia="en-AU"/>
              </w:rPr>
              <w:br/>
            </w:r>
            <w:r w:rsidR="00FF4030">
              <w:rPr>
                <w:szCs w:val="24"/>
                <w:lang w:val="en-GB" w:eastAsia="en-AU"/>
              </w:rPr>
              <w:t>t</w:t>
            </w:r>
            <w:r w:rsidRPr="00A33264">
              <w:rPr>
                <w:szCs w:val="24"/>
                <w:lang w:val="en-GB" w:eastAsia="en-AU"/>
              </w:rPr>
              <w:t xml:space="preserve"> CO</w:t>
            </w:r>
            <w:r w:rsidRPr="00A33264">
              <w:rPr>
                <w:szCs w:val="24"/>
                <w:vertAlign w:val="subscript"/>
                <w:lang w:val="en-GB" w:eastAsia="en-AU"/>
              </w:rPr>
              <w:t>2</w:t>
            </w:r>
            <w:r w:rsidRPr="00A33264">
              <w:rPr>
                <w:szCs w:val="24"/>
                <w:lang w:val="en-GB" w:eastAsia="en-AU"/>
              </w:rPr>
              <w:t>-e</w:t>
            </w:r>
          </w:p>
        </w:tc>
        <w:tc>
          <w:tcPr>
            <w:tcW w:w="1587" w:type="dxa"/>
            <w:tcBorders>
              <w:top w:val="single" w:sz="4" w:space="0" w:color="6B2876" w:themeColor="text1"/>
              <w:bottom w:val="single" w:sz="4" w:space="0" w:color="6B2876" w:themeColor="text1"/>
            </w:tcBorders>
          </w:tcPr>
          <w:p w14:paraId="3010CEED" w14:textId="6EAAF519" w:rsidR="00CD63B3" w:rsidRPr="00A33264" w:rsidRDefault="00CD63B3" w:rsidP="00CD63B3">
            <w:pPr>
              <w:pStyle w:val="TableBody"/>
              <w:rPr>
                <w:szCs w:val="24"/>
                <w:lang w:val="en-GB"/>
              </w:rPr>
            </w:pPr>
            <w:r w:rsidRPr="00A33264">
              <w:rPr>
                <w:szCs w:val="24"/>
                <w:lang w:val="en-GB" w:eastAsia="en-AU"/>
              </w:rPr>
              <w:t xml:space="preserve">Scope 2 </w:t>
            </w:r>
            <w:r w:rsidR="00E3517A">
              <w:rPr>
                <w:szCs w:val="24"/>
                <w:lang w:val="en-GB" w:eastAsia="en-AU"/>
              </w:rPr>
              <w:br/>
            </w:r>
            <w:r w:rsidR="00FF4030">
              <w:rPr>
                <w:szCs w:val="24"/>
                <w:lang w:val="en-GB" w:eastAsia="en-AU"/>
              </w:rPr>
              <w:t>t</w:t>
            </w:r>
            <w:r w:rsidRPr="00A33264">
              <w:rPr>
                <w:szCs w:val="24"/>
                <w:lang w:val="en-GB" w:eastAsia="en-AU"/>
              </w:rPr>
              <w:t xml:space="preserve"> CO</w:t>
            </w:r>
            <w:r w:rsidRPr="00A33264">
              <w:rPr>
                <w:szCs w:val="24"/>
                <w:vertAlign w:val="subscript"/>
                <w:lang w:val="en-GB" w:eastAsia="en-AU"/>
              </w:rPr>
              <w:t>2</w:t>
            </w:r>
            <w:r w:rsidRPr="00A33264">
              <w:rPr>
                <w:szCs w:val="24"/>
                <w:lang w:val="en-GB" w:eastAsia="en-AU"/>
              </w:rPr>
              <w:t>-e</w:t>
            </w:r>
          </w:p>
        </w:tc>
        <w:tc>
          <w:tcPr>
            <w:tcW w:w="1587" w:type="dxa"/>
            <w:tcBorders>
              <w:top w:val="single" w:sz="4" w:space="0" w:color="6B2876" w:themeColor="text1"/>
              <w:bottom w:val="single" w:sz="4" w:space="0" w:color="6B2876" w:themeColor="text1"/>
            </w:tcBorders>
          </w:tcPr>
          <w:p w14:paraId="7E4FD2FA" w14:textId="2F89B7D2" w:rsidR="00CD63B3" w:rsidRPr="00A33264" w:rsidRDefault="00CD63B3" w:rsidP="00CD63B3">
            <w:pPr>
              <w:pStyle w:val="TableBody"/>
              <w:rPr>
                <w:szCs w:val="24"/>
                <w:lang w:val="en-GB"/>
              </w:rPr>
            </w:pPr>
            <w:r w:rsidRPr="00A33264">
              <w:rPr>
                <w:szCs w:val="24"/>
                <w:lang w:val="en-GB" w:eastAsia="en-AU"/>
              </w:rPr>
              <w:t xml:space="preserve">Scope 3 </w:t>
            </w:r>
            <w:r w:rsidR="00E3517A">
              <w:rPr>
                <w:szCs w:val="24"/>
                <w:lang w:val="en-GB" w:eastAsia="en-AU"/>
              </w:rPr>
              <w:br/>
            </w:r>
            <w:r w:rsidR="00FF4030">
              <w:rPr>
                <w:szCs w:val="24"/>
                <w:lang w:val="en-GB" w:eastAsia="en-AU"/>
              </w:rPr>
              <w:t>t</w:t>
            </w:r>
            <w:r w:rsidRPr="00A33264">
              <w:rPr>
                <w:szCs w:val="24"/>
                <w:lang w:val="en-GB" w:eastAsia="en-AU"/>
              </w:rPr>
              <w:t xml:space="preserve"> CO</w:t>
            </w:r>
            <w:r w:rsidRPr="00A33264">
              <w:rPr>
                <w:szCs w:val="24"/>
                <w:vertAlign w:val="subscript"/>
                <w:lang w:val="en-GB" w:eastAsia="en-AU"/>
              </w:rPr>
              <w:t>2</w:t>
            </w:r>
            <w:r w:rsidRPr="00A33264">
              <w:rPr>
                <w:szCs w:val="24"/>
                <w:lang w:val="en-GB" w:eastAsia="en-AU"/>
              </w:rPr>
              <w:t>-e</w:t>
            </w:r>
          </w:p>
        </w:tc>
        <w:tc>
          <w:tcPr>
            <w:tcW w:w="1587" w:type="dxa"/>
            <w:tcBorders>
              <w:top w:val="single" w:sz="4" w:space="0" w:color="6B2876" w:themeColor="text1"/>
              <w:bottom w:val="single" w:sz="4" w:space="0" w:color="6B2876" w:themeColor="text1"/>
            </w:tcBorders>
          </w:tcPr>
          <w:p w14:paraId="0FDF2434" w14:textId="3624057D" w:rsidR="00CD63B3" w:rsidRPr="00A33264" w:rsidRDefault="00CD63B3" w:rsidP="00CD63B3">
            <w:pPr>
              <w:pStyle w:val="TableBody"/>
              <w:rPr>
                <w:szCs w:val="24"/>
                <w:lang w:val="en-GB"/>
              </w:rPr>
            </w:pPr>
            <w:r w:rsidRPr="00A33264">
              <w:rPr>
                <w:szCs w:val="24"/>
                <w:lang w:val="en-GB" w:eastAsia="en-AU"/>
              </w:rPr>
              <w:t xml:space="preserve">Total </w:t>
            </w:r>
            <w:r w:rsidR="00FF4030">
              <w:rPr>
                <w:szCs w:val="24"/>
                <w:lang w:val="en-GB" w:eastAsia="en-AU"/>
              </w:rPr>
              <w:t xml:space="preserve">t </w:t>
            </w:r>
            <w:r w:rsidRPr="00A33264">
              <w:rPr>
                <w:szCs w:val="24"/>
                <w:lang w:val="en-GB" w:eastAsia="en-AU"/>
              </w:rPr>
              <w:t>CO</w:t>
            </w:r>
            <w:r w:rsidRPr="00A33264">
              <w:rPr>
                <w:szCs w:val="24"/>
                <w:vertAlign w:val="subscript"/>
                <w:lang w:val="en-GB" w:eastAsia="en-AU"/>
              </w:rPr>
              <w:t>2</w:t>
            </w:r>
            <w:r w:rsidRPr="00A33264">
              <w:rPr>
                <w:szCs w:val="24"/>
                <w:lang w:val="en-GB" w:eastAsia="en-AU"/>
              </w:rPr>
              <w:t>-e</w:t>
            </w:r>
          </w:p>
        </w:tc>
      </w:tr>
      <w:tr w:rsidR="00FF4030" w:rsidRPr="00A33264" w14:paraId="5AC8CA73" w14:textId="77777777" w:rsidTr="00CD63B3">
        <w:trPr>
          <w:cnfStyle w:val="000000100000" w:firstRow="0" w:lastRow="0" w:firstColumn="0" w:lastColumn="0" w:oddVBand="0" w:evenVBand="0" w:oddHBand="1" w:evenHBand="0" w:firstRowFirstColumn="0" w:firstRowLastColumn="0" w:lastRowFirstColumn="0" w:lastRowLastColumn="0"/>
          <w:cantSplit/>
        </w:trPr>
        <w:tc>
          <w:tcPr>
            <w:tcW w:w="2835" w:type="dxa"/>
          </w:tcPr>
          <w:p w14:paraId="0FB9A746" w14:textId="5E5FEAFE" w:rsidR="00FF4030" w:rsidRPr="00FF4030" w:rsidRDefault="00FF4030" w:rsidP="00FF4030">
            <w:pPr>
              <w:pStyle w:val="TableBody"/>
              <w:rPr>
                <w:szCs w:val="24"/>
                <w:lang w:val="en-GB"/>
              </w:rPr>
            </w:pPr>
            <w:r w:rsidRPr="00FF4030">
              <w:rPr>
                <w:color w:val="000000"/>
                <w:szCs w:val="24"/>
                <w:lang w:val="en-GB" w:eastAsia="en-AU"/>
              </w:rPr>
              <w:t>Electricity (location-based approach)</w:t>
            </w:r>
          </w:p>
        </w:tc>
        <w:tc>
          <w:tcPr>
            <w:tcW w:w="1587" w:type="dxa"/>
          </w:tcPr>
          <w:p w14:paraId="6052F4C8" w14:textId="69E9C0BB" w:rsidR="00FF4030" w:rsidRPr="00A33264" w:rsidRDefault="00FF4030" w:rsidP="00FF4030">
            <w:pPr>
              <w:pStyle w:val="TableBody"/>
              <w:jc w:val="right"/>
              <w:rPr>
                <w:szCs w:val="24"/>
                <w:lang w:val="en-GB"/>
              </w:rPr>
            </w:pPr>
            <w:r w:rsidRPr="0095060C">
              <w:rPr>
                <w:szCs w:val="24"/>
              </w:rPr>
              <w:t>N/A</w:t>
            </w:r>
          </w:p>
        </w:tc>
        <w:tc>
          <w:tcPr>
            <w:tcW w:w="1587" w:type="dxa"/>
          </w:tcPr>
          <w:p w14:paraId="69857A04" w14:textId="4793C6A9" w:rsidR="00FF4030" w:rsidRPr="00A33264" w:rsidRDefault="00FF4030" w:rsidP="00FF4030">
            <w:pPr>
              <w:pStyle w:val="TableBody"/>
              <w:jc w:val="right"/>
              <w:rPr>
                <w:b/>
                <w:bCs/>
                <w:szCs w:val="24"/>
                <w:lang w:val="en-GB"/>
              </w:rPr>
            </w:pPr>
            <w:r w:rsidRPr="0095060C">
              <w:rPr>
                <w:szCs w:val="24"/>
              </w:rPr>
              <w:t>2,131.428</w:t>
            </w:r>
          </w:p>
        </w:tc>
        <w:tc>
          <w:tcPr>
            <w:tcW w:w="1587" w:type="dxa"/>
          </w:tcPr>
          <w:p w14:paraId="4033726A" w14:textId="0B391D7C" w:rsidR="00FF4030" w:rsidRPr="00A33264" w:rsidRDefault="00FF4030" w:rsidP="00FF4030">
            <w:pPr>
              <w:pStyle w:val="TableBody"/>
              <w:jc w:val="right"/>
              <w:rPr>
                <w:szCs w:val="24"/>
                <w:lang w:val="en-GB"/>
              </w:rPr>
            </w:pPr>
            <w:r w:rsidRPr="0095060C">
              <w:rPr>
                <w:szCs w:val="24"/>
              </w:rPr>
              <w:t>215.158</w:t>
            </w:r>
          </w:p>
        </w:tc>
        <w:tc>
          <w:tcPr>
            <w:tcW w:w="1587" w:type="dxa"/>
          </w:tcPr>
          <w:p w14:paraId="40A6D1BB" w14:textId="292CDA97" w:rsidR="00FF4030" w:rsidRPr="00A33264" w:rsidRDefault="00FF4030" w:rsidP="00FF4030">
            <w:pPr>
              <w:pStyle w:val="TableBody"/>
              <w:jc w:val="right"/>
              <w:rPr>
                <w:szCs w:val="24"/>
                <w:lang w:val="en-GB"/>
              </w:rPr>
            </w:pPr>
            <w:r w:rsidRPr="0095060C">
              <w:rPr>
                <w:szCs w:val="24"/>
              </w:rPr>
              <w:t>2,346.586</w:t>
            </w:r>
          </w:p>
        </w:tc>
      </w:tr>
      <w:tr w:rsidR="00FF4030" w:rsidRPr="00A33264" w14:paraId="0FD4D637" w14:textId="77777777" w:rsidTr="00FF4030">
        <w:trPr>
          <w:cantSplit/>
        </w:trPr>
        <w:tc>
          <w:tcPr>
            <w:tcW w:w="2835" w:type="dxa"/>
            <w:shd w:val="clear" w:color="auto" w:fill="auto"/>
          </w:tcPr>
          <w:p w14:paraId="640B7D9C" w14:textId="20C6F27C" w:rsidR="00FF4030" w:rsidRPr="00A33264" w:rsidRDefault="00FF4030" w:rsidP="00FF4030">
            <w:pPr>
              <w:pStyle w:val="TableBody"/>
              <w:rPr>
                <w:szCs w:val="24"/>
                <w:lang w:val="en-GB"/>
              </w:rPr>
            </w:pPr>
            <w:r w:rsidRPr="00506421">
              <w:rPr>
                <w:color w:val="000000"/>
                <w:szCs w:val="24"/>
                <w:lang w:val="en-GB" w:eastAsia="en-AU"/>
              </w:rPr>
              <w:t>Natural gas</w:t>
            </w:r>
          </w:p>
        </w:tc>
        <w:tc>
          <w:tcPr>
            <w:tcW w:w="1587" w:type="dxa"/>
          </w:tcPr>
          <w:p w14:paraId="27DEAFBA" w14:textId="38CAA3B4" w:rsidR="00FF4030" w:rsidRPr="00A33264" w:rsidRDefault="00FF4030" w:rsidP="00FF4030">
            <w:pPr>
              <w:pStyle w:val="TableBody"/>
              <w:jc w:val="right"/>
              <w:rPr>
                <w:szCs w:val="24"/>
                <w:lang w:val="en-GB"/>
              </w:rPr>
            </w:pPr>
            <w:r w:rsidRPr="0095060C">
              <w:rPr>
                <w:szCs w:val="24"/>
              </w:rPr>
              <w:t>15.116</w:t>
            </w:r>
          </w:p>
        </w:tc>
        <w:tc>
          <w:tcPr>
            <w:tcW w:w="1587" w:type="dxa"/>
          </w:tcPr>
          <w:p w14:paraId="2508352F" w14:textId="50F709DB" w:rsidR="00FF4030" w:rsidRPr="00A33264" w:rsidRDefault="00FF4030" w:rsidP="00FF4030">
            <w:pPr>
              <w:pStyle w:val="TableBody"/>
              <w:jc w:val="right"/>
              <w:rPr>
                <w:szCs w:val="24"/>
                <w:lang w:val="en-GB"/>
              </w:rPr>
            </w:pPr>
            <w:r w:rsidRPr="0095060C">
              <w:rPr>
                <w:szCs w:val="24"/>
              </w:rPr>
              <w:t>N/A</w:t>
            </w:r>
          </w:p>
        </w:tc>
        <w:tc>
          <w:tcPr>
            <w:tcW w:w="1587" w:type="dxa"/>
          </w:tcPr>
          <w:p w14:paraId="280FAC61" w14:textId="3041EBC1" w:rsidR="00FF4030" w:rsidRPr="00A33264" w:rsidRDefault="00FF4030" w:rsidP="00FF4030">
            <w:pPr>
              <w:pStyle w:val="TableBody"/>
              <w:jc w:val="right"/>
              <w:rPr>
                <w:szCs w:val="24"/>
                <w:lang w:val="en-GB"/>
              </w:rPr>
            </w:pPr>
            <w:r w:rsidRPr="0095060C">
              <w:rPr>
                <w:szCs w:val="24"/>
              </w:rPr>
              <w:t>3.757</w:t>
            </w:r>
          </w:p>
        </w:tc>
        <w:tc>
          <w:tcPr>
            <w:tcW w:w="1587" w:type="dxa"/>
          </w:tcPr>
          <w:p w14:paraId="46ED11E8" w14:textId="6BFE12BE" w:rsidR="00FF4030" w:rsidRPr="00A33264" w:rsidRDefault="00FF4030" w:rsidP="00FF4030">
            <w:pPr>
              <w:pStyle w:val="TableBody"/>
              <w:jc w:val="right"/>
              <w:rPr>
                <w:szCs w:val="24"/>
                <w:lang w:val="en-GB"/>
              </w:rPr>
            </w:pPr>
            <w:r w:rsidRPr="0095060C">
              <w:rPr>
                <w:szCs w:val="24"/>
              </w:rPr>
              <w:t>18.873</w:t>
            </w:r>
          </w:p>
        </w:tc>
      </w:tr>
      <w:tr w:rsidR="00FF4030" w:rsidRPr="00A33264" w14:paraId="01FDDCC0" w14:textId="77777777" w:rsidTr="00CD63B3">
        <w:trPr>
          <w:cnfStyle w:val="000000100000" w:firstRow="0" w:lastRow="0" w:firstColumn="0" w:lastColumn="0" w:oddVBand="0" w:evenVBand="0" w:oddHBand="1" w:evenHBand="0" w:firstRowFirstColumn="0" w:firstRowLastColumn="0" w:lastRowFirstColumn="0" w:lastRowLastColumn="0"/>
          <w:cantSplit/>
        </w:trPr>
        <w:tc>
          <w:tcPr>
            <w:tcW w:w="2835" w:type="dxa"/>
          </w:tcPr>
          <w:p w14:paraId="732AA2CA" w14:textId="4CD6EF9E" w:rsidR="00FF4030" w:rsidRPr="00A33264" w:rsidRDefault="00FF4030" w:rsidP="00FF4030">
            <w:pPr>
              <w:pStyle w:val="TableBody"/>
              <w:rPr>
                <w:szCs w:val="24"/>
                <w:lang w:val="en-GB"/>
              </w:rPr>
            </w:pPr>
            <w:r w:rsidRPr="000B68E0">
              <w:rPr>
                <w:color w:val="000000"/>
                <w:szCs w:val="24"/>
                <w:lang w:val="en-GB" w:eastAsia="en-AU"/>
              </w:rPr>
              <w:t xml:space="preserve">Solid </w:t>
            </w:r>
            <w:r w:rsidR="004364A0">
              <w:rPr>
                <w:color w:val="000000"/>
                <w:szCs w:val="24"/>
                <w:lang w:val="en-GB" w:eastAsia="en-AU"/>
              </w:rPr>
              <w:t>w</w:t>
            </w:r>
            <w:r w:rsidRPr="000B68E0">
              <w:rPr>
                <w:color w:val="000000"/>
                <w:szCs w:val="24"/>
                <w:lang w:val="en-GB" w:eastAsia="en-AU"/>
              </w:rPr>
              <w:t>aste</w:t>
            </w:r>
            <w:r w:rsidRPr="006D30C3">
              <w:rPr>
                <w:color w:val="000000"/>
                <w:szCs w:val="24"/>
                <w:vertAlign w:val="superscript"/>
                <w:lang w:val="en-GB" w:eastAsia="en-AU"/>
              </w:rPr>
              <w:t>*</w:t>
            </w:r>
            <w:r w:rsidRPr="006D30C3">
              <w:rPr>
                <w:color w:val="000000"/>
                <w:szCs w:val="24"/>
                <w:vertAlign w:val="superscript"/>
                <w:lang w:eastAsia="en-AU"/>
              </w:rPr>
              <w:t>†</w:t>
            </w:r>
          </w:p>
        </w:tc>
        <w:tc>
          <w:tcPr>
            <w:tcW w:w="1587" w:type="dxa"/>
          </w:tcPr>
          <w:p w14:paraId="45B42308" w14:textId="0D21F5BE" w:rsidR="00FF4030" w:rsidRPr="00A33264" w:rsidRDefault="00FF4030" w:rsidP="00FF4030">
            <w:pPr>
              <w:pStyle w:val="TableBody"/>
              <w:jc w:val="right"/>
              <w:rPr>
                <w:szCs w:val="24"/>
                <w:lang w:val="en-GB"/>
              </w:rPr>
            </w:pPr>
            <w:r w:rsidRPr="0095060C">
              <w:rPr>
                <w:szCs w:val="24"/>
              </w:rPr>
              <w:t>N/A</w:t>
            </w:r>
          </w:p>
        </w:tc>
        <w:tc>
          <w:tcPr>
            <w:tcW w:w="1587" w:type="dxa"/>
          </w:tcPr>
          <w:p w14:paraId="2AB0C94B" w14:textId="6ADD3118" w:rsidR="00FF4030" w:rsidRPr="00A33264" w:rsidRDefault="00FF4030" w:rsidP="00FF4030">
            <w:pPr>
              <w:pStyle w:val="TableBody"/>
              <w:jc w:val="right"/>
              <w:rPr>
                <w:szCs w:val="24"/>
                <w:lang w:val="en-GB"/>
              </w:rPr>
            </w:pPr>
            <w:r w:rsidRPr="0095060C">
              <w:rPr>
                <w:szCs w:val="24"/>
              </w:rPr>
              <w:t>N/A</w:t>
            </w:r>
          </w:p>
        </w:tc>
        <w:tc>
          <w:tcPr>
            <w:tcW w:w="1587" w:type="dxa"/>
          </w:tcPr>
          <w:p w14:paraId="5C895042" w14:textId="42B152F7" w:rsidR="00FF4030" w:rsidRPr="00A33264" w:rsidRDefault="00FF4030" w:rsidP="00FF4030">
            <w:pPr>
              <w:pStyle w:val="TableBody"/>
              <w:jc w:val="right"/>
              <w:rPr>
                <w:szCs w:val="24"/>
                <w:lang w:val="en-GB"/>
              </w:rPr>
            </w:pPr>
            <w:r w:rsidRPr="0095060C">
              <w:rPr>
                <w:szCs w:val="24"/>
              </w:rPr>
              <w:t>7.041</w:t>
            </w:r>
          </w:p>
        </w:tc>
        <w:tc>
          <w:tcPr>
            <w:tcW w:w="1587" w:type="dxa"/>
          </w:tcPr>
          <w:p w14:paraId="5B26FE7D" w14:textId="27C8A147" w:rsidR="00FF4030" w:rsidRPr="00A33264" w:rsidRDefault="00FF4030" w:rsidP="00FF4030">
            <w:pPr>
              <w:pStyle w:val="TableBody"/>
              <w:jc w:val="right"/>
              <w:rPr>
                <w:szCs w:val="24"/>
                <w:lang w:val="en-GB"/>
              </w:rPr>
            </w:pPr>
            <w:r w:rsidRPr="0095060C">
              <w:rPr>
                <w:szCs w:val="24"/>
              </w:rPr>
              <w:t>7.041</w:t>
            </w:r>
          </w:p>
        </w:tc>
      </w:tr>
      <w:tr w:rsidR="00FF4030" w:rsidRPr="00A33264" w14:paraId="2F052E09" w14:textId="77777777" w:rsidTr="00CD63B3">
        <w:trPr>
          <w:cantSplit/>
        </w:trPr>
        <w:tc>
          <w:tcPr>
            <w:tcW w:w="2835" w:type="dxa"/>
          </w:tcPr>
          <w:p w14:paraId="6262BCC8" w14:textId="5DC66DFC" w:rsidR="00FF4030" w:rsidRPr="00A33264" w:rsidRDefault="00FF4030" w:rsidP="00FF4030">
            <w:pPr>
              <w:pStyle w:val="TableBody"/>
              <w:rPr>
                <w:szCs w:val="24"/>
                <w:lang w:val="en-GB"/>
              </w:rPr>
            </w:pPr>
            <w:r w:rsidRPr="000B68E0">
              <w:rPr>
                <w:color w:val="000000"/>
                <w:szCs w:val="24"/>
                <w:lang w:val="en-GB" w:eastAsia="en-AU"/>
              </w:rPr>
              <w:t>Refrigerants</w:t>
            </w:r>
            <w:r w:rsidRPr="006D30C3">
              <w:rPr>
                <w:color w:val="000000"/>
                <w:szCs w:val="24"/>
                <w:vertAlign w:val="superscript"/>
                <w:lang w:val="en-GB" w:eastAsia="en-AU"/>
              </w:rPr>
              <w:t>*</w:t>
            </w:r>
            <w:r w:rsidRPr="00AF5485">
              <w:rPr>
                <w:color w:val="000000"/>
                <w:szCs w:val="24"/>
                <w:vertAlign w:val="superscript"/>
                <w:lang w:eastAsia="en-AU"/>
              </w:rPr>
              <w:t>†</w:t>
            </w:r>
            <w:r w:rsidRPr="006D30C3">
              <w:rPr>
                <w:color w:val="000000"/>
                <w:szCs w:val="24"/>
                <w:vertAlign w:val="superscript"/>
                <w:lang w:eastAsia="en-AU"/>
              </w:rPr>
              <w:t>†</w:t>
            </w:r>
          </w:p>
        </w:tc>
        <w:tc>
          <w:tcPr>
            <w:tcW w:w="1587" w:type="dxa"/>
          </w:tcPr>
          <w:p w14:paraId="00F120D2" w14:textId="56DFE893" w:rsidR="00FF4030" w:rsidRPr="00A33264" w:rsidRDefault="00FF4030" w:rsidP="00FF4030">
            <w:pPr>
              <w:pStyle w:val="TableBody"/>
              <w:jc w:val="right"/>
              <w:rPr>
                <w:szCs w:val="24"/>
                <w:lang w:val="en-GB"/>
              </w:rPr>
            </w:pPr>
            <w:r w:rsidRPr="0095060C">
              <w:rPr>
                <w:szCs w:val="24"/>
              </w:rPr>
              <w:t>0.000</w:t>
            </w:r>
          </w:p>
        </w:tc>
        <w:tc>
          <w:tcPr>
            <w:tcW w:w="1587" w:type="dxa"/>
          </w:tcPr>
          <w:p w14:paraId="3D84DBCD" w14:textId="66EA29B0" w:rsidR="00FF4030" w:rsidRPr="00A33264" w:rsidRDefault="00FF4030" w:rsidP="00FF4030">
            <w:pPr>
              <w:pStyle w:val="TableBody"/>
              <w:jc w:val="right"/>
              <w:rPr>
                <w:szCs w:val="24"/>
                <w:lang w:val="en-GB"/>
              </w:rPr>
            </w:pPr>
            <w:r w:rsidRPr="0095060C">
              <w:rPr>
                <w:szCs w:val="24"/>
              </w:rPr>
              <w:t>N/A</w:t>
            </w:r>
          </w:p>
        </w:tc>
        <w:tc>
          <w:tcPr>
            <w:tcW w:w="1587" w:type="dxa"/>
          </w:tcPr>
          <w:p w14:paraId="2CF11434" w14:textId="404E406B" w:rsidR="00FF4030" w:rsidRPr="00A33264" w:rsidRDefault="00FF4030" w:rsidP="00FF4030">
            <w:pPr>
              <w:pStyle w:val="TableBody"/>
              <w:jc w:val="right"/>
              <w:rPr>
                <w:szCs w:val="24"/>
                <w:lang w:val="en-GB"/>
              </w:rPr>
            </w:pPr>
            <w:r w:rsidRPr="0095060C">
              <w:rPr>
                <w:szCs w:val="24"/>
              </w:rPr>
              <w:t>N/A</w:t>
            </w:r>
          </w:p>
        </w:tc>
        <w:tc>
          <w:tcPr>
            <w:tcW w:w="1587" w:type="dxa"/>
          </w:tcPr>
          <w:p w14:paraId="37A0CDD5" w14:textId="150A2FE7" w:rsidR="00FF4030" w:rsidRPr="00A33264" w:rsidRDefault="00FF4030" w:rsidP="00FF4030">
            <w:pPr>
              <w:pStyle w:val="TableBody"/>
              <w:jc w:val="right"/>
              <w:rPr>
                <w:szCs w:val="24"/>
                <w:lang w:val="en-GB"/>
              </w:rPr>
            </w:pPr>
            <w:r w:rsidRPr="0095060C">
              <w:rPr>
                <w:szCs w:val="24"/>
              </w:rPr>
              <w:t>0.000</w:t>
            </w:r>
          </w:p>
        </w:tc>
      </w:tr>
      <w:tr w:rsidR="00FF4030" w:rsidRPr="00A33264" w14:paraId="2B51C2B7" w14:textId="77777777" w:rsidTr="00CD63B3">
        <w:trPr>
          <w:cnfStyle w:val="000000100000" w:firstRow="0" w:lastRow="0" w:firstColumn="0" w:lastColumn="0" w:oddVBand="0" w:evenVBand="0" w:oddHBand="1" w:evenHBand="0" w:firstRowFirstColumn="0" w:firstRowLastColumn="0" w:lastRowFirstColumn="0" w:lastRowLastColumn="0"/>
          <w:cantSplit/>
        </w:trPr>
        <w:tc>
          <w:tcPr>
            <w:tcW w:w="2835" w:type="dxa"/>
          </w:tcPr>
          <w:p w14:paraId="22C5CA8E" w14:textId="76AEB07B" w:rsidR="00FF4030" w:rsidRPr="00A33264" w:rsidRDefault="00FF4030" w:rsidP="00FF4030">
            <w:pPr>
              <w:pStyle w:val="TableBody"/>
              <w:rPr>
                <w:szCs w:val="24"/>
                <w:lang w:val="en-GB"/>
              </w:rPr>
            </w:pPr>
            <w:r w:rsidRPr="000B68E0">
              <w:rPr>
                <w:color w:val="000000"/>
                <w:szCs w:val="24"/>
                <w:lang w:val="en-GB" w:eastAsia="en-AU"/>
              </w:rPr>
              <w:t>Fleet and other vehicles</w:t>
            </w:r>
          </w:p>
        </w:tc>
        <w:tc>
          <w:tcPr>
            <w:tcW w:w="1587" w:type="dxa"/>
          </w:tcPr>
          <w:p w14:paraId="18F87FFB" w14:textId="42DC5B07" w:rsidR="00FF4030" w:rsidRPr="00A33264" w:rsidRDefault="00FF4030" w:rsidP="00FF4030">
            <w:pPr>
              <w:pStyle w:val="TableBody"/>
              <w:jc w:val="right"/>
              <w:rPr>
                <w:szCs w:val="24"/>
                <w:lang w:val="en-GB"/>
              </w:rPr>
            </w:pPr>
            <w:r w:rsidRPr="0095060C">
              <w:rPr>
                <w:szCs w:val="24"/>
              </w:rPr>
              <w:t>91.398</w:t>
            </w:r>
          </w:p>
        </w:tc>
        <w:tc>
          <w:tcPr>
            <w:tcW w:w="1587" w:type="dxa"/>
          </w:tcPr>
          <w:p w14:paraId="10528439" w14:textId="1A9CF888" w:rsidR="00FF4030" w:rsidRPr="00A33264" w:rsidRDefault="00FF4030" w:rsidP="00FF4030">
            <w:pPr>
              <w:pStyle w:val="TableBody"/>
              <w:jc w:val="right"/>
              <w:rPr>
                <w:szCs w:val="24"/>
                <w:lang w:val="en-GB"/>
              </w:rPr>
            </w:pPr>
            <w:r w:rsidRPr="0095060C">
              <w:rPr>
                <w:szCs w:val="24"/>
              </w:rPr>
              <w:t>N/A</w:t>
            </w:r>
          </w:p>
        </w:tc>
        <w:tc>
          <w:tcPr>
            <w:tcW w:w="1587" w:type="dxa"/>
          </w:tcPr>
          <w:p w14:paraId="48A72F7C" w14:textId="12F73CD8" w:rsidR="00FF4030" w:rsidRPr="00A33264" w:rsidRDefault="00FF4030" w:rsidP="00FF4030">
            <w:pPr>
              <w:pStyle w:val="TableBody"/>
              <w:jc w:val="right"/>
              <w:rPr>
                <w:szCs w:val="24"/>
                <w:lang w:val="en-GB"/>
              </w:rPr>
            </w:pPr>
            <w:r w:rsidRPr="0095060C">
              <w:rPr>
                <w:szCs w:val="24"/>
              </w:rPr>
              <w:t>22.929</w:t>
            </w:r>
          </w:p>
        </w:tc>
        <w:tc>
          <w:tcPr>
            <w:tcW w:w="1587" w:type="dxa"/>
          </w:tcPr>
          <w:p w14:paraId="50D58B67" w14:textId="31E5F03A" w:rsidR="00FF4030" w:rsidRPr="00A33264" w:rsidRDefault="00FF4030" w:rsidP="00FF4030">
            <w:pPr>
              <w:pStyle w:val="TableBody"/>
              <w:jc w:val="right"/>
              <w:rPr>
                <w:szCs w:val="24"/>
                <w:lang w:val="en-GB"/>
              </w:rPr>
            </w:pPr>
            <w:r w:rsidRPr="0095060C">
              <w:rPr>
                <w:szCs w:val="24"/>
              </w:rPr>
              <w:t>114.327</w:t>
            </w:r>
          </w:p>
        </w:tc>
      </w:tr>
      <w:tr w:rsidR="00FF4030" w:rsidRPr="00A33264" w14:paraId="00CB5E55" w14:textId="77777777" w:rsidTr="00CD63B3">
        <w:trPr>
          <w:cantSplit/>
        </w:trPr>
        <w:tc>
          <w:tcPr>
            <w:tcW w:w="2835" w:type="dxa"/>
          </w:tcPr>
          <w:p w14:paraId="4E4C16A3" w14:textId="6CB34EFF" w:rsidR="00FF4030" w:rsidRPr="00A33264" w:rsidRDefault="00FF4030" w:rsidP="00FF4030">
            <w:pPr>
              <w:pStyle w:val="TableBody"/>
              <w:rPr>
                <w:color w:val="000000"/>
                <w:szCs w:val="24"/>
                <w:lang w:val="en-GB" w:eastAsia="en-AU"/>
              </w:rPr>
            </w:pPr>
            <w:r w:rsidRPr="000B68E0">
              <w:rPr>
                <w:color w:val="000000"/>
                <w:szCs w:val="24"/>
                <w:lang w:val="en-GB" w:eastAsia="en-AU"/>
              </w:rPr>
              <w:t xml:space="preserve">Domestic </w:t>
            </w:r>
            <w:r w:rsidR="004364A0">
              <w:rPr>
                <w:color w:val="000000"/>
                <w:szCs w:val="24"/>
                <w:lang w:val="en-GB" w:eastAsia="en-AU"/>
              </w:rPr>
              <w:t>c</w:t>
            </w:r>
            <w:r w:rsidRPr="000B68E0">
              <w:rPr>
                <w:color w:val="000000"/>
                <w:szCs w:val="24"/>
                <w:lang w:val="en-GB" w:eastAsia="en-AU"/>
              </w:rPr>
              <w:t>ommercial flights</w:t>
            </w:r>
            <w:r w:rsidRPr="00AF5485">
              <w:rPr>
                <w:color w:val="000000"/>
                <w:szCs w:val="24"/>
                <w:vertAlign w:val="superscript"/>
                <w:lang w:val="en-GB" w:eastAsia="en-AU"/>
              </w:rPr>
              <w:t>*</w:t>
            </w:r>
          </w:p>
        </w:tc>
        <w:tc>
          <w:tcPr>
            <w:tcW w:w="1587" w:type="dxa"/>
          </w:tcPr>
          <w:p w14:paraId="580D5862" w14:textId="5D3DBF07" w:rsidR="00FF4030" w:rsidRPr="00A33264" w:rsidRDefault="00FF4030" w:rsidP="00FF4030">
            <w:pPr>
              <w:pStyle w:val="TableBody"/>
              <w:jc w:val="right"/>
              <w:rPr>
                <w:color w:val="000000"/>
                <w:sz w:val="22"/>
                <w:lang w:val="en-GB" w:eastAsia="en-AU"/>
              </w:rPr>
            </w:pPr>
            <w:r w:rsidRPr="0095060C">
              <w:rPr>
                <w:szCs w:val="24"/>
              </w:rPr>
              <w:t>N/A</w:t>
            </w:r>
          </w:p>
        </w:tc>
        <w:tc>
          <w:tcPr>
            <w:tcW w:w="1587" w:type="dxa"/>
          </w:tcPr>
          <w:p w14:paraId="13049A65" w14:textId="24D66735" w:rsidR="00FF4030" w:rsidRPr="00A33264" w:rsidRDefault="00FF4030" w:rsidP="00FF4030">
            <w:pPr>
              <w:pStyle w:val="TableBody"/>
              <w:jc w:val="right"/>
              <w:rPr>
                <w:color w:val="000000"/>
                <w:sz w:val="22"/>
                <w:lang w:val="en-GB" w:eastAsia="en-AU"/>
              </w:rPr>
            </w:pPr>
            <w:r w:rsidRPr="0095060C">
              <w:rPr>
                <w:szCs w:val="24"/>
              </w:rPr>
              <w:t>N/A</w:t>
            </w:r>
          </w:p>
        </w:tc>
        <w:tc>
          <w:tcPr>
            <w:tcW w:w="1587" w:type="dxa"/>
          </w:tcPr>
          <w:p w14:paraId="32A3D2A9" w14:textId="504212CD" w:rsidR="00FF4030" w:rsidRPr="00A33264" w:rsidRDefault="00FF4030" w:rsidP="00FF4030">
            <w:pPr>
              <w:pStyle w:val="TableBody"/>
              <w:jc w:val="right"/>
              <w:rPr>
                <w:color w:val="000000"/>
                <w:sz w:val="22"/>
                <w:lang w:val="en-GB" w:eastAsia="en-AU"/>
              </w:rPr>
            </w:pPr>
            <w:r w:rsidRPr="0095060C">
              <w:rPr>
                <w:szCs w:val="24"/>
              </w:rPr>
              <w:t>906.545</w:t>
            </w:r>
          </w:p>
        </w:tc>
        <w:tc>
          <w:tcPr>
            <w:tcW w:w="1587" w:type="dxa"/>
          </w:tcPr>
          <w:p w14:paraId="51D55930" w14:textId="11D8254E" w:rsidR="00FF4030" w:rsidRPr="00A33264" w:rsidRDefault="00FF4030" w:rsidP="00FF4030">
            <w:pPr>
              <w:pStyle w:val="TableBody"/>
              <w:jc w:val="right"/>
              <w:rPr>
                <w:color w:val="000000"/>
                <w:sz w:val="22"/>
                <w:lang w:val="en-GB" w:eastAsia="en-AU"/>
              </w:rPr>
            </w:pPr>
            <w:r w:rsidRPr="0095060C">
              <w:rPr>
                <w:szCs w:val="24"/>
              </w:rPr>
              <w:t>906.545</w:t>
            </w:r>
          </w:p>
        </w:tc>
      </w:tr>
      <w:tr w:rsidR="00FF4030" w:rsidRPr="00A33264" w14:paraId="435E78E1" w14:textId="77777777" w:rsidTr="00CD63B3">
        <w:trPr>
          <w:cnfStyle w:val="000000100000" w:firstRow="0" w:lastRow="0" w:firstColumn="0" w:lastColumn="0" w:oddVBand="0" w:evenVBand="0" w:oddHBand="1" w:evenHBand="0" w:firstRowFirstColumn="0" w:firstRowLastColumn="0" w:lastRowFirstColumn="0" w:lastRowLastColumn="0"/>
          <w:cantSplit/>
        </w:trPr>
        <w:tc>
          <w:tcPr>
            <w:tcW w:w="2835" w:type="dxa"/>
          </w:tcPr>
          <w:p w14:paraId="50F2B240" w14:textId="7F86642A" w:rsidR="00FF4030" w:rsidRPr="00A33264" w:rsidRDefault="00FF4030" w:rsidP="00FF4030">
            <w:pPr>
              <w:pStyle w:val="TableBody"/>
              <w:rPr>
                <w:color w:val="000000"/>
                <w:szCs w:val="24"/>
                <w:lang w:val="en-GB" w:eastAsia="en-AU"/>
              </w:rPr>
            </w:pPr>
            <w:r w:rsidRPr="000B68E0">
              <w:rPr>
                <w:color w:val="000000"/>
                <w:szCs w:val="24"/>
                <w:lang w:val="en-GB" w:eastAsia="en-AU"/>
              </w:rPr>
              <w:t xml:space="preserve">Domestic </w:t>
            </w:r>
            <w:r w:rsidR="004364A0">
              <w:rPr>
                <w:color w:val="000000"/>
                <w:szCs w:val="24"/>
                <w:lang w:val="en-GB" w:eastAsia="en-AU"/>
              </w:rPr>
              <w:t>h</w:t>
            </w:r>
            <w:r w:rsidRPr="000B68E0">
              <w:rPr>
                <w:color w:val="000000"/>
                <w:szCs w:val="24"/>
                <w:lang w:val="en-GB" w:eastAsia="en-AU"/>
              </w:rPr>
              <w:t xml:space="preserve">ire </w:t>
            </w:r>
            <w:r w:rsidR="004364A0">
              <w:rPr>
                <w:color w:val="000000"/>
                <w:szCs w:val="24"/>
                <w:lang w:val="en-GB" w:eastAsia="en-AU"/>
              </w:rPr>
              <w:t>c</w:t>
            </w:r>
            <w:r w:rsidRPr="000B68E0">
              <w:rPr>
                <w:color w:val="000000"/>
                <w:szCs w:val="24"/>
                <w:lang w:val="en-GB" w:eastAsia="en-AU"/>
              </w:rPr>
              <w:t>ar</w:t>
            </w:r>
            <w:r w:rsidRPr="00AF5485">
              <w:rPr>
                <w:color w:val="000000"/>
                <w:szCs w:val="24"/>
                <w:vertAlign w:val="superscript"/>
                <w:lang w:val="en-GB" w:eastAsia="en-AU"/>
              </w:rPr>
              <w:t>*</w:t>
            </w:r>
          </w:p>
        </w:tc>
        <w:tc>
          <w:tcPr>
            <w:tcW w:w="1587" w:type="dxa"/>
          </w:tcPr>
          <w:p w14:paraId="09AD1F70" w14:textId="2C1BEB37" w:rsidR="00FF4030" w:rsidRPr="00A33264" w:rsidRDefault="00FF4030" w:rsidP="00FF4030">
            <w:pPr>
              <w:pStyle w:val="TableBody"/>
              <w:jc w:val="right"/>
              <w:rPr>
                <w:color w:val="000000"/>
                <w:sz w:val="22"/>
                <w:lang w:val="en-GB" w:eastAsia="en-AU"/>
              </w:rPr>
            </w:pPr>
            <w:r w:rsidRPr="0095060C">
              <w:rPr>
                <w:szCs w:val="24"/>
              </w:rPr>
              <w:t>N/A</w:t>
            </w:r>
          </w:p>
        </w:tc>
        <w:tc>
          <w:tcPr>
            <w:tcW w:w="1587" w:type="dxa"/>
          </w:tcPr>
          <w:p w14:paraId="519BCB87" w14:textId="461B7A91" w:rsidR="00FF4030" w:rsidRPr="00A33264" w:rsidRDefault="00FF4030" w:rsidP="00FF4030">
            <w:pPr>
              <w:pStyle w:val="TableBody"/>
              <w:jc w:val="right"/>
              <w:rPr>
                <w:color w:val="000000"/>
                <w:sz w:val="22"/>
                <w:lang w:val="en-GB" w:eastAsia="en-AU"/>
              </w:rPr>
            </w:pPr>
            <w:r w:rsidRPr="0095060C">
              <w:rPr>
                <w:szCs w:val="24"/>
              </w:rPr>
              <w:t>N/A</w:t>
            </w:r>
          </w:p>
        </w:tc>
        <w:tc>
          <w:tcPr>
            <w:tcW w:w="1587" w:type="dxa"/>
          </w:tcPr>
          <w:p w14:paraId="60DBCA97" w14:textId="2739E17F" w:rsidR="00FF4030" w:rsidRPr="00A33264" w:rsidRDefault="00FF4030" w:rsidP="00FF4030">
            <w:pPr>
              <w:pStyle w:val="TableBody"/>
              <w:jc w:val="right"/>
              <w:rPr>
                <w:color w:val="000000"/>
                <w:sz w:val="22"/>
                <w:lang w:val="en-GB" w:eastAsia="en-AU"/>
              </w:rPr>
            </w:pPr>
            <w:r w:rsidRPr="0095060C">
              <w:rPr>
                <w:szCs w:val="24"/>
              </w:rPr>
              <w:t>15.116</w:t>
            </w:r>
          </w:p>
        </w:tc>
        <w:tc>
          <w:tcPr>
            <w:tcW w:w="1587" w:type="dxa"/>
          </w:tcPr>
          <w:p w14:paraId="6AF7E6CF" w14:textId="728C9049" w:rsidR="00FF4030" w:rsidRPr="00A33264" w:rsidRDefault="00FF4030" w:rsidP="00FF4030">
            <w:pPr>
              <w:pStyle w:val="TableBody"/>
              <w:jc w:val="right"/>
              <w:rPr>
                <w:color w:val="000000"/>
                <w:sz w:val="22"/>
                <w:lang w:val="en-GB" w:eastAsia="en-AU"/>
              </w:rPr>
            </w:pPr>
            <w:r w:rsidRPr="0095060C">
              <w:rPr>
                <w:szCs w:val="24"/>
              </w:rPr>
              <w:t>15.116</w:t>
            </w:r>
          </w:p>
        </w:tc>
      </w:tr>
      <w:tr w:rsidR="00FF4030" w:rsidRPr="00A33264" w14:paraId="78DE7094" w14:textId="77777777" w:rsidTr="00CD63B3">
        <w:trPr>
          <w:cantSplit/>
        </w:trPr>
        <w:tc>
          <w:tcPr>
            <w:tcW w:w="2835" w:type="dxa"/>
          </w:tcPr>
          <w:p w14:paraId="560AA988" w14:textId="43F1544D" w:rsidR="00FF4030" w:rsidRPr="00A33264" w:rsidRDefault="00FF4030" w:rsidP="00FF4030">
            <w:pPr>
              <w:pStyle w:val="TableBody"/>
              <w:rPr>
                <w:color w:val="000000"/>
                <w:szCs w:val="24"/>
                <w:lang w:val="en-GB" w:eastAsia="en-AU"/>
              </w:rPr>
            </w:pPr>
            <w:r w:rsidRPr="000B68E0">
              <w:rPr>
                <w:color w:val="000000"/>
                <w:szCs w:val="24"/>
                <w:lang w:val="en-GB" w:eastAsia="en-AU"/>
              </w:rPr>
              <w:t xml:space="preserve">Domestic </w:t>
            </w:r>
            <w:r w:rsidR="004364A0">
              <w:rPr>
                <w:color w:val="000000"/>
                <w:szCs w:val="24"/>
                <w:lang w:val="en-GB" w:eastAsia="en-AU"/>
              </w:rPr>
              <w:t>t</w:t>
            </w:r>
            <w:r w:rsidRPr="000B68E0">
              <w:rPr>
                <w:color w:val="000000"/>
                <w:szCs w:val="24"/>
                <w:lang w:val="en-GB" w:eastAsia="en-AU"/>
              </w:rPr>
              <w:t xml:space="preserve">ravel </w:t>
            </w:r>
            <w:r w:rsidR="004364A0">
              <w:rPr>
                <w:color w:val="000000"/>
                <w:szCs w:val="24"/>
                <w:lang w:val="en-GB" w:eastAsia="en-AU"/>
              </w:rPr>
              <w:t>a</w:t>
            </w:r>
            <w:r w:rsidRPr="000B68E0">
              <w:rPr>
                <w:color w:val="000000"/>
                <w:szCs w:val="24"/>
                <w:lang w:val="en-GB" w:eastAsia="en-AU"/>
              </w:rPr>
              <w:t>ccommodation</w:t>
            </w:r>
            <w:r w:rsidRPr="00AF5485">
              <w:rPr>
                <w:color w:val="000000"/>
                <w:szCs w:val="24"/>
                <w:vertAlign w:val="superscript"/>
                <w:lang w:val="en-GB" w:eastAsia="en-AU"/>
              </w:rPr>
              <w:t>*</w:t>
            </w:r>
          </w:p>
        </w:tc>
        <w:tc>
          <w:tcPr>
            <w:tcW w:w="1587" w:type="dxa"/>
          </w:tcPr>
          <w:p w14:paraId="7216AF3A" w14:textId="158847D8" w:rsidR="00FF4030" w:rsidRPr="00A33264" w:rsidRDefault="00FF4030" w:rsidP="00FF4030">
            <w:pPr>
              <w:pStyle w:val="TableBody"/>
              <w:jc w:val="right"/>
              <w:rPr>
                <w:color w:val="000000"/>
                <w:sz w:val="22"/>
                <w:lang w:val="en-GB" w:eastAsia="en-AU"/>
              </w:rPr>
            </w:pPr>
            <w:r w:rsidRPr="0095060C">
              <w:rPr>
                <w:szCs w:val="24"/>
              </w:rPr>
              <w:t>N/A</w:t>
            </w:r>
          </w:p>
        </w:tc>
        <w:tc>
          <w:tcPr>
            <w:tcW w:w="1587" w:type="dxa"/>
          </w:tcPr>
          <w:p w14:paraId="6B4D48B1" w14:textId="2838DEBF" w:rsidR="00FF4030" w:rsidRPr="00A33264" w:rsidRDefault="00FF4030" w:rsidP="00FF4030">
            <w:pPr>
              <w:pStyle w:val="TableBody"/>
              <w:jc w:val="right"/>
              <w:rPr>
                <w:color w:val="000000"/>
                <w:sz w:val="22"/>
                <w:lang w:val="en-GB" w:eastAsia="en-AU"/>
              </w:rPr>
            </w:pPr>
            <w:r w:rsidRPr="0095060C">
              <w:rPr>
                <w:szCs w:val="24"/>
              </w:rPr>
              <w:t>N/A</w:t>
            </w:r>
          </w:p>
        </w:tc>
        <w:tc>
          <w:tcPr>
            <w:tcW w:w="1587" w:type="dxa"/>
          </w:tcPr>
          <w:p w14:paraId="0EEA9BA0" w14:textId="28C5FE7C" w:rsidR="00FF4030" w:rsidRPr="00A33264" w:rsidRDefault="00FF4030" w:rsidP="00FF4030">
            <w:pPr>
              <w:pStyle w:val="TableBody"/>
              <w:jc w:val="right"/>
              <w:rPr>
                <w:color w:val="000000"/>
                <w:sz w:val="22"/>
                <w:lang w:val="en-GB" w:eastAsia="en-AU"/>
              </w:rPr>
            </w:pPr>
            <w:r w:rsidRPr="0095060C">
              <w:rPr>
                <w:szCs w:val="24"/>
              </w:rPr>
              <w:t>406.824</w:t>
            </w:r>
          </w:p>
        </w:tc>
        <w:tc>
          <w:tcPr>
            <w:tcW w:w="1587" w:type="dxa"/>
          </w:tcPr>
          <w:p w14:paraId="5960FD33" w14:textId="4EC09E42" w:rsidR="00FF4030" w:rsidRPr="00A33264" w:rsidRDefault="00FF4030" w:rsidP="00FF4030">
            <w:pPr>
              <w:pStyle w:val="TableBody"/>
              <w:jc w:val="right"/>
              <w:rPr>
                <w:color w:val="000000"/>
                <w:sz w:val="22"/>
                <w:lang w:val="en-GB" w:eastAsia="en-AU"/>
              </w:rPr>
            </w:pPr>
            <w:r w:rsidRPr="0095060C">
              <w:rPr>
                <w:szCs w:val="24"/>
              </w:rPr>
              <w:t>406.824</w:t>
            </w:r>
          </w:p>
        </w:tc>
      </w:tr>
      <w:tr w:rsidR="00FF4030" w:rsidRPr="00A33264" w14:paraId="0526BF7E" w14:textId="77777777" w:rsidTr="00CD63B3">
        <w:trPr>
          <w:cnfStyle w:val="000000100000" w:firstRow="0" w:lastRow="0" w:firstColumn="0" w:lastColumn="0" w:oddVBand="0" w:evenVBand="0" w:oddHBand="1" w:evenHBand="0" w:firstRowFirstColumn="0" w:firstRowLastColumn="0" w:lastRowFirstColumn="0" w:lastRowLastColumn="0"/>
          <w:cantSplit/>
        </w:trPr>
        <w:tc>
          <w:tcPr>
            <w:tcW w:w="2835" w:type="dxa"/>
          </w:tcPr>
          <w:p w14:paraId="6B1BFB76" w14:textId="7583F268" w:rsidR="00FF4030" w:rsidRPr="00A33264" w:rsidRDefault="00FF4030" w:rsidP="00FF4030">
            <w:pPr>
              <w:pStyle w:val="TableBody"/>
              <w:rPr>
                <w:b/>
                <w:bCs/>
                <w:szCs w:val="24"/>
                <w:lang w:val="en-GB"/>
              </w:rPr>
            </w:pPr>
            <w:r w:rsidRPr="000B68E0">
              <w:rPr>
                <w:color w:val="000000"/>
                <w:szCs w:val="24"/>
                <w:lang w:val="en-GB" w:eastAsia="en-AU"/>
              </w:rPr>
              <w:t>Other energy</w:t>
            </w:r>
          </w:p>
        </w:tc>
        <w:tc>
          <w:tcPr>
            <w:tcW w:w="1587" w:type="dxa"/>
          </w:tcPr>
          <w:p w14:paraId="2B8AD3E1" w14:textId="4E842131" w:rsidR="00FF4030" w:rsidRPr="00A33264" w:rsidRDefault="00FF4030" w:rsidP="00FF4030">
            <w:pPr>
              <w:pStyle w:val="TableBody"/>
              <w:jc w:val="right"/>
              <w:rPr>
                <w:b/>
                <w:bCs/>
                <w:szCs w:val="24"/>
                <w:lang w:val="en-GB"/>
              </w:rPr>
            </w:pPr>
            <w:r w:rsidRPr="0095060C">
              <w:rPr>
                <w:szCs w:val="24"/>
              </w:rPr>
              <w:t>0.000</w:t>
            </w:r>
          </w:p>
        </w:tc>
        <w:tc>
          <w:tcPr>
            <w:tcW w:w="1587" w:type="dxa"/>
          </w:tcPr>
          <w:p w14:paraId="07EF3BE1" w14:textId="3DFA3F20" w:rsidR="00FF4030" w:rsidRPr="00A33264" w:rsidRDefault="00FF4030" w:rsidP="00FF4030">
            <w:pPr>
              <w:pStyle w:val="TableBody"/>
              <w:jc w:val="right"/>
              <w:rPr>
                <w:b/>
                <w:bCs/>
                <w:szCs w:val="24"/>
                <w:lang w:val="en-GB"/>
              </w:rPr>
            </w:pPr>
            <w:r w:rsidRPr="0095060C">
              <w:rPr>
                <w:szCs w:val="24"/>
              </w:rPr>
              <w:t>N/A</w:t>
            </w:r>
          </w:p>
        </w:tc>
        <w:tc>
          <w:tcPr>
            <w:tcW w:w="1587" w:type="dxa"/>
          </w:tcPr>
          <w:p w14:paraId="7FD8D1BE" w14:textId="44547ECC" w:rsidR="00FF4030" w:rsidRPr="00A33264" w:rsidRDefault="00FF4030" w:rsidP="00FF4030">
            <w:pPr>
              <w:pStyle w:val="TableBody"/>
              <w:jc w:val="right"/>
              <w:rPr>
                <w:b/>
                <w:bCs/>
                <w:szCs w:val="24"/>
                <w:lang w:val="en-GB"/>
              </w:rPr>
            </w:pPr>
            <w:r w:rsidRPr="0095060C">
              <w:rPr>
                <w:szCs w:val="24"/>
              </w:rPr>
              <w:t>0.000</w:t>
            </w:r>
          </w:p>
        </w:tc>
        <w:tc>
          <w:tcPr>
            <w:tcW w:w="1587" w:type="dxa"/>
          </w:tcPr>
          <w:p w14:paraId="3BF37044" w14:textId="78913F95" w:rsidR="00FF4030" w:rsidRPr="00A33264" w:rsidRDefault="00FF4030" w:rsidP="00FF4030">
            <w:pPr>
              <w:pStyle w:val="TableBody"/>
              <w:jc w:val="right"/>
              <w:rPr>
                <w:b/>
                <w:bCs/>
                <w:szCs w:val="24"/>
                <w:lang w:val="en-GB"/>
              </w:rPr>
            </w:pPr>
            <w:r w:rsidRPr="0095060C">
              <w:rPr>
                <w:szCs w:val="24"/>
              </w:rPr>
              <w:t>0.000</w:t>
            </w:r>
          </w:p>
        </w:tc>
      </w:tr>
      <w:tr w:rsidR="00FF4030" w:rsidRPr="00A33264" w14:paraId="4AE51A03" w14:textId="77777777" w:rsidTr="00CD63B3">
        <w:trPr>
          <w:cantSplit/>
        </w:trPr>
        <w:tc>
          <w:tcPr>
            <w:tcW w:w="2835" w:type="dxa"/>
          </w:tcPr>
          <w:p w14:paraId="05E2454B" w14:textId="6DC2260E" w:rsidR="00FF4030" w:rsidRPr="00A33264" w:rsidRDefault="00FF4030" w:rsidP="00FF4030">
            <w:pPr>
              <w:pStyle w:val="TableBody"/>
              <w:rPr>
                <w:b/>
                <w:bCs/>
                <w:color w:val="000000"/>
                <w:szCs w:val="24"/>
                <w:lang w:val="en-GB" w:eastAsia="en-AU"/>
              </w:rPr>
            </w:pPr>
            <w:r w:rsidRPr="000B68E0">
              <w:rPr>
                <w:b/>
                <w:bCs/>
                <w:color w:val="000000"/>
                <w:szCs w:val="24"/>
                <w:lang w:val="en-GB" w:eastAsia="en-AU"/>
              </w:rPr>
              <w:t xml:space="preserve">Total </w:t>
            </w:r>
            <w:r>
              <w:rPr>
                <w:b/>
                <w:bCs/>
                <w:color w:val="000000"/>
                <w:szCs w:val="24"/>
                <w:lang w:val="en-GB" w:eastAsia="en-AU"/>
              </w:rPr>
              <w:t>t</w:t>
            </w:r>
            <w:r w:rsidRPr="000B68E0">
              <w:rPr>
                <w:b/>
                <w:bCs/>
                <w:color w:val="000000"/>
                <w:szCs w:val="24"/>
                <w:lang w:val="en-GB" w:eastAsia="en-AU"/>
              </w:rPr>
              <w:t xml:space="preserve"> CO</w:t>
            </w:r>
            <w:r w:rsidRPr="000B68E0">
              <w:rPr>
                <w:b/>
                <w:bCs/>
                <w:color w:val="000000"/>
                <w:szCs w:val="24"/>
                <w:vertAlign w:val="subscript"/>
                <w:lang w:val="en-GB" w:eastAsia="en-AU"/>
              </w:rPr>
              <w:t>2</w:t>
            </w:r>
            <w:r w:rsidRPr="000B68E0">
              <w:rPr>
                <w:b/>
                <w:bCs/>
                <w:color w:val="000000"/>
                <w:szCs w:val="24"/>
                <w:lang w:val="en-GB" w:eastAsia="en-AU"/>
              </w:rPr>
              <w:t>-e</w:t>
            </w:r>
          </w:p>
        </w:tc>
        <w:tc>
          <w:tcPr>
            <w:tcW w:w="1587" w:type="dxa"/>
          </w:tcPr>
          <w:p w14:paraId="54890AB6" w14:textId="5223C60C" w:rsidR="00FF4030" w:rsidRPr="0095060C" w:rsidRDefault="00FF4030" w:rsidP="00FF4030">
            <w:pPr>
              <w:pStyle w:val="TableBody"/>
              <w:jc w:val="right"/>
              <w:rPr>
                <w:szCs w:val="24"/>
              </w:rPr>
            </w:pPr>
            <w:r w:rsidRPr="0095060C">
              <w:rPr>
                <w:b/>
                <w:bCs/>
                <w:szCs w:val="24"/>
              </w:rPr>
              <w:t>106.514</w:t>
            </w:r>
          </w:p>
        </w:tc>
        <w:tc>
          <w:tcPr>
            <w:tcW w:w="1587" w:type="dxa"/>
          </w:tcPr>
          <w:p w14:paraId="286CD85D" w14:textId="417195D9" w:rsidR="00FF4030" w:rsidRPr="0095060C" w:rsidRDefault="00FF4030" w:rsidP="00FF4030">
            <w:pPr>
              <w:pStyle w:val="TableBody"/>
              <w:jc w:val="right"/>
              <w:rPr>
                <w:szCs w:val="24"/>
              </w:rPr>
            </w:pPr>
            <w:r w:rsidRPr="0095060C">
              <w:rPr>
                <w:b/>
                <w:bCs/>
                <w:szCs w:val="24"/>
              </w:rPr>
              <w:t>2,131.428</w:t>
            </w:r>
          </w:p>
        </w:tc>
        <w:tc>
          <w:tcPr>
            <w:tcW w:w="1587" w:type="dxa"/>
          </w:tcPr>
          <w:p w14:paraId="72B51F01" w14:textId="3D8E775B" w:rsidR="00FF4030" w:rsidRPr="0095060C" w:rsidRDefault="00FF4030" w:rsidP="00FF4030">
            <w:pPr>
              <w:pStyle w:val="TableBody"/>
              <w:jc w:val="right"/>
              <w:rPr>
                <w:szCs w:val="24"/>
              </w:rPr>
            </w:pPr>
            <w:r w:rsidRPr="0095060C">
              <w:rPr>
                <w:b/>
                <w:bCs/>
                <w:szCs w:val="24"/>
              </w:rPr>
              <w:t>1,577.369</w:t>
            </w:r>
          </w:p>
        </w:tc>
        <w:tc>
          <w:tcPr>
            <w:tcW w:w="1587" w:type="dxa"/>
          </w:tcPr>
          <w:p w14:paraId="2973648C" w14:textId="1D85A984" w:rsidR="00FF4030" w:rsidRPr="0095060C" w:rsidRDefault="00FF4030" w:rsidP="00FF4030">
            <w:pPr>
              <w:pStyle w:val="TableBody"/>
              <w:jc w:val="right"/>
              <w:rPr>
                <w:szCs w:val="24"/>
              </w:rPr>
            </w:pPr>
            <w:r w:rsidRPr="0095060C">
              <w:rPr>
                <w:b/>
                <w:bCs/>
                <w:szCs w:val="24"/>
              </w:rPr>
              <w:t>3,815.311</w:t>
            </w:r>
          </w:p>
        </w:tc>
      </w:tr>
    </w:tbl>
    <w:p w14:paraId="0C7E3FF1" w14:textId="280205DA" w:rsidR="00FF4030" w:rsidRPr="00FF4030" w:rsidRDefault="004364A0" w:rsidP="00FF4030">
      <w:pPr>
        <w:pStyle w:val="Tablenote"/>
        <w:rPr>
          <w:lang w:eastAsia="en-AU"/>
        </w:rPr>
      </w:pPr>
      <w:bookmarkStart w:id="425" w:name="_Toc169593020"/>
      <w:bookmarkStart w:id="426" w:name="_Toc174354217"/>
      <w:r>
        <w:rPr>
          <w:lang w:eastAsia="en-AU"/>
        </w:rPr>
        <w:t>N</w:t>
      </w:r>
      <w:r w:rsidR="00FF4030">
        <w:rPr>
          <w:lang w:eastAsia="en-AU"/>
        </w:rPr>
        <w:t>otes:</w:t>
      </w:r>
      <w:r>
        <w:rPr>
          <w:lang w:eastAsia="en-AU"/>
        </w:rPr>
        <w:t xml:space="preserve"> </w:t>
      </w:r>
      <w:r w:rsidR="00FF4030" w:rsidRPr="00FF4030">
        <w:rPr>
          <w:lang w:eastAsia="en-AU"/>
        </w:rPr>
        <w:t>t CO</w:t>
      </w:r>
      <w:r w:rsidR="00FF4030" w:rsidRPr="00FF4030">
        <w:rPr>
          <w:vertAlign w:val="subscript"/>
          <w:lang w:eastAsia="en-AU"/>
        </w:rPr>
        <w:t>2</w:t>
      </w:r>
      <w:r w:rsidR="00FF4030" w:rsidRPr="00FF4030">
        <w:rPr>
          <w:lang w:eastAsia="en-AU"/>
        </w:rPr>
        <w:t>-e = tonne carbon dioxide equivalent</w:t>
      </w:r>
      <w:r w:rsidR="008101B7">
        <w:rPr>
          <w:lang w:eastAsia="en-AU"/>
        </w:rPr>
        <w:t>.</w:t>
      </w:r>
    </w:p>
    <w:p w14:paraId="52FCFC0E" w14:textId="70A752F6" w:rsidR="00FF4030" w:rsidRPr="00FF4030" w:rsidRDefault="00FF4030" w:rsidP="00FF4030">
      <w:pPr>
        <w:pStyle w:val="Tablenote"/>
        <w:rPr>
          <w:rFonts w:cs="Arial"/>
        </w:rPr>
      </w:pPr>
      <w:r w:rsidRPr="00FF4030">
        <w:rPr>
          <w:rFonts w:cs="Arial"/>
        </w:rPr>
        <w:t>Not all data for flights, hire car, and accommodation was available at the time of the report and amendments to data may be required in future reports. Emissions from hire cars for 2023</w:t>
      </w:r>
      <w:r w:rsidR="004E416F">
        <w:rPr>
          <w:rFonts w:ascii="Symbol" w:eastAsia="Symbol" w:hAnsi="Symbol" w:cs="Symbol"/>
          <w:lang w:eastAsia="en-AU"/>
        </w:rPr>
        <w:sym w:font="Symbol" w:char="F02D"/>
      </w:r>
      <w:r w:rsidRPr="00FF4030">
        <w:rPr>
          <w:rFonts w:cs="Arial"/>
        </w:rPr>
        <w:t>24 have been sourced from third party providers and may be incomplete. Travel emissions reported may contain some reservations that were cancelled.</w:t>
      </w:r>
    </w:p>
    <w:p w14:paraId="4E5E7722" w14:textId="5E268E3E" w:rsidR="00FF4030" w:rsidRPr="00FF4030" w:rsidRDefault="00FF4030" w:rsidP="00FF4030">
      <w:pPr>
        <w:pStyle w:val="Tablenote"/>
        <w:rPr>
          <w:rFonts w:cs="Arial"/>
          <w:lang w:eastAsia="en-AU"/>
        </w:rPr>
      </w:pPr>
      <w:r w:rsidRPr="00FF4030">
        <w:rPr>
          <w:rFonts w:cs="Arial"/>
          <w:lang w:eastAsia="en-AU"/>
        </w:rPr>
        <w:t>Emissions from electricity consumed by electric and plug-in hybrid vehicles has only been reported for electricity directly purchased by NDIA. Emissions associated with electricity consumption from public charging stations has not been reported for 2023</w:t>
      </w:r>
      <w:r w:rsidR="004E416F">
        <w:rPr>
          <w:rFonts w:ascii="Symbol" w:eastAsia="Symbol" w:hAnsi="Symbol" w:cs="Symbol"/>
          <w:lang w:eastAsia="en-AU"/>
        </w:rPr>
        <w:sym w:font="Symbol" w:char="F02D"/>
      </w:r>
      <w:r w:rsidRPr="00FF4030">
        <w:rPr>
          <w:rFonts w:cs="Arial"/>
          <w:lang w:eastAsia="en-AU"/>
        </w:rPr>
        <w:t>24.</w:t>
      </w:r>
    </w:p>
    <w:p w14:paraId="190D2939" w14:textId="082BC980" w:rsidR="00FF4030" w:rsidRPr="00FF4030" w:rsidRDefault="00FF4030" w:rsidP="00FF4030">
      <w:pPr>
        <w:pStyle w:val="Tablenote"/>
        <w:rPr>
          <w:rFonts w:cs="Arial"/>
        </w:rPr>
      </w:pPr>
      <w:r w:rsidRPr="00FF4030">
        <w:rPr>
          <w:rFonts w:cs="Arial"/>
          <w:lang w:eastAsia="en-AU"/>
        </w:rPr>
        <w:t>* Indicates emission sources collected for the first time in 2023</w:t>
      </w:r>
      <w:r w:rsidR="004E416F">
        <w:rPr>
          <w:rFonts w:ascii="Symbol" w:eastAsia="Symbol" w:hAnsi="Symbol" w:cs="Symbol"/>
          <w:lang w:eastAsia="en-AU"/>
        </w:rPr>
        <w:sym w:font="Symbol" w:char="F02D"/>
      </w:r>
      <w:r w:rsidRPr="00FF4030">
        <w:rPr>
          <w:rFonts w:cs="Arial"/>
          <w:lang w:eastAsia="en-AU"/>
        </w:rPr>
        <w:t>24. The quality of data is expected to improve over time as emissions reporting matures.</w:t>
      </w:r>
    </w:p>
    <w:p w14:paraId="28F32954" w14:textId="77777777" w:rsidR="00FF4030" w:rsidRPr="00FF4030" w:rsidRDefault="00FF4030" w:rsidP="00FF4030">
      <w:pPr>
        <w:pStyle w:val="Tablenote"/>
        <w:rPr>
          <w:rFonts w:eastAsia="MS Mincho" w:cs="Arial"/>
          <w:lang w:eastAsia="en-AU"/>
        </w:rPr>
      </w:pPr>
      <w:r w:rsidRPr="00FF4030">
        <w:rPr>
          <w:rFonts w:eastAsia="MS Mincho" w:cs="Arial"/>
          <w:vertAlign w:val="superscript"/>
          <w:lang w:eastAsia="en-AU"/>
        </w:rPr>
        <w:lastRenderedPageBreak/>
        <w:t xml:space="preserve">† </w:t>
      </w:r>
      <w:r w:rsidRPr="00FF4030">
        <w:rPr>
          <w:rFonts w:eastAsia="MS Mincho" w:cs="Arial"/>
          <w:lang w:eastAsia="en-AU"/>
        </w:rPr>
        <w:t>Not all solid waste data was available at the time of the report and amendments to data may be required in future reports.</w:t>
      </w:r>
    </w:p>
    <w:p w14:paraId="13854925" w14:textId="12DDF956" w:rsidR="00FF4030" w:rsidRPr="00FF4030" w:rsidRDefault="00FF4030" w:rsidP="00FF4030">
      <w:pPr>
        <w:pStyle w:val="Tablenote"/>
        <w:rPr>
          <w:rFonts w:cs="Arial"/>
          <w:u w:val="single"/>
        </w:rPr>
      </w:pPr>
      <w:r w:rsidRPr="00FF4030">
        <w:rPr>
          <w:rFonts w:eastAsia="MS Mincho" w:cs="Arial"/>
          <w:vertAlign w:val="superscript"/>
          <w:lang w:eastAsia="en-AU"/>
        </w:rPr>
        <w:t xml:space="preserve">†† </w:t>
      </w:r>
      <w:r w:rsidRPr="00FF4030">
        <w:rPr>
          <w:rFonts w:eastAsia="MS Mincho" w:cs="Arial"/>
          <w:lang w:eastAsia="en-AU"/>
        </w:rPr>
        <w:t>Indicates optional emission source for 2023</w:t>
      </w:r>
      <w:r w:rsidR="004E416F">
        <w:rPr>
          <w:rFonts w:ascii="Symbol" w:eastAsia="Symbol" w:hAnsi="Symbol" w:cs="Symbol"/>
          <w:lang w:eastAsia="en-AU"/>
        </w:rPr>
        <w:sym w:font="Symbol" w:char="F02D"/>
      </w:r>
      <w:r w:rsidRPr="00FF4030">
        <w:rPr>
          <w:rFonts w:eastAsia="MS Mincho" w:cs="Arial"/>
          <w:lang w:eastAsia="en-AU"/>
        </w:rPr>
        <w:t>24 remissions reporting.</w:t>
      </w:r>
    </w:p>
    <w:p w14:paraId="3AC1D992" w14:textId="68B316CE" w:rsidR="00FC1329" w:rsidRDefault="00FC1329" w:rsidP="00FC1329">
      <w:pPr>
        <w:rPr>
          <w:u w:val="single"/>
          <w:lang w:val="en-GB"/>
        </w:rPr>
      </w:pPr>
      <w:r>
        <w:rPr>
          <w:u w:val="single"/>
          <w:lang w:val="en-GB"/>
        </w:rPr>
        <w:t xml:space="preserve">Table </w:t>
      </w:r>
      <w:r w:rsidR="00A27A9C">
        <w:rPr>
          <w:u w:val="single"/>
          <w:lang w:val="en-GB"/>
        </w:rPr>
        <w:t>20</w:t>
      </w:r>
      <w:r>
        <w:rPr>
          <w:u w:val="single"/>
          <w:lang w:val="en-GB"/>
        </w:rPr>
        <w:t>: Greenhouse gas emissions inventory – market based method</w:t>
      </w:r>
    </w:p>
    <w:tbl>
      <w:tblPr>
        <w:tblStyle w:val="GridTable4"/>
        <w:tblW w:w="9183" w:type="dxa"/>
        <w:tblCellMar>
          <w:top w:w="28" w:type="dxa"/>
          <w:left w:w="28" w:type="dxa"/>
          <w:bottom w:w="28" w:type="dxa"/>
          <w:right w:w="28" w:type="dxa"/>
        </w:tblCellMar>
        <w:tblLook w:val="0420" w:firstRow="1" w:lastRow="0" w:firstColumn="0" w:lastColumn="0" w:noHBand="0" w:noVBand="1"/>
      </w:tblPr>
      <w:tblGrid>
        <w:gridCol w:w="2835"/>
        <w:gridCol w:w="1587"/>
        <w:gridCol w:w="1587"/>
        <w:gridCol w:w="1587"/>
        <w:gridCol w:w="1587"/>
      </w:tblGrid>
      <w:tr w:rsidR="00FF4030" w:rsidRPr="00A33264" w14:paraId="63EA647B" w14:textId="77777777">
        <w:trPr>
          <w:cnfStyle w:val="100000000000" w:firstRow="1" w:lastRow="0" w:firstColumn="0" w:lastColumn="0" w:oddVBand="0" w:evenVBand="0" w:oddHBand="0" w:evenHBand="0" w:firstRowFirstColumn="0" w:firstRowLastColumn="0" w:lastRowFirstColumn="0" w:lastRowLastColumn="0"/>
          <w:cantSplit/>
        </w:trPr>
        <w:tc>
          <w:tcPr>
            <w:tcW w:w="2835" w:type="dxa"/>
            <w:tcBorders>
              <w:top w:val="single" w:sz="4" w:space="0" w:color="6B2876" w:themeColor="text1"/>
              <w:bottom w:val="single" w:sz="4" w:space="0" w:color="6B2876" w:themeColor="text1"/>
            </w:tcBorders>
          </w:tcPr>
          <w:p w14:paraId="6216B438" w14:textId="77777777" w:rsidR="00FF4030" w:rsidRPr="00A33264" w:rsidRDefault="00FF4030" w:rsidP="00FF4030">
            <w:pPr>
              <w:pStyle w:val="TableBody"/>
              <w:rPr>
                <w:lang w:val="en-GB"/>
              </w:rPr>
            </w:pPr>
            <w:bookmarkStart w:id="427" w:name="ColumnTitle_Table20"/>
            <w:bookmarkEnd w:id="427"/>
            <w:r w:rsidRPr="00A33264">
              <w:rPr>
                <w:lang w:val="en-GB"/>
              </w:rPr>
              <w:t>Emission source</w:t>
            </w:r>
          </w:p>
        </w:tc>
        <w:tc>
          <w:tcPr>
            <w:tcW w:w="1587" w:type="dxa"/>
            <w:tcBorders>
              <w:top w:val="single" w:sz="4" w:space="0" w:color="6B2876" w:themeColor="text1"/>
              <w:bottom w:val="single" w:sz="4" w:space="0" w:color="6B2876" w:themeColor="text1"/>
            </w:tcBorders>
          </w:tcPr>
          <w:p w14:paraId="1C0CBC43" w14:textId="515DB0F4" w:rsidR="00FF4030" w:rsidRPr="00A33264" w:rsidRDefault="00FF4030" w:rsidP="00BB40DF">
            <w:pPr>
              <w:pStyle w:val="TableBody"/>
              <w:jc w:val="right"/>
              <w:rPr>
                <w:szCs w:val="24"/>
                <w:lang w:val="en-GB"/>
              </w:rPr>
            </w:pPr>
            <w:r w:rsidRPr="000B68E0">
              <w:rPr>
                <w:szCs w:val="24"/>
                <w:lang w:val="en-GB" w:eastAsia="en-AU"/>
              </w:rPr>
              <w:t xml:space="preserve">Scope 1 </w:t>
            </w:r>
            <w:r w:rsidR="00E3517A">
              <w:rPr>
                <w:szCs w:val="24"/>
                <w:lang w:val="en-GB" w:eastAsia="en-AU"/>
              </w:rPr>
              <w:br/>
            </w:r>
            <w:r>
              <w:rPr>
                <w:szCs w:val="24"/>
                <w:lang w:val="en-GB" w:eastAsia="en-AU"/>
              </w:rPr>
              <w:t>t</w:t>
            </w:r>
            <w:r w:rsidRPr="000B68E0">
              <w:rPr>
                <w:szCs w:val="24"/>
                <w:lang w:val="en-GB" w:eastAsia="en-AU"/>
              </w:rPr>
              <w:t xml:space="preserve"> CO</w:t>
            </w:r>
            <w:r w:rsidRPr="000B68E0">
              <w:rPr>
                <w:szCs w:val="24"/>
                <w:vertAlign w:val="subscript"/>
                <w:lang w:val="en-GB" w:eastAsia="en-AU"/>
              </w:rPr>
              <w:t>2</w:t>
            </w:r>
            <w:r w:rsidRPr="000B68E0">
              <w:rPr>
                <w:szCs w:val="24"/>
                <w:lang w:val="en-GB" w:eastAsia="en-AU"/>
              </w:rPr>
              <w:t>-e</w:t>
            </w:r>
          </w:p>
        </w:tc>
        <w:tc>
          <w:tcPr>
            <w:tcW w:w="1587" w:type="dxa"/>
            <w:tcBorders>
              <w:top w:val="single" w:sz="4" w:space="0" w:color="6B2876" w:themeColor="text1"/>
              <w:bottom w:val="single" w:sz="4" w:space="0" w:color="6B2876" w:themeColor="text1"/>
            </w:tcBorders>
          </w:tcPr>
          <w:p w14:paraId="2F9F09BE" w14:textId="125A6D4A" w:rsidR="00FF4030" w:rsidRPr="00A33264" w:rsidRDefault="00FF4030" w:rsidP="00BB40DF">
            <w:pPr>
              <w:pStyle w:val="TableBody"/>
              <w:jc w:val="right"/>
              <w:rPr>
                <w:szCs w:val="24"/>
                <w:lang w:val="en-GB"/>
              </w:rPr>
            </w:pPr>
            <w:r w:rsidRPr="000B68E0">
              <w:rPr>
                <w:szCs w:val="24"/>
                <w:lang w:val="en-GB" w:eastAsia="en-AU"/>
              </w:rPr>
              <w:t xml:space="preserve">Scope 2 </w:t>
            </w:r>
            <w:r w:rsidR="00E3517A">
              <w:rPr>
                <w:szCs w:val="24"/>
                <w:lang w:val="en-GB" w:eastAsia="en-AU"/>
              </w:rPr>
              <w:br/>
            </w:r>
            <w:r>
              <w:rPr>
                <w:szCs w:val="24"/>
                <w:lang w:val="en-GB" w:eastAsia="en-AU"/>
              </w:rPr>
              <w:t>t</w:t>
            </w:r>
            <w:r w:rsidRPr="000B68E0">
              <w:rPr>
                <w:szCs w:val="24"/>
                <w:lang w:val="en-GB" w:eastAsia="en-AU"/>
              </w:rPr>
              <w:t xml:space="preserve"> CO</w:t>
            </w:r>
            <w:r w:rsidRPr="000B68E0">
              <w:rPr>
                <w:szCs w:val="24"/>
                <w:vertAlign w:val="subscript"/>
                <w:lang w:val="en-GB" w:eastAsia="en-AU"/>
              </w:rPr>
              <w:t>2</w:t>
            </w:r>
            <w:r w:rsidRPr="000B68E0">
              <w:rPr>
                <w:szCs w:val="24"/>
                <w:lang w:val="en-GB" w:eastAsia="en-AU"/>
              </w:rPr>
              <w:t>-e</w:t>
            </w:r>
          </w:p>
        </w:tc>
        <w:tc>
          <w:tcPr>
            <w:tcW w:w="1587" w:type="dxa"/>
            <w:tcBorders>
              <w:top w:val="single" w:sz="4" w:space="0" w:color="6B2876" w:themeColor="text1"/>
              <w:bottom w:val="single" w:sz="4" w:space="0" w:color="6B2876" w:themeColor="text1"/>
            </w:tcBorders>
          </w:tcPr>
          <w:p w14:paraId="034588BB" w14:textId="321F71E5" w:rsidR="00FF4030" w:rsidRPr="00A33264" w:rsidRDefault="00FF4030" w:rsidP="00BB40DF">
            <w:pPr>
              <w:pStyle w:val="TableBody"/>
              <w:jc w:val="right"/>
              <w:rPr>
                <w:szCs w:val="24"/>
                <w:lang w:val="en-GB"/>
              </w:rPr>
            </w:pPr>
            <w:r w:rsidRPr="000B68E0">
              <w:rPr>
                <w:szCs w:val="24"/>
                <w:lang w:val="en-GB" w:eastAsia="en-AU"/>
              </w:rPr>
              <w:t xml:space="preserve">Scope 3 </w:t>
            </w:r>
            <w:r w:rsidR="00E3517A">
              <w:rPr>
                <w:szCs w:val="24"/>
                <w:lang w:val="en-GB" w:eastAsia="en-AU"/>
              </w:rPr>
              <w:br/>
            </w:r>
            <w:r>
              <w:rPr>
                <w:szCs w:val="24"/>
                <w:lang w:val="en-GB" w:eastAsia="en-AU"/>
              </w:rPr>
              <w:t xml:space="preserve">t </w:t>
            </w:r>
            <w:r w:rsidRPr="000B68E0">
              <w:rPr>
                <w:szCs w:val="24"/>
                <w:lang w:val="en-GB" w:eastAsia="en-AU"/>
              </w:rPr>
              <w:t>CO</w:t>
            </w:r>
            <w:r w:rsidRPr="000B68E0">
              <w:rPr>
                <w:szCs w:val="24"/>
                <w:vertAlign w:val="subscript"/>
                <w:lang w:val="en-GB" w:eastAsia="en-AU"/>
              </w:rPr>
              <w:t>2</w:t>
            </w:r>
            <w:r w:rsidRPr="000B68E0">
              <w:rPr>
                <w:szCs w:val="24"/>
                <w:lang w:val="en-GB" w:eastAsia="en-AU"/>
              </w:rPr>
              <w:t>-e</w:t>
            </w:r>
          </w:p>
        </w:tc>
        <w:tc>
          <w:tcPr>
            <w:tcW w:w="1587" w:type="dxa"/>
            <w:tcBorders>
              <w:top w:val="single" w:sz="4" w:space="0" w:color="6B2876" w:themeColor="text1"/>
              <w:bottom w:val="single" w:sz="4" w:space="0" w:color="6B2876" w:themeColor="text1"/>
            </w:tcBorders>
          </w:tcPr>
          <w:p w14:paraId="1D9B2515" w14:textId="7347C3CF" w:rsidR="00FF4030" w:rsidRPr="00A33264" w:rsidRDefault="00FF4030" w:rsidP="00BB40DF">
            <w:pPr>
              <w:pStyle w:val="TableBody"/>
              <w:jc w:val="right"/>
              <w:rPr>
                <w:szCs w:val="24"/>
                <w:lang w:val="en-GB"/>
              </w:rPr>
            </w:pPr>
            <w:r>
              <w:rPr>
                <w:szCs w:val="24"/>
                <w:lang w:val="en-GB" w:eastAsia="en-AU"/>
              </w:rPr>
              <w:t>Percentage of electricity used</w:t>
            </w:r>
          </w:p>
        </w:tc>
      </w:tr>
      <w:tr w:rsidR="00FF4030" w:rsidRPr="00A33264" w14:paraId="5D216745" w14:textId="77777777">
        <w:trPr>
          <w:cnfStyle w:val="000000100000" w:firstRow="0" w:lastRow="0" w:firstColumn="0" w:lastColumn="0" w:oddVBand="0" w:evenVBand="0" w:oddHBand="1" w:evenHBand="0" w:firstRowFirstColumn="0" w:firstRowLastColumn="0" w:lastRowFirstColumn="0" w:lastRowLastColumn="0"/>
          <w:cantSplit/>
        </w:trPr>
        <w:tc>
          <w:tcPr>
            <w:tcW w:w="2835" w:type="dxa"/>
          </w:tcPr>
          <w:p w14:paraId="321DA8F6" w14:textId="13EC5C62" w:rsidR="00FF4030" w:rsidRPr="00FF4030" w:rsidRDefault="00FF4030" w:rsidP="00FF4030">
            <w:pPr>
              <w:pStyle w:val="TableBody"/>
              <w:rPr>
                <w:szCs w:val="24"/>
                <w:lang w:val="en-GB"/>
              </w:rPr>
            </w:pPr>
            <w:r w:rsidRPr="0048161A">
              <w:rPr>
                <w:szCs w:val="24"/>
              </w:rPr>
              <w:t>Electricity (</w:t>
            </w:r>
            <w:r w:rsidR="00605AEF">
              <w:rPr>
                <w:szCs w:val="24"/>
              </w:rPr>
              <w:t>l</w:t>
            </w:r>
            <w:r w:rsidR="00605AEF" w:rsidRPr="0048161A">
              <w:rPr>
                <w:szCs w:val="24"/>
              </w:rPr>
              <w:t>ocation-based</w:t>
            </w:r>
            <w:r w:rsidRPr="0048161A">
              <w:rPr>
                <w:szCs w:val="24"/>
              </w:rPr>
              <w:t xml:space="preserve"> </w:t>
            </w:r>
            <w:r w:rsidR="00E3517A">
              <w:rPr>
                <w:szCs w:val="24"/>
              </w:rPr>
              <w:t>a</w:t>
            </w:r>
            <w:r w:rsidRPr="0048161A">
              <w:rPr>
                <w:szCs w:val="24"/>
              </w:rPr>
              <w:t>pproach)</w:t>
            </w:r>
          </w:p>
        </w:tc>
        <w:tc>
          <w:tcPr>
            <w:tcW w:w="1587" w:type="dxa"/>
          </w:tcPr>
          <w:p w14:paraId="36E7BCE2" w14:textId="2DAE276D" w:rsidR="00FF4030" w:rsidRPr="00E31719" w:rsidRDefault="00FF4030" w:rsidP="00FF4030">
            <w:pPr>
              <w:pStyle w:val="TableBody"/>
              <w:jc w:val="right"/>
              <w:rPr>
                <w:szCs w:val="24"/>
                <w:lang w:val="en-GB"/>
              </w:rPr>
            </w:pPr>
            <w:r w:rsidRPr="00853EEC">
              <w:t>2,131.428</w:t>
            </w:r>
          </w:p>
        </w:tc>
        <w:tc>
          <w:tcPr>
            <w:tcW w:w="1587" w:type="dxa"/>
          </w:tcPr>
          <w:p w14:paraId="734609EF" w14:textId="0D2B3C05" w:rsidR="00FF4030" w:rsidRPr="00E31719" w:rsidRDefault="00FF4030" w:rsidP="00FF4030">
            <w:pPr>
              <w:pStyle w:val="TableBody"/>
              <w:jc w:val="right"/>
              <w:rPr>
                <w:b/>
                <w:bCs/>
                <w:szCs w:val="24"/>
                <w:lang w:val="en-GB"/>
              </w:rPr>
            </w:pPr>
            <w:r w:rsidRPr="00853EEC">
              <w:t>215.158</w:t>
            </w:r>
          </w:p>
        </w:tc>
        <w:tc>
          <w:tcPr>
            <w:tcW w:w="1587" w:type="dxa"/>
          </w:tcPr>
          <w:p w14:paraId="60F7FBE0" w14:textId="4EAA40DD" w:rsidR="00FF4030" w:rsidRPr="00E31719" w:rsidRDefault="00FF4030" w:rsidP="00FF4030">
            <w:pPr>
              <w:pStyle w:val="TableBody"/>
              <w:jc w:val="right"/>
              <w:rPr>
                <w:szCs w:val="24"/>
                <w:lang w:val="en-GB"/>
              </w:rPr>
            </w:pPr>
            <w:r w:rsidRPr="00853EEC">
              <w:t>2,346.586</w:t>
            </w:r>
          </w:p>
        </w:tc>
        <w:tc>
          <w:tcPr>
            <w:tcW w:w="1587" w:type="dxa"/>
          </w:tcPr>
          <w:p w14:paraId="2486A980" w14:textId="74874F33" w:rsidR="00FF4030" w:rsidRPr="00E31719" w:rsidRDefault="00FF4030" w:rsidP="00FF4030">
            <w:pPr>
              <w:pStyle w:val="TableBody"/>
              <w:jc w:val="right"/>
              <w:rPr>
                <w:szCs w:val="24"/>
                <w:lang w:val="en-GB"/>
              </w:rPr>
            </w:pPr>
            <w:r w:rsidRPr="00853EEC">
              <w:t>100.00%</w:t>
            </w:r>
          </w:p>
        </w:tc>
      </w:tr>
      <w:tr w:rsidR="00FF4030" w:rsidRPr="00A33264" w14:paraId="1D9558FA" w14:textId="77777777">
        <w:trPr>
          <w:cantSplit/>
        </w:trPr>
        <w:tc>
          <w:tcPr>
            <w:tcW w:w="2835" w:type="dxa"/>
            <w:shd w:val="clear" w:color="auto" w:fill="auto"/>
          </w:tcPr>
          <w:p w14:paraId="65839EC0" w14:textId="05F64D78" w:rsidR="00FF4030" w:rsidRPr="00A33264" w:rsidRDefault="00FF4030" w:rsidP="00FF4030">
            <w:pPr>
              <w:pStyle w:val="TableBody"/>
              <w:rPr>
                <w:szCs w:val="24"/>
                <w:lang w:val="en-GB"/>
              </w:rPr>
            </w:pPr>
            <w:r w:rsidRPr="0048161A">
              <w:rPr>
                <w:szCs w:val="24"/>
              </w:rPr>
              <w:t>Market-based electricity emissions</w:t>
            </w:r>
          </w:p>
        </w:tc>
        <w:tc>
          <w:tcPr>
            <w:tcW w:w="1587" w:type="dxa"/>
          </w:tcPr>
          <w:p w14:paraId="056E200B" w14:textId="5506A479" w:rsidR="00FF4030" w:rsidRPr="00E31719" w:rsidRDefault="00FF4030" w:rsidP="00FF4030">
            <w:pPr>
              <w:pStyle w:val="TableBody"/>
              <w:jc w:val="right"/>
              <w:rPr>
                <w:szCs w:val="24"/>
                <w:lang w:val="en-GB"/>
              </w:rPr>
            </w:pPr>
            <w:r w:rsidRPr="00853EEC">
              <w:t>1,810.831</w:t>
            </w:r>
          </w:p>
        </w:tc>
        <w:tc>
          <w:tcPr>
            <w:tcW w:w="1587" w:type="dxa"/>
          </w:tcPr>
          <w:p w14:paraId="6CCFF5DF" w14:textId="7AE0926A" w:rsidR="00FF4030" w:rsidRPr="00E31719" w:rsidRDefault="00FF4030" w:rsidP="00FF4030">
            <w:pPr>
              <w:pStyle w:val="TableBody"/>
              <w:jc w:val="right"/>
              <w:rPr>
                <w:szCs w:val="24"/>
                <w:lang w:val="en-GB"/>
              </w:rPr>
            </w:pPr>
            <w:r w:rsidRPr="00853EEC">
              <w:t>223.559</w:t>
            </w:r>
          </w:p>
        </w:tc>
        <w:tc>
          <w:tcPr>
            <w:tcW w:w="1587" w:type="dxa"/>
          </w:tcPr>
          <w:p w14:paraId="01186ED7" w14:textId="145DF242" w:rsidR="00FF4030" w:rsidRPr="00E31719" w:rsidRDefault="00FF4030" w:rsidP="00FF4030">
            <w:pPr>
              <w:pStyle w:val="TableBody"/>
              <w:jc w:val="right"/>
              <w:rPr>
                <w:szCs w:val="24"/>
                <w:lang w:val="en-GB"/>
              </w:rPr>
            </w:pPr>
            <w:r w:rsidRPr="00853EEC">
              <w:t>2,034.391</w:t>
            </w:r>
          </w:p>
        </w:tc>
        <w:tc>
          <w:tcPr>
            <w:tcW w:w="1587" w:type="dxa"/>
          </w:tcPr>
          <w:p w14:paraId="2160E747" w14:textId="73238A4B" w:rsidR="00FF4030" w:rsidRPr="00E31719" w:rsidRDefault="00FF4030" w:rsidP="00FF4030">
            <w:pPr>
              <w:pStyle w:val="TableBody"/>
              <w:jc w:val="right"/>
              <w:rPr>
                <w:szCs w:val="24"/>
                <w:lang w:val="en-GB"/>
              </w:rPr>
            </w:pPr>
            <w:r w:rsidRPr="00853EEC">
              <w:t>71.70%</w:t>
            </w:r>
          </w:p>
        </w:tc>
      </w:tr>
      <w:tr w:rsidR="00FF4030" w:rsidRPr="00A33264" w14:paraId="55F6ADFD" w14:textId="77777777">
        <w:trPr>
          <w:cnfStyle w:val="000000100000" w:firstRow="0" w:lastRow="0" w:firstColumn="0" w:lastColumn="0" w:oddVBand="0" w:evenVBand="0" w:oddHBand="1" w:evenHBand="0" w:firstRowFirstColumn="0" w:firstRowLastColumn="0" w:lastRowFirstColumn="0" w:lastRowLastColumn="0"/>
          <w:cantSplit/>
        </w:trPr>
        <w:tc>
          <w:tcPr>
            <w:tcW w:w="2835" w:type="dxa"/>
          </w:tcPr>
          <w:p w14:paraId="0583270F" w14:textId="357D418E" w:rsidR="00FF4030" w:rsidRPr="00A33264" w:rsidRDefault="00FF4030" w:rsidP="00FF4030">
            <w:pPr>
              <w:pStyle w:val="TableBody"/>
              <w:rPr>
                <w:szCs w:val="24"/>
                <w:lang w:val="en-GB"/>
              </w:rPr>
            </w:pPr>
            <w:r w:rsidRPr="000B68E0">
              <w:rPr>
                <w:color w:val="000000"/>
                <w:szCs w:val="24"/>
                <w:lang w:val="en-GB" w:eastAsia="en-AU"/>
              </w:rPr>
              <w:t>Total renewable electricity</w:t>
            </w:r>
          </w:p>
        </w:tc>
        <w:tc>
          <w:tcPr>
            <w:tcW w:w="1587" w:type="dxa"/>
          </w:tcPr>
          <w:p w14:paraId="137E1712" w14:textId="7A45512F" w:rsidR="00FF4030" w:rsidRPr="00E31719" w:rsidRDefault="0002789D" w:rsidP="00FF4030">
            <w:pPr>
              <w:pStyle w:val="TableBody"/>
              <w:jc w:val="right"/>
              <w:rPr>
                <w:szCs w:val="24"/>
                <w:lang w:val="en-GB"/>
              </w:rPr>
            </w:pPr>
            <w:r>
              <w:rPr>
                <w:szCs w:val="24"/>
                <w:lang w:val="en-GB"/>
              </w:rPr>
              <w:t>N/A</w:t>
            </w:r>
          </w:p>
        </w:tc>
        <w:tc>
          <w:tcPr>
            <w:tcW w:w="1587" w:type="dxa"/>
          </w:tcPr>
          <w:p w14:paraId="6747DA9A" w14:textId="50486279" w:rsidR="00FF4030" w:rsidRPr="00E31719" w:rsidRDefault="0002789D" w:rsidP="00FF4030">
            <w:pPr>
              <w:pStyle w:val="TableBody"/>
              <w:jc w:val="right"/>
              <w:rPr>
                <w:szCs w:val="24"/>
                <w:lang w:val="en-GB"/>
              </w:rPr>
            </w:pPr>
            <w:r>
              <w:rPr>
                <w:szCs w:val="24"/>
                <w:lang w:val="en-GB"/>
              </w:rPr>
              <w:t>N/A</w:t>
            </w:r>
          </w:p>
        </w:tc>
        <w:tc>
          <w:tcPr>
            <w:tcW w:w="1587" w:type="dxa"/>
          </w:tcPr>
          <w:p w14:paraId="4A9A2BF6" w14:textId="03F6931A" w:rsidR="00FF4030" w:rsidRPr="00E31719" w:rsidRDefault="0002789D" w:rsidP="00FF4030">
            <w:pPr>
              <w:pStyle w:val="TableBody"/>
              <w:jc w:val="right"/>
              <w:rPr>
                <w:szCs w:val="24"/>
                <w:lang w:val="en-GB"/>
              </w:rPr>
            </w:pPr>
            <w:r>
              <w:rPr>
                <w:szCs w:val="24"/>
                <w:lang w:val="en-GB"/>
              </w:rPr>
              <w:t>N/A</w:t>
            </w:r>
          </w:p>
        </w:tc>
        <w:tc>
          <w:tcPr>
            <w:tcW w:w="1587" w:type="dxa"/>
          </w:tcPr>
          <w:p w14:paraId="17954EA4" w14:textId="5846D46E" w:rsidR="00FF4030" w:rsidRPr="00E31719" w:rsidRDefault="00FF4030" w:rsidP="00FF4030">
            <w:pPr>
              <w:pStyle w:val="TableBody"/>
              <w:jc w:val="right"/>
              <w:rPr>
                <w:szCs w:val="24"/>
                <w:lang w:val="en-GB"/>
              </w:rPr>
            </w:pPr>
            <w:r w:rsidRPr="00853EEC">
              <w:t>28.30%</w:t>
            </w:r>
          </w:p>
        </w:tc>
      </w:tr>
      <w:tr w:rsidR="00FF4030" w:rsidRPr="00A33264" w14:paraId="5C67B1B9" w14:textId="77777777">
        <w:trPr>
          <w:cantSplit/>
        </w:trPr>
        <w:tc>
          <w:tcPr>
            <w:tcW w:w="2835" w:type="dxa"/>
          </w:tcPr>
          <w:p w14:paraId="737D9687" w14:textId="7D6A446B" w:rsidR="00FF4030" w:rsidRPr="004F3EEB" w:rsidRDefault="00FF4030" w:rsidP="00BB40DF">
            <w:pPr>
              <w:pStyle w:val="TableBody"/>
              <w:rPr>
                <w:szCs w:val="24"/>
                <w:lang w:val="en-GB"/>
              </w:rPr>
            </w:pPr>
            <w:r w:rsidRPr="0095060C">
              <w:rPr>
                <w:i/>
                <w:iCs/>
                <w:color w:val="000000"/>
                <w:szCs w:val="24"/>
                <w:lang w:val="en-GB" w:eastAsia="en-AU"/>
              </w:rPr>
              <w:t>Mandatory renewables</w:t>
            </w:r>
            <w:r w:rsidR="00D920EE">
              <w:rPr>
                <w:i/>
                <w:iCs/>
                <w:color w:val="000000"/>
                <w:szCs w:val="24"/>
                <w:lang w:val="en-GB" w:eastAsia="en-AU"/>
              </w:rPr>
              <w:t xml:space="preserve"> </w:t>
            </w:r>
            <w:r w:rsidR="004F3EEB" w:rsidRPr="004F3EEB">
              <w:rPr>
                <w:i/>
                <w:iCs/>
                <w:color w:val="000000"/>
                <w:szCs w:val="24"/>
                <w:vertAlign w:val="superscript"/>
                <w:lang w:val="en-GB" w:eastAsia="en-AU"/>
              </w:rPr>
              <w:t>a</w:t>
            </w:r>
          </w:p>
        </w:tc>
        <w:tc>
          <w:tcPr>
            <w:tcW w:w="1587" w:type="dxa"/>
          </w:tcPr>
          <w:p w14:paraId="3404AE28" w14:textId="25760970" w:rsidR="00FF4030" w:rsidRPr="00E2624C" w:rsidRDefault="0002789D" w:rsidP="00FF4030">
            <w:pPr>
              <w:pStyle w:val="TableBody"/>
              <w:jc w:val="right"/>
              <w:rPr>
                <w:i/>
                <w:lang w:val="en-GB"/>
              </w:rPr>
            </w:pPr>
            <w:r w:rsidRPr="0002789D">
              <w:rPr>
                <w:i/>
                <w:iCs/>
                <w:szCs w:val="24"/>
                <w:lang w:val="en-GB"/>
              </w:rPr>
              <w:t>N/A</w:t>
            </w:r>
          </w:p>
        </w:tc>
        <w:tc>
          <w:tcPr>
            <w:tcW w:w="1587" w:type="dxa"/>
          </w:tcPr>
          <w:p w14:paraId="329A0AC6" w14:textId="3C54E1FB" w:rsidR="00FF4030" w:rsidRPr="00E2624C" w:rsidRDefault="0002789D" w:rsidP="00FF4030">
            <w:pPr>
              <w:pStyle w:val="TableBody"/>
              <w:jc w:val="right"/>
              <w:rPr>
                <w:i/>
                <w:lang w:val="en-GB"/>
              </w:rPr>
            </w:pPr>
            <w:r w:rsidRPr="0002789D">
              <w:rPr>
                <w:i/>
                <w:iCs/>
                <w:szCs w:val="24"/>
                <w:lang w:val="en-GB"/>
              </w:rPr>
              <w:t>N/A</w:t>
            </w:r>
          </w:p>
        </w:tc>
        <w:tc>
          <w:tcPr>
            <w:tcW w:w="1587" w:type="dxa"/>
          </w:tcPr>
          <w:p w14:paraId="5A9C2A64" w14:textId="1F6E414A" w:rsidR="00FF4030" w:rsidRPr="00E2624C" w:rsidRDefault="0002789D" w:rsidP="00FF4030">
            <w:pPr>
              <w:pStyle w:val="TableBody"/>
              <w:jc w:val="right"/>
              <w:rPr>
                <w:i/>
                <w:lang w:val="en-GB"/>
              </w:rPr>
            </w:pPr>
            <w:r w:rsidRPr="0002789D">
              <w:rPr>
                <w:i/>
                <w:iCs/>
                <w:szCs w:val="24"/>
                <w:lang w:val="en-GB"/>
              </w:rPr>
              <w:t>N/A</w:t>
            </w:r>
          </w:p>
        </w:tc>
        <w:tc>
          <w:tcPr>
            <w:tcW w:w="1587" w:type="dxa"/>
          </w:tcPr>
          <w:p w14:paraId="34131DB7" w14:textId="6D05C90B" w:rsidR="00FF4030" w:rsidRPr="00E2624C" w:rsidRDefault="00FF4030" w:rsidP="00FF4030">
            <w:pPr>
              <w:pStyle w:val="TableBody"/>
              <w:jc w:val="right"/>
              <w:rPr>
                <w:i/>
                <w:lang w:val="en-GB"/>
              </w:rPr>
            </w:pPr>
            <w:r w:rsidRPr="00E2624C">
              <w:rPr>
                <w:i/>
              </w:rPr>
              <w:t>18.72%</w:t>
            </w:r>
          </w:p>
        </w:tc>
      </w:tr>
      <w:tr w:rsidR="00FF4030" w:rsidRPr="00A33264" w14:paraId="2EFE6A3F" w14:textId="77777777">
        <w:trPr>
          <w:cnfStyle w:val="000000100000" w:firstRow="0" w:lastRow="0" w:firstColumn="0" w:lastColumn="0" w:oddVBand="0" w:evenVBand="0" w:oddHBand="1" w:evenHBand="0" w:firstRowFirstColumn="0" w:firstRowLastColumn="0" w:lastRowFirstColumn="0" w:lastRowLastColumn="0"/>
          <w:cantSplit/>
        </w:trPr>
        <w:tc>
          <w:tcPr>
            <w:tcW w:w="2835" w:type="dxa"/>
          </w:tcPr>
          <w:p w14:paraId="1119E18C" w14:textId="70CFC949" w:rsidR="00FF4030" w:rsidRPr="00A33264" w:rsidRDefault="00FF4030" w:rsidP="00BB40DF">
            <w:pPr>
              <w:pStyle w:val="TableBody"/>
              <w:rPr>
                <w:szCs w:val="24"/>
                <w:lang w:val="en-GB"/>
              </w:rPr>
            </w:pPr>
            <w:r w:rsidRPr="0095060C">
              <w:rPr>
                <w:i/>
                <w:iCs/>
                <w:color w:val="000000"/>
                <w:szCs w:val="24"/>
                <w:lang w:val="en-GB" w:eastAsia="en-AU"/>
              </w:rPr>
              <w:t>Voluntary renewables</w:t>
            </w:r>
            <w:r w:rsidR="00D920EE">
              <w:rPr>
                <w:i/>
                <w:iCs/>
                <w:color w:val="000000"/>
                <w:szCs w:val="24"/>
                <w:lang w:val="en-GB" w:eastAsia="en-AU"/>
              </w:rPr>
              <w:t xml:space="preserve"> </w:t>
            </w:r>
            <w:r w:rsidR="00B17998" w:rsidRPr="00B17998">
              <w:rPr>
                <w:i/>
                <w:iCs/>
                <w:color w:val="000000"/>
                <w:szCs w:val="24"/>
                <w:vertAlign w:val="superscript"/>
                <w:lang w:val="en-GB" w:eastAsia="en-AU"/>
              </w:rPr>
              <w:t>b</w:t>
            </w:r>
          </w:p>
        </w:tc>
        <w:tc>
          <w:tcPr>
            <w:tcW w:w="1587" w:type="dxa"/>
          </w:tcPr>
          <w:p w14:paraId="28EE7B72" w14:textId="63CB64F6" w:rsidR="00FF4030" w:rsidRPr="00E2624C" w:rsidRDefault="0002789D" w:rsidP="00FF4030">
            <w:pPr>
              <w:pStyle w:val="TableBody"/>
              <w:jc w:val="right"/>
              <w:rPr>
                <w:i/>
                <w:lang w:val="en-GB"/>
              </w:rPr>
            </w:pPr>
            <w:r w:rsidRPr="0002789D">
              <w:rPr>
                <w:i/>
                <w:iCs/>
                <w:szCs w:val="24"/>
                <w:lang w:val="en-GB"/>
              </w:rPr>
              <w:t>N/A</w:t>
            </w:r>
          </w:p>
        </w:tc>
        <w:tc>
          <w:tcPr>
            <w:tcW w:w="1587" w:type="dxa"/>
          </w:tcPr>
          <w:p w14:paraId="6002981B" w14:textId="0CED0A3C" w:rsidR="00FF4030" w:rsidRPr="00E2624C" w:rsidRDefault="0002789D" w:rsidP="00FF4030">
            <w:pPr>
              <w:pStyle w:val="TableBody"/>
              <w:jc w:val="right"/>
              <w:rPr>
                <w:i/>
                <w:lang w:val="en-GB"/>
              </w:rPr>
            </w:pPr>
            <w:r w:rsidRPr="0002789D">
              <w:rPr>
                <w:i/>
                <w:iCs/>
                <w:szCs w:val="24"/>
                <w:lang w:val="en-GB"/>
              </w:rPr>
              <w:t>N/A</w:t>
            </w:r>
          </w:p>
        </w:tc>
        <w:tc>
          <w:tcPr>
            <w:tcW w:w="1587" w:type="dxa"/>
          </w:tcPr>
          <w:p w14:paraId="5E923FE3" w14:textId="7CAE639B" w:rsidR="00FF4030" w:rsidRPr="00E2624C" w:rsidRDefault="0002789D" w:rsidP="00FF4030">
            <w:pPr>
              <w:pStyle w:val="TableBody"/>
              <w:jc w:val="right"/>
              <w:rPr>
                <w:i/>
                <w:lang w:val="en-GB"/>
              </w:rPr>
            </w:pPr>
            <w:r w:rsidRPr="0002789D">
              <w:rPr>
                <w:i/>
                <w:iCs/>
                <w:szCs w:val="24"/>
                <w:lang w:val="en-GB"/>
              </w:rPr>
              <w:t>N/A</w:t>
            </w:r>
          </w:p>
        </w:tc>
        <w:tc>
          <w:tcPr>
            <w:tcW w:w="1587" w:type="dxa"/>
          </w:tcPr>
          <w:p w14:paraId="2BA9DFE0" w14:textId="735BE09E" w:rsidR="00FF4030" w:rsidRPr="00E2624C" w:rsidRDefault="00FF4030" w:rsidP="00FF4030">
            <w:pPr>
              <w:pStyle w:val="TableBody"/>
              <w:jc w:val="right"/>
              <w:rPr>
                <w:i/>
                <w:lang w:val="en-GB"/>
              </w:rPr>
            </w:pPr>
            <w:r w:rsidRPr="00E2624C">
              <w:rPr>
                <w:i/>
              </w:rPr>
              <w:t>9.58%</w:t>
            </w:r>
          </w:p>
        </w:tc>
      </w:tr>
    </w:tbl>
    <w:p w14:paraId="731B7218" w14:textId="0C346A88" w:rsidR="00FF4030" w:rsidRDefault="004E416F" w:rsidP="00FF4030">
      <w:pPr>
        <w:pStyle w:val="Tablenote"/>
        <w:rPr>
          <w:lang w:eastAsia="en-AU"/>
        </w:rPr>
      </w:pPr>
      <w:r>
        <w:rPr>
          <w:lang w:eastAsia="en-AU"/>
        </w:rPr>
        <w:t>N</w:t>
      </w:r>
      <w:r w:rsidR="00FF4030">
        <w:rPr>
          <w:lang w:eastAsia="en-AU"/>
        </w:rPr>
        <w:t>otes:</w:t>
      </w:r>
      <w:r>
        <w:rPr>
          <w:lang w:eastAsia="en-AU"/>
        </w:rPr>
        <w:t xml:space="preserve"> </w:t>
      </w:r>
      <w:r w:rsidR="00FF4030">
        <w:rPr>
          <w:lang w:eastAsia="en-AU"/>
        </w:rPr>
        <w:t xml:space="preserve">t </w:t>
      </w:r>
      <w:r w:rsidR="00FF4030" w:rsidRPr="00A33264">
        <w:rPr>
          <w:lang w:eastAsia="en-AU"/>
        </w:rPr>
        <w:t>CO</w:t>
      </w:r>
      <w:r w:rsidR="00FF4030" w:rsidRPr="00A33264">
        <w:rPr>
          <w:vertAlign w:val="subscript"/>
          <w:lang w:eastAsia="en-AU"/>
        </w:rPr>
        <w:t>2</w:t>
      </w:r>
      <w:r w:rsidR="00FF4030" w:rsidRPr="00A33264">
        <w:rPr>
          <w:lang w:eastAsia="en-AU"/>
        </w:rPr>
        <w:t>-e</w:t>
      </w:r>
      <w:r w:rsidR="00FF4030">
        <w:rPr>
          <w:lang w:eastAsia="en-AU"/>
        </w:rPr>
        <w:t xml:space="preserve"> = tonne carbon dioxide equivalent</w:t>
      </w:r>
      <w:r w:rsidR="001373F0">
        <w:rPr>
          <w:lang w:eastAsia="en-AU"/>
        </w:rPr>
        <w:t>.</w:t>
      </w:r>
    </w:p>
    <w:p w14:paraId="33AC52D1" w14:textId="34CC3274" w:rsidR="00B17998" w:rsidRDefault="00893BDC" w:rsidP="00FF4030">
      <w:pPr>
        <w:pStyle w:val="Tablenote"/>
        <w:rPr>
          <w:lang w:val="en-AU" w:eastAsia="en-AU"/>
        </w:rPr>
      </w:pPr>
      <w:r>
        <w:rPr>
          <w:vertAlign w:val="superscript"/>
          <w:lang w:val="en-AU" w:eastAsia="en-AU"/>
        </w:rPr>
        <w:t xml:space="preserve">a </w:t>
      </w:r>
      <w:r w:rsidRPr="00893BDC">
        <w:rPr>
          <w:lang w:val="en-AU" w:eastAsia="en-AU"/>
        </w:rPr>
        <w:t>Mandatory renewables are the portion of electricity consumed from the grid that is generated by renewable sources. This includes the renewable power percentage.</w:t>
      </w:r>
    </w:p>
    <w:p w14:paraId="74610909" w14:textId="259C986A" w:rsidR="00893BDC" w:rsidRDefault="008C010B" w:rsidP="00FF4030">
      <w:pPr>
        <w:pStyle w:val="Tablenote"/>
        <w:rPr>
          <w:lang w:eastAsia="en-AU"/>
        </w:rPr>
      </w:pPr>
      <w:r w:rsidRPr="008C010B">
        <w:rPr>
          <w:vertAlign w:val="superscript"/>
          <w:lang w:val="en-AU" w:eastAsia="en-AU"/>
        </w:rPr>
        <w:t>b</w:t>
      </w:r>
      <w:r>
        <w:rPr>
          <w:vertAlign w:val="superscript"/>
          <w:lang w:val="en-AU" w:eastAsia="en-AU"/>
        </w:rPr>
        <w:t xml:space="preserve"> </w:t>
      </w:r>
      <w:r w:rsidRPr="008C010B">
        <w:rPr>
          <w:lang w:val="en-AU" w:eastAsia="en-AU"/>
        </w:rPr>
        <w:t>Voluntary renewables reflect the eligible carbon credit units surrendered by the entity. This may include purchased large-scale generation certificates, power purchasing agreements, GreenPower and the jurisdictional renewable power percentage (ACT only).</w:t>
      </w:r>
    </w:p>
    <w:p w14:paraId="3A081FC4" w14:textId="1AFB6F3F" w:rsidR="00FF4030" w:rsidRDefault="00FF4030" w:rsidP="00FF4030">
      <w:pPr>
        <w:spacing w:before="60" w:after="120" w:line="240" w:lineRule="auto"/>
        <w:rPr>
          <w:rFonts w:cs="Arial"/>
          <w:sz w:val="20"/>
          <w:szCs w:val="20"/>
          <w:lang w:val="en-GB"/>
        </w:rPr>
      </w:pPr>
      <w:r>
        <w:rPr>
          <w:rFonts w:cs="Arial"/>
          <w:sz w:val="20"/>
          <w:szCs w:val="20"/>
          <w:lang w:val="en-GB"/>
        </w:rPr>
        <w:t>T</w:t>
      </w:r>
      <w:r w:rsidRPr="00B329ED">
        <w:rPr>
          <w:rFonts w:cs="Arial"/>
          <w:sz w:val="20"/>
          <w:szCs w:val="20"/>
          <w:lang w:val="en-GB"/>
        </w:rPr>
        <w:t>he table above presents emissions related to electricity usage using both the location-based and the market-based accounting methods.</w:t>
      </w:r>
    </w:p>
    <w:p w14:paraId="64749FB9" w14:textId="5053D291" w:rsidR="00255A26" w:rsidRPr="00A33264" w:rsidRDefault="00255A26" w:rsidP="00255A26">
      <w:pPr>
        <w:pStyle w:val="Heading3"/>
        <w:rPr>
          <w:lang w:val="en-GB"/>
        </w:rPr>
      </w:pPr>
      <w:bookmarkStart w:id="428" w:name="_Toc175316921"/>
      <w:bookmarkStart w:id="429" w:name="_Toc176786412"/>
      <w:bookmarkStart w:id="430" w:name="_Toc180505694"/>
      <w:r w:rsidRPr="00A33264">
        <w:rPr>
          <w:lang w:val="en-GB"/>
        </w:rPr>
        <w:t>Compliance with Carer Recognition Act</w:t>
      </w:r>
      <w:bookmarkEnd w:id="425"/>
      <w:bookmarkEnd w:id="426"/>
      <w:bookmarkEnd w:id="428"/>
      <w:bookmarkEnd w:id="429"/>
      <w:bookmarkEnd w:id="430"/>
    </w:p>
    <w:p w14:paraId="091379C6" w14:textId="2B8AA49B" w:rsidR="00F14787" w:rsidRPr="00A33264" w:rsidRDefault="00F14787" w:rsidP="00F14787">
      <w:pPr>
        <w:rPr>
          <w:lang w:val="en-GB"/>
        </w:rPr>
      </w:pPr>
      <w:r w:rsidRPr="00A33264">
        <w:rPr>
          <w:lang w:val="en-GB"/>
        </w:rPr>
        <w:t xml:space="preserve">Through the </w:t>
      </w:r>
      <w:r w:rsidRPr="00A33264">
        <w:rPr>
          <w:i/>
          <w:iCs/>
          <w:lang w:val="en-GB"/>
        </w:rPr>
        <w:t>Carer Recognition Act 2010</w:t>
      </w:r>
      <w:r w:rsidR="004E416F">
        <w:rPr>
          <w:lang w:val="en-GB"/>
        </w:rPr>
        <w:t xml:space="preserve"> (Cth)</w:t>
      </w:r>
      <w:r w:rsidRPr="00A33264">
        <w:rPr>
          <w:lang w:val="en-GB"/>
        </w:rPr>
        <w:t xml:space="preserve">, the Australian Government recognises the exceptional contribution made by unpaid carers. The </w:t>
      </w:r>
      <w:r w:rsidR="00993D6D" w:rsidRPr="00A33264">
        <w:rPr>
          <w:lang w:val="en-GB"/>
        </w:rPr>
        <w:t>Act</w:t>
      </w:r>
      <w:r w:rsidR="00847144" w:rsidRPr="00A33264">
        <w:rPr>
          <w:lang w:val="en-GB"/>
        </w:rPr>
        <w:t xml:space="preserve"> </w:t>
      </w:r>
      <w:r w:rsidRPr="00A33264">
        <w:rPr>
          <w:lang w:val="en-GB"/>
        </w:rPr>
        <w:t xml:space="preserve">stipulates that carers should have the same rights, choices and opportunities as other Australians. </w:t>
      </w:r>
    </w:p>
    <w:p w14:paraId="4B336257" w14:textId="77777777" w:rsidR="00F14787" w:rsidRPr="00A33264" w:rsidRDefault="00F14787" w:rsidP="00F14787">
      <w:pPr>
        <w:rPr>
          <w:lang w:val="en-GB"/>
        </w:rPr>
      </w:pPr>
      <w:r w:rsidRPr="00A33264">
        <w:rPr>
          <w:lang w:val="en-GB"/>
        </w:rPr>
        <w:t xml:space="preserve">The NDIA strives to be an inclusive organisation that supports staff who have caring responsibilities. The NDIA implements initiatives to align with celebrations of Carers Week. The NDIA provides a range of resources for staff who are carers, including information about flexible working arrangements and wellbeing supports. </w:t>
      </w:r>
    </w:p>
    <w:p w14:paraId="1417DC17" w14:textId="4698AEA4" w:rsidR="00255A26" w:rsidRPr="00A33264" w:rsidRDefault="00F14787" w:rsidP="00F14787">
      <w:pPr>
        <w:rPr>
          <w:lang w:val="en-GB"/>
        </w:rPr>
      </w:pPr>
      <w:r w:rsidRPr="00A33264">
        <w:rPr>
          <w:lang w:val="en-GB"/>
        </w:rPr>
        <w:t xml:space="preserve">The NDIA consults with carer organisations to develop support mechanisms and implement reforms. Consultation ensures programs and services continue to consider the needs of carers in addition to those of people with disability and meet the requirements of the </w:t>
      </w:r>
      <w:r w:rsidR="00993D6D" w:rsidRPr="00A33264">
        <w:rPr>
          <w:lang w:val="en-GB"/>
        </w:rPr>
        <w:t>Act</w:t>
      </w:r>
      <w:r w:rsidRPr="00A33264">
        <w:rPr>
          <w:lang w:val="en-GB"/>
        </w:rPr>
        <w:t>.</w:t>
      </w:r>
    </w:p>
    <w:p w14:paraId="49F0E054" w14:textId="733E0D18" w:rsidR="00AD5075" w:rsidRDefault="00AD5075" w:rsidP="003131F3">
      <w:pPr>
        <w:pStyle w:val="Heading5"/>
        <w:rPr>
          <w:lang w:val="en-GB"/>
        </w:rPr>
      </w:pPr>
      <w:bookmarkStart w:id="431" w:name="_Toc169593021"/>
      <w:r>
        <w:rPr>
          <w:lang w:val="en-GB"/>
        </w:rPr>
        <w:lastRenderedPageBreak/>
        <w:t>Awareness and understanding</w:t>
      </w:r>
    </w:p>
    <w:p w14:paraId="0DD14BED" w14:textId="53FABAC4" w:rsidR="00096E39" w:rsidRPr="00A33264" w:rsidRDefault="00096E39" w:rsidP="00AD517E">
      <w:pPr>
        <w:rPr>
          <w:b/>
          <w:bCs/>
          <w:lang w:val="en-GB"/>
        </w:rPr>
      </w:pPr>
      <w:r w:rsidRPr="00A33264">
        <w:rPr>
          <w:b/>
          <w:bCs/>
          <w:lang w:val="en-GB"/>
        </w:rPr>
        <w:t>Subsection 7(1)</w:t>
      </w:r>
      <w:bookmarkEnd w:id="431"/>
      <w:r w:rsidR="003D0846" w:rsidRPr="00A33264">
        <w:rPr>
          <w:b/>
          <w:bCs/>
          <w:lang w:val="en-GB"/>
        </w:rPr>
        <w:t xml:space="preserve"> </w:t>
      </w:r>
      <w:r w:rsidR="00993D6D" w:rsidRPr="00A33264">
        <w:rPr>
          <w:b/>
          <w:bCs/>
          <w:lang w:val="en-GB"/>
        </w:rPr>
        <w:t xml:space="preserve">– </w:t>
      </w:r>
      <w:r w:rsidR="003D0846" w:rsidRPr="00A33264">
        <w:rPr>
          <w:b/>
          <w:bCs/>
          <w:lang w:val="en-GB"/>
        </w:rPr>
        <w:t>each</w:t>
      </w:r>
      <w:r w:rsidR="00993D6D" w:rsidRPr="00A33264">
        <w:rPr>
          <w:b/>
          <w:bCs/>
          <w:lang w:val="en-GB"/>
        </w:rPr>
        <w:t xml:space="preserve"> </w:t>
      </w:r>
      <w:r w:rsidR="003D0846" w:rsidRPr="00A33264">
        <w:rPr>
          <w:b/>
          <w:bCs/>
          <w:lang w:val="en-GB"/>
        </w:rPr>
        <w:t>public service agency is to take all practicable measures to ensure that its employees and agents have an awareness and understanding of the Statement for Australia’s Carers.</w:t>
      </w:r>
    </w:p>
    <w:p w14:paraId="70FED712" w14:textId="6A942CB8" w:rsidR="00096E39" w:rsidRPr="00A33264" w:rsidRDefault="00F14787" w:rsidP="00096E39">
      <w:pPr>
        <w:rPr>
          <w:lang w:val="en-GB"/>
        </w:rPr>
      </w:pPr>
      <w:r w:rsidRPr="00A33264">
        <w:rPr>
          <w:lang w:val="en-GB"/>
        </w:rPr>
        <w:t xml:space="preserve">The NDIA promotes staff awareness and understanding of the principles contained within the </w:t>
      </w:r>
      <w:r w:rsidRPr="00A33264">
        <w:rPr>
          <w:i/>
          <w:iCs/>
          <w:lang w:val="en-GB"/>
        </w:rPr>
        <w:t>Carer Recognition Act 2010</w:t>
      </w:r>
      <w:r w:rsidRPr="00A33264">
        <w:rPr>
          <w:lang w:val="en-GB"/>
        </w:rPr>
        <w:t xml:space="preserve"> and the Statement for Australia’s Carers through online tools and resources, including guides on the support available to employees with caring responsibilities and also those who support people with caring responsibilities.</w:t>
      </w:r>
    </w:p>
    <w:p w14:paraId="02267741" w14:textId="028F649F" w:rsidR="00AD5075" w:rsidRDefault="00AD5075" w:rsidP="003131F3">
      <w:pPr>
        <w:pStyle w:val="Heading5"/>
        <w:rPr>
          <w:lang w:val="en-GB"/>
        </w:rPr>
      </w:pPr>
      <w:bookmarkStart w:id="432" w:name="_Toc169593022"/>
      <w:r>
        <w:rPr>
          <w:lang w:val="en-GB"/>
        </w:rPr>
        <w:t>Workplace support for carers</w:t>
      </w:r>
    </w:p>
    <w:p w14:paraId="56CC26F1" w14:textId="4A10D0C8" w:rsidR="00096E39" w:rsidRPr="00A33264" w:rsidRDefault="00096E39" w:rsidP="00AD517E">
      <w:pPr>
        <w:rPr>
          <w:b/>
          <w:bCs/>
          <w:lang w:val="en-GB"/>
        </w:rPr>
      </w:pPr>
      <w:r w:rsidRPr="00A33264">
        <w:rPr>
          <w:b/>
          <w:bCs/>
          <w:lang w:val="en-GB"/>
        </w:rPr>
        <w:t>Subsection 7(2)</w:t>
      </w:r>
      <w:bookmarkEnd w:id="432"/>
      <w:r w:rsidR="003D0846" w:rsidRPr="00A33264">
        <w:rPr>
          <w:b/>
          <w:bCs/>
          <w:lang w:val="en-GB"/>
        </w:rPr>
        <w:t xml:space="preserve"> </w:t>
      </w:r>
      <w:r w:rsidR="00993D6D" w:rsidRPr="00A33264">
        <w:rPr>
          <w:b/>
          <w:bCs/>
          <w:lang w:val="en-GB"/>
        </w:rPr>
        <w:t xml:space="preserve">– </w:t>
      </w:r>
      <w:r w:rsidR="003D0846" w:rsidRPr="00A33264">
        <w:rPr>
          <w:b/>
          <w:bCs/>
          <w:lang w:val="en-GB"/>
        </w:rPr>
        <w:t>each</w:t>
      </w:r>
      <w:r w:rsidR="00993D6D" w:rsidRPr="00A33264">
        <w:rPr>
          <w:b/>
          <w:bCs/>
          <w:lang w:val="en-GB"/>
        </w:rPr>
        <w:t xml:space="preserve"> </w:t>
      </w:r>
      <w:r w:rsidR="003D0846" w:rsidRPr="00A33264">
        <w:rPr>
          <w:b/>
          <w:bCs/>
          <w:lang w:val="en-GB"/>
        </w:rPr>
        <w:t>public service agency’s internal human resources policies, so far as they may significantly affect an employee’s caring role, are to be developed having due regard to the Statement for Australia’s Carers.</w:t>
      </w:r>
    </w:p>
    <w:p w14:paraId="1F8DECAA" w14:textId="3D59893E" w:rsidR="001134EB" w:rsidRPr="00A33264" w:rsidRDefault="001134EB" w:rsidP="001134EB">
      <w:pPr>
        <w:rPr>
          <w:lang w:val="en-GB"/>
        </w:rPr>
      </w:pPr>
      <w:r w:rsidRPr="00A33264">
        <w:rPr>
          <w:lang w:val="en-GB"/>
        </w:rPr>
        <w:t xml:space="preserve">The NDIA complies with its obligations under the </w:t>
      </w:r>
      <w:r w:rsidRPr="00A33264">
        <w:rPr>
          <w:i/>
          <w:iCs/>
          <w:lang w:val="en-GB"/>
        </w:rPr>
        <w:t>Carer Recognition Act 2010</w:t>
      </w:r>
      <w:r w:rsidRPr="00A33264">
        <w:rPr>
          <w:lang w:val="en-GB"/>
        </w:rPr>
        <w:t xml:space="preserve"> and adheres to the principles of the Statement for Australia’s Carers. The NDIA’s Enterprise Agreement 2024</w:t>
      </w:r>
      <w:r w:rsidR="00993D6D" w:rsidRPr="00A33264">
        <w:rPr>
          <w:lang w:val="en-GB"/>
        </w:rPr>
        <w:t>–</w:t>
      </w:r>
      <w:r w:rsidRPr="00A33264">
        <w:rPr>
          <w:lang w:val="en-GB"/>
        </w:rPr>
        <w:t xml:space="preserve">27 and human resources policies are also developed </w:t>
      </w:r>
      <w:r w:rsidR="0012094A" w:rsidRPr="00A33264">
        <w:rPr>
          <w:lang w:val="en-GB"/>
        </w:rPr>
        <w:t>having</w:t>
      </w:r>
      <w:r w:rsidRPr="00A33264">
        <w:rPr>
          <w:lang w:val="en-GB"/>
        </w:rPr>
        <w:t xml:space="preserve"> regard to the Statement for Australia’s Carers.</w:t>
      </w:r>
    </w:p>
    <w:p w14:paraId="4CBCEE89" w14:textId="7DFB449E" w:rsidR="00096E39" w:rsidRPr="00A33264" w:rsidRDefault="001134EB" w:rsidP="003131F3">
      <w:pPr>
        <w:rPr>
          <w:lang w:val="en-GB"/>
        </w:rPr>
      </w:pPr>
      <w:r w:rsidRPr="00A33264">
        <w:rPr>
          <w:lang w:val="en-GB"/>
        </w:rPr>
        <w:t xml:space="preserve">The NDIA supports carers in the workplace through its employment policies, including flexible working arrangements and access to carers leave. </w:t>
      </w:r>
    </w:p>
    <w:p w14:paraId="2F42454F" w14:textId="76F0030A" w:rsidR="00AD5075" w:rsidRDefault="00AD5075" w:rsidP="003131F3">
      <w:pPr>
        <w:pStyle w:val="Heading5"/>
        <w:rPr>
          <w:lang w:val="en-GB"/>
        </w:rPr>
      </w:pPr>
      <w:bookmarkStart w:id="433" w:name="_Toc169593023"/>
      <w:r>
        <w:rPr>
          <w:lang w:val="en-GB"/>
        </w:rPr>
        <w:t>Recognition of the role of carers</w:t>
      </w:r>
    </w:p>
    <w:p w14:paraId="68CE486A" w14:textId="47C176BB" w:rsidR="00096E39" w:rsidRPr="00A33264" w:rsidRDefault="00096E39" w:rsidP="00AD517E">
      <w:pPr>
        <w:rPr>
          <w:b/>
          <w:bCs/>
          <w:lang w:val="en-GB"/>
        </w:rPr>
      </w:pPr>
      <w:r w:rsidRPr="00A33264">
        <w:rPr>
          <w:b/>
          <w:bCs/>
          <w:lang w:val="en-GB"/>
        </w:rPr>
        <w:t>Subsection 8(1)</w:t>
      </w:r>
      <w:bookmarkEnd w:id="433"/>
      <w:r w:rsidR="003D0846" w:rsidRPr="00A33264">
        <w:rPr>
          <w:b/>
          <w:bCs/>
          <w:lang w:val="en-GB"/>
        </w:rPr>
        <w:t xml:space="preserve"> </w:t>
      </w:r>
      <w:r w:rsidR="00993D6D" w:rsidRPr="00A33264">
        <w:rPr>
          <w:b/>
          <w:bCs/>
          <w:lang w:val="en-GB"/>
        </w:rPr>
        <w:t xml:space="preserve">– </w:t>
      </w:r>
      <w:r w:rsidR="003D0846" w:rsidRPr="00A33264">
        <w:rPr>
          <w:b/>
          <w:bCs/>
          <w:lang w:val="en-GB"/>
        </w:rPr>
        <w:t>each</w:t>
      </w:r>
      <w:r w:rsidR="00993D6D" w:rsidRPr="00A33264">
        <w:rPr>
          <w:b/>
          <w:bCs/>
          <w:lang w:val="en-GB"/>
        </w:rPr>
        <w:t xml:space="preserve"> </w:t>
      </w:r>
      <w:r w:rsidR="003D0846" w:rsidRPr="00A33264">
        <w:rPr>
          <w:b/>
          <w:bCs/>
          <w:lang w:val="en-GB"/>
        </w:rPr>
        <w:t xml:space="preserve">public service care agency is to take all practicable measures to ensure that it, and its employees and agents, take action to reflect the principles of the Statement for Australia’s Carers in developing, implementing, providing or evaluating care </w:t>
      </w:r>
      <w:r w:rsidR="00605AEF" w:rsidRPr="00A33264">
        <w:rPr>
          <w:b/>
          <w:bCs/>
          <w:lang w:val="en-GB"/>
        </w:rPr>
        <w:t>supports.</w:t>
      </w:r>
    </w:p>
    <w:p w14:paraId="3D9937A2" w14:textId="4544E175" w:rsidR="0041442E" w:rsidRPr="00A33264" w:rsidRDefault="00EC5D56" w:rsidP="0041442E">
      <w:pPr>
        <w:rPr>
          <w:lang w:val="en-GB"/>
        </w:rPr>
      </w:pPr>
      <w:r w:rsidRPr="00A33264">
        <w:rPr>
          <w:lang w:val="en-GB"/>
        </w:rPr>
        <w:t xml:space="preserve">The NDIA recognises the essential role carers play in supporting people with disability to pursue their goals. NDIA staff are encouraged to listen to carers and support them in their role. The NDIA includes information in </w:t>
      </w:r>
      <w:r w:rsidR="00AD5075">
        <w:rPr>
          <w:lang w:val="en-GB"/>
        </w:rPr>
        <w:t>each</w:t>
      </w:r>
      <w:r w:rsidR="00AD5075" w:rsidRPr="00A33264">
        <w:rPr>
          <w:lang w:val="en-GB"/>
        </w:rPr>
        <w:t xml:space="preserve"> </w:t>
      </w:r>
      <w:r w:rsidRPr="00A33264">
        <w:rPr>
          <w:lang w:val="en-GB"/>
        </w:rPr>
        <w:t xml:space="preserve">participant’s plan about the support they receive from their carers. When developing the participant’s plan, the NDIA focuses on capacity building and social and economic inclusion for participants. This includes support to build the participant’s independence, daily life supports and short breaks or respite. These supports are important in helping carers to sustain their caring role. The NDIA recognises that increasing the capacity of the community to help people with disability and increasing community and workforce participation of people with disability improves the situation of carers. The NDIA encourages feedback from carers to inform improvements to the way the </w:t>
      </w:r>
      <w:r w:rsidR="00CA5D3C">
        <w:rPr>
          <w:lang w:val="en-GB"/>
        </w:rPr>
        <w:t>NDIS</w:t>
      </w:r>
      <w:r w:rsidRPr="00A33264">
        <w:rPr>
          <w:lang w:val="en-GB"/>
        </w:rPr>
        <w:t xml:space="preserve"> supports their needs. The NDIA also engages with participant and carer stakeholder groups to co-design tools </w:t>
      </w:r>
      <w:r w:rsidRPr="00A33264">
        <w:rPr>
          <w:lang w:val="en-GB"/>
        </w:rPr>
        <w:lastRenderedPageBreak/>
        <w:t>and resources which the NDIS publishes on its website to support them to understand the valuable role carers play in helping participants to increase their community and workforce participation.</w:t>
      </w:r>
    </w:p>
    <w:p w14:paraId="1B150883" w14:textId="1A4831A6" w:rsidR="00AD5075" w:rsidRDefault="00AD5075" w:rsidP="003131F3">
      <w:pPr>
        <w:pStyle w:val="Heading5"/>
        <w:rPr>
          <w:lang w:val="en-GB"/>
        </w:rPr>
      </w:pPr>
      <w:bookmarkStart w:id="434" w:name="_Toc169593024"/>
      <w:r>
        <w:rPr>
          <w:lang w:val="en-GB"/>
        </w:rPr>
        <w:t>Consultation with carers</w:t>
      </w:r>
    </w:p>
    <w:p w14:paraId="0096411C" w14:textId="2AC9CEF3" w:rsidR="00096E39" w:rsidRPr="00A33264" w:rsidRDefault="00096E39" w:rsidP="00AD517E">
      <w:pPr>
        <w:rPr>
          <w:b/>
          <w:bCs/>
          <w:lang w:val="en-GB"/>
        </w:rPr>
      </w:pPr>
      <w:r w:rsidRPr="00A33264">
        <w:rPr>
          <w:b/>
          <w:bCs/>
          <w:lang w:val="en-GB"/>
        </w:rPr>
        <w:t>Subsection 8(2)</w:t>
      </w:r>
      <w:bookmarkEnd w:id="434"/>
      <w:r w:rsidR="00993D6D" w:rsidRPr="00A33264">
        <w:rPr>
          <w:b/>
          <w:bCs/>
          <w:lang w:val="en-GB"/>
        </w:rPr>
        <w:t xml:space="preserve"> –</w:t>
      </w:r>
      <w:r w:rsidR="00AC51D7" w:rsidRPr="00A33264">
        <w:rPr>
          <w:b/>
          <w:bCs/>
          <w:lang w:val="en-GB"/>
        </w:rPr>
        <w:t xml:space="preserve"> each</w:t>
      </w:r>
      <w:r w:rsidR="00993D6D" w:rsidRPr="00A33264">
        <w:rPr>
          <w:b/>
          <w:bCs/>
          <w:lang w:val="en-GB"/>
        </w:rPr>
        <w:t xml:space="preserve"> </w:t>
      </w:r>
      <w:r w:rsidR="00AC51D7" w:rsidRPr="00A33264">
        <w:rPr>
          <w:b/>
          <w:bCs/>
          <w:lang w:val="en-GB"/>
        </w:rPr>
        <w:t>public service care agency is to consult carers, or bodies that represent carers, when developing or evaluating care supports.</w:t>
      </w:r>
    </w:p>
    <w:p w14:paraId="75F49593" w14:textId="23082EA3" w:rsidR="00AC51D7" w:rsidRPr="00A33264" w:rsidRDefault="00AC51D7" w:rsidP="00AC51D7">
      <w:pPr>
        <w:rPr>
          <w:lang w:val="en-GB"/>
        </w:rPr>
      </w:pPr>
      <w:bookmarkStart w:id="435" w:name="_Toc169593025"/>
      <w:r w:rsidRPr="00A33264">
        <w:rPr>
          <w:lang w:val="en-GB"/>
        </w:rPr>
        <w:t>Carer representative organisations have significantly contributed to the NDIA’s co</w:t>
      </w:r>
      <w:r w:rsidR="00BD7BB9" w:rsidRPr="00A33264">
        <w:rPr>
          <w:lang w:val="en-GB"/>
        </w:rPr>
        <w:t>-</w:t>
      </w:r>
      <w:r w:rsidRPr="00A33264">
        <w:rPr>
          <w:lang w:val="en-GB"/>
        </w:rPr>
        <w:t xml:space="preserve">design response to the Australian Government’s 2023 reforms. These reforms ensure a better experience for participants and carers and position the </w:t>
      </w:r>
      <w:r w:rsidR="00CA5D3C">
        <w:rPr>
          <w:lang w:val="en-GB"/>
        </w:rPr>
        <w:t>NDIS</w:t>
      </w:r>
      <w:r w:rsidR="00CA5D3C" w:rsidRPr="00A33264">
        <w:rPr>
          <w:lang w:val="en-GB"/>
        </w:rPr>
        <w:t xml:space="preserve"> </w:t>
      </w:r>
      <w:r w:rsidRPr="00A33264">
        <w:rPr>
          <w:lang w:val="en-GB"/>
        </w:rPr>
        <w:t>well for the future.</w:t>
      </w:r>
    </w:p>
    <w:p w14:paraId="00625D21" w14:textId="321B5B32" w:rsidR="00AC51D7" w:rsidRPr="00A33264" w:rsidRDefault="00AC51D7" w:rsidP="00AC51D7">
      <w:pPr>
        <w:rPr>
          <w:lang w:val="en-GB"/>
        </w:rPr>
      </w:pPr>
      <w:r w:rsidRPr="00A33264">
        <w:rPr>
          <w:lang w:val="en-GB"/>
        </w:rPr>
        <w:t xml:space="preserve">Carers Australia is a member of the </w:t>
      </w:r>
      <w:r w:rsidR="00AD5075">
        <w:rPr>
          <w:lang w:val="en-GB"/>
        </w:rPr>
        <w:t>NDIA</w:t>
      </w:r>
      <w:r w:rsidR="00AD5075" w:rsidRPr="00A33264">
        <w:rPr>
          <w:lang w:val="en-GB"/>
        </w:rPr>
        <w:t xml:space="preserve">’s </w:t>
      </w:r>
      <w:r w:rsidRPr="00A33264">
        <w:rPr>
          <w:lang w:val="en-GB"/>
        </w:rPr>
        <w:t xml:space="preserve">Reform for Outcomes </w:t>
      </w:r>
      <w:r w:rsidR="00AD5075">
        <w:rPr>
          <w:lang w:val="en-GB"/>
        </w:rPr>
        <w:t>P</w:t>
      </w:r>
      <w:r w:rsidRPr="00A33264">
        <w:rPr>
          <w:lang w:val="en-GB"/>
        </w:rPr>
        <w:t>rogram Plan Flexibility Co</w:t>
      </w:r>
      <w:r w:rsidR="00AE346F" w:rsidRPr="00A33264">
        <w:rPr>
          <w:lang w:val="en-GB"/>
        </w:rPr>
        <w:t>-</w:t>
      </w:r>
      <w:r w:rsidRPr="00A33264">
        <w:rPr>
          <w:lang w:val="en-GB"/>
        </w:rPr>
        <w:t xml:space="preserve">design Working Group. The purpose of the </w:t>
      </w:r>
      <w:r w:rsidR="00AD5075">
        <w:rPr>
          <w:lang w:val="en-GB"/>
        </w:rPr>
        <w:t>g</w:t>
      </w:r>
      <w:r w:rsidRPr="00A33264">
        <w:rPr>
          <w:lang w:val="en-GB"/>
        </w:rPr>
        <w:t xml:space="preserve">roup is to implement a lifetime planning approach by building more flexible and responsive plans that support participants to pursue their goals. The </w:t>
      </w:r>
      <w:r w:rsidR="00AD5075">
        <w:rPr>
          <w:lang w:val="en-GB"/>
        </w:rPr>
        <w:t>g</w:t>
      </w:r>
      <w:r w:rsidRPr="00A33264">
        <w:rPr>
          <w:lang w:val="en-GB"/>
        </w:rPr>
        <w:t xml:space="preserve">roup held </w:t>
      </w:r>
      <w:r w:rsidR="00993D6D" w:rsidRPr="00A33264">
        <w:rPr>
          <w:lang w:val="en-GB"/>
        </w:rPr>
        <w:t>9</w:t>
      </w:r>
      <w:r w:rsidRPr="00A33264">
        <w:rPr>
          <w:lang w:val="en-GB"/>
        </w:rPr>
        <w:t xml:space="preserve"> sessions between July 2023 and June 2024.</w:t>
      </w:r>
    </w:p>
    <w:p w14:paraId="603CA222" w14:textId="5E866BB9" w:rsidR="00AC51D7" w:rsidRPr="00A33264" w:rsidRDefault="00993D6D" w:rsidP="00AC51D7">
      <w:pPr>
        <w:rPr>
          <w:lang w:val="en-GB"/>
        </w:rPr>
      </w:pPr>
      <w:r w:rsidRPr="00A33264">
        <w:rPr>
          <w:lang w:val="en-GB"/>
        </w:rPr>
        <w:t xml:space="preserve">The </w:t>
      </w:r>
      <w:r w:rsidR="00AC51D7" w:rsidRPr="00A33264">
        <w:rPr>
          <w:lang w:val="en-GB"/>
        </w:rPr>
        <w:t>National Mental Health Consumer and Carer Forum participated as a member of the Evidence</w:t>
      </w:r>
      <w:r w:rsidR="00AE346F" w:rsidRPr="00A33264">
        <w:rPr>
          <w:lang w:val="en-GB"/>
        </w:rPr>
        <w:t>-</w:t>
      </w:r>
      <w:r w:rsidR="00AC51D7" w:rsidRPr="00A33264">
        <w:rPr>
          <w:lang w:val="en-GB"/>
        </w:rPr>
        <w:t>based Supports Co</w:t>
      </w:r>
      <w:r w:rsidR="00AE346F" w:rsidRPr="00A33264">
        <w:rPr>
          <w:lang w:val="en-GB"/>
        </w:rPr>
        <w:t>-</w:t>
      </w:r>
      <w:r w:rsidR="00AC51D7" w:rsidRPr="00A33264">
        <w:rPr>
          <w:lang w:val="en-GB"/>
        </w:rPr>
        <w:t xml:space="preserve">design Working Group. The group’s focus was on how the NDIA can make it easier for participants to get the right support, at the right time, for the right price. The group held </w:t>
      </w:r>
      <w:r w:rsidRPr="00A33264">
        <w:rPr>
          <w:lang w:val="en-GB"/>
        </w:rPr>
        <w:t>8</w:t>
      </w:r>
      <w:r w:rsidR="00AC51D7" w:rsidRPr="00A33264">
        <w:rPr>
          <w:lang w:val="en-GB"/>
        </w:rPr>
        <w:t xml:space="preserve"> sessions between July 2023 and June 2024.</w:t>
      </w:r>
    </w:p>
    <w:p w14:paraId="4C751D11" w14:textId="65DF7AE3" w:rsidR="00AC51D7" w:rsidRPr="00A33264" w:rsidRDefault="00AC51D7" w:rsidP="00AC51D7">
      <w:pPr>
        <w:rPr>
          <w:lang w:val="en-GB"/>
        </w:rPr>
      </w:pPr>
      <w:r w:rsidRPr="00A33264">
        <w:rPr>
          <w:lang w:val="en-GB"/>
        </w:rPr>
        <w:t xml:space="preserve">In addition, both carer organisations were consulted on current risks to the integrity of the NDIS and </w:t>
      </w:r>
      <w:r w:rsidR="00290358" w:rsidRPr="00A33264">
        <w:rPr>
          <w:lang w:val="en-GB"/>
        </w:rPr>
        <w:t xml:space="preserve">on </w:t>
      </w:r>
      <w:r w:rsidRPr="00A33264">
        <w:rPr>
          <w:lang w:val="en-GB"/>
        </w:rPr>
        <w:t xml:space="preserve">the actions planned by the NDIA to better protect participants and uphold the </w:t>
      </w:r>
      <w:r w:rsidR="00CA5D3C">
        <w:rPr>
          <w:lang w:val="en-GB"/>
        </w:rPr>
        <w:t>NDIS</w:t>
      </w:r>
      <w:r w:rsidR="00CA5D3C" w:rsidRPr="00A33264">
        <w:rPr>
          <w:lang w:val="en-GB"/>
        </w:rPr>
        <w:t xml:space="preserve">'s </w:t>
      </w:r>
      <w:r w:rsidRPr="00A33264">
        <w:rPr>
          <w:lang w:val="en-GB"/>
        </w:rPr>
        <w:t>integrity.</w:t>
      </w:r>
    </w:p>
    <w:p w14:paraId="0BA1A289" w14:textId="28468430" w:rsidR="00AC51D7" w:rsidRPr="00A33264" w:rsidRDefault="00AC51D7" w:rsidP="00AC51D7">
      <w:pPr>
        <w:rPr>
          <w:lang w:val="en-GB"/>
        </w:rPr>
      </w:pPr>
      <w:r w:rsidRPr="00A33264">
        <w:rPr>
          <w:lang w:val="en-GB"/>
        </w:rPr>
        <w:t xml:space="preserve">The NDIA continues to consult and engage with both Carers Australia and </w:t>
      </w:r>
      <w:r w:rsidR="00AD5075">
        <w:rPr>
          <w:lang w:val="en-GB"/>
        </w:rPr>
        <w:t xml:space="preserve">the </w:t>
      </w:r>
      <w:r w:rsidRPr="00A33264">
        <w:rPr>
          <w:lang w:val="en-GB"/>
        </w:rPr>
        <w:t>N</w:t>
      </w:r>
      <w:r w:rsidR="00AD5075">
        <w:rPr>
          <w:lang w:val="en-GB"/>
        </w:rPr>
        <w:t xml:space="preserve">ational </w:t>
      </w:r>
      <w:r w:rsidRPr="00A33264">
        <w:rPr>
          <w:lang w:val="en-GB"/>
        </w:rPr>
        <w:t>M</w:t>
      </w:r>
      <w:r w:rsidR="00AD5075">
        <w:rPr>
          <w:lang w:val="en-GB"/>
        </w:rPr>
        <w:t xml:space="preserve">ental </w:t>
      </w:r>
      <w:r w:rsidRPr="00A33264">
        <w:rPr>
          <w:lang w:val="en-GB"/>
        </w:rPr>
        <w:t>H</w:t>
      </w:r>
      <w:r w:rsidR="00AD5075">
        <w:rPr>
          <w:lang w:val="en-GB"/>
        </w:rPr>
        <w:t xml:space="preserve">ealth </w:t>
      </w:r>
      <w:r w:rsidRPr="00A33264">
        <w:rPr>
          <w:lang w:val="en-GB"/>
        </w:rPr>
        <w:t>C</w:t>
      </w:r>
      <w:r w:rsidR="00AD5075">
        <w:rPr>
          <w:lang w:val="en-GB"/>
        </w:rPr>
        <w:t xml:space="preserve">onsumer and </w:t>
      </w:r>
      <w:r w:rsidRPr="00A33264">
        <w:rPr>
          <w:lang w:val="en-GB"/>
        </w:rPr>
        <w:t>C</w:t>
      </w:r>
      <w:r w:rsidR="00AD5075">
        <w:rPr>
          <w:lang w:val="en-GB"/>
        </w:rPr>
        <w:t xml:space="preserve">arer </w:t>
      </w:r>
      <w:r w:rsidRPr="00A33264">
        <w:rPr>
          <w:lang w:val="en-GB"/>
        </w:rPr>
        <w:t>F</w:t>
      </w:r>
      <w:r w:rsidR="00AD5075">
        <w:rPr>
          <w:lang w:val="en-GB"/>
        </w:rPr>
        <w:t>orum</w:t>
      </w:r>
      <w:r w:rsidRPr="00A33264">
        <w:rPr>
          <w:lang w:val="en-GB"/>
        </w:rPr>
        <w:t xml:space="preserve"> </w:t>
      </w:r>
      <w:r w:rsidR="00993D6D" w:rsidRPr="00A33264">
        <w:rPr>
          <w:lang w:val="en-GB"/>
        </w:rPr>
        <w:t xml:space="preserve">each </w:t>
      </w:r>
      <w:r w:rsidRPr="00A33264">
        <w:rPr>
          <w:lang w:val="en-GB"/>
        </w:rPr>
        <w:t>quarter</w:t>
      </w:r>
      <w:r w:rsidR="00993D6D" w:rsidRPr="00A33264">
        <w:rPr>
          <w:lang w:val="en-GB"/>
        </w:rPr>
        <w:t>,</w:t>
      </w:r>
      <w:r w:rsidRPr="00A33264">
        <w:rPr>
          <w:lang w:val="en-GB"/>
        </w:rPr>
        <w:t xml:space="preserve"> as valued members of the NDIA’s Disability Representative and Carer Organisation Forum. Carers Australia also meets monthly with the </w:t>
      </w:r>
      <w:r w:rsidR="00AD5075">
        <w:rPr>
          <w:lang w:val="en-GB"/>
        </w:rPr>
        <w:t>NDIA</w:t>
      </w:r>
      <w:r w:rsidR="00AD5075" w:rsidRPr="00A33264">
        <w:rPr>
          <w:lang w:val="en-GB"/>
        </w:rPr>
        <w:t xml:space="preserve"> </w:t>
      </w:r>
      <w:r w:rsidRPr="00A33264">
        <w:rPr>
          <w:lang w:val="en-GB"/>
        </w:rPr>
        <w:t>via the Stakeholder Engagement Model to discuss areas of particular concern and interest to its members.</w:t>
      </w:r>
    </w:p>
    <w:p w14:paraId="4B5196ED" w14:textId="63DC0B12" w:rsidR="00255A26" w:rsidRPr="00A33264" w:rsidRDefault="00255A26" w:rsidP="00AC51D7">
      <w:pPr>
        <w:pStyle w:val="Heading3"/>
        <w:rPr>
          <w:lang w:val="en-GB"/>
        </w:rPr>
      </w:pPr>
      <w:bookmarkStart w:id="436" w:name="_Toc174354218"/>
      <w:bookmarkStart w:id="437" w:name="_Toc175316922"/>
      <w:bookmarkStart w:id="438" w:name="_Toc176786413"/>
      <w:bookmarkStart w:id="439" w:name="_Toc180505695"/>
      <w:r w:rsidRPr="00A33264">
        <w:rPr>
          <w:lang w:val="en-GB"/>
        </w:rPr>
        <w:t>Information on other specific statutory provisions</w:t>
      </w:r>
      <w:bookmarkEnd w:id="435"/>
      <w:bookmarkEnd w:id="436"/>
      <w:bookmarkEnd w:id="437"/>
      <w:bookmarkEnd w:id="438"/>
      <w:bookmarkEnd w:id="439"/>
    </w:p>
    <w:p w14:paraId="089801A7" w14:textId="37451240" w:rsidR="002C73B7" w:rsidRPr="00A33264" w:rsidRDefault="002C73B7" w:rsidP="002C73B7">
      <w:pPr>
        <w:rPr>
          <w:lang w:val="en-GB"/>
        </w:rPr>
      </w:pPr>
      <w:r w:rsidRPr="00A33264">
        <w:rPr>
          <w:lang w:val="en-GB"/>
        </w:rPr>
        <w:t>The following information addresses other reportable items required by specific statutory provisions.</w:t>
      </w:r>
    </w:p>
    <w:p w14:paraId="2E8C9248" w14:textId="22273F00" w:rsidR="002C73B7" w:rsidRPr="00A33264" w:rsidRDefault="002C73B7" w:rsidP="009C42B2">
      <w:pPr>
        <w:pStyle w:val="Heading4"/>
        <w:rPr>
          <w:lang w:val="en-GB"/>
        </w:rPr>
      </w:pPr>
      <w:bookmarkStart w:id="440" w:name="_Toc169593027"/>
      <w:r w:rsidRPr="00A33264">
        <w:rPr>
          <w:lang w:val="en-GB"/>
        </w:rPr>
        <w:t>National Disability Insurance Scheme Act 2013</w:t>
      </w:r>
    </w:p>
    <w:p w14:paraId="1FD1F344" w14:textId="0B312B19" w:rsidR="002C73B7" w:rsidRPr="00A33264" w:rsidRDefault="002C73B7" w:rsidP="002C73B7">
      <w:pPr>
        <w:rPr>
          <w:lang w:val="en-GB"/>
        </w:rPr>
      </w:pPr>
      <w:r w:rsidRPr="00A33264">
        <w:rPr>
          <w:lang w:val="en-GB"/>
        </w:rPr>
        <w:t>No directions or ministerial statements were given to the NDIA under sections 121 and 125 of the NDIS Act, and no legislative instruments were made during 2023–24.</w:t>
      </w:r>
    </w:p>
    <w:p w14:paraId="5EB1083E" w14:textId="4EA86DE4" w:rsidR="009C42B2" w:rsidRPr="00A33264" w:rsidRDefault="009C42B2" w:rsidP="009C42B2">
      <w:pPr>
        <w:pStyle w:val="Heading4"/>
        <w:rPr>
          <w:lang w:val="en-GB"/>
        </w:rPr>
      </w:pPr>
      <w:r w:rsidRPr="00A33264">
        <w:rPr>
          <w:lang w:val="en-GB"/>
        </w:rPr>
        <w:lastRenderedPageBreak/>
        <w:t>Privacy Act 1988</w:t>
      </w:r>
      <w:bookmarkEnd w:id="440"/>
    </w:p>
    <w:p w14:paraId="69D8E78A" w14:textId="5ECF3AF8" w:rsidR="00B8787E" w:rsidRPr="00A33264" w:rsidRDefault="00B8787E" w:rsidP="00B8787E">
      <w:pPr>
        <w:rPr>
          <w:lang w:val="en-GB"/>
        </w:rPr>
      </w:pPr>
      <w:r w:rsidRPr="00A33264">
        <w:rPr>
          <w:lang w:val="en-GB"/>
        </w:rPr>
        <w:t xml:space="preserve">The NDIA complies with its privacy obligations as required under both the </w:t>
      </w:r>
      <w:r w:rsidRPr="00A33264">
        <w:rPr>
          <w:i/>
          <w:iCs/>
          <w:lang w:val="en-GB"/>
        </w:rPr>
        <w:t>Privacy Act 1988</w:t>
      </w:r>
      <w:r w:rsidRPr="00A33264">
        <w:rPr>
          <w:lang w:val="en-GB"/>
        </w:rPr>
        <w:t xml:space="preserve"> </w:t>
      </w:r>
      <w:r w:rsidR="004E416F">
        <w:rPr>
          <w:lang w:val="en-GB"/>
        </w:rPr>
        <w:t xml:space="preserve">(Cth) </w:t>
      </w:r>
      <w:r w:rsidRPr="00A33264">
        <w:rPr>
          <w:lang w:val="en-GB"/>
        </w:rPr>
        <w:t>and the NDIS Act.</w:t>
      </w:r>
    </w:p>
    <w:p w14:paraId="41377765" w14:textId="0E1D5897" w:rsidR="00B8787E" w:rsidRPr="00A33264" w:rsidRDefault="00B8787E" w:rsidP="00B8787E">
      <w:pPr>
        <w:rPr>
          <w:lang w:val="en-GB"/>
        </w:rPr>
      </w:pPr>
      <w:r w:rsidRPr="00A33264">
        <w:rPr>
          <w:lang w:val="en-GB"/>
        </w:rPr>
        <w:t>Compliance includes the NDIA ensuring its practices and procedures are consistent with requirements under the Australian Privacy Principles, the Notifiable Data Breaches Scheme, and the Australian Government Agencies Privacy Code, such as having an established privacy policy and privacy management plan and maintaining privacy incident and privacy impact assessment registers.</w:t>
      </w:r>
    </w:p>
    <w:p w14:paraId="07EC2481" w14:textId="68B774F2" w:rsidR="00B8787E" w:rsidRPr="00A33264" w:rsidRDefault="00B8787E" w:rsidP="00B8787E">
      <w:pPr>
        <w:rPr>
          <w:lang w:val="en-GB"/>
        </w:rPr>
      </w:pPr>
      <w:r w:rsidRPr="00A33264">
        <w:rPr>
          <w:lang w:val="en-GB"/>
        </w:rPr>
        <w:t xml:space="preserve">The NDIA actively promotes privacy awareness through the appointment of a </w:t>
      </w:r>
      <w:r w:rsidR="00AD5075">
        <w:rPr>
          <w:lang w:val="en-GB"/>
        </w:rPr>
        <w:t>p</w:t>
      </w:r>
      <w:r w:rsidRPr="00A33264">
        <w:rPr>
          <w:lang w:val="en-GB"/>
        </w:rPr>
        <w:t xml:space="preserve">rivacy </w:t>
      </w:r>
      <w:r w:rsidR="00AD5075">
        <w:rPr>
          <w:lang w:val="en-GB"/>
        </w:rPr>
        <w:t>c</w:t>
      </w:r>
      <w:r w:rsidRPr="00A33264">
        <w:rPr>
          <w:lang w:val="en-GB"/>
        </w:rPr>
        <w:t xml:space="preserve">hampion and </w:t>
      </w:r>
      <w:r w:rsidR="00AD5075">
        <w:rPr>
          <w:lang w:val="en-GB"/>
        </w:rPr>
        <w:t>p</w:t>
      </w:r>
      <w:r w:rsidRPr="00A33264">
        <w:rPr>
          <w:lang w:val="en-GB"/>
        </w:rPr>
        <w:t xml:space="preserve">rivacy </w:t>
      </w:r>
      <w:r w:rsidR="00AD5075">
        <w:rPr>
          <w:lang w:val="en-GB"/>
        </w:rPr>
        <w:t>o</w:t>
      </w:r>
      <w:r w:rsidRPr="00A33264">
        <w:rPr>
          <w:lang w:val="en-GB"/>
        </w:rPr>
        <w:t xml:space="preserve">fficers, and through the ongoing development of training materials for NDIA staff. </w:t>
      </w:r>
      <w:r w:rsidR="00AD5075">
        <w:rPr>
          <w:lang w:val="en-GB"/>
        </w:rPr>
        <w:t>The NDIA also provides a</w:t>
      </w:r>
      <w:r w:rsidRPr="00A33264">
        <w:rPr>
          <w:lang w:val="en-GB"/>
        </w:rPr>
        <w:t xml:space="preserve">dvice to staff regarding </w:t>
      </w:r>
      <w:r w:rsidR="00AD5075">
        <w:rPr>
          <w:lang w:val="en-GB"/>
        </w:rPr>
        <w:t>our</w:t>
      </w:r>
      <w:r w:rsidRPr="00A33264">
        <w:rPr>
          <w:lang w:val="en-GB"/>
        </w:rPr>
        <w:t xml:space="preserve"> privacy obligations under law, particularly </w:t>
      </w:r>
      <w:r w:rsidR="00AD5075">
        <w:rPr>
          <w:lang w:val="en-GB"/>
        </w:rPr>
        <w:t>in relation</w:t>
      </w:r>
      <w:r w:rsidRPr="00A33264">
        <w:rPr>
          <w:lang w:val="en-GB"/>
        </w:rPr>
        <w:t xml:space="preserve"> to promoti</w:t>
      </w:r>
      <w:r w:rsidR="00AD5075">
        <w:rPr>
          <w:lang w:val="en-GB"/>
        </w:rPr>
        <w:t>ng</w:t>
      </w:r>
      <w:r w:rsidRPr="00A33264">
        <w:rPr>
          <w:lang w:val="en-GB"/>
        </w:rPr>
        <w:t xml:space="preserve"> one of the general principles guiding actions under the NDIS Act</w:t>
      </w:r>
      <w:r w:rsidR="00B43B3B">
        <w:rPr>
          <w:lang w:val="en-GB"/>
        </w:rPr>
        <w:t>:</w:t>
      </w:r>
      <w:r w:rsidRPr="00A33264">
        <w:rPr>
          <w:lang w:val="en-GB"/>
        </w:rPr>
        <w:t xml:space="preserve"> to ensure that people with disability have their privacy and dignity respected.</w:t>
      </w:r>
    </w:p>
    <w:p w14:paraId="39D4548A" w14:textId="29FEC8E4" w:rsidR="009C42B2" w:rsidRPr="00A33264" w:rsidRDefault="00B8787E" w:rsidP="00B8787E">
      <w:pPr>
        <w:rPr>
          <w:lang w:val="en-GB"/>
        </w:rPr>
      </w:pPr>
      <w:r w:rsidRPr="00A33264">
        <w:rPr>
          <w:lang w:val="en-GB"/>
        </w:rPr>
        <w:t>As at 1 July 2023 the NDIA had 6 privacy complaints open from the Office of the Australian Information Commissioner. During 2023–24 an additional 4 complaints were received. Five complaints were resolved during that period.</w:t>
      </w:r>
    </w:p>
    <w:p w14:paraId="4B96F36E" w14:textId="00F3B61E" w:rsidR="00D80838" w:rsidRPr="00A33264" w:rsidRDefault="00D80838" w:rsidP="00D80838">
      <w:pPr>
        <w:pStyle w:val="Heading3"/>
        <w:rPr>
          <w:lang w:val="en-GB"/>
        </w:rPr>
      </w:pPr>
      <w:bookmarkStart w:id="441" w:name="_Toc175316924"/>
      <w:bookmarkStart w:id="442" w:name="_Toc174354220"/>
      <w:bookmarkStart w:id="443" w:name="_Toc176786414"/>
      <w:bookmarkStart w:id="444" w:name="_Toc180505696"/>
      <w:r w:rsidRPr="00A33264">
        <w:rPr>
          <w:lang w:val="en-GB"/>
        </w:rPr>
        <w:t xml:space="preserve">Correction of material errors in </w:t>
      </w:r>
      <w:bookmarkEnd w:id="441"/>
      <w:r w:rsidR="00ED275F">
        <w:rPr>
          <w:lang w:val="en-GB"/>
        </w:rPr>
        <w:t>NDIA A</w:t>
      </w:r>
      <w:r w:rsidRPr="00A33264">
        <w:rPr>
          <w:lang w:val="en-GB"/>
        </w:rPr>
        <w:t xml:space="preserve">nnual </w:t>
      </w:r>
      <w:r w:rsidR="00ED275F">
        <w:rPr>
          <w:lang w:val="en-GB"/>
        </w:rPr>
        <w:t>R</w:t>
      </w:r>
      <w:r w:rsidRPr="00A33264">
        <w:rPr>
          <w:lang w:val="en-GB"/>
        </w:rPr>
        <w:t>eport</w:t>
      </w:r>
      <w:bookmarkEnd w:id="442"/>
      <w:r w:rsidR="00ED275F">
        <w:rPr>
          <w:lang w:val="en-GB"/>
        </w:rPr>
        <w:t xml:space="preserve"> 2022</w:t>
      </w:r>
      <w:r w:rsidR="00B43B3B" w:rsidRPr="00A33264">
        <w:rPr>
          <w:lang w:val="en-GB"/>
        </w:rPr>
        <w:t>–</w:t>
      </w:r>
      <w:r w:rsidR="00ED275F">
        <w:rPr>
          <w:lang w:val="en-GB"/>
        </w:rPr>
        <w:t>23</w:t>
      </w:r>
      <w:bookmarkEnd w:id="443"/>
      <w:bookmarkEnd w:id="444"/>
    </w:p>
    <w:p w14:paraId="5F72B132" w14:textId="31AF6134" w:rsidR="00D80838" w:rsidRPr="00A33264" w:rsidRDefault="00D80838" w:rsidP="00D80838">
      <w:pPr>
        <w:rPr>
          <w:lang w:val="en-GB"/>
        </w:rPr>
      </w:pPr>
      <w:r w:rsidRPr="00A33264">
        <w:rPr>
          <w:lang w:val="en-GB"/>
        </w:rPr>
        <w:t>Our Annual Report 2022</w:t>
      </w:r>
      <w:r w:rsidR="00AD5075">
        <w:rPr>
          <w:lang w:val="en-GB"/>
        </w:rPr>
        <w:t>–</w:t>
      </w:r>
      <w:r w:rsidRPr="00A33264">
        <w:rPr>
          <w:lang w:val="en-GB"/>
        </w:rPr>
        <w:t>23 contained the following errors:</w:t>
      </w:r>
    </w:p>
    <w:p w14:paraId="5F206CFD" w14:textId="7D181343" w:rsidR="00904297" w:rsidRPr="00A33264" w:rsidRDefault="00904297" w:rsidP="00904297">
      <w:pPr>
        <w:pStyle w:val="Bullet1"/>
        <w:rPr>
          <w:lang w:val="en-GB"/>
        </w:rPr>
      </w:pPr>
      <w:r w:rsidRPr="00A33264">
        <w:rPr>
          <w:lang w:val="en-GB"/>
        </w:rPr>
        <w:t>On page 31</w:t>
      </w:r>
      <w:r w:rsidR="004E416F">
        <w:rPr>
          <w:lang w:val="en-GB"/>
        </w:rPr>
        <w:t>,</w:t>
      </w:r>
      <w:r w:rsidRPr="00A33264">
        <w:rPr>
          <w:lang w:val="en-GB"/>
        </w:rPr>
        <w:t xml:space="preserve"> under the heading </w:t>
      </w:r>
      <w:r w:rsidR="00B43B3B">
        <w:rPr>
          <w:lang w:val="en-GB"/>
        </w:rPr>
        <w:t>‘</w:t>
      </w:r>
      <w:r w:rsidRPr="00A33264">
        <w:rPr>
          <w:lang w:val="en-GB"/>
        </w:rPr>
        <w:t>Analysis of performance</w:t>
      </w:r>
      <w:r w:rsidR="00B43B3B">
        <w:rPr>
          <w:lang w:val="en-GB"/>
        </w:rPr>
        <w:t>’</w:t>
      </w:r>
      <w:r w:rsidRPr="00A33264">
        <w:rPr>
          <w:lang w:val="en-GB"/>
        </w:rPr>
        <w:t>, it was incorrectly reported that the NDIA ha</w:t>
      </w:r>
      <w:r w:rsidR="00B43B3B">
        <w:rPr>
          <w:lang w:val="en-GB"/>
        </w:rPr>
        <w:t>d</w:t>
      </w:r>
      <w:r w:rsidRPr="00A33264">
        <w:rPr>
          <w:lang w:val="en-GB"/>
        </w:rPr>
        <w:t xml:space="preserve"> designed a new CALD Strategy for 2023</w:t>
      </w:r>
      <w:r w:rsidR="004D0E40" w:rsidRPr="00A33264">
        <w:rPr>
          <w:lang w:val="en-GB"/>
        </w:rPr>
        <w:t>–</w:t>
      </w:r>
      <w:r w:rsidRPr="00A33264">
        <w:rPr>
          <w:lang w:val="en-GB"/>
        </w:rPr>
        <w:t>27</w:t>
      </w:r>
      <w:r w:rsidR="00AD5075">
        <w:rPr>
          <w:lang w:val="en-GB"/>
        </w:rPr>
        <w:t>.</w:t>
      </w:r>
      <w:r w:rsidRPr="00A33264">
        <w:rPr>
          <w:lang w:val="en-GB"/>
        </w:rPr>
        <w:t xml:space="preserve"> </w:t>
      </w:r>
      <w:r w:rsidR="00AD5075">
        <w:rPr>
          <w:lang w:val="en-GB"/>
        </w:rPr>
        <w:t>T</w:t>
      </w:r>
      <w:r w:rsidRPr="00A33264">
        <w:rPr>
          <w:lang w:val="en-GB"/>
        </w:rPr>
        <w:t>his should have been referenced as a ne</w:t>
      </w:r>
      <w:r w:rsidR="004D0E40" w:rsidRPr="00A33264">
        <w:rPr>
          <w:lang w:val="en-GB"/>
        </w:rPr>
        <w:t>w</w:t>
      </w:r>
      <w:r w:rsidRPr="00A33264">
        <w:rPr>
          <w:lang w:val="en-GB"/>
        </w:rPr>
        <w:t xml:space="preserve"> CALD Strategy for 2024</w:t>
      </w:r>
      <w:r w:rsidR="004D0E40" w:rsidRPr="00A33264">
        <w:rPr>
          <w:lang w:val="en-GB"/>
        </w:rPr>
        <w:t>–</w:t>
      </w:r>
      <w:r w:rsidRPr="00A33264">
        <w:rPr>
          <w:lang w:val="en-GB"/>
        </w:rPr>
        <w:t>28.</w:t>
      </w:r>
    </w:p>
    <w:p w14:paraId="611BCFC0" w14:textId="6CF7BE3A" w:rsidR="00057213" w:rsidRPr="00A33264" w:rsidRDefault="00057213" w:rsidP="00D80838">
      <w:pPr>
        <w:pStyle w:val="Bullet1"/>
        <w:rPr>
          <w:lang w:val="en-GB"/>
        </w:rPr>
      </w:pPr>
      <w:r w:rsidRPr="00A33264">
        <w:rPr>
          <w:lang w:val="en-GB"/>
        </w:rPr>
        <w:t>On page 98</w:t>
      </w:r>
      <w:r w:rsidR="004E416F">
        <w:rPr>
          <w:lang w:val="en-GB"/>
        </w:rPr>
        <w:t>,</w:t>
      </w:r>
      <w:r w:rsidRPr="00A33264">
        <w:rPr>
          <w:lang w:val="en-GB"/>
        </w:rPr>
        <w:t xml:space="preserve"> in section 5.2.3 Board and committee attendance, there was an error in </w:t>
      </w:r>
      <w:r w:rsidR="00AD5075">
        <w:rPr>
          <w:lang w:val="en-GB"/>
        </w:rPr>
        <w:t>T</w:t>
      </w:r>
      <w:r w:rsidRPr="00A33264">
        <w:rPr>
          <w:lang w:val="en-GB"/>
        </w:rPr>
        <w:t>able 5.2.3A: Number of meetings attended by Board members in 2022</w:t>
      </w:r>
      <w:r w:rsidR="00AD5075">
        <w:rPr>
          <w:lang w:val="en-GB"/>
        </w:rPr>
        <w:t>–</w:t>
      </w:r>
      <w:r w:rsidRPr="00A33264">
        <w:rPr>
          <w:lang w:val="en-GB"/>
        </w:rPr>
        <w:t>23:</w:t>
      </w:r>
    </w:p>
    <w:p w14:paraId="6A5C7FE8" w14:textId="49229C12" w:rsidR="00057213" w:rsidRPr="00A33264" w:rsidRDefault="00705C90" w:rsidP="00057213">
      <w:pPr>
        <w:pStyle w:val="Bullet2"/>
        <w:rPr>
          <w:lang w:val="en-GB"/>
        </w:rPr>
      </w:pPr>
      <w:r w:rsidRPr="00A33264">
        <w:rPr>
          <w:lang w:val="en-GB"/>
        </w:rPr>
        <w:t>Mr</w:t>
      </w:r>
      <w:r w:rsidR="00057213" w:rsidRPr="00A33264">
        <w:rPr>
          <w:lang w:val="en-GB"/>
        </w:rPr>
        <w:t xml:space="preserve"> Glenn Keys was listed as being eligible to attend 3 Audit Committee meetings, 4 Sustainability Committee meetings and 2 Risk Committee meetings</w:t>
      </w:r>
      <w:r w:rsidR="00AD5075">
        <w:rPr>
          <w:lang w:val="en-GB"/>
        </w:rPr>
        <w:t>.</w:t>
      </w:r>
      <w:r w:rsidR="00057213" w:rsidRPr="00A33264">
        <w:rPr>
          <w:lang w:val="en-GB"/>
        </w:rPr>
        <w:t xml:space="preserve"> </w:t>
      </w:r>
      <w:r w:rsidR="00AD5075">
        <w:rPr>
          <w:lang w:val="en-GB"/>
        </w:rPr>
        <w:t>T</w:t>
      </w:r>
      <w:r w:rsidR="00057213" w:rsidRPr="00A33264">
        <w:rPr>
          <w:lang w:val="en-GB"/>
        </w:rPr>
        <w:t>hese should all have been left blank</w:t>
      </w:r>
      <w:r w:rsidR="004D0E40" w:rsidRPr="00A33264">
        <w:rPr>
          <w:lang w:val="en-GB"/>
        </w:rPr>
        <w:t>,</w:t>
      </w:r>
      <w:r w:rsidR="00057213" w:rsidRPr="00A33264">
        <w:rPr>
          <w:lang w:val="en-GB"/>
        </w:rPr>
        <w:t xml:space="preserve"> as </w:t>
      </w:r>
      <w:r w:rsidRPr="00A33264">
        <w:rPr>
          <w:lang w:val="en-GB"/>
        </w:rPr>
        <w:t>Mr</w:t>
      </w:r>
      <w:r w:rsidR="00057213" w:rsidRPr="00A33264">
        <w:rPr>
          <w:lang w:val="en-GB"/>
        </w:rPr>
        <w:t xml:space="preserve"> Keys was not a member of those committees and </w:t>
      </w:r>
      <w:r w:rsidR="00AD5075">
        <w:rPr>
          <w:lang w:val="en-GB"/>
        </w:rPr>
        <w:t xml:space="preserve">was </w:t>
      </w:r>
      <w:r w:rsidR="00057213" w:rsidRPr="00A33264">
        <w:rPr>
          <w:lang w:val="en-GB"/>
        </w:rPr>
        <w:t>therefore ineligible to attend.</w:t>
      </w:r>
    </w:p>
    <w:p w14:paraId="239FC2C0" w14:textId="40E811C6" w:rsidR="00CB6138" w:rsidRPr="00A33264" w:rsidRDefault="00867E1D" w:rsidP="00057213">
      <w:pPr>
        <w:pStyle w:val="Bullet2"/>
        <w:rPr>
          <w:lang w:val="en-GB"/>
        </w:rPr>
      </w:pPr>
      <w:r w:rsidRPr="00A33264">
        <w:rPr>
          <w:lang w:val="en-GB"/>
        </w:rPr>
        <w:t>Mrs</w:t>
      </w:r>
      <w:r w:rsidR="00CB6138" w:rsidRPr="00A33264">
        <w:rPr>
          <w:lang w:val="en-GB"/>
        </w:rPr>
        <w:t xml:space="preserve"> Joan McKenna Kerr was listed as attending 2 </w:t>
      </w:r>
      <w:r w:rsidR="004D0E40" w:rsidRPr="00A33264">
        <w:rPr>
          <w:lang w:val="en-GB"/>
        </w:rPr>
        <w:t>B</w:t>
      </w:r>
      <w:r w:rsidR="00CB6138" w:rsidRPr="00A33264">
        <w:rPr>
          <w:lang w:val="en-GB"/>
        </w:rPr>
        <w:t xml:space="preserve">oard </w:t>
      </w:r>
      <w:r w:rsidR="007751BE" w:rsidRPr="00A33264">
        <w:rPr>
          <w:lang w:val="en-GB"/>
        </w:rPr>
        <w:t>meetings but</w:t>
      </w:r>
      <w:r w:rsidR="00CB6138" w:rsidRPr="00A33264">
        <w:rPr>
          <w:lang w:val="en-GB"/>
        </w:rPr>
        <w:t xml:space="preserve"> should have been listed as attending one meeting.</w:t>
      </w:r>
    </w:p>
    <w:p w14:paraId="21680BCF" w14:textId="18C82A5C" w:rsidR="00166C72" w:rsidRPr="00A33264" w:rsidRDefault="00166C72" w:rsidP="00166C72">
      <w:pPr>
        <w:pStyle w:val="Bullet1"/>
        <w:rPr>
          <w:lang w:val="en-GB"/>
        </w:rPr>
      </w:pPr>
      <w:r w:rsidRPr="00A33264">
        <w:rPr>
          <w:lang w:val="en-GB"/>
        </w:rPr>
        <w:t>On page 129</w:t>
      </w:r>
      <w:r w:rsidR="004E416F">
        <w:rPr>
          <w:lang w:val="en-GB"/>
        </w:rPr>
        <w:t>,</w:t>
      </w:r>
      <w:r w:rsidRPr="00A33264">
        <w:rPr>
          <w:lang w:val="en-GB"/>
        </w:rPr>
        <w:t xml:space="preserve"> in section 6.6.2 Information about remuneration of key management personnel, there was an error in </w:t>
      </w:r>
      <w:r w:rsidR="00AD5075">
        <w:rPr>
          <w:lang w:val="en-GB"/>
        </w:rPr>
        <w:t>T</w:t>
      </w:r>
      <w:r w:rsidRPr="00A33264">
        <w:rPr>
          <w:lang w:val="en-GB"/>
        </w:rPr>
        <w:t>able 6.6.2A: Key management personnel remuneration:</w:t>
      </w:r>
    </w:p>
    <w:p w14:paraId="14336868" w14:textId="6E89726E" w:rsidR="00D80838" w:rsidRPr="00A33264" w:rsidRDefault="00166C72" w:rsidP="00166C72">
      <w:pPr>
        <w:pStyle w:val="Bullet2"/>
        <w:rPr>
          <w:lang w:val="en-GB"/>
        </w:rPr>
      </w:pPr>
      <w:r w:rsidRPr="00A33264">
        <w:rPr>
          <w:lang w:val="en-GB"/>
        </w:rPr>
        <w:lastRenderedPageBreak/>
        <w:t xml:space="preserve">The base salary figure for Hamish Aikman should </w:t>
      </w:r>
      <w:r w:rsidR="00AD5075">
        <w:rPr>
          <w:lang w:val="en-GB"/>
        </w:rPr>
        <w:t xml:space="preserve">have </w:t>
      </w:r>
      <w:r w:rsidRPr="00A33264">
        <w:rPr>
          <w:lang w:val="en-GB"/>
        </w:rPr>
        <w:t>be</w:t>
      </w:r>
      <w:r w:rsidR="00AD5075">
        <w:rPr>
          <w:lang w:val="en-GB"/>
        </w:rPr>
        <w:t>en</w:t>
      </w:r>
      <w:r w:rsidRPr="00A33264">
        <w:rPr>
          <w:lang w:val="en-GB"/>
        </w:rPr>
        <w:t xml:space="preserve"> $317,037</w:t>
      </w:r>
      <w:r w:rsidR="00AD5075">
        <w:rPr>
          <w:lang w:val="en-GB"/>
        </w:rPr>
        <w:t>,</w:t>
      </w:r>
      <w:r w:rsidRPr="00A33264">
        <w:rPr>
          <w:lang w:val="en-GB"/>
        </w:rPr>
        <w:t xml:space="preserve"> with other benefits and allowances $0, </w:t>
      </w:r>
      <w:r w:rsidR="00AD5075">
        <w:rPr>
          <w:lang w:val="en-GB"/>
        </w:rPr>
        <w:t>s</w:t>
      </w:r>
      <w:r w:rsidRPr="00A33264">
        <w:rPr>
          <w:lang w:val="en-GB"/>
        </w:rPr>
        <w:t xml:space="preserve">uperannuation $17,608 and </w:t>
      </w:r>
      <w:r w:rsidR="00AD5075">
        <w:rPr>
          <w:lang w:val="en-GB"/>
        </w:rPr>
        <w:t>l</w:t>
      </w:r>
      <w:r w:rsidRPr="00A33264">
        <w:rPr>
          <w:lang w:val="en-GB"/>
        </w:rPr>
        <w:t xml:space="preserve">ong </w:t>
      </w:r>
      <w:r w:rsidR="00AD5075">
        <w:rPr>
          <w:lang w:val="en-GB"/>
        </w:rPr>
        <w:t>s</w:t>
      </w:r>
      <w:r w:rsidRPr="00A33264">
        <w:rPr>
          <w:lang w:val="en-GB"/>
        </w:rPr>
        <w:t xml:space="preserve">ervice </w:t>
      </w:r>
      <w:r w:rsidR="00AD5075">
        <w:rPr>
          <w:lang w:val="en-GB"/>
        </w:rPr>
        <w:t>l</w:t>
      </w:r>
      <w:r w:rsidRPr="00A33264">
        <w:rPr>
          <w:lang w:val="en-GB"/>
        </w:rPr>
        <w:t xml:space="preserve">eave $8,013. Total </w:t>
      </w:r>
      <w:r w:rsidR="00AD5075">
        <w:rPr>
          <w:lang w:val="en-GB"/>
        </w:rPr>
        <w:t>r</w:t>
      </w:r>
      <w:r w:rsidRPr="00A33264">
        <w:rPr>
          <w:lang w:val="en-GB"/>
        </w:rPr>
        <w:t xml:space="preserve">emuneration should </w:t>
      </w:r>
      <w:r w:rsidR="00AD5075">
        <w:rPr>
          <w:lang w:val="en-GB"/>
        </w:rPr>
        <w:t xml:space="preserve">have </w:t>
      </w:r>
      <w:r w:rsidRPr="00A33264">
        <w:rPr>
          <w:lang w:val="en-GB"/>
        </w:rPr>
        <w:t>be</w:t>
      </w:r>
      <w:r w:rsidR="00AD5075">
        <w:rPr>
          <w:lang w:val="en-GB"/>
        </w:rPr>
        <w:t>en</w:t>
      </w:r>
      <w:r w:rsidRPr="00A33264">
        <w:rPr>
          <w:lang w:val="en-GB"/>
        </w:rPr>
        <w:t xml:space="preserve"> $342,658.</w:t>
      </w:r>
    </w:p>
    <w:p w14:paraId="285D81C4" w14:textId="5844F29E" w:rsidR="00FD3D46" w:rsidRDefault="00FD3D46" w:rsidP="00FD3D46">
      <w:pPr>
        <w:pStyle w:val="Heading3"/>
        <w:rPr>
          <w:lang w:val="en-GB"/>
        </w:rPr>
      </w:pPr>
      <w:bookmarkStart w:id="445" w:name="_Toc176786415"/>
      <w:bookmarkStart w:id="446" w:name="_Toc180505697"/>
      <w:bookmarkStart w:id="447" w:name="_Toc169593032"/>
      <w:bookmarkStart w:id="448" w:name="_Toc174354221"/>
      <w:bookmarkStart w:id="449" w:name="_Toc174354234"/>
      <w:bookmarkStart w:id="450" w:name="_Toc175316925"/>
      <w:r>
        <w:rPr>
          <w:lang w:val="en-GB"/>
        </w:rPr>
        <w:t>Glossary</w:t>
      </w:r>
      <w:bookmarkEnd w:id="445"/>
      <w:bookmarkEnd w:id="446"/>
    </w:p>
    <w:p w14:paraId="2945B93B" w14:textId="4A0BF115" w:rsidR="00FD3D46" w:rsidRPr="00F34525" w:rsidRDefault="00FD3D46" w:rsidP="00FD3D46">
      <w:pPr>
        <w:pStyle w:val="Heading4"/>
        <w:rPr>
          <w:lang w:val="en-GB"/>
        </w:rPr>
      </w:pPr>
      <w:r>
        <w:rPr>
          <w:lang w:val="en-GB"/>
        </w:rPr>
        <w:t>Definitions</w:t>
      </w:r>
    </w:p>
    <w:tbl>
      <w:tblPr>
        <w:tblStyle w:val="GridTable411"/>
        <w:tblW w:w="9253" w:type="dxa"/>
        <w:tblCellMar>
          <w:top w:w="28" w:type="dxa"/>
          <w:left w:w="28" w:type="dxa"/>
          <w:bottom w:w="28" w:type="dxa"/>
          <w:right w:w="28" w:type="dxa"/>
        </w:tblCellMar>
        <w:tblLook w:val="0420" w:firstRow="1" w:lastRow="0" w:firstColumn="0" w:lastColumn="0" w:noHBand="0" w:noVBand="1"/>
      </w:tblPr>
      <w:tblGrid>
        <w:gridCol w:w="2830"/>
        <w:gridCol w:w="6423"/>
      </w:tblGrid>
      <w:tr w:rsidR="00FD3D46" w:rsidRPr="00FC6941" w14:paraId="3F7A50D5" w14:textId="77777777" w:rsidTr="00FD3D46">
        <w:trPr>
          <w:cnfStyle w:val="100000000000" w:firstRow="1" w:lastRow="0" w:firstColumn="0" w:lastColumn="0" w:oddVBand="0" w:evenVBand="0" w:oddHBand="0" w:evenHBand="0" w:firstRowFirstColumn="0" w:firstRowLastColumn="0" w:lastRowFirstColumn="0" w:lastRowLastColumn="0"/>
          <w:cantSplit/>
        </w:trPr>
        <w:tc>
          <w:tcPr>
            <w:tcW w:w="2830" w:type="dxa"/>
            <w:tcBorders>
              <w:top w:val="single" w:sz="4" w:space="0" w:color="6B2876"/>
              <w:bottom w:val="single" w:sz="4" w:space="0" w:color="6B2876"/>
            </w:tcBorders>
          </w:tcPr>
          <w:p w14:paraId="599954FD" w14:textId="73081079" w:rsidR="00FD3D46" w:rsidRPr="00FC6941" w:rsidRDefault="00FD3D46">
            <w:pPr>
              <w:spacing w:before="100" w:after="100"/>
              <w:rPr>
                <w:rFonts w:eastAsia="MS Mincho" w:cs="Arial"/>
                <w:lang w:val="en-GB"/>
              </w:rPr>
            </w:pPr>
            <w:bookmarkStart w:id="451" w:name="ColumnTitle_Definitions"/>
            <w:bookmarkEnd w:id="451"/>
            <w:r>
              <w:rPr>
                <w:rFonts w:eastAsia="MS Mincho" w:cs="Arial"/>
                <w:lang w:val="en-GB"/>
              </w:rPr>
              <w:t>Term</w:t>
            </w:r>
          </w:p>
        </w:tc>
        <w:tc>
          <w:tcPr>
            <w:tcW w:w="6423" w:type="dxa"/>
            <w:tcBorders>
              <w:top w:val="single" w:sz="4" w:space="0" w:color="6B2876"/>
              <w:bottom w:val="single" w:sz="4" w:space="0" w:color="6B2876"/>
            </w:tcBorders>
          </w:tcPr>
          <w:p w14:paraId="6A5E51F0" w14:textId="28318572" w:rsidR="00FD3D46" w:rsidRPr="00FC6941" w:rsidRDefault="00FD3D46">
            <w:pPr>
              <w:spacing w:before="100" w:after="100"/>
              <w:rPr>
                <w:rFonts w:eastAsia="MS Mincho" w:cs="Arial"/>
                <w:lang w:val="en-GB"/>
              </w:rPr>
            </w:pPr>
            <w:r>
              <w:rPr>
                <w:rFonts w:eastAsia="MS Mincho" w:cs="Arial"/>
                <w:lang w:val="en-GB"/>
              </w:rPr>
              <w:t>Definition</w:t>
            </w:r>
          </w:p>
        </w:tc>
      </w:tr>
      <w:tr w:rsidR="0023438D" w:rsidRPr="00FC6941" w14:paraId="439D8CA2" w14:textId="77777777" w:rsidTr="00FD3D46">
        <w:trPr>
          <w:cnfStyle w:val="000000100000" w:firstRow="0" w:lastRow="0" w:firstColumn="0" w:lastColumn="0" w:oddVBand="0" w:evenVBand="0" w:oddHBand="1" w:evenHBand="0" w:firstRowFirstColumn="0" w:firstRowLastColumn="0" w:lastRowFirstColumn="0" w:lastRowLastColumn="0"/>
          <w:cantSplit/>
        </w:trPr>
        <w:tc>
          <w:tcPr>
            <w:tcW w:w="2830" w:type="dxa"/>
          </w:tcPr>
          <w:p w14:paraId="527BE3C1" w14:textId="2F1C9CAD" w:rsidR="0023438D" w:rsidRPr="00FC6941" w:rsidRDefault="0023438D" w:rsidP="0023438D">
            <w:pPr>
              <w:spacing w:before="100" w:after="100"/>
              <w:rPr>
                <w:rFonts w:eastAsia="MS Mincho" w:cs="Arial"/>
                <w:lang w:val="en-GB"/>
              </w:rPr>
            </w:pPr>
            <w:r w:rsidRPr="00EC7B58">
              <w:t>Administrative Appeals Tribunal (AAT)</w:t>
            </w:r>
          </w:p>
        </w:tc>
        <w:tc>
          <w:tcPr>
            <w:tcW w:w="6423" w:type="dxa"/>
          </w:tcPr>
          <w:p w14:paraId="75DD3DEC" w14:textId="2F0A99A6" w:rsidR="0023438D" w:rsidRPr="00FC6941" w:rsidRDefault="0023438D" w:rsidP="0023438D">
            <w:pPr>
              <w:spacing w:before="100" w:after="100"/>
              <w:rPr>
                <w:rFonts w:eastAsia="MS Mincho" w:cs="Arial"/>
                <w:lang w:val="en-GB"/>
              </w:rPr>
            </w:pPr>
            <w:r w:rsidRPr="00EC7B58">
              <w:t>An independent body that conducts reviews of administrative decisions made under Commonwealth laws.</w:t>
            </w:r>
          </w:p>
        </w:tc>
      </w:tr>
      <w:tr w:rsidR="00FD3D46" w:rsidRPr="00FC6941" w14:paraId="1A6A9797" w14:textId="77777777" w:rsidTr="00FD3D46">
        <w:trPr>
          <w:cantSplit/>
        </w:trPr>
        <w:tc>
          <w:tcPr>
            <w:tcW w:w="2830" w:type="dxa"/>
          </w:tcPr>
          <w:p w14:paraId="0E28ED1C" w14:textId="2D7E770B" w:rsidR="00FD3D46" w:rsidRPr="00FC6941" w:rsidRDefault="00593271">
            <w:pPr>
              <w:spacing w:before="100" w:after="100"/>
              <w:rPr>
                <w:rFonts w:eastAsia="MS Mincho" w:cs="Arial"/>
                <w:lang w:val="en-GB"/>
              </w:rPr>
            </w:pPr>
            <w:r w:rsidRPr="00593271">
              <w:rPr>
                <w:rFonts w:eastAsia="MS Mincho" w:cs="Arial"/>
              </w:rPr>
              <w:t>Disability sector</w:t>
            </w:r>
          </w:p>
        </w:tc>
        <w:tc>
          <w:tcPr>
            <w:tcW w:w="6423" w:type="dxa"/>
          </w:tcPr>
          <w:p w14:paraId="531CFEDF" w14:textId="5679C8EE" w:rsidR="00FD3D46" w:rsidRPr="00FC6941" w:rsidRDefault="008600AF">
            <w:pPr>
              <w:spacing w:before="100" w:after="100"/>
              <w:rPr>
                <w:rFonts w:eastAsia="MS Mincho" w:cs="Arial"/>
                <w:lang w:val="en-GB"/>
              </w:rPr>
            </w:pPr>
            <w:r w:rsidRPr="008600AF">
              <w:rPr>
                <w:rFonts w:eastAsia="MS Mincho" w:cs="Arial"/>
              </w:rPr>
              <w:t>Refers to organisations and sole traders who deliver disability support services and the peak bodies that represent them.</w:t>
            </w:r>
          </w:p>
        </w:tc>
      </w:tr>
      <w:tr w:rsidR="003359CA" w:rsidRPr="00FC6941" w14:paraId="71178453" w14:textId="77777777" w:rsidTr="00FD3D46">
        <w:trPr>
          <w:cnfStyle w:val="000000100000" w:firstRow="0" w:lastRow="0" w:firstColumn="0" w:lastColumn="0" w:oddVBand="0" w:evenVBand="0" w:oddHBand="1" w:evenHBand="0" w:firstRowFirstColumn="0" w:firstRowLastColumn="0" w:lastRowFirstColumn="0" w:lastRowLastColumn="0"/>
          <w:cantSplit/>
        </w:trPr>
        <w:tc>
          <w:tcPr>
            <w:tcW w:w="2830" w:type="dxa"/>
          </w:tcPr>
          <w:p w14:paraId="064648E3" w14:textId="3B73E0E6" w:rsidR="003359CA" w:rsidRPr="00FC6941" w:rsidRDefault="00AE51C6" w:rsidP="003359CA">
            <w:pPr>
              <w:spacing w:before="100" w:after="100"/>
              <w:rPr>
                <w:rFonts w:eastAsia="MS Mincho" w:cs="Arial"/>
                <w:highlight w:val="yellow"/>
                <w:lang w:val="en-GB"/>
              </w:rPr>
            </w:pPr>
            <w:r w:rsidRPr="00AE51C6">
              <w:rPr>
                <w:rFonts w:eastAsia="MS Mincho" w:cs="Arial"/>
              </w:rPr>
              <w:t>Early childhood approach</w:t>
            </w:r>
          </w:p>
        </w:tc>
        <w:tc>
          <w:tcPr>
            <w:tcW w:w="6423" w:type="dxa"/>
          </w:tcPr>
          <w:p w14:paraId="5166D573" w14:textId="37244359" w:rsidR="003359CA" w:rsidRPr="00FC6941" w:rsidRDefault="00596BE0" w:rsidP="003359CA">
            <w:pPr>
              <w:spacing w:before="100" w:after="100"/>
              <w:rPr>
                <w:rFonts w:eastAsia="MS Mincho" w:cs="Arial"/>
                <w:lang w:val="en-GB"/>
              </w:rPr>
            </w:pPr>
            <w:r w:rsidRPr="00596BE0">
              <w:rPr>
                <w:rFonts w:eastAsia="MS Mincho" w:cs="Arial"/>
              </w:rPr>
              <w:t>The early childhood approach supports children younger than 6 with developmental delay or children younger than 9 with disability, and their families and carers, to develop the skills they need to participate in daily activities and achieve the best possible outcomes throughout their life.</w:t>
            </w:r>
          </w:p>
        </w:tc>
      </w:tr>
      <w:tr w:rsidR="009F7035" w:rsidRPr="00FC6941" w14:paraId="0653D451" w14:textId="77777777" w:rsidTr="00FD3D46">
        <w:trPr>
          <w:cantSplit/>
        </w:trPr>
        <w:tc>
          <w:tcPr>
            <w:tcW w:w="2830" w:type="dxa"/>
          </w:tcPr>
          <w:p w14:paraId="0EFFD23D" w14:textId="0685BE7A" w:rsidR="009F7035" w:rsidRPr="00FC6941" w:rsidRDefault="00596BE0">
            <w:pPr>
              <w:spacing w:before="100" w:after="100"/>
              <w:rPr>
                <w:rFonts w:eastAsia="MS Mincho" w:cs="Arial"/>
                <w:highlight w:val="yellow"/>
                <w:lang w:val="en-GB"/>
              </w:rPr>
            </w:pPr>
            <w:r w:rsidRPr="00596BE0">
              <w:rPr>
                <w:rFonts w:eastAsia="MS Mincho" w:cs="Arial"/>
              </w:rPr>
              <w:t>Local area coordination partners</w:t>
            </w:r>
          </w:p>
        </w:tc>
        <w:tc>
          <w:tcPr>
            <w:tcW w:w="6423" w:type="dxa"/>
          </w:tcPr>
          <w:p w14:paraId="07313891" w14:textId="78BD529D" w:rsidR="009F7035" w:rsidRPr="00FC6941" w:rsidRDefault="004E059D">
            <w:pPr>
              <w:spacing w:before="100" w:after="100"/>
              <w:rPr>
                <w:rFonts w:eastAsia="MS Mincho" w:cs="Arial"/>
                <w:lang w:val="en-GB"/>
              </w:rPr>
            </w:pPr>
            <w:r w:rsidRPr="004E059D">
              <w:rPr>
                <w:rFonts w:eastAsia="MS Mincho" w:cs="Arial"/>
              </w:rPr>
              <w:t>Local organisations working in partnership with the NDIA, to help participants, their families and carers access the NDIS.</w:t>
            </w:r>
          </w:p>
        </w:tc>
      </w:tr>
      <w:tr w:rsidR="009F7035" w:rsidRPr="00FC6941" w14:paraId="349C1C9C" w14:textId="77777777" w:rsidTr="00FD3D46">
        <w:trPr>
          <w:cnfStyle w:val="000000100000" w:firstRow="0" w:lastRow="0" w:firstColumn="0" w:lastColumn="0" w:oddVBand="0" w:evenVBand="0" w:oddHBand="1" w:evenHBand="0" w:firstRowFirstColumn="0" w:firstRowLastColumn="0" w:lastRowFirstColumn="0" w:lastRowLastColumn="0"/>
          <w:cantSplit/>
        </w:trPr>
        <w:tc>
          <w:tcPr>
            <w:tcW w:w="2830" w:type="dxa"/>
          </w:tcPr>
          <w:p w14:paraId="4A971826" w14:textId="59F5DCBF" w:rsidR="009F7035" w:rsidRPr="00FC6941" w:rsidRDefault="004E059D">
            <w:pPr>
              <w:spacing w:before="100" w:after="100"/>
              <w:rPr>
                <w:rFonts w:eastAsia="MS Mincho" w:cs="Arial"/>
                <w:highlight w:val="yellow"/>
                <w:lang w:val="en-GB"/>
              </w:rPr>
            </w:pPr>
            <w:r w:rsidRPr="004E059D">
              <w:rPr>
                <w:rFonts w:eastAsia="MS Mincho" w:cs="Arial"/>
              </w:rPr>
              <w:t>Partners in the community (PITC)</w:t>
            </w:r>
          </w:p>
        </w:tc>
        <w:tc>
          <w:tcPr>
            <w:tcW w:w="6423" w:type="dxa"/>
          </w:tcPr>
          <w:p w14:paraId="21863496" w14:textId="6ADDB3F9" w:rsidR="009F7035" w:rsidRPr="00FC6941" w:rsidRDefault="004B0C9B">
            <w:pPr>
              <w:spacing w:before="100" w:after="100"/>
              <w:rPr>
                <w:rFonts w:eastAsia="MS Mincho" w:cs="Arial"/>
                <w:lang w:val="en-GB"/>
              </w:rPr>
            </w:pPr>
            <w:r w:rsidRPr="004B0C9B">
              <w:rPr>
                <w:rFonts w:eastAsia="MS Mincho" w:cs="Arial"/>
              </w:rPr>
              <w:t>Experienced and qualified organisations with strong local knowledge and understanding of the needs of people with disability. PITCs work with the NDIA to deliver early childhood and local area coordination services to Australians with disability and children younger than 6 with delays in their development.</w:t>
            </w:r>
          </w:p>
        </w:tc>
      </w:tr>
      <w:tr w:rsidR="009F7035" w:rsidRPr="00FC6941" w14:paraId="02F839D7" w14:textId="77777777" w:rsidTr="00FD3D46">
        <w:trPr>
          <w:cantSplit/>
        </w:trPr>
        <w:tc>
          <w:tcPr>
            <w:tcW w:w="2830" w:type="dxa"/>
          </w:tcPr>
          <w:p w14:paraId="16A0D90C" w14:textId="2A289FE5" w:rsidR="009F7035" w:rsidRPr="00FC6941" w:rsidRDefault="004B0C9B">
            <w:pPr>
              <w:spacing w:before="100" w:after="100"/>
              <w:rPr>
                <w:rFonts w:eastAsia="MS Mincho" w:cs="Arial"/>
                <w:highlight w:val="yellow"/>
                <w:lang w:val="en-GB"/>
              </w:rPr>
            </w:pPr>
            <w:r w:rsidRPr="004B0C9B">
              <w:rPr>
                <w:rFonts w:eastAsia="MS Mincho" w:cs="Arial"/>
                <w:lang w:val="en-GB"/>
              </w:rPr>
              <w:t>Plan</w:t>
            </w:r>
          </w:p>
        </w:tc>
        <w:tc>
          <w:tcPr>
            <w:tcW w:w="6423" w:type="dxa"/>
          </w:tcPr>
          <w:p w14:paraId="33B35CB4" w14:textId="2BD41DEF" w:rsidR="009F7035" w:rsidRPr="00FC6941" w:rsidRDefault="00F34525">
            <w:pPr>
              <w:spacing w:before="100" w:after="100"/>
              <w:rPr>
                <w:rFonts w:eastAsia="MS Mincho" w:cs="Arial"/>
                <w:lang w:val="en-GB"/>
              </w:rPr>
            </w:pPr>
            <w:r w:rsidRPr="00F34525">
              <w:rPr>
                <w:rFonts w:eastAsia="MS Mincho" w:cs="Arial"/>
              </w:rPr>
              <w:t>A written agreement worked out with the participant, stating their goals and needs, and the reasonable and necessary supports the NDIS will fund for them. Each participant has their own individual plan.</w:t>
            </w:r>
          </w:p>
        </w:tc>
      </w:tr>
      <w:tr w:rsidR="009F7035" w:rsidRPr="00FC6941" w14:paraId="585C3A9C" w14:textId="77777777" w:rsidTr="00FD3D46">
        <w:trPr>
          <w:cnfStyle w:val="000000100000" w:firstRow="0" w:lastRow="0" w:firstColumn="0" w:lastColumn="0" w:oddVBand="0" w:evenVBand="0" w:oddHBand="1" w:evenHBand="0" w:firstRowFirstColumn="0" w:firstRowLastColumn="0" w:lastRowFirstColumn="0" w:lastRowLastColumn="0"/>
          <w:cantSplit/>
        </w:trPr>
        <w:tc>
          <w:tcPr>
            <w:tcW w:w="2830" w:type="dxa"/>
          </w:tcPr>
          <w:p w14:paraId="47E1D077" w14:textId="058DD48C" w:rsidR="009F7035" w:rsidRPr="00FC6941" w:rsidRDefault="00F34525">
            <w:pPr>
              <w:spacing w:before="100" w:after="100"/>
              <w:rPr>
                <w:rFonts w:eastAsia="MS Mincho" w:cs="Arial"/>
                <w:highlight w:val="yellow"/>
                <w:lang w:val="en-GB"/>
              </w:rPr>
            </w:pPr>
            <w:r w:rsidRPr="00F34525">
              <w:rPr>
                <w:rFonts w:eastAsia="MS Mincho" w:cs="Arial"/>
              </w:rPr>
              <w:t>Supported independent living</w:t>
            </w:r>
          </w:p>
        </w:tc>
        <w:tc>
          <w:tcPr>
            <w:tcW w:w="6423" w:type="dxa"/>
          </w:tcPr>
          <w:p w14:paraId="3D0733D5" w14:textId="49813770" w:rsidR="009F7035" w:rsidRPr="00FC6941" w:rsidRDefault="00F34525">
            <w:pPr>
              <w:spacing w:before="100" w:after="100"/>
              <w:rPr>
                <w:rFonts w:eastAsia="MS Mincho" w:cs="Arial"/>
                <w:lang w:val="en-GB"/>
              </w:rPr>
            </w:pPr>
            <w:r w:rsidRPr="00F34525">
              <w:rPr>
                <w:rFonts w:eastAsia="MS Mincho" w:cs="Arial"/>
              </w:rPr>
              <w:t>One type of help or supervision with daily tasks to help participants live as independently as possible, while building their skills.</w:t>
            </w:r>
          </w:p>
        </w:tc>
      </w:tr>
    </w:tbl>
    <w:p w14:paraId="60298B80" w14:textId="37C4BE2C" w:rsidR="00FD3D46" w:rsidRPr="005A6441" w:rsidRDefault="00FD3D46" w:rsidP="00FD3D46">
      <w:pPr>
        <w:pStyle w:val="Heading4"/>
        <w:rPr>
          <w:lang w:val="en-GB"/>
        </w:rPr>
      </w:pPr>
      <w:r>
        <w:rPr>
          <w:lang w:val="en-GB"/>
        </w:rPr>
        <w:lastRenderedPageBreak/>
        <w:t>Acronyms</w:t>
      </w:r>
    </w:p>
    <w:tbl>
      <w:tblPr>
        <w:tblStyle w:val="GridTable411"/>
        <w:tblW w:w="9253" w:type="dxa"/>
        <w:tblCellMar>
          <w:top w:w="28" w:type="dxa"/>
          <w:left w:w="28" w:type="dxa"/>
          <w:bottom w:w="28" w:type="dxa"/>
          <w:right w:w="28" w:type="dxa"/>
        </w:tblCellMar>
        <w:tblLook w:val="0420" w:firstRow="1" w:lastRow="0" w:firstColumn="0" w:lastColumn="0" w:noHBand="0" w:noVBand="1"/>
      </w:tblPr>
      <w:tblGrid>
        <w:gridCol w:w="2830"/>
        <w:gridCol w:w="6423"/>
      </w:tblGrid>
      <w:tr w:rsidR="00FD3D46" w:rsidRPr="00FC6941" w14:paraId="4FC1E993" w14:textId="77777777">
        <w:trPr>
          <w:cnfStyle w:val="100000000000" w:firstRow="1" w:lastRow="0" w:firstColumn="0" w:lastColumn="0" w:oddVBand="0" w:evenVBand="0" w:oddHBand="0" w:evenHBand="0" w:firstRowFirstColumn="0" w:firstRowLastColumn="0" w:lastRowFirstColumn="0" w:lastRowLastColumn="0"/>
          <w:cantSplit/>
        </w:trPr>
        <w:tc>
          <w:tcPr>
            <w:tcW w:w="2830" w:type="dxa"/>
            <w:tcBorders>
              <w:top w:val="single" w:sz="4" w:space="0" w:color="6B2876"/>
              <w:bottom w:val="single" w:sz="4" w:space="0" w:color="6B2876"/>
            </w:tcBorders>
          </w:tcPr>
          <w:p w14:paraId="012969D0" w14:textId="77777777" w:rsidR="00FD3D46" w:rsidRPr="00FC6941" w:rsidRDefault="00FD3D46">
            <w:pPr>
              <w:spacing w:before="100" w:after="100"/>
              <w:rPr>
                <w:rFonts w:eastAsia="MS Mincho" w:cs="Arial"/>
                <w:lang w:val="en-GB"/>
              </w:rPr>
            </w:pPr>
            <w:bookmarkStart w:id="452" w:name="ColumnTitle_Acronyms"/>
            <w:bookmarkEnd w:id="452"/>
            <w:r>
              <w:rPr>
                <w:rFonts w:eastAsia="MS Mincho" w:cs="Arial"/>
                <w:lang w:val="en-GB"/>
              </w:rPr>
              <w:t>Term</w:t>
            </w:r>
          </w:p>
        </w:tc>
        <w:tc>
          <w:tcPr>
            <w:tcW w:w="6423" w:type="dxa"/>
            <w:tcBorders>
              <w:top w:val="single" w:sz="4" w:space="0" w:color="6B2876"/>
              <w:bottom w:val="single" w:sz="4" w:space="0" w:color="6B2876"/>
            </w:tcBorders>
          </w:tcPr>
          <w:p w14:paraId="2CCD0191" w14:textId="77777777" w:rsidR="00FD3D46" w:rsidRPr="00FC6941" w:rsidRDefault="00FD3D46">
            <w:pPr>
              <w:spacing w:before="100" w:after="100"/>
              <w:rPr>
                <w:rFonts w:eastAsia="MS Mincho" w:cs="Arial"/>
                <w:lang w:val="en-GB"/>
              </w:rPr>
            </w:pPr>
            <w:r>
              <w:rPr>
                <w:rFonts w:eastAsia="MS Mincho" w:cs="Arial"/>
                <w:lang w:val="en-GB"/>
              </w:rPr>
              <w:t>Definition</w:t>
            </w:r>
          </w:p>
        </w:tc>
      </w:tr>
      <w:tr w:rsidR="00FD3D46" w:rsidRPr="00FC6941" w14:paraId="6B0FEBF7"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5D2A7FD5" w14:textId="4AE69A36" w:rsidR="00FD3D46" w:rsidRPr="00FC6941" w:rsidRDefault="003F7DD7">
            <w:pPr>
              <w:spacing w:before="100" w:after="100"/>
              <w:rPr>
                <w:rFonts w:eastAsia="MS Mincho" w:cs="Arial"/>
                <w:lang w:val="en-GB"/>
              </w:rPr>
            </w:pPr>
            <w:r>
              <w:rPr>
                <w:rFonts w:eastAsia="MS Mincho" w:cs="Arial"/>
                <w:lang w:val="en-GB"/>
              </w:rPr>
              <w:t>AAT</w:t>
            </w:r>
          </w:p>
        </w:tc>
        <w:tc>
          <w:tcPr>
            <w:tcW w:w="6423" w:type="dxa"/>
          </w:tcPr>
          <w:p w14:paraId="42770537" w14:textId="2C5968A7" w:rsidR="00FD3D46" w:rsidRPr="00FC6941" w:rsidRDefault="00681C8B">
            <w:pPr>
              <w:spacing w:before="100" w:after="100"/>
              <w:rPr>
                <w:rFonts w:eastAsia="MS Mincho" w:cs="Arial"/>
                <w:lang w:val="en-GB"/>
              </w:rPr>
            </w:pPr>
            <w:r w:rsidRPr="00681C8B">
              <w:rPr>
                <w:rFonts w:eastAsia="MS Mincho" w:cs="Arial"/>
              </w:rPr>
              <w:t>Administrative Appeals Tribunal</w:t>
            </w:r>
          </w:p>
        </w:tc>
      </w:tr>
      <w:tr w:rsidR="00FD3D46" w:rsidRPr="00FC6941" w14:paraId="22FC0038" w14:textId="77777777">
        <w:trPr>
          <w:cantSplit/>
        </w:trPr>
        <w:tc>
          <w:tcPr>
            <w:tcW w:w="2830" w:type="dxa"/>
          </w:tcPr>
          <w:p w14:paraId="5CDC4C87" w14:textId="1DD4C266" w:rsidR="00FD3D46" w:rsidRPr="00FC6941" w:rsidRDefault="00681C8B">
            <w:pPr>
              <w:spacing w:before="100" w:after="100"/>
              <w:rPr>
                <w:rFonts w:eastAsia="MS Mincho" w:cs="Arial"/>
                <w:lang w:val="en-GB"/>
              </w:rPr>
            </w:pPr>
            <w:r>
              <w:rPr>
                <w:rFonts w:eastAsia="MS Mincho" w:cs="Arial"/>
                <w:lang w:val="en-GB"/>
              </w:rPr>
              <w:t>ABS</w:t>
            </w:r>
          </w:p>
        </w:tc>
        <w:tc>
          <w:tcPr>
            <w:tcW w:w="6423" w:type="dxa"/>
          </w:tcPr>
          <w:p w14:paraId="0A70C32B" w14:textId="72F7EE6A" w:rsidR="00FD3D46" w:rsidRPr="00FC6941" w:rsidRDefault="00681C8B">
            <w:pPr>
              <w:spacing w:before="100" w:after="100"/>
              <w:rPr>
                <w:rFonts w:eastAsia="MS Mincho" w:cs="Arial"/>
                <w:lang w:val="en-GB"/>
              </w:rPr>
            </w:pPr>
            <w:r w:rsidRPr="00681C8B">
              <w:rPr>
                <w:rFonts w:eastAsia="MS Mincho" w:cs="Arial"/>
              </w:rPr>
              <w:t>Australian Bureau of Statistics</w:t>
            </w:r>
          </w:p>
        </w:tc>
      </w:tr>
      <w:tr w:rsidR="00FD3D46" w:rsidRPr="00FC6941" w14:paraId="0C0CEB3E"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38A135A4" w14:textId="3ECD1C8B" w:rsidR="00FD3D46" w:rsidRPr="00FC6941" w:rsidRDefault="00681C8B">
            <w:pPr>
              <w:spacing w:before="100" w:after="100"/>
              <w:rPr>
                <w:rFonts w:eastAsia="MS Mincho" w:cs="Arial"/>
                <w:highlight w:val="yellow"/>
                <w:lang w:val="en-GB"/>
              </w:rPr>
            </w:pPr>
            <w:r w:rsidRPr="00681C8B">
              <w:rPr>
                <w:rFonts w:eastAsia="MS Mincho" w:cs="Arial"/>
                <w:lang w:val="en-GB"/>
              </w:rPr>
              <w:t>AFSR</w:t>
            </w:r>
          </w:p>
        </w:tc>
        <w:tc>
          <w:tcPr>
            <w:tcW w:w="6423" w:type="dxa"/>
          </w:tcPr>
          <w:p w14:paraId="1B93B17E" w14:textId="0D25C782" w:rsidR="00FD3D46" w:rsidRPr="00FC6941" w:rsidRDefault="00E63D88">
            <w:pPr>
              <w:spacing w:before="100" w:after="100"/>
              <w:rPr>
                <w:rFonts w:eastAsia="MS Mincho" w:cs="Arial"/>
                <w:lang w:val="en-GB"/>
              </w:rPr>
            </w:pPr>
            <w:r w:rsidRPr="00E63D88">
              <w:rPr>
                <w:rFonts w:eastAsia="MS Mincho" w:cs="Arial"/>
              </w:rPr>
              <w:t xml:space="preserve">Annual </w:t>
            </w:r>
            <w:r>
              <w:rPr>
                <w:rFonts w:eastAsia="MS Mincho" w:cs="Arial"/>
              </w:rPr>
              <w:t>F</w:t>
            </w:r>
            <w:r w:rsidRPr="00E63D88">
              <w:rPr>
                <w:rFonts w:eastAsia="MS Mincho" w:cs="Arial"/>
              </w:rPr>
              <w:t xml:space="preserve">inancial </w:t>
            </w:r>
            <w:r>
              <w:rPr>
                <w:rFonts w:eastAsia="MS Mincho" w:cs="Arial"/>
              </w:rPr>
              <w:t>S</w:t>
            </w:r>
            <w:r w:rsidRPr="00E63D88">
              <w:rPr>
                <w:rFonts w:eastAsia="MS Mincho" w:cs="Arial"/>
              </w:rPr>
              <w:t xml:space="preserve">ustainability </w:t>
            </w:r>
            <w:r>
              <w:rPr>
                <w:rFonts w:eastAsia="MS Mincho" w:cs="Arial"/>
              </w:rPr>
              <w:t>R</w:t>
            </w:r>
            <w:r w:rsidRPr="00E63D88">
              <w:rPr>
                <w:rFonts w:eastAsia="MS Mincho" w:cs="Arial"/>
              </w:rPr>
              <w:t>eport</w:t>
            </w:r>
          </w:p>
        </w:tc>
      </w:tr>
      <w:tr w:rsidR="0058020A" w:rsidRPr="00FC6941" w14:paraId="7507F272" w14:textId="77777777">
        <w:trPr>
          <w:cantSplit/>
        </w:trPr>
        <w:tc>
          <w:tcPr>
            <w:tcW w:w="2830" w:type="dxa"/>
          </w:tcPr>
          <w:p w14:paraId="53A445A4" w14:textId="64CFEAAA" w:rsidR="0058020A" w:rsidRPr="00681C8B" w:rsidRDefault="009C2176">
            <w:pPr>
              <w:spacing w:before="100" w:after="100"/>
              <w:rPr>
                <w:rFonts w:eastAsia="MS Mincho" w:cs="Arial"/>
                <w:lang w:val="en-GB"/>
              </w:rPr>
            </w:pPr>
            <w:r>
              <w:rPr>
                <w:rFonts w:eastAsia="MS Mincho" w:cs="Arial"/>
                <w:lang w:val="en-GB"/>
              </w:rPr>
              <w:t>AHRC</w:t>
            </w:r>
          </w:p>
        </w:tc>
        <w:tc>
          <w:tcPr>
            <w:tcW w:w="6423" w:type="dxa"/>
          </w:tcPr>
          <w:p w14:paraId="60108695" w14:textId="546D4B3B" w:rsidR="0058020A" w:rsidRPr="00E63D88" w:rsidRDefault="009C2176">
            <w:pPr>
              <w:spacing w:before="100" w:after="100"/>
              <w:rPr>
                <w:rFonts w:eastAsia="MS Mincho" w:cs="Arial"/>
              </w:rPr>
            </w:pPr>
            <w:r w:rsidRPr="009C2176">
              <w:rPr>
                <w:rFonts w:eastAsia="MS Mincho" w:cs="Arial"/>
              </w:rPr>
              <w:t>Australian Human Rights Commission</w:t>
            </w:r>
          </w:p>
        </w:tc>
      </w:tr>
      <w:tr w:rsidR="009C2176" w:rsidRPr="00FC6941" w14:paraId="3771424D"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690E1E73" w14:textId="6C94B6E9" w:rsidR="009C2176" w:rsidRDefault="009C2176">
            <w:pPr>
              <w:spacing w:before="100" w:after="100"/>
              <w:rPr>
                <w:rFonts w:eastAsia="MS Mincho" w:cs="Arial"/>
                <w:lang w:val="en-GB"/>
              </w:rPr>
            </w:pPr>
            <w:r>
              <w:rPr>
                <w:rFonts w:eastAsia="MS Mincho" w:cs="Arial"/>
                <w:lang w:val="en-GB"/>
              </w:rPr>
              <w:t>AIHW</w:t>
            </w:r>
          </w:p>
        </w:tc>
        <w:tc>
          <w:tcPr>
            <w:tcW w:w="6423" w:type="dxa"/>
          </w:tcPr>
          <w:p w14:paraId="5DB3026F" w14:textId="02C2BC21" w:rsidR="009C2176" w:rsidRPr="009C2176" w:rsidRDefault="008D217E">
            <w:pPr>
              <w:spacing w:before="100" w:after="100"/>
              <w:rPr>
                <w:rFonts w:eastAsia="MS Mincho" w:cs="Arial"/>
              </w:rPr>
            </w:pPr>
            <w:r w:rsidRPr="008D217E">
              <w:rPr>
                <w:rFonts w:eastAsia="MS Mincho" w:cs="Arial"/>
              </w:rPr>
              <w:t>Australian Institute of Health and Welfare</w:t>
            </w:r>
          </w:p>
        </w:tc>
      </w:tr>
      <w:tr w:rsidR="008D217E" w:rsidRPr="00FC6941" w14:paraId="11A5B64A" w14:textId="77777777">
        <w:trPr>
          <w:cantSplit/>
        </w:trPr>
        <w:tc>
          <w:tcPr>
            <w:tcW w:w="2830" w:type="dxa"/>
          </w:tcPr>
          <w:p w14:paraId="47DDC295" w14:textId="7682AB1C" w:rsidR="008D217E" w:rsidRDefault="008D217E">
            <w:pPr>
              <w:spacing w:before="100" w:after="100"/>
              <w:rPr>
                <w:rFonts w:eastAsia="MS Mincho" w:cs="Arial"/>
                <w:lang w:val="en-GB"/>
              </w:rPr>
            </w:pPr>
            <w:r>
              <w:rPr>
                <w:rFonts w:eastAsia="MS Mincho" w:cs="Arial"/>
                <w:lang w:val="en-GB"/>
              </w:rPr>
              <w:t>AM</w:t>
            </w:r>
          </w:p>
        </w:tc>
        <w:tc>
          <w:tcPr>
            <w:tcW w:w="6423" w:type="dxa"/>
          </w:tcPr>
          <w:p w14:paraId="217E9EFB" w14:textId="6AE6F9CA" w:rsidR="008D217E" w:rsidRPr="008D217E" w:rsidRDefault="008D217E">
            <w:pPr>
              <w:spacing w:before="100" w:after="100"/>
              <w:rPr>
                <w:rFonts w:eastAsia="MS Mincho" w:cs="Arial"/>
              </w:rPr>
            </w:pPr>
            <w:r>
              <w:rPr>
                <w:rFonts w:eastAsia="MS Mincho" w:cs="Arial"/>
              </w:rPr>
              <w:t>Member of the Order of Australia</w:t>
            </w:r>
          </w:p>
        </w:tc>
      </w:tr>
      <w:tr w:rsidR="008D217E" w:rsidRPr="00FC6941" w14:paraId="211389F1"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5FBDF503" w14:textId="570489B6" w:rsidR="008D217E" w:rsidRDefault="00CF2AB7">
            <w:pPr>
              <w:spacing w:before="100" w:after="100"/>
              <w:rPr>
                <w:rFonts w:eastAsia="MS Mincho" w:cs="Arial"/>
                <w:lang w:val="en-GB"/>
              </w:rPr>
            </w:pPr>
            <w:r>
              <w:rPr>
                <w:rFonts w:eastAsia="MS Mincho" w:cs="Arial"/>
                <w:lang w:val="en-GB"/>
              </w:rPr>
              <w:t>ANAO</w:t>
            </w:r>
          </w:p>
        </w:tc>
        <w:tc>
          <w:tcPr>
            <w:tcW w:w="6423" w:type="dxa"/>
          </w:tcPr>
          <w:p w14:paraId="156D66F5" w14:textId="22F9C7C9" w:rsidR="008D217E" w:rsidRDefault="00CF2AB7">
            <w:pPr>
              <w:spacing w:before="100" w:after="100"/>
              <w:rPr>
                <w:rFonts w:eastAsia="MS Mincho" w:cs="Arial"/>
              </w:rPr>
            </w:pPr>
            <w:r w:rsidRPr="00CF2AB7">
              <w:rPr>
                <w:rFonts w:eastAsia="MS Mincho" w:cs="Arial"/>
              </w:rPr>
              <w:t>Australian National Audit Office</w:t>
            </w:r>
          </w:p>
        </w:tc>
      </w:tr>
      <w:tr w:rsidR="00CF2AB7" w:rsidRPr="00FC6941" w14:paraId="4843E488" w14:textId="77777777">
        <w:trPr>
          <w:cantSplit/>
        </w:trPr>
        <w:tc>
          <w:tcPr>
            <w:tcW w:w="2830" w:type="dxa"/>
          </w:tcPr>
          <w:p w14:paraId="119B15DE" w14:textId="5E530CA2" w:rsidR="00CF2AB7" w:rsidRDefault="00CF2AB7">
            <w:pPr>
              <w:spacing w:before="100" w:after="100"/>
              <w:rPr>
                <w:rFonts w:eastAsia="MS Mincho" w:cs="Arial"/>
                <w:lang w:val="en-GB"/>
              </w:rPr>
            </w:pPr>
            <w:r>
              <w:rPr>
                <w:rFonts w:eastAsia="MS Mincho" w:cs="Arial"/>
                <w:lang w:val="en-GB"/>
              </w:rPr>
              <w:t>AO</w:t>
            </w:r>
          </w:p>
        </w:tc>
        <w:tc>
          <w:tcPr>
            <w:tcW w:w="6423" w:type="dxa"/>
          </w:tcPr>
          <w:p w14:paraId="05A28E90" w14:textId="5AE7BF08" w:rsidR="00CF2AB7" w:rsidRPr="00CF2AB7" w:rsidRDefault="002F2DDE">
            <w:pPr>
              <w:spacing w:before="100" w:after="100"/>
              <w:rPr>
                <w:rFonts w:eastAsia="MS Mincho" w:cs="Arial"/>
              </w:rPr>
            </w:pPr>
            <w:r w:rsidRPr="002F2DDE">
              <w:rPr>
                <w:rFonts w:eastAsia="MS Mincho" w:cs="Arial"/>
              </w:rPr>
              <w:t>Order of Australia, Officer in the General Division</w:t>
            </w:r>
          </w:p>
        </w:tc>
      </w:tr>
      <w:tr w:rsidR="002F2DDE" w:rsidRPr="00FC6941" w14:paraId="46C99F77"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5F24108D" w14:textId="05E88230" w:rsidR="002F2DDE" w:rsidRDefault="00F73BA9">
            <w:pPr>
              <w:spacing w:before="100" w:after="100"/>
              <w:rPr>
                <w:rFonts w:eastAsia="MS Mincho" w:cs="Arial"/>
                <w:lang w:val="en-GB"/>
              </w:rPr>
            </w:pPr>
            <w:r>
              <w:rPr>
                <w:rFonts w:eastAsia="MS Mincho" w:cs="Arial"/>
                <w:lang w:val="en-GB"/>
              </w:rPr>
              <w:t>APS</w:t>
            </w:r>
          </w:p>
        </w:tc>
        <w:tc>
          <w:tcPr>
            <w:tcW w:w="6423" w:type="dxa"/>
          </w:tcPr>
          <w:p w14:paraId="059BD867" w14:textId="11507616" w:rsidR="002F2DDE" w:rsidRPr="002F2DDE" w:rsidRDefault="00F73BA9">
            <w:pPr>
              <w:spacing w:before="100" w:after="100"/>
              <w:rPr>
                <w:rFonts w:eastAsia="MS Mincho" w:cs="Arial"/>
              </w:rPr>
            </w:pPr>
            <w:r w:rsidRPr="00F73BA9">
              <w:rPr>
                <w:rFonts w:eastAsia="MS Mincho" w:cs="Arial"/>
              </w:rPr>
              <w:t>Australian Public Service</w:t>
            </w:r>
          </w:p>
        </w:tc>
      </w:tr>
      <w:tr w:rsidR="00F73BA9" w:rsidRPr="00FC6941" w14:paraId="7C2CEB8E" w14:textId="77777777">
        <w:trPr>
          <w:cantSplit/>
        </w:trPr>
        <w:tc>
          <w:tcPr>
            <w:tcW w:w="2830" w:type="dxa"/>
          </w:tcPr>
          <w:p w14:paraId="139B0695" w14:textId="56224978" w:rsidR="00F73BA9" w:rsidRDefault="00F73BA9">
            <w:pPr>
              <w:spacing w:before="100" w:after="100"/>
              <w:rPr>
                <w:rFonts w:eastAsia="MS Mincho" w:cs="Arial"/>
                <w:lang w:val="en-GB"/>
              </w:rPr>
            </w:pPr>
            <w:r>
              <w:rPr>
                <w:rFonts w:eastAsia="MS Mincho" w:cs="Arial"/>
                <w:lang w:val="en-GB"/>
              </w:rPr>
              <w:t>CALD</w:t>
            </w:r>
          </w:p>
        </w:tc>
        <w:tc>
          <w:tcPr>
            <w:tcW w:w="6423" w:type="dxa"/>
          </w:tcPr>
          <w:p w14:paraId="3D58366E" w14:textId="2DA86FCD" w:rsidR="00F73BA9" w:rsidRPr="00F73BA9" w:rsidRDefault="008F7C31">
            <w:pPr>
              <w:spacing w:before="100" w:after="100"/>
              <w:rPr>
                <w:rFonts w:eastAsia="MS Mincho" w:cs="Arial"/>
              </w:rPr>
            </w:pPr>
            <w:r w:rsidRPr="008F7C31">
              <w:rPr>
                <w:rFonts w:eastAsia="MS Mincho" w:cs="Arial"/>
              </w:rPr>
              <w:t>Culturally and linguistically diverse</w:t>
            </w:r>
          </w:p>
        </w:tc>
      </w:tr>
      <w:tr w:rsidR="008F7C31" w:rsidRPr="00FC6941" w14:paraId="4B972D7D"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768EB2FE" w14:textId="70FEBDBB" w:rsidR="008F7C31" w:rsidRDefault="008F7C31">
            <w:pPr>
              <w:spacing w:before="100" w:after="100"/>
              <w:rPr>
                <w:rFonts w:eastAsia="MS Mincho" w:cs="Arial"/>
                <w:lang w:val="en-GB"/>
              </w:rPr>
            </w:pPr>
            <w:r>
              <w:rPr>
                <w:rFonts w:eastAsia="MS Mincho" w:cs="Arial"/>
                <w:lang w:val="en-GB"/>
              </w:rPr>
              <w:t>CEO</w:t>
            </w:r>
          </w:p>
        </w:tc>
        <w:tc>
          <w:tcPr>
            <w:tcW w:w="6423" w:type="dxa"/>
          </w:tcPr>
          <w:p w14:paraId="5B75A711" w14:textId="0889F140" w:rsidR="008F7C31" w:rsidRPr="008F7C31" w:rsidRDefault="008F7C31">
            <w:pPr>
              <w:spacing w:before="100" w:after="100"/>
              <w:rPr>
                <w:rFonts w:eastAsia="MS Mincho" w:cs="Arial"/>
              </w:rPr>
            </w:pPr>
            <w:r w:rsidRPr="008F7C31">
              <w:rPr>
                <w:rFonts w:eastAsia="MS Mincho" w:cs="Arial"/>
              </w:rPr>
              <w:t>Chief Executive Officer</w:t>
            </w:r>
          </w:p>
        </w:tc>
      </w:tr>
      <w:tr w:rsidR="008F7C31" w:rsidRPr="00FC6941" w14:paraId="5C2F434F" w14:textId="77777777">
        <w:trPr>
          <w:cantSplit/>
        </w:trPr>
        <w:tc>
          <w:tcPr>
            <w:tcW w:w="2830" w:type="dxa"/>
          </w:tcPr>
          <w:p w14:paraId="5636DA4B" w14:textId="11C49ED1" w:rsidR="008F7C31" w:rsidRDefault="008F7C31">
            <w:pPr>
              <w:spacing w:before="100" w:after="100"/>
              <w:rPr>
                <w:rFonts w:eastAsia="MS Mincho" w:cs="Arial"/>
                <w:lang w:val="en-GB"/>
              </w:rPr>
            </w:pPr>
            <w:r>
              <w:rPr>
                <w:rFonts w:eastAsia="MS Mincho" w:cs="Arial"/>
                <w:lang w:val="en-GB"/>
              </w:rPr>
              <w:t>Cth</w:t>
            </w:r>
          </w:p>
        </w:tc>
        <w:tc>
          <w:tcPr>
            <w:tcW w:w="6423" w:type="dxa"/>
          </w:tcPr>
          <w:p w14:paraId="116148B7" w14:textId="37C7082B" w:rsidR="008F7C31" w:rsidRPr="008F7C31" w:rsidRDefault="008F7C31">
            <w:pPr>
              <w:spacing w:before="100" w:after="100"/>
              <w:rPr>
                <w:rFonts w:eastAsia="MS Mincho" w:cs="Arial"/>
              </w:rPr>
            </w:pPr>
            <w:r>
              <w:rPr>
                <w:rFonts w:eastAsia="MS Mincho" w:cs="Arial"/>
              </w:rPr>
              <w:t>Commonwealth</w:t>
            </w:r>
          </w:p>
        </w:tc>
      </w:tr>
      <w:tr w:rsidR="008F7C31" w:rsidRPr="00FC6941" w14:paraId="55CEDB3D"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4C50277D" w14:textId="60515B6A" w:rsidR="008F7C31" w:rsidRDefault="008F7C31">
            <w:pPr>
              <w:spacing w:before="100" w:after="100"/>
              <w:rPr>
                <w:rFonts w:eastAsia="MS Mincho" w:cs="Arial"/>
                <w:lang w:val="en-GB"/>
              </w:rPr>
            </w:pPr>
            <w:r>
              <w:rPr>
                <w:rFonts w:eastAsia="MS Mincho" w:cs="Arial"/>
                <w:lang w:val="en-GB"/>
              </w:rPr>
              <w:t>DSS</w:t>
            </w:r>
          </w:p>
        </w:tc>
        <w:tc>
          <w:tcPr>
            <w:tcW w:w="6423" w:type="dxa"/>
          </w:tcPr>
          <w:p w14:paraId="3A07BC48" w14:textId="190A4EE7" w:rsidR="008F7C31" w:rsidRDefault="00964224">
            <w:pPr>
              <w:spacing w:before="100" w:after="100"/>
              <w:rPr>
                <w:rFonts w:eastAsia="MS Mincho" w:cs="Arial"/>
              </w:rPr>
            </w:pPr>
            <w:r w:rsidRPr="00964224">
              <w:rPr>
                <w:rFonts w:eastAsia="MS Mincho" w:cs="Arial"/>
              </w:rPr>
              <w:t>Department of Social Services</w:t>
            </w:r>
          </w:p>
        </w:tc>
      </w:tr>
      <w:tr w:rsidR="00964224" w:rsidRPr="00FC6941" w14:paraId="1FCBC531" w14:textId="77777777">
        <w:trPr>
          <w:cantSplit/>
        </w:trPr>
        <w:tc>
          <w:tcPr>
            <w:tcW w:w="2830" w:type="dxa"/>
          </w:tcPr>
          <w:p w14:paraId="4A61AEB0" w14:textId="25C711B1" w:rsidR="00964224" w:rsidRDefault="00964224">
            <w:pPr>
              <w:spacing w:before="100" w:after="100"/>
              <w:rPr>
                <w:rFonts w:eastAsia="MS Mincho" w:cs="Arial"/>
                <w:lang w:val="en-GB"/>
              </w:rPr>
            </w:pPr>
            <w:r>
              <w:rPr>
                <w:rFonts w:eastAsia="MS Mincho" w:cs="Arial"/>
                <w:lang w:val="en-GB"/>
              </w:rPr>
              <w:t>FCFCA</w:t>
            </w:r>
          </w:p>
        </w:tc>
        <w:tc>
          <w:tcPr>
            <w:tcW w:w="6423" w:type="dxa"/>
          </w:tcPr>
          <w:p w14:paraId="20776789" w14:textId="5C8686D8" w:rsidR="00964224" w:rsidRPr="00964224" w:rsidRDefault="00964224">
            <w:pPr>
              <w:spacing w:before="100" w:after="100"/>
              <w:rPr>
                <w:rFonts w:eastAsia="MS Mincho" w:cs="Arial"/>
              </w:rPr>
            </w:pPr>
            <w:r w:rsidRPr="00964224">
              <w:rPr>
                <w:rFonts w:eastAsia="MS Mincho" w:cs="Arial"/>
              </w:rPr>
              <w:t>Federal Circuit and Family Court of Australia</w:t>
            </w:r>
          </w:p>
        </w:tc>
      </w:tr>
      <w:tr w:rsidR="0007332F" w:rsidRPr="00FC6941" w14:paraId="45AA29A0"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555BB1E6" w14:textId="4E90FC9D" w:rsidR="0007332F" w:rsidRDefault="0007332F">
            <w:pPr>
              <w:spacing w:before="100" w:after="100"/>
              <w:rPr>
                <w:rFonts w:eastAsia="MS Mincho" w:cs="Arial"/>
                <w:lang w:val="en-GB"/>
              </w:rPr>
            </w:pPr>
            <w:r>
              <w:rPr>
                <w:rFonts w:eastAsia="MS Mincho" w:cs="Arial"/>
                <w:lang w:val="en-GB"/>
              </w:rPr>
              <w:t>FFT</w:t>
            </w:r>
          </w:p>
        </w:tc>
        <w:tc>
          <w:tcPr>
            <w:tcW w:w="6423" w:type="dxa"/>
          </w:tcPr>
          <w:p w14:paraId="39C4958E" w14:textId="7D5946DC" w:rsidR="0007332F" w:rsidRPr="00964224" w:rsidRDefault="0007332F">
            <w:pPr>
              <w:spacing w:before="100" w:after="100"/>
              <w:rPr>
                <w:rFonts w:eastAsia="MS Mincho" w:cs="Arial"/>
              </w:rPr>
            </w:pPr>
            <w:r w:rsidRPr="0007332F">
              <w:rPr>
                <w:rFonts w:eastAsia="MS Mincho" w:cs="Arial"/>
              </w:rPr>
              <w:t>Fraud Fusion Taskforce</w:t>
            </w:r>
          </w:p>
        </w:tc>
      </w:tr>
      <w:tr w:rsidR="0007332F" w:rsidRPr="00FC6941" w14:paraId="60645AF3" w14:textId="77777777">
        <w:trPr>
          <w:cantSplit/>
        </w:trPr>
        <w:tc>
          <w:tcPr>
            <w:tcW w:w="2830" w:type="dxa"/>
          </w:tcPr>
          <w:p w14:paraId="49EDC7DD" w14:textId="3502DE4F" w:rsidR="0007332F" w:rsidRDefault="00DE2551">
            <w:pPr>
              <w:spacing w:before="100" w:after="100"/>
              <w:rPr>
                <w:rFonts w:eastAsia="MS Mincho" w:cs="Arial"/>
                <w:lang w:val="en-GB"/>
              </w:rPr>
            </w:pPr>
            <w:r w:rsidRPr="00DE2551">
              <w:rPr>
                <w:rFonts w:eastAsia="MS Mincho" w:cs="Arial"/>
              </w:rPr>
              <w:t>FOI Act</w:t>
            </w:r>
          </w:p>
        </w:tc>
        <w:tc>
          <w:tcPr>
            <w:tcW w:w="6423" w:type="dxa"/>
          </w:tcPr>
          <w:p w14:paraId="421951CF" w14:textId="6EAE3361" w:rsidR="0007332F" w:rsidRPr="00DE2551" w:rsidRDefault="00DE2551">
            <w:pPr>
              <w:spacing w:before="100" w:after="100"/>
              <w:rPr>
                <w:rFonts w:eastAsia="MS Mincho" w:cs="Arial"/>
                <w:i/>
                <w:iCs/>
              </w:rPr>
            </w:pPr>
            <w:r w:rsidRPr="00DE2551">
              <w:rPr>
                <w:rFonts w:eastAsia="MS Mincho" w:cs="Arial"/>
                <w:i/>
                <w:iCs/>
              </w:rPr>
              <w:t>Freedom of Information Act 1982 (Cth)</w:t>
            </w:r>
          </w:p>
        </w:tc>
      </w:tr>
      <w:tr w:rsidR="00DE2551" w:rsidRPr="00FC6941" w14:paraId="485D36B5"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483BFE56" w14:textId="00B2E069" w:rsidR="00DE2551" w:rsidRPr="00DE2551" w:rsidRDefault="00AA144E">
            <w:pPr>
              <w:spacing w:before="100" w:after="100"/>
              <w:rPr>
                <w:rFonts w:eastAsia="MS Mincho" w:cs="Arial"/>
              </w:rPr>
            </w:pPr>
            <w:r>
              <w:rPr>
                <w:rFonts w:eastAsia="MS Mincho" w:cs="Arial"/>
              </w:rPr>
              <w:t>GST</w:t>
            </w:r>
          </w:p>
        </w:tc>
        <w:tc>
          <w:tcPr>
            <w:tcW w:w="6423" w:type="dxa"/>
          </w:tcPr>
          <w:p w14:paraId="4098FE36" w14:textId="183E14E6" w:rsidR="00DE2551" w:rsidRPr="00AA144E" w:rsidRDefault="00AA144E">
            <w:pPr>
              <w:spacing w:before="100" w:after="100"/>
              <w:rPr>
                <w:rFonts w:eastAsia="MS Mincho" w:cs="Arial"/>
              </w:rPr>
            </w:pPr>
            <w:r w:rsidRPr="00AA144E">
              <w:rPr>
                <w:rFonts w:eastAsia="MS Mincho" w:cs="Arial"/>
              </w:rPr>
              <w:t>Goods and Services Tax</w:t>
            </w:r>
          </w:p>
        </w:tc>
      </w:tr>
      <w:tr w:rsidR="00AA144E" w:rsidRPr="00FC6941" w14:paraId="17679483" w14:textId="77777777">
        <w:trPr>
          <w:cantSplit/>
        </w:trPr>
        <w:tc>
          <w:tcPr>
            <w:tcW w:w="2830" w:type="dxa"/>
          </w:tcPr>
          <w:p w14:paraId="6550404C" w14:textId="4D6F9D32" w:rsidR="00AA144E" w:rsidRDefault="00AA144E">
            <w:pPr>
              <w:spacing w:before="100" w:after="100"/>
              <w:rPr>
                <w:rFonts w:eastAsia="MS Mincho" w:cs="Arial"/>
              </w:rPr>
            </w:pPr>
            <w:r>
              <w:rPr>
                <w:rFonts w:eastAsia="MS Mincho" w:cs="Arial"/>
              </w:rPr>
              <w:t>IAC</w:t>
            </w:r>
          </w:p>
        </w:tc>
        <w:tc>
          <w:tcPr>
            <w:tcW w:w="6423" w:type="dxa"/>
          </w:tcPr>
          <w:p w14:paraId="52BF7E92" w14:textId="61B4261A" w:rsidR="00AA144E" w:rsidRPr="00AA144E" w:rsidRDefault="009D6FFE">
            <w:pPr>
              <w:spacing w:before="100" w:after="100"/>
              <w:rPr>
                <w:rFonts w:eastAsia="MS Mincho" w:cs="Arial"/>
              </w:rPr>
            </w:pPr>
            <w:r w:rsidRPr="009D6FFE">
              <w:rPr>
                <w:rFonts w:eastAsia="MS Mincho" w:cs="Arial"/>
              </w:rPr>
              <w:t>Independent Advisory Council</w:t>
            </w:r>
          </w:p>
        </w:tc>
      </w:tr>
      <w:tr w:rsidR="009D6FFE" w:rsidRPr="00FC6941" w14:paraId="30184B17"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1AE35FC9" w14:textId="3DCE21D2" w:rsidR="009D6FFE" w:rsidRDefault="009D6FFE">
            <w:pPr>
              <w:spacing w:before="100" w:after="100"/>
              <w:rPr>
                <w:rFonts w:eastAsia="MS Mincho" w:cs="Arial"/>
              </w:rPr>
            </w:pPr>
            <w:r>
              <w:rPr>
                <w:rFonts w:eastAsia="MS Mincho" w:cs="Arial"/>
              </w:rPr>
              <w:t>IEO</w:t>
            </w:r>
          </w:p>
        </w:tc>
        <w:tc>
          <w:tcPr>
            <w:tcW w:w="6423" w:type="dxa"/>
          </w:tcPr>
          <w:p w14:paraId="1FDE5965" w14:textId="6C2D426C" w:rsidR="009D6FFE" w:rsidRPr="009D6FFE" w:rsidRDefault="009D6FFE">
            <w:pPr>
              <w:spacing w:before="100" w:after="100"/>
              <w:rPr>
                <w:rFonts w:eastAsia="MS Mincho" w:cs="Arial"/>
              </w:rPr>
            </w:pPr>
            <w:r w:rsidRPr="009D6FFE">
              <w:rPr>
                <w:rFonts w:eastAsia="MS Mincho" w:cs="Arial"/>
              </w:rPr>
              <w:t>Index of Education and Occupation</w:t>
            </w:r>
          </w:p>
        </w:tc>
      </w:tr>
      <w:tr w:rsidR="009D6FFE" w:rsidRPr="00FC6941" w14:paraId="308E0DF4" w14:textId="77777777">
        <w:trPr>
          <w:cantSplit/>
        </w:trPr>
        <w:tc>
          <w:tcPr>
            <w:tcW w:w="2830" w:type="dxa"/>
          </w:tcPr>
          <w:p w14:paraId="67DF3635" w14:textId="0753B0C0" w:rsidR="009D6FFE" w:rsidRDefault="009D6FFE">
            <w:pPr>
              <w:spacing w:before="100" w:after="100"/>
              <w:rPr>
                <w:rFonts w:eastAsia="MS Mincho" w:cs="Arial"/>
              </w:rPr>
            </w:pPr>
            <w:r>
              <w:rPr>
                <w:rFonts w:eastAsia="MS Mincho" w:cs="Arial"/>
              </w:rPr>
              <w:t>JCPAA</w:t>
            </w:r>
          </w:p>
        </w:tc>
        <w:tc>
          <w:tcPr>
            <w:tcW w:w="6423" w:type="dxa"/>
          </w:tcPr>
          <w:p w14:paraId="792F8F01" w14:textId="2213CC2E" w:rsidR="009D6FFE" w:rsidRPr="009D6FFE" w:rsidRDefault="00641FA4">
            <w:pPr>
              <w:spacing w:before="100" w:after="100"/>
              <w:rPr>
                <w:rFonts w:eastAsia="MS Mincho" w:cs="Arial"/>
              </w:rPr>
            </w:pPr>
            <w:r w:rsidRPr="00641FA4">
              <w:rPr>
                <w:rFonts w:eastAsia="MS Mincho" w:cs="Arial"/>
              </w:rPr>
              <w:t>Joint Committee of Public Accounts and Audit</w:t>
            </w:r>
          </w:p>
        </w:tc>
      </w:tr>
      <w:tr w:rsidR="00641FA4" w:rsidRPr="00FC6941" w14:paraId="61AC3ADF"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49A088D3" w14:textId="3BBB1FAD" w:rsidR="00641FA4" w:rsidRDefault="00641FA4">
            <w:pPr>
              <w:spacing w:before="100" w:after="100"/>
              <w:rPr>
                <w:rFonts w:eastAsia="MS Mincho" w:cs="Arial"/>
              </w:rPr>
            </w:pPr>
            <w:r>
              <w:rPr>
                <w:rFonts w:eastAsia="MS Mincho" w:cs="Arial"/>
              </w:rPr>
              <w:t>KMP</w:t>
            </w:r>
          </w:p>
        </w:tc>
        <w:tc>
          <w:tcPr>
            <w:tcW w:w="6423" w:type="dxa"/>
          </w:tcPr>
          <w:p w14:paraId="2EADEEBB" w14:textId="05B6C62B" w:rsidR="00641FA4" w:rsidRPr="00641FA4" w:rsidRDefault="00641FA4">
            <w:pPr>
              <w:spacing w:before="100" w:after="100"/>
              <w:rPr>
                <w:rFonts w:eastAsia="MS Mincho" w:cs="Arial"/>
              </w:rPr>
            </w:pPr>
            <w:r w:rsidRPr="00641FA4">
              <w:rPr>
                <w:rFonts w:eastAsia="MS Mincho" w:cs="Arial"/>
              </w:rPr>
              <w:t>Key management personnel</w:t>
            </w:r>
          </w:p>
        </w:tc>
      </w:tr>
      <w:tr w:rsidR="00526E33" w:rsidRPr="00FC6941" w14:paraId="3A000952" w14:textId="77777777">
        <w:trPr>
          <w:cantSplit/>
        </w:trPr>
        <w:tc>
          <w:tcPr>
            <w:tcW w:w="2830" w:type="dxa"/>
          </w:tcPr>
          <w:p w14:paraId="13138A87" w14:textId="01036B38" w:rsidR="00526E33" w:rsidRDefault="00526E33" w:rsidP="00526E33">
            <w:pPr>
              <w:spacing w:before="100" w:after="100"/>
              <w:rPr>
                <w:rFonts w:eastAsia="MS Mincho" w:cs="Arial"/>
              </w:rPr>
            </w:pPr>
            <w:r w:rsidRPr="00FE5895">
              <w:lastRenderedPageBreak/>
              <w:t xml:space="preserve">Ministerial Council </w:t>
            </w:r>
          </w:p>
        </w:tc>
        <w:tc>
          <w:tcPr>
            <w:tcW w:w="6423" w:type="dxa"/>
          </w:tcPr>
          <w:p w14:paraId="6FB626EB" w14:textId="7B34FB50" w:rsidR="00526E33" w:rsidRPr="00641FA4" w:rsidRDefault="00526E33" w:rsidP="00526E33">
            <w:pPr>
              <w:spacing w:before="100" w:after="100"/>
              <w:rPr>
                <w:rFonts w:eastAsia="MS Mincho" w:cs="Arial"/>
              </w:rPr>
            </w:pPr>
            <w:r w:rsidRPr="00FE5895">
              <w:t>Disability Reform Ministerial Council</w:t>
            </w:r>
          </w:p>
        </w:tc>
      </w:tr>
      <w:tr w:rsidR="00526E33" w:rsidRPr="00FC6941" w14:paraId="5B429B08"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2DBD95F4" w14:textId="31513EAD" w:rsidR="00526E33" w:rsidRPr="00FE5895" w:rsidRDefault="00D77CD9" w:rsidP="00526E33">
            <w:pPr>
              <w:spacing w:before="100" w:after="100"/>
            </w:pPr>
            <w:r>
              <w:t>MPC</w:t>
            </w:r>
          </w:p>
        </w:tc>
        <w:tc>
          <w:tcPr>
            <w:tcW w:w="6423" w:type="dxa"/>
          </w:tcPr>
          <w:p w14:paraId="5D2E7B72" w14:textId="69CA0903" w:rsidR="00526E33" w:rsidRPr="00FE5895" w:rsidRDefault="00D77CD9" w:rsidP="00526E33">
            <w:pPr>
              <w:spacing w:before="100" w:after="100"/>
            </w:pPr>
            <w:r w:rsidRPr="00D77CD9">
              <w:t>Merit Protection Commission</w:t>
            </w:r>
          </w:p>
        </w:tc>
      </w:tr>
      <w:tr w:rsidR="00D77CD9" w:rsidRPr="00FC6941" w14:paraId="429BD00A" w14:textId="77777777">
        <w:trPr>
          <w:cantSplit/>
        </w:trPr>
        <w:tc>
          <w:tcPr>
            <w:tcW w:w="2830" w:type="dxa"/>
          </w:tcPr>
          <w:p w14:paraId="165CB73E" w14:textId="5DFA5298" w:rsidR="00D77CD9" w:rsidRDefault="00D77CD9" w:rsidP="00526E33">
            <w:pPr>
              <w:spacing w:before="100" w:after="100"/>
            </w:pPr>
            <w:r>
              <w:t>NDIA</w:t>
            </w:r>
          </w:p>
        </w:tc>
        <w:tc>
          <w:tcPr>
            <w:tcW w:w="6423" w:type="dxa"/>
          </w:tcPr>
          <w:p w14:paraId="7DEE861C" w14:textId="467A40B8" w:rsidR="00D77CD9" w:rsidRPr="00D77CD9" w:rsidRDefault="00D77CD9" w:rsidP="00526E33">
            <w:pPr>
              <w:spacing w:before="100" w:after="100"/>
            </w:pPr>
            <w:r w:rsidRPr="00D77CD9">
              <w:t>National Disability Insurance Agency</w:t>
            </w:r>
          </w:p>
        </w:tc>
      </w:tr>
      <w:tr w:rsidR="00D77CD9" w:rsidRPr="00FC6941" w14:paraId="449A1CA4"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3742851F" w14:textId="17CF0F78" w:rsidR="00D77CD9" w:rsidRDefault="00D77CD9" w:rsidP="00526E33">
            <w:pPr>
              <w:spacing w:before="100" w:after="100"/>
            </w:pPr>
            <w:r>
              <w:t>NDI</w:t>
            </w:r>
            <w:r w:rsidR="00AC3D68">
              <w:t>S</w:t>
            </w:r>
          </w:p>
        </w:tc>
        <w:tc>
          <w:tcPr>
            <w:tcW w:w="6423" w:type="dxa"/>
          </w:tcPr>
          <w:p w14:paraId="0DF9D62C" w14:textId="441B205E" w:rsidR="00D77CD9" w:rsidRPr="00D77CD9" w:rsidRDefault="007C270D" w:rsidP="00526E33">
            <w:pPr>
              <w:spacing w:before="100" w:after="100"/>
            </w:pPr>
            <w:r w:rsidRPr="007C270D">
              <w:t>National Disability Insurance Scheme</w:t>
            </w:r>
          </w:p>
        </w:tc>
      </w:tr>
      <w:tr w:rsidR="007C270D" w:rsidRPr="00FC6941" w14:paraId="1EF7E4F5" w14:textId="77777777">
        <w:trPr>
          <w:cantSplit/>
        </w:trPr>
        <w:tc>
          <w:tcPr>
            <w:tcW w:w="2830" w:type="dxa"/>
          </w:tcPr>
          <w:p w14:paraId="1AA73DC3" w14:textId="07E7C3DD" w:rsidR="007C270D" w:rsidRDefault="007C270D" w:rsidP="007C270D">
            <w:pPr>
              <w:spacing w:before="100" w:after="100"/>
            </w:pPr>
            <w:r w:rsidRPr="00C21186">
              <w:t>NDIS Act</w:t>
            </w:r>
          </w:p>
        </w:tc>
        <w:tc>
          <w:tcPr>
            <w:tcW w:w="6423" w:type="dxa"/>
          </w:tcPr>
          <w:p w14:paraId="1CF931CA" w14:textId="5135B644" w:rsidR="007C270D" w:rsidRPr="007C270D" w:rsidRDefault="007C270D" w:rsidP="007C270D">
            <w:pPr>
              <w:spacing w:before="100" w:after="100"/>
            </w:pPr>
            <w:r w:rsidRPr="00C21186">
              <w:t>National Disability Insurance Scheme Act 2013 (Cth)</w:t>
            </w:r>
          </w:p>
        </w:tc>
      </w:tr>
      <w:tr w:rsidR="009A5AC1" w:rsidRPr="00FC6941" w14:paraId="159BDFE4"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3EDF01DF" w14:textId="292EEA85" w:rsidR="009A5AC1" w:rsidRPr="00C21186" w:rsidRDefault="009A5AC1" w:rsidP="009A5AC1">
            <w:pPr>
              <w:spacing w:before="100" w:after="100"/>
            </w:pPr>
            <w:r w:rsidRPr="002977E8">
              <w:t>NDIS Commission</w:t>
            </w:r>
          </w:p>
        </w:tc>
        <w:tc>
          <w:tcPr>
            <w:tcW w:w="6423" w:type="dxa"/>
          </w:tcPr>
          <w:p w14:paraId="0C578BD3" w14:textId="20273EA6" w:rsidR="009A5AC1" w:rsidRPr="00C21186" w:rsidRDefault="009A5AC1" w:rsidP="009A5AC1">
            <w:pPr>
              <w:spacing w:before="100" w:after="100"/>
            </w:pPr>
            <w:r w:rsidRPr="002977E8">
              <w:t>NDIS Quality and Safeguards Commission</w:t>
            </w:r>
          </w:p>
        </w:tc>
      </w:tr>
      <w:tr w:rsidR="00AC3D68" w:rsidRPr="00FC6941" w14:paraId="5077C709" w14:textId="77777777">
        <w:trPr>
          <w:cantSplit/>
        </w:trPr>
        <w:tc>
          <w:tcPr>
            <w:tcW w:w="2830" w:type="dxa"/>
          </w:tcPr>
          <w:p w14:paraId="350987F9" w14:textId="5A5B5B8E" w:rsidR="00AC3D68" w:rsidRPr="002977E8" w:rsidRDefault="00AC3D68" w:rsidP="009A5AC1">
            <w:pPr>
              <w:spacing w:before="100" w:after="100"/>
            </w:pPr>
            <w:r>
              <w:t>PGPA Act</w:t>
            </w:r>
          </w:p>
        </w:tc>
        <w:tc>
          <w:tcPr>
            <w:tcW w:w="6423" w:type="dxa"/>
          </w:tcPr>
          <w:p w14:paraId="49B2190C" w14:textId="498555DA" w:rsidR="00AC3D68" w:rsidRPr="00AF11CA" w:rsidRDefault="00F75F99" w:rsidP="009A5AC1">
            <w:pPr>
              <w:spacing w:before="100" w:after="100"/>
              <w:rPr>
                <w:i/>
                <w:iCs/>
              </w:rPr>
            </w:pPr>
            <w:r w:rsidRPr="00AF11CA">
              <w:rPr>
                <w:i/>
                <w:iCs/>
              </w:rPr>
              <w:t>Public Governance, Performance and Accountability Act 2013 (Cth)</w:t>
            </w:r>
          </w:p>
        </w:tc>
      </w:tr>
      <w:tr w:rsidR="00AC3D68" w:rsidRPr="00FC6941" w14:paraId="3FBE24D9"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427694BE" w14:textId="6D2F0136" w:rsidR="00AC3D68" w:rsidRDefault="00AC3D68" w:rsidP="009A5AC1">
            <w:pPr>
              <w:spacing w:before="100" w:after="100"/>
            </w:pPr>
            <w:r>
              <w:t>PGPA Rule</w:t>
            </w:r>
          </w:p>
        </w:tc>
        <w:tc>
          <w:tcPr>
            <w:tcW w:w="6423" w:type="dxa"/>
          </w:tcPr>
          <w:p w14:paraId="5A350999" w14:textId="521CB9AD" w:rsidR="00AC3D68" w:rsidRPr="00AF11CA" w:rsidRDefault="00F75F99" w:rsidP="009A5AC1">
            <w:pPr>
              <w:spacing w:before="100" w:after="100"/>
              <w:rPr>
                <w:i/>
                <w:iCs/>
              </w:rPr>
            </w:pPr>
            <w:r w:rsidRPr="00AF11CA">
              <w:rPr>
                <w:i/>
                <w:iCs/>
              </w:rPr>
              <w:t>Public Governance, Performance and Accountability Rule 2014 (Cth)</w:t>
            </w:r>
          </w:p>
        </w:tc>
      </w:tr>
      <w:tr w:rsidR="00AC3D68" w:rsidRPr="00FC6941" w14:paraId="058CC5A2" w14:textId="77777777">
        <w:trPr>
          <w:cantSplit/>
        </w:trPr>
        <w:tc>
          <w:tcPr>
            <w:tcW w:w="2830" w:type="dxa"/>
          </w:tcPr>
          <w:p w14:paraId="3B4513B1" w14:textId="34156A24" w:rsidR="00AC3D68" w:rsidRDefault="00AC3D68" w:rsidP="009A5AC1">
            <w:pPr>
              <w:spacing w:before="100" w:after="100"/>
            </w:pPr>
            <w:r>
              <w:t>PITC</w:t>
            </w:r>
          </w:p>
        </w:tc>
        <w:tc>
          <w:tcPr>
            <w:tcW w:w="6423" w:type="dxa"/>
          </w:tcPr>
          <w:p w14:paraId="641144E4" w14:textId="7AEA641F" w:rsidR="00AC3D68" w:rsidRPr="002977E8" w:rsidRDefault="00AF11CA" w:rsidP="009A5AC1">
            <w:pPr>
              <w:spacing w:before="100" w:after="100"/>
            </w:pPr>
            <w:r w:rsidRPr="00AF11CA">
              <w:t>Partners in the community</w:t>
            </w:r>
          </w:p>
        </w:tc>
      </w:tr>
      <w:tr w:rsidR="00AC3D68" w:rsidRPr="00FC6941" w14:paraId="2F9F164A"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2D8FF422" w14:textId="47111820" w:rsidR="00AC3D68" w:rsidRDefault="00AC3D68" w:rsidP="009A5AC1">
            <w:pPr>
              <w:spacing w:before="100" w:after="100"/>
            </w:pPr>
            <w:r>
              <w:t>PSG</w:t>
            </w:r>
          </w:p>
        </w:tc>
        <w:tc>
          <w:tcPr>
            <w:tcW w:w="6423" w:type="dxa"/>
          </w:tcPr>
          <w:p w14:paraId="06957B12" w14:textId="043299A7" w:rsidR="00AC3D68" w:rsidRPr="002977E8" w:rsidRDefault="00AF11CA" w:rsidP="009A5AC1">
            <w:pPr>
              <w:spacing w:before="100" w:after="100"/>
            </w:pPr>
            <w:r w:rsidRPr="00AF11CA">
              <w:t>Participant Service Guarantee</w:t>
            </w:r>
          </w:p>
        </w:tc>
      </w:tr>
      <w:tr w:rsidR="00AC3D68" w:rsidRPr="00FC6941" w14:paraId="71A80864" w14:textId="77777777">
        <w:trPr>
          <w:cantSplit/>
        </w:trPr>
        <w:tc>
          <w:tcPr>
            <w:tcW w:w="2830" w:type="dxa"/>
          </w:tcPr>
          <w:p w14:paraId="5AE41856" w14:textId="1ACCA509" w:rsidR="00AC3D68" w:rsidRDefault="00AC3D68" w:rsidP="009A5AC1">
            <w:pPr>
              <w:spacing w:before="100" w:after="100"/>
            </w:pPr>
            <w:r>
              <w:t>PSIP</w:t>
            </w:r>
          </w:p>
        </w:tc>
        <w:tc>
          <w:tcPr>
            <w:tcW w:w="6423" w:type="dxa"/>
          </w:tcPr>
          <w:p w14:paraId="7B867E4B" w14:textId="6A4710E7" w:rsidR="00AC3D68" w:rsidRPr="002977E8" w:rsidRDefault="000737AD" w:rsidP="009A5AC1">
            <w:pPr>
              <w:spacing w:before="100" w:after="100"/>
            </w:pPr>
            <w:r w:rsidRPr="000737AD">
              <w:t>Participant Service Improvement Plan 2022–23</w:t>
            </w:r>
          </w:p>
        </w:tc>
      </w:tr>
      <w:tr w:rsidR="00AC3D68" w:rsidRPr="00FC6941" w14:paraId="687C95ED"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47CE8AD3" w14:textId="61D015D8" w:rsidR="00AC3D68" w:rsidRDefault="00AC3D68" w:rsidP="009A5AC1">
            <w:pPr>
              <w:spacing w:before="100" w:after="100"/>
            </w:pPr>
            <w:r>
              <w:t>RAP</w:t>
            </w:r>
          </w:p>
        </w:tc>
        <w:tc>
          <w:tcPr>
            <w:tcW w:w="6423" w:type="dxa"/>
          </w:tcPr>
          <w:p w14:paraId="59B0A37B" w14:textId="5A39F1D5" w:rsidR="00AC3D68" w:rsidRPr="002977E8" w:rsidRDefault="000737AD" w:rsidP="009A5AC1">
            <w:pPr>
              <w:spacing w:before="100" w:after="100"/>
            </w:pPr>
            <w:r w:rsidRPr="000737AD">
              <w:t>Reconciliation Action Plan</w:t>
            </w:r>
          </w:p>
        </w:tc>
      </w:tr>
      <w:tr w:rsidR="00AC3D68" w:rsidRPr="00FC6941" w14:paraId="34066D40" w14:textId="77777777">
        <w:trPr>
          <w:cantSplit/>
        </w:trPr>
        <w:tc>
          <w:tcPr>
            <w:tcW w:w="2830" w:type="dxa"/>
          </w:tcPr>
          <w:p w14:paraId="5172CA83" w14:textId="731F3969" w:rsidR="00AC3D68" w:rsidRDefault="00AC3D68" w:rsidP="009A5AC1">
            <w:pPr>
              <w:spacing w:before="100" w:after="100"/>
            </w:pPr>
            <w:r>
              <w:t>SES</w:t>
            </w:r>
          </w:p>
        </w:tc>
        <w:tc>
          <w:tcPr>
            <w:tcW w:w="6423" w:type="dxa"/>
          </w:tcPr>
          <w:p w14:paraId="3BCFF568" w14:textId="7D17829A" w:rsidR="00AC3D68" w:rsidRPr="002977E8" w:rsidRDefault="000737AD" w:rsidP="009A5AC1">
            <w:pPr>
              <w:spacing w:before="100" w:after="100"/>
            </w:pPr>
            <w:r w:rsidRPr="000737AD">
              <w:t>Senior Executive Service</w:t>
            </w:r>
          </w:p>
        </w:tc>
      </w:tr>
      <w:tr w:rsidR="00AC3D68" w:rsidRPr="00FC6941" w14:paraId="738FC3C6"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35105B85" w14:textId="20B03593" w:rsidR="00AC3D68" w:rsidRDefault="00AC3D68" w:rsidP="009A5AC1">
            <w:pPr>
              <w:spacing w:before="100" w:after="100"/>
            </w:pPr>
            <w:r>
              <w:t>The Scheme</w:t>
            </w:r>
          </w:p>
        </w:tc>
        <w:tc>
          <w:tcPr>
            <w:tcW w:w="6423" w:type="dxa"/>
          </w:tcPr>
          <w:p w14:paraId="4F93C8EB" w14:textId="128440F9" w:rsidR="00AC3D68" w:rsidRPr="002977E8" w:rsidRDefault="000737AD" w:rsidP="009A5AC1">
            <w:pPr>
              <w:spacing w:before="100" w:after="100"/>
            </w:pPr>
            <w:r w:rsidRPr="000737AD">
              <w:t>National Disability Insurance Scheme</w:t>
            </w:r>
          </w:p>
        </w:tc>
      </w:tr>
      <w:tr w:rsidR="00CB16B8" w:rsidRPr="00FC6941" w14:paraId="6BEFDDD8" w14:textId="77777777">
        <w:trPr>
          <w:cantSplit/>
        </w:trPr>
        <w:tc>
          <w:tcPr>
            <w:tcW w:w="2830" w:type="dxa"/>
          </w:tcPr>
          <w:p w14:paraId="1B1FBCB7" w14:textId="5C71049E" w:rsidR="00CB16B8" w:rsidRDefault="00CB16B8" w:rsidP="009A5AC1">
            <w:pPr>
              <w:spacing w:before="100" w:after="100"/>
            </w:pPr>
            <w:r>
              <w:t>WHS Act</w:t>
            </w:r>
          </w:p>
        </w:tc>
        <w:tc>
          <w:tcPr>
            <w:tcW w:w="6423" w:type="dxa"/>
          </w:tcPr>
          <w:p w14:paraId="2B9771A7" w14:textId="0A85193D" w:rsidR="00CB16B8" w:rsidRPr="00542008" w:rsidRDefault="00542008" w:rsidP="009A5AC1">
            <w:pPr>
              <w:spacing w:before="100" w:after="100"/>
              <w:rPr>
                <w:i/>
                <w:iCs/>
              </w:rPr>
            </w:pPr>
            <w:r w:rsidRPr="00542008">
              <w:rPr>
                <w:i/>
                <w:iCs/>
              </w:rPr>
              <w:t>Work Health and Safety Act 2011 (Cth)</w:t>
            </w:r>
          </w:p>
        </w:tc>
      </w:tr>
      <w:tr w:rsidR="00CB16B8" w:rsidRPr="00FC6941" w14:paraId="56FF07EF" w14:textId="77777777">
        <w:trPr>
          <w:cnfStyle w:val="000000100000" w:firstRow="0" w:lastRow="0" w:firstColumn="0" w:lastColumn="0" w:oddVBand="0" w:evenVBand="0" w:oddHBand="1" w:evenHBand="0" w:firstRowFirstColumn="0" w:firstRowLastColumn="0" w:lastRowFirstColumn="0" w:lastRowLastColumn="0"/>
          <w:cantSplit/>
        </w:trPr>
        <w:tc>
          <w:tcPr>
            <w:tcW w:w="2830" w:type="dxa"/>
          </w:tcPr>
          <w:p w14:paraId="3143C3C0" w14:textId="6802FDBF" w:rsidR="00CB16B8" w:rsidRDefault="00CB16B8" w:rsidP="009A5AC1">
            <w:pPr>
              <w:spacing w:before="100" w:after="100"/>
            </w:pPr>
            <w:r>
              <w:t>YPIRAC</w:t>
            </w:r>
          </w:p>
        </w:tc>
        <w:tc>
          <w:tcPr>
            <w:tcW w:w="6423" w:type="dxa"/>
          </w:tcPr>
          <w:p w14:paraId="0FB96908" w14:textId="7978CD77" w:rsidR="00CB16B8" w:rsidRPr="002977E8" w:rsidRDefault="00542008" w:rsidP="009A5AC1">
            <w:pPr>
              <w:spacing w:before="100" w:after="100"/>
            </w:pPr>
            <w:r w:rsidRPr="00542008">
              <w:t>Younger people in residential aged care</w:t>
            </w:r>
          </w:p>
        </w:tc>
      </w:tr>
    </w:tbl>
    <w:p w14:paraId="1786344C" w14:textId="6DD1E57B" w:rsidR="00255A26" w:rsidRPr="00A33264" w:rsidRDefault="00255A26" w:rsidP="00255A26">
      <w:pPr>
        <w:pStyle w:val="Heading2"/>
        <w:rPr>
          <w:lang w:val="en-GB"/>
        </w:rPr>
      </w:pPr>
      <w:bookmarkStart w:id="453" w:name="_Toc176786416"/>
      <w:bookmarkStart w:id="454" w:name="_Toc180505698"/>
      <w:r w:rsidRPr="00A33264">
        <w:rPr>
          <w:lang w:val="en-GB"/>
        </w:rPr>
        <w:t>Indexes</w:t>
      </w:r>
      <w:bookmarkEnd w:id="447"/>
      <w:bookmarkEnd w:id="448"/>
      <w:bookmarkEnd w:id="449"/>
      <w:bookmarkEnd w:id="450"/>
      <w:bookmarkEnd w:id="453"/>
      <w:bookmarkEnd w:id="454"/>
    </w:p>
    <w:p w14:paraId="16D91763" w14:textId="10212532" w:rsidR="00255A26" w:rsidRPr="00A33264" w:rsidRDefault="00255A26" w:rsidP="00255A26">
      <w:pPr>
        <w:pStyle w:val="Heading3"/>
        <w:rPr>
          <w:lang w:val="en-GB"/>
        </w:rPr>
      </w:pPr>
      <w:bookmarkStart w:id="455" w:name="_Toc175316926"/>
      <w:bookmarkStart w:id="456" w:name="_Toc169593033"/>
      <w:bookmarkStart w:id="457" w:name="_Toc174354222"/>
      <w:bookmarkStart w:id="458" w:name="_Toc176786417"/>
      <w:bookmarkStart w:id="459" w:name="_Toc180505699"/>
      <w:r w:rsidRPr="00A33264">
        <w:rPr>
          <w:lang w:val="en-GB"/>
        </w:rPr>
        <w:t xml:space="preserve">Compliance </w:t>
      </w:r>
      <w:bookmarkEnd w:id="455"/>
      <w:r w:rsidRPr="00A33264">
        <w:rPr>
          <w:lang w:val="en-GB"/>
        </w:rPr>
        <w:t>ind</w:t>
      </w:r>
      <w:bookmarkEnd w:id="456"/>
      <w:bookmarkEnd w:id="457"/>
      <w:r w:rsidR="00813951">
        <w:rPr>
          <w:lang w:val="en-GB"/>
        </w:rPr>
        <w:t>ex</w:t>
      </w:r>
      <w:r w:rsidR="00C24C39" w:rsidRPr="00A33264">
        <w:rPr>
          <w:lang w:val="en-GB"/>
        </w:rPr>
        <w:t>es</w:t>
      </w:r>
      <w:bookmarkEnd w:id="458"/>
      <w:bookmarkEnd w:id="459"/>
    </w:p>
    <w:p w14:paraId="4D128204" w14:textId="6BF8F0BF" w:rsidR="00EA5908" w:rsidRPr="00A33264" w:rsidRDefault="00EA5908" w:rsidP="00EA5908">
      <w:pPr>
        <w:pStyle w:val="Heading4"/>
        <w:rPr>
          <w:lang w:val="en-GB"/>
        </w:rPr>
      </w:pPr>
      <w:r w:rsidRPr="00A33264">
        <w:rPr>
          <w:lang w:val="en-GB"/>
        </w:rPr>
        <w:t>Public Governance, Performance and Accountability Rule 2014</w:t>
      </w:r>
    </w:p>
    <w:p w14:paraId="163D9F56" w14:textId="7BFFBA9E" w:rsidR="00BF5D0D" w:rsidRPr="00A33264" w:rsidRDefault="00BF5D0D" w:rsidP="00BF5D0D">
      <w:pPr>
        <w:rPr>
          <w:lang w:val="en-GB"/>
        </w:rPr>
      </w:pPr>
      <w:r w:rsidRPr="00A33264">
        <w:rPr>
          <w:lang w:val="en-GB"/>
        </w:rPr>
        <w:t xml:space="preserve">Below is the table set out in Schedule 2A of the PGPA Rule. Section 17BE(u) requires </w:t>
      </w:r>
      <w:r w:rsidR="00AD5075">
        <w:rPr>
          <w:lang w:val="en-GB"/>
        </w:rPr>
        <w:t xml:space="preserve">that </w:t>
      </w:r>
      <w:r w:rsidRPr="00A33264">
        <w:rPr>
          <w:lang w:val="en-GB"/>
        </w:rPr>
        <w:t>this table be included in entities’ annual reports.</w:t>
      </w:r>
    </w:p>
    <w:tbl>
      <w:tblPr>
        <w:tblStyle w:val="GridTable4"/>
        <w:tblW w:w="9252" w:type="dxa"/>
        <w:tblCellMar>
          <w:top w:w="28" w:type="dxa"/>
          <w:left w:w="28" w:type="dxa"/>
          <w:bottom w:w="28" w:type="dxa"/>
          <w:right w:w="28" w:type="dxa"/>
        </w:tblCellMar>
        <w:tblLook w:val="0420" w:firstRow="1" w:lastRow="0" w:firstColumn="0" w:lastColumn="0" w:noHBand="0" w:noVBand="1"/>
      </w:tblPr>
      <w:tblGrid>
        <w:gridCol w:w="1678"/>
        <w:gridCol w:w="1391"/>
        <w:gridCol w:w="4172"/>
        <w:gridCol w:w="2011"/>
      </w:tblGrid>
      <w:tr w:rsidR="00117EA9" w:rsidRPr="00A33264" w14:paraId="16A14B3C" w14:textId="1AF29C9A" w:rsidTr="003752D4">
        <w:trPr>
          <w:cnfStyle w:val="100000000000" w:firstRow="1" w:lastRow="0" w:firstColumn="0" w:lastColumn="0" w:oddVBand="0" w:evenVBand="0" w:oddHBand="0" w:evenHBand="0" w:firstRowFirstColumn="0" w:firstRowLastColumn="0" w:lastRowFirstColumn="0" w:lastRowLastColumn="0"/>
          <w:cantSplit/>
        </w:trPr>
        <w:tc>
          <w:tcPr>
            <w:tcW w:w="1678" w:type="dxa"/>
            <w:tcBorders>
              <w:top w:val="single" w:sz="4" w:space="0" w:color="6B2876" w:themeColor="text1"/>
              <w:bottom w:val="single" w:sz="4" w:space="0" w:color="6B2876" w:themeColor="text1"/>
            </w:tcBorders>
          </w:tcPr>
          <w:p w14:paraId="5AB77780" w14:textId="4E35ABCB" w:rsidR="00117EA9" w:rsidRPr="00A33264" w:rsidRDefault="00117EA9" w:rsidP="00117EA9">
            <w:pPr>
              <w:pStyle w:val="TableBody"/>
              <w:rPr>
                <w:lang w:val="en-GB"/>
              </w:rPr>
            </w:pPr>
            <w:bookmarkStart w:id="460" w:name="ColumnTitle_ComplianceIndexes"/>
            <w:bookmarkStart w:id="461" w:name="_Toc169593034"/>
            <w:bookmarkEnd w:id="460"/>
            <w:r w:rsidRPr="00A33264">
              <w:rPr>
                <w:lang w:val="en-GB"/>
              </w:rPr>
              <w:lastRenderedPageBreak/>
              <w:t>PGPA Rule Reference</w:t>
            </w:r>
          </w:p>
        </w:tc>
        <w:tc>
          <w:tcPr>
            <w:tcW w:w="1391" w:type="dxa"/>
            <w:tcBorders>
              <w:top w:val="single" w:sz="4" w:space="0" w:color="6B2876" w:themeColor="text1"/>
              <w:bottom w:val="single" w:sz="4" w:space="0" w:color="6B2876" w:themeColor="text1"/>
            </w:tcBorders>
          </w:tcPr>
          <w:p w14:paraId="4B704A28" w14:textId="2DAEE0EA" w:rsidR="00117EA9" w:rsidRPr="00A33264" w:rsidRDefault="00C65496" w:rsidP="00117EA9">
            <w:pPr>
              <w:pStyle w:val="TableBody"/>
              <w:rPr>
                <w:lang w:val="en-GB"/>
              </w:rPr>
            </w:pPr>
            <w:r w:rsidRPr="00A33264">
              <w:rPr>
                <w:lang w:val="en-GB"/>
              </w:rPr>
              <w:t>Part of Report</w:t>
            </w:r>
          </w:p>
        </w:tc>
        <w:tc>
          <w:tcPr>
            <w:tcW w:w="4172" w:type="dxa"/>
            <w:tcBorders>
              <w:top w:val="single" w:sz="4" w:space="0" w:color="6B2876" w:themeColor="text1"/>
              <w:bottom w:val="single" w:sz="4" w:space="0" w:color="6B2876" w:themeColor="text1"/>
            </w:tcBorders>
          </w:tcPr>
          <w:p w14:paraId="2DD9C683" w14:textId="201D86B3" w:rsidR="00117EA9" w:rsidRPr="00A33264" w:rsidRDefault="00117EA9" w:rsidP="00117EA9">
            <w:pPr>
              <w:pStyle w:val="TableBody"/>
              <w:rPr>
                <w:lang w:val="en-GB"/>
              </w:rPr>
            </w:pPr>
            <w:r w:rsidRPr="00A33264">
              <w:rPr>
                <w:lang w:val="en-GB"/>
              </w:rPr>
              <w:t>Description</w:t>
            </w:r>
          </w:p>
        </w:tc>
        <w:tc>
          <w:tcPr>
            <w:tcW w:w="2011" w:type="dxa"/>
            <w:tcBorders>
              <w:top w:val="single" w:sz="4" w:space="0" w:color="6B2876" w:themeColor="text1"/>
              <w:bottom w:val="single" w:sz="4" w:space="0" w:color="6B2876" w:themeColor="text1"/>
            </w:tcBorders>
          </w:tcPr>
          <w:p w14:paraId="686E8A0C" w14:textId="27C53C39" w:rsidR="00117EA9" w:rsidRPr="00A33264" w:rsidRDefault="00117EA9" w:rsidP="00117EA9">
            <w:pPr>
              <w:pStyle w:val="TableBody"/>
              <w:rPr>
                <w:lang w:val="en-GB"/>
              </w:rPr>
            </w:pPr>
            <w:r w:rsidRPr="00A33264">
              <w:rPr>
                <w:lang w:val="en-GB"/>
              </w:rPr>
              <w:t>Requirement</w:t>
            </w:r>
          </w:p>
        </w:tc>
      </w:tr>
      <w:tr w:rsidR="000F7D48" w:rsidRPr="00A33264" w14:paraId="511399DF" w14:textId="408C7A05"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44D006C0" w14:textId="2CD394ED" w:rsidR="000F7D48" w:rsidRPr="000F7354" w:rsidRDefault="005656C9">
            <w:pPr>
              <w:pStyle w:val="TableBody"/>
              <w:rPr>
                <w:lang w:val="en-GB"/>
              </w:rPr>
            </w:pPr>
            <w:r w:rsidRPr="000F7354">
              <w:rPr>
                <w:lang w:val="en-GB"/>
              </w:rPr>
              <w:t>17BE</w:t>
            </w:r>
          </w:p>
        </w:tc>
        <w:tc>
          <w:tcPr>
            <w:tcW w:w="1391" w:type="dxa"/>
          </w:tcPr>
          <w:p w14:paraId="7B9FD84D" w14:textId="22B37E48" w:rsidR="000F7D48" w:rsidRPr="000F7354" w:rsidRDefault="00DC20A1">
            <w:pPr>
              <w:pStyle w:val="TableBody"/>
              <w:rPr>
                <w:lang w:val="en-GB"/>
              </w:rPr>
            </w:pPr>
            <w:r w:rsidRPr="000F7354">
              <w:rPr>
                <w:color w:val="F7EEF7"/>
                <w:lang w:val="en-GB"/>
              </w:rPr>
              <w:t>blank</w:t>
            </w:r>
          </w:p>
        </w:tc>
        <w:tc>
          <w:tcPr>
            <w:tcW w:w="4172" w:type="dxa"/>
          </w:tcPr>
          <w:p w14:paraId="3E39F909" w14:textId="7721C084" w:rsidR="000F7D48" w:rsidRPr="000F7354" w:rsidRDefault="005656C9">
            <w:pPr>
              <w:pStyle w:val="TableBody"/>
              <w:rPr>
                <w:lang w:val="en-GB"/>
              </w:rPr>
            </w:pPr>
            <w:r w:rsidRPr="000F7354">
              <w:rPr>
                <w:lang w:val="en-GB"/>
              </w:rPr>
              <w:t>Contents of annual report</w:t>
            </w:r>
          </w:p>
        </w:tc>
        <w:tc>
          <w:tcPr>
            <w:tcW w:w="2011" w:type="dxa"/>
          </w:tcPr>
          <w:p w14:paraId="6831EF2D" w14:textId="75140634" w:rsidR="000F7D48" w:rsidRPr="00A33264" w:rsidRDefault="00DC20A1">
            <w:pPr>
              <w:pStyle w:val="TableBody"/>
              <w:rPr>
                <w:lang w:val="en-GB"/>
              </w:rPr>
            </w:pPr>
            <w:r w:rsidRPr="00A33264">
              <w:rPr>
                <w:color w:val="F7EEF7"/>
                <w:lang w:val="en-GB"/>
              </w:rPr>
              <w:t>blank</w:t>
            </w:r>
          </w:p>
        </w:tc>
      </w:tr>
      <w:tr w:rsidR="00ED063E" w:rsidRPr="00A33264" w14:paraId="0026D953" w14:textId="15BCCF6A" w:rsidTr="00FB72C4">
        <w:trPr>
          <w:cantSplit/>
        </w:trPr>
        <w:tc>
          <w:tcPr>
            <w:tcW w:w="1678" w:type="dxa"/>
            <w:shd w:val="clear" w:color="auto" w:fill="auto"/>
          </w:tcPr>
          <w:p w14:paraId="7802E46A" w14:textId="36016387" w:rsidR="00ED063E" w:rsidRPr="00A33264" w:rsidRDefault="00ED063E" w:rsidP="00ED063E">
            <w:pPr>
              <w:pStyle w:val="TableBody"/>
              <w:rPr>
                <w:lang w:val="en-GB"/>
              </w:rPr>
            </w:pPr>
            <w:r w:rsidRPr="00A33264">
              <w:rPr>
                <w:lang w:val="en-GB" w:eastAsia="en-AU"/>
              </w:rPr>
              <w:t>17BE(a)</w:t>
            </w:r>
          </w:p>
        </w:tc>
        <w:tc>
          <w:tcPr>
            <w:tcW w:w="1391" w:type="dxa"/>
          </w:tcPr>
          <w:p w14:paraId="22019FA2" w14:textId="7D3B4545" w:rsidR="00ED063E" w:rsidRPr="00A33264" w:rsidRDefault="000F4065" w:rsidP="00ED063E">
            <w:pPr>
              <w:pStyle w:val="TableBody"/>
              <w:rPr>
                <w:lang w:val="en-GB"/>
              </w:rPr>
            </w:pPr>
            <w:r w:rsidRPr="00A33264">
              <w:rPr>
                <w:lang w:val="en-GB"/>
              </w:rPr>
              <w:t>6.1</w:t>
            </w:r>
          </w:p>
        </w:tc>
        <w:tc>
          <w:tcPr>
            <w:tcW w:w="4172" w:type="dxa"/>
          </w:tcPr>
          <w:p w14:paraId="3355DDB3" w14:textId="3E6F6916" w:rsidR="00ED063E" w:rsidRPr="00A33264" w:rsidRDefault="00ED063E" w:rsidP="00ED063E">
            <w:pPr>
              <w:pStyle w:val="TableBody"/>
              <w:rPr>
                <w:lang w:val="en-GB"/>
              </w:rPr>
            </w:pPr>
            <w:r w:rsidRPr="00A33264">
              <w:rPr>
                <w:lang w:val="en-GB" w:eastAsia="en-AU"/>
              </w:rPr>
              <w:t>Details of the legislation establishing the body</w:t>
            </w:r>
          </w:p>
        </w:tc>
        <w:tc>
          <w:tcPr>
            <w:tcW w:w="2011" w:type="dxa"/>
          </w:tcPr>
          <w:p w14:paraId="076DD533" w14:textId="19C73E5C" w:rsidR="00ED063E" w:rsidRPr="00A33264" w:rsidRDefault="00ED063E" w:rsidP="00ED063E">
            <w:pPr>
              <w:pStyle w:val="TableBody"/>
              <w:rPr>
                <w:lang w:val="en-GB"/>
              </w:rPr>
            </w:pPr>
            <w:r w:rsidRPr="00A33264">
              <w:rPr>
                <w:lang w:val="en-GB" w:eastAsia="en-AU"/>
              </w:rPr>
              <w:t>Mandatory</w:t>
            </w:r>
          </w:p>
        </w:tc>
      </w:tr>
      <w:tr w:rsidR="00ED063E" w:rsidRPr="00A33264" w14:paraId="0C96BA87" w14:textId="51A21992"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6D6BE897" w14:textId="6E53F21B" w:rsidR="00ED063E" w:rsidRPr="00A33264" w:rsidRDefault="00ED063E" w:rsidP="00ED063E">
            <w:pPr>
              <w:pStyle w:val="TableBody"/>
              <w:rPr>
                <w:lang w:val="en-GB"/>
              </w:rPr>
            </w:pPr>
            <w:r w:rsidRPr="00A33264">
              <w:rPr>
                <w:lang w:val="en-GB" w:eastAsia="en-AU"/>
              </w:rPr>
              <w:t>17BE(b)(i)</w:t>
            </w:r>
          </w:p>
        </w:tc>
        <w:tc>
          <w:tcPr>
            <w:tcW w:w="1391" w:type="dxa"/>
          </w:tcPr>
          <w:p w14:paraId="5FC6E5D6" w14:textId="31CC5A25" w:rsidR="00ED063E" w:rsidRPr="00A33264" w:rsidRDefault="000F4065" w:rsidP="00ED063E">
            <w:pPr>
              <w:pStyle w:val="TableBody"/>
              <w:rPr>
                <w:lang w:val="en-GB"/>
              </w:rPr>
            </w:pPr>
            <w:r w:rsidRPr="00A33264">
              <w:rPr>
                <w:lang w:val="en-GB"/>
              </w:rPr>
              <w:t>6.1</w:t>
            </w:r>
          </w:p>
        </w:tc>
        <w:tc>
          <w:tcPr>
            <w:tcW w:w="4172" w:type="dxa"/>
          </w:tcPr>
          <w:p w14:paraId="6C6C2A11" w14:textId="531F576B" w:rsidR="00ED063E" w:rsidRPr="00A33264" w:rsidRDefault="00ED063E" w:rsidP="00ED063E">
            <w:pPr>
              <w:pStyle w:val="TableBody"/>
              <w:rPr>
                <w:lang w:val="en-GB"/>
              </w:rPr>
            </w:pPr>
            <w:r w:rsidRPr="00A33264">
              <w:rPr>
                <w:lang w:val="en-GB" w:eastAsia="en-AU"/>
              </w:rPr>
              <w:t>A summary of the objects and functions of the entity as set out in legislation</w:t>
            </w:r>
          </w:p>
        </w:tc>
        <w:tc>
          <w:tcPr>
            <w:tcW w:w="2011" w:type="dxa"/>
          </w:tcPr>
          <w:p w14:paraId="52BBE994" w14:textId="0BB002C0" w:rsidR="00ED063E" w:rsidRPr="00A33264" w:rsidRDefault="00ED063E" w:rsidP="00ED063E">
            <w:pPr>
              <w:pStyle w:val="TableBody"/>
              <w:rPr>
                <w:lang w:val="en-GB"/>
              </w:rPr>
            </w:pPr>
            <w:r w:rsidRPr="00A33264">
              <w:rPr>
                <w:lang w:val="en-GB" w:eastAsia="en-AU"/>
              </w:rPr>
              <w:t>Mandatory</w:t>
            </w:r>
          </w:p>
        </w:tc>
      </w:tr>
      <w:tr w:rsidR="00ED063E" w:rsidRPr="00A33264" w14:paraId="47BB52B8" w14:textId="77777777" w:rsidTr="00FB72C4">
        <w:trPr>
          <w:cantSplit/>
        </w:trPr>
        <w:tc>
          <w:tcPr>
            <w:tcW w:w="1678" w:type="dxa"/>
          </w:tcPr>
          <w:p w14:paraId="31D3E770" w14:textId="257BDB43" w:rsidR="00ED063E" w:rsidRPr="00A33264" w:rsidRDefault="00ED063E" w:rsidP="00ED063E">
            <w:pPr>
              <w:pStyle w:val="TableBody"/>
              <w:rPr>
                <w:lang w:val="en-GB"/>
              </w:rPr>
            </w:pPr>
            <w:r w:rsidRPr="00A33264">
              <w:rPr>
                <w:lang w:val="en-GB" w:eastAsia="en-AU"/>
              </w:rPr>
              <w:t>17BE(b)(ii)</w:t>
            </w:r>
          </w:p>
        </w:tc>
        <w:tc>
          <w:tcPr>
            <w:tcW w:w="1391" w:type="dxa"/>
          </w:tcPr>
          <w:p w14:paraId="2C7B6C83" w14:textId="21EF8659" w:rsidR="00ED063E" w:rsidRPr="00A33264" w:rsidRDefault="00C655C7" w:rsidP="00ED063E">
            <w:pPr>
              <w:pStyle w:val="TableBody"/>
              <w:rPr>
                <w:lang w:val="en-GB"/>
              </w:rPr>
            </w:pPr>
            <w:r w:rsidRPr="00A33264">
              <w:rPr>
                <w:lang w:val="en-GB"/>
              </w:rPr>
              <w:t>1.</w:t>
            </w:r>
            <w:r w:rsidR="00F01AF0">
              <w:rPr>
                <w:lang w:val="en-GB"/>
              </w:rPr>
              <w:t>4</w:t>
            </w:r>
          </w:p>
          <w:p w14:paraId="05409116" w14:textId="45BBD475" w:rsidR="00C655C7" w:rsidRPr="00A33264" w:rsidRDefault="00C655C7" w:rsidP="00ED063E">
            <w:pPr>
              <w:pStyle w:val="TableBody"/>
              <w:rPr>
                <w:lang w:val="en-GB"/>
              </w:rPr>
            </w:pPr>
            <w:r w:rsidRPr="00A33264">
              <w:rPr>
                <w:lang w:val="en-GB"/>
              </w:rPr>
              <w:t>1.</w:t>
            </w:r>
            <w:r w:rsidR="00F01AF0">
              <w:rPr>
                <w:lang w:val="en-GB"/>
              </w:rPr>
              <w:t>5</w:t>
            </w:r>
          </w:p>
          <w:p w14:paraId="29627A1F" w14:textId="107C0655" w:rsidR="00C655C7" w:rsidRPr="00A33264" w:rsidRDefault="00C655C7" w:rsidP="00ED063E">
            <w:pPr>
              <w:pStyle w:val="TableBody"/>
              <w:rPr>
                <w:lang w:val="en-GB"/>
              </w:rPr>
            </w:pPr>
            <w:r w:rsidRPr="00A33264">
              <w:rPr>
                <w:lang w:val="en-GB"/>
              </w:rPr>
              <w:t>1.</w:t>
            </w:r>
            <w:r w:rsidR="00F01AF0">
              <w:rPr>
                <w:lang w:val="en-GB"/>
              </w:rPr>
              <w:t>6</w:t>
            </w:r>
          </w:p>
        </w:tc>
        <w:tc>
          <w:tcPr>
            <w:tcW w:w="4172" w:type="dxa"/>
          </w:tcPr>
          <w:p w14:paraId="41F3C736" w14:textId="74698952" w:rsidR="00ED063E" w:rsidRPr="00A33264" w:rsidRDefault="00ED063E" w:rsidP="00ED063E">
            <w:pPr>
              <w:pStyle w:val="TableBody"/>
              <w:rPr>
                <w:lang w:val="en-GB"/>
              </w:rPr>
            </w:pPr>
            <w:r w:rsidRPr="00A33264">
              <w:rPr>
                <w:lang w:val="en-GB" w:eastAsia="en-AU"/>
              </w:rPr>
              <w:t>The purposes of the entity as included in the entity’s corporate plan for the reporting period</w:t>
            </w:r>
          </w:p>
        </w:tc>
        <w:tc>
          <w:tcPr>
            <w:tcW w:w="2011" w:type="dxa"/>
          </w:tcPr>
          <w:p w14:paraId="402E3530" w14:textId="7A66437B" w:rsidR="00ED063E" w:rsidRPr="00A33264" w:rsidRDefault="00ED063E" w:rsidP="00ED063E">
            <w:pPr>
              <w:pStyle w:val="TableBody"/>
              <w:rPr>
                <w:lang w:val="en-GB"/>
              </w:rPr>
            </w:pPr>
            <w:r w:rsidRPr="00A33264">
              <w:rPr>
                <w:lang w:val="en-GB" w:eastAsia="en-AU"/>
              </w:rPr>
              <w:t>Mandatory</w:t>
            </w:r>
          </w:p>
        </w:tc>
      </w:tr>
      <w:tr w:rsidR="00ED063E" w:rsidRPr="00A33264" w14:paraId="3C180C41"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71A89A94" w14:textId="1B977115" w:rsidR="00ED063E" w:rsidRPr="00A33264" w:rsidRDefault="00ED063E" w:rsidP="00ED063E">
            <w:pPr>
              <w:pStyle w:val="TableBody"/>
              <w:rPr>
                <w:lang w:val="en-GB"/>
              </w:rPr>
            </w:pPr>
            <w:r w:rsidRPr="00A33264">
              <w:rPr>
                <w:lang w:val="en-GB" w:eastAsia="en-AU"/>
              </w:rPr>
              <w:t>17BE(c)</w:t>
            </w:r>
          </w:p>
        </w:tc>
        <w:tc>
          <w:tcPr>
            <w:tcW w:w="1391" w:type="dxa"/>
          </w:tcPr>
          <w:p w14:paraId="6C3F08AA" w14:textId="7CD5E0DE" w:rsidR="00820C69" w:rsidRPr="00A33264" w:rsidRDefault="00820C69" w:rsidP="00ED063E">
            <w:pPr>
              <w:pStyle w:val="TableBody"/>
              <w:rPr>
                <w:lang w:val="en-GB"/>
              </w:rPr>
            </w:pPr>
            <w:r w:rsidRPr="00A33264">
              <w:rPr>
                <w:lang w:val="en-GB"/>
              </w:rPr>
              <w:t>5.1.1</w:t>
            </w:r>
          </w:p>
        </w:tc>
        <w:tc>
          <w:tcPr>
            <w:tcW w:w="4172" w:type="dxa"/>
          </w:tcPr>
          <w:p w14:paraId="493C46FC" w14:textId="0FC60CBF" w:rsidR="00ED063E" w:rsidRPr="00A33264" w:rsidRDefault="00ED063E" w:rsidP="00ED063E">
            <w:pPr>
              <w:pStyle w:val="TableBody"/>
              <w:rPr>
                <w:lang w:val="en-GB"/>
              </w:rPr>
            </w:pPr>
            <w:r w:rsidRPr="00A33264">
              <w:rPr>
                <w:lang w:val="en-GB" w:eastAsia="en-AU"/>
              </w:rPr>
              <w:t>The names of the persons holding the position of responsible Minister or responsible Ministers during the reporting period, and the titles of those responsible Ministers</w:t>
            </w:r>
          </w:p>
        </w:tc>
        <w:tc>
          <w:tcPr>
            <w:tcW w:w="2011" w:type="dxa"/>
          </w:tcPr>
          <w:p w14:paraId="287C1AAC" w14:textId="4037CDAE" w:rsidR="00ED063E" w:rsidRPr="00A33264" w:rsidRDefault="00ED063E" w:rsidP="00ED063E">
            <w:pPr>
              <w:pStyle w:val="TableBody"/>
              <w:rPr>
                <w:lang w:val="en-GB"/>
              </w:rPr>
            </w:pPr>
            <w:r w:rsidRPr="00A33264">
              <w:rPr>
                <w:lang w:val="en-GB" w:eastAsia="en-AU"/>
              </w:rPr>
              <w:t>Mandatory</w:t>
            </w:r>
          </w:p>
        </w:tc>
      </w:tr>
      <w:tr w:rsidR="00ED063E" w:rsidRPr="00A33264" w14:paraId="1F7A6B88" w14:textId="77777777" w:rsidTr="00FB72C4">
        <w:trPr>
          <w:cantSplit/>
        </w:trPr>
        <w:tc>
          <w:tcPr>
            <w:tcW w:w="1678" w:type="dxa"/>
          </w:tcPr>
          <w:p w14:paraId="4DE1F089" w14:textId="1BDA0102" w:rsidR="00ED063E" w:rsidRPr="00A33264" w:rsidRDefault="00ED063E" w:rsidP="00ED063E">
            <w:pPr>
              <w:pStyle w:val="TableBody"/>
              <w:rPr>
                <w:lang w:val="en-GB"/>
              </w:rPr>
            </w:pPr>
            <w:r w:rsidRPr="00A33264">
              <w:rPr>
                <w:lang w:val="en-GB" w:eastAsia="en-AU"/>
              </w:rPr>
              <w:t>17BE(d)</w:t>
            </w:r>
          </w:p>
        </w:tc>
        <w:tc>
          <w:tcPr>
            <w:tcW w:w="1391" w:type="dxa"/>
          </w:tcPr>
          <w:p w14:paraId="6FD5841F" w14:textId="53AC9B50" w:rsidR="00ED063E" w:rsidRPr="00A33264" w:rsidRDefault="00820C69" w:rsidP="00ED063E">
            <w:pPr>
              <w:pStyle w:val="TableBody"/>
              <w:rPr>
                <w:lang w:val="en-GB"/>
              </w:rPr>
            </w:pPr>
            <w:r w:rsidRPr="00A33264">
              <w:rPr>
                <w:lang w:val="en-GB"/>
              </w:rPr>
              <w:t>6.9</w:t>
            </w:r>
            <w:r w:rsidR="003F25CD" w:rsidRPr="00A33264">
              <w:rPr>
                <w:lang w:val="en-GB"/>
              </w:rPr>
              <w:t>.1</w:t>
            </w:r>
          </w:p>
        </w:tc>
        <w:tc>
          <w:tcPr>
            <w:tcW w:w="4172" w:type="dxa"/>
          </w:tcPr>
          <w:p w14:paraId="6D3A8D9F" w14:textId="3BE3BBE7" w:rsidR="00ED063E" w:rsidRPr="00A33264" w:rsidRDefault="00ED063E" w:rsidP="00ED063E">
            <w:pPr>
              <w:pStyle w:val="TableBody"/>
              <w:rPr>
                <w:lang w:val="en-GB"/>
              </w:rPr>
            </w:pPr>
            <w:r w:rsidRPr="00A33264">
              <w:rPr>
                <w:lang w:val="en-GB" w:eastAsia="en-AU"/>
              </w:rPr>
              <w:t>Directions given to the entity by the Minister under an Act or instrument during the reporting period</w:t>
            </w:r>
          </w:p>
        </w:tc>
        <w:tc>
          <w:tcPr>
            <w:tcW w:w="2011" w:type="dxa"/>
          </w:tcPr>
          <w:p w14:paraId="7A581068" w14:textId="37DA59C3" w:rsidR="00ED063E" w:rsidRPr="00A33264" w:rsidRDefault="00ED063E" w:rsidP="00ED063E">
            <w:pPr>
              <w:pStyle w:val="TableBody"/>
              <w:rPr>
                <w:lang w:val="en-GB"/>
              </w:rPr>
            </w:pPr>
            <w:r w:rsidRPr="00A33264">
              <w:rPr>
                <w:lang w:val="en-GB" w:eastAsia="en-AU"/>
              </w:rPr>
              <w:t>If applicable, mandatory</w:t>
            </w:r>
          </w:p>
        </w:tc>
      </w:tr>
      <w:tr w:rsidR="00ED063E" w:rsidRPr="00A33264" w14:paraId="2A29C1B4"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26099DC0" w14:textId="15655D0E" w:rsidR="00ED063E" w:rsidRPr="00A33264" w:rsidRDefault="00ED063E" w:rsidP="00ED063E">
            <w:pPr>
              <w:pStyle w:val="TableBody"/>
              <w:rPr>
                <w:lang w:val="en-GB"/>
              </w:rPr>
            </w:pPr>
            <w:r w:rsidRPr="00A33264">
              <w:rPr>
                <w:lang w:val="en-GB" w:eastAsia="en-AU"/>
              </w:rPr>
              <w:t>17BE(e)</w:t>
            </w:r>
          </w:p>
        </w:tc>
        <w:tc>
          <w:tcPr>
            <w:tcW w:w="1391" w:type="dxa"/>
          </w:tcPr>
          <w:p w14:paraId="59F58C31" w14:textId="56E0D31E" w:rsidR="00ED063E" w:rsidRPr="00A33264" w:rsidRDefault="00FB72C4" w:rsidP="00ED063E">
            <w:pPr>
              <w:pStyle w:val="TableBody"/>
              <w:rPr>
                <w:lang w:val="en-GB"/>
              </w:rPr>
            </w:pPr>
            <w:r w:rsidRPr="00A33264">
              <w:rPr>
                <w:lang w:val="en-GB"/>
              </w:rPr>
              <w:t>6.9</w:t>
            </w:r>
            <w:r w:rsidR="003F25CD" w:rsidRPr="00A33264">
              <w:rPr>
                <w:lang w:val="en-GB"/>
              </w:rPr>
              <w:t>.1</w:t>
            </w:r>
          </w:p>
        </w:tc>
        <w:tc>
          <w:tcPr>
            <w:tcW w:w="4172" w:type="dxa"/>
          </w:tcPr>
          <w:p w14:paraId="3C100B8B" w14:textId="2AAC4F75" w:rsidR="00ED063E" w:rsidRPr="00A33264" w:rsidRDefault="00ED063E" w:rsidP="00ED063E">
            <w:pPr>
              <w:pStyle w:val="TableBody"/>
              <w:rPr>
                <w:lang w:val="en-GB"/>
              </w:rPr>
            </w:pPr>
            <w:r w:rsidRPr="00A33264">
              <w:rPr>
                <w:lang w:val="en-GB" w:eastAsia="en-AU"/>
              </w:rPr>
              <w:t>Any government policy order that applied in relation to the entity during the reporting period under section 22 of the Act</w:t>
            </w:r>
          </w:p>
        </w:tc>
        <w:tc>
          <w:tcPr>
            <w:tcW w:w="2011" w:type="dxa"/>
          </w:tcPr>
          <w:p w14:paraId="4E97A1DF" w14:textId="4EB2679A" w:rsidR="00ED063E" w:rsidRPr="00A33264" w:rsidRDefault="00ED063E" w:rsidP="00ED063E">
            <w:pPr>
              <w:pStyle w:val="TableBody"/>
              <w:rPr>
                <w:lang w:val="en-GB"/>
              </w:rPr>
            </w:pPr>
            <w:r w:rsidRPr="00A33264">
              <w:rPr>
                <w:lang w:val="en-GB" w:eastAsia="en-AU"/>
              </w:rPr>
              <w:t>If applicable, mandatory</w:t>
            </w:r>
          </w:p>
        </w:tc>
      </w:tr>
      <w:tr w:rsidR="00ED063E" w:rsidRPr="00A33264" w14:paraId="09C1D340" w14:textId="77777777" w:rsidTr="00FB72C4">
        <w:trPr>
          <w:cantSplit/>
        </w:trPr>
        <w:tc>
          <w:tcPr>
            <w:tcW w:w="1678" w:type="dxa"/>
          </w:tcPr>
          <w:p w14:paraId="1BBFFE04" w14:textId="6CAFA5D2" w:rsidR="00ED063E" w:rsidRPr="00A33264" w:rsidRDefault="00ED063E" w:rsidP="00ED063E">
            <w:pPr>
              <w:pStyle w:val="TableBody"/>
              <w:rPr>
                <w:lang w:val="en-GB"/>
              </w:rPr>
            </w:pPr>
            <w:r w:rsidRPr="00A33264">
              <w:rPr>
                <w:lang w:val="en-GB" w:eastAsia="en-AU"/>
              </w:rPr>
              <w:t>17BE(f)</w:t>
            </w:r>
          </w:p>
        </w:tc>
        <w:tc>
          <w:tcPr>
            <w:tcW w:w="1391" w:type="dxa"/>
          </w:tcPr>
          <w:p w14:paraId="2F80963A" w14:textId="1BF0BF04" w:rsidR="00ED063E" w:rsidRPr="00A33264" w:rsidRDefault="00FB72C4" w:rsidP="00ED063E">
            <w:pPr>
              <w:pStyle w:val="TableBody"/>
              <w:rPr>
                <w:lang w:val="en-GB"/>
              </w:rPr>
            </w:pPr>
            <w:r w:rsidRPr="00A33264">
              <w:rPr>
                <w:lang w:val="en-GB"/>
              </w:rPr>
              <w:t>6.9</w:t>
            </w:r>
            <w:r w:rsidR="003F25CD" w:rsidRPr="00A33264">
              <w:rPr>
                <w:lang w:val="en-GB"/>
              </w:rPr>
              <w:t>.1</w:t>
            </w:r>
          </w:p>
        </w:tc>
        <w:tc>
          <w:tcPr>
            <w:tcW w:w="4172" w:type="dxa"/>
          </w:tcPr>
          <w:p w14:paraId="2F70FA5F" w14:textId="43183B33" w:rsidR="00ED063E" w:rsidRPr="00A33264" w:rsidRDefault="00ED063E" w:rsidP="00ED063E">
            <w:pPr>
              <w:pStyle w:val="TableBody"/>
              <w:rPr>
                <w:lang w:val="en-GB" w:eastAsia="en-AU"/>
              </w:rPr>
            </w:pPr>
            <w:r w:rsidRPr="00A33264">
              <w:rPr>
                <w:lang w:val="en-GB" w:eastAsia="en-AU"/>
              </w:rPr>
              <w:t>Particulars of non</w:t>
            </w:r>
            <w:r w:rsidR="00AE346F" w:rsidRPr="00A33264">
              <w:rPr>
                <w:lang w:val="en-GB" w:eastAsia="en-AU"/>
              </w:rPr>
              <w:t>-</w:t>
            </w:r>
            <w:r w:rsidRPr="00A33264">
              <w:rPr>
                <w:lang w:val="en-GB" w:eastAsia="en-AU"/>
              </w:rPr>
              <w:t>compliance with:</w:t>
            </w:r>
          </w:p>
          <w:p w14:paraId="1C41D133" w14:textId="77777777" w:rsidR="00ED063E" w:rsidRPr="00A33264" w:rsidRDefault="00ED063E" w:rsidP="00ED063E">
            <w:pPr>
              <w:pStyle w:val="TableBody"/>
              <w:rPr>
                <w:lang w:val="en-GB" w:eastAsia="en-AU"/>
              </w:rPr>
            </w:pPr>
            <w:r w:rsidRPr="00A33264">
              <w:rPr>
                <w:lang w:val="en-GB" w:eastAsia="en-AU"/>
              </w:rPr>
              <w:t>(a) a direction given to the entity by the Minister under an Act or instrument during the reporting period; or</w:t>
            </w:r>
          </w:p>
          <w:p w14:paraId="73100071" w14:textId="24035E55" w:rsidR="00ED063E" w:rsidRPr="00A33264" w:rsidRDefault="00ED063E" w:rsidP="00ED063E">
            <w:pPr>
              <w:pStyle w:val="TableBody"/>
              <w:rPr>
                <w:lang w:val="en-GB"/>
              </w:rPr>
            </w:pPr>
            <w:r w:rsidRPr="00A33264">
              <w:rPr>
                <w:lang w:val="en-GB" w:eastAsia="en-AU"/>
              </w:rPr>
              <w:t>(b) a government policy order that applied in relation to the entity during the reporting period under section 22 of the Act</w:t>
            </w:r>
          </w:p>
        </w:tc>
        <w:tc>
          <w:tcPr>
            <w:tcW w:w="2011" w:type="dxa"/>
          </w:tcPr>
          <w:p w14:paraId="47EDD2EE" w14:textId="2D3D7003" w:rsidR="00ED063E" w:rsidRPr="00A33264" w:rsidRDefault="00ED063E" w:rsidP="00ED063E">
            <w:pPr>
              <w:pStyle w:val="TableBody"/>
              <w:rPr>
                <w:lang w:val="en-GB"/>
              </w:rPr>
            </w:pPr>
            <w:r w:rsidRPr="00A33264">
              <w:rPr>
                <w:lang w:val="en-GB" w:eastAsia="en-AU"/>
              </w:rPr>
              <w:t>If applicable, mandatory</w:t>
            </w:r>
          </w:p>
        </w:tc>
      </w:tr>
      <w:tr w:rsidR="00ED063E" w:rsidRPr="00A33264" w14:paraId="4C5FAA48"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174507F4" w14:textId="29794AEC" w:rsidR="00ED063E" w:rsidRPr="00A33264" w:rsidRDefault="00ED063E" w:rsidP="00ED063E">
            <w:pPr>
              <w:pStyle w:val="TableBody"/>
              <w:rPr>
                <w:lang w:val="en-GB"/>
              </w:rPr>
            </w:pPr>
            <w:r w:rsidRPr="00A33264">
              <w:rPr>
                <w:lang w:val="en-GB" w:eastAsia="en-AU"/>
              </w:rPr>
              <w:lastRenderedPageBreak/>
              <w:t>17BE(g)</w:t>
            </w:r>
          </w:p>
        </w:tc>
        <w:tc>
          <w:tcPr>
            <w:tcW w:w="1391" w:type="dxa"/>
          </w:tcPr>
          <w:p w14:paraId="4E4EE1FF" w14:textId="697449C9" w:rsidR="00ED063E" w:rsidRPr="00A33264" w:rsidRDefault="00FB72C4" w:rsidP="00ED063E">
            <w:pPr>
              <w:pStyle w:val="TableBody"/>
              <w:rPr>
                <w:lang w:val="en-GB"/>
              </w:rPr>
            </w:pPr>
            <w:r w:rsidRPr="00A33264">
              <w:rPr>
                <w:lang w:val="en-GB"/>
              </w:rPr>
              <w:t>2</w:t>
            </w:r>
          </w:p>
        </w:tc>
        <w:tc>
          <w:tcPr>
            <w:tcW w:w="4172" w:type="dxa"/>
          </w:tcPr>
          <w:p w14:paraId="4340E2FB" w14:textId="30469D53" w:rsidR="00ED063E" w:rsidRPr="00A33264" w:rsidRDefault="00ED063E" w:rsidP="00ED063E">
            <w:pPr>
              <w:pStyle w:val="TableBody"/>
              <w:rPr>
                <w:lang w:val="en-GB"/>
              </w:rPr>
            </w:pPr>
            <w:r w:rsidRPr="00A33264">
              <w:rPr>
                <w:lang w:val="en-GB" w:eastAsia="en-AU"/>
              </w:rPr>
              <w:t>Annual performance statements in accordance with paragraph 39(1)(b) of the Act and section 16F of the rule</w:t>
            </w:r>
          </w:p>
        </w:tc>
        <w:tc>
          <w:tcPr>
            <w:tcW w:w="2011" w:type="dxa"/>
          </w:tcPr>
          <w:p w14:paraId="2B508DE1" w14:textId="28FF009A" w:rsidR="00ED063E" w:rsidRPr="00A33264" w:rsidRDefault="00ED063E" w:rsidP="00ED063E">
            <w:pPr>
              <w:pStyle w:val="TableBody"/>
              <w:rPr>
                <w:lang w:val="en-GB"/>
              </w:rPr>
            </w:pPr>
            <w:r w:rsidRPr="00A33264">
              <w:rPr>
                <w:lang w:val="en-GB" w:eastAsia="en-AU"/>
              </w:rPr>
              <w:t>Mandatory</w:t>
            </w:r>
          </w:p>
        </w:tc>
      </w:tr>
      <w:tr w:rsidR="00ED063E" w:rsidRPr="00A33264" w14:paraId="117DBDEA" w14:textId="77777777" w:rsidTr="00FB72C4">
        <w:trPr>
          <w:cantSplit/>
        </w:trPr>
        <w:tc>
          <w:tcPr>
            <w:tcW w:w="1678" w:type="dxa"/>
          </w:tcPr>
          <w:p w14:paraId="4B3C8B58" w14:textId="2D3C0D49" w:rsidR="00ED063E" w:rsidRPr="00A33264" w:rsidRDefault="00ED063E" w:rsidP="00ED063E">
            <w:pPr>
              <w:pStyle w:val="TableBody"/>
              <w:rPr>
                <w:lang w:val="en-GB"/>
              </w:rPr>
            </w:pPr>
            <w:r w:rsidRPr="00A33264">
              <w:rPr>
                <w:lang w:val="en-GB" w:eastAsia="en-AU"/>
              </w:rPr>
              <w:t>17BE(h), 17BE(i)</w:t>
            </w:r>
          </w:p>
        </w:tc>
        <w:tc>
          <w:tcPr>
            <w:tcW w:w="1391" w:type="dxa"/>
          </w:tcPr>
          <w:p w14:paraId="6CBA8E20" w14:textId="0FF4FB98" w:rsidR="00ED063E" w:rsidRPr="00A33264" w:rsidRDefault="00FB72C4" w:rsidP="00ED063E">
            <w:pPr>
              <w:pStyle w:val="TableBody"/>
              <w:rPr>
                <w:lang w:val="en-GB"/>
              </w:rPr>
            </w:pPr>
            <w:r w:rsidRPr="00A33264">
              <w:rPr>
                <w:lang w:val="en-GB"/>
              </w:rPr>
              <w:t>6.9</w:t>
            </w:r>
            <w:r w:rsidR="003F25CD" w:rsidRPr="00A33264">
              <w:rPr>
                <w:lang w:val="en-GB"/>
              </w:rPr>
              <w:t>.6</w:t>
            </w:r>
          </w:p>
        </w:tc>
        <w:tc>
          <w:tcPr>
            <w:tcW w:w="4172" w:type="dxa"/>
          </w:tcPr>
          <w:p w14:paraId="4BEB55B0" w14:textId="14852D6D" w:rsidR="00ED063E" w:rsidRPr="00A33264" w:rsidRDefault="00ED063E" w:rsidP="00ED063E">
            <w:pPr>
              <w:pStyle w:val="TableBody"/>
              <w:rPr>
                <w:lang w:val="en-GB"/>
              </w:rPr>
            </w:pPr>
            <w:r w:rsidRPr="00A33264">
              <w:rPr>
                <w:lang w:val="en-GB" w:eastAsia="en-AU"/>
              </w:rPr>
              <w:t>A statement of significant issues reported to the Minister under paragraph 19(1)(e) of the Act that relates to non</w:t>
            </w:r>
            <w:r w:rsidR="00AE346F" w:rsidRPr="00A33264">
              <w:rPr>
                <w:lang w:val="en-GB" w:eastAsia="en-AU"/>
              </w:rPr>
              <w:t>-</w:t>
            </w:r>
            <w:r w:rsidRPr="00A33264">
              <w:rPr>
                <w:lang w:val="en-GB" w:eastAsia="en-AU"/>
              </w:rPr>
              <w:t>compliance with finance law and action taken to remedy non</w:t>
            </w:r>
            <w:r w:rsidR="00BF5D0D" w:rsidRPr="00A33264">
              <w:rPr>
                <w:lang w:val="en-GB" w:eastAsia="en-AU"/>
              </w:rPr>
              <w:t>-</w:t>
            </w:r>
            <w:r w:rsidRPr="00A33264">
              <w:rPr>
                <w:lang w:val="en-GB" w:eastAsia="en-AU"/>
              </w:rPr>
              <w:t>compliance</w:t>
            </w:r>
          </w:p>
        </w:tc>
        <w:tc>
          <w:tcPr>
            <w:tcW w:w="2011" w:type="dxa"/>
          </w:tcPr>
          <w:p w14:paraId="1E4328B7" w14:textId="59C6E1CB" w:rsidR="00ED063E" w:rsidRPr="00A33264" w:rsidRDefault="00ED063E" w:rsidP="00ED063E">
            <w:pPr>
              <w:pStyle w:val="TableBody"/>
              <w:rPr>
                <w:lang w:val="en-GB"/>
              </w:rPr>
            </w:pPr>
            <w:r w:rsidRPr="00A33264">
              <w:rPr>
                <w:lang w:val="en-GB" w:eastAsia="en-AU"/>
              </w:rPr>
              <w:t>If applicable, mandatory</w:t>
            </w:r>
          </w:p>
        </w:tc>
      </w:tr>
      <w:tr w:rsidR="00ED063E" w:rsidRPr="00A33264" w14:paraId="1E5726CE"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1098F269" w14:textId="73D68348" w:rsidR="00ED063E" w:rsidRPr="00A33264" w:rsidRDefault="00ED063E" w:rsidP="00ED063E">
            <w:pPr>
              <w:pStyle w:val="TableBody"/>
              <w:rPr>
                <w:lang w:val="en-GB"/>
              </w:rPr>
            </w:pPr>
            <w:r w:rsidRPr="00A33264">
              <w:rPr>
                <w:lang w:val="en-GB" w:eastAsia="en-AU"/>
              </w:rPr>
              <w:t>17BE(j)</w:t>
            </w:r>
          </w:p>
        </w:tc>
        <w:tc>
          <w:tcPr>
            <w:tcW w:w="1391" w:type="dxa"/>
          </w:tcPr>
          <w:p w14:paraId="56986C80" w14:textId="0F23CDE3" w:rsidR="00ED063E" w:rsidRPr="00A33264" w:rsidRDefault="000E2FC5" w:rsidP="00ED063E">
            <w:pPr>
              <w:pStyle w:val="TableBody"/>
              <w:rPr>
                <w:lang w:val="en-GB"/>
              </w:rPr>
            </w:pPr>
            <w:r w:rsidRPr="00A33264">
              <w:rPr>
                <w:lang w:val="en-GB"/>
              </w:rPr>
              <w:t>5.2</w:t>
            </w:r>
          </w:p>
        </w:tc>
        <w:tc>
          <w:tcPr>
            <w:tcW w:w="4172" w:type="dxa"/>
          </w:tcPr>
          <w:p w14:paraId="308759D8" w14:textId="5EBB4127" w:rsidR="00ED063E" w:rsidRPr="00A33264" w:rsidRDefault="00ED063E" w:rsidP="00ED063E">
            <w:pPr>
              <w:pStyle w:val="TableBody"/>
              <w:rPr>
                <w:lang w:val="en-GB"/>
              </w:rPr>
            </w:pPr>
            <w:r w:rsidRPr="00A33264">
              <w:rPr>
                <w:lang w:val="en-GB" w:eastAsia="en-AU"/>
              </w:rPr>
              <w:t>Information on the accountable authority, or each member of the accountable authority, of the entity during the reporting period</w:t>
            </w:r>
          </w:p>
        </w:tc>
        <w:tc>
          <w:tcPr>
            <w:tcW w:w="2011" w:type="dxa"/>
          </w:tcPr>
          <w:p w14:paraId="538E8A29" w14:textId="3DD11E62" w:rsidR="00ED063E" w:rsidRPr="00A33264" w:rsidRDefault="00ED063E" w:rsidP="00ED063E">
            <w:pPr>
              <w:pStyle w:val="TableBody"/>
              <w:rPr>
                <w:lang w:val="en-GB"/>
              </w:rPr>
            </w:pPr>
            <w:r w:rsidRPr="00A33264">
              <w:rPr>
                <w:lang w:val="en-GB" w:eastAsia="en-AU"/>
              </w:rPr>
              <w:t>Mandatory</w:t>
            </w:r>
          </w:p>
        </w:tc>
      </w:tr>
      <w:tr w:rsidR="00ED063E" w:rsidRPr="00A33264" w14:paraId="2C1EE5F7" w14:textId="77777777" w:rsidTr="00FB72C4">
        <w:trPr>
          <w:cantSplit/>
        </w:trPr>
        <w:tc>
          <w:tcPr>
            <w:tcW w:w="1678" w:type="dxa"/>
          </w:tcPr>
          <w:p w14:paraId="54355E58" w14:textId="0777523A" w:rsidR="00ED063E" w:rsidRPr="00A33264" w:rsidRDefault="00ED063E" w:rsidP="00ED063E">
            <w:pPr>
              <w:pStyle w:val="TableBody"/>
              <w:rPr>
                <w:lang w:val="en-GB"/>
              </w:rPr>
            </w:pPr>
            <w:r w:rsidRPr="00A33264">
              <w:rPr>
                <w:lang w:val="en-GB" w:eastAsia="en-AU"/>
              </w:rPr>
              <w:t>17BE(k)</w:t>
            </w:r>
          </w:p>
        </w:tc>
        <w:tc>
          <w:tcPr>
            <w:tcW w:w="1391" w:type="dxa"/>
          </w:tcPr>
          <w:p w14:paraId="1E713102" w14:textId="7932C729" w:rsidR="00ED063E" w:rsidRPr="00A33264" w:rsidRDefault="00A86569" w:rsidP="00ED063E">
            <w:pPr>
              <w:pStyle w:val="TableBody"/>
              <w:rPr>
                <w:lang w:val="en-GB"/>
              </w:rPr>
            </w:pPr>
            <w:r w:rsidRPr="00A33264">
              <w:rPr>
                <w:lang w:val="en-GB"/>
              </w:rPr>
              <w:t>5.4.1</w:t>
            </w:r>
          </w:p>
        </w:tc>
        <w:tc>
          <w:tcPr>
            <w:tcW w:w="4172" w:type="dxa"/>
          </w:tcPr>
          <w:p w14:paraId="7771E7CC" w14:textId="50BF663C" w:rsidR="00ED063E" w:rsidRPr="00A33264" w:rsidRDefault="00ED063E" w:rsidP="00ED063E">
            <w:pPr>
              <w:pStyle w:val="TableBody"/>
              <w:rPr>
                <w:lang w:val="en-GB"/>
              </w:rPr>
            </w:pPr>
            <w:r w:rsidRPr="00A33264">
              <w:rPr>
                <w:lang w:val="en-GB" w:eastAsia="en-AU"/>
              </w:rPr>
              <w:t>Outline of the organisational structure of the entity (including any subsidiaries of the entity)</w:t>
            </w:r>
          </w:p>
        </w:tc>
        <w:tc>
          <w:tcPr>
            <w:tcW w:w="2011" w:type="dxa"/>
          </w:tcPr>
          <w:p w14:paraId="67D687A6" w14:textId="1A877630" w:rsidR="00ED063E" w:rsidRPr="00A33264" w:rsidRDefault="00ED063E" w:rsidP="00ED063E">
            <w:pPr>
              <w:pStyle w:val="TableBody"/>
              <w:rPr>
                <w:lang w:val="en-GB"/>
              </w:rPr>
            </w:pPr>
            <w:r w:rsidRPr="00A33264">
              <w:rPr>
                <w:lang w:val="en-GB" w:eastAsia="en-AU"/>
              </w:rPr>
              <w:t>Mandatory</w:t>
            </w:r>
          </w:p>
        </w:tc>
      </w:tr>
      <w:tr w:rsidR="00ED063E" w:rsidRPr="00A33264" w14:paraId="699F27B6"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11BC1D48" w14:textId="079A324C" w:rsidR="00ED063E" w:rsidRPr="00A33264" w:rsidRDefault="00ED063E" w:rsidP="00ED063E">
            <w:pPr>
              <w:pStyle w:val="TableBody"/>
              <w:rPr>
                <w:lang w:val="en-GB"/>
              </w:rPr>
            </w:pPr>
            <w:r w:rsidRPr="00A33264">
              <w:rPr>
                <w:lang w:val="en-GB" w:eastAsia="en-AU"/>
              </w:rPr>
              <w:t>17BE(ka)</w:t>
            </w:r>
          </w:p>
        </w:tc>
        <w:tc>
          <w:tcPr>
            <w:tcW w:w="1391" w:type="dxa"/>
          </w:tcPr>
          <w:p w14:paraId="78BC1C82" w14:textId="46457526" w:rsidR="00ED063E" w:rsidRPr="00A33264" w:rsidRDefault="00BF5D0D" w:rsidP="00ED063E">
            <w:pPr>
              <w:pStyle w:val="TableBody"/>
              <w:rPr>
                <w:lang w:val="en-GB"/>
              </w:rPr>
            </w:pPr>
            <w:r w:rsidRPr="00A33264">
              <w:rPr>
                <w:lang w:val="en-GB"/>
              </w:rPr>
              <w:t>6.4</w:t>
            </w:r>
          </w:p>
        </w:tc>
        <w:tc>
          <w:tcPr>
            <w:tcW w:w="4172" w:type="dxa"/>
          </w:tcPr>
          <w:p w14:paraId="59C1E94E" w14:textId="45034CDA" w:rsidR="00ED063E" w:rsidRPr="00A33264" w:rsidRDefault="00ED063E" w:rsidP="00ED063E">
            <w:pPr>
              <w:pStyle w:val="TableBody"/>
              <w:rPr>
                <w:lang w:val="en-GB" w:eastAsia="en-AU"/>
              </w:rPr>
            </w:pPr>
            <w:r w:rsidRPr="00A33264">
              <w:rPr>
                <w:lang w:val="en-GB" w:eastAsia="en-AU"/>
              </w:rPr>
              <w:t>Statistics on the entity’s employees on an ongoing and non</w:t>
            </w:r>
            <w:r w:rsidR="00AE346F" w:rsidRPr="00A33264">
              <w:rPr>
                <w:lang w:val="en-GB" w:eastAsia="en-AU"/>
              </w:rPr>
              <w:t>-</w:t>
            </w:r>
            <w:r w:rsidRPr="00A33264">
              <w:rPr>
                <w:lang w:val="en-GB" w:eastAsia="en-AU"/>
              </w:rPr>
              <w:t>ongoing basis, including the following:</w:t>
            </w:r>
          </w:p>
          <w:p w14:paraId="7F20498C" w14:textId="0E3EF0FF" w:rsidR="00ED063E" w:rsidRPr="00A33264" w:rsidRDefault="00ED063E" w:rsidP="00ED063E">
            <w:pPr>
              <w:pStyle w:val="TableBody"/>
              <w:rPr>
                <w:lang w:val="en-GB" w:eastAsia="en-AU"/>
              </w:rPr>
            </w:pPr>
            <w:r w:rsidRPr="00A33264">
              <w:rPr>
                <w:lang w:val="en-GB" w:eastAsia="en-AU"/>
              </w:rPr>
              <w:t>(a) statistics on full</w:t>
            </w:r>
            <w:r w:rsidR="00AE346F" w:rsidRPr="00A33264">
              <w:rPr>
                <w:lang w:val="en-GB" w:eastAsia="en-AU"/>
              </w:rPr>
              <w:t>-</w:t>
            </w:r>
            <w:r w:rsidRPr="00A33264">
              <w:rPr>
                <w:lang w:val="en-GB" w:eastAsia="en-AU"/>
              </w:rPr>
              <w:t>time employees;</w:t>
            </w:r>
          </w:p>
          <w:p w14:paraId="14B27580" w14:textId="44D1FA95" w:rsidR="00ED063E" w:rsidRPr="00A33264" w:rsidRDefault="00ED063E" w:rsidP="00ED063E">
            <w:pPr>
              <w:pStyle w:val="TableBody"/>
              <w:rPr>
                <w:lang w:val="en-GB" w:eastAsia="en-AU"/>
              </w:rPr>
            </w:pPr>
            <w:r w:rsidRPr="00A33264">
              <w:rPr>
                <w:lang w:val="en-GB" w:eastAsia="en-AU"/>
              </w:rPr>
              <w:t>(b) statistics on part</w:t>
            </w:r>
            <w:r w:rsidR="00AE346F" w:rsidRPr="00A33264">
              <w:rPr>
                <w:lang w:val="en-GB" w:eastAsia="en-AU"/>
              </w:rPr>
              <w:t>-</w:t>
            </w:r>
            <w:r w:rsidRPr="00A33264">
              <w:rPr>
                <w:lang w:val="en-GB" w:eastAsia="en-AU"/>
              </w:rPr>
              <w:t>time employees;</w:t>
            </w:r>
          </w:p>
          <w:p w14:paraId="1D5269DF" w14:textId="77777777" w:rsidR="00ED063E" w:rsidRPr="00A33264" w:rsidRDefault="00ED063E" w:rsidP="00ED063E">
            <w:pPr>
              <w:pStyle w:val="TableBody"/>
              <w:rPr>
                <w:lang w:val="en-GB" w:eastAsia="en-AU"/>
              </w:rPr>
            </w:pPr>
            <w:r w:rsidRPr="00A33264">
              <w:rPr>
                <w:lang w:val="en-GB" w:eastAsia="en-AU"/>
              </w:rPr>
              <w:t>(c) statistics on gender;</w:t>
            </w:r>
          </w:p>
          <w:p w14:paraId="639EA0C2" w14:textId="7DB45697" w:rsidR="00ED063E" w:rsidRPr="00A33264" w:rsidRDefault="00ED063E" w:rsidP="00ED063E">
            <w:pPr>
              <w:pStyle w:val="TableBody"/>
              <w:rPr>
                <w:lang w:val="en-GB"/>
              </w:rPr>
            </w:pPr>
            <w:r w:rsidRPr="00A33264">
              <w:rPr>
                <w:lang w:val="en-GB" w:eastAsia="en-AU"/>
              </w:rPr>
              <w:t>(d) statistics on staff location</w:t>
            </w:r>
          </w:p>
        </w:tc>
        <w:tc>
          <w:tcPr>
            <w:tcW w:w="2011" w:type="dxa"/>
          </w:tcPr>
          <w:p w14:paraId="578A244B" w14:textId="59CDC815" w:rsidR="00ED063E" w:rsidRPr="00A33264" w:rsidRDefault="00ED063E" w:rsidP="00ED063E">
            <w:pPr>
              <w:pStyle w:val="TableBody"/>
              <w:rPr>
                <w:lang w:val="en-GB"/>
              </w:rPr>
            </w:pPr>
            <w:r w:rsidRPr="00A33264">
              <w:rPr>
                <w:lang w:val="en-GB" w:eastAsia="en-AU"/>
              </w:rPr>
              <w:t>Mandatory</w:t>
            </w:r>
          </w:p>
        </w:tc>
      </w:tr>
      <w:tr w:rsidR="00ED063E" w:rsidRPr="00A33264" w14:paraId="4DA0BFEE" w14:textId="77777777" w:rsidTr="00FB72C4">
        <w:trPr>
          <w:cantSplit/>
        </w:trPr>
        <w:tc>
          <w:tcPr>
            <w:tcW w:w="1678" w:type="dxa"/>
          </w:tcPr>
          <w:p w14:paraId="2E581D74" w14:textId="41883C11" w:rsidR="00ED063E" w:rsidRPr="00A33264" w:rsidRDefault="00ED063E" w:rsidP="00ED063E">
            <w:pPr>
              <w:pStyle w:val="TableBody"/>
              <w:rPr>
                <w:lang w:val="en-GB"/>
              </w:rPr>
            </w:pPr>
            <w:r w:rsidRPr="00A33264">
              <w:rPr>
                <w:lang w:val="en-GB" w:eastAsia="en-AU"/>
              </w:rPr>
              <w:t>17BE(l)</w:t>
            </w:r>
          </w:p>
        </w:tc>
        <w:tc>
          <w:tcPr>
            <w:tcW w:w="1391" w:type="dxa"/>
          </w:tcPr>
          <w:p w14:paraId="056EC057" w14:textId="4B7198C9" w:rsidR="00ED063E" w:rsidRPr="00A33264" w:rsidRDefault="00C655C7" w:rsidP="00ED063E">
            <w:pPr>
              <w:pStyle w:val="TableBody"/>
              <w:rPr>
                <w:lang w:val="en-GB"/>
              </w:rPr>
            </w:pPr>
            <w:r w:rsidRPr="00A33264">
              <w:rPr>
                <w:lang w:val="en-GB"/>
              </w:rPr>
              <w:t>6.9.2</w:t>
            </w:r>
          </w:p>
        </w:tc>
        <w:tc>
          <w:tcPr>
            <w:tcW w:w="4172" w:type="dxa"/>
          </w:tcPr>
          <w:p w14:paraId="04D56AE1" w14:textId="0A6AE31C" w:rsidR="00ED063E" w:rsidRPr="00A33264" w:rsidRDefault="00ED063E" w:rsidP="00ED063E">
            <w:pPr>
              <w:pStyle w:val="TableBody"/>
              <w:rPr>
                <w:lang w:val="en-GB"/>
              </w:rPr>
            </w:pPr>
            <w:r w:rsidRPr="00A33264">
              <w:rPr>
                <w:lang w:val="en-GB" w:eastAsia="en-AU"/>
              </w:rPr>
              <w:t>Outline of the location (whether or not in Australia) of major activities or facilities of the entity</w:t>
            </w:r>
          </w:p>
        </w:tc>
        <w:tc>
          <w:tcPr>
            <w:tcW w:w="2011" w:type="dxa"/>
          </w:tcPr>
          <w:p w14:paraId="0A71DFBB" w14:textId="4681B3C2" w:rsidR="00ED063E" w:rsidRPr="00A33264" w:rsidRDefault="00ED063E" w:rsidP="00ED063E">
            <w:pPr>
              <w:pStyle w:val="TableBody"/>
              <w:rPr>
                <w:lang w:val="en-GB"/>
              </w:rPr>
            </w:pPr>
            <w:r w:rsidRPr="00A33264">
              <w:rPr>
                <w:lang w:val="en-GB" w:eastAsia="en-AU"/>
              </w:rPr>
              <w:t>Mandatory</w:t>
            </w:r>
          </w:p>
        </w:tc>
      </w:tr>
      <w:tr w:rsidR="00ED063E" w:rsidRPr="00A33264" w14:paraId="666291FE"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48ABC6D0" w14:textId="22752355" w:rsidR="00ED063E" w:rsidRPr="00A33264" w:rsidRDefault="00ED063E" w:rsidP="00ED063E">
            <w:pPr>
              <w:pStyle w:val="TableBody"/>
              <w:rPr>
                <w:lang w:val="en-GB"/>
              </w:rPr>
            </w:pPr>
            <w:r w:rsidRPr="00A33264">
              <w:rPr>
                <w:lang w:val="en-GB" w:eastAsia="en-AU"/>
              </w:rPr>
              <w:t>17BE(m)</w:t>
            </w:r>
          </w:p>
        </w:tc>
        <w:tc>
          <w:tcPr>
            <w:tcW w:w="1391" w:type="dxa"/>
          </w:tcPr>
          <w:p w14:paraId="76F11F9B" w14:textId="77777777" w:rsidR="000E2FC5" w:rsidRPr="00A33264" w:rsidRDefault="000E2FC5" w:rsidP="00ED063E">
            <w:pPr>
              <w:pStyle w:val="TableBody"/>
              <w:rPr>
                <w:lang w:val="en-GB"/>
              </w:rPr>
            </w:pPr>
            <w:r w:rsidRPr="00A33264">
              <w:rPr>
                <w:lang w:val="en-GB"/>
              </w:rPr>
              <w:t>5.1</w:t>
            </w:r>
          </w:p>
          <w:p w14:paraId="269B5162" w14:textId="373C89EB" w:rsidR="00ED063E" w:rsidRPr="00A33264" w:rsidRDefault="000E2FC5" w:rsidP="00ED063E">
            <w:pPr>
              <w:pStyle w:val="TableBody"/>
              <w:rPr>
                <w:lang w:val="en-GB"/>
              </w:rPr>
            </w:pPr>
            <w:r w:rsidRPr="00A33264">
              <w:rPr>
                <w:lang w:val="en-GB"/>
              </w:rPr>
              <w:t>5.2</w:t>
            </w:r>
          </w:p>
          <w:p w14:paraId="5EDF389D" w14:textId="700A3D66" w:rsidR="00C655C7" w:rsidRPr="00A33264" w:rsidRDefault="00C655C7" w:rsidP="00ED063E">
            <w:pPr>
              <w:pStyle w:val="TableBody"/>
              <w:rPr>
                <w:lang w:val="en-GB"/>
              </w:rPr>
            </w:pPr>
            <w:r w:rsidRPr="00A33264">
              <w:rPr>
                <w:lang w:val="en-GB"/>
              </w:rPr>
              <w:t>5.6</w:t>
            </w:r>
          </w:p>
          <w:p w14:paraId="00F705D7" w14:textId="3A7400D2" w:rsidR="000E2FC5" w:rsidRPr="00A33264" w:rsidRDefault="000E2FC5" w:rsidP="00ED063E">
            <w:pPr>
              <w:pStyle w:val="TableBody"/>
              <w:rPr>
                <w:lang w:val="en-GB"/>
              </w:rPr>
            </w:pPr>
            <w:r w:rsidRPr="00A33264">
              <w:rPr>
                <w:lang w:val="en-GB"/>
              </w:rPr>
              <w:t>5.8</w:t>
            </w:r>
          </w:p>
        </w:tc>
        <w:tc>
          <w:tcPr>
            <w:tcW w:w="4172" w:type="dxa"/>
          </w:tcPr>
          <w:p w14:paraId="1FA7A847" w14:textId="41974D36" w:rsidR="00ED063E" w:rsidRPr="00A33264" w:rsidRDefault="00ED063E" w:rsidP="00ED063E">
            <w:pPr>
              <w:pStyle w:val="TableBody"/>
              <w:rPr>
                <w:lang w:val="en-GB"/>
              </w:rPr>
            </w:pPr>
            <w:r w:rsidRPr="00A33264">
              <w:rPr>
                <w:lang w:val="en-GB" w:eastAsia="en-AU"/>
              </w:rPr>
              <w:t>Information relating to the main corporate governance practices used by the entity during the reporting period</w:t>
            </w:r>
          </w:p>
        </w:tc>
        <w:tc>
          <w:tcPr>
            <w:tcW w:w="2011" w:type="dxa"/>
          </w:tcPr>
          <w:p w14:paraId="7DEF74D9" w14:textId="78D9E30E" w:rsidR="00ED063E" w:rsidRPr="00A33264" w:rsidRDefault="00ED063E" w:rsidP="00ED063E">
            <w:pPr>
              <w:pStyle w:val="TableBody"/>
              <w:rPr>
                <w:lang w:val="en-GB"/>
              </w:rPr>
            </w:pPr>
            <w:r w:rsidRPr="00A33264">
              <w:rPr>
                <w:lang w:val="en-GB" w:eastAsia="en-AU"/>
              </w:rPr>
              <w:t>Mandatory</w:t>
            </w:r>
          </w:p>
        </w:tc>
      </w:tr>
      <w:tr w:rsidR="00ED063E" w:rsidRPr="00A33264" w14:paraId="05758CEF" w14:textId="77777777" w:rsidTr="00FB72C4">
        <w:trPr>
          <w:cantSplit/>
        </w:trPr>
        <w:tc>
          <w:tcPr>
            <w:tcW w:w="1678" w:type="dxa"/>
          </w:tcPr>
          <w:p w14:paraId="546E1C4A" w14:textId="02D92E7A" w:rsidR="00ED063E" w:rsidRPr="00A33264" w:rsidRDefault="00ED063E" w:rsidP="00977DA7">
            <w:pPr>
              <w:pStyle w:val="TableBody"/>
              <w:rPr>
                <w:lang w:val="en-GB"/>
              </w:rPr>
            </w:pPr>
            <w:r w:rsidRPr="00A33264">
              <w:rPr>
                <w:lang w:val="en-GB" w:eastAsia="en-AU"/>
              </w:rPr>
              <w:lastRenderedPageBreak/>
              <w:t>17BE(n), 17BE(o)</w:t>
            </w:r>
          </w:p>
        </w:tc>
        <w:tc>
          <w:tcPr>
            <w:tcW w:w="1391" w:type="dxa"/>
          </w:tcPr>
          <w:p w14:paraId="1F402C16" w14:textId="228E2CC0" w:rsidR="00ED063E" w:rsidRPr="00A33264" w:rsidRDefault="00FB72C4" w:rsidP="00977DA7">
            <w:pPr>
              <w:pStyle w:val="TableBody"/>
              <w:rPr>
                <w:highlight w:val="yellow"/>
                <w:lang w:val="en-GB"/>
              </w:rPr>
            </w:pPr>
            <w:r w:rsidRPr="00A33264">
              <w:rPr>
                <w:lang w:val="en-GB"/>
              </w:rPr>
              <w:t>3</w:t>
            </w:r>
            <w:r w:rsidR="00390397">
              <w:rPr>
                <w:lang w:val="en-GB"/>
              </w:rPr>
              <w:t>.2</w:t>
            </w:r>
          </w:p>
        </w:tc>
        <w:tc>
          <w:tcPr>
            <w:tcW w:w="4172" w:type="dxa"/>
          </w:tcPr>
          <w:p w14:paraId="6479F89E" w14:textId="77777777" w:rsidR="00ED063E" w:rsidRPr="00A33264" w:rsidRDefault="00ED063E" w:rsidP="00977DA7">
            <w:pPr>
              <w:pStyle w:val="TableBody"/>
              <w:rPr>
                <w:lang w:val="en-GB" w:eastAsia="en-AU"/>
              </w:rPr>
            </w:pPr>
            <w:r w:rsidRPr="00A33264">
              <w:rPr>
                <w:lang w:val="en-GB" w:eastAsia="en-AU"/>
              </w:rPr>
              <w:t>For transactions with a related Commonwealth entity or related company where the value of the transaction, or if there is more than one transaction, the aggregate of those transactions, is more than $10,000 (inclusive of GST):</w:t>
            </w:r>
          </w:p>
          <w:p w14:paraId="3643A3BC" w14:textId="446CDAE3" w:rsidR="00ED063E" w:rsidRPr="00A33264" w:rsidRDefault="00ED063E" w:rsidP="00977DA7">
            <w:pPr>
              <w:pStyle w:val="TableBody"/>
              <w:rPr>
                <w:lang w:val="en-GB" w:eastAsia="en-AU"/>
              </w:rPr>
            </w:pPr>
            <w:r w:rsidRPr="00A33264">
              <w:rPr>
                <w:lang w:val="en-GB" w:eastAsia="en-AU"/>
              </w:rPr>
              <w:t>(a) the decision</w:t>
            </w:r>
            <w:r w:rsidR="00AE346F" w:rsidRPr="00A33264">
              <w:rPr>
                <w:lang w:val="en-GB" w:eastAsia="en-AU"/>
              </w:rPr>
              <w:t>-</w:t>
            </w:r>
            <w:r w:rsidRPr="00A33264">
              <w:rPr>
                <w:lang w:val="en-GB" w:eastAsia="en-AU"/>
              </w:rPr>
              <w:t>making process undertaken by the accountable authority to approve the entity paying for a good or service from, or providing a grant to, the related Commonwealth entity or related company; and</w:t>
            </w:r>
          </w:p>
          <w:p w14:paraId="7BE7FC5D" w14:textId="5BED3112" w:rsidR="00ED063E" w:rsidRPr="00A33264" w:rsidRDefault="00ED063E" w:rsidP="00977DA7">
            <w:pPr>
              <w:pStyle w:val="TableBody"/>
              <w:rPr>
                <w:lang w:val="en-GB"/>
              </w:rPr>
            </w:pPr>
            <w:r w:rsidRPr="00A33264">
              <w:rPr>
                <w:lang w:val="en-GB" w:eastAsia="en-AU"/>
              </w:rPr>
              <w:t>(b) the value of the transaction, or if there is more than one transaction, the number of transactions and the aggregate of value of the transactions</w:t>
            </w:r>
          </w:p>
        </w:tc>
        <w:tc>
          <w:tcPr>
            <w:tcW w:w="2011" w:type="dxa"/>
          </w:tcPr>
          <w:p w14:paraId="0DC97AB8" w14:textId="59E87829" w:rsidR="00ED063E" w:rsidRPr="00A33264" w:rsidRDefault="00ED063E" w:rsidP="00977DA7">
            <w:pPr>
              <w:pStyle w:val="TableBody"/>
              <w:rPr>
                <w:lang w:val="en-GB"/>
              </w:rPr>
            </w:pPr>
            <w:r w:rsidRPr="00A33264">
              <w:rPr>
                <w:lang w:val="en-GB" w:eastAsia="en-AU"/>
              </w:rPr>
              <w:t>If applicable, mandatory</w:t>
            </w:r>
          </w:p>
        </w:tc>
      </w:tr>
      <w:tr w:rsidR="00977DA7" w:rsidRPr="00A33264" w14:paraId="6B7EFC73"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241A7724" w14:textId="5139B138" w:rsidR="00977DA7" w:rsidRPr="00A33264" w:rsidRDefault="00977DA7" w:rsidP="00C65496">
            <w:pPr>
              <w:pStyle w:val="TableBody"/>
              <w:rPr>
                <w:lang w:val="en-GB"/>
              </w:rPr>
            </w:pPr>
            <w:r w:rsidRPr="00A33264">
              <w:rPr>
                <w:lang w:val="en-GB"/>
              </w:rPr>
              <w:t>17BE(p)</w:t>
            </w:r>
          </w:p>
        </w:tc>
        <w:tc>
          <w:tcPr>
            <w:tcW w:w="1391" w:type="dxa"/>
          </w:tcPr>
          <w:p w14:paraId="6D943DB2" w14:textId="2A7ACACC" w:rsidR="00FB72C4" w:rsidRPr="00A33264" w:rsidRDefault="00FB72C4" w:rsidP="00C65496">
            <w:pPr>
              <w:pStyle w:val="TableBody"/>
              <w:rPr>
                <w:lang w:val="en-GB"/>
              </w:rPr>
            </w:pPr>
            <w:r w:rsidRPr="00A33264">
              <w:rPr>
                <w:lang w:val="en-GB"/>
              </w:rPr>
              <w:t>3</w:t>
            </w:r>
            <w:r w:rsidR="00390397">
              <w:rPr>
                <w:lang w:val="en-GB"/>
              </w:rPr>
              <w:t>.2</w:t>
            </w:r>
          </w:p>
          <w:p w14:paraId="48A082BA" w14:textId="330F509C" w:rsidR="00977DA7" w:rsidRPr="00A33264" w:rsidRDefault="000E2FC5" w:rsidP="00C65496">
            <w:pPr>
              <w:pStyle w:val="TableBody"/>
              <w:rPr>
                <w:lang w:val="en-GB"/>
              </w:rPr>
            </w:pPr>
            <w:r w:rsidRPr="00A33264">
              <w:rPr>
                <w:lang w:val="en-GB"/>
              </w:rPr>
              <w:t>5.2.4</w:t>
            </w:r>
          </w:p>
          <w:p w14:paraId="2AEE934F" w14:textId="77777777" w:rsidR="000F4065" w:rsidRPr="00A33264" w:rsidRDefault="000F4065" w:rsidP="00C65496">
            <w:pPr>
              <w:pStyle w:val="TableBody"/>
              <w:rPr>
                <w:lang w:val="en-GB"/>
              </w:rPr>
            </w:pPr>
            <w:r w:rsidRPr="00A33264">
              <w:rPr>
                <w:lang w:val="en-GB"/>
              </w:rPr>
              <w:t>5.4.1</w:t>
            </w:r>
          </w:p>
          <w:p w14:paraId="265970C7" w14:textId="0B313976" w:rsidR="000F4065" w:rsidRPr="00A33264" w:rsidRDefault="000F4065" w:rsidP="00C65496">
            <w:pPr>
              <w:pStyle w:val="TableBody"/>
              <w:rPr>
                <w:lang w:val="en-GB"/>
              </w:rPr>
            </w:pPr>
            <w:r w:rsidRPr="00A33264">
              <w:rPr>
                <w:lang w:val="en-GB"/>
              </w:rPr>
              <w:t>6.1</w:t>
            </w:r>
          </w:p>
        </w:tc>
        <w:tc>
          <w:tcPr>
            <w:tcW w:w="4172" w:type="dxa"/>
          </w:tcPr>
          <w:p w14:paraId="50484DD2" w14:textId="04C7A975" w:rsidR="00977DA7" w:rsidRPr="00A33264" w:rsidRDefault="00977DA7" w:rsidP="00C65496">
            <w:pPr>
              <w:pStyle w:val="TableBody"/>
              <w:rPr>
                <w:lang w:val="en-GB"/>
              </w:rPr>
            </w:pPr>
            <w:r w:rsidRPr="00A33264">
              <w:rPr>
                <w:lang w:val="en-GB"/>
              </w:rPr>
              <w:t>Any significant activities and changes that affected the operation or structure of the entity during the reporting period</w:t>
            </w:r>
          </w:p>
        </w:tc>
        <w:tc>
          <w:tcPr>
            <w:tcW w:w="2011" w:type="dxa"/>
          </w:tcPr>
          <w:p w14:paraId="00DE4EBB" w14:textId="7ABCAF5D" w:rsidR="00977DA7" w:rsidRPr="00A33264" w:rsidRDefault="00977DA7" w:rsidP="00C65496">
            <w:pPr>
              <w:pStyle w:val="TableBody"/>
              <w:rPr>
                <w:lang w:val="en-GB"/>
              </w:rPr>
            </w:pPr>
            <w:r w:rsidRPr="00A33264">
              <w:rPr>
                <w:lang w:val="en-GB"/>
              </w:rPr>
              <w:t>If applicable, mandatory</w:t>
            </w:r>
          </w:p>
        </w:tc>
      </w:tr>
      <w:tr w:rsidR="00977DA7" w:rsidRPr="00A33264" w14:paraId="584B24D5" w14:textId="77777777" w:rsidTr="00FB72C4">
        <w:trPr>
          <w:cantSplit/>
        </w:trPr>
        <w:tc>
          <w:tcPr>
            <w:tcW w:w="1678" w:type="dxa"/>
          </w:tcPr>
          <w:p w14:paraId="478A0176" w14:textId="33A07607" w:rsidR="00977DA7" w:rsidRPr="00A33264" w:rsidRDefault="00977DA7" w:rsidP="00C65496">
            <w:pPr>
              <w:pStyle w:val="TableBody"/>
              <w:rPr>
                <w:lang w:val="en-GB"/>
              </w:rPr>
            </w:pPr>
            <w:r w:rsidRPr="00A33264">
              <w:rPr>
                <w:lang w:val="en-GB"/>
              </w:rPr>
              <w:t>17BE(q)</w:t>
            </w:r>
          </w:p>
        </w:tc>
        <w:tc>
          <w:tcPr>
            <w:tcW w:w="1391" w:type="dxa"/>
          </w:tcPr>
          <w:p w14:paraId="1466D6D6" w14:textId="4520067F" w:rsidR="00977DA7" w:rsidRPr="00A33264" w:rsidRDefault="00C655C7" w:rsidP="00C65496">
            <w:pPr>
              <w:pStyle w:val="TableBody"/>
              <w:rPr>
                <w:lang w:val="en-GB"/>
              </w:rPr>
            </w:pPr>
            <w:r w:rsidRPr="00A33264">
              <w:rPr>
                <w:lang w:val="en-GB"/>
              </w:rPr>
              <w:t>6.8</w:t>
            </w:r>
          </w:p>
        </w:tc>
        <w:tc>
          <w:tcPr>
            <w:tcW w:w="4172" w:type="dxa"/>
          </w:tcPr>
          <w:p w14:paraId="484C8C22" w14:textId="05C35F2E" w:rsidR="00977DA7" w:rsidRPr="00A33264" w:rsidRDefault="00977DA7" w:rsidP="00C65496">
            <w:pPr>
              <w:pStyle w:val="TableBody"/>
              <w:rPr>
                <w:lang w:val="en-GB"/>
              </w:rPr>
            </w:pPr>
            <w:r w:rsidRPr="00A33264">
              <w:rPr>
                <w:lang w:val="en-GB"/>
              </w:rPr>
              <w:t>Particulars of judicial decisions or decisions of administrative tribunals that may have a significant effect on the operations of the entity</w:t>
            </w:r>
          </w:p>
        </w:tc>
        <w:tc>
          <w:tcPr>
            <w:tcW w:w="2011" w:type="dxa"/>
          </w:tcPr>
          <w:p w14:paraId="3BA8DDA0" w14:textId="3327133F" w:rsidR="00977DA7" w:rsidRPr="00A33264" w:rsidRDefault="00977DA7" w:rsidP="00C65496">
            <w:pPr>
              <w:pStyle w:val="TableBody"/>
              <w:rPr>
                <w:lang w:val="en-GB"/>
              </w:rPr>
            </w:pPr>
            <w:r w:rsidRPr="00A33264">
              <w:rPr>
                <w:lang w:val="en-GB"/>
              </w:rPr>
              <w:t>If applicable, mandatory</w:t>
            </w:r>
          </w:p>
        </w:tc>
      </w:tr>
      <w:tr w:rsidR="00977DA7" w:rsidRPr="00A33264" w14:paraId="1001FF34"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5CFE9AD9" w14:textId="7D1A1FD1" w:rsidR="00977DA7" w:rsidRPr="00A33264" w:rsidRDefault="00977DA7" w:rsidP="00C65496">
            <w:pPr>
              <w:pStyle w:val="TableBody"/>
              <w:rPr>
                <w:lang w:val="en-GB"/>
              </w:rPr>
            </w:pPr>
            <w:r w:rsidRPr="00A33264">
              <w:rPr>
                <w:lang w:val="en-GB"/>
              </w:rPr>
              <w:lastRenderedPageBreak/>
              <w:t>17BE(r)</w:t>
            </w:r>
          </w:p>
        </w:tc>
        <w:tc>
          <w:tcPr>
            <w:tcW w:w="1391" w:type="dxa"/>
          </w:tcPr>
          <w:p w14:paraId="61E22ED1" w14:textId="77777777" w:rsidR="00977DA7" w:rsidRPr="00A33264" w:rsidRDefault="00820C69" w:rsidP="00C65496">
            <w:pPr>
              <w:pStyle w:val="TableBody"/>
              <w:rPr>
                <w:lang w:val="en-GB"/>
              </w:rPr>
            </w:pPr>
            <w:r w:rsidRPr="00A33264">
              <w:rPr>
                <w:lang w:val="en-GB"/>
              </w:rPr>
              <w:t>6.7</w:t>
            </w:r>
          </w:p>
          <w:p w14:paraId="2E875C96" w14:textId="3B564CD6" w:rsidR="00C655C7" w:rsidRPr="00A33264" w:rsidRDefault="00C655C7" w:rsidP="000F4065">
            <w:pPr>
              <w:pStyle w:val="TableBody"/>
              <w:rPr>
                <w:lang w:val="en-GB"/>
              </w:rPr>
            </w:pPr>
            <w:r w:rsidRPr="00A33264">
              <w:rPr>
                <w:lang w:val="en-GB"/>
              </w:rPr>
              <w:t>6.8</w:t>
            </w:r>
          </w:p>
        </w:tc>
        <w:tc>
          <w:tcPr>
            <w:tcW w:w="4172" w:type="dxa"/>
          </w:tcPr>
          <w:p w14:paraId="2E250E1F" w14:textId="77777777" w:rsidR="00977DA7" w:rsidRPr="00A33264" w:rsidRDefault="00977DA7" w:rsidP="00C65496">
            <w:pPr>
              <w:pStyle w:val="TableBody"/>
              <w:rPr>
                <w:lang w:val="en-GB"/>
              </w:rPr>
            </w:pPr>
            <w:r w:rsidRPr="00A33264">
              <w:rPr>
                <w:lang w:val="en-GB"/>
              </w:rPr>
              <w:t>Particulars of any reports on the entity given by:</w:t>
            </w:r>
          </w:p>
          <w:p w14:paraId="5E9B83B7" w14:textId="2B236187" w:rsidR="00977DA7" w:rsidRPr="00A33264" w:rsidRDefault="00977DA7" w:rsidP="00C65496">
            <w:pPr>
              <w:pStyle w:val="TableBody"/>
              <w:rPr>
                <w:lang w:val="en-GB"/>
              </w:rPr>
            </w:pPr>
            <w:r w:rsidRPr="00A33264">
              <w:rPr>
                <w:lang w:val="en-GB"/>
              </w:rPr>
              <w:t>(a) the Auditor</w:t>
            </w:r>
            <w:r w:rsidR="00AE346F" w:rsidRPr="00A33264">
              <w:rPr>
                <w:lang w:val="en-GB"/>
              </w:rPr>
              <w:t>-</w:t>
            </w:r>
            <w:r w:rsidRPr="00A33264">
              <w:rPr>
                <w:lang w:val="en-GB"/>
              </w:rPr>
              <w:t>General (other than a report under section 43 of the Act); or</w:t>
            </w:r>
          </w:p>
          <w:p w14:paraId="0F18F620" w14:textId="77777777" w:rsidR="00977DA7" w:rsidRPr="00A33264" w:rsidRDefault="00977DA7" w:rsidP="00C65496">
            <w:pPr>
              <w:pStyle w:val="TableBody"/>
              <w:rPr>
                <w:lang w:val="en-GB"/>
              </w:rPr>
            </w:pPr>
            <w:r w:rsidRPr="00A33264">
              <w:rPr>
                <w:lang w:val="en-GB"/>
              </w:rPr>
              <w:t>(b) a Parliamentary Committee; or</w:t>
            </w:r>
          </w:p>
          <w:p w14:paraId="4BA6D9A7" w14:textId="77777777" w:rsidR="00977DA7" w:rsidRPr="00A33264" w:rsidRDefault="00977DA7" w:rsidP="00C65496">
            <w:pPr>
              <w:pStyle w:val="TableBody"/>
              <w:rPr>
                <w:lang w:val="en-GB"/>
              </w:rPr>
            </w:pPr>
            <w:r w:rsidRPr="00A33264">
              <w:rPr>
                <w:lang w:val="en-GB"/>
              </w:rPr>
              <w:t>(c) the Commonwealth Ombudsman; or</w:t>
            </w:r>
          </w:p>
          <w:p w14:paraId="19F7B399" w14:textId="5AF8C611" w:rsidR="00977DA7" w:rsidRPr="00A33264" w:rsidRDefault="00977DA7" w:rsidP="00C65496">
            <w:pPr>
              <w:pStyle w:val="TableBody"/>
              <w:rPr>
                <w:lang w:val="en-GB"/>
              </w:rPr>
            </w:pPr>
            <w:r w:rsidRPr="00A33264">
              <w:rPr>
                <w:lang w:val="en-GB"/>
              </w:rPr>
              <w:t>(d) the Office of the Australian Information Commissioner</w:t>
            </w:r>
          </w:p>
        </w:tc>
        <w:tc>
          <w:tcPr>
            <w:tcW w:w="2011" w:type="dxa"/>
          </w:tcPr>
          <w:p w14:paraId="4EB1A489" w14:textId="14D35152" w:rsidR="00977DA7" w:rsidRPr="00A33264" w:rsidRDefault="00977DA7" w:rsidP="00C65496">
            <w:pPr>
              <w:pStyle w:val="TableBody"/>
              <w:rPr>
                <w:lang w:val="en-GB"/>
              </w:rPr>
            </w:pPr>
            <w:r w:rsidRPr="00A33264">
              <w:rPr>
                <w:lang w:val="en-GB"/>
              </w:rPr>
              <w:t>If applicable, mandatory</w:t>
            </w:r>
          </w:p>
        </w:tc>
      </w:tr>
      <w:tr w:rsidR="00977DA7" w:rsidRPr="00A33264" w14:paraId="1C1ABF1C" w14:textId="77777777" w:rsidTr="00FB72C4">
        <w:trPr>
          <w:cantSplit/>
        </w:trPr>
        <w:tc>
          <w:tcPr>
            <w:tcW w:w="1678" w:type="dxa"/>
          </w:tcPr>
          <w:p w14:paraId="5EB45A73" w14:textId="09E373C9" w:rsidR="00977DA7" w:rsidRPr="00A33264" w:rsidRDefault="00977DA7" w:rsidP="00C65496">
            <w:pPr>
              <w:pStyle w:val="TableBody"/>
              <w:rPr>
                <w:lang w:val="en-GB"/>
              </w:rPr>
            </w:pPr>
            <w:r w:rsidRPr="00A33264">
              <w:rPr>
                <w:lang w:val="en-GB"/>
              </w:rPr>
              <w:t>17BE(s)</w:t>
            </w:r>
          </w:p>
        </w:tc>
        <w:tc>
          <w:tcPr>
            <w:tcW w:w="1391" w:type="dxa"/>
          </w:tcPr>
          <w:p w14:paraId="47FED866" w14:textId="5F3117A3" w:rsidR="00977DA7" w:rsidRPr="00A33264" w:rsidRDefault="00DC20A1" w:rsidP="00C65496">
            <w:pPr>
              <w:pStyle w:val="TableBody"/>
              <w:rPr>
                <w:lang w:val="en-GB"/>
              </w:rPr>
            </w:pPr>
            <w:r w:rsidRPr="00A33264">
              <w:rPr>
                <w:lang w:val="en-GB"/>
              </w:rPr>
              <w:t>Not applicable</w:t>
            </w:r>
          </w:p>
        </w:tc>
        <w:tc>
          <w:tcPr>
            <w:tcW w:w="4172" w:type="dxa"/>
          </w:tcPr>
          <w:p w14:paraId="16C0AD1B" w14:textId="5081B861" w:rsidR="00977DA7" w:rsidRPr="00A33264" w:rsidRDefault="00977DA7" w:rsidP="00C65496">
            <w:pPr>
              <w:pStyle w:val="TableBody"/>
              <w:rPr>
                <w:lang w:val="en-GB"/>
              </w:rPr>
            </w:pPr>
            <w:r w:rsidRPr="00A33264">
              <w:rPr>
                <w:lang w:val="en-GB"/>
              </w:rPr>
              <w:t>An explanation of information not obtained from a subsidiary of the entity and the effect of not having the information on the annual report</w:t>
            </w:r>
          </w:p>
        </w:tc>
        <w:tc>
          <w:tcPr>
            <w:tcW w:w="2011" w:type="dxa"/>
          </w:tcPr>
          <w:p w14:paraId="78BD956F" w14:textId="1B8B38AF" w:rsidR="00977DA7" w:rsidRPr="00A33264" w:rsidRDefault="00977DA7" w:rsidP="00C65496">
            <w:pPr>
              <w:pStyle w:val="TableBody"/>
              <w:rPr>
                <w:lang w:val="en-GB"/>
              </w:rPr>
            </w:pPr>
            <w:r w:rsidRPr="00A33264">
              <w:rPr>
                <w:lang w:val="en-GB"/>
              </w:rPr>
              <w:t>If applicable, mandatory</w:t>
            </w:r>
          </w:p>
        </w:tc>
      </w:tr>
      <w:tr w:rsidR="00977DA7" w:rsidRPr="00A33264" w14:paraId="22AFB56B"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06EAB182" w14:textId="470A4413" w:rsidR="00977DA7" w:rsidRPr="00A33264" w:rsidRDefault="00977DA7" w:rsidP="00C65496">
            <w:pPr>
              <w:pStyle w:val="TableBody"/>
              <w:rPr>
                <w:lang w:val="en-GB"/>
              </w:rPr>
            </w:pPr>
            <w:r w:rsidRPr="00A33264">
              <w:rPr>
                <w:lang w:val="en-GB"/>
              </w:rPr>
              <w:t>17BE(t)</w:t>
            </w:r>
          </w:p>
        </w:tc>
        <w:tc>
          <w:tcPr>
            <w:tcW w:w="1391" w:type="dxa"/>
          </w:tcPr>
          <w:p w14:paraId="74A88750" w14:textId="41CFA97F" w:rsidR="00C655C7" w:rsidRPr="00A33264" w:rsidRDefault="00C655C7" w:rsidP="00C65496">
            <w:pPr>
              <w:pStyle w:val="TableBody"/>
              <w:rPr>
                <w:lang w:val="en-GB"/>
              </w:rPr>
            </w:pPr>
            <w:r w:rsidRPr="00A33264">
              <w:rPr>
                <w:lang w:val="en-GB"/>
              </w:rPr>
              <w:t>6.9.3</w:t>
            </w:r>
          </w:p>
        </w:tc>
        <w:tc>
          <w:tcPr>
            <w:tcW w:w="4172" w:type="dxa"/>
          </w:tcPr>
          <w:p w14:paraId="005C0605" w14:textId="5DFEFC80" w:rsidR="00977DA7" w:rsidRPr="00A33264" w:rsidRDefault="00977DA7" w:rsidP="00C65496">
            <w:pPr>
              <w:pStyle w:val="TableBody"/>
              <w:rPr>
                <w:lang w:val="en-GB"/>
              </w:rPr>
            </w:pPr>
            <w:r w:rsidRPr="00A33264">
              <w:rPr>
                <w:lang w:val="en-GB"/>
              </w:rPr>
              <w:t>Details of any indemnity that applied during the reporting period to the accountable authority, any member of the accountable authority or officer of the entity against a liability (including premiums paid, or agreed to be paid, for insurance against the authority, member or officer’s liability for legal costs)</w:t>
            </w:r>
          </w:p>
        </w:tc>
        <w:tc>
          <w:tcPr>
            <w:tcW w:w="2011" w:type="dxa"/>
          </w:tcPr>
          <w:p w14:paraId="655FAE54" w14:textId="1A29AA39" w:rsidR="00977DA7" w:rsidRPr="00A33264" w:rsidRDefault="00977DA7" w:rsidP="00C65496">
            <w:pPr>
              <w:pStyle w:val="TableBody"/>
              <w:rPr>
                <w:lang w:val="en-GB"/>
              </w:rPr>
            </w:pPr>
            <w:r w:rsidRPr="00A33264">
              <w:rPr>
                <w:lang w:val="en-GB"/>
              </w:rPr>
              <w:t>If applicable, mandatory</w:t>
            </w:r>
          </w:p>
        </w:tc>
      </w:tr>
      <w:tr w:rsidR="00977DA7" w:rsidRPr="00A33264" w14:paraId="5F9E4FA1" w14:textId="77777777" w:rsidTr="00FB72C4">
        <w:trPr>
          <w:cantSplit/>
        </w:trPr>
        <w:tc>
          <w:tcPr>
            <w:tcW w:w="1678" w:type="dxa"/>
          </w:tcPr>
          <w:p w14:paraId="75E9DA4A" w14:textId="4B73F984" w:rsidR="00977DA7" w:rsidRPr="00A33264" w:rsidRDefault="00977DA7" w:rsidP="00C65496">
            <w:pPr>
              <w:pStyle w:val="TableBody"/>
              <w:rPr>
                <w:lang w:val="en-GB"/>
              </w:rPr>
            </w:pPr>
            <w:r w:rsidRPr="00A33264">
              <w:rPr>
                <w:lang w:val="en-GB"/>
              </w:rPr>
              <w:lastRenderedPageBreak/>
              <w:t>17BE(taa)</w:t>
            </w:r>
          </w:p>
        </w:tc>
        <w:tc>
          <w:tcPr>
            <w:tcW w:w="1391" w:type="dxa"/>
          </w:tcPr>
          <w:p w14:paraId="3D1B9934" w14:textId="77777777" w:rsidR="000F4065" w:rsidRPr="00A33264" w:rsidRDefault="000F4065" w:rsidP="00C65496">
            <w:pPr>
              <w:pStyle w:val="TableBody"/>
              <w:rPr>
                <w:lang w:val="en-GB"/>
              </w:rPr>
            </w:pPr>
            <w:r w:rsidRPr="00A33264">
              <w:rPr>
                <w:lang w:val="en-GB"/>
              </w:rPr>
              <w:t>5.2.1</w:t>
            </w:r>
          </w:p>
          <w:p w14:paraId="5BE223C1" w14:textId="4CADA83A" w:rsidR="00FD3B65" w:rsidRPr="00A33264" w:rsidRDefault="00FD3B65" w:rsidP="00C65496">
            <w:pPr>
              <w:pStyle w:val="TableBody"/>
              <w:rPr>
                <w:lang w:val="en-GB"/>
              </w:rPr>
            </w:pPr>
            <w:r w:rsidRPr="00A33264">
              <w:rPr>
                <w:lang w:val="en-GB"/>
              </w:rPr>
              <w:t>5.2.2A</w:t>
            </w:r>
          </w:p>
          <w:p w14:paraId="5B3EAA37" w14:textId="77777777" w:rsidR="00FD3B65" w:rsidRPr="00A33264" w:rsidRDefault="00FD3B65" w:rsidP="00C65496">
            <w:pPr>
              <w:pStyle w:val="TableBody"/>
              <w:rPr>
                <w:lang w:val="en-GB"/>
              </w:rPr>
            </w:pPr>
            <w:r w:rsidRPr="00A33264">
              <w:rPr>
                <w:lang w:val="en-GB"/>
              </w:rPr>
              <w:t>5.2.3A</w:t>
            </w:r>
          </w:p>
          <w:p w14:paraId="1FE75A13" w14:textId="2883D71D" w:rsidR="000F4065" w:rsidRPr="00A33264" w:rsidRDefault="000F4065" w:rsidP="00C65496">
            <w:pPr>
              <w:pStyle w:val="TableBody"/>
              <w:rPr>
                <w:lang w:val="en-GB"/>
              </w:rPr>
            </w:pPr>
            <w:r w:rsidRPr="00A33264">
              <w:rPr>
                <w:lang w:val="en-GB"/>
              </w:rPr>
              <w:t>6.2</w:t>
            </w:r>
            <w:r w:rsidR="00F01AF0">
              <w:rPr>
                <w:lang w:val="en-GB"/>
              </w:rPr>
              <w:t>A</w:t>
            </w:r>
          </w:p>
          <w:p w14:paraId="27684437" w14:textId="4645A65C" w:rsidR="00FD3B65" w:rsidRPr="00A33264" w:rsidRDefault="00FD3B65" w:rsidP="00C65496">
            <w:pPr>
              <w:pStyle w:val="TableBody"/>
              <w:rPr>
                <w:lang w:val="en-GB"/>
              </w:rPr>
            </w:pPr>
            <w:r w:rsidRPr="00A33264">
              <w:rPr>
                <w:lang w:val="en-GB"/>
              </w:rPr>
              <w:t>6.2</w:t>
            </w:r>
            <w:r w:rsidR="00F01AF0">
              <w:rPr>
                <w:lang w:val="en-GB"/>
              </w:rPr>
              <w:t>.1</w:t>
            </w:r>
          </w:p>
        </w:tc>
        <w:tc>
          <w:tcPr>
            <w:tcW w:w="4172" w:type="dxa"/>
          </w:tcPr>
          <w:p w14:paraId="6FA19481" w14:textId="77777777" w:rsidR="00977DA7" w:rsidRPr="00A33264" w:rsidRDefault="00977DA7" w:rsidP="00C65496">
            <w:pPr>
              <w:pStyle w:val="TableBody"/>
              <w:rPr>
                <w:lang w:val="en-GB"/>
              </w:rPr>
            </w:pPr>
            <w:r w:rsidRPr="00A33264">
              <w:rPr>
                <w:lang w:val="en-GB"/>
              </w:rPr>
              <w:t>The following information about the audit committee for the entity:</w:t>
            </w:r>
          </w:p>
          <w:p w14:paraId="24CB1279" w14:textId="77777777" w:rsidR="00977DA7" w:rsidRPr="00A33264" w:rsidRDefault="00977DA7" w:rsidP="00C65496">
            <w:pPr>
              <w:pStyle w:val="TableBody"/>
              <w:rPr>
                <w:lang w:val="en-GB"/>
              </w:rPr>
            </w:pPr>
            <w:r w:rsidRPr="00A33264">
              <w:rPr>
                <w:lang w:val="en-GB"/>
              </w:rPr>
              <w:t>(a) a direct electronic address of the charter determining the functions of the audit committee;</w:t>
            </w:r>
          </w:p>
          <w:p w14:paraId="1D907E4E" w14:textId="77777777" w:rsidR="00977DA7" w:rsidRPr="00A33264" w:rsidRDefault="00977DA7" w:rsidP="00C65496">
            <w:pPr>
              <w:pStyle w:val="TableBody"/>
              <w:rPr>
                <w:lang w:val="en-GB"/>
              </w:rPr>
            </w:pPr>
            <w:r w:rsidRPr="00A33264">
              <w:rPr>
                <w:lang w:val="en-GB"/>
              </w:rPr>
              <w:t>(b) the name of each member of the audit committee;</w:t>
            </w:r>
          </w:p>
          <w:p w14:paraId="4B4A41B7" w14:textId="77777777" w:rsidR="00977DA7" w:rsidRPr="00A33264" w:rsidRDefault="00977DA7" w:rsidP="00C65496">
            <w:pPr>
              <w:pStyle w:val="TableBody"/>
              <w:rPr>
                <w:lang w:val="en-GB"/>
              </w:rPr>
            </w:pPr>
            <w:r w:rsidRPr="00A33264">
              <w:rPr>
                <w:lang w:val="en-GB"/>
              </w:rPr>
              <w:t>(c) the qualifications, knowledge, skills or experience of each member of the audit committee;</w:t>
            </w:r>
          </w:p>
          <w:p w14:paraId="7AC7D8FA" w14:textId="77777777" w:rsidR="00977DA7" w:rsidRPr="00A33264" w:rsidRDefault="00977DA7" w:rsidP="00C65496">
            <w:pPr>
              <w:pStyle w:val="TableBody"/>
              <w:rPr>
                <w:lang w:val="en-GB"/>
              </w:rPr>
            </w:pPr>
            <w:r w:rsidRPr="00A33264">
              <w:rPr>
                <w:lang w:val="en-GB"/>
              </w:rPr>
              <w:t>(d) information about each member’s attendance at meetings of the audit committee;</w:t>
            </w:r>
          </w:p>
          <w:p w14:paraId="660DCB38" w14:textId="5FDBE44E" w:rsidR="00977DA7" w:rsidRPr="00A33264" w:rsidRDefault="00977DA7" w:rsidP="00C65496">
            <w:pPr>
              <w:pStyle w:val="TableBody"/>
              <w:rPr>
                <w:lang w:val="en-GB"/>
              </w:rPr>
            </w:pPr>
            <w:r w:rsidRPr="00A33264">
              <w:rPr>
                <w:lang w:val="en-GB"/>
              </w:rPr>
              <w:t>(e) the remuneration of each member of the audit committee</w:t>
            </w:r>
          </w:p>
        </w:tc>
        <w:tc>
          <w:tcPr>
            <w:tcW w:w="2011" w:type="dxa"/>
          </w:tcPr>
          <w:p w14:paraId="3A3A09FF" w14:textId="11D27D59" w:rsidR="00977DA7" w:rsidRPr="00A33264" w:rsidRDefault="00977DA7" w:rsidP="00C65496">
            <w:pPr>
              <w:pStyle w:val="TableBody"/>
              <w:rPr>
                <w:lang w:val="en-GB"/>
              </w:rPr>
            </w:pPr>
            <w:r w:rsidRPr="00A33264">
              <w:rPr>
                <w:lang w:val="en-GB"/>
              </w:rPr>
              <w:t>Mandatory</w:t>
            </w:r>
          </w:p>
        </w:tc>
      </w:tr>
      <w:tr w:rsidR="00977DA7" w:rsidRPr="00A33264" w14:paraId="65F4343D"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2D7A4C40" w14:textId="531F8038" w:rsidR="00977DA7" w:rsidRPr="00A33264" w:rsidRDefault="00977DA7" w:rsidP="00C65496">
            <w:pPr>
              <w:pStyle w:val="TableBody"/>
              <w:rPr>
                <w:lang w:val="en-GB"/>
              </w:rPr>
            </w:pPr>
            <w:r w:rsidRPr="00A33264">
              <w:rPr>
                <w:lang w:val="en-GB"/>
              </w:rPr>
              <w:t>17BE(ta)</w:t>
            </w:r>
          </w:p>
        </w:tc>
        <w:tc>
          <w:tcPr>
            <w:tcW w:w="1391" w:type="dxa"/>
          </w:tcPr>
          <w:p w14:paraId="47CBF51D" w14:textId="63CD7C18" w:rsidR="00977DA7" w:rsidRPr="00A33264" w:rsidRDefault="00C655C7" w:rsidP="00C65496">
            <w:pPr>
              <w:pStyle w:val="TableBody"/>
              <w:rPr>
                <w:lang w:val="en-GB"/>
              </w:rPr>
            </w:pPr>
            <w:r w:rsidRPr="00A33264">
              <w:rPr>
                <w:lang w:val="en-GB"/>
              </w:rPr>
              <w:t>6.6</w:t>
            </w:r>
          </w:p>
        </w:tc>
        <w:tc>
          <w:tcPr>
            <w:tcW w:w="4172" w:type="dxa"/>
          </w:tcPr>
          <w:p w14:paraId="76872669" w14:textId="1FF58ED5" w:rsidR="00977DA7" w:rsidRPr="00A33264" w:rsidRDefault="00977DA7" w:rsidP="00C65496">
            <w:pPr>
              <w:pStyle w:val="TableBody"/>
              <w:rPr>
                <w:lang w:val="en-GB"/>
              </w:rPr>
            </w:pPr>
            <w:r w:rsidRPr="00A33264">
              <w:rPr>
                <w:lang w:val="en-GB"/>
              </w:rPr>
              <w:t>Information about executive remuneration</w:t>
            </w:r>
          </w:p>
        </w:tc>
        <w:tc>
          <w:tcPr>
            <w:tcW w:w="2011" w:type="dxa"/>
          </w:tcPr>
          <w:p w14:paraId="39D971EC" w14:textId="2A7545F1" w:rsidR="00977DA7" w:rsidRPr="00A33264" w:rsidRDefault="00977DA7" w:rsidP="00C65496">
            <w:pPr>
              <w:pStyle w:val="TableBody"/>
              <w:rPr>
                <w:lang w:val="en-GB"/>
              </w:rPr>
            </w:pPr>
            <w:r w:rsidRPr="00A33264">
              <w:rPr>
                <w:lang w:val="en-GB"/>
              </w:rPr>
              <w:t>Mandatory</w:t>
            </w:r>
          </w:p>
        </w:tc>
      </w:tr>
      <w:tr w:rsidR="00977DA7" w:rsidRPr="00A33264" w14:paraId="117FF8D1" w14:textId="77777777" w:rsidTr="00FB72C4">
        <w:trPr>
          <w:cantSplit/>
        </w:trPr>
        <w:tc>
          <w:tcPr>
            <w:tcW w:w="1678" w:type="dxa"/>
          </w:tcPr>
          <w:p w14:paraId="6AB06B7D" w14:textId="44B897EA" w:rsidR="00977DA7" w:rsidRPr="00A33264" w:rsidRDefault="00977DA7" w:rsidP="00977DA7">
            <w:pPr>
              <w:pStyle w:val="TableBody"/>
              <w:rPr>
                <w:b/>
                <w:bCs/>
                <w:lang w:val="en-GB"/>
              </w:rPr>
            </w:pPr>
            <w:r w:rsidRPr="00A33264">
              <w:rPr>
                <w:b/>
                <w:bCs/>
                <w:lang w:val="en-GB"/>
              </w:rPr>
              <w:t>17BF</w:t>
            </w:r>
          </w:p>
        </w:tc>
        <w:tc>
          <w:tcPr>
            <w:tcW w:w="1391" w:type="dxa"/>
          </w:tcPr>
          <w:p w14:paraId="0D1888EF" w14:textId="181590D4" w:rsidR="00977DA7" w:rsidRPr="00A33264" w:rsidRDefault="00DC20A1" w:rsidP="00977DA7">
            <w:pPr>
              <w:pStyle w:val="TableBody"/>
              <w:rPr>
                <w:lang w:val="en-GB"/>
              </w:rPr>
            </w:pPr>
            <w:r w:rsidRPr="00A33264">
              <w:rPr>
                <w:color w:val="F9F9F9" w:themeColor="background1"/>
                <w:lang w:val="en-GB"/>
              </w:rPr>
              <w:t>blank</w:t>
            </w:r>
          </w:p>
        </w:tc>
        <w:tc>
          <w:tcPr>
            <w:tcW w:w="4172" w:type="dxa"/>
          </w:tcPr>
          <w:p w14:paraId="0149E93B" w14:textId="2FBCB2E3" w:rsidR="00977DA7" w:rsidRPr="00A33264" w:rsidRDefault="00977DA7" w:rsidP="00977DA7">
            <w:pPr>
              <w:pStyle w:val="TableBody"/>
              <w:rPr>
                <w:b/>
                <w:bCs/>
                <w:lang w:val="en-GB"/>
              </w:rPr>
            </w:pPr>
            <w:r w:rsidRPr="00A33264">
              <w:rPr>
                <w:b/>
                <w:bCs/>
                <w:lang w:val="en-GB"/>
              </w:rPr>
              <w:t>Disclosure requirements for government business enterprises</w:t>
            </w:r>
          </w:p>
        </w:tc>
        <w:tc>
          <w:tcPr>
            <w:tcW w:w="2011" w:type="dxa"/>
          </w:tcPr>
          <w:p w14:paraId="0B853CF3" w14:textId="166B4DDB" w:rsidR="00977DA7" w:rsidRPr="00A33264" w:rsidRDefault="00DC20A1" w:rsidP="00977DA7">
            <w:pPr>
              <w:pStyle w:val="TableBody"/>
              <w:rPr>
                <w:lang w:val="en-GB"/>
              </w:rPr>
            </w:pPr>
            <w:r w:rsidRPr="00A33264">
              <w:rPr>
                <w:color w:val="F9F9F9" w:themeColor="background1"/>
                <w:lang w:val="en-GB"/>
              </w:rPr>
              <w:t>blank</w:t>
            </w:r>
          </w:p>
        </w:tc>
      </w:tr>
      <w:tr w:rsidR="00C65496" w:rsidRPr="00A33264" w14:paraId="73CD7F9B"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6B7DF8F5" w14:textId="4F057B62" w:rsidR="00C65496" w:rsidRPr="00A33264" w:rsidRDefault="00C65496" w:rsidP="00C65496">
            <w:pPr>
              <w:pStyle w:val="TableBody"/>
              <w:rPr>
                <w:lang w:val="en-GB"/>
              </w:rPr>
            </w:pPr>
            <w:r w:rsidRPr="00A33264">
              <w:rPr>
                <w:lang w:val="en-GB" w:eastAsia="en-AU"/>
              </w:rPr>
              <w:t>17BF(1)(a)(i)</w:t>
            </w:r>
          </w:p>
        </w:tc>
        <w:tc>
          <w:tcPr>
            <w:tcW w:w="1391" w:type="dxa"/>
          </w:tcPr>
          <w:p w14:paraId="5AC4D174" w14:textId="45F475F9" w:rsidR="00C65496" w:rsidRPr="00A33264" w:rsidRDefault="00806298" w:rsidP="00C65496">
            <w:pPr>
              <w:pStyle w:val="TableBody"/>
              <w:rPr>
                <w:lang w:val="en-GB"/>
              </w:rPr>
            </w:pPr>
            <w:r w:rsidRPr="00A33264">
              <w:rPr>
                <w:lang w:val="en-GB"/>
              </w:rPr>
              <w:t>3</w:t>
            </w:r>
            <w:r w:rsidR="00390397">
              <w:rPr>
                <w:lang w:val="en-GB"/>
              </w:rPr>
              <w:t>.2</w:t>
            </w:r>
          </w:p>
        </w:tc>
        <w:tc>
          <w:tcPr>
            <w:tcW w:w="4172" w:type="dxa"/>
          </w:tcPr>
          <w:p w14:paraId="4BA4321F" w14:textId="69515909" w:rsidR="00C65496" w:rsidRPr="00A33264" w:rsidRDefault="00C65496" w:rsidP="00C65496">
            <w:pPr>
              <w:pStyle w:val="TableBody"/>
              <w:rPr>
                <w:lang w:val="en-GB"/>
              </w:rPr>
            </w:pPr>
            <w:r w:rsidRPr="00A33264">
              <w:rPr>
                <w:lang w:val="en-GB" w:eastAsia="en-AU"/>
              </w:rPr>
              <w:t>An assessment of significant changes in the entity’s overall financial structure and financial conditions</w:t>
            </w:r>
          </w:p>
        </w:tc>
        <w:tc>
          <w:tcPr>
            <w:tcW w:w="2011" w:type="dxa"/>
          </w:tcPr>
          <w:p w14:paraId="7523A713" w14:textId="70D1A1CE" w:rsidR="00C65496" w:rsidRPr="00A33264" w:rsidRDefault="00C65496" w:rsidP="00C65496">
            <w:pPr>
              <w:pStyle w:val="TableBody"/>
              <w:rPr>
                <w:lang w:val="en-GB"/>
              </w:rPr>
            </w:pPr>
            <w:r w:rsidRPr="00A33264">
              <w:rPr>
                <w:lang w:val="en-GB" w:eastAsia="en-AU"/>
              </w:rPr>
              <w:t>If applicable, mandatory</w:t>
            </w:r>
          </w:p>
        </w:tc>
      </w:tr>
      <w:tr w:rsidR="00FB72C4" w:rsidRPr="00A33264" w14:paraId="06DA5B6E" w14:textId="77777777" w:rsidTr="00FB72C4">
        <w:trPr>
          <w:cantSplit/>
        </w:trPr>
        <w:tc>
          <w:tcPr>
            <w:tcW w:w="1678" w:type="dxa"/>
          </w:tcPr>
          <w:p w14:paraId="36F28F43" w14:textId="35395F7C" w:rsidR="00FB72C4" w:rsidRPr="00A33264" w:rsidRDefault="00FB72C4" w:rsidP="00FB72C4">
            <w:pPr>
              <w:pStyle w:val="TableBody"/>
              <w:rPr>
                <w:lang w:val="en-GB"/>
              </w:rPr>
            </w:pPr>
            <w:r w:rsidRPr="00A33264">
              <w:rPr>
                <w:lang w:val="en-GB" w:eastAsia="en-AU"/>
              </w:rPr>
              <w:t>17BF(1)(a)(ii)</w:t>
            </w:r>
          </w:p>
        </w:tc>
        <w:tc>
          <w:tcPr>
            <w:tcW w:w="1391" w:type="dxa"/>
          </w:tcPr>
          <w:p w14:paraId="126ECFC4" w14:textId="00D0EBD0" w:rsidR="00FB72C4" w:rsidRPr="00A33264" w:rsidRDefault="00806298" w:rsidP="00FB72C4">
            <w:pPr>
              <w:pStyle w:val="TableBody"/>
              <w:rPr>
                <w:lang w:val="en-GB"/>
              </w:rPr>
            </w:pPr>
            <w:r w:rsidRPr="00A33264">
              <w:rPr>
                <w:lang w:val="en-GB"/>
              </w:rPr>
              <w:t>3</w:t>
            </w:r>
            <w:r w:rsidR="00390397">
              <w:rPr>
                <w:lang w:val="en-GB"/>
              </w:rPr>
              <w:t>.2</w:t>
            </w:r>
          </w:p>
        </w:tc>
        <w:tc>
          <w:tcPr>
            <w:tcW w:w="4172" w:type="dxa"/>
          </w:tcPr>
          <w:p w14:paraId="40253E30" w14:textId="26F11992" w:rsidR="00FB72C4" w:rsidRPr="00A33264" w:rsidRDefault="00FB72C4" w:rsidP="00FB72C4">
            <w:pPr>
              <w:pStyle w:val="TableBody"/>
              <w:rPr>
                <w:lang w:val="en-GB"/>
              </w:rPr>
            </w:pPr>
            <w:r w:rsidRPr="00A33264">
              <w:rPr>
                <w:lang w:val="en-GB" w:eastAsia="en-AU"/>
              </w:rPr>
              <w:t>An assessment of any events or risks that could cause financial information that is reported not to be indicative of future operations or financial conditions</w:t>
            </w:r>
          </w:p>
        </w:tc>
        <w:tc>
          <w:tcPr>
            <w:tcW w:w="2011" w:type="dxa"/>
          </w:tcPr>
          <w:p w14:paraId="6FCF82D0" w14:textId="0A6EAB04" w:rsidR="00FB72C4" w:rsidRPr="00A33264" w:rsidRDefault="00FB72C4" w:rsidP="00FB72C4">
            <w:pPr>
              <w:pStyle w:val="TableBody"/>
              <w:rPr>
                <w:lang w:val="en-GB"/>
              </w:rPr>
            </w:pPr>
            <w:r w:rsidRPr="00A33264">
              <w:rPr>
                <w:lang w:val="en-GB" w:eastAsia="en-AU"/>
              </w:rPr>
              <w:t>If applicable, mandatory</w:t>
            </w:r>
          </w:p>
        </w:tc>
      </w:tr>
      <w:tr w:rsidR="00FB72C4" w:rsidRPr="00A33264" w14:paraId="2EBFF3D6"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62D95265" w14:textId="52A37C0A" w:rsidR="00FB72C4" w:rsidRPr="00A33264" w:rsidRDefault="00FB72C4" w:rsidP="00FB72C4">
            <w:pPr>
              <w:pStyle w:val="TableBody"/>
              <w:rPr>
                <w:lang w:val="en-GB"/>
              </w:rPr>
            </w:pPr>
            <w:r w:rsidRPr="00A33264">
              <w:rPr>
                <w:lang w:val="en-GB" w:eastAsia="en-AU"/>
              </w:rPr>
              <w:t>17BF(1)(b)</w:t>
            </w:r>
          </w:p>
        </w:tc>
        <w:tc>
          <w:tcPr>
            <w:tcW w:w="1391" w:type="dxa"/>
          </w:tcPr>
          <w:p w14:paraId="463AE0FB" w14:textId="166C99A7" w:rsidR="00FB72C4" w:rsidRPr="00A33264" w:rsidRDefault="00806298" w:rsidP="00FB72C4">
            <w:pPr>
              <w:pStyle w:val="TableBody"/>
              <w:rPr>
                <w:lang w:val="en-GB"/>
              </w:rPr>
            </w:pPr>
            <w:r w:rsidRPr="00A33264">
              <w:rPr>
                <w:lang w:val="en-GB"/>
              </w:rPr>
              <w:t>3</w:t>
            </w:r>
            <w:r w:rsidR="00390397">
              <w:rPr>
                <w:lang w:val="en-GB"/>
              </w:rPr>
              <w:t>.2</w:t>
            </w:r>
          </w:p>
        </w:tc>
        <w:tc>
          <w:tcPr>
            <w:tcW w:w="4172" w:type="dxa"/>
          </w:tcPr>
          <w:p w14:paraId="5BD5D36D" w14:textId="22EA4064" w:rsidR="00FB72C4" w:rsidRPr="00A33264" w:rsidRDefault="00FB72C4" w:rsidP="00FB72C4">
            <w:pPr>
              <w:pStyle w:val="TableBody"/>
              <w:rPr>
                <w:lang w:val="en-GB" w:eastAsia="en-AU"/>
              </w:rPr>
            </w:pPr>
            <w:r w:rsidRPr="00A33264">
              <w:rPr>
                <w:lang w:val="en-GB" w:eastAsia="en-AU"/>
              </w:rPr>
              <w:t>Information on dividends paid or recommended</w:t>
            </w:r>
          </w:p>
        </w:tc>
        <w:tc>
          <w:tcPr>
            <w:tcW w:w="2011" w:type="dxa"/>
          </w:tcPr>
          <w:p w14:paraId="351CD90F" w14:textId="01F1A2D9" w:rsidR="00FB72C4" w:rsidRPr="00A33264" w:rsidRDefault="00FB72C4" w:rsidP="00FB72C4">
            <w:pPr>
              <w:pStyle w:val="TableBody"/>
              <w:rPr>
                <w:lang w:val="en-GB"/>
              </w:rPr>
            </w:pPr>
            <w:r w:rsidRPr="00A33264">
              <w:rPr>
                <w:lang w:val="en-GB" w:eastAsia="en-AU"/>
              </w:rPr>
              <w:t>If applicable, mandatory</w:t>
            </w:r>
          </w:p>
        </w:tc>
      </w:tr>
      <w:tr w:rsidR="00FB72C4" w:rsidRPr="00A33264" w14:paraId="4388B9FD" w14:textId="77777777" w:rsidTr="00FB72C4">
        <w:trPr>
          <w:cantSplit/>
        </w:trPr>
        <w:tc>
          <w:tcPr>
            <w:tcW w:w="1678" w:type="dxa"/>
          </w:tcPr>
          <w:p w14:paraId="45E53E97" w14:textId="2E010E57" w:rsidR="00FB72C4" w:rsidRPr="00A33264" w:rsidRDefault="00FB72C4" w:rsidP="00FB72C4">
            <w:pPr>
              <w:pStyle w:val="TableBody"/>
              <w:rPr>
                <w:lang w:val="en-GB"/>
              </w:rPr>
            </w:pPr>
            <w:r w:rsidRPr="00A33264">
              <w:rPr>
                <w:lang w:val="en-GB" w:eastAsia="en-AU"/>
              </w:rPr>
              <w:lastRenderedPageBreak/>
              <w:t>17BF(1)(c)</w:t>
            </w:r>
          </w:p>
        </w:tc>
        <w:tc>
          <w:tcPr>
            <w:tcW w:w="1391" w:type="dxa"/>
          </w:tcPr>
          <w:p w14:paraId="069EF8E8" w14:textId="3FED311B" w:rsidR="00FB72C4" w:rsidRPr="00A33264" w:rsidRDefault="00806298" w:rsidP="00FB72C4">
            <w:pPr>
              <w:pStyle w:val="TableBody"/>
              <w:rPr>
                <w:lang w:val="en-GB"/>
              </w:rPr>
            </w:pPr>
            <w:r w:rsidRPr="00A33264">
              <w:rPr>
                <w:lang w:val="en-GB"/>
              </w:rPr>
              <w:t>3</w:t>
            </w:r>
            <w:r w:rsidR="00390397">
              <w:rPr>
                <w:lang w:val="en-GB"/>
              </w:rPr>
              <w:t>.2</w:t>
            </w:r>
          </w:p>
        </w:tc>
        <w:tc>
          <w:tcPr>
            <w:tcW w:w="4172" w:type="dxa"/>
          </w:tcPr>
          <w:p w14:paraId="1E8D6AB4" w14:textId="77777777" w:rsidR="00FB72C4" w:rsidRPr="00A33264" w:rsidRDefault="00FB72C4" w:rsidP="00FB72C4">
            <w:pPr>
              <w:pStyle w:val="TableBody"/>
              <w:rPr>
                <w:lang w:val="en-GB" w:eastAsia="en-AU"/>
              </w:rPr>
            </w:pPr>
            <w:r w:rsidRPr="00A33264">
              <w:rPr>
                <w:lang w:val="en-GB" w:eastAsia="en-AU"/>
              </w:rPr>
              <w:t>Details of any community service obligations the government business enterprise has including:</w:t>
            </w:r>
          </w:p>
          <w:p w14:paraId="32432CC5" w14:textId="77777777" w:rsidR="00FB72C4" w:rsidRPr="00A33264" w:rsidRDefault="00FB72C4" w:rsidP="00FB72C4">
            <w:pPr>
              <w:pStyle w:val="TableBody"/>
              <w:rPr>
                <w:lang w:val="en-GB" w:eastAsia="en-AU"/>
              </w:rPr>
            </w:pPr>
            <w:r w:rsidRPr="00A33264">
              <w:rPr>
                <w:lang w:val="en-GB" w:eastAsia="en-AU"/>
              </w:rPr>
              <w:t>(a) an outline of actions taken to fulfil those obligations; and</w:t>
            </w:r>
          </w:p>
          <w:p w14:paraId="1BBF8BCA" w14:textId="56194FF1" w:rsidR="00FB72C4" w:rsidRPr="00A33264" w:rsidRDefault="00FB72C4" w:rsidP="00FB72C4">
            <w:pPr>
              <w:pStyle w:val="TableBody"/>
              <w:rPr>
                <w:lang w:val="en-GB"/>
              </w:rPr>
            </w:pPr>
            <w:r w:rsidRPr="00A33264">
              <w:rPr>
                <w:lang w:val="en-GB" w:eastAsia="en-AU"/>
              </w:rPr>
              <w:t>(b) an assessment of the cost of fulfilling those obligations</w:t>
            </w:r>
          </w:p>
        </w:tc>
        <w:tc>
          <w:tcPr>
            <w:tcW w:w="2011" w:type="dxa"/>
          </w:tcPr>
          <w:p w14:paraId="1E627E01" w14:textId="241CAA3E" w:rsidR="00FB72C4" w:rsidRPr="00A33264" w:rsidRDefault="00FB72C4" w:rsidP="00FB72C4">
            <w:pPr>
              <w:pStyle w:val="TableBody"/>
              <w:rPr>
                <w:lang w:val="en-GB"/>
              </w:rPr>
            </w:pPr>
            <w:r w:rsidRPr="00A33264">
              <w:rPr>
                <w:lang w:val="en-GB" w:eastAsia="en-AU"/>
              </w:rPr>
              <w:t>If applicable, mandatory</w:t>
            </w:r>
          </w:p>
        </w:tc>
      </w:tr>
      <w:tr w:rsidR="00FB72C4" w:rsidRPr="00A33264" w14:paraId="417AC32E" w14:textId="77777777" w:rsidTr="00FB72C4">
        <w:trPr>
          <w:cnfStyle w:val="000000100000" w:firstRow="0" w:lastRow="0" w:firstColumn="0" w:lastColumn="0" w:oddVBand="0" w:evenVBand="0" w:oddHBand="1" w:evenHBand="0" w:firstRowFirstColumn="0" w:firstRowLastColumn="0" w:lastRowFirstColumn="0" w:lastRowLastColumn="0"/>
          <w:cantSplit/>
        </w:trPr>
        <w:tc>
          <w:tcPr>
            <w:tcW w:w="1678" w:type="dxa"/>
          </w:tcPr>
          <w:p w14:paraId="0351DD2E" w14:textId="7ABBD041" w:rsidR="00FB72C4" w:rsidRPr="00A33264" w:rsidRDefault="00FB72C4" w:rsidP="00FB72C4">
            <w:pPr>
              <w:pStyle w:val="TableBody"/>
              <w:rPr>
                <w:lang w:val="en-GB"/>
              </w:rPr>
            </w:pPr>
            <w:r w:rsidRPr="00A33264">
              <w:rPr>
                <w:lang w:val="en-GB" w:eastAsia="en-AU"/>
              </w:rPr>
              <w:t>17BF(2)</w:t>
            </w:r>
          </w:p>
        </w:tc>
        <w:tc>
          <w:tcPr>
            <w:tcW w:w="1391" w:type="dxa"/>
          </w:tcPr>
          <w:p w14:paraId="769EEA8D" w14:textId="3C42BE47" w:rsidR="00FB72C4" w:rsidRPr="00A33264" w:rsidRDefault="00806298" w:rsidP="00FB72C4">
            <w:pPr>
              <w:pStyle w:val="TableBody"/>
              <w:rPr>
                <w:lang w:val="en-GB"/>
              </w:rPr>
            </w:pPr>
            <w:r w:rsidRPr="00A33264">
              <w:rPr>
                <w:lang w:val="en-GB"/>
              </w:rPr>
              <w:t>3</w:t>
            </w:r>
            <w:r w:rsidR="00390397">
              <w:rPr>
                <w:lang w:val="en-GB"/>
              </w:rPr>
              <w:t>.2</w:t>
            </w:r>
          </w:p>
        </w:tc>
        <w:tc>
          <w:tcPr>
            <w:tcW w:w="4172" w:type="dxa"/>
          </w:tcPr>
          <w:p w14:paraId="49990FF2" w14:textId="09AE0F3A" w:rsidR="00FB72C4" w:rsidRPr="00A33264" w:rsidRDefault="00FB72C4" w:rsidP="00FB72C4">
            <w:pPr>
              <w:pStyle w:val="TableBody"/>
              <w:rPr>
                <w:lang w:val="en-GB"/>
              </w:rPr>
            </w:pPr>
            <w:r w:rsidRPr="00A33264">
              <w:rPr>
                <w:lang w:val="en-GB" w:eastAsia="en-AU"/>
              </w:rPr>
              <w:t>A statement regarding the exclusion of information on the grounds that the information is commercially sensitive and would be likely to result in unreasonable commercial prejudice to the government business enterprise</w:t>
            </w:r>
          </w:p>
        </w:tc>
        <w:tc>
          <w:tcPr>
            <w:tcW w:w="2011" w:type="dxa"/>
          </w:tcPr>
          <w:p w14:paraId="100596E7" w14:textId="758AD778" w:rsidR="00FB72C4" w:rsidRPr="00A33264" w:rsidRDefault="00FB72C4" w:rsidP="00FB72C4">
            <w:pPr>
              <w:pStyle w:val="TableBody"/>
              <w:rPr>
                <w:lang w:val="en-GB"/>
              </w:rPr>
            </w:pPr>
            <w:r w:rsidRPr="00A33264">
              <w:rPr>
                <w:lang w:val="en-GB" w:eastAsia="en-AU"/>
              </w:rPr>
              <w:t>If applicable, mandatory</w:t>
            </w:r>
          </w:p>
        </w:tc>
      </w:tr>
    </w:tbl>
    <w:p w14:paraId="112CEEA7" w14:textId="426B1638" w:rsidR="00BF5D0D" w:rsidRPr="00A33264" w:rsidRDefault="00BF5D0D" w:rsidP="00BF5D0D">
      <w:pPr>
        <w:pStyle w:val="Heading4"/>
        <w:rPr>
          <w:lang w:val="en-GB"/>
        </w:rPr>
      </w:pPr>
      <w:r w:rsidRPr="00A33264">
        <w:rPr>
          <w:lang w:val="en-GB"/>
        </w:rPr>
        <w:t>The NDIS Act</w:t>
      </w:r>
    </w:p>
    <w:tbl>
      <w:tblPr>
        <w:tblStyle w:val="GridTable4"/>
        <w:tblW w:w="9253" w:type="dxa"/>
        <w:tblCellMar>
          <w:top w:w="28" w:type="dxa"/>
          <w:left w:w="28" w:type="dxa"/>
          <w:bottom w:w="28" w:type="dxa"/>
          <w:right w:w="28" w:type="dxa"/>
        </w:tblCellMar>
        <w:tblLook w:val="0420" w:firstRow="1" w:lastRow="0" w:firstColumn="0" w:lastColumn="0" w:noHBand="0" w:noVBand="1"/>
      </w:tblPr>
      <w:tblGrid>
        <w:gridCol w:w="1696"/>
        <w:gridCol w:w="1276"/>
        <w:gridCol w:w="4253"/>
        <w:gridCol w:w="2028"/>
      </w:tblGrid>
      <w:tr w:rsidR="00EA5908" w:rsidRPr="00A33264" w14:paraId="1AEF8862"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1696" w:type="dxa"/>
            <w:tcBorders>
              <w:top w:val="single" w:sz="4" w:space="0" w:color="6B2876" w:themeColor="text1"/>
              <w:bottom w:val="single" w:sz="4" w:space="0" w:color="6B2876" w:themeColor="text1"/>
            </w:tcBorders>
          </w:tcPr>
          <w:p w14:paraId="35AA1C64" w14:textId="362A6DE6" w:rsidR="00EA5908" w:rsidRPr="00A33264" w:rsidRDefault="00EA5908" w:rsidP="00EA5908">
            <w:pPr>
              <w:pStyle w:val="TableBody"/>
              <w:rPr>
                <w:b w:val="0"/>
                <w:bCs w:val="0"/>
                <w:lang w:val="en-GB"/>
              </w:rPr>
            </w:pPr>
            <w:bookmarkStart w:id="462" w:name="ColumnTitle_TheNDISAct"/>
            <w:bookmarkEnd w:id="462"/>
            <w:r w:rsidRPr="00A33264">
              <w:rPr>
                <w:szCs w:val="24"/>
                <w:lang w:val="en-GB"/>
              </w:rPr>
              <w:t>NDIS Act Chapter 6, Part 5, Subsection 172</w:t>
            </w:r>
          </w:p>
        </w:tc>
        <w:tc>
          <w:tcPr>
            <w:tcW w:w="1276" w:type="dxa"/>
            <w:tcBorders>
              <w:top w:val="single" w:sz="4" w:space="0" w:color="6B2876" w:themeColor="text1"/>
              <w:bottom w:val="single" w:sz="4" w:space="0" w:color="6B2876" w:themeColor="text1"/>
            </w:tcBorders>
          </w:tcPr>
          <w:p w14:paraId="5A100A09" w14:textId="14C6EC32" w:rsidR="00EA5908" w:rsidRPr="00A33264" w:rsidRDefault="00EA5908" w:rsidP="00EA5908">
            <w:pPr>
              <w:pStyle w:val="TableBody"/>
              <w:rPr>
                <w:b w:val="0"/>
                <w:bCs w:val="0"/>
                <w:lang w:val="en-GB"/>
              </w:rPr>
            </w:pPr>
            <w:r w:rsidRPr="00A33264">
              <w:rPr>
                <w:szCs w:val="24"/>
                <w:lang w:val="en-GB"/>
              </w:rPr>
              <w:t>Part of report</w:t>
            </w:r>
          </w:p>
        </w:tc>
        <w:tc>
          <w:tcPr>
            <w:tcW w:w="4253" w:type="dxa"/>
            <w:tcBorders>
              <w:top w:val="single" w:sz="4" w:space="0" w:color="6B2876" w:themeColor="text1"/>
              <w:bottom w:val="single" w:sz="4" w:space="0" w:color="6B2876" w:themeColor="text1"/>
            </w:tcBorders>
          </w:tcPr>
          <w:p w14:paraId="345DCFB7" w14:textId="2E5FF343" w:rsidR="00EA5908" w:rsidRPr="00A33264" w:rsidRDefault="00EA5908" w:rsidP="00EA5908">
            <w:pPr>
              <w:pStyle w:val="TableBody"/>
              <w:rPr>
                <w:b w:val="0"/>
                <w:bCs w:val="0"/>
                <w:lang w:val="en-GB"/>
              </w:rPr>
            </w:pPr>
            <w:r w:rsidRPr="00A33264">
              <w:rPr>
                <w:szCs w:val="24"/>
                <w:lang w:val="en-GB"/>
              </w:rPr>
              <w:t>Description</w:t>
            </w:r>
          </w:p>
        </w:tc>
        <w:tc>
          <w:tcPr>
            <w:tcW w:w="2028" w:type="dxa"/>
            <w:tcBorders>
              <w:top w:val="single" w:sz="4" w:space="0" w:color="6B2876" w:themeColor="text1"/>
              <w:bottom w:val="single" w:sz="4" w:space="0" w:color="6B2876" w:themeColor="text1"/>
            </w:tcBorders>
          </w:tcPr>
          <w:p w14:paraId="0DF66E29" w14:textId="3204148D" w:rsidR="00EA5908" w:rsidRPr="00A33264" w:rsidRDefault="00EA5908" w:rsidP="00EA5908">
            <w:pPr>
              <w:pStyle w:val="TableBody"/>
              <w:rPr>
                <w:b w:val="0"/>
                <w:bCs w:val="0"/>
                <w:lang w:val="en-GB"/>
              </w:rPr>
            </w:pPr>
            <w:r w:rsidRPr="00A33264">
              <w:rPr>
                <w:szCs w:val="24"/>
                <w:lang w:val="en-GB"/>
              </w:rPr>
              <w:t>Requirement</w:t>
            </w:r>
          </w:p>
        </w:tc>
      </w:tr>
      <w:tr w:rsidR="00EA5908" w:rsidRPr="00A33264" w14:paraId="3F88F2A5" w14:textId="77777777" w:rsidTr="00EA5908">
        <w:trPr>
          <w:cnfStyle w:val="000000100000" w:firstRow="0" w:lastRow="0" w:firstColumn="0" w:lastColumn="0" w:oddVBand="0" w:evenVBand="0" w:oddHBand="1" w:evenHBand="0" w:firstRowFirstColumn="0" w:firstRowLastColumn="0" w:lastRowFirstColumn="0" w:lastRowLastColumn="0"/>
          <w:cantSplit/>
        </w:trPr>
        <w:tc>
          <w:tcPr>
            <w:tcW w:w="1696" w:type="dxa"/>
          </w:tcPr>
          <w:p w14:paraId="331DB68D" w14:textId="4BC31491" w:rsidR="00EA5908" w:rsidRPr="00A33264" w:rsidRDefault="00EA5908" w:rsidP="00EA5908">
            <w:pPr>
              <w:pStyle w:val="TableBody"/>
              <w:rPr>
                <w:lang w:val="en-GB"/>
              </w:rPr>
            </w:pPr>
            <w:r w:rsidRPr="00A33264">
              <w:rPr>
                <w:color w:val="000000"/>
                <w:szCs w:val="24"/>
                <w:lang w:val="en-GB"/>
              </w:rPr>
              <w:t>2)(a)</w:t>
            </w:r>
          </w:p>
        </w:tc>
        <w:tc>
          <w:tcPr>
            <w:tcW w:w="1276" w:type="dxa"/>
          </w:tcPr>
          <w:p w14:paraId="15F0FBFE" w14:textId="369F2623" w:rsidR="00EA5908" w:rsidRPr="00A33264" w:rsidRDefault="000F4065" w:rsidP="00EA5908">
            <w:pPr>
              <w:pStyle w:val="TableBody"/>
              <w:rPr>
                <w:lang w:val="en-GB"/>
              </w:rPr>
            </w:pPr>
            <w:r w:rsidRPr="00A33264">
              <w:rPr>
                <w:lang w:val="en-GB"/>
              </w:rPr>
              <w:t>6.13.1</w:t>
            </w:r>
          </w:p>
        </w:tc>
        <w:tc>
          <w:tcPr>
            <w:tcW w:w="4253" w:type="dxa"/>
          </w:tcPr>
          <w:p w14:paraId="58FFFEA9" w14:textId="46C3FC38" w:rsidR="00EA5908" w:rsidRPr="00A33264" w:rsidRDefault="00EA5908" w:rsidP="00EA5908">
            <w:pPr>
              <w:pStyle w:val="TableBody"/>
              <w:rPr>
                <w:lang w:val="en-GB"/>
              </w:rPr>
            </w:pPr>
            <w:r w:rsidRPr="00A33264">
              <w:rPr>
                <w:color w:val="000000"/>
                <w:szCs w:val="24"/>
                <w:lang w:val="en-GB"/>
              </w:rPr>
              <w:t>Details of any directions given under section 121 in the period</w:t>
            </w:r>
          </w:p>
        </w:tc>
        <w:tc>
          <w:tcPr>
            <w:tcW w:w="2028" w:type="dxa"/>
          </w:tcPr>
          <w:p w14:paraId="6FD98CDB" w14:textId="58131BF5" w:rsidR="00EA5908" w:rsidRPr="00A33264" w:rsidRDefault="00EA5908" w:rsidP="00EA5908">
            <w:pPr>
              <w:pStyle w:val="TableBody"/>
              <w:rPr>
                <w:lang w:val="en-GB"/>
              </w:rPr>
            </w:pPr>
            <w:r w:rsidRPr="00A33264">
              <w:rPr>
                <w:color w:val="000000"/>
                <w:szCs w:val="24"/>
                <w:lang w:val="en-GB"/>
              </w:rPr>
              <w:t>Mandatory</w:t>
            </w:r>
          </w:p>
        </w:tc>
      </w:tr>
      <w:tr w:rsidR="00EA5908" w:rsidRPr="00A33264" w14:paraId="30D252D5" w14:textId="77777777" w:rsidTr="00EA5908">
        <w:trPr>
          <w:cantSplit/>
        </w:trPr>
        <w:tc>
          <w:tcPr>
            <w:tcW w:w="1696" w:type="dxa"/>
          </w:tcPr>
          <w:p w14:paraId="2978C997" w14:textId="3FD0E3E1" w:rsidR="00EA5908" w:rsidRPr="00A33264" w:rsidRDefault="00EA5908" w:rsidP="00EA5908">
            <w:pPr>
              <w:pStyle w:val="TableBody"/>
              <w:rPr>
                <w:lang w:val="en-GB"/>
              </w:rPr>
            </w:pPr>
            <w:r w:rsidRPr="00A33264">
              <w:rPr>
                <w:color w:val="000000"/>
                <w:szCs w:val="24"/>
                <w:lang w:val="en-GB"/>
              </w:rPr>
              <w:t>(2)(b)</w:t>
            </w:r>
          </w:p>
        </w:tc>
        <w:tc>
          <w:tcPr>
            <w:tcW w:w="1276" w:type="dxa"/>
          </w:tcPr>
          <w:p w14:paraId="19DA811F" w14:textId="72FFF375" w:rsidR="00EA5908" w:rsidRPr="00A33264" w:rsidRDefault="000F4065" w:rsidP="00EA5908">
            <w:pPr>
              <w:pStyle w:val="TableBody"/>
              <w:rPr>
                <w:lang w:val="en-GB"/>
              </w:rPr>
            </w:pPr>
            <w:r w:rsidRPr="00A33264">
              <w:rPr>
                <w:lang w:val="en-GB"/>
              </w:rPr>
              <w:t>6.13.1</w:t>
            </w:r>
          </w:p>
        </w:tc>
        <w:tc>
          <w:tcPr>
            <w:tcW w:w="4253" w:type="dxa"/>
          </w:tcPr>
          <w:p w14:paraId="6E983EE0" w14:textId="67AFC995" w:rsidR="00EA5908" w:rsidRPr="00A33264" w:rsidRDefault="00EA5908" w:rsidP="00EA5908">
            <w:pPr>
              <w:pStyle w:val="TableBody"/>
              <w:rPr>
                <w:lang w:val="en-GB"/>
              </w:rPr>
            </w:pPr>
            <w:r w:rsidRPr="00A33264">
              <w:rPr>
                <w:color w:val="000000"/>
                <w:szCs w:val="24"/>
                <w:lang w:val="en-GB"/>
              </w:rPr>
              <w:t>Details of any statements given under section 125 in the period</w:t>
            </w:r>
          </w:p>
        </w:tc>
        <w:tc>
          <w:tcPr>
            <w:tcW w:w="2028" w:type="dxa"/>
          </w:tcPr>
          <w:p w14:paraId="61B1158D" w14:textId="529FD09E" w:rsidR="00EA5908" w:rsidRPr="00A33264" w:rsidRDefault="00EA5908" w:rsidP="00EA5908">
            <w:pPr>
              <w:pStyle w:val="TableBody"/>
              <w:rPr>
                <w:lang w:val="en-GB"/>
              </w:rPr>
            </w:pPr>
            <w:r w:rsidRPr="00A33264">
              <w:rPr>
                <w:color w:val="000000"/>
                <w:szCs w:val="24"/>
                <w:lang w:val="en-GB"/>
              </w:rPr>
              <w:t>Mandatory</w:t>
            </w:r>
          </w:p>
        </w:tc>
      </w:tr>
      <w:tr w:rsidR="00EA5908" w:rsidRPr="00A33264" w14:paraId="5469C2AD" w14:textId="77777777" w:rsidTr="00EA5908">
        <w:trPr>
          <w:cnfStyle w:val="000000100000" w:firstRow="0" w:lastRow="0" w:firstColumn="0" w:lastColumn="0" w:oddVBand="0" w:evenVBand="0" w:oddHBand="1" w:evenHBand="0" w:firstRowFirstColumn="0" w:firstRowLastColumn="0" w:lastRowFirstColumn="0" w:lastRowLastColumn="0"/>
          <w:cantSplit/>
        </w:trPr>
        <w:tc>
          <w:tcPr>
            <w:tcW w:w="1696" w:type="dxa"/>
          </w:tcPr>
          <w:p w14:paraId="22472908" w14:textId="702468AF" w:rsidR="00EA5908" w:rsidRPr="00A33264" w:rsidRDefault="00EA5908" w:rsidP="00EA5908">
            <w:pPr>
              <w:pStyle w:val="TableBody"/>
              <w:rPr>
                <w:lang w:val="en-GB"/>
              </w:rPr>
            </w:pPr>
            <w:r w:rsidRPr="00A33264">
              <w:rPr>
                <w:color w:val="000000"/>
                <w:szCs w:val="24"/>
                <w:lang w:val="en-GB"/>
              </w:rPr>
              <w:t>(2)(c)</w:t>
            </w:r>
          </w:p>
        </w:tc>
        <w:tc>
          <w:tcPr>
            <w:tcW w:w="1276" w:type="dxa"/>
          </w:tcPr>
          <w:p w14:paraId="1EFDDC05" w14:textId="7607E450" w:rsidR="00EA5908" w:rsidRPr="00A33264" w:rsidRDefault="00806298" w:rsidP="00EA5908">
            <w:pPr>
              <w:pStyle w:val="TableBody"/>
              <w:rPr>
                <w:highlight w:val="yellow"/>
                <w:lang w:val="en-GB"/>
              </w:rPr>
            </w:pPr>
            <w:r w:rsidRPr="00A33264">
              <w:rPr>
                <w:lang w:val="en-GB"/>
              </w:rPr>
              <w:t>4</w:t>
            </w:r>
          </w:p>
        </w:tc>
        <w:tc>
          <w:tcPr>
            <w:tcW w:w="4253" w:type="dxa"/>
          </w:tcPr>
          <w:p w14:paraId="0E45ED58" w14:textId="5DD53FC7" w:rsidR="00EA5908" w:rsidRPr="00A33264" w:rsidRDefault="00EA5908" w:rsidP="00EA5908">
            <w:pPr>
              <w:pStyle w:val="Pa11"/>
              <w:spacing w:after="100"/>
              <w:rPr>
                <w:rFonts w:ascii="Arial" w:hAnsi="Arial" w:cs="Arial"/>
                <w:color w:val="000000"/>
                <w:lang w:val="en-GB"/>
              </w:rPr>
            </w:pPr>
            <w:r w:rsidRPr="00A33264">
              <w:rPr>
                <w:rFonts w:ascii="Arial" w:hAnsi="Arial" w:cs="Arial"/>
                <w:color w:val="000000"/>
                <w:lang w:val="en-GB"/>
              </w:rPr>
              <w:t>Information (including statistics) and analysis that relates to either or both of the following in the period:</w:t>
            </w:r>
          </w:p>
          <w:p w14:paraId="2BAEEF7C" w14:textId="39957DA5" w:rsidR="00EA5908" w:rsidRPr="00A33264" w:rsidRDefault="00EA5908" w:rsidP="00EF7026">
            <w:pPr>
              <w:pStyle w:val="Pa66"/>
              <w:numPr>
                <w:ilvl w:val="0"/>
                <w:numId w:val="11"/>
              </w:numPr>
              <w:spacing w:after="100"/>
              <w:ind w:left="357" w:hanging="357"/>
              <w:rPr>
                <w:rFonts w:ascii="Arial" w:hAnsi="Arial" w:cs="Arial"/>
                <w:color w:val="000000"/>
                <w:lang w:val="en-GB"/>
              </w:rPr>
            </w:pPr>
            <w:r w:rsidRPr="00A33264">
              <w:rPr>
                <w:rFonts w:ascii="Arial" w:hAnsi="Arial" w:cs="Arial"/>
                <w:color w:val="000000"/>
                <w:lang w:val="en-GB"/>
              </w:rPr>
              <w:t xml:space="preserve">participants; </w:t>
            </w:r>
          </w:p>
          <w:p w14:paraId="0BEE6391" w14:textId="3698A37E" w:rsidR="00EA5908" w:rsidRPr="00A33264" w:rsidRDefault="00EA5908" w:rsidP="00EF7026">
            <w:pPr>
              <w:pStyle w:val="TableBody"/>
              <w:numPr>
                <w:ilvl w:val="0"/>
                <w:numId w:val="11"/>
              </w:numPr>
              <w:ind w:left="357" w:hanging="357"/>
              <w:rPr>
                <w:lang w:val="en-GB"/>
              </w:rPr>
            </w:pPr>
            <w:r w:rsidRPr="00A33264">
              <w:rPr>
                <w:color w:val="000000"/>
                <w:szCs w:val="24"/>
                <w:lang w:val="en-GB"/>
              </w:rPr>
              <w:t>funding or provision of supports by the Agency</w:t>
            </w:r>
          </w:p>
        </w:tc>
        <w:tc>
          <w:tcPr>
            <w:tcW w:w="2028" w:type="dxa"/>
          </w:tcPr>
          <w:p w14:paraId="536E6A8C" w14:textId="18C4D804" w:rsidR="00EA5908" w:rsidRPr="00A33264" w:rsidRDefault="00EA5908" w:rsidP="00EA5908">
            <w:pPr>
              <w:pStyle w:val="TableBody"/>
              <w:rPr>
                <w:lang w:val="en-GB"/>
              </w:rPr>
            </w:pPr>
            <w:r w:rsidRPr="00A33264">
              <w:rPr>
                <w:color w:val="000000"/>
                <w:szCs w:val="24"/>
                <w:lang w:val="en-GB"/>
              </w:rPr>
              <w:t>Mandatory</w:t>
            </w:r>
          </w:p>
        </w:tc>
      </w:tr>
      <w:tr w:rsidR="00EA5908" w:rsidRPr="00A33264" w14:paraId="444F8D2B" w14:textId="77777777" w:rsidTr="00EA5908">
        <w:trPr>
          <w:cantSplit/>
        </w:trPr>
        <w:tc>
          <w:tcPr>
            <w:tcW w:w="1696" w:type="dxa"/>
          </w:tcPr>
          <w:p w14:paraId="17168BA0" w14:textId="15F8D2C0" w:rsidR="00EA5908" w:rsidRPr="00A33264" w:rsidRDefault="00EA5908" w:rsidP="00EA5908">
            <w:pPr>
              <w:pStyle w:val="TableBody"/>
              <w:rPr>
                <w:lang w:val="en-GB"/>
              </w:rPr>
            </w:pPr>
            <w:r w:rsidRPr="00A33264">
              <w:rPr>
                <w:color w:val="000000"/>
                <w:szCs w:val="24"/>
                <w:lang w:val="en-GB"/>
              </w:rPr>
              <w:lastRenderedPageBreak/>
              <w:t>(3)</w:t>
            </w:r>
          </w:p>
        </w:tc>
        <w:tc>
          <w:tcPr>
            <w:tcW w:w="1276" w:type="dxa"/>
          </w:tcPr>
          <w:p w14:paraId="56F73BF6" w14:textId="57BC8BC7" w:rsidR="00EA5908" w:rsidRPr="00A33264" w:rsidRDefault="000F4065" w:rsidP="00EA5908">
            <w:pPr>
              <w:pStyle w:val="TableBody"/>
              <w:rPr>
                <w:lang w:val="en-GB"/>
              </w:rPr>
            </w:pPr>
            <w:r w:rsidRPr="00A33264">
              <w:rPr>
                <w:lang w:val="en-GB"/>
              </w:rPr>
              <w:t>6.13.1</w:t>
            </w:r>
          </w:p>
        </w:tc>
        <w:tc>
          <w:tcPr>
            <w:tcW w:w="4253" w:type="dxa"/>
          </w:tcPr>
          <w:p w14:paraId="65C4271A" w14:textId="57D6F778" w:rsidR="00EA5908" w:rsidRPr="00A33264" w:rsidRDefault="00A32056" w:rsidP="00EA5908">
            <w:pPr>
              <w:pStyle w:val="TableBody"/>
              <w:rPr>
                <w:lang w:val="en-GB"/>
              </w:rPr>
            </w:pPr>
            <w:r w:rsidRPr="00A33264">
              <w:rPr>
                <w:color w:val="000000"/>
                <w:szCs w:val="24"/>
                <w:lang w:val="en-GB"/>
              </w:rPr>
              <w:t>The Minister may, by legislative instrument, prescribe particular information, or analysis, described in paragraph (2)(c) that must be included in the annual report.</w:t>
            </w:r>
          </w:p>
        </w:tc>
        <w:tc>
          <w:tcPr>
            <w:tcW w:w="2028" w:type="dxa"/>
          </w:tcPr>
          <w:p w14:paraId="311D0F60" w14:textId="38491135" w:rsidR="00EA5908" w:rsidRPr="00A33264" w:rsidRDefault="00EA5908" w:rsidP="00EA5908">
            <w:pPr>
              <w:pStyle w:val="TableBody"/>
              <w:rPr>
                <w:lang w:val="en-GB"/>
              </w:rPr>
            </w:pPr>
            <w:r w:rsidRPr="00A33264">
              <w:rPr>
                <w:color w:val="000000"/>
                <w:szCs w:val="24"/>
                <w:lang w:val="en-GB"/>
              </w:rPr>
              <w:t xml:space="preserve">Mandatory </w:t>
            </w:r>
            <w:r w:rsidR="00A32056" w:rsidRPr="00A33264">
              <w:rPr>
                <w:color w:val="000000"/>
                <w:szCs w:val="24"/>
                <w:lang w:val="en-GB"/>
              </w:rPr>
              <w:t>(if applicable)</w:t>
            </w:r>
          </w:p>
        </w:tc>
      </w:tr>
      <w:tr w:rsidR="00EA5908" w:rsidRPr="00A33264" w14:paraId="5314B7B2" w14:textId="77777777" w:rsidTr="00EA5908">
        <w:trPr>
          <w:cnfStyle w:val="000000100000" w:firstRow="0" w:lastRow="0" w:firstColumn="0" w:lastColumn="0" w:oddVBand="0" w:evenVBand="0" w:oddHBand="1" w:evenHBand="0" w:firstRowFirstColumn="0" w:firstRowLastColumn="0" w:lastRowFirstColumn="0" w:lastRowLastColumn="0"/>
          <w:cantSplit/>
        </w:trPr>
        <w:tc>
          <w:tcPr>
            <w:tcW w:w="1696" w:type="dxa"/>
          </w:tcPr>
          <w:p w14:paraId="321E2512" w14:textId="4F285D20" w:rsidR="00EA5908" w:rsidRPr="00A33264" w:rsidRDefault="00EA5908" w:rsidP="00EA5908">
            <w:pPr>
              <w:pStyle w:val="TableBody"/>
              <w:rPr>
                <w:lang w:val="en-GB"/>
              </w:rPr>
            </w:pPr>
            <w:r w:rsidRPr="00A33264">
              <w:rPr>
                <w:color w:val="000000"/>
                <w:szCs w:val="24"/>
                <w:lang w:val="en-GB"/>
              </w:rPr>
              <w:t>(4)(a)</w:t>
            </w:r>
          </w:p>
        </w:tc>
        <w:tc>
          <w:tcPr>
            <w:tcW w:w="1276" w:type="dxa"/>
          </w:tcPr>
          <w:p w14:paraId="4980EB65" w14:textId="5DA32F66" w:rsidR="00EA5908" w:rsidRPr="00A33264" w:rsidRDefault="00806298" w:rsidP="00EA5908">
            <w:pPr>
              <w:pStyle w:val="TableBody"/>
              <w:rPr>
                <w:lang w:val="en-GB"/>
              </w:rPr>
            </w:pPr>
            <w:r w:rsidRPr="00A33264">
              <w:rPr>
                <w:lang w:val="en-GB"/>
              </w:rPr>
              <w:t>4</w:t>
            </w:r>
          </w:p>
        </w:tc>
        <w:tc>
          <w:tcPr>
            <w:tcW w:w="4253" w:type="dxa"/>
          </w:tcPr>
          <w:p w14:paraId="71D362F2" w14:textId="3AD0AF9F" w:rsidR="00EA5908" w:rsidRPr="00A33264" w:rsidRDefault="00EA5908" w:rsidP="00EA5908">
            <w:pPr>
              <w:pStyle w:val="TableBody"/>
              <w:rPr>
                <w:lang w:val="en-GB"/>
              </w:rPr>
            </w:pPr>
            <w:r w:rsidRPr="00A33264">
              <w:rPr>
                <w:color w:val="000000"/>
                <w:szCs w:val="24"/>
                <w:lang w:val="en-GB"/>
              </w:rPr>
              <w:t xml:space="preserve">The summary, that was prepared under section 180B when the annual report was being prepared, of the annual financial sustainability report </w:t>
            </w:r>
            <w:r w:rsidR="00A32056" w:rsidRPr="00A33264">
              <w:rPr>
                <w:color w:val="000000"/>
                <w:szCs w:val="24"/>
                <w:lang w:val="en-GB"/>
              </w:rPr>
              <w:t>prepared then</w:t>
            </w:r>
          </w:p>
        </w:tc>
        <w:tc>
          <w:tcPr>
            <w:tcW w:w="2028" w:type="dxa"/>
          </w:tcPr>
          <w:p w14:paraId="5587D546" w14:textId="334C4F6C" w:rsidR="00EA5908" w:rsidRPr="00A33264" w:rsidRDefault="00EA5908" w:rsidP="00EA5908">
            <w:pPr>
              <w:pStyle w:val="TableBody"/>
              <w:rPr>
                <w:lang w:val="en-GB"/>
              </w:rPr>
            </w:pPr>
            <w:r w:rsidRPr="00A33264">
              <w:rPr>
                <w:color w:val="000000"/>
                <w:szCs w:val="24"/>
                <w:lang w:val="en-GB"/>
              </w:rPr>
              <w:t xml:space="preserve">Mandatory </w:t>
            </w:r>
          </w:p>
        </w:tc>
      </w:tr>
      <w:tr w:rsidR="00EA5908" w:rsidRPr="00A33264" w14:paraId="5DE87003" w14:textId="77777777" w:rsidTr="00EA5908">
        <w:trPr>
          <w:cantSplit/>
        </w:trPr>
        <w:tc>
          <w:tcPr>
            <w:tcW w:w="1696" w:type="dxa"/>
          </w:tcPr>
          <w:p w14:paraId="466E2933" w14:textId="380912F0" w:rsidR="00EA5908" w:rsidRPr="00A33264" w:rsidRDefault="00EA5908" w:rsidP="00EA5908">
            <w:pPr>
              <w:pStyle w:val="TableBody"/>
              <w:rPr>
                <w:lang w:val="en-GB"/>
              </w:rPr>
            </w:pPr>
            <w:r w:rsidRPr="00A33264">
              <w:rPr>
                <w:color w:val="000000"/>
                <w:szCs w:val="24"/>
                <w:lang w:val="en-GB"/>
              </w:rPr>
              <w:t>(4)(b)</w:t>
            </w:r>
          </w:p>
        </w:tc>
        <w:tc>
          <w:tcPr>
            <w:tcW w:w="1276" w:type="dxa"/>
          </w:tcPr>
          <w:p w14:paraId="0B2F7427" w14:textId="0CEFC8EF" w:rsidR="00EA5908" w:rsidRPr="00A33264" w:rsidRDefault="00FB72C4" w:rsidP="00EA5908">
            <w:pPr>
              <w:pStyle w:val="TableBody"/>
              <w:rPr>
                <w:lang w:val="en-GB"/>
              </w:rPr>
            </w:pPr>
            <w:r w:rsidRPr="00A33264">
              <w:rPr>
                <w:lang w:val="en-GB"/>
              </w:rPr>
              <w:t>4</w:t>
            </w:r>
            <w:r w:rsidR="00806298" w:rsidRPr="00A33264">
              <w:rPr>
                <w:lang w:val="en-GB"/>
              </w:rPr>
              <w:t>.4</w:t>
            </w:r>
          </w:p>
        </w:tc>
        <w:tc>
          <w:tcPr>
            <w:tcW w:w="4253" w:type="dxa"/>
          </w:tcPr>
          <w:p w14:paraId="3687C1DA" w14:textId="72EE38E1" w:rsidR="00EA5908" w:rsidRPr="00A33264" w:rsidRDefault="00EA5908" w:rsidP="00EA5908">
            <w:pPr>
              <w:pStyle w:val="TableBody"/>
              <w:rPr>
                <w:lang w:val="en-GB"/>
              </w:rPr>
            </w:pPr>
            <w:r w:rsidRPr="00A33264">
              <w:rPr>
                <w:color w:val="000000"/>
                <w:szCs w:val="24"/>
                <w:lang w:val="en-GB"/>
              </w:rPr>
              <w:t>The report of the reviewing actuary’s review under subsection 180E(2) of the summary mentioned in paragraph (4)(a)</w:t>
            </w:r>
          </w:p>
        </w:tc>
        <w:tc>
          <w:tcPr>
            <w:tcW w:w="2028" w:type="dxa"/>
          </w:tcPr>
          <w:p w14:paraId="11249F31" w14:textId="6BB92065" w:rsidR="00EA5908" w:rsidRPr="00A33264" w:rsidRDefault="00EA5908" w:rsidP="00EA5908">
            <w:pPr>
              <w:pStyle w:val="TableBody"/>
              <w:rPr>
                <w:lang w:val="en-GB"/>
              </w:rPr>
            </w:pPr>
            <w:r w:rsidRPr="00A33264">
              <w:rPr>
                <w:color w:val="000000"/>
                <w:szCs w:val="24"/>
                <w:lang w:val="en-GB"/>
              </w:rPr>
              <w:t>Mandatory</w:t>
            </w:r>
          </w:p>
        </w:tc>
      </w:tr>
    </w:tbl>
    <w:p w14:paraId="3B084194" w14:textId="6D406109" w:rsidR="00EA5908" w:rsidRPr="00A33264" w:rsidRDefault="00EA5908" w:rsidP="00EA5908">
      <w:pPr>
        <w:pStyle w:val="Heading4"/>
        <w:rPr>
          <w:lang w:val="en-GB"/>
        </w:rPr>
      </w:pPr>
      <w:r w:rsidRPr="00A33264">
        <w:rPr>
          <w:lang w:val="en-GB"/>
        </w:rPr>
        <w:t>Information provided in compliance with other statutory provisions</w:t>
      </w:r>
    </w:p>
    <w:tbl>
      <w:tblPr>
        <w:tblStyle w:val="GridTable4"/>
        <w:tblW w:w="9252" w:type="dxa"/>
        <w:tblCellMar>
          <w:top w:w="28" w:type="dxa"/>
          <w:left w:w="28" w:type="dxa"/>
          <w:bottom w:w="28" w:type="dxa"/>
          <w:right w:w="28" w:type="dxa"/>
        </w:tblCellMar>
        <w:tblLook w:val="0420" w:firstRow="1" w:lastRow="0" w:firstColumn="0" w:lastColumn="0" w:noHBand="0" w:noVBand="1"/>
      </w:tblPr>
      <w:tblGrid>
        <w:gridCol w:w="1724"/>
        <w:gridCol w:w="1391"/>
        <w:gridCol w:w="4129"/>
        <w:gridCol w:w="2008"/>
      </w:tblGrid>
      <w:tr w:rsidR="00EA5908" w:rsidRPr="00A33264" w14:paraId="5BDDFD62" w14:textId="77777777" w:rsidTr="003752D4">
        <w:trPr>
          <w:cnfStyle w:val="100000000000" w:firstRow="1" w:lastRow="0" w:firstColumn="0" w:lastColumn="0" w:oddVBand="0" w:evenVBand="0" w:oddHBand="0" w:evenHBand="0" w:firstRowFirstColumn="0" w:firstRowLastColumn="0" w:lastRowFirstColumn="0" w:lastRowLastColumn="0"/>
          <w:cantSplit/>
        </w:trPr>
        <w:tc>
          <w:tcPr>
            <w:tcW w:w="1724" w:type="dxa"/>
            <w:tcBorders>
              <w:top w:val="single" w:sz="4" w:space="0" w:color="6B2876" w:themeColor="text1"/>
              <w:bottom w:val="single" w:sz="4" w:space="0" w:color="6B2876" w:themeColor="text1"/>
            </w:tcBorders>
          </w:tcPr>
          <w:p w14:paraId="4FB0FF62" w14:textId="4EEE12F7" w:rsidR="00EA5908" w:rsidRPr="00A33264" w:rsidRDefault="00EA5908">
            <w:pPr>
              <w:pStyle w:val="TableBody"/>
              <w:rPr>
                <w:lang w:val="en-GB"/>
              </w:rPr>
            </w:pPr>
            <w:bookmarkStart w:id="463" w:name="ColumnTitle_StatutoryProvisions"/>
            <w:bookmarkEnd w:id="463"/>
            <w:r w:rsidRPr="00A33264">
              <w:rPr>
                <w:lang w:val="en-GB"/>
              </w:rPr>
              <w:t>Act</w:t>
            </w:r>
          </w:p>
        </w:tc>
        <w:tc>
          <w:tcPr>
            <w:tcW w:w="1391" w:type="dxa"/>
            <w:tcBorders>
              <w:top w:val="single" w:sz="4" w:space="0" w:color="6B2876" w:themeColor="text1"/>
              <w:bottom w:val="single" w:sz="4" w:space="0" w:color="6B2876" w:themeColor="text1"/>
            </w:tcBorders>
          </w:tcPr>
          <w:p w14:paraId="544236A1" w14:textId="4F376D23" w:rsidR="00EA5908" w:rsidRPr="00A33264" w:rsidRDefault="00EA5908">
            <w:pPr>
              <w:pStyle w:val="TableBody"/>
              <w:rPr>
                <w:lang w:val="en-GB"/>
              </w:rPr>
            </w:pPr>
            <w:r w:rsidRPr="00A33264">
              <w:rPr>
                <w:lang w:val="en-GB"/>
              </w:rPr>
              <w:t>Part of report</w:t>
            </w:r>
          </w:p>
        </w:tc>
        <w:tc>
          <w:tcPr>
            <w:tcW w:w="4129" w:type="dxa"/>
            <w:tcBorders>
              <w:top w:val="single" w:sz="4" w:space="0" w:color="6B2876" w:themeColor="text1"/>
              <w:bottom w:val="single" w:sz="4" w:space="0" w:color="6B2876" w:themeColor="text1"/>
            </w:tcBorders>
          </w:tcPr>
          <w:p w14:paraId="0B36AB23" w14:textId="1C1B15BA" w:rsidR="00EA5908" w:rsidRPr="00A33264" w:rsidRDefault="00EA5908">
            <w:pPr>
              <w:pStyle w:val="TableBody"/>
              <w:rPr>
                <w:lang w:val="en-GB"/>
              </w:rPr>
            </w:pPr>
            <w:r w:rsidRPr="00A33264">
              <w:rPr>
                <w:lang w:val="en-GB"/>
              </w:rPr>
              <w:t>Description</w:t>
            </w:r>
          </w:p>
        </w:tc>
        <w:tc>
          <w:tcPr>
            <w:tcW w:w="2008" w:type="dxa"/>
            <w:tcBorders>
              <w:top w:val="single" w:sz="4" w:space="0" w:color="6B2876" w:themeColor="text1"/>
              <w:bottom w:val="single" w:sz="4" w:space="0" w:color="6B2876" w:themeColor="text1"/>
            </w:tcBorders>
          </w:tcPr>
          <w:p w14:paraId="4B501FBA" w14:textId="7A1423E5" w:rsidR="00EA5908" w:rsidRPr="00A33264" w:rsidRDefault="00EA5908">
            <w:pPr>
              <w:pStyle w:val="TableBody"/>
              <w:rPr>
                <w:lang w:val="en-GB"/>
              </w:rPr>
            </w:pPr>
            <w:r w:rsidRPr="00A33264">
              <w:rPr>
                <w:lang w:val="en-GB"/>
              </w:rPr>
              <w:t>Requirement</w:t>
            </w:r>
          </w:p>
        </w:tc>
      </w:tr>
      <w:tr w:rsidR="00EA5908" w:rsidRPr="00A33264" w14:paraId="0F7B803C" w14:textId="77777777" w:rsidTr="00C578BF">
        <w:trPr>
          <w:cnfStyle w:val="000000100000" w:firstRow="0" w:lastRow="0" w:firstColumn="0" w:lastColumn="0" w:oddVBand="0" w:evenVBand="0" w:oddHBand="1" w:evenHBand="0" w:firstRowFirstColumn="0" w:firstRowLastColumn="0" w:lastRowFirstColumn="0" w:lastRowLastColumn="0"/>
          <w:cantSplit/>
        </w:trPr>
        <w:tc>
          <w:tcPr>
            <w:tcW w:w="1724" w:type="dxa"/>
          </w:tcPr>
          <w:p w14:paraId="05E0DFEA" w14:textId="5A896998" w:rsidR="00EA5908" w:rsidRPr="00A33264" w:rsidRDefault="00EA5908" w:rsidP="00EA5908">
            <w:pPr>
              <w:pStyle w:val="TableBody"/>
              <w:rPr>
                <w:i/>
                <w:iCs/>
                <w:lang w:val="en-GB"/>
              </w:rPr>
            </w:pPr>
            <w:r w:rsidRPr="00A33264">
              <w:rPr>
                <w:i/>
                <w:iCs/>
                <w:szCs w:val="24"/>
                <w:lang w:val="en-GB"/>
              </w:rPr>
              <w:t>Work Health and Safety Act 2011 Schedule 2</w:t>
            </w:r>
          </w:p>
        </w:tc>
        <w:tc>
          <w:tcPr>
            <w:tcW w:w="1391" w:type="dxa"/>
          </w:tcPr>
          <w:p w14:paraId="1EFACD1B" w14:textId="34DF86F2" w:rsidR="00EA5908" w:rsidRPr="00A33264" w:rsidRDefault="008F321B" w:rsidP="00EA5908">
            <w:pPr>
              <w:pStyle w:val="TableBody"/>
              <w:rPr>
                <w:lang w:val="en-GB"/>
              </w:rPr>
            </w:pPr>
            <w:r w:rsidRPr="00A33264">
              <w:rPr>
                <w:lang w:val="en-GB"/>
              </w:rPr>
              <w:t>6.3</w:t>
            </w:r>
          </w:p>
        </w:tc>
        <w:tc>
          <w:tcPr>
            <w:tcW w:w="4129" w:type="dxa"/>
          </w:tcPr>
          <w:p w14:paraId="569872AB" w14:textId="64A4C54E" w:rsidR="00EA5908" w:rsidRPr="00A33264" w:rsidRDefault="00EA5908" w:rsidP="00EA5908">
            <w:pPr>
              <w:rPr>
                <w:rFonts w:cs="Arial"/>
                <w:lang w:val="en-GB"/>
              </w:rPr>
            </w:pPr>
            <w:r w:rsidRPr="00A33264">
              <w:rPr>
                <w:rFonts w:cs="Arial"/>
                <w:lang w:val="en-GB"/>
              </w:rPr>
              <w:t>4(1) – Work Health and Safety</w:t>
            </w:r>
          </w:p>
          <w:p w14:paraId="169B4806" w14:textId="554F2677" w:rsidR="00EA5908" w:rsidRPr="00A33264" w:rsidRDefault="00EA5908" w:rsidP="00EA5908">
            <w:pPr>
              <w:pStyle w:val="TableBody"/>
              <w:rPr>
                <w:lang w:val="en-GB"/>
              </w:rPr>
            </w:pPr>
            <w:r w:rsidRPr="00A33264">
              <w:rPr>
                <w:szCs w:val="24"/>
                <w:lang w:val="en-GB"/>
              </w:rPr>
              <w:t>4(2) – Summary of incidents pursuant to section 38 of the WHS Act</w:t>
            </w:r>
          </w:p>
        </w:tc>
        <w:tc>
          <w:tcPr>
            <w:tcW w:w="2008" w:type="dxa"/>
          </w:tcPr>
          <w:p w14:paraId="5E26BF08" w14:textId="2032406B" w:rsidR="00EA5908" w:rsidRPr="00A33264" w:rsidRDefault="00EA5908" w:rsidP="00EA5908">
            <w:pPr>
              <w:pStyle w:val="TableBody"/>
              <w:rPr>
                <w:lang w:val="en-GB"/>
              </w:rPr>
            </w:pPr>
            <w:r w:rsidRPr="00A33264">
              <w:rPr>
                <w:szCs w:val="24"/>
                <w:lang w:val="en-GB"/>
              </w:rPr>
              <w:t>Mandatory</w:t>
            </w:r>
          </w:p>
        </w:tc>
      </w:tr>
      <w:tr w:rsidR="00EA5908" w:rsidRPr="00A33264" w14:paraId="03662C53" w14:textId="77777777" w:rsidTr="00C578BF">
        <w:trPr>
          <w:cantSplit/>
        </w:trPr>
        <w:tc>
          <w:tcPr>
            <w:tcW w:w="1724" w:type="dxa"/>
          </w:tcPr>
          <w:p w14:paraId="0FF3279C" w14:textId="05A1A042" w:rsidR="00EA5908" w:rsidRPr="00A33264" w:rsidRDefault="00EA5908" w:rsidP="00EA5908">
            <w:pPr>
              <w:pStyle w:val="TableBody"/>
              <w:rPr>
                <w:i/>
                <w:iCs/>
                <w:lang w:val="en-GB"/>
              </w:rPr>
            </w:pPr>
            <w:r w:rsidRPr="00A33264">
              <w:rPr>
                <w:i/>
                <w:iCs/>
                <w:szCs w:val="24"/>
                <w:lang w:val="en-GB"/>
              </w:rPr>
              <w:t>Commonwealth Electoral Act 1918</w:t>
            </w:r>
          </w:p>
        </w:tc>
        <w:tc>
          <w:tcPr>
            <w:tcW w:w="1391" w:type="dxa"/>
          </w:tcPr>
          <w:p w14:paraId="7E434CC8" w14:textId="7E45DD82" w:rsidR="00EA5908" w:rsidRPr="00A33264" w:rsidRDefault="00A32056" w:rsidP="00EA5908">
            <w:pPr>
              <w:pStyle w:val="TableBody"/>
              <w:rPr>
                <w:lang w:val="en-GB"/>
              </w:rPr>
            </w:pPr>
            <w:r w:rsidRPr="00A33264">
              <w:rPr>
                <w:lang w:val="en-GB"/>
              </w:rPr>
              <w:t>6.10</w:t>
            </w:r>
          </w:p>
        </w:tc>
        <w:tc>
          <w:tcPr>
            <w:tcW w:w="4129" w:type="dxa"/>
          </w:tcPr>
          <w:p w14:paraId="76E58EF0" w14:textId="5982AFDD" w:rsidR="00EA5908" w:rsidRPr="00A33264" w:rsidRDefault="00EA5908" w:rsidP="00EA5908">
            <w:pPr>
              <w:pStyle w:val="TableBody"/>
              <w:rPr>
                <w:lang w:val="en-GB"/>
              </w:rPr>
            </w:pPr>
            <w:r w:rsidRPr="00A33264">
              <w:rPr>
                <w:szCs w:val="24"/>
                <w:lang w:val="en-GB"/>
              </w:rPr>
              <w:t>311A – Advertising and Market Research</w:t>
            </w:r>
          </w:p>
        </w:tc>
        <w:tc>
          <w:tcPr>
            <w:tcW w:w="2008" w:type="dxa"/>
          </w:tcPr>
          <w:p w14:paraId="5FA977CF" w14:textId="42DDFEBF" w:rsidR="00EA5908" w:rsidRPr="00A33264" w:rsidRDefault="00EA5908" w:rsidP="00EA5908">
            <w:pPr>
              <w:pStyle w:val="TableBody"/>
              <w:rPr>
                <w:lang w:val="en-GB"/>
              </w:rPr>
            </w:pPr>
            <w:r w:rsidRPr="00A33264">
              <w:rPr>
                <w:szCs w:val="24"/>
                <w:lang w:val="en-GB"/>
              </w:rPr>
              <w:t>Mandatory</w:t>
            </w:r>
          </w:p>
        </w:tc>
      </w:tr>
      <w:tr w:rsidR="00EA5908" w:rsidRPr="00A33264" w14:paraId="3FB7A5BB" w14:textId="77777777" w:rsidTr="00C578BF">
        <w:trPr>
          <w:cnfStyle w:val="000000100000" w:firstRow="0" w:lastRow="0" w:firstColumn="0" w:lastColumn="0" w:oddVBand="0" w:evenVBand="0" w:oddHBand="1" w:evenHBand="0" w:firstRowFirstColumn="0" w:firstRowLastColumn="0" w:lastRowFirstColumn="0" w:lastRowLastColumn="0"/>
          <w:cantSplit/>
        </w:trPr>
        <w:tc>
          <w:tcPr>
            <w:tcW w:w="1724" w:type="dxa"/>
          </w:tcPr>
          <w:p w14:paraId="01BF23C1" w14:textId="594FCF5E" w:rsidR="00EA5908" w:rsidRPr="00A33264" w:rsidRDefault="00EA5908" w:rsidP="00EA5908">
            <w:pPr>
              <w:pStyle w:val="TableBody"/>
              <w:rPr>
                <w:i/>
                <w:iCs/>
                <w:lang w:val="en-GB"/>
              </w:rPr>
            </w:pPr>
            <w:r w:rsidRPr="00A33264">
              <w:rPr>
                <w:i/>
                <w:iCs/>
                <w:szCs w:val="24"/>
                <w:lang w:val="en-GB"/>
              </w:rPr>
              <w:t>Environment Protection and Biodiversity Conservation Act 1999</w:t>
            </w:r>
          </w:p>
        </w:tc>
        <w:tc>
          <w:tcPr>
            <w:tcW w:w="1391" w:type="dxa"/>
          </w:tcPr>
          <w:p w14:paraId="1CCB4E0D" w14:textId="51BA8025" w:rsidR="00EA5908" w:rsidRPr="00A33264" w:rsidRDefault="00391523" w:rsidP="00EA5908">
            <w:pPr>
              <w:pStyle w:val="TableBody"/>
              <w:rPr>
                <w:lang w:val="en-GB"/>
              </w:rPr>
            </w:pPr>
            <w:r w:rsidRPr="00A33264">
              <w:rPr>
                <w:lang w:val="en-GB"/>
              </w:rPr>
              <w:t>6.11</w:t>
            </w:r>
          </w:p>
        </w:tc>
        <w:tc>
          <w:tcPr>
            <w:tcW w:w="4129" w:type="dxa"/>
          </w:tcPr>
          <w:p w14:paraId="3E7DFF46" w14:textId="65D32ED3" w:rsidR="00EA5908" w:rsidRPr="00A33264" w:rsidRDefault="00EA5908" w:rsidP="00EA5908">
            <w:pPr>
              <w:pStyle w:val="TableBody"/>
              <w:rPr>
                <w:lang w:val="en-GB"/>
              </w:rPr>
            </w:pPr>
            <w:r w:rsidRPr="00A33264">
              <w:rPr>
                <w:szCs w:val="24"/>
                <w:lang w:val="en-GB"/>
              </w:rPr>
              <w:t>516A – Ecologically sustainable development and environmental performance</w:t>
            </w:r>
          </w:p>
        </w:tc>
        <w:tc>
          <w:tcPr>
            <w:tcW w:w="2008" w:type="dxa"/>
          </w:tcPr>
          <w:p w14:paraId="02B6F3E7" w14:textId="71B84125" w:rsidR="00EA5908" w:rsidRPr="00A33264" w:rsidRDefault="00EA5908" w:rsidP="00EA5908">
            <w:pPr>
              <w:pStyle w:val="TableBody"/>
              <w:rPr>
                <w:lang w:val="en-GB"/>
              </w:rPr>
            </w:pPr>
            <w:r w:rsidRPr="00A33264">
              <w:rPr>
                <w:szCs w:val="24"/>
                <w:lang w:val="en-GB"/>
              </w:rPr>
              <w:t>Mandatory</w:t>
            </w:r>
          </w:p>
        </w:tc>
      </w:tr>
      <w:tr w:rsidR="00EA5908" w:rsidRPr="00A33264" w14:paraId="14F74203" w14:textId="77777777" w:rsidTr="00C578BF">
        <w:trPr>
          <w:cantSplit/>
        </w:trPr>
        <w:tc>
          <w:tcPr>
            <w:tcW w:w="1724" w:type="dxa"/>
          </w:tcPr>
          <w:p w14:paraId="035DD55A" w14:textId="7833A847" w:rsidR="00EA5908" w:rsidRPr="00A33264" w:rsidRDefault="00EA5908" w:rsidP="00EA5908">
            <w:pPr>
              <w:pStyle w:val="TableBody"/>
              <w:rPr>
                <w:i/>
                <w:iCs/>
                <w:lang w:val="en-GB"/>
              </w:rPr>
            </w:pPr>
            <w:r w:rsidRPr="00A33264">
              <w:rPr>
                <w:i/>
                <w:iCs/>
                <w:szCs w:val="24"/>
                <w:lang w:val="en-GB"/>
              </w:rPr>
              <w:lastRenderedPageBreak/>
              <w:t xml:space="preserve">Carer Recognition Act 2010 </w:t>
            </w:r>
          </w:p>
        </w:tc>
        <w:tc>
          <w:tcPr>
            <w:tcW w:w="1391" w:type="dxa"/>
          </w:tcPr>
          <w:p w14:paraId="41CE7CB7" w14:textId="0220D226" w:rsidR="00EA5908" w:rsidRPr="00A33264" w:rsidRDefault="000F4065" w:rsidP="00EA5908">
            <w:pPr>
              <w:pStyle w:val="TableBody"/>
              <w:rPr>
                <w:lang w:val="en-GB"/>
              </w:rPr>
            </w:pPr>
            <w:r w:rsidRPr="00A33264">
              <w:rPr>
                <w:lang w:val="en-GB"/>
              </w:rPr>
              <w:t>6.12</w:t>
            </w:r>
          </w:p>
        </w:tc>
        <w:tc>
          <w:tcPr>
            <w:tcW w:w="4129" w:type="dxa"/>
          </w:tcPr>
          <w:p w14:paraId="1F0F5148" w14:textId="622F766B" w:rsidR="00EA5908" w:rsidRPr="00A33264" w:rsidRDefault="00EA5908" w:rsidP="00EA5908">
            <w:pPr>
              <w:pStyle w:val="TableBody"/>
              <w:rPr>
                <w:lang w:val="en-GB"/>
              </w:rPr>
            </w:pPr>
            <w:r w:rsidRPr="00A33264">
              <w:rPr>
                <w:szCs w:val="24"/>
                <w:lang w:val="en-GB"/>
              </w:rPr>
              <w:t>4 – Statement of compliance with Carer Recognition Act</w:t>
            </w:r>
          </w:p>
        </w:tc>
        <w:tc>
          <w:tcPr>
            <w:tcW w:w="2008" w:type="dxa"/>
          </w:tcPr>
          <w:p w14:paraId="29AE0B61" w14:textId="44A8293E" w:rsidR="00EA5908" w:rsidRPr="00A33264" w:rsidRDefault="00EA5908" w:rsidP="00EA5908">
            <w:pPr>
              <w:pStyle w:val="TableBody"/>
              <w:rPr>
                <w:lang w:val="en-GB"/>
              </w:rPr>
            </w:pPr>
            <w:r w:rsidRPr="00A33264">
              <w:rPr>
                <w:szCs w:val="24"/>
                <w:lang w:val="en-GB"/>
              </w:rPr>
              <w:t>Mandatory</w:t>
            </w:r>
          </w:p>
        </w:tc>
      </w:tr>
      <w:tr w:rsidR="00EA5908" w:rsidRPr="00A33264" w14:paraId="114A5F56" w14:textId="77777777" w:rsidTr="00C578BF">
        <w:trPr>
          <w:cnfStyle w:val="000000100000" w:firstRow="0" w:lastRow="0" w:firstColumn="0" w:lastColumn="0" w:oddVBand="0" w:evenVBand="0" w:oddHBand="1" w:evenHBand="0" w:firstRowFirstColumn="0" w:firstRowLastColumn="0" w:lastRowFirstColumn="0" w:lastRowLastColumn="0"/>
          <w:cantSplit/>
        </w:trPr>
        <w:tc>
          <w:tcPr>
            <w:tcW w:w="1724" w:type="dxa"/>
          </w:tcPr>
          <w:p w14:paraId="58AAEA4B" w14:textId="3D4E28AD" w:rsidR="00EA5908" w:rsidRPr="00A33264" w:rsidRDefault="00EA5908" w:rsidP="00EA5908">
            <w:pPr>
              <w:pStyle w:val="TableBody"/>
              <w:rPr>
                <w:i/>
                <w:iCs/>
                <w:lang w:val="en-GB"/>
              </w:rPr>
            </w:pPr>
            <w:r w:rsidRPr="00A33264">
              <w:rPr>
                <w:i/>
                <w:iCs/>
                <w:szCs w:val="24"/>
                <w:lang w:val="en-GB"/>
              </w:rPr>
              <w:t>Privacy Act 1988</w:t>
            </w:r>
          </w:p>
        </w:tc>
        <w:tc>
          <w:tcPr>
            <w:tcW w:w="1391" w:type="dxa"/>
          </w:tcPr>
          <w:p w14:paraId="2FEB2154" w14:textId="726729CE" w:rsidR="00EA5908" w:rsidRPr="00A33264" w:rsidRDefault="000F4065" w:rsidP="00EA5908">
            <w:pPr>
              <w:pStyle w:val="TableBody"/>
              <w:rPr>
                <w:lang w:val="en-GB"/>
              </w:rPr>
            </w:pPr>
            <w:r w:rsidRPr="00A33264">
              <w:rPr>
                <w:lang w:val="en-GB"/>
              </w:rPr>
              <w:t>6.13.2</w:t>
            </w:r>
          </w:p>
        </w:tc>
        <w:tc>
          <w:tcPr>
            <w:tcW w:w="4129" w:type="dxa"/>
          </w:tcPr>
          <w:p w14:paraId="6A6A6470" w14:textId="7A7B5115" w:rsidR="00EA5908" w:rsidRPr="00A33264" w:rsidRDefault="00EA5908" w:rsidP="00EA5908">
            <w:pPr>
              <w:pStyle w:val="TableBody"/>
              <w:rPr>
                <w:lang w:val="en-GB"/>
              </w:rPr>
            </w:pPr>
            <w:r w:rsidRPr="00A33264">
              <w:rPr>
                <w:szCs w:val="24"/>
                <w:lang w:val="en-GB"/>
              </w:rPr>
              <w:t>Statement of Compliance</w:t>
            </w:r>
          </w:p>
        </w:tc>
        <w:tc>
          <w:tcPr>
            <w:tcW w:w="2008" w:type="dxa"/>
          </w:tcPr>
          <w:p w14:paraId="0E9BFD20" w14:textId="43AFF106" w:rsidR="00EA5908" w:rsidRPr="00A33264" w:rsidRDefault="00EA5908" w:rsidP="00EA5908">
            <w:pPr>
              <w:pStyle w:val="TableBody"/>
              <w:rPr>
                <w:lang w:val="en-GB"/>
              </w:rPr>
            </w:pPr>
            <w:r w:rsidRPr="00A33264">
              <w:rPr>
                <w:szCs w:val="24"/>
                <w:lang w:val="en-GB"/>
              </w:rPr>
              <w:t>Mandatory</w:t>
            </w:r>
          </w:p>
        </w:tc>
      </w:tr>
    </w:tbl>
    <w:p w14:paraId="624A0C91" w14:textId="4ECE63AE" w:rsidR="00B86427" w:rsidRPr="00C94ACC" w:rsidRDefault="00255A26" w:rsidP="00B86427">
      <w:pPr>
        <w:pStyle w:val="Heading3"/>
        <w:rPr>
          <w:lang w:val="en-GB"/>
        </w:rPr>
      </w:pPr>
      <w:bookmarkStart w:id="464" w:name="_Toc174354223"/>
      <w:bookmarkStart w:id="465" w:name="_Toc175316927"/>
      <w:bookmarkStart w:id="466" w:name="_Toc176786418"/>
      <w:bookmarkStart w:id="467" w:name="_Toc180505700"/>
      <w:bookmarkStart w:id="468" w:name="_Hlk181024545"/>
      <w:r w:rsidRPr="00A33264">
        <w:rPr>
          <w:lang w:val="en-GB"/>
        </w:rPr>
        <w:t>Tables index</w:t>
      </w:r>
      <w:bookmarkEnd w:id="461"/>
      <w:bookmarkEnd w:id="464"/>
      <w:bookmarkEnd w:id="465"/>
      <w:bookmarkEnd w:id="466"/>
      <w:bookmarkEnd w:id="467"/>
    </w:p>
    <w:tbl>
      <w:tblPr>
        <w:tblStyle w:val="GridTable411"/>
        <w:tblW w:w="9253" w:type="dxa"/>
        <w:tblCellMar>
          <w:top w:w="28" w:type="dxa"/>
          <w:left w:w="28" w:type="dxa"/>
          <w:bottom w:w="28" w:type="dxa"/>
          <w:right w:w="28" w:type="dxa"/>
        </w:tblCellMar>
        <w:tblLook w:val="0420" w:firstRow="1" w:lastRow="0" w:firstColumn="0" w:lastColumn="0" w:noHBand="0" w:noVBand="1"/>
      </w:tblPr>
      <w:tblGrid>
        <w:gridCol w:w="1838"/>
        <w:gridCol w:w="6379"/>
        <w:gridCol w:w="1036"/>
      </w:tblGrid>
      <w:tr w:rsidR="00FC6941" w:rsidRPr="00FC6941" w14:paraId="18686D24" w14:textId="77777777">
        <w:trPr>
          <w:cnfStyle w:val="100000000000" w:firstRow="1" w:lastRow="0" w:firstColumn="0" w:lastColumn="0" w:oddVBand="0" w:evenVBand="0" w:oddHBand="0" w:evenHBand="0" w:firstRowFirstColumn="0" w:firstRowLastColumn="0" w:lastRowFirstColumn="0" w:lastRowLastColumn="0"/>
          <w:cantSplit/>
        </w:trPr>
        <w:tc>
          <w:tcPr>
            <w:tcW w:w="1838" w:type="dxa"/>
            <w:tcBorders>
              <w:top w:val="single" w:sz="4" w:space="0" w:color="6B2876"/>
              <w:bottom w:val="single" w:sz="4" w:space="0" w:color="6B2876"/>
            </w:tcBorders>
          </w:tcPr>
          <w:p w14:paraId="6E200CE0" w14:textId="77777777" w:rsidR="00FC6941" w:rsidRPr="00FC6941" w:rsidRDefault="00FC6941" w:rsidP="00FC6941">
            <w:pPr>
              <w:spacing w:before="100" w:after="100"/>
              <w:rPr>
                <w:rFonts w:eastAsia="MS Mincho" w:cs="Arial"/>
                <w:lang w:val="en-GB"/>
              </w:rPr>
            </w:pPr>
            <w:bookmarkStart w:id="469" w:name="ColumnTitle_TableIndex"/>
            <w:bookmarkStart w:id="470" w:name="_Toc169593035"/>
            <w:bookmarkStart w:id="471" w:name="_Toc174354224"/>
            <w:bookmarkStart w:id="472" w:name="_Toc175316928"/>
            <w:bookmarkEnd w:id="469"/>
            <w:r w:rsidRPr="00FC6941">
              <w:rPr>
                <w:rFonts w:eastAsia="MS Mincho" w:cs="Arial"/>
                <w:lang w:val="en-GB"/>
              </w:rPr>
              <w:t>Table</w:t>
            </w:r>
          </w:p>
        </w:tc>
        <w:tc>
          <w:tcPr>
            <w:tcW w:w="6379" w:type="dxa"/>
            <w:tcBorders>
              <w:top w:val="single" w:sz="4" w:space="0" w:color="6B2876"/>
              <w:bottom w:val="single" w:sz="4" w:space="0" w:color="6B2876"/>
            </w:tcBorders>
          </w:tcPr>
          <w:p w14:paraId="5E9AF0DF" w14:textId="77777777" w:rsidR="00FC6941" w:rsidRPr="00FC6941" w:rsidRDefault="00FC6941" w:rsidP="00FC6941">
            <w:pPr>
              <w:spacing w:before="100" w:after="100"/>
              <w:rPr>
                <w:rFonts w:eastAsia="MS Mincho" w:cs="Arial"/>
                <w:lang w:val="en-GB"/>
              </w:rPr>
            </w:pPr>
            <w:r w:rsidRPr="00FC6941">
              <w:rPr>
                <w:rFonts w:eastAsia="MS Mincho" w:cs="Arial"/>
                <w:lang w:val="en-GB"/>
              </w:rPr>
              <w:t>Title</w:t>
            </w:r>
          </w:p>
        </w:tc>
        <w:tc>
          <w:tcPr>
            <w:tcW w:w="1036" w:type="dxa"/>
            <w:tcBorders>
              <w:top w:val="single" w:sz="4" w:space="0" w:color="6B2876"/>
              <w:bottom w:val="single" w:sz="4" w:space="0" w:color="6B2876"/>
            </w:tcBorders>
          </w:tcPr>
          <w:p w14:paraId="791792D2" w14:textId="77777777" w:rsidR="00FC6941" w:rsidRPr="00FC6941" w:rsidRDefault="00FC6941" w:rsidP="00FC6941">
            <w:pPr>
              <w:spacing w:before="100" w:after="100"/>
              <w:rPr>
                <w:rFonts w:eastAsia="MS Mincho" w:cs="Arial"/>
                <w:lang w:val="en-GB"/>
              </w:rPr>
            </w:pPr>
            <w:r w:rsidRPr="00FC6941">
              <w:rPr>
                <w:rFonts w:eastAsia="MS Mincho" w:cs="Arial"/>
                <w:lang w:val="en-GB"/>
              </w:rPr>
              <w:t>Page</w:t>
            </w:r>
          </w:p>
        </w:tc>
      </w:tr>
      <w:tr w:rsidR="00C74028" w:rsidRPr="00FC6941" w14:paraId="1E76258D"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792FB273" w14:textId="167238A8" w:rsidR="00C74028" w:rsidRPr="00FC6941" w:rsidRDefault="00C74028" w:rsidP="00C74028">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w:t>
            </w:r>
          </w:p>
        </w:tc>
        <w:tc>
          <w:tcPr>
            <w:tcW w:w="6379" w:type="dxa"/>
          </w:tcPr>
          <w:p w14:paraId="35DDE4B5" w14:textId="77777777" w:rsidR="00C74028" w:rsidRPr="00FC6941" w:rsidRDefault="00C74028" w:rsidP="00C74028">
            <w:pPr>
              <w:spacing w:before="100" w:after="100"/>
              <w:rPr>
                <w:rFonts w:eastAsia="MS Mincho" w:cs="Arial"/>
                <w:lang w:val="en-GB"/>
              </w:rPr>
            </w:pPr>
            <w:r w:rsidRPr="00FC6941">
              <w:rPr>
                <w:rFonts w:eastAsia="MS Mincho" w:cs="Arial"/>
                <w:lang w:val="en-GB"/>
              </w:rPr>
              <w:t>Comparison with previous projections</w:t>
            </w:r>
          </w:p>
        </w:tc>
        <w:tc>
          <w:tcPr>
            <w:tcW w:w="1036" w:type="dxa"/>
          </w:tcPr>
          <w:p w14:paraId="1C9BC235" w14:textId="4A52D23A" w:rsidR="00C74028" w:rsidRPr="00FC6941" w:rsidRDefault="00C74028" w:rsidP="00C74028">
            <w:pPr>
              <w:spacing w:before="100" w:after="100"/>
              <w:rPr>
                <w:rFonts w:eastAsia="MS Mincho" w:cs="Arial"/>
                <w:lang w:val="en-GB"/>
              </w:rPr>
            </w:pPr>
            <w:r>
              <w:rPr>
                <w:rFonts w:eastAsia="MS Mincho" w:cs="Arial"/>
                <w:lang w:val="en-GB"/>
              </w:rPr>
              <w:t>74</w:t>
            </w:r>
          </w:p>
        </w:tc>
      </w:tr>
      <w:tr w:rsidR="00C74028" w:rsidRPr="00FC6941" w14:paraId="1D2D30F2" w14:textId="77777777">
        <w:trPr>
          <w:cantSplit/>
        </w:trPr>
        <w:tc>
          <w:tcPr>
            <w:tcW w:w="1838" w:type="dxa"/>
          </w:tcPr>
          <w:p w14:paraId="358B51D6" w14:textId="36F4379C" w:rsidR="00C74028" w:rsidRPr="00FC6941" w:rsidRDefault="00C74028" w:rsidP="00C74028">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2</w:t>
            </w:r>
          </w:p>
        </w:tc>
        <w:tc>
          <w:tcPr>
            <w:tcW w:w="6379" w:type="dxa"/>
          </w:tcPr>
          <w:p w14:paraId="3CCF60C0" w14:textId="567FEA21" w:rsidR="00C74028" w:rsidRPr="00FC6941" w:rsidRDefault="00C74028" w:rsidP="00C74028">
            <w:pPr>
              <w:spacing w:before="100" w:after="100"/>
              <w:rPr>
                <w:rFonts w:eastAsia="MS Mincho" w:cs="Arial"/>
                <w:lang w:val="en-GB"/>
              </w:rPr>
            </w:pPr>
            <w:r w:rsidRPr="00FC6941">
              <w:rPr>
                <w:rFonts w:eastAsia="MS Mincho" w:cs="Arial"/>
                <w:lang w:val="en-GB"/>
              </w:rPr>
              <w:t xml:space="preserve">Movement in projected </w:t>
            </w:r>
            <w:r>
              <w:rPr>
                <w:rFonts w:eastAsia="MS Mincho" w:cs="Arial"/>
                <w:lang w:val="en-GB"/>
              </w:rPr>
              <w:t>NDIS</w:t>
            </w:r>
            <w:r w:rsidRPr="00FC6941">
              <w:rPr>
                <w:rFonts w:eastAsia="MS Mincho" w:cs="Arial"/>
                <w:lang w:val="en-GB"/>
              </w:rPr>
              <w:t xml:space="preserve"> expenses since previous review</w:t>
            </w:r>
          </w:p>
        </w:tc>
        <w:tc>
          <w:tcPr>
            <w:tcW w:w="1036" w:type="dxa"/>
          </w:tcPr>
          <w:p w14:paraId="7ABF6FB3" w14:textId="52F73BA9" w:rsidR="00C74028" w:rsidRPr="00FC6941" w:rsidRDefault="00C74028" w:rsidP="00C74028">
            <w:pPr>
              <w:spacing w:before="100" w:after="100"/>
              <w:rPr>
                <w:rFonts w:eastAsia="MS Mincho" w:cs="Arial"/>
                <w:lang w:val="en-GB"/>
              </w:rPr>
            </w:pPr>
            <w:r>
              <w:rPr>
                <w:rFonts w:eastAsia="MS Mincho" w:cs="Arial"/>
                <w:lang w:val="en-GB"/>
              </w:rPr>
              <w:t>75</w:t>
            </w:r>
          </w:p>
        </w:tc>
      </w:tr>
      <w:tr w:rsidR="00C74028" w:rsidRPr="00FC6941" w14:paraId="43E3300A"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69BB84C2" w14:textId="52062673" w:rsidR="00C74028" w:rsidRPr="00FC6941" w:rsidRDefault="00C74028" w:rsidP="00C74028">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3</w:t>
            </w:r>
          </w:p>
        </w:tc>
        <w:tc>
          <w:tcPr>
            <w:tcW w:w="6379" w:type="dxa"/>
          </w:tcPr>
          <w:p w14:paraId="59E1064E" w14:textId="77777777" w:rsidR="00C74028" w:rsidRPr="00FC6941" w:rsidRDefault="00C74028" w:rsidP="00C74028">
            <w:pPr>
              <w:spacing w:before="100" w:after="100"/>
              <w:rPr>
                <w:rFonts w:eastAsia="MS Mincho" w:cs="Arial"/>
                <w:highlight w:val="yellow"/>
                <w:lang w:val="en-GB"/>
              </w:rPr>
            </w:pPr>
            <w:r w:rsidRPr="00FC6941">
              <w:rPr>
                <w:rFonts w:eastAsia="MS Mincho" w:cs="Arial"/>
                <w:lang w:val="en-GB"/>
              </w:rPr>
              <w:t>Details of accountable authority (the Board) during the reporting period (2023–24)</w:t>
            </w:r>
          </w:p>
        </w:tc>
        <w:tc>
          <w:tcPr>
            <w:tcW w:w="1036" w:type="dxa"/>
          </w:tcPr>
          <w:p w14:paraId="28BBB388" w14:textId="5300B373" w:rsidR="00C74028" w:rsidRPr="00FC6941" w:rsidRDefault="00C74028" w:rsidP="00C74028">
            <w:pPr>
              <w:spacing w:before="100" w:after="100"/>
              <w:rPr>
                <w:rFonts w:eastAsia="MS Mincho" w:cs="Arial"/>
                <w:lang w:val="en-GB"/>
              </w:rPr>
            </w:pPr>
            <w:r>
              <w:rPr>
                <w:rFonts w:eastAsia="MS Mincho" w:cs="Arial"/>
                <w:lang w:val="en-GB"/>
              </w:rPr>
              <w:t>88</w:t>
            </w:r>
          </w:p>
        </w:tc>
      </w:tr>
      <w:tr w:rsidR="00C74028" w:rsidRPr="00FC6941" w14:paraId="013E0E36" w14:textId="77777777">
        <w:trPr>
          <w:cantSplit/>
        </w:trPr>
        <w:tc>
          <w:tcPr>
            <w:tcW w:w="1838" w:type="dxa"/>
          </w:tcPr>
          <w:p w14:paraId="7DB6BBFB" w14:textId="50FDEE41" w:rsidR="00C74028" w:rsidRPr="00FC6941" w:rsidRDefault="00C74028" w:rsidP="00C74028">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4</w:t>
            </w:r>
          </w:p>
        </w:tc>
        <w:tc>
          <w:tcPr>
            <w:tcW w:w="6379" w:type="dxa"/>
          </w:tcPr>
          <w:p w14:paraId="66568FE8" w14:textId="77777777" w:rsidR="00C74028" w:rsidRPr="00FC6941" w:rsidRDefault="00C74028" w:rsidP="00C74028">
            <w:pPr>
              <w:spacing w:before="100" w:after="100"/>
              <w:rPr>
                <w:rFonts w:eastAsia="MS Mincho" w:cs="Arial"/>
                <w:lang w:val="en-GB"/>
              </w:rPr>
            </w:pPr>
            <w:r w:rsidRPr="00FC6941">
              <w:rPr>
                <w:rFonts w:eastAsia="MS Mincho" w:cs="Arial"/>
                <w:lang w:val="en-GB"/>
              </w:rPr>
              <w:t>Board committees and members as at 30 June 2024</w:t>
            </w:r>
          </w:p>
        </w:tc>
        <w:tc>
          <w:tcPr>
            <w:tcW w:w="1036" w:type="dxa"/>
          </w:tcPr>
          <w:p w14:paraId="21DB9DB6" w14:textId="2AC69558" w:rsidR="00C74028" w:rsidRPr="00FC6941" w:rsidRDefault="00C74028" w:rsidP="00C74028">
            <w:pPr>
              <w:spacing w:before="100" w:after="100"/>
              <w:rPr>
                <w:rFonts w:eastAsia="MS Mincho" w:cs="Arial"/>
                <w:lang w:val="en-GB"/>
              </w:rPr>
            </w:pPr>
            <w:r>
              <w:rPr>
                <w:rFonts w:eastAsia="MS Mincho" w:cs="Arial"/>
                <w:lang w:val="en-GB"/>
              </w:rPr>
              <w:t>96</w:t>
            </w:r>
          </w:p>
        </w:tc>
      </w:tr>
      <w:tr w:rsidR="00C74028" w:rsidRPr="00FC6941" w14:paraId="7B19C732"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44B3DED8" w14:textId="38AA23B5" w:rsidR="00C74028" w:rsidRPr="00FC6941" w:rsidRDefault="00C74028" w:rsidP="00C74028">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5</w:t>
            </w:r>
          </w:p>
        </w:tc>
        <w:tc>
          <w:tcPr>
            <w:tcW w:w="6379" w:type="dxa"/>
          </w:tcPr>
          <w:p w14:paraId="4378EB46" w14:textId="77777777" w:rsidR="00C74028" w:rsidRPr="00FC6941" w:rsidRDefault="00C74028" w:rsidP="00C74028">
            <w:pPr>
              <w:spacing w:before="100" w:after="100"/>
              <w:rPr>
                <w:rFonts w:eastAsia="MS Mincho" w:cs="Arial"/>
                <w:lang w:val="en-GB"/>
              </w:rPr>
            </w:pPr>
            <w:r w:rsidRPr="00FC6941">
              <w:rPr>
                <w:rFonts w:eastAsia="MS Mincho" w:cs="Arial"/>
                <w:lang w:val="en-GB"/>
              </w:rPr>
              <w:t>Number of meetings attended by Board members in 2023–24</w:t>
            </w:r>
          </w:p>
        </w:tc>
        <w:tc>
          <w:tcPr>
            <w:tcW w:w="1036" w:type="dxa"/>
          </w:tcPr>
          <w:p w14:paraId="10E6A377" w14:textId="2D8CDCC1" w:rsidR="00C74028" w:rsidRPr="00FC6941" w:rsidRDefault="00C74028" w:rsidP="00C74028">
            <w:pPr>
              <w:spacing w:before="100" w:after="100"/>
              <w:rPr>
                <w:rFonts w:eastAsia="MS Mincho" w:cs="Arial"/>
                <w:lang w:val="en-GB"/>
              </w:rPr>
            </w:pPr>
            <w:r>
              <w:rPr>
                <w:rFonts w:eastAsia="MS Mincho" w:cs="Arial"/>
                <w:lang w:val="en-GB"/>
              </w:rPr>
              <w:t>97</w:t>
            </w:r>
          </w:p>
        </w:tc>
      </w:tr>
      <w:tr w:rsidR="00460680" w:rsidRPr="00FC6941" w14:paraId="38FC9926" w14:textId="77777777">
        <w:trPr>
          <w:cantSplit/>
        </w:trPr>
        <w:tc>
          <w:tcPr>
            <w:tcW w:w="1838" w:type="dxa"/>
          </w:tcPr>
          <w:p w14:paraId="26FBC77F" w14:textId="7228A666"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6</w:t>
            </w:r>
          </w:p>
        </w:tc>
        <w:tc>
          <w:tcPr>
            <w:tcW w:w="6379" w:type="dxa"/>
          </w:tcPr>
          <w:p w14:paraId="24211035" w14:textId="77777777" w:rsidR="00460680" w:rsidRPr="00FC6941" w:rsidRDefault="00460680" w:rsidP="00460680">
            <w:pPr>
              <w:spacing w:before="100" w:after="100"/>
              <w:rPr>
                <w:rFonts w:eastAsia="MS Mincho" w:cs="Arial"/>
                <w:lang w:val="en-GB"/>
              </w:rPr>
            </w:pPr>
            <w:r w:rsidRPr="00FC6941">
              <w:rPr>
                <w:rFonts w:eastAsia="MS Mincho" w:cs="Arial"/>
                <w:lang w:val="en-GB"/>
              </w:rPr>
              <w:t>Audit and Risk Committee remuneration</w:t>
            </w:r>
          </w:p>
        </w:tc>
        <w:tc>
          <w:tcPr>
            <w:tcW w:w="1036" w:type="dxa"/>
          </w:tcPr>
          <w:p w14:paraId="23777628" w14:textId="40D294F4" w:rsidR="00460680" w:rsidRPr="00460680" w:rsidRDefault="00460680" w:rsidP="00460680">
            <w:pPr>
              <w:spacing w:before="100" w:after="100"/>
              <w:rPr>
                <w:rFonts w:eastAsia="MS Mincho" w:cs="Arial"/>
                <w:lang w:val="en-GB"/>
              </w:rPr>
            </w:pPr>
            <w:r w:rsidRPr="00CE19E4">
              <w:rPr>
                <w:rFonts w:eastAsia="MS Mincho" w:cs="Arial"/>
                <w:lang w:val="en-GB"/>
              </w:rPr>
              <w:t>11</w:t>
            </w:r>
            <w:r w:rsidRPr="00460680">
              <w:rPr>
                <w:rFonts w:eastAsia="MS Mincho" w:cs="Arial"/>
                <w:lang w:val="en-GB"/>
              </w:rPr>
              <w:t>0</w:t>
            </w:r>
          </w:p>
        </w:tc>
      </w:tr>
      <w:tr w:rsidR="00460680" w:rsidRPr="00FC6941" w14:paraId="1E5D515A"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4D8C1E9F" w14:textId="1C849A7B"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7</w:t>
            </w:r>
          </w:p>
        </w:tc>
        <w:tc>
          <w:tcPr>
            <w:tcW w:w="6379" w:type="dxa"/>
          </w:tcPr>
          <w:p w14:paraId="137F8F1C" w14:textId="77777777" w:rsidR="00460680" w:rsidRPr="00FC6941" w:rsidRDefault="00460680" w:rsidP="00460680">
            <w:pPr>
              <w:spacing w:before="100" w:after="100"/>
              <w:rPr>
                <w:rFonts w:eastAsia="MS Mincho" w:cs="Arial"/>
                <w:lang w:val="en-GB"/>
              </w:rPr>
            </w:pPr>
            <w:r w:rsidRPr="00FC6941">
              <w:rPr>
                <w:rFonts w:eastAsia="MS Mincho" w:cs="Arial"/>
                <w:lang w:val="en-GB"/>
              </w:rPr>
              <w:t>Summary of reported incidents pursuant to section 38 of the WHS Act (2023–24)</w:t>
            </w:r>
          </w:p>
        </w:tc>
        <w:tc>
          <w:tcPr>
            <w:tcW w:w="1036" w:type="dxa"/>
          </w:tcPr>
          <w:p w14:paraId="1FA1D461" w14:textId="1AFE6FA2" w:rsidR="00460680" w:rsidRPr="00460680" w:rsidRDefault="00460680" w:rsidP="00460680">
            <w:pPr>
              <w:spacing w:before="100" w:after="100"/>
              <w:rPr>
                <w:rFonts w:eastAsia="MS Mincho" w:cs="Arial"/>
                <w:lang w:val="en-GB"/>
              </w:rPr>
            </w:pPr>
            <w:r w:rsidRPr="00CE19E4">
              <w:rPr>
                <w:rFonts w:eastAsia="MS Mincho" w:cs="Arial"/>
                <w:lang w:val="en-GB"/>
              </w:rPr>
              <w:t>11</w:t>
            </w:r>
            <w:r w:rsidRPr="00460680">
              <w:rPr>
                <w:rFonts w:eastAsia="MS Mincho" w:cs="Arial"/>
                <w:lang w:val="en-GB"/>
              </w:rPr>
              <w:t>1</w:t>
            </w:r>
          </w:p>
        </w:tc>
      </w:tr>
      <w:tr w:rsidR="00460680" w:rsidRPr="00FC6941" w14:paraId="495D68E4" w14:textId="77777777">
        <w:trPr>
          <w:cantSplit/>
        </w:trPr>
        <w:tc>
          <w:tcPr>
            <w:tcW w:w="1838" w:type="dxa"/>
          </w:tcPr>
          <w:p w14:paraId="7D06A170" w14:textId="26272B3D"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8</w:t>
            </w:r>
          </w:p>
        </w:tc>
        <w:tc>
          <w:tcPr>
            <w:tcW w:w="6379" w:type="dxa"/>
          </w:tcPr>
          <w:p w14:paraId="026C4B4A" w14:textId="77777777" w:rsidR="00460680" w:rsidRPr="00FC6941" w:rsidRDefault="00460680" w:rsidP="00460680">
            <w:pPr>
              <w:spacing w:before="100" w:after="100"/>
              <w:rPr>
                <w:rFonts w:eastAsia="MS Mincho" w:cs="Arial"/>
                <w:lang w:val="en-GB"/>
              </w:rPr>
            </w:pPr>
            <w:r w:rsidRPr="00FC6941">
              <w:rPr>
                <w:rFonts w:eastAsia="MS Mincho" w:cs="Arial"/>
                <w:lang w:val="en-GB"/>
              </w:rPr>
              <w:t>All ongoing employees current reporting period (2023–24)</w:t>
            </w:r>
          </w:p>
        </w:tc>
        <w:tc>
          <w:tcPr>
            <w:tcW w:w="1036" w:type="dxa"/>
          </w:tcPr>
          <w:p w14:paraId="0F910444" w14:textId="51AC868C" w:rsidR="00460680" w:rsidRPr="00460680" w:rsidRDefault="00460680" w:rsidP="00460680">
            <w:pPr>
              <w:spacing w:before="100" w:after="100"/>
              <w:rPr>
                <w:rFonts w:eastAsia="MS Mincho" w:cs="Arial"/>
                <w:lang w:val="en-GB"/>
              </w:rPr>
            </w:pPr>
            <w:r w:rsidRPr="00CE19E4">
              <w:rPr>
                <w:rFonts w:eastAsia="MS Mincho" w:cs="Arial"/>
                <w:lang w:val="en-GB"/>
              </w:rPr>
              <w:t>11</w:t>
            </w:r>
            <w:r w:rsidRPr="00460680">
              <w:rPr>
                <w:rFonts w:eastAsia="MS Mincho" w:cs="Arial"/>
                <w:lang w:val="en-GB"/>
              </w:rPr>
              <w:t>2</w:t>
            </w:r>
          </w:p>
        </w:tc>
      </w:tr>
      <w:tr w:rsidR="00460680" w:rsidRPr="00FC6941" w14:paraId="3B6397CA"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1F8DC88C" w14:textId="47B292BC"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9</w:t>
            </w:r>
          </w:p>
        </w:tc>
        <w:tc>
          <w:tcPr>
            <w:tcW w:w="6379" w:type="dxa"/>
          </w:tcPr>
          <w:p w14:paraId="1D5374E9" w14:textId="77777777" w:rsidR="00460680" w:rsidRPr="00FC6941" w:rsidRDefault="00460680" w:rsidP="00460680">
            <w:pPr>
              <w:spacing w:before="100" w:after="100"/>
              <w:rPr>
                <w:rFonts w:eastAsia="MS Mincho" w:cs="Arial"/>
                <w:lang w:val="en-GB"/>
              </w:rPr>
            </w:pPr>
            <w:r w:rsidRPr="00FC6941">
              <w:rPr>
                <w:rFonts w:eastAsia="MS Mincho" w:cs="Arial"/>
                <w:lang w:val="en-GB"/>
              </w:rPr>
              <w:t>All non-ongoing employees current reporting period (2023–24)</w:t>
            </w:r>
          </w:p>
        </w:tc>
        <w:tc>
          <w:tcPr>
            <w:tcW w:w="1036" w:type="dxa"/>
          </w:tcPr>
          <w:p w14:paraId="25B8BE27" w14:textId="747DE802" w:rsidR="00460680" w:rsidRPr="00460680" w:rsidRDefault="00460680" w:rsidP="00460680">
            <w:pPr>
              <w:spacing w:before="100" w:after="100"/>
              <w:rPr>
                <w:rFonts w:eastAsia="MS Mincho" w:cs="Arial"/>
                <w:lang w:val="en-GB"/>
              </w:rPr>
            </w:pPr>
            <w:r w:rsidRPr="00CE19E4">
              <w:rPr>
                <w:rFonts w:eastAsia="MS Mincho" w:cs="Arial"/>
                <w:lang w:val="en-GB"/>
              </w:rPr>
              <w:t>11</w:t>
            </w:r>
            <w:r w:rsidRPr="00460680">
              <w:rPr>
                <w:rFonts w:eastAsia="MS Mincho" w:cs="Arial"/>
                <w:lang w:val="en-GB"/>
              </w:rPr>
              <w:t>3</w:t>
            </w:r>
          </w:p>
        </w:tc>
      </w:tr>
      <w:tr w:rsidR="00460680" w:rsidRPr="00FC6941" w14:paraId="4ADF7588" w14:textId="77777777">
        <w:trPr>
          <w:cantSplit/>
        </w:trPr>
        <w:tc>
          <w:tcPr>
            <w:tcW w:w="1838" w:type="dxa"/>
          </w:tcPr>
          <w:p w14:paraId="76C2EE01" w14:textId="28B40C64"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10</w:t>
            </w:r>
          </w:p>
        </w:tc>
        <w:tc>
          <w:tcPr>
            <w:tcW w:w="6379" w:type="dxa"/>
          </w:tcPr>
          <w:p w14:paraId="2F31A376" w14:textId="77777777" w:rsidR="00460680" w:rsidRPr="00FC6941" w:rsidRDefault="00460680" w:rsidP="00460680">
            <w:pPr>
              <w:spacing w:before="100" w:after="100"/>
              <w:rPr>
                <w:rFonts w:eastAsia="MS Mincho" w:cs="Arial"/>
                <w:lang w:val="en-GB"/>
              </w:rPr>
            </w:pPr>
            <w:r w:rsidRPr="00FC6941">
              <w:rPr>
                <w:rFonts w:eastAsia="MS Mincho" w:cs="Arial"/>
                <w:lang w:val="en-GB"/>
              </w:rPr>
              <w:t>Key management personnel</w:t>
            </w:r>
          </w:p>
        </w:tc>
        <w:tc>
          <w:tcPr>
            <w:tcW w:w="1036" w:type="dxa"/>
          </w:tcPr>
          <w:p w14:paraId="1E58AC87" w14:textId="69D81292" w:rsidR="00460680" w:rsidRPr="00460680" w:rsidRDefault="00460680" w:rsidP="00460680">
            <w:pPr>
              <w:spacing w:before="100" w:after="100"/>
              <w:rPr>
                <w:rFonts w:eastAsia="MS Mincho" w:cs="Arial"/>
                <w:lang w:val="en-GB"/>
              </w:rPr>
            </w:pPr>
            <w:r w:rsidRPr="00CE19E4">
              <w:rPr>
                <w:rFonts w:eastAsia="MS Mincho" w:cs="Arial"/>
                <w:lang w:val="en-GB"/>
              </w:rPr>
              <w:t>11</w:t>
            </w:r>
            <w:r w:rsidRPr="00460680">
              <w:rPr>
                <w:rFonts w:eastAsia="MS Mincho" w:cs="Arial"/>
                <w:lang w:val="en-GB"/>
              </w:rPr>
              <w:t>5</w:t>
            </w:r>
          </w:p>
        </w:tc>
      </w:tr>
      <w:tr w:rsidR="00460680" w:rsidRPr="00FC6941" w14:paraId="7E117398"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79ACCEF9" w14:textId="1E4C26DB"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11</w:t>
            </w:r>
          </w:p>
        </w:tc>
        <w:tc>
          <w:tcPr>
            <w:tcW w:w="6379" w:type="dxa"/>
          </w:tcPr>
          <w:p w14:paraId="758D2E39" w14:textId="77777777" w:rsidR="00460680" w:rsidRPr="00FC6941" w:rsidRDefault="00460680" w:rsidP="00460680">
            <w:pPr>
              <w:spacing w:before="100" w:after="100"/>
              <w:rPr>
                <w:rFonts w:eastAsia="MS Mincho" w:cs="Arial"/>
                <w:lang w:val="en-GB"/>
              </w:rPr>
            </w:pPr>
            <w:r w:rsidRPr="00FC6941">
              <w:rPr>
                <w:rFonts w:eastAsia="MS Mincho" w:cs="Arial"/>
                <w:lang w:val="en-GB"/>
              </w:rPr>
              <w:t>Key management personnel remuneration</w:t>
            </w:r>
          </w:p>
        </w:tc>
        <w:tc>
          <w:tcPr>
            <w:tcW w:w="1036" w:type="dxa"/>
          </w:tcPr>
          <w:p w14:paraId="44334601" w14:textId="2EC80159" w:rsidR="00460680" w:rsidRPr="00460680" w:rsidRDefault="00460680" w:rsidP="00460680">
            <w:pPr>
              <w:spacing w:before="100" w:after="100"/>
              <w:rPr>
                <w:rFonts w:eastAsia="MS Mincho" w:cs="Arial"/>
                <w:lang w:val="en-GB"/>
              </w:rPr>
            </w:pPr>
            <w:r w:rsidRPr="00CE19E4">
              <w:rPr>
                <w:rFonts w:eastAsia="MS Mincho" w:cs="Arial"/>
                <w:lang w:val="en-GB"/>
              </w:rPr>
              <w:t>11</w:t>
            </w:r>
            <w:r w:rsidRPr="00460680">
              <w:rPr>
                <w:rFonts w:eastAsia="MS Mincho" w:cs="Arial"/>
                <w:lang w:val="en-GB"/>
              </w:rPr>
              <w:t>7</w:t>
            </w:r>
          </w:p>
        </w:tc>
      </w:tr>
      <w:tr w:rsidR="00460680" w:rsidRPr="00FC6941" w14:paraId="0A327973" w14:textId="77777777">
        <w:trPr>
          <w:cantSplit/>
        </w:trPr>
        <w:tc>
          <w:tcPr>
            <w:tcW w:w="1838" w:type="dxa"/>
          </w:tcPr>
          <w:p w14:paraId="7E8C893F" w14:textId="6A7B60D2"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12</w:t>
            </w:r>
          </w:p>
        </w:tc>
        <w:tc>
          <w:tcPr>
            <w:tcW w:w="6379" w:type="dxa"/>
          </w:tcPr>
          <w:p w14:paraId="707A3FFA" w14:textId="77777777" w:rsidR="00460680" w:rsidRPr="00FC6941" w:rsidRDefault="00460680" w:rsidP="00460680">
            <w:pPr>
              <w:spacing w:before="100" w:after="100"/>
              <w:rPr>
                <w:rFonts w:eastAsia="MS Mincho" w:cs="Arial"/>
                <w:lang w:val="en-GB"/>
              </w:rPr>
            </w:pPr>
            <w:r w:rsidRPr="00FC6941">
              <w:rPr>
                <w:rFonts w:eastAsia="MS Mincho" w:cs="Arial"/>
                <w:lang w:val="en-GB"/>
              </w:rPr>
              <w:t>Senior executive remuneration</w:t>
            </w:r>
          </w:p>
        </w:tc>
        <w:tc>
          <w:tcPr>
            <w:tcW w:w="1036" w:type="dxa"/>
          </w:tcPr>
          <w:p w14:paraId="1CF55109" w14:textId="77A257FE" w:rsidR="00460680" w:rsidRPr="00460680" w:rsidRDefault="00460680" w:rsidP="00460680">
            <w:pPr>
              <w:spacing w:before="100" w:after="100"/>
              <w:rPr>
                <w:rFonts w:eastAsia="MS Mincho" w:cs="Arial"/>
                <w:lang w:val="en-GB"/>
              </w:rPr>
            </w:pPr>
            <w:r w:rsidRPr="00CE19E4">
              <w:rPr>
                <w:rFonts w:eastAsia="MS Mincho" w:cs="Arial"/>
                <w:lang w:val="en-GB"/>
              </w:rPr>
              <w:t>12</w:t>
            </w:r>
            <w:r w:rsidRPr="00460680">
              <w:rPr>
                <w:rFonts w:eastAsia="MS Mincho" w:cs="Arial"/>
                <w:lang w:val="en-GB"/>
              </w:rPr>
              <w:t>2</w:t>
            </w:r>
          </w:p>
        </w:tc>
      </w:tr>
      <w:tr w:rsidR="00460680" w:rsidRPr="00FC6941" w14:paraId="27622F28"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4D69E693" w14:textId="1A3E3A26"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13</w:t>
            </w:r>
          </w:p>
        </w:tc>
        <w:tc>
          <w:tcPr>
            <w:tcW w:w="6379" w:type="dxa"/>
          </w:tcPr>
          <w:p w14:paraId="72BF7F46" w14:textId="77777777" w:rsidR="00460680" w:rsidRPr="00FC6941" w:rsidRDefault="00460680" w:rsidP="00460680">
            <w:pPr>
              <w:spacing w:before="100" w:after="100"/>
              <w:rPr>
                <w:rFonts w:eastAsia="MS Mincho" w:cs="Arial"/>
                <w:lang w:val="en-GB"/>
              </w:rPr>
            </w:pPr>
            <w:r w:rsidRPr="00FC6941">
              <w:rPr>
                <w:rFonts w:eastAsia="MS Mincho" w:cs="Arial"/>
                <w:lang w:val="en-GB"/>
              </w:rPr>
              <w:t>Information about remuneration for other highly paid staff</w:t>
            </w:r>
          </w:p>
        </w:tc>
        <w:tc>
          <w:tcPr>
            <w:tcW w:w="1036" w:type="dxa"/>
          </w:tcPr>
          <w:p w14:paraId="37829385" w14:textId="4116AC01" w:rsidR="00460680" w:rsidRPr="00460680" w:rsidRDefault="00460680" w:rsidP="00460680">
            <w:pPr>
              <w:spacing w:before="100" w:after="100"/>
              <w:rPr>
                <w:rFonts w:eastAsia="MS Mincho" w:cs="Arial"/>
                <w:lang w:val="en-GB"/>
              </w:rPr>
            </w:pPr>
            <w:r w:rsidRPr="00CE19E4">
              <w:rPr>
                <w:rFonts w:eastAsia="MS Mincho" w:cs="Arial"/>
                <w:lang w:val="en-GB"/>
              </w:rPr>
              <w:t>12</w:t>
            </w:r>
            <w:r w:rsidRPr="00460680">
              <w:rPr>
                <w:rFonts w:eastAsia="MS Mincho" w:cs="Arial"/>
                <w:lang w:val="en-GB"/>
              </w:rPr>
              <w:t>4</w:t>
            </w:r>
          </w:p>
        </w:tc>
      </w:tr>
      <w:tr w:rsidR="00460680" w:rsidRPr="00FC6941" w14:paraId="0178C63B" w14:textId="77777777">
        <w:trPr>
          <w:cantSplit/>
        </w:trPr>
        <w:tc>
          <w:tcPr>
            <w:tcW w:w="1838" w:type="dxa"/>
          </w:tcPr>
          <w:p w14:paraId="7CB7E333" w14:textId="60497FD2" w:rsidR="00460680" w:rsidRPr="00FC6941" w:rsidRDefault="00460680" w:rsidP="00460680">
            <w:pPr>
              <w:spacing w:before="100" w:after="100"/>
              <w:rPr>
                <w:rFonts w:eastAsia="MS Mincho" w:cs="Arial"/>
                <w:lang w:val="en-GB"/>
              </w:rPr>
            </w:pPr>
            <w:r w:rsidRPr="00FC6941">
              <w:rPr>
                <w:rFonts w:eastAsia="MS Mincho" w:cs="Arial"/>
                <w:lang w:val="en-GB"/>
              </w:rPr>
              <w:lastRenderedPageBreak/>
              <w:t xml:space="preserve">Table </w:t>
            </w:r>
            <w:r>
              <w:rPr>
                <w:rFonts w:eastAsia="MS Mincho" w:cs="Arial"/>
                <w:lang w:val="en-GB"/>
              </w:rPr>
              <w:t>14</w:t>
            </w:r>
          </w:p>
        </w:tc>
        <w:tc>
          <w:tcPr>
            <w:tcW w:w="6379" w:type="dxa"/>
          </w:tcPr>
          <w:p w14:paraId="35941B48" w14:textId="77777777" w:rsidR="00460680" w:rsidRPr="00FC6941" w:rsidRDefault="00460680" w:rsidP="00460680">
            <w:pPr>
              <w:spacing w:before="100" w:after="100"/>
              <w:rPr>
                <w:rFonts w:eastAsia="MS Mincho" w:cs="Arial"/>
                <w:lang w:val="en-GB"/>
              </w:rPr>
            </w:pPr>
            <w:r w:rsidRPr="00FC6941">
              <w:rPr>
                <w:rFonts w:eastAsia="MS Mincho" w:cs="Arial"/>
                <w:lang w:val="en-GB"/>
              </w:rPr>
              <w:t>Payments to advertising organisations in 2023–24</w:t>
            </w:r>
          </w:p>
        </w:tc>
        <w:tc>
          <w:tcPr>
            <w:tcW w:w="1036" w:type="dxa"/>
          </w:tcPr>
          <w:p w14:paraId="0DE76776" w14:textId="0751D72E"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2</w:t>
            </w:r>
          </w:p>
        </w:tc>
      </w:tr>
      <w:tr w:rsidR="00460680" w:rsidRPr="00FC6941" w14:paraId="119BABA3"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115966EE" w14:textId="7EB98815"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15</w:t>
            </w:r>
          </w:p>
        </w:tc>
        <w:tc>
          <w:tcPr>
            <w:tcW w:w="6379" w:type="dxa"/>
          </w:tcPr>
          <w:p w14:paraId="2DCE735B" w14:textId="77777777" w:rsidR="00460680" w:rsidRPr="00FC6941" w:rsidRDefault="00460680" w:rsidP="00460680">
            <w:pPr>
              <w:spacing w:before="100" w:after="100"/>
              <w:rPr>
                <w:rFonts w:eastAsia="MS Mincho" w:cs="Arial"/>
                <w:lang w:val="en-GB"/>
              </w:rPr>
            </w:pPr>
            <w:r w:rsidRPr="00FC6941">
              <w:rPr>
                <w:rFonts w:eastAsia="MS Mincho" w:cs="Arial"/>
                <w:lang w:val="en-GB"/>
              </w:rPr>
              <w:t>Payments to market research organisations in 2023–24</w:t>
            </w:r>
          </w:p>
        </w:tc>
        <w:tc>
          <w:tcPr>
            <w:tcW w:w="1036" w:type="dxa"/>
          </w:tcPr>
          <w:p w14:paraId="642C468E" w14:textId="6E79E1B3"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2</w:t>
            </w:r>
          </w:p>
        </w:tc>
      </w:tr>
      <w:tr w:rsidR="00460680" w:rsidRPr="00FC6941" w14:paraId="710FD802" w14:textId="77777777">
        <w:trPr>
          <w:cantSplit/>
        </w:trPr>
        <w:tc>
          <w:tcPr>
            <w:tcW w:w="1838" w:type="dxa"/>
          </w:tcPr>
          <w:p w14:paraId="1C14598B" w14:textId="2EA683F1"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16</w:t>
            </w:r>
          </w:p>
        </w:tc>
        <w:tc>
          <w:tcPr>
            <w:tcW w:w="6379" w:type="dxa"/>
          </w:tcPr>
          <w:p w14:paraId="53BBEE5B" w14:textId="77777777" w:rsidR="00460680" w:rsidRPr="00FC6941" w:rsidRDefault="00460680" w:rsidP="00460680">
            <w:pPr>
              <w:spacing w:before="100" w:after="100"/>
              <w:rPr>
                <w:rFonts w:eastAsia="MS Mincho" w:cs="Arial"/>
                <w:lang w:val="en-GB"/>
              </w:rPr>
            </w:pPr>
            <w:r w:rsidRPr="00FC6941">
              <w:rPr>
                <w:rFonts w:eastAsia="MS Mincho" w:cs="Arial"/>
                <w:lang w:val="en-GB"/>
              </w:rPr>
              <w:t>Payments to polling organisations in 2023–24</w:t>
            </w:r>
          </w:p>
        </w:tc>
        <w:tc>
          <w:tcPr>
            <w:tcW w:w="1036" w:type="dxa"/>
          </w:tcPr>
          <w:p w14:paraId="6BB3F01F" w14:textId="79B698DD"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2</w:t>
            </w:r>
          </w:p>
        </w:tc>
      </w:tr>
      <w:tr w:rsidR="00460680" w:rsidRPr="00FC6941" w14:paraId="3273CA7E"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07DEC395" w14:textId="45208732"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17</w:t>
            </w:r>
          </w:p>
        </w:tc>
        <w:tc>
          <w:tcPr>
            <w:tcW w:w="6379" w:type="dxa"/>
          </w:tcPr>
          <w:p w14:paraId="0801F28A" w14:textId="77777777" w:rsidR="00460680" w:rsidRPr="00FC6941" w:rsidRDefault="00460680" w:rsidP="00460680">
            <w:pPr>
              <w:spacing w:before="100" w:after="100"/>
              <w:rPr>
                <w:rFonts w:eastAsia="MS Mincho" w:cs="Arial"/>
                <w:lang w:val="en-GB"/>
              </w:rPr>
            </w:pPr>
            <w:r w:rsidRPr="00FC6941">
              <w:rPr>
                <w:rFonts w:eastAsia="MS Mincho" w:cs="Arial"/>
                <w:lang w:val="en-GB"/>
              </w:rPr>
              <w:t>Payments to direct mail organisations in 2023–24</w:t>
            </w:r>
          </w:p>
        </w:tc>
        <w:tc>
          <w:tcPr>
            <w:tcW w:w="1036" w:type="dxa"/>
          </w:tcPr>
          <w:p w14:paraId="4DC24F94" w14:textId="1A14E94B"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2</w:t>
            </w:r>
          </w:p>
        </w:tc>
      </w:tr>
      <w:tr w:rsidR="00460680" w:rsidRPr="00FC6941" w14:paraId="06F65E79" w14:textId="77777777">
        <w:trPr>
          <w:cantSplit/>
        </w:trPr>
        <w:tc>
          <w:tcPr>
            <w:tcW w:w="1838" w:type="dxa"/>
          </w:tcPr>
          <w:p w14:paraId="1F2C0291" w14:textId="0BEF706B"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18</w:t>
            </w:r>
          </w:p>
        </w:tc>
        <w:tc>
          <w:tcPr>
            <w:tcW w:w="6379" w:type="dxa"/>
          </w:tcPr>
          <w:p w14:paraId="766B3064" w14:textId="77777777" w:rsidR="00460680" w:rsidRPr="00FC6941" w:rsidRDefault="00460680" w:rsidP="00460680">
            <w:pPr>
              <w:spacing w:before="100" w:after="100"/>
              <w:rPr>
                <w:rFonts w:eastAsia="MS Mincho" w:cs="Arial"/>
                <w:lang w:val="en-GB"/>
              </w:rPr>
            </w:pPr>
            <w:r w:rsidRPr="00FC6941">
              <w:rPr>
                <w:rFonts w:eastAsia="MS Mincho" w:cs="Arial"/>
                <w:lang w:val="en-GB"/>
              </w:rPr>
              <w:t>Payments to media advertising organisations in 2023–24</w:t>
            </w:r>
          </w:p>
        </w:tc>
        <w:tc>
          <w:tcPr>
            <w:tcW w:w="1036" w:type="dxa"/>
          </w:tcPr>
          <w:p w14:paraId="092C639E" w14:textId="462EFABC"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3</w:t>
            </w:r>
          </w:p>
        </w:tc>
      </w:tr>
      <w:tr w:rsidR="00460680" w:rsidRPr="00FC6941" w14:paraId="2017350C"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3492F2AB" w14:textId="7BB877E2"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19</w:t>
            </w:r>
          </w:p>
        </w:tc>
        <w:tc>
          <w:tcPr>
            <w:tcW w:w="6379" w:type="dxa"/>
          </w:tcPr>
          <w:p w14:paraId="04745222" w14:textId="77777777" w:rsidR="00460680" w:rsidRPr="00FC6941" w:rsidRDefault="00460680" w:rsidP="00460680">
            <w:pPr>
              <w:spacing w:before="100" w:after="100"/>
              <w:rPr>
                <w:rFonts w:eastAsia="MS Mincho" w:cs="Arial"/>
                <w:lang w:val="en-GB"/>
              </w:rPr>
            </w:pPr>
            <w:r w:rsidRPr="00FC6941">
              <w:rPr>
                <w:rFonts w:eastAsia="MS Mincho" w:cs="Arial"/>
                <w:lang w:val="en-GB"/>
              </w:rPr>
              <w:t>Greenhouse gas emissions inventory – location-based method</w:t>
            </w:r>
          </w:p>
        </w:tc>
        <w:tc>
          <w:tcPr>
            <w:tcW w:w="1036" w:type="dxa"/>
          </w:tcPr>
          <w:p w14:paraId="7D7F84D1" w14:textId="6048BD43"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4</w:t>
            </w:r>
          </w:p>
        </w:tc>
      </w:tr>
      <w:tr w:rsidR="00460680" w:rsidRPr="00FC6941" w14:paraId="393856C9" w14:textId="77777777">
        <w:trPr>
          <w:cantSplit/>
        </w:trPr>
        <w:tc>
          <w:tcPr>
            <w:tcW w:w="1838" w:type="dxa"/>
          </w:tcPr>
          <w:p w14:paraId="355ACF39" w14:textId="6EDC1016" w:rsidR="00460680" w:rsidRPr="00FC6941" w:rsidRDefault="00460680" w:rsidP="00460680">
            <w:pPr>
              <w:spacing w:before="100" w:after="100"/>
              <w:rPr>
                <w:rFonts w:eastAsia="MS Mincho" w:cs="Arial"/>
                <w:lang w:val="en-GB"/>
              </w:rPr>
            </w:pPr>
            <w:r w:rsidRPr="00FC6941">
              <w:rPr>
                <w:rFonts w:eastAsia="MS Mincho" w:cs="Arial"/>
                <w:lang w:val="en-GB"/>
              </w:rPr>
              <w:t xml:space="preserve">Table </w:t>
            </w:r>
            <w:r>
              <w:rPr>
                <w:rFonts w:eastAsia="MS Mincho" w:cs="Arial"/>
                <w:lang w:val="en-GB"/>
              </w:rPr>
              <w:t>20</w:t>
            </w:r>
          </w:p>
        </w:tc>
        <w:tc>
          <w:tcPr>
            <w:tcW w:w="6379" w:type="dxa"/>
          </w:tcPr>
          <w:p w14:paraId="77CC8A95" w14:textId="45D8FBCF" w:rsidR="00460680" w:rsidRPr="00FC6941" w:rsidRDefault="00460680" w:rsidP="00460680">
            <w:pPr>
              <w:spacing w:before="100" w:after="100"/>
              <w:rPr>
                <w:rFonts w:eastAsia="MS Mincho" w:cs="Arial"/>
                <w:lang w:val="en-GB"/>
              </w:rPr>
            </w:pPr>
            <w:r w:rsidRPr="00FC6941">
              <w:rPr>
                <w:rFonts w:eastAsia="MS Mincho" w:cs="Arial"/>
                <w:lang w:val="en-GB"/>
              </w:rPr>
              <w:t>Greenhouse gas emissions inventory – market</w:t>
            </w:r>
            <w:r>
              <w:rPr>
                <w:rFonts w:eastAsia="MS Mincho" w:cs="Arial"/>
                <w:lang w:val="en-GB"/>
              </w:rPr>
              <w:t>-</w:t>
            </w:r>
            <w:r w:rsidRPr="00FC6941">
              <w:rPr>
                <w:rFonts w:eastAsia="MS Mincho" w:cs="Arial"/>
                <w:lang w:val="en-GB"/>
              </w:rPr>
              <w:t>based method</w:t>
            </w:r>
          </w:p>
        </w:tc>
        <w:tc>
          <w:tcPr>
            <w:tcW w:w="1036" w:type="dxa"/>
          </w:tcPr>
          <w:p w14:paraId="7CED5DE7" w14:textId="2C31BDB9" w:rsidR="00460680" w:rsidRPr="00460680" w:rsidRDefault="00460680" w:rsidP="00460680">
            <w:pPr>
              <w:spacing w:before="100" w:after="100"/>
              <w:rPr>
                <w:rFonts w:eastAsia="MS Mincho" w:cs="Arial"/>
                <w:lang w:val="en-GB"/>
              </w:rPr>
            </w:pPr>
            <w:r w:rsidRPr="00CE19E4">
              <w:rPr>
                <w:rFonts w:eastAsia="MS Mincho" w:cs="Arial"/>
                <w:lang w:val="en-GB"/>
              </w:rPr>
              <w:t>13</w:t>
            </w:r>
            <w:r w:rsidRPr="00460680">
              <w:rPr>
                <w:rFonts w:eastAsia="MS Mincho" w:cs="Arial"/>
                <w:lang w:val="en-GB"/>
              </w:rPr>
              <w:t>5</w:t>
            </w:r>
          </w:p>
        </w:tc>
      </w:tr>
    </w:tbl>
    <w:p w14:paraId="6F8FD43F" w14:textId="2FE961F2" w:rsidR="00B86427" w:rsidRPr="006A1ECD" w:rsidRDefault="00255A26" w:rsidP="00B86427">
      <w:pPr>
        <w:pStyle w:val="Heading3"/>
        <w:rPr>
          <w:lang w:val="en-GB"/>
        </w:rPr>
      </w:pPr>
      <w:bookmarkStart w:id="473" w:name="_Toc176786419"/>
      <w:bookmarkStart w:id="474" w:name="_Toc180505701"/>
      <w:r w:rsidRPr="00A33264">
        <w:rPr>
          <w:lang w:val="en-GB"/>
        </w:rPr>
        <w:t>Figures index</w:t>
      </w:r>
      <w:bookmarkEnd w:id="470"/>
      <w:bookmarkEnd w:id="471"/>
      <w:bookmarkEnd w:id="472"/>
      <w:bookmarkEnd w:id="473"/>
      <w:bookmarkEnd w:id="474"/>
    </w:p>
    <w:tbl>
      <w:tblPr>
        <w:tblStyle w:val="GridTable41"/>
        <w:tblW w:w="9253" w:type="dxa"/>
        <w:tblCellMar>
          <w:top w:w="28" w:type="dxa"/>
          <w:left w:w="28" w:type="dxa"/>
          <w:bottom w:w="28" w:type="dxa"/>
          <w:right w:w="28" w:type="dxa"/>
        </w:tblCellMar>
        <w:tblLook w:val="0420" w:firstRow="1" w:lastRow="0" w:firstColumn="0" w:lastColumn="0" w:noHBand="0" w:noVBand="1"/>
      </w:tblPr>
      <w:tblGrid>
        <w:gridCol w:w="1838"/>
        <w:gridCol w:w="6379"/>
        <w:gridCol w:w="1036"/>
      </w:tblGrid>
      <w:tr w:rsidR="00FC6941" w:rsidRPr="00FC6941" w14:paraId="3FDC4DAF" w14:textId="77777777">
        <w:trPr>
          <w:cnfStyle w:val="100000000000" w:firstRow="1" w:lastRow="0" w:firstColumn="0" w:lastColumn="0" w:oddVBand="0" w:evenVBand="0" w:oddHBand="0" w:evenHBand="0" w:firstRowFirstColumn="0" w:firstRowLastColumn="0" w:lastRowFirstColumn="0" w:lastRowLastColumn="0"/>
          <w:cantSplit/>
        </w:trPr>
        <w:tc>
          <w:tcPr>
            <w:tcW w:w="1838" w:type="dxa"/>
            <w:tcBorders>
              <w:top w:val="single" w:sz="4" w:space="0" w:color="6B2876"/>
              <w:bottom w:val="single" w:sz="4" w:space="0" w:color="6B2876"/>
            </w:tcBorders>
          </w:tcPr>
          <w:p w14:paraId="59259BAA" w14:textId="77777777" w:rsidR="00FC6941" w:rsidRPr="00FC6941" w:rsidRDefault="00FC6941" w:rsidP="00FC6941">
            <w:pPr>
              <w:spacing w:before="100" w:after="100"/>
              <w:rPr>
                <w:rFonts w:eastAsia="MS Mincho" w:cs="Arial"/>
                <w:lang w:val="en-GB"/>
              </w:rPr>
            </w:pPr>
            <w:bookmarkStart w:id="475" w:name="ColumnTitle_FiguresIndex"/>
            <w:bookmarkStart w:id="476" w:name="_Toc169593036"/>
            <w:bookmarkStart w:id="477" w:name="_Toc174354225"/>
            <w:bookmarkStart w:id="478" w:name="_Toc175316929"/>
            <w:bookmarkEnd w:id="475"/>
            <w:r w:rsidRPr="00FC6941">
              <w:rPr>
                <w:rFonts w:eastAsia="MS Mincho" w:cs="Arial"/>
                <w:lang w:val="en-GB"/>
              </w:rPr>
              <w:t>Figure</w:t>
            </w:r>
          </w:p>
        </w:tc>
        <w:tc>
          <w:tcPr>
            <w:tcW w:w="6379" w:type="dxa"/>
            <w:tcBorders>
              <w:top w:val="single" w:sz="4" w:space="0" w:color="6B2876"/>
              <w:bottom w:val="single" w:sz="4" w:space="0" w:color="6B2876"/>
            </w:tcBorders>
          </w:tcPr>
          <w:p w14:paraId="12D1B602" w14:textId="77777777" w:rsidR="00FC6941" w:rsidRPr="00FC6941" w:rsidRDefault="00FC6941" w:rsidP="00FC6941">
            <w:pPr>
              <w:spacing w:before="100" w:after="100"/>
              <w:rPr>
                <w:rFonts w:eastAsia="MS Mincho" w:cs="Arial"/>
                <w:lang w:val="en-GB"/>
              </w:rPr>
            </w:pPr>
            <w:r w:rsidRPr="00FC6941">
              <w:rPr>
                <w:rFonts w:eastAsia="MS Mincho" w:cs="Arial"/>
                <w:lang w:val="en-GB"/>
              </w:rPr>
              <w:t>Title</w:t>
            </w:r>
          </w:p>
        </w:tc>
        <w:tc>
          <w:tcPr>
            <w:tcW w:w="1036" w:type="dxa"/>
            <w:tcBorders>
              <w:top w:val="single" w:sz="4" w:space="0" w:color="6B2876"/>
              <w:bottom w:val="single" w:sz="4" w:space="0" w:color="6B2876"/>
            </w:tcBorders>
          </w:tcPr>
          <w:p w14:paraId="124017C3" w14:textId="77777777" w:rsidR="00FC6941" w:rsidRPr="00FC6941" w:rsidRDefault="00FC6941" w:rsidP="00FC6941">
            <w:pPr>
              <w:spacing w:before="100" w:after="100"/>
              <w:rPr>
                <w:rFonts w:eastAsia="MS Mincho" w:cs="Arial"/>
                <w:lang w:val="en-GB"/>
              </w:rPr>
            </w:pPr>
            <w:r w:rsidRPr="00FC6941">
              <w:rPr>
                <w:rFonts w:eastAsia="MS Mincho" w:cs="Arial"/>
                <w:lang w:val="en-GB"/>
              </w:rPr>
              <w:t>Page</w:t>
            </w:r>
          </w:p>
        </w:tc>
      </w:tr>
      <w:tr w:rsidR="00C74028" w:rsidRPr="00FC6941" w14:paraId="41E3ACB1" w14:textId="77777777">
        <w:trPr>
          <w:cnfStyle w:val="000000100000" w:firstRow="0" w:lastRow="0" w:firstColumn="0" w:lastColumn="0" w:oddVBand="0" w:evenVBand="0" w:oddHBand="1" w:evenHBand="0" w:firstRowFirstColumn="0" w:firstRowLastColumn="0" w:lastRowFirstColumn="0" w:lastRowLastColumn="0"/>
          <w:cantSplit/>
        </w:trPr>
        <w:tc>
          <w:tcPr>
            <w:tcW w:w="1838" w:type="dxa"/>
          </w:tcPr>
          <w:p w14:paraId="019D151C" w14:textId="6D81D8A6" w:rsidR="00C74028" w:rsidRPr="009E1CB5" w:rsidRDefault="00C74028" w:rsidP="00C74028">
            <w:pPr>
              <w:spacing w:before="100" w:after="100"/>
              <w:rPr>
                <w:rFonts w:eastAsia="MS Mincho" w:cs="Arial"/>
                <w:highlight w:val="yellow"/>
                <w:lang w:val="en-GB"/>
              </w:rPr>
            </w:pPr>
            <w:r w:rsidRPr="00FC6941">
              <w:rPr>
                <w:rFonts w:eastAsia="MS Mincho" w:cs="Arial"/>
                <w:lang w:val="en-GB"/>
              </w:rPr>
              <w:t xml:space="preserve">Figure </w:t>
            </w:r>
            <w:r>
              <w:rPr>
                <w:rFonts w:eastAsia="MS Mincho" w:cs="Arial"/>
                <w:lang w:val="en-GB"/>
              </w:rPr>
              <w:t>1</w:t>
            </w:r>
          </w:p>
        </w:tc>
        <w:tc>
          <w:tcPr>
            <w:tcW w:w="6379" w:type="dxa"/>
          </w:tcPr>
          <w:p w14:paraId="023F812F" w14:textId="29613E95" w:rsidR="00C74028" w:rsidRPr="009E1CB5" w:rsidRDefault="00C74028" w:rsidP="00C74028">
            <w:pPr>
              <w:spacing w:before="100" w:after="100"/>
              <w:rPr>
                <w:rFonts w:eastAsia="MS Mincho" w:cs="Arial"/>
                <w:highlight w:val="yellow"/>
                <w:lang w:val="en-GB"/>
              </w:rPr>
            </w:pPr>
            <w:r w:rsidRPr="00FC6941">
              <w:rPr>
                <w:rFonts w:eastAsia="MS Mincho" w:cs="Arial"/>
                <w:lang w:val="en-GB"/>
              </w:rPr>
              <w:t>NDIA performance framework</w:t>
            </w:r>
          </w:p>
        </w:tc>
        <w:tc>
          <w:tcPr>
            <w:tcW w:w="1036" w:type="dxa"/>
          </w:tcPr>
          <w:p w14:paraId="594B896B" w14:textId="66B93F84" w:rsidR="00C74028" w:rsidRPr="009E1CB5" w:rsidRDefault="00C74028" w:rsidP="00C74028">
            <w:pPr>
              <w:spacing w:before="100" w:after="100"/>
              <w:rPr>
                <w:rFonts w:eastAsia="MS Mincho" w:cs="Arial"/>
                <w:highlight w:val="yellow"/>
                <w:lang w:val="en-GB"/>
              </w:rPr>
            </w:pPr>
            <w:r>
              <w:rPr>
                <w:rFonts w:eastAsia="MS Mincho" w:cs="Arial"/>
                <w:lang w:val="en-GB"/>
              </w:rPr>
              <w:t>13</w:t>
            </w:r>
          </w:p>
        </w:tc>
      </w:tr>
      <w:tr w:rsidR="00C74028" w:rsidRPr="00FC6941" w14:paraId="6B546052" w14:textId="77777777">
        <w:trPr>
          <w:cantSplit/>
        </w:trPr>
        <w:tc>
          <w:tcPr>
            <w:tcW w:w="1838" w:type="dxa"/>
          </w:tcPr>
          <w:p w14:paraId="5664D339" w14:textId="3970C6A5" w:rsidR="00C74028" w:rsidRPr="00FC6941" w:rsidRDefault="00C74028" w:rsidP="00C74028">
            <w:pPr>
              <w:spacing w:before="100" w:after="100"/>
              <w:rPr>
                <w:rFonts w:eastAsia="MS Mincho" w:cs="Arial"/>
                <w:lang w:val="en-GB"/>
              </w:rPr>
            </w:pPr>
            <w:r w:rsidRPr="00FC6941">
              <w:rPr>
                <w:rFonts w:eastAsia="MS Mincho" w:cs="Arial"/>
                <w:lang w:val="en-GB"/>
              </w:rPr>
              <w:t xml:space="preserve">Figure </w:t>
            </w:r>
            <w:r>
              <w:rPr>
                <w:rFonts w:eastAsia="MS Mincho" w:cs="Arial"/>
                <w:lang w:val="en-GB"/>
              </w:rPr>
              <w:t>2</w:t>
            </w:r>
          </w:p>
        </w:tc>
        <w:tc>
          <w:tcPr>
            <w:tcW w:w="6379" w:type="dxa"/>
          </w:tcPr>
          <w:p w14:paraId="75081223" w14:textId="368189E0" w:rsidR="00C74028" w:rsidRPr="00FC6941" w:rsidRDefault="00C74028" w:rsidP="00C74028">
            <w:pPr>
              <w:spacing w:before="100" w:after="100"/>
              <w:rPr>
                <w:rFonts w:eastAsia="MS Mincho" w:cs="Arial"/>
                <w:lang w:val="en-GB"/>
              </w:rPr>
            </w:pPr>
            <w:r w:rsidRPr="00FC6941">
              <w:rPr>
                <w:rFonts w:eastAsia="MS Mincho" w:cs="Arial"/>
                <w:lang w:val="en-GB"/>
              </w:rPr>
              <w:t>NDIA governance</w:t>
            </w:r>
          </w:p>
        </w:tc>
        <w:tc>
          <w:tcPr>
            <w:tcW w:w="1036" w:type="dxa"/>
          </w:tcPr>
          <w:p w14:paraId="51ACC026" w14:textId="3C53D53A" w:rsidR="00C74028" w:rsidRPr="00FC6941" w:rsidRDefault="00C74028" w:rsidP="00C74028">
            <w:pPr>
              <w:spacing w:before="100" w:after="100"/>
              <w:rPr>
                <w:rFonts w:eastAsia="MS Mincho" w:cs="Arial"/>
                <w:lang w:val="en-GB"/>
              </w:rPr>
            </w:pPr>
            <w:r>
              <w:rPr>
                <w:rFonts w:eastAsia="MS Mincho" w:cs="Arial"/>
                <w:lang w:val="en-GB"/>
              </w:rPr>
              <w:t>77</w:t>
            </w:r>
          </w:p>
        </w:tc>
      </w:tr>
    </w:tbl>
    <w:p w14:paraId="0E1B6C0D" w14:textId="272402DA" w:rsidR="009C42B2" w:rsidRPr="00A33264" w:rsidRDefault="009C42B2" w:rsidP="004466FC">
      <w:pPr>
        <w:pStyle w:val="Introparagraph"/>
        <w:spacing w:before="240"/>
        <w:rPr>
          <w:lang w:val="en-GB"/>
        </w:rPr>
      </w:pPr>
      <w:bookmarkStart w:id="479" w:name="_Toc180488081"/>
      <w:bookmarkStart w:id="480" w:name="_Toc180505702"/>
      <w:bookmarkEnd w:id="476"/>
      <w:bookmarkEnd w:id="477"/>
      <w:bookmarkEnd w:id="478"/>
      <w:bookmarkEnd w:id="468"/>
      <w:r w:rsidRPr="00A33264">
        <w:rPr>
          <w:lang w:val="en-GB"/>
        </w:rPr>
        <w:t>Disclaimer</w:t>
      </w:r>
      <w:bookmarkEnd w:id="479"/>
      <w:bookmarkEnd w:id="480"/>
    </w:p>
    <w:p w14:paraId="6F99CCEF" w14:textId="77777777" w:rsidR="006520F1" w:rsidRPr="00A33264" w:rsidRDefault="006520F1" w:rsidP="006520F1">
      <w:pPr>
        <w:rPr>
          <w:lang w:val="en-GB"/>
        </w:rPr>
      </w:pPr>
      <w:r w:rsidRPr="00A33264">
        <w:rPr>
          <w:lang w:val="en-GB"/>
        </w:rPr>
        <w:t>The material in this document, with the exception of logos, trademarks, third party materials and other content as specified is licensed under Creative Commons CC-BY-NC-ND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Agency’ and you must not use the material for commercial purposes.</w:t>
      </w:r>
    </w:p>
    <w:p w14:paraId="7E1F4DB9" w14:textId="7A57DFE9" w:rsidR="009C42B2" w:rsidRPr="00A33264" w:rsidRDefault="006520F1" w:rsidP="006520F1">
      <w:pPr>
        <w:rPr>
          <w:lang w:val="en-GB"/>
        </w:rPr>
      </w:pPr>
      <w:r w:rsidRPr="00A33264">
        <w:rPr>
          <w:lang w:val="en-GB"/>
        </w:rPr>
        <w:t>If you remix, transform or build upon the material contained in this document, you must not distribute the modified material.</w:t>
      </w:r>
    </w:p>
    <w:p w14:paraId="5986FFB1" w14:textId="514AC1D8" w:rsidR="003F30FC" w:rsidRPr="00A33264" w:rsidRDefault="006520F1" w:rsidP="00A13783">
      <w:pPr>
        <w:rPr>
          <w:lang w:val="en-GB"/>
        </w:rPr>
      </w:pPr>
      <w:r w:rsidRPr="00A33264">
        <w:rPr>
          <w:noProof/>
          <w:lang w:val="en-GB"/>
        </w:rPr>
        <w:drawing>
          <wp:inline distT="0" distB="0" distL="0" distR="0" wp14:anchorId="6B251ED1" wp14:editId="4DC8991D">
            <wp:extent cx="1394460" cy="480060"/>
            <wp:effectExtent l="0" t="0" r="0" b="0"/>
            <wp:docPr id="1033969000" name="Picture 1" descr="Image for the Creative Commons license with the symbols for CC: Creative Commons, BY: credit must be given to the creator, NC: only non-commercial uses of the work are permitted; ND: No derivatives or adaptations of the work are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69000" name="Picture 1" descr="Image for the Creative Commons license with the symbols for CC: Creative Commons, BY: credit must be given to the creator, NC: only non-commercial uses of the work are permitted; ND: No derivatives or adaptations of the work are permit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94460" cy="480060"/>
                    </a:xfrm>
                    <a:prstGeom prst="rect">
                      <a:avLst/>
                    </a:prstGeom>
                    <a:noFill/>
                    <a:ln>
                      <a:noFill/>
                    </a:ln>
                  </pic:spPr>
                </pic:pic>
              </a:graphicData>
            </a:graphic>
          </wp:inline>
        </w:drawing>
      </w:r>
    </w:p>
    <w:sectPr w:rsidR="003F30FC" w:rsidRPr="00A33264" w:rsidSect="00F23525">
      <w:footerReference w:type="default" r:id="rId99"/>
      <w:footerReference w:type="first" r:id="rId100"/>
      <w:pgSz w:w="11906" w:h="16838" w:code="9"/>
      <w:pgMar w:top="1361" w:right="1361" w:bottom="1361" w:left="1361"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0454D" w14:textId="77777777" w:rsidR="00EA133B" w:rsidRDefault="00EA133B" w:rsidP="00042A45">
      <w:r>
        <w:separator/>
      </w:r>
    </w:p>
    <w:p w14:paraId="1A8F7E41" w14:textId="77777777" w:rsidR="00EA133B" w:rsidRDefault="00EA133B" w:rsidP="00042A45"/>
    <w:p w14:paraId="0DEB50F1" w14:textId="77777777" w:rsidR="00EA133B" w:rsidRDefault="00EA133B" w:rsidP="00042A45"/>
    <w:p w14:paraId="178CF26A" w14:textId="77777777" w:rsidR="00EA133B" w:rsidRDefault="00EA133B" w:rsidP="00042A45"/>
    <w:p w14:paraId="153C7D37" w14:textId="77777777" w:rsidR="00EA133B" w:rsidRDefault="00EA133B" w:rsidP="00042A45"/>
    <w:p w14:paraId="4C9C5D01" w14:textId="77777777" w:rsidR="00EA133B" w:rsidRDefault="00EA133B" w:rsidP="00042A45"/>
    <w:p w14:paraId="25A8C7C8" w14:textId="77777777" w:rsidR="00EA133B" w:rsidRDefault="00EA133B" w:rsidP="00042A45"/>
    <w:p w14:paraId="57050405" w14:textId="77777777" w:rsidR="00EA133B" w:rsidRDefault="00EA133B" w:rsidP="00042A45"/>
    <w:p w14:paraId="76780EC7" w14:textId="77777777" w:rsidR="00EA133B" w:rsidRDefault="00EA133B" w:rsidP="00042A45"/>
    <w:p w14:paraId="76DBD5C3" w14:textId="77777777" w:rsidR="00EA133B" w:rsidRDefault="00EA133B" w:rsidP="00042A45"/>
    <w:p w14:paraId="6AA48236" w14:textId="77777777" w:rsidR="00EA133B" w:rsidRDefault="00EA133B" w:rsidP="00042A45"/>
  </w:endnote>
  <w:endnote w:type="continuationSeparator" w:id="0">
    <w:p w14:paraId="408BF527" w14:textId="77777777" w:rsidR="00EA133B" w:rsidRDefault="00EA133B" w:rsidP="00042A45">
      <w:r>
        <w:continuationSeparator/>
      </w:r>
    </w:p>
    <w:p w14:paraId="54489F3A" w14:textId="77777777" w:rsidR="00EA133B" w:rsidRDefault="00EA133B" w:rsidP="00042A45"/>
    <w:p w14:paraId="0111478B" w14:textId="77777777" w:rsidR="00EA133B" w:rsidRDefault="00EA133B" w:rsidP="00042A45"/>
    <w:p w14:paraId="0EF26050" w14:textId="77777777" w:rsidR="00EA133B" w:rsidRDefault="00EA133B" w:rsidP="00042A45"/>
    <w:p w14:paraId="0365951D" w14:textId="77777777" w:rsidR="00EA133B" w:rsidRDefault="00EA133B" w:rsidP="00042A45"/>
    <w:p w14:paraId="6B16336A" w14:textId="77777777" w:rsidR="00EA133B" w:rsidRDefault="00EA133B" w:rsidP="00042A45"/>
    <w:p w14:paraId="4DBF62B4" w14:textId="77777777" w:rsidR="00EA133B" w:rsidRDefault="00EA133B" w:rsidP="00042A45"/>
    <w:p w14:paraId="423A78EB" w14:textId="77777777" w:rsidR="00EA133B" w:rsidRDefault="00EA133B" w:rsidP="00042A45"/>
    <w:p w14:paraId="583DADEE" w14:textId="77777777" w:rsidR="00EA133B" w:rsidRDefault="00EA133B" w:rsidP="00042A45"/>
    <w:p w14:paraId="51466624" w14:textId="77777777" w:rsidR="00EA133B" w:rsidRDefault="00EA133B" w:rsidP="00042A45"/>
    <w:p w14:paraId="14C95563" w14:textId="77777777" w:rsidR="00EA133B" w:rsidRDefault="00EA133B" w:rsidP="00042A45"/>
  </w:endnote>
  <w:endnote w:type="continuationNotice" w:id="1">
    <w:p w14:paraId="6D152E07" w14:textId="77777777" w:rsidR="00EA133B" w:rsidRDefault="00EA13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Pro">
    <w:altName w:val="Calibri"/>
    <w:charset w:val="00"/>
    <w:family w:val="auto"/>
    <w:pitch w:val="variable"/>
    <w:sig w:usb0="A00002EF" w:usb1="4000606A"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S Me Pro Light">
    <w:altName w:val="Calibri"/>
    <w:charset w:val="00"/>
    <w:family w:val="auto"/>
    <w:pitch w:val="variable"/>
    <w:sig w:usb0="A00002EF" w:usb1="4000606A" w:usb2="00000000" w:usb3="00000000" w:csb0="0000009F" w:csb1="00000000"/>
  </w:font>
  <w:font w:name="Aptos">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F6830" w14:textId="77777777" w:rsidR="00AA4A8E" w:rsidRPr="00285DEE" w:rsidRDefault="00AA4A8E" w:rsidP="00AA4A8E">
    <w:pPr>
      <w:pStyle w:val="Header"/>
      <w:spacing w:before="0" w:after="200"/>
    </w:pPr>
    <w:r w:rsidRPr="003F2DA2">
      <w:t xml:space="preserve">OFFICIAL: </w:t>
    </w:r>
    <w:r w:rsidRPr="00664E61">
      <w:t>SENSITIVE</w:t>
    </w:r>
  </w:p>
  <w:sdt>
    <w:sdtPr>
      <w:id w:val="-37055305"/>
      <w:docPartObj>
        <w:docPartGallery w:val="Page Numbers (Bottom of Page)"/>
        <w:docPartUnique/>
      </w:docPartObj>
    </w:sdtPr>
    <w:sdtEndPr/>
    <w:sdtContent>
      <w:p w14:paraId="774FBC45" w14:textId="5879577E" w:rsidR="00EE1BC9" w:rsidRPr="00AA4A8E" w:rsidRDefault="00AA4A8E" w:rsidP="00967957">
        <w:pPr>
          <w:pStyle w:val="Footer"/>
          <w:tabs>
            <w:tab w:val="clear" w:pos="4513"/>
            <w:tab w:val="clear" w:pos="9026"/>
            <w:tab w:val="center" w:pos="4536"/>
            <w:tab w:val="right" w:pos="9072"/>
          </w:tabs>
        </w:pPr>
        <w:r w:rsidRPr="009B2942">
          <w:t>ndis.gov.au</w:t>
        </w:r>
        <w:r>
          <w:t xml:space="preserve"> </w:t>
        </w:r>
        <w:r>
          <w:tab/>
        </w:r>
        <w:r>
          <w:rPr>
            <w:b w:val="0"/>
            <w:bCs w:val="0"/>
          </w:rPr>
          <w:t>19 August 2024</w:t>
        </w:r>
        <w:r w:rsidRPr="009B2942">
          <w:rPr>
            <w:b w:val="0"/>
            <w:bCs w:val="0"/>
          </w:rPr>
          <w:t xml:space="preserve"> | </w:t>
        </w:r>
        <w:r>
          <w:rPr>
            <w:b w:val="0"/>
            <w:bCs w:val="0"/>
          </w:rPr>
          <w:t>Draft Annual Report 2023-24</w:t>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Cs/>
        <w:color w:val="6B2976"/>
      </w:rPr>
      <w:id w:val="-900979655"/>
      <w:docPartObj>
        <w:docPartGallery w:val="Page Numbers (Bottom of Page)"/>
        <w:docPartUnique/>
      </w:docPartObj>
    </w:sdtPr>
    <w:sdtEndPr>
      <w:rPr>
        <w:rFonts w:cs="Arial"/>
        <w:noProof/>
        <w:sz w:val="18"/>
        <w:szCs w:val="18"/>
      </w:rPr>
    </w:sdtEndPr>
    <w:sdtContent>
      <w:p w14:paraId="3E4E943F" w14:textId="0A2E3BDD" w:rsidR="00A826D3" w:rsidRPr="00285DEE" w:rsidRDefault="00A826D3" w:rsidP="00A826D3">
        <w:pPr>
          <w:pStyle w:val="Header"/>
          <w:spacing w:before="0" w:after="200"/>
        </w:pPr>
      </w:p>
      <w:p w14:paraId="1FB65B5F" w14:textId="21F7B12C" w:rsidR="00520333" w:rsidRPr="0098183D" w:rsidRDefault="008D64B9" w:rsidP="00A03B19">
        <w:pPr>
          <w:pStyle w:val="Footer"/>
          <w:tabs>
            <w:tab w:val="clear" w:pos="4513"/>
            <w:tab w:val="clear" w:pos="9026"/>
            <w:tab w:val="center" w:pos="7088"/>
            <w:tab w:val="right" w:pos="14459"/>
          </w:tabs>
          <w:rPr>
            <w:rFonts w:cs="Arial"/>
            <w:sz w:val="18"/>
            <w:szCs w:val="18"/>
          </w:rPr>
        </w:pPr>
        <w:sdt>
          <w:sdtPr>
            <w:id w:val="-1675495084"/>
            <w:docPartObj>
              <w:docPartGallery w:val="Page Numbers (Bottom of Page)"/>
              <w:docPartUnique/>
            </w:docPartObj>
          </w:sdtPr>
          <w:sdtEndPr/>
          <w:sdtContent>
            <w:r w:rsidR="00A826D3" w:rsidRPr="009B2942">
              <w:t>ndis.gov.au</w:t>
            </w:r>
            <w:r w:rsidR="00A826D3">
              <w:t xml:space="preserve"> </w:t>
            </w:r>
            <w:r w:rsidR="00A826D3">
              <w:tab/>
            </w:r>
            <w:r w:rsidR="00A826D3" w:rsidRPr="009B2942">
              <w:tab/>
            </w:r>
            <w:r w:rsidR="00A826D3" w:rsidRPr="009B2942">
              <w:fldChar w:fldCharType="begin"/>
            </w:r>
            <w:r w:rsidR="00A826D3" w:rsidRPr="009B2942">
              <w:instrText xml:space="preserve"> PAGE </w:instrText>
            </w:r>
            <w:r w:rsidR="00A826D3" w:rsidRPr="009B2942">
              <w:fldChar w:fldCharType="separate"/>
            </w:r>
            <w:r w:rsidR="00A826D3">
              <w:t>35</w:t>
            </w:r>
            <w:r w:rsidR="00A826D3" w:rsidRPr="009B2942">
              <w:fldChar w:fldCharType="end"/>
            </w:r>
          </w:sdtContent>
        </w:sdt>
        <w:r w:rsidR="00A826D3" w:rsidRPr="0098183D" w:rsidDel="00A826D3">
          <w:rPr>
            <w:rFonts w:cs="Arial"/>
            <w:sz w:val="18"/>
            <w:szCs w:val="18"/>
          </w:rPr>
          <w:t xml:space="preserve"> </w:t>
        </w:r>
      </w:p>
    </w:sdtContent>
  </w:sdt>
  <w:p w14:paraId="31DC09A1" w14:textId="77777777" w:rsidR="00520333" w:rsidRPr="00D609CD" w:rsidRDefault="00520333" w:rsidP="00D609CD">
    <w:pPr>
      <w:pStyle w:val="Footer"/>
      <w:jc w:val="right"/>
      <w:rPr>
        <w:rFonts w:cs="Arial"/>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FD8F6" w14:textId="1108EB7E" w:rsidR="00BA537E" w:rsidRPr="00D609CD" w:rsidRDefault="008D64B9" w:rsidP="0047225D">
    <w:pPr>
      <w:pStyle w:val="Footer"/>
      <w:rPr>
        <w:rFonts w:cs="Arial"/>
        <w:sz w:val="18"/>
        <w:szCs w:val="18"/>
      </w:rPr>
    </w:pPr>
    <w:sdt>
      <w:sdtPr>
        <w:id w:val="-1465586097"/>
        <w:docPartObj>
          <w:docPartGallery w:val="Page Numbers (Bottom of Page)"/>
          <w:docPartUnique/>
        </w:docPartObj>
      </w:sdtPr>
      <w:sdtEndPr/>
      <w:sdtContent>
        <w:r w:rsidR="00DA5717" w:rsidRPr="009B2942">
          <w:t>ndis.gov.au</w:t>
        </w:r>
        <w:r w:rsidR="00DA5717">
          <w:t xml:space="preserve"> </w:t>
        </w:r>
        <w:r w:rsidR="00DA5717">
          <w:tab/>
        </w:r>
        <w:r w:rsidR="00DA5717" w:rsidRPr="009B2942">
          <w:tab/>
        </w:r>
        <w:r w:rsidR="00DA5717" w:rsidRPr="009B2942">
          <w:fldChar w:fldCharType="begin"/>
        </w:r>
        <w:r w:rsidR="00DA5717" w:rsidRPr="009B2942">
          <w:instrText xml:space="preserve"> PAGE </w:instrText>
        </w:r>
        <w:r w:rsidR="00DA5717" w:rsidRPr="009B2942">
          <w:fldChar w:fldCharType="separate"/>
        </w:r>
        <w:r w:rsidR="00DA5717">
          <w:t>35</w:t>
        </w:r>
        <w:r w:rsidR="00DA5717" w:rsidRPr="009B2942">
          <w:fldChar w:fldCharType="end"/>
        </w:r>
      </w:sdtContent>
    </w:sdt>
    <w:r w:rsidR="00DA5717" w:rsidDel="00325F0C">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544219"/>
      <w:docPartObj>
        <w:docPartGallery w:val="Page Numbers (Bottom of Page)"/>
        <w:docPartUnique/>
      </w:docPartObj>
    </w:sdtPr>
    <w:sdtEndPr/>
    <w:sdtContent>
      <w:p w14:paraId="351080F2" w14:textId="173F96D2" w:rsidR="00520333" w:rsidRPr="00D609CD" w:rsidRDefault="00DA5717" w:rsidP="0047225D">
        <w:pPr>
          <w:pStyle w:val="Footer"/>
          <w:jc w:val="center"/>
          <w:rPr>
            <w:rFonts w:cs="Arial"/>
            <w:sz w:val="18"/>
            <w:szCs w:val="18"/>
          </w:rPr>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35</w:t>
        </w:r>
        <w:r w:rsidRPr="009B2942">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5804088"/>
      <w:docPartObj>
        <w:docPartGallery w:val="Page Numbers (Bottom of Page)"/>
        <w:docPartUnique/>
      </w:docPartObj>
    </w:sdtPr>
    <w:sdtEndPr/>
    <w:sdtContent>
      <w:p w14:paraId="1E044553" w14:textId="68E002F3" w:rsidR="009B5EFC" w:rsidRPr="00821A87" w:rsidRDefault="009B5EFC" w:rsidP="00AA4A8E">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900478"/>
      <w:docPartObj>
        <w:docPartGallery w:val="Page Numbers (Bottom of Page)"/>
        <w:docPartUnique/>
      </w:docPartObj>
    </w:sdtPr>
    <w:sdtEndPr/>
    <w:sdtContent>
      <w:p w14:paraId="55819DAF" w14:textId="30BA595D" w:rsidR="00967957" w:rsidRPr="00AA4A8E" w:rsidRDefault="00967957" w:rsidP="00967957">
        <w:pPr>
          <w:pStyle w:val="Footer"/>
          <w:tabs>
            <w:tab w:val="clear" w:pos="4513"/>
            <w:tab w:val="clear" w:pos="9026"/>
            <w:tab w:val="center" w:pos="6804"/>
            <w:tab w:val="right" w:pos="13608"/>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9884552"/>
      <w:docPartObj>
        <w:docPartGallery w:val="Page Numbers (Bottom of Page)"/>
        <w:docPartUnique/>
      </w:docPartObj>
    </w:sdtPr>
    <w:sdtEndPr/>
    <w:sdtContent>
      <w:p w14:paraId="01A9D01D" w14:textId="3D04CF5F" w:rsidR="00AA4A8E" w:rsidRPr="00821A87" w:rsidRDefault="00AA4A8E" w:rsidP="00AA4A8E">
        <w:pPr>
          <w:pStyle w:val="Footer"/>
          <w:tabs>
            <w:tab w:val="clear" w:pos="4513"/>
            <w:tab w:val="clear" w:pos="9026"/>
            <w:tab w:val="center" w:pos="6804"/>
            <w:tab w:val="right" w:pos="13608"/>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730236"/>
      <w:docPartObj>
        <w:docPartGallery w:val="Page Numbers (Bottom of Page)"/>
        <w:docPartUnique/>
      </w:docPartObj>
    </w:sdtPr>
    <w:sdtEndPr/>
    <w:sdtContent>
      <w:p w14:paraId="64C98A99" w14:textId="20815882" w:rsidR="00967957" w:rsidRPr="00AA4A8E" w:rsidRDefault="00967957"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4982043"/>
      <w:docPartObj>
        <w:docPartGallery w:val="Page Numbers (Bottom of Page)"/>
        <w:docPartUnique/>
      </w:docPartObj>
    </w:sdtPr>
    <w:sdtEndPr/>
    <w:sdtContent>
      <w:p w14:paraId="5B717C85" w14:textId="7E9D9ED2" w:rsidR="00967957" w:rsidRPr="00821A87" w:rsidRDefault="00967957"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31491"/>
      <w:docPartObj>
        <w:docPartGallery w:val="Page Numbers (Bottom of Page)"/>
        <w:docPartUnique/>
      </w:docPartObj>
    </w:sdtPr>
    <w:sdtEndPr/>
    <w:sdtContent>
      <w:p w14:paraId="2ABEB0C2" w14:textId="5725CD69" w:rsidR="00967957" w:rsidRPr="00AA4A8E" w:rsidRDefault="00967957" w:rsidP="00EE17BD">
        <w:pPr>
          <w:pStyle w:val="Footer"/>
          <w:tabs>
            <w:tab w:val="clear" w:pos="4513"/>
            <w:tab w:val="clear" w:pos="9026"/>
            <w:tab w:val="center" w:pos="6804"/>
            <w:tab w:val="right" w:pos="14570"/>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1640419"/>
      <w:docPartObj>
        <w:docPartGallery w:val="Page Numbers (Bottom of Page)"/>
        <w:docPartUnique/>
      </w:docPartObj>
    </w:sdtPr>
    <w:sdtEndPr/>
    <w:sdtContent>
      <w:p w14:paraId="2DBBC12E" w14:textId="3E62E726" w:rsidR="00967957" w:rsidRPr="00821A87" w:rsidRDefault="00967957" w:rsidP="00EE17BD">
        <w:pPr>
          <w:pStyle w:val="Footer"/>
          <w:tabs>
            <w:tab w:val="clear" w:pos="4513"/>
            <w:tab w:val="clear" w:pos="9026"/>
            <w:tab w:val="center" w:pos="6804"/>
            <w:tab w:val="right" w:pos="14570"/>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207DA" w14:textId="5768352D" w:rsidR="00834863" w:rsidRPr="009B2942" w:rsidRDefault="008D64B9" w:rsidP="009B2942">
    <w:pPr>
      <w:pStyle w:val="Footer"/>
    </w:pPr>
    <w:sdt>
      <w:sdtPr>
        <w:id w:val="1726405002"/>
        <w:docPartObj>
          <w:docPartGallery w:val="Page Numbers (Bottom of Page)"/>
          <w:docPartUnique/>
        </w:docPartObj>
      </w:sdtPr>
      <w:sdtEndPr/>
      <w:sdtContent>
        <w:r w:rsidR="009B2942" w:rsidRPr="009B2942">
          <w:t>ndis.gov.au</w:t>
        </w:r>
        <w:r w:rsidR="009B2942">
          <w:t xml:space="preserve"> </w:t>
        </w:r>
      </w:sdtContent>
    </w:sdt>
    <w:r w:rsidR="00BE3421">
      <w:tab/>
    </w:r>
    <w:r w:rsidR="00BE3421">
      <w:tab/>
    </w:r>
    <w:r w:rsidR="00BE3421" w:rsidRPr="009B2942">
      <w:fldChar w:fldCharType="begin"/>
    </w:r>
    <w:r w:rsidR="00BE3421" w:rsidRPr="009B2942">
      <w:instrText xml:space="preserve"> PAGE </w:instrText>
    </w:r>
    <w:r w:rsidR="00BE3421" w:rsidRPr="009B2942">
      <w:fldChar w:fldCharType="separate"/>
    </w:r>
    <w:r w:rsidR="00BE3421">
      <w:t>3</w:t>
    </w:r>
    <w:r w:rsidR="00BE3421" w:rsidRPr="009B2942">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1D749" w14:textId="77777777" w:rsidR="00967957" w:rsidRPr="00285DEE" w:rsidRDefault="00967957" w:rsidP="00967957">
    <w:pPr>
      <w:pStyle w:val="Header"/>
      <w:spacing w:before="0" w:after="200"/>
    </w:pPr>
    <w:r w:rsidRPr="003F2DA2">
      <w:t xml:space="preserve">OFFICIAL: </w:t>
    </w:r>
    <w:r w:rsidRPr="00664E61">
      <w:t>SENSITIVE</w:t>
    </w:r>
  </w:p>
  <w:sdt>
    <w:sdtPr>
      <w:id w:val="-1264760442"/>
      <w:docPartObj>
        <w:docPartGallery w:val="Page Numbers (Bottom of Page)"/>
        <w:docPartUnique/>
      </w:docPartObj>
    </w:sdtPr>
    <w:sdtEndPr/>
    <w:sdtContent>
      <w:p w14:paraId="76BCF9E3" w14:textId="22237F93" w:rsidR="00967957" w:rsidRPr="00AA4A8E" w:rsidRDefault="00967957" w:rsidP="004C5085">
        <w:pPr>
          <w:pStyle w:val="Footer"/>
          <w:tabs>
            <w:tab w:val="clear" w:pos="4513"/>
            <w:tab w:val="clear" w:pos="9026"/>
            <w:tab w:val="center" w:pos="4536"/>
            <w:tab w:val="right" w:pos="9072"/>
          </w:tabs>
        </w:pPr>
        <w:r w:rsidRPr="009B2942">
          <w:t>ndis.gov.au</w:t>
        </w:r>
        <w:r>
          <w:t xml:space="preserve"> </w:t>
        </w:r>
        <w:r>
          <w:tab/>
        </w:r>
        <w:r w:rsidR="003B0281">
          <w:rPr>
            <w:b w:val="0"/>
            <w:bCs w:val="0"/>
          </w:rPr>
          <w:t>17</w:t>
        </w:r>
        <w:r w:rsidR="007226E7">
          <w:rPr>
            <w:b w:val="0"/>
            <w:bCs w:val="0"/>
          </w:rPr>
          <w:t xml:space="preserve"> October</w:t>
        </w:r>
        <w:r w:rsidR="002B23E4">
          <w:rPr>
            <w:b w:val="0"/>
            <w:bCs w:val="0"/>
          </w:rPr>
          <w:t xml:space="preserve"> 2024 | Draft Annual Report 2023–24 v0.</w:t>
        </w:r>
        <w:r w:rsidR="00A06B1B">
          <w:rPr>
            <w:b w:val="0"/>
            <w:bCs w:val="0"/>
          </w:rPr>
          <w:t>1</w:t>
        </w:r>
        <w:r w:rsidR="007226E7">
          <w:rPr>
            <w:b w:val="0"/>
            <w:bCs w:val="0"/>
          </w:rPr>
          <w:t>3</w:t>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606984"/>
      <w:docPartObj>
        <w:docPartGallery w:val="Page Numbers (Bottom of Page)"/>
        <w:docPartUnique/>
      </w:docPartObj>
    </w:sdtPr>
    <w:sdtEndPr/>
    <w:sdtContent>
      <w:p w14:paraId="04918D78" w14:textId="356D4B65" w:rsidR="00967957" w:rsidRPr="00821A87" w:rsidRDefault="00967957"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3409821"/>
      <w:docPartObj>
        <w:docPartGallery w:val="Page Numbers (Bottom of Page)"/>
        <w:docPartUnique/>
      </w:docPartObj>
    </w:sdtPr>
    <w:sdtEndPr/>
    <w:sdtContent>
      <w:p w14:paraId="4AFBFFBD" w14:textId="0BCDDB7D" w:rsidR="003A2FA9" w:rsidRPr="00AA4A8E" w:rsidRDefault="003A2FA9" w:rsidP="004C5085">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902593"/>
      <w:docPartObj>
        <w:docPartGallery w:val="Page Numbers (Bottom of Page)"/>
        <w:docPartUnique/>
      </w:docPartObj>
    </w:sdtPr>
    <w:sdtEndPr/>
    <w:sdtContent>
      <w:p w14:paraId="42A0F774" w14:textId="061E874A" w:rsidR="00E70ACE" w:rsidRPr="00821A87" w:rsidRDefault="00E70ACE"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6841977"/>
      <w:docPartObj>
        <w:docPartGallery w:val="Page Numbers (Bottom of Page)"/>
        <w:docPartUnique/>
      </w:docPartObj>
    </w:sdtPr>
    <w:sdtEndPr/>
    <w:sdtContent>
      <w:p w14:paraId="126A4CD0" w14:textId="58F6F799" w:rsidR="004C5085" w:rsidRPr="00AA4A8E" w:rsidRDefault="004C5085" w:rsidP="004C5085">
        <w:pPr>
          <w:pStyle w:val="Footer"/>
          <w:tabs>
            <w:tab w:val="clear" w:pos="4513"/>
            <w:tab w:val="clear" w:pos="9026"/>
            <w:tab w:val="center" w:pos="6804"/>
            <w:tab w:val="right" w:pos="13608"/>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5389452"/>
      <w:docPartObj>
        <w:docPartGallery w:val="Page Numbers (Bottom of Page)"/>
        <w:docPartUnique/>
      </w:docPartObj>
    </w:sdtPr>
    <w:sdtEndPr/>
    <w:sdtContent>
      <w:p w14:paraId="781B84DF" w14:textId="0A160C5B" w:rsidR="0080564E" w:rsidRPr="00821A87" w:rsidRDefault="004C7539" w:rsidP="00EE17BD">
        <w:pPr>
          <w:pStyle w:val="Footer"/>
          <w:tabs>
            <w:tab w:val="clear" w:pos="4513"/>
            <w:tab w:val="clear" w:pos="9026"/>
            <w:tab w:val="center" w:pos="6946"/>
            <w:tab w:val="right" w:pos="13608"/>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135</w:t>
        </w:r>
        <w:r w:rsidRPr="009B2942">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4608777"/>
      <w:docPartObj>
        <w:docPartGallery w:val="Page Numbers (Bottom of Page)"/>
        <w:docPartUnique/>
      </w:docPartObj>
    </w:sdtPr>
    <w:sdtEndPr/>
    <w:sdtContent>
      <w:p w14:paraId="24C7B05F" w14:textId="31B25F1A" w:rsidR="004D0E40" w:rsidRPr="00AA4A8E" w:rsidRDefault="004D0E40" w:rsidP="00DD3E52">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451180"/>
      <w:docPartObj>
        <w:docPartGallery w:val="Page Numbers (Bottom of Page)"/>
        <w:docPartUnique/>
      </w:docPartObj>
    </w:sdtPr>
    <w:sdtEndPr/>
    <w:sdtContent>
      <w:p w14:paraId="6ECF5CBC" w14:textId="21511876" w:rsidR="003C3460" w:rsidRPr="00821A87" w:rsidRDefault="006A3991" w:rsidP="00FF38DC">
        <w:pPr>
          <w:pStyle w:val="Footer"/>
          <w:tabs>
            <w:tab w:val="clear" w:pos="4513"/>
            <w:tab w:val="center" w:pos="4536"/>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131</w:t>
        </w:r>
        <w:r w:rsidRPr="009B2942">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9229795"/>
      <w:docPartObj>
        <w:docPartGallery w:val="Page Numbers (Bottom of Page)"/>
        <w:docPartUnique/>
      </w:docPartObj>
    </w:sdtPr>
    <w:sdtEndPr/>
    <w:sdtContent>
      <w:p w14:paraId="0CD3A948" w14:textId="66BADEFE" w:rsidR="00F67217" w:rsidRPr="009B2942" w:rsidRDefault="00F67217" w:rsidP="009B2942">
        <w:pPr>
          <w:pStyle w:val="Footer"/>
        </w:pPr>
        <w:r w:rsidRPr="009B2942">
          <w:t>ndis.gov.au</w:t>
        </w:r>
        <w:r>
          <w:t xml:space="preserve"> </w:t>
        </w:r>
        <w:r w:rsidR="00BE3421">
          <w:tab/>
        </w:r>
        <w:r w:rsidR="00BE3421">
          <w:tab/>
        </w:r>
        <w:r w:rsidR="00BE3421" w:rsidRPr="009B2942">
          <w:fldChar w:fldCharType="begin"/>
        </w:r>
        <w:r w:rsidR="00BE3421" w:rsidRPr="009B2942">
          <w:instrText xml:space="preserve"> PAGE </w:instrText>
        </w:r>
        <w:r w:rsidR="00BE3421" w:rsidRPr="009B2942">
          <w:fldChar w:fldCharType="separate"/>
        </w:r>
        <w:r w:rsidR="00BE3421">
          <w:t>3</w:t>
        </w:r>
        <w:r w:rsidR="00BE3421" w:rsidRPr="009B2942">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0821485"/>
      <w:docPartObj>
        <w:docPartGallery w:val="Page Numbers (Bottom of Page)"/>
        <w:docPartUnique/>
      </w:docPartObj>
    </w:sdtPr>
    <w:sdtEndPr/>
    <w:sdtContent>
      <w:p w14:paraId="57F4AA18" w14:textId="770E54C3" w:rsidR="001C74C2" w:rsidRPr="00AA4A8E" w:rsidRDefault="001C74C2" w:rsidP="00967957">
        <w:pPr>
          <w:pStyle w:val="Footer"/>
          <w:tabs>
            <w:tab w:val="clear" w:pos="4513"/>
            <w:tab w:val="clear" w:pos="9026"/>
            <w:tab w:val="center" w:pos="4536"/>
            <w:tab w:val="right" w:pos="9072"/>
          </w:tabs>
        </w:pPr>
        <w:r w:rsidRPr="009B2942">
          <w:t>ndis.gov.au</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5078"/>
      <w:docPartObj>
        <w:docPartGallery w:val="Page Numbers (Bottom of Page)"/>
        <w:docPartUnique/>
      </w:docPartObj>
    </w:sdtPr>
    <w:sdtEndPr/>
    <w:sdtContent>
      <w:p w14:paraId="2F530E20" w14:textId="159243ED" w:rsidR="009B5EFC" w:rsidRPr="00821A87" w:rsidRDefault="009B5EFC" w:rsidP="00AA4A8E">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6493696"/>
      <w:docPartObj>
        <w:docPartGallery w:val="Page Numbers (Bottom of Page)"/>
        <w:docPartUnique/>
      </w:docPartObj>
    </w:sdtPr>
    <w:sdtEndPr/>
    <w:sdtContent>
      <w:p w14:paraId="4B7996DB" w14:textId="1FA2E6E5" w:rsidR="000E49AD" w:rsidRPr="00AA4A8E" w:rsidRDefault="000E49AD"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2282403"/>
      <w:docPartObj>
        <w:docPartGallery w:val="Page Numbers (Bottom of Page)"/>
        <w:docPartUnique/>
      </w:docPartObj>
    </w:sdtPr>
    <w:sdtEndPr/>
    <w:sdtContent>
      <w:p w14:paraId="73DDBDA8" w14:textId="742CFE71" w:rsidR="00CD66A8" w:rsidRPr="00821A87" w:rsidRDefault="00CD66A8" w:rsidP="00AA4A8E">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5066154"/>
      <w:docPartObj>
        <w:docPartGallery w:val="Page Numbers (Bottom of Page)"/>
        <w:docPartUnique/>
      </w:docPartObj>
    </w:sdtPr>
    <w:sdtEndPr/>
    <w:sdtContent>
      <w:p w14:paraId="1240214D" w14:textId="2FDF76DB" w:rsidR="009C694D" w:rsidRPr="00AA4A8E" w:rsidRDefault="009C694D"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642550"/>
      <w:docPartObj>
        <w:docPartGallery w:val="Page Numbers (Bottom of Page)"/>
        <w:docPartUnique/>
      </w:docPartObj>
    </w:sdtPr>
    <w:sdtEndPr/>
    <w:sdtContent>
      <w:p w14:paraId="1FA82069" w14:textId="1AB13768" w:rsidR="00A554D1" w:rsidRPr="00AA4A8E" w:rsidRDefault="00A554D1" w:rsidP="00967957">
        <w:pPr>
          <w:pStyle w:val="Footer"/>
          <w:tabs>
            <w:tab w:val="clear" w:pos="4513"/>
            <w:tab w:val="clear" w:pos="9026"/>
            <w:tab w:val="center" w:pos="4536"/>
            <w:tab w:val="right" w:pos="9072"/>
          </w:tabs>
        </w:pPr>
        <w:r w:rsidRPr="009B2942">
          <w:t>ndis.gov.au</w:t>
        </w:r>
        <w:r>
          <w:t xml:space="preserve"> </w:t>
        </w:r>
        <w:r>
          <w:tab/>
        </w:r>
        <w:r w:rsidRPr="009B2942">
          <w:tab/>
        </w:r>
        <w:r w:rsidRPr="009B2942">
          <w:fldChar w:fldCharType="begin"/>
        </w:r>
        <w:r w:rsidRPr="009B2942">
          <w:instrText xml:space="preserve"> PAGE </w:instrText>
        </w:r>
        <w:r w:rsidRPr="009B2942">
          <w:fldChar w:fldCharType="separate"/>
        </w:r>
        <w:r>
          <w:t>2</w:t>
        </w:r>
        <w:r w:rsidRPr="009B294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3541A" w14:textId="77777777" w:rsidR="00EA133B" w:rsidRDefault="00EA133B" w:rsidP="00767166">
      <w:pPr>
        <w:spacing w:after="0"/>
      </w:pPr>
      <w:r>
        <w:separator/>
      </w:r>
    </w:p>
  </w:footnote>
  <w:footnote w:type="continuationSeparator" w:id="0">
    <w:p w14:paraId="1A00B8CE" w14:textId="77777777" w:rsidR="00EA133B" w:rsidRDefault="00EA133B" w:rsidP="00042A45">
      <w:r>
        <w:continuationSeparator/>
      </w:r>
    </w:p>
    <w:p w14:paraId="28BE83DD" w14:textId="77777777" w:rsidR="00EA133B" w:rsidRDefault="00EA133B" w:rsidP="00042A45"/>
    <w:p w14:paraId="2FD584A3" w14:textId="77777777" w:rsidR="00EA133B" w:rsidRDefault="00EA133B" w:rsidP="00042A45"/>
    <w:p w14:paraId="2D4E2267" w14:textId="77777777" w:rsidR="00EA133B" w:rsidRDefault="00EA133B" w:rsidP="00042A45"/>
    <w:p w14:paraId="298AA44F" w14:textId="77777777" w:rsidR="00EA133B" w:rsidRDefault="00EA133B" w:rsidP="00042A45"/>
    <w:p w14:paraId="46CE2AD6" w14:textId="77777777" w:rsidR="00EA133B" w:rsidRDefault="00EA133B" w:rsidP="00042A45"/>
    <w:p w14:paraId="6E4E4029" w14:textId="77777777" w:rsidR="00EA133B" w:rsidRDefault="00EA133B" w:rsidP="00042A45"/>
    <w:p w14:paraId="4B005EBA" w14:textId="77777777" w:rsidR="00EA133B" w:rsidRDefault="00EA133B" w:rsidP="00042A45"/>
    <w:p w14:paraId="683EECE5" w14:textId="77777777" w:rsidR="00EA133B" w:rsidRDefault="00EA133B" w:rsidP="00042A45"/>
    <w:p w14:paraId="5112F989" w14:textId="77777777" w:rsidR="00EA133B" w:rsidRDefault="00EA133B" w:rsidP="00042A45"/>
    <w:p w14:paraId="5FFBEFA2" w14:textId="77777777" w:rsidR="00EA133B" w:rsidRDefault="00EA133B" w:rsidP="00042A45"/>
  </w:footnote>
  <w:footnote w:type="continuationNotice" w:id="1">
    <w:p w14:paraId="2A4360D7" w14:textId="77777777" w:rsidR="00EA133B" w:rsidRDefault="00EA133B">
      <w:pPr>
        <w:spacing w:after="0" w:line="240" w:lineRule="auto"/>
      </w:pPr>
    </w:p>
  </w:footnote>
  <w:footnote w:id="2">
    <w:p w14:paraId="4483DC2D" w14:textId="0BA6DE4B" w:rsidR="00EE4A81" w:rsidRPr="002E4564" w:rsidRDefault="00EE4A81" w:rsidP="00EE4A81">
      <w:pPr>
        <w:rPr>
          <w:sz w:val="18"/>
          <w:szCs w:val="18"/>
          <w:lang w:val="en-GB"/>
        </w:rPr>
      </w:pPr>
      <w:r w:rsidRPr="002E4564">
        <w:rPr>
          <w:rStyle w:val="FootnoteReference"/>
          <w:sz w:val="18"/>
          <w:szCs w:val="18"/>
        </w:rPr>
        <w:footnoteRef/>
      </w:r>
      <w:r w:rsidRPr="002E4564">
        <w:rPr>
          <w:sz w:val="18"/>
          <w:szCs w:val="18"/>
        </w:rPr>
        <w:t xml:space="preserve"> </w:t>
      </w:r>
      <w:hyperlink r:id="rId1" w:history="1">
        <w:r w:rsidR="00BE0BD5">
          <w:rPr>
            <w:rStyle w:val="Hyperlink"/>
            <w:sz w:val="18"/>
            <w:szCs w:val="18"/>
          </w:rPr>
          <w:t>Department of Social Services Corporate Plan 2023–24.</w:t>
        </w:r>
      </w:hyperlink>
    </w:p>
  </w:footnote>
  <w:footnote w:id="3">
    <w:p w14:paraId="2BEB070E" w14:textId="52FE4008" w:rsidR="000D3DCF" w:rsidRDefault="000D3DCF" w:rsidP="00AB231D">
      <w:pPr>
        <w:pStyle w:val="FootnoteText"/>
      </w:pPr>
      <w:r>
        <w:rPr>
          <w:rStyle w:val="FootnoteReference"/>
        </w:rPr>
        <w:footnoteRef/>
      </w:r>
      <w:r>
        <w:t xml:space="preserve"> </w:t>
      </w:r>
      <w:r w:rsidRPr="009B5C0D">
        <w:rPr>
          <w:sz w:val="18"/>
          <w:szCs w:val="18"/>
        </w:rPr>
        <w:t xml:space="preserve">The method for jurisdictional reporting to accommodate the </w:t>
      </w:r>
      <w:r w:rsidRPr="009B5C0D">
        <w:rPr>
          <w:rStyle w:val="ui-provider"/>
          <w:sz w:val="18"/>
          <w:szCs w:val="18"/>
        </w:rPr>
        <w:t xml:space="preserve">smaller sample sizes within the Australian Capital Territory uses the top </w:t>
      </w:r>
      <w:r>
        <w:rPr>
          <w:rStyle w:val="ui-provider"/>
          <w:sz w:val="18"/>
          <w:szCs w:val="18"/>
        </w:rPr>
        <w:t>4</w:t>
      </w:r>
      <w:r w:rsidRPr="009B5C0D">
        <w:rPr>
          <w:rStyle w:val="ui-provider"/>
          <w:sz w:val="18"/>
          <w:szCs w:val="18"/>
        </w:rPr>
        <w:t xml:space="preserve"> deciles and bottom </w:t>
      </w:r>
      <w:r w:rsidR="0030168A">
        <w:rPr>
          <w:rStyle w:val="ui-provider"/>
          <w:sz w:val="18"/>
          <w:szCs w:val="18"/>
        </w:rPr>
        <w:t>4</w:t>
      </w:r>
      <w:r w:rsidRPr="009B5C0D">
        <w:rPr>
          <w:rStyle w:val="ui-provider"/>
          <w:sz w:val="18"/>
          <w:szCs w:val="18"/>
        </w:rPr>
        <w:t xml:space="preserve"> deciles.</w:t>
      </w:r>
    </w:p>
  </w:footnote>
  <w:footnote w:id="4">
    <w:p w14:paraId="727A759B" w14:textId="052AECAD" w:rsidR="000D3DCF" w:rsidRDefault="000D3DCF" w:rsidP="007145B8">
      <w:pPr>
        <w:pStyle w:val="FootnoteText"/>
      </w:pPr>
      <w:r>
        <w:rPr>
          <w:rStyle w:val="FootnoteReference"/>
        </w:rPr>
        <w:footnoteRef/>
      </w:r>
      <w:r>
        <w:t xml:space="preserve"> 17 of 20 PSG timeframes available for the 2022-23 financial year</w:t>
      </w:r>
      <w:r w:rsidR="00A10EFC">
        <w:t>.</w:t>
      </w:r>
    </w:p>
  </w:footnote>
  <w:footnote w:id="5">
    <w:p w14:paraId="57A53FD1" w14:textId="17440696" w:rsidR="00E85C37" w:rsidRPr="00C27C63" w:rsidRDefault="00E85C37" w:rsidP="00E85C37">
      <w:pPr>
        <w:pStyle w:val="FootnoteText"/>
      </w:pPr>
      <w:r w:rsidRPr="00C27C63">
        <w:rPr>
          <w:rStyle w:val="FootnoteReference"/>
          <w:sz w:val="20"/>
          <w:szCs w:val="20"/>
        </w:rPr>
        <w:footnoteRef/>
      </w:r>
      <w:r w:rsidRPr="00C27C63">
        <w:t xml:space="preserve"> </w:t>
      </w:r>
      <w:r w:rsidR="00AF2B54" w:rsidRPr="00223777">
        <w:t>Minister for the Department of Social Services</w:t>
      </w:r>
      <w:r w:rsidR="00AF2B54">
        <w:t xml:space="preserve"> (28 April 2023)</w:t>
      </w:r>
      <w:r w:rsidR="00AF2B54" w:rsidRPr="00223777">
        <w:t xml:space="preserve"> </w:t>
      </w:r>
      <w:hyperlink r:id="rId2" w:history="1">
        <w:r w:rsidR="00AF2B54" w:rsidRPr="00650775">
          <w:rPr>
            <w:rStyle w:val="Hyperlink"/>
            <w:i/>
            <w:iCs/>
          </w:rPr>
          <w:t>National Cabinet commits to a sustainable NDIS</w:t>
        </w:r>
      </w:hyperlink>
      <w:r w:rsidR="00AF2B54" w:rsidRPr="00650775">
        <w:rPr>
          <w:rStyle w:val="Hyperlink"/>
          <w:color w:val="auto"/>
          <w:u w:val="none"/>
        </w:rPr>
        <w:t xml:space="preserve"> </w:t>
      </w:r>
      <w:r w:rsidR="00AF2B54">
        <w:rPr>
          <w:rStyle w:val="Hyperlink"/>
          <w:color w:val="auto"/>
          <w:u w:val="none"/>
        </w:rPr>
        <w:t>[</w:t>
      </w:r>
      <w:r w:rsidR="00AF2B54" w:rsidRPr="00650775">
        <w:rPr>
          <w:rStyle w:val="Hyperlink"/>
          <w:color w:val="auto"/>
          <w:u w:val="none"/>
        </w:rPr>
        <w:t>media release</w:t>
      </w:r>
      <w:r w:rsidR="00AF2B54">
        <w:rPr>
          <w:rStyle w:val="Hyperlink"/>
          <w:color w:val="auto"/>
          <w:u w:val="none"/>
        </w:rPr>
        <w:t>]</w:t>
      </w:r>
      <w:r w:rsidR="00AF2B54" w:rsidRPr="00650775">
        <w:rPr>
          <w:rStyle w:val="Hyperlink"/>
          <w:color w:val="auto"/>
          <w:u w:val="none"/>
        </w:rPr>
        <w:t xml:space="preserve">, </w:t>
      </w:r>
      <w:r w:rsidR="00AF2B54">
        <w:rPr>
          <w:rStyle w:val="Hyperlink"/>
          <w:color w:val="auto"/>
          <w:u w:val="none"/>
        </w:rPr>
        <w:t>Australian Government</w:t>
      </w:r>
      <w:r w:rsidR="00AF2B54" w:rsidRPr="00650775">
        <w:rPr>
          <w:rStyle w:val="Hyperlink"/>
          <w:color w:val="auto"/>
          <w:u w:val="none"/>
        </w:rPr>
        <w:t>.</w:t>
      </w:r>
    </w:p>
  </w:footnote>
  <w:footnote w:id="6">
    <w:p w14:paraId="1B9283C9" w14:textId="035249A9" w:rsidR="00850FCB" w:rsidRPr="00C27C63" w:rsidRDefault="00850FCB" w:rsidP="00850FCB">
      <w:pPr>
        <w:pStyle w:val="FootnoteText"/>
        <w:rPr>
          <w:rFonts w:asciiTheme="minorHAnsi" w:hAnsiTheme="minorHAnsi"/>
          <w:kern w:val="2"/>
          <w:lang w:eastAsia="en-US" w:bidi="th-TH"/>
          <w14:ligatures w14:val="standardContextual"/>
        </w:rPr>
      </w:pPr>
      <w:r w:rsidRPr="00C27C63">
        <w:rPr>
          <w:rStyle w:val="FootnoteReference"/>
          <w:sz w:val="20"/>
          <w:szCs w:val="20"/>
        </w:rPr>
        <w:footnoteRef/>
      </w:r>
      <w:r w:rsidRPr="00C27C63">
        <w:t xml:space="preserve"> </w:t>
      </w:r>
      <w:r w:rsidR="00AF2B54">
        <w:t xml:space="preserve">Australian Government (14 May 2024) </w:t>
      </w:r>
      <w:hyperlink r:id="rId3" w:history="1">
        <w:r w:rsidR="00AF2B54" w:rsidRPr="00650775">
          <w:rPr>
            <w:rStyle w:val="Hyperlink"/>
            <w:i/>
            <w:iCs/>
          </w:rPr>
          <w:t>Budget Paper No. 2</w:t>
        </w:r>
      </w:hyperlink>
      <w:r w:rsidR="00AF2B54">
        <w:rPr>
          <w:rStyle w:val="Hyperlink"/>
          <w:color w:val="auto"/>
          <w:u w:val="none"/>
        </w:rPr>
        <w:t xml:space="preserve">, Commonwealth of Australia, </w:t>
      </w:r>
      <w:r w:rsidR="00AF2B54" w:rsidRPr="00650775">
        <w:rPr>
          <w:rStyle w:val="Hyperlink"/>
          <w:color w:val="auto"/>
          <w:u w:val="none"/>
        </w:rPr>
        <w:t>p</w:t>
      </w:r>
      <w:r w:rsidR="00AF2B54">
        <w:rPr>
          <w:rStyle w:val="Hyperlink"/>
          <w:color w:val="auto"/>
          <w:u w:val="none"/>
        </w:rPr>
        <w:t xml:space="preserve">. </w:t>
      </w:r>
      <w:r w:rsidR="00AF2B54" w:rsidRPr="00650775">
        <w:rPr>
          <w:rStyle w:val="Hyperlink"/>
          <w:color w:val="auto"/>
          <w:u w:val="none"/>
        </w:rPr>
        <w:t>172</w:t>
      </w:r>
      <w:r w:rsidR="00AF2B54">
        <w:rPr>
          <w:rStyle w:val="Hyperlink"/>
          <w:color w:val="auto"/>
          <w:u w:val="none"/>
        </w:rPr>
        <w:t>.</w:t>
      </w:r>
    </w:p>
  </w:footnote>
  <w:footnote w:id="7">
    <w:p w14:paraId="466B5DA8" w14:textId="71541C4E" w:rsidR="00850FCB" w:rsidRPr="00C27C63" w:rsidRDefault="00850FCB" w:rsidP="00850FCB">
      <w:pPr>
        <w:pStyle w:val="FootnoteText"/>
      </w:pPr>
      <w:r w:rsidRPr="00C27C63">
        <w:rPr>
          <w:rStyle w:val="FootnoteReference"/>
          <w:sz w:val="20"/>
          <w:szCs w:val="20"/>
        </w:rPr>
        <w:footnoteRef/>
      </w:r>
      <w:r w:rsidRPr="00C27C63">
        <w:t xml:space="preserve"> </w:t>
      </w:r>
      <w:r w:rsidR="00AF2B54">
        <w:t xml:space="preserve">Parliament of Australia (2024) </w:t>
      </w:r>
      <w:hyperlink r:id="rId4" w:history="1">
        <w:r w:rsidR="00AF2B54" w:rsidRPr="00C27C63">
          <w:rPr>
            <w:rStyle w:val="Hyperlink"/>
            <w:color w:val="0000FF"/>
          </w:rPr>
          <w:t>National Disability Insurance Scheme Amendment (Getting the NDIS Back on Track No. 1) Bill 2024</w:t>
        </w:r>
      </w:hyperlink>
      <w:r w:rsidR="00AF2B54">
        <w:t>, APH website.</w:t>
      </w:r>
    </w:p>
  </w:footnote>
  <w:footnote w:id="8">
    <w:p w14:paraId="65CE15C9" w14:textId="42CEDB5C" w:rsidR="00E85C37" w:rsidRPr="00C27C63" w:rsidRDefault="00E85C37" w:rsidP="00E85C37">
      <w:pPr>
        <w:pStyle w:val="FootnoteText"/>
      </w:pPr>
      <w:r w:rsidRPr="00C27C63">
        <w:rPr>
          <w:rStyle w:val="FootnoteReference"/>
          <w:sz w:val="20"/>
          <w:szCs w:val="20"/>
        </w:rPr>
        <w:footnoteRef/>
      </w:r>
      <w:r w:rsidRPr="00C27C63">
        <w:t xml:space="preserve"> </w:t>
      </w:r>
      <w:r w:rsidR="00AF2B54">
        <w:t>National Disability Insurance Scheme (18 February 2024)</w:t>
      </w:r>
      <w:r w:rsidR="00AF2B54" w:rsidRPr="00C27C63">
        <w:t xml:space="preserve"> </w:t>
      </w:r>
      <w:hyperlink r:id="rId5" w:tgtFrame="_blank" w:history="1">
        <w:r w:rsidR="00AF2B54" w:rsidRPr="00650775">
          <w:rPr>
            <w:rStyle w:val="Hyperlink"/>
            <w:i/>
            <w:iCs/>
          </w:rPr>
          <w:t>Reinforcing</w:t>
        </w:r>
      </w:hyperlink>
      <w:r w:rsidR="00AF2B54" w:rsidRPr="00650775">
        <w:rPr>
          <w:rStyle w:val="Hyperlink"/>
          <w:i/>
          <w:iCs/>
        </w:rPr>
        <w:t xml:space="preserve"> a sustainable, honest, and trustworthy NDIS</w:t>
      </w:r>
      <w:r w:rsidR="00AF2B54" w:rsidRPr="00650775">
        <w:rPr>
          <w:rStyle w:val="Hyperlink"/>
          <w:color w:val="auto"/>
          <w:u w:val="none"/>
        </w:rPr>
        <w:t xml:space="preserve">, </w:t>
      </w:r>
      <w:r w:rsidR="00AF2B54">
        <w:rPr>
          <w:rStyle w:val="Hyperlink"/>
          <w:color w:val="auto"/>
          <w:u w:val="none"/>
        </w:rPr>
        <w:t>NDIS website.</w:t>
      </w:r>
    </w:p>
  </w:footnote>
  <w:footnote w:id="9">
    <w:p w14:paraId="6F195E87" w14:textId="14C225FA" w:rsidR="00850FCB" w:rsidRDefault="00850FCB" w:rsidP="00850FCB">
      <w:pPr>
        <w:pStyle w:val="FootnoteText"/>
      </w:pPr>
      <w:r>
        <w:rPr>
          <w:rStyle w:val="FootnoteReference"/>
        </w:rPr>
        <w:footnoteRef/>
      </w:r>
      <w:r>
        <w:t xml:space="preserve"> </w:t>
      </w:r>
      <w:r w:rsidR="001708A8">
        <w:t xml:space="preserve">NDIS </w:t>
      </w:r>
      <w:r>
        <w:t>expenses relate to the payments made for participant supports and do not include operating expenses. Expenses on an accrual basis are</w:t>
      </w:r>
      <w:r w:rsidRPr="00921CFB">
        <w:t xml:space="preserve"> based on when the service was provided to the participant</w:t>
      </w:r>
      <w:r w:rsidR="003F6313">
        <w:t>,</w:t>
      </w:r>
      <w:r w:rsidRPr="00921CFB">
        <w:t xml:space="preserve"> recognising some services are paid f</w:t>
      </w:r>
      <w:r>
        <w:t>or after the end of the period.</w:t>
      </w:r>
    </w:p>
  </w:footnote>
  <w:footnote w:id="10">
    <w:p w14:paraId="7A856809" w14:textId="29B56E48" w:rsidR="00850FCB" w:rsidRDefault="00850FCB" w:rsidP="00850FCB">
      <w:pPr>
        <w:pStyle w:val="FootnoteText"/>
      </w:pPr>
      <w:r>
        <w:rPr>
          <w:rStyle w:val="FootnoteReference"/>
        </w:rPr>
        <w:footnoteRef/>
      </w:r>
      <w:r>
        <w:t xml:space="preserve"> Changes in circumstances include a deterioration in functioning, change in family/carer circumstances, </w:t>
      </w:r>
      <w:r w:rsidR="009622C1">
        <w:t xml:space="preserve">and </w:t>
      </w:r>
      <w:r>
        <w:t xml:space="preserve">need for </w:t>
      </w:r>
      <w:r w:rsidR="00AF2B54">
        <w:t>s</w:t>
      </w:r>
      <w:r>
        <w:t xml:space="preserve">upported </w:t>
      </w:r>
      <w:r w:rsidR="00AF2B54">
        <w:t>i</w:t>
      </w:r>
      <w:r>
        <w:t xml:space="preserve">ndependent </w:t>
      </w:r>
      <w:r w:rsidR="00AF2B54">
        <w:t>l</w:t>
      </w:r>
      <w:r>
        <w:t xml:space="preserve">iving supports.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44132" w14:textId="3319AF2A" w:rsidR="00925EAF" w:rsidRDefault="00AA4A8E" w:rsidP="009B2942">
    <w:pPr>
      <w:pStyle w:val="Header"/>
      <w:spacing w:before="0" w:after="200"/>
    </w:pPr>
    <w:r>
      <w:rPr>
        <w:noProof/>
      </w:rPr>
      <mc:AlternateContent>
        <mc:Choice Requires="wps">
          <w:drawing>
            <wp:anchor distT="0" distB="0" distL="114300" distR="114300" simplePos="0" relativeHeight="251658244" behindDoc="0" locked="0" layoutInCell="1" allowOverlap="1" wp14:anchorId="19D41FC3" wp14:editId="79D33BFA">
              <wp:simplePos x="0" y="0"/>
              <wp:positionH relativeFrom="column">
                <wp:posOffset>0</wp:posOffset>
              </wp:positionH>
              <wp:positionV relativeFrom="paragraph">
                <wp:posOffset>1123950</wp:posOffset>
              </wp:positionV>
              <wp:extent cx="1828800" cy="1828800"/>
              <wp:effectExtent l="800100" t="1123950" r="783590" b="1132205"/>
              <wp:wrapNone/>
              <wp:docPr id="1181219577" name="Text Box 1"/>
              <wp:cNvGraphicFramePr/>
              <a:graphic xmlns:a="http://schemas.openxmlformats.org/drawingml/2006/main">
                <a:graphicData uri="http://schemas.microsoft.com/office/word/2010/wordprocessingShape">
                  <wps:wsp>
                    <wps:cNvSpPr txBox="1"/>
                    <wps:spPr>
                      <a:xfrm rot="19622604">
                        <a:off x="0" y="0"/>
                        <a:ext cx="1828800" cy="1828800"/>
                      </a:xfrm>
                      <a:prstGeom prst="rect">
                        <a:avLst/>
                      </a:prstGeom>
                      <a:noFill/>
                      <a:ln>
                        <a:noFill/>
                      </a:ln>
                    </wps:spPr>
                    <wps:txbx>
                      <w:txbxContent>
                        <w:p w14:paraId="5E8F2FC0" w14:textId="77777777" w:rsidR="00AA4A8E" w:rsidRPr="00AA4A8E" w:rsidRDefault="00AA4A8E" w:rsidP="00AA4A8E">
                          <w:pPr>
                            <w:pStyle w:val="Datatable"/>
                            <w:spacing w:before="800" w:after="200"/>
                            <w:rPr>
                              <w:rFonts w:eastAsia="Times New Roman" w:cs="Times New Roman"/>
                              <w:b/>
                              <w:outline/>
                              <w:color w:val="6B2876" w:themeColor="accent5"/>
                              <w:spacing w:val="0"/>
                              <w:sz w:val="72"/>
                              <w:szCs w:val="7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lumMod w14:val="40000"/>
                                    <w14:lumOff w14:val="60000"/>
                                  </w14:schemeClr>
                                </w14:solidFill>
                                <w14:prstDash w14:val="solid"/>
                                <w14:round/>
                              </w14:textOutline>
                              <w14:textFill>
                                <w14:noFill/>
                              </w14:textFill>
                            </w:rPr>
                          </w:pPr>
                          <w:r w:rsidRPr="00AA4A8E">
                            <w:rPr>
                              <w:rFonts w:eastAsia="Times New Roman" w:cs="Times New Roman"/>
                              <w:b/>
                              <w:outline/>
                              <w:color w:val="6B2876" w:themeColor="accent5"/>
                              <w:spacing w:val="0"/>
                              <w:sz w:val="72"/>
                              <w:szCs w:val="7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lumMod w14:val="40000"/>
                                    <w14:lumOff w14:val="60000"/>
                                  </w14:schemeClr>
                                </w14:solidFill>
                                <w14:prstDash w14:val="solid"/>
                                <w14:round/>
                              </w14:textOutline>
                              <w14:textFill>
                                <w14:noFill/>
                              </w14:textFill>
                            </w:rPr>
                            <w:t>Contents of this report are confidential until all governance approvals are obtained and the document is tabled in Parliament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9D41FC3" id="_x0000_t202" coordsize="21600,21600" o:spt="202" path="m,l,21600r21600,l21600,xe">
              <v:stroke joinstyle="miter"/>
              <v:path gradientshapeok="t" o:connecttype="rect"/>
            </v:shapetype>
            <v:shape id="Text Box 1" o:spid="_x0000_s1026" type="#_x0000_t202" style="position:absolute;left:0;text-align:left;margin-left:0;margin-top:88.5pt;width:2in;height:2in;rotation:-2159844fd;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" filled="f" stroked="f">
              <v:textbox style="mso-fit-shape-to-text:t">
                <w:txbxContent>
                  <w:p w14:paraId="5E8F2FC0" w14:textId="77777777" w:rsidR="00AA4A8E" w:rsidRPr="00AA4A8E" w:rsidRDefault="00AA4A8E" w:rsidP="00AA4A8E">
                    <w:pPr>
                      <w:pStyle w:val="Datatable"/>
                      <w:spacing w:before="800" w:after="200"/>
                      <w:rPr>
                        <w:rFonts w:eastAsia="Times New Roman" w:cs="Times New Roman"/>
                        <w:b/>
                        <w:outline/>
                        <w:color w:val="6B2876" w:themeColor="accent5"/>
                        <w:spacing w:val="0"/>
                        <w:sz w:val="72"/>
                        <w:szCs w:val="7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lumMod w14:val="40000"/>
                              <w14:lumOff w14:val="60000"/>
                            </w14:schemeClr>
                          </w14:solidFill>
                          <w14:prstDash w14:val="solid"/>
                          <w14:round/>
                        </w14:textOutline>
                        <w14:textFill>
                          <w14:noFill/>
                        </w14:textFill>
                      </w:rPr>
                    </w:pPr>
                    <w:r w:rsidRPr="00AA4A8E">
                      <w:rPr>
                        <w:rFonts w:eastAsia="Times New Roman" w:cs="Times New Roman"/>
                        <w:b/>
                        <w:outline/>
                        <w:color w:val="6B2876" w:themeColor="accent5"/>
                        <w:spacing w:val="0"/>
                        <w:sz w:val="72"/>
                        <w:szCs w:val="7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lumMod w14:val="40000"/>
                              <w14:lumOff w14:val="60000"/>
                            </w14:schemeClr>
                          </w14:solidFill>
                          <w14:prstDash w14:val="solid"/>
                          <w14:round/>
                        </w14:textOutline>
                        <w14:textFill>
                          <w14:noFill/>
                        </w14:textFill>
                      </w:rPr>
                      <w:t>Contents of this report are confidential until all governance approvals are obtained and the document is tabled in Parliament</w:t>
                    </w:r>
                  </w:p>
                </w:txbxContent>
              </v:textbox>
            </v:shape>
          </w:pict>
        </mc:Fallback>
      </mc:AlternateContent>
    </w:r>
    <w:r w:rsidR="00925EAF">
      <w:rPr>
        <w:noProof/>
      </w:rPr>
      <mc:AlternateContent>
        <mc:Choice Requires="wps">
          <w:drawing>
            <wp:anchor distT="0" distB="0" distL="114300" distR="114300" simplePos="0" relativeHeight="251658240" behindDoc="0" locked="0" layoutInCell="1" allowOverlap="1" wp14:anchorId="4DA35CBA" wp14:editId="426552F4">
              <wp:simplePos x="0" y="0"/>
              <wp:positionH relativeFrom="column">
                <wp:posOffset>-1083945</wp:posOffset>
              </wp:positionH>
              <wp:positionV relativeFrom="paragraph">
                <wp:posOffset>-354965</wp:posOffset>
              </wp:positionV>
              <wp:extent cx="12600000" cy="180000"/>
              <wp:effectExtent l="0" t="0" r="0" b="0"/>
              <wp:wrapNone/>
              <wp:docPr id="815973906" name="Rectangle 815973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F20D9" id="Rectangle 815973906" o:spid="_x0000_s1026" alt="&quot;&quot;" style="position:absolute;margin-left:-85.35pt;margin-top:-27.95pt;width:992.1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r w:rsidR="00925EAF" w:rsidRPr="003F2DA2">
      <w:t xml:space="preserve">OFFICIAL: </w:t>
    </w:r>
    <w:r w:rsidR="00925EAF" w:rsidRPr="00664E61">
      <w:t>SENSITIVE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50333" w14:textId="7322C00E" w:rsidR="003F2634" w:rsidRPr="00AA02E5" w:rsidRDefault="00AA02E5" w:rsidP="00AA02E5">
    <w:pPr>
      <w:rPr>
        <w:rFonts w:cs="Arial"/>
      </w:rPr>
    </w:pPr>
    <w:r w:rsidRPr="00AA02E5">
      <w:rPr>
        <w:noProof/>
      </w:rPr>
      <mc:AlternateContent>
        <mc:Choice Requires="wps">
          <w:drawing>
            <wp:anchor distT="0" distB="0" distL="114300" distR="114300" simplePos="0" relativeHeight="251670543" behindDoc="0" locked="0" layoutInCell="1" allowOverlap="1" wp14:anchorId="172ED851" wp14:editId="6EE92BF9">
              <wp:simplePos x="0" y="0"/>
              <wp:positionH relativeFrom="column">
                <wp:posOffset>-856557</wp:posOffset>
              </wp:positionH>
              <wp:positionV relativeFrom="paragraph">
                <wp:posOffset>-342900</wp:posOffset>
              </wp:positionV>
              <wp:extent cx="7920000" cy="180000"/>
              <wp:effectExtent l="0" t="0" r="5080" b="0"/>
              <wp:wrapNone/>
              <wp:docPr id="2003453781" name="Rectangle 20034537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2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B8671" id="Rectangle 2003453781" o:spid="_x0000_s1026" alt="&quot;&quot;" style="position:absolute;margin-left:-67.45pt;margin-top:-27pt;width:623.6pt;height:14.15pt;z-index:251670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" fillcolor="#6b2876 [3215]" stroked="f" strokeweight="1p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7A08" w14:textId="77777777" w:rsidR="00520333" w:rsidRDefault="0052033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DFBA" w14:textId="5A0456CC" w:rsidR="00520333" w:rsidRPr="004454A5" w:rsidRDefault="006D688A" w:rsidP="006D688A">
    <w:pPr>
      <w:pStyle w:val="StatementDateHeader"/>
      <w:pBdr>
        <w:bottom w:val="none" w:sz="0" w:space="0" w:color="auto"/>
      </w:pBdr>
    </w:pPr>
    <w:r>
      <w:rPr>
        <w:noProof/>
      </w:rPr>
      <mc:AlternateContent>
        <mc:Choice Requires="wps">
          <w:drawing>
            <wp:anchor distT="0" distB="0" distL="114300" distR="114300" simplePos="0" relativeHeight="251672591" behindDoc="0" locked="0" layoutInCell="1" allowOverlap="1" wp14:anchorId="7382A4B3" wp14:editId="36F5DF6C">
              <wp:simplePos x="0" y="0"/>
              <wp:positionH relativeFrom="column">
                <wp:posOffset>-912899</wp:posOffset>
              </wp:positionH>
              <wp:positionV relativeFrom="paragraph">
                <wp:posOffset>-358140</wp:posOffset>
              </wp:positionV>
              <wp:extent cx="10800000" cy="180000"/>
              <wp:effectExtent l="0" t="0" r="1905" b="0"/>
              <wp:wrapNone/>
              <wp:docPr id="669878187" name="Rectangle 669878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8EDA1" id="Rectangle 669878187" o:spid="_x0000_s1026" alt="&quot;&quot;" style="position:absolute;margin-left:-71.9pt;margin-top:-28.2pt;width:850.4pt;height:14.15pt;z-index:251672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" fillcolor="#6b2876 [3215]" stroked="f" strokeweight="1p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46FE" w14:textId="77777777" w:rsidR="00520333" w:rsidRDefault="0052033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EBCA6" w14:textId="77777777" w:rsidR="00520333" w:rsidRDefault="0052033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A79CC" w14:textId="407C05A0" w:rsidR="00520333" w:rsidRPr="006D688A" w:rsidRDefault="006D688A" w:rsidP="006D688A">
    <w:pPr>
      <w:pStyle w:val="StatementDateHeader"/>
      <w:pBdr>
        <w:bottom w:val="none" w:sz="0" w:space="0" w:color="auto"/>
      </w:pBdr>
      <w:rPr>
        <w:rFonts w:cs="Arial"/>
        <w:bCs/>
        <w:i w:val="0"/>
        <w:iCs/>
        <w:szCs w:val="24"/>
      </w:rPr>
    </w:pPr>
    <w:r>
      <w:rPr>
        <w:noProof/>
      </w:rPr>
      <mc:AlternateContent>
        <mc:Choice Requires="wps">
          <w:drawing>
            <wp:anchor distT="0" distB="0" distL="114300" distR="114300" simplePos="0" relativeHeight="251674639" behindDoc="0" locked="0" layoutInCell="1" allowOverlap="1" wp14:anchorId="69605438" wp14:editId="47C9684C">
              <wp:simplePos x="0" y="0"/>
              <wp:positionH relativeFrom="column">
                <wp:posOffset>-885594</wp:posOffset>
              </wp:positionH>
              <wp:positionV relativeFrom="paragraph">
                <wp:posOffset>-358140</wp:posOffset>
              </wp:positionV>
              <wp:extent cx="7920000" cy="180000"/>
              <wp:effectExtent l="0" t="0" r="5080" b="0"/>
              <wp:wrapNone/>
              <wp:docPr id="1889362874" name="Rectangle 18893628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2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41568" id="Rectangle 1889362874" o:spid="_x0000_s1026" alt="&quot;&quot;" style="position:absolute;margin-left:-69.75pt;margin-top:-28.2pt;width:623.6pt;height:14.15pt;z-index:25167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" fillcolor="#6b2876 [3215]" stroked="f" strokeweight="1p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AA9DC" w14:textId="77777777" w:rsidR="00520333" w:rsidRDefault="0052033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DC05D" w14:textId="77777777" w:rsidR="00520333" w:rsidRDefault="0052033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152A4" w14:textId="3D3FD0AE" w:rsidR="00520333" w:rsidRPr="006D688A" w:rsidRDefault="006D688A" w:rsidP="000D1B3E">
    <w:pPr>
      <w:spacing w:after="0"/>
      <w:rPr>
        <w:rFonts w:cs="Arial"/>
      </w:rPr>
    </w:pPr>
    <w:r w:rsidRPr="006D688A">
      <w:rPr>
        <w:noProof/>
      </w:rPr>
      <mc:AlternateContent>
        <mc:Choice Requires="wps">
          <w:drawing>
            <wp:anchor distT="0" distB="0" distL="114300" distR="114300" simplePos="0" relativeHeight="251676687" behindDoc="0" locked="0" layoutInCell="1" allowOverlap="1" wp14:anchorId="543568D2" wp14:editId="46986A64">
              <wp:simplePos x="0" y="0"/>
              <wp:positionH relativeFrom="column">
                <wp:posOffset>-982980</wp:posOffset>
              </wp:positionH>
              <wp:positionV relativeFrom="paragraph">
                <wp:posOffset>-342900</wp:posOffset>
              </wp:positionV>
              <wp:extent cx="7920000" cy="180000"/>
              <wp:effectExtent l="0" t="0" r="5080" b="0"/>
              <wp:wrapNone/>
              <wp:docPr id="783188007" name="Rectangle 7831880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2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54A39" id="Rectangle 783188007" o:spid="_x0000_s1026" alt="&quot;&quot;" style="position:absolute;margin-left:-77.4pt;margin-top:-27pt;width:623.6pt;height:14.15pt;z-index:251676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" fillcolor="#6b2876 [3215]" stroked="f" strokeweight="1p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5668E" w14:textId="77777777" w:rsidR="00520333" w:rsidRDefault="00520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EBD06" w14:textId="7FCA81E2" w:rsidR="00834863" w:rsidRPr="00821A87" w:rsidRDefault="00E723C3" w:rsidP="00821A87">
    <w:pPr>
      <w:pStyle w:val="Header"/>
      <w:spacing w:before="5300" w:after="1400"/>
    </w:pPr>
    <w:r>
      <w:rPr>
        <w:noProof/>
      </w:rPr>
      <w:drawing>
        <wp:anchor distT="0" distB="0" distL="114300" distR="114300" simplePos="0" relativeHeight="251658254" behindDoc="1" locked="0" layoutInCell="1" allowOverlap="1" wp14:anchorId="6891A503" wp14:editId="4E4485C7">
          <wp:simplePos x="0" y="0"/>
          <wp:positionH relativeFrom="column">
            <wp:posOffset>-911225</wp:posOffset>
          </wp:positionH>
          <wp:positionV relativeFrom="paragraph">
            <wp:posOffset>-467995</wp:posOffset>
          </wp:positionV>
          <wp:extent cx="7560000" cy="10688400"/>
          <wp:effectExtent l="0" t="0" r="3175" b="0"/>
          <wp:wrapNone/>
          <wp:docPr id="108689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953"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A0FB0" w14:textId="7EF19883" w:rsidR="009B5EFC" w:rsidRPr="00821A87" w:rsidRDefault="009B5EFC" w:rsidP="00821A87">
    <w:pPr>
      <w:pStyle w:val="Header"/>
      <w:spacing w:before="0" w:after="200"/>
    </w:pPr>
    <w:r>
      <w:rPr>
        <w:noProof/>
      </w:rPr>
      <mc:AlternateContent>
        <mc:Choice Requires="wps">
          <w:drawing>
            <wp:anchor distT="0" distB="0" distL="114300" distR="114300" simplePos="0" relativeHeight="251658246" behindDoc="0" locked="0" layoutInCell="1" allowOverlap="1" wp14:anchorId="013BBF7E" wp14:editId="1574E0EA">
              <wp:simplePos x="0" y="0"/>
              <wp:positionH relativeFrom="column">
                <wp:posOffset>-1083945</wp:posOffset>
              </wp:positionH>
              <wp:positionV relativeFrom="paragraph">
                <wp:posOffset>-354965</wp:posOffset>
              </wp:positionV>
              <wp:extent cx="12600000" cy="180000"/>
              <wp:effectExtent l="0" t="0" r="0" b="0"/>
              <wp:wrapNone/>
              <wp:docPr id="963787074" name="Rectangle 9637870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EF20A" id="Rectangle 963787074" o:spid="_x0000_s1026" alt="&quot;&quot;" style="position:absolute;margin-left:-85.35pt;margin-top:-27.95pt;width:992.15pt;height:14.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r w:rsidRPr="003F2DA2">
      <w:t xml:space="preserve">OFFICIAL: </w:t>
    </w:r>
    <w:r w:rsidRPr="00664E61">
      <w:t>SENSITIVE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3614D" w14:textId="3D04E42F" w:rsidR="00846910" w:rsidRPr="00846910" w:rsidRDefault="00846910" w:rsidP="00133885">
    <w:r>
      <w:rPr>
        <w:noProof/>
      </w:rPr>
      <mc:AlternateContent>
        <mc:Choice Requires="wps">
          <w:drawing>
            <wp:anchor distT="0" distB="0" distL="114300" distR="114300" simplePos="0" relativeHeight="251658255" behindDoc="0" locked="0" layoutInCell="1" allowOverlap="1" wp14:anchorId="61CFD76A" wp14:editId="7D87D7DE">
              <wp:simplePos x="0" y="0"/>
              <wp:positionH relativeFrom="column">
                <wp:posOffset>-1083945</wp:posOffset>
              </wp:positionH>
              <wp:positionV relativeFrom="paragraph">
                <wp:posOffset>-354965</wp:posOffset>
              </wp:positionV>
              <wp:extent cx="12600000" cy="180000"/>
              <wp:effectExtent l="0" t="0" r="0" b="0"/>
              <wp:wrapNone/>
              <wp:docPr id="754324507" name="Rectangle 754324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92C2C" id="Rectangle 754324507" o:spid="_x0000_s1026" alt="&quot;&quot;" style="position:absolute;margin-left:-85.35pt;margin-top:-27.95pt;width:992.15pt;height:14.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5A774" w14:textId="2A5BDDDE" w:rsidR="00E70ACE" w:rsidRPr="00821A87" w:rsidRDefault="00E70ACE" w:rsidP="00133885">
    <w:r>
      <w:rPr>
        <w:noProof/>
      </w:rPr>
      <mc:AlternateContent>
        <mc:Choice Requires="wps">
          <w:drawing>
            <wp:anchor distT="0" distB="0" distL="114300" distR="114300" simplePos="0" relativeHeight="251658250" behindDoc="0" locked="0" layoutInCell="1" allowOverlap="1" wp14:anchorId="6A92B368" wp14:editId="724CC075">
              <wp:simplePos x="0" y="0"/>
              <wp:positionH relativeFrom="column">
                <wp:posOffset>-924617</wp:posOffset>
              </wp:positionH>
              <wp:positionV relativeFrom="paragraph">
                <wp:posOffset>-354965</wp:posOffset>
              </wp:positionV>
              <wp:extent cx="7560000" cy="180000"/>
              <wp:effectExtent l="0" t="0" r="3175" b="0"/>
              <wp:wrapNone/>
              <wp:docPr id="1117847514" name="Rectangle 1117847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D6A3E" id="Rectangle 1117847514" o:spid="_x0000_s1026" alt="&quot;&quot;" style="position:absolute;margin-left:-72.8pt;margin-top:-27.95pt;width:595.3pt;height:14.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" fillcolor="#6b2876 [3215]" stroked="f" strokeweight="1p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05D4D" w14:textId="42AE0C0B" w:rsidR="00E70ACE" w:rsidRPr="00821A87" w:rsidRDefault="00E70ACE" w:rsidP="00133885">
    <w:r>
      <w:rPr>
        <w:noProof/>
      </w:rPr>
      <mc:AlternateContent>
        <mc:Choice Requires="wps">
          <w:drawing>
            <wp:anchor distT="0" distB="0" distL="114300" distR="114300" simplePos="0" relativeHeight="251658251" behindDoc="0" locked="0" layoutInCell="1" allowOverlap="1" wp14:anchorId="5FB7BD46" wp14:editId="5D28118E">
              <wp:simplePos x="0" y="0"/>
              <wp:positionH relativeFrom="column">
                <wp:posOffset>-1083945</wp:posOffset>
              </wp:positionH>
              <wp:positionV relativeFrom="paragraph">
                <wp:posOffset>-354965</wp:posOffset>
              </wp:positionV>
              <wp:extent cx="12600000" cy="180000"/>
              <wp:effectExtent l="0" t="0" r="0" b="0"/>
              <wp:wrapNone/>
              <wp:docPr id="1158982307" name="Rectangle 1158982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E8B9E" id="Rectangle 1158982307" o:spid="_x0000_s1026" alt="&quot;&quot;" style="position:absolute;margin-left:-85.35pt;margin-top:-27.95pt;width:992.15pt;height:14.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00237" w14:textId="0A672FF9" w:rsidR="00392276" w:rsidRPr="00392276" w:rsidRDefault="00392276" w:rsidP="00133885">
    <w:r>
      <w:rPr>
        <w:noProof/>
      </w:rPr>
      <mc:AlternateContent>
        <mc:Choice Requires="wps">
          <w:drawing>
            <wp:anchor distT="0" distB="0" distL="114300" distR="114300" simplePos="0" relativeHeight="251658243" behindDoc="0" locked="0" layoutInCell="1" allowOverlap="1" wp14:anchorId="3F08FF45" wp14:editId="7176A5BB">
              <wp:simplePos x="0" y="0"/>
              <wp:positionH relativeFrom="column">
                <wp:posOffset>-1083945</wp:posOffset>
              </wp:positionH>
              <wp:positionV relativeFrom="paragraph">
                <wp:posOffset>-354965</wp:posOffset>
              </wp:positionV>
              <wp:extent cx="12600000" cy="180000"/>
              <wp:effectExtent l="0" t="0" r="0" b="0"/>
              <wp:wrapNone/>
              <wp:docPr id="1378582076" name="Rectangle 1378582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7EC88" id="Rectangle 1378582076" o:spid="_x0000_s1026" alt="&quot;&quot;" style="position:absolute;margin-left:-85.35pt;margin-top:-27.95pt;width:992.15pt;height:1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7EE56" w14:textId="184645AC" w:rsidR="006B149D" w:rsidRPr="006B149D" w:rsidRDefault="006B149D" w:rsidP="00133885">
    <w:r>
      <w:rPr>
        <w:noProof/>
      </w:rPr>
      <mc:AlternateContent>
        <mc:Choice Requires="wps">
          <w:drawing>
            <wp:anchor distT="0" distB="0" distL="114300" distR="114300" simplePos="0" relativeHeight="251658241" behindDoc="0" locked="0" layoutInCell="1" allowOverlap="1" wp14:anchorId="52CE865C" wp14:editId="5599F0B5">
              <wp:simplePos x="0" y="0"/>
              <wp:positionH relativeFrom="column">
                <wp:posOffset>-1083945</wp:posOffset>
              </wp:positionH>
              <wp:positionV relativeFrom="paragraph">
                <wp:posOffset>-354965</wp:posOffset>
              </wp:positionV>
              <wp:extent cx="12600000" cy="180000"/>
              <wp:effectExtent l="0" t="0" r="0" b="0"/>
              <wp:wrapNone/>
              <wp:docPr id="1358653612" name="Rectangle 13586536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BA744" id="Rectangle 1358653612" o:spid="_x0000_s1026" alt="&quot;&quot;" style="position:absolute;margin-left:-85.35pt;margin-top:-27.95pt;width:992.15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4A012" w14:textId="6D31229D" w:rsidR="006B149D" w:rsidRPr="006B149D" w:rsidRDefault="006B149D" w:rsidP="00133885">
    <w:r>
      <w:rPr>
        <w:noProof/>
      </w:rPr>
      <mc:AlternateContent>
        <mc:Choice Requires="wps">
          <w:drawing>
            <wp:anchor distT="0" distB="0" distL="114300" distR="114300" simplePos="0" relativeHeight="251658242" behindDoc="0" locked="0" layoutInCell="1" allowOverlap="1" wp14:anchorId="5EA0A3AE" wp14:editId="544D76A6">
              <wp:simplePos x="0" y="0"/>
              <wp:positionH relativeFrom="column">
                <wp:posOffset>-1083945</wp:posOffset>
              </wp:positionH>
              <wp:positionV relativeFrom="paragraph">
                <wp:posOffset>-354965</wp:posOffset>
              </wp:positionV>
              <wp:extent cx="12600000" cy="180000"/>
              <wp:effectExtent l="0" t="0" r="0" b="0"/>
              <wp:wrapNone/>
              <wp:docPr id="581647501" name="Rectangle 5816475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14399" id="Rectangle 581647501" o:spid="_x0000_s1026" alt="&quot;&quot;" style="position:absolute;margin-left:-85.35pt;margin-top:-27.95pt;width:992.15pt;height:14.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6E4FE" w14:textId="0996B23D" w:rsidR="00E70ACE" w:rsidRPr="006B149D" w:rsidRDefault="00E70ACE" w:rsidP="00133885">
    <w:r>
      <w:rPr>
        <w:noProof/>
      </w:rPr>
      <mc:AlternateContent>
        <mc:Choice Requires="wps">
          <w:drawing>
            <wp:anchor distT="0" distB="0" distL="114300" distR="114300" simplePos="0" relativeHeight="251658252" behindDoc="0" locked="0" layoutInCell="1" allowOverlap="1" wp14:anchorId="498A9432" wp14:editId="7C2A56EC">
              <wp:simplePos x="0" y="0"/>
              <wp:positionH relativeFrom="column">
                <wp:posOffset>-1083945</wp:posOffset>
              </wp:positionH>
              <wp:positionV relativeFrom="paragraph">
                <wp:posOffset>-354965</wp:posOffset>
              </wp:positionV>
              <wp:extent cx="12600000" cy="180000"/>
              <wp:effectExtent l="0" t="0" r="0" b="0"/>
              <wp:wrapNone/>
              <wp:docPr id="284702660" name="Rectangle 2847026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01765" id="Rectangle 284702660" o:spid="_x0000_s1026" alt="&quot;&quot;" style="position:absolute;margin-left:-85.35pt;margin-top:-27.95pt;width:992.15pt;height:14.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7C35F" w14:textId="5CD511B2" w:rsidR="0080564E" w:rsidRPr="006B149D" w:rsidRDefault="0080564E" w:rsidP="00133885">
    <w:r>
      <w:rPr>
        <w:noProof/>
      </w:rPr>
      <mc:AlternateContent>
        <mc:Choice Requires="wps">
          <w:drawing>
            <wp:anchor distT="0" distB="0" distL="114300" distR="114300" simplePos="0" relativeHeight="251658253" behindDoc="0" locked="0" layoutInCell="1" allowOverlap="1" wp14:anchorId="7DA2AF89" wp14:editId="0F60B990">
              <wp:simplePos x="0" y="0"/>
              <wp:positionH relativeFrom="column">
                <wp:posOffset>-1083945</wp:posOffset>
              </wp:positionH>
              <wp:positionV relativeFrom="paragraph">
                <wp:posOffset>-354965</wp:posOffset>
              </wp:positionV>
              <wp:extent cx="12600000" cy="180000"/>
              <wp:effectExtent l="0" t="0" r="0" b="0"/>
              <wp:wrapNone/>
              <wp:docPr id="2084251382" name="Rectangle 20842513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6D550" id="Rectangle 2084251382" o:spid="_x0000_s1026" alt="&quot;&quot;" style="position:absolute;margin-left:-85.35pt;margin-top:-27.95pt;width:992.15pt;height:14.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568E7" w14:textId="4D6B1330" w:rsidR="00F67217" w:rsidRPr="00821A87" w:rsidRDefault="007D1B8F" w:rsidP="00BE3421">
    <w:r>
      <w:rPr>
        <w:noProof/>
      </w:rPr>
      <mc:AlternateContent>
        <mc:Choice Requires="wps">
          <w:drawing>
            <wp:anchor distT="0" distB="0" distL="114300" distR="114300" simplePos="0" relativeHeight="251678735" behindDoc="0" locked="0" layoutInCell="1" allowOverlap="1" wp14:anchorId="1FCBE8FD" wp14:editId="2C7EFCF4">
              <wp:simplePos x="0" y="0"/>
              <wp:positionH relativeFrom="column">
                <wp:posOffset>-872836</wp:posOffset>
              </wp:positionH>
              <wp:positionV relativeFrom="paragraph">
                <wp:posOffset>-339436</wp:posOffset>
              </wp:positionV>
              <wp:extent cx="7920000" cy="180000"/>
              <wp:effectExtent l="0" t="0" r="5080" b="0"/>
              <wp:wrapNone/>
              <wp:docPr id="1361034269" name="Rectangle 13610342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2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D1BA7" id="Rectangle 1361034269" o:spid="_x0000_s1026" alt="&quot;&quot;" style="position:absolute;margin-left:-68.75pt;margin-top:-26.75pt;width:623.6pt;height:14.15pt;z-index:251678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" fillcolor="#6b2876 [3215]" stroked="f"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7581" w14:textId="76D34047" w:rsidR="001C74C2" w:rsidRPr="00F67217" w:rsidRDefault="001C74C2" w:rsidP="00F67217">
    <w:r w:rsidRPr="00F67217">
      <w:rPr>
        <w:noProof/>
      </w:rPr>
      <mc:AlternateContent>
        <mc:Choice Requires="wps">
          <w:drawing>
            <wp:anchor distT="0" distB="0" distL="114300" distR="114300" simplePos="0" relativeHeight="251658247" behindDoc="0" locked="0" layoutInCell="1" allowOverlap="1" wp14:anchorId="4328DBEB" wp14:editId="2F7DC680">
              <wp:simplePos x="0" y="0"/>
              <wp:positionH relativeFrom="column">
                <wp:posOffset>-1083945</wp:posOffset>
              </wp:positionH>
              <wp:positionV relativeFrom="paragraph">
                <wp:posOffset>-354965</wp:posOffset>
              </wp:positionV>
              <wp:extent cx="12600000" cy="180000"/>
              <wp:effectExtent l="0" t="0" r="0" b="0"/>
              <wp:wrapNone/>
              <wp:docPr id="464735160" name="Rectangle 4647351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D00ED" id="Rectangle 464735160" o:spid="_x0000_s1026" alt="&quot;&quot;" style="position:absolute;margin-left:-85.35pt;margin-top:-27.95pt;width:992.15pt;height:14.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16AF5" w14:textId="5AF9C07D" w:rsidR="009B5EFC" w:rsidRPr="00821A87" w:rsidRDefault="009B5EFC" w:rsidP="00F67217">
    <w:r>
      <w:rPr>
        <w:noProof/>
      </w:rPr>
      <mc:AlternateContent>
        <mc:Choice Requires="wps">
          <w:drawing>
            <wp:anchor distT="0" distB="0" distL="114300" distR="114300" simplePos="0" relativeHeight="251658245" behindDoc="0" locked="0" layoutInCell="1" allowOverlap="1" wp14:anchorId="4D278B1C" wp14:editId="0F51FF4C">
              <wp:simplePos x="0" y="0"/>
              <wp:positionH relativeFrom="column">
                <wp:posOffset>-1083945</wp:posOffset>
              </wp:positionH>
              <wp:positionV relativeFrom="paragraph">
                <wp:posOffset>-354965</wp:posOffset>
              </wp:positionV>
              <wp:extent cx="7920000" cy="180000"/>
              <wp:effectExtent l="0" t="0" r="5080" b="0"/>
              <wp:wrapNone/>
              <wp:docPr id="1963980910" name="Rectangle 19639809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2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3C147" id="Rectangle 1963980910" o:spid="_x0000_s1026" alt="&quot;&quot;" style="position:absolute;margin-left:-85.35pt;margin-top:-27.95pt;width:623.6pt;height:14.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" fillcolor="#6b2876 [3215]" stroked="f" strokeweight="1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B9B68" w14:textId="49D28CA8" w:rsidR="000E49AD" w:rsidRDefault="000E49AD" w:rsidP="00933EF1">
    <w:r>
      <w:rPr>
        <w:noProof/>
      </w:rPr>
      <mc:AlternateContent>
        <mc:Choice Requires="wps">
          <w:drawing>
            <wp:anchor distT="0" distB="0" distL="114300" distR="114300" simplePos="0" relativeHeight="251658249" behindDoc="0" locked="0" layoutInCell="1" allowOverlap="1" wp14:anchorId="60C2FDA2" wp14:editId="5EE3B2FC">
              <wp:simplePos x="0" y="0"/>
              <wp:positionH relativeFrom="column">
                <wp:posOffset>-1083945</wp:posOffset>
              </wp:positionH>
              <wp:positionV relativeFrom="paragraph">
                <wp:posOffset>-354965</wp:posOffset>
              </wp:positionV>
              <wp:extent cx="7920000" cy="180000"/>
              <wp:effectExtent l="0" t="0" r="5080" b="0"/>
              <wp:wrapNone/>
              <wp:docPr id="1955784254" name="Rectangle 19557842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2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496F0" id="Rectangle 1955784254" o:spid="_x0000_s1026" alt="&quot;&quot;" style="position:absolute;margin-left:-85.35pt;margin-top:-27.95pt;width:623.6pt;height:14.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" fillcolor="#6b2876 [3215]" stroked="f" strokeweight="1p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63E4" w14:textId="7C5B18CD" w:rsidR="00CD66A8" w:rsidRPr="00821A87" w:rsidRDefault="00CD66A8" w:rsidP="00933EF1">
    <w:r>
      <w:rPr>
        <w:noProof/>
      </w:rPr>
      <mc:AlternateContent>
        <mc:Choice Requires="wps">
          <w:drawing>
            <wp:anchor distT="0" distB="0" distL="114300" distR="114300" simplePos="0" relativeHeight="251658248" behindDoc="0" locked="0" layoutInCell="1" allowOverlap="1" wp14:anchorId="5E631ACD" wp14:editId="56106CEC">
              <wp:simplePos x="0" y="0"/>
              <wp:positionH relativeFrom="column">
                <wp:posOffset>-1083945</wp:posOffset>
              </wp:positionH>
              <wp:positionV relativeFrom="paragraph">
                <wp:posOffset>-354965</wp:posOffset>
              </wp:positionV>
              <wp:extent cx="12600000" cy="180000"/>
              <wp:effectExtent l="0" t="0" r="0" b="0"/>
              <wp:wrapNone/>
              <wp:docPr id="1954292374" name="Rectangle 19542923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DDB25" id="Rectangle 1954292374" o:spid="_x0000_s1026" alt="&quot;&quot;" style="position:absolute;margin-left:-85.35pt;margin-top:-27.95pt;width:992.15pt;height:14.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BC716" w14:textId="77777777" w:rsidR="00520333" w:rsidRDefault="0052033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78578" w14:textId="77777777" w:rsidR="00520333" w:rsidRDefault="00520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14A5B"/>
    <w:multiLevelType w:val="hybridMultilevel"/>
    <w:tmpl w:val="B2B41D18"/>
    <w:lvl w:ilvl="0" w:tplc="633A033A">
      <w:start w:val="1"/>
      <w:numFmt w:val="lowerLetter"/>
      <w:lvlText w:val="%1)"/>
      <w:lvlJc w:val="left"/>
      <w:pPr>
        <w:ind w:left="1188" w:hanging="360"/>
      </w:pPr>
      <w:rPr>
        <w:rFonts w:ascii="Arial" w:hAnsi="Arial" w:hint="default"/>
        <w:b w:val="0"/>
        <w:i w:val="0"/>
        <w:sz w:val="18"/>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026AC"/>
    <w:multiLevelType w:val="hybridMultilevel"/>
    <w:tmpl w:val="F6E2C2FC"/>
    <w:lvl w:ilvl="0" w:tplc="16484604">
      <w:start w:val="1"/>
      <w:numFmt w:val="bullet"/>
      <w:lvlText w:val=""/>
      <w:lvlJc w:val="left"/>
      <w:pPr>
        <w:ind w:left="1390" w:hanging="360"/>
      </w:pPr>
      <w:rPr>
        <w:rFonts w:ascii="Symbol" w:hAnsi="Symbol" w:hint="default"/>
      </w:rPr>
    </w:lvl>
    <w:lvl w:ilvl="1" w:tplc="E4204F6C">
      <w:numFmt w:val="bullet"/>
      <w:lvlText w:val="•"/>
      <w:lvlJc w:val="left"/>
      <w:pPr>
        <w:ind w:left="1775" w:hanging="360"/>
      </w:pPr>
      <w:rPr>
        <w:rFonts w:ascii="Cambria" w:eastAsia="Times New Roman" w:hAnsi="Cambria" w:cs="Cambria" w:hint="default"/>
      </w:rPr>
    </w:lvl>
    <w:lvl w:ilvl="2" w:tplc="0C090005" w:tentative="1">
      <w:start w:val="1"/>
      <w:numFmt w:val="bullet"/>
      <w:lvlText w:val=""/>
      <w:lvlJc w:val="left"/>
      <w:pPr>
        <w:ind w:left="2495" w:hanging="360"/>
      </w:pPr>
      <w:rPr>
        <w:rFonts w:ascii="Wingdings" w:hAnsi="Wingdings" w:hint="default"/>
      </w:rPr>
    </w:lvl>
    <w:lvl w:ilvl="3" w:tplc="0C090001" w:tentative="1">
      <w:start w:val="1"/>
      <w:numFmt w:val="bullet"/>
      <w:lvlText w:val=""/>
      <w:lvlJc w:val="left"/>
      <w:pPr>
        <w:ind w:left="3215" w:hanging="360"/>
      </w:pPr>
      <w:rPr>
        <w:rFonts w:ascii="Symbol" w:hAnsi="Symbol" w:hint="default"/>
      </w:rPr>
    </w:lvl>
    <w:lvl w:ilvl="4" w:tplc="0C090003" w:tentative="1">
      <w:start w:val="1"/>
      <w:numFmt w:val="bullet"/>
      <w:lvlText w:val="o"/>
      <w:lvlJc w:val="left"/>
      <w:pPr>
        <w:ind w:left="3935" w:hanging="360"/>
      </w:pPr>
      <w:rPr>
        <w:rFonts w:ascii="Courier New" w:hAnsi="Courier New" w:cs="Courier New" w:hint="default"/>
      </w:rPr>
    </w:lvl>
    <w:lvl w:ilvl="5" w:tplc="0C090005" w:tentative="1">
      <w:start w:val="1"/>
      <w:numFmt w:val="bullet"/>
      <w:lvlText w:val=""/>
      <w:lvlJc w:val="left"/>
      <w:pPr>
        <w:ind w:left="4655" w:hanging="360"/>
      </w:pPr>
      <w:rPr>
        <w:rFonts w:ascii="Wingdings" w:hAnsi="Wingdings" w:hint="default"/>
      </w:rPr>
    </w:lvl>
    <w:lvl w:ilvl="6" w:tplc="0C090001" w:tentative="1">
      <w:start w:val="1"/>
      <w:numFmt w:val="bullet"/>
      <w:lvlText w:val=""/>
      <w:lvlJc w:val="left"/>
      <w:pPr>
        <w:ind w:left="5375" w:hanging="360"/>
      </w:pPr>
      <w:rPr>
        <w:rFonts w:ascii="Symbol" w:hAnsi="Symbol" w:hint="default"/>
      </w:rPr>
    </w:lvl>
    <w:lvl w:ilvl="7" w:tplc="0C090003" w:tentative="1">
      <w:start w:val="1"/>
      <w:numFmt w:val="bullet"/>
      <w:lvlText w:val="o"/>
      <w:lvlJc w:val="left"/>
      <w:pPr>
        <w:ind w:left="6095" w:hanging="360"/>
      </w:pPr>
      <w:rPr>
        <w:rFonts w:ascii="Courier New" w:hAnsi="Courier New" w:cs="Courier New" w:hint="default"/>
      </w:rPr>
    </w:lvl>
    <w:lvl w:ilvl="8" w:tplc="0C090005" w:tentative="1">
      <w:start w:val="1"/>
      <w:numFmt w:val="bullet"/>
      <w:lvlText w:val=""/>
      <w:lvlJc w:val="left"/>
      <w:pPr>
        <w:ind w:left="6815" w:hanging="360"/>
      </w:pPr>
      <w:rPr>
        <w:rFonts w:ascii="Wingdings" w:hAnsi="Wingdings" w:hint="default"/>
      </w:rPr>
    </w:lvl>
  </w:abstractNum>
  <w:abstractNum w:abstractNumId="4" w15:restartNumberingAfterBreak="0">
    <w:nsid w:val="17426766"/>
    <w:multiLevelType w:val="hybridMultilevel"/>
    <w:tmpl w:val="56E03BDC"/>
    <w:lvl w:ilvl="0" w:tplc="DDD60D9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835289"/>
    <w:multiLevelType w:val="hybridMultilevel"/>
    <w:tmpl w:val="2E3ADC8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7" w15:restartNumberingAfterBreak="0">
    <w:nsid w:val="1AD87B2A"/>
    <w:multiLevelType w:val="multilevel"/>
    <w:tmpl w:val="B72470B6"/>
    <w:lvl w:ilvl="0">
      <w:start w:val="1"/>
      <w:numFmt w:val="decimal"/>
      <w:lvlText w:val="%1."/>
      <w:lvlJc w:val="left"/>
      <w:pPr>
        <w:ind w:left="360" w:hanging="360"/>
      </w:pPr>
      <w:rPr>
        <w:rFonts w:hint="default"/>
        <w:color w:val="auto"/>
      </w:rPr>
    </w:lvl>
    <w:lvl w:ilvl="1">
      <w:start w:val="1"/>
      <w:numFmt w:val="decimal"/>
      <w:pStyle w:val="SubHeading"/>
      <w:lvlText w:val="%1.%2."/>
      <w:lvlJc w:val="left"/>
      <w:rPr>
        <w:bCs w:val="0"/>
        <w:i w:val="0"/>
        <w:iCs w:val="0"/>
        <w:caps w:val="0"/>
        <w:smallCaps w:val="0"/>
        <w:strike w:val="0"/>
        <w:dstrike w:val="0"/>
        <w:noProof w:val="0"/>
        <w:vanish w:val="0"/>
        <w:color w:val="F9F9F9"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213055FF"/>
    <w:multiLevelType w:val="hybridMultilevel"/>
    <w:tmpl w:val="AFD8A756"/>
    <w:lvl w:ilvl="0" w:tplc="310028C8">
      <w:start w:val="1"/>
      <w:numFmt w:val="bullet"/>
      <w:pStyle w:val="Bullet1"/>
      <w:lvlText w:val=""/>
      <w:lvlJc w:val="left"/>
      <w:pPr>
        <w:ind w:left="-1779" w:hanging="360"/>
      </w:pPr>
      <w:rPr>
        <w:rFonts w:ascii="Symbol" w:hAnsi="Symbol" w:hint="default"/>
      </w:rPr>
    </w:lvl>
    <w:lvl w:ilvl="1" w:tplc="08090003">
      <w:start w:val="1"/>
      <w:numFmt w:val="bullet"/>
      <w:lvlText w:val="o"/>
      <w:lvlJc w:val="left"/>
      <w:pPr>
        <w:ind w:left="-1059" w:hanging="360"/>
      </w:pPr>
      <w:rPr>
        <w:rFonts w:ascii="Courier New" w:hAnsi="Courier New" w:cs="Courier New" w:hint="default"/>
      </w:rPr>
    </w:lvl>
    <w:lvl w:ilvl="2" w:tplc="08090005">
      <w:start w:val="1"/>
      <w:numFmt w:val="bullet"/>
      <w:lvlText w:val=""/>
      <w:lvlJc w:val="left"/>
      <w:pPr>
        <w:ind w:left="-339" w:hanging="360"/>
      </w:pPr>
      <w:rPr>
        <w:rFonts w:ascii="Wingdings" w:hAnsi="Wingdings" w:hint="default"/>
      </w:rPr>
    </w:lvl>
    <w:lvl w:ilvl="3" w:tplc="08090001">
      <w:start w:val="1"/>
      <w:numFmt w:val="bullet"/>
      <w:lvlText w:val=""/>
      <w:lvlJc w:val="left"/>
      <w:pPr>
        <w:ind w:left="381" w:hanging="360"/>
      </w:pPr>
      <w:rPr>
        <w:rFonts w:ascii="Symbol" w:hAnsi="Symbol" w:hint="default"/>
      </w:rPr>
    </w:lvl>
    <w:lvl w:ilvl="4" w:tplc="08090003">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0" w15:restartNumberingAfterBreak="0">
    <w:nsid w:val="23890403"/>
    <w:multiLevelType w:val="multilevel"/>
    <w:tmpl w:val="2ED64E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284E03"/>
    <w:multiLevelType w:val="hybridMultilevel"/>
    <w:tmpl w:val="1220D78E"/>
    <w:lvl w:ilvl="0" w:tplc="DCC4D760">
      <w:start w:val="1"/>
      <w:numFmt w:val="bullet"/>
      <w:lvlText w:val=""/>
      <w:lvlJc w:val="left"/>
      <w:pPr>
        <w:ind w:left="420" w:hanging="4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7E668DD"/>
    <w:multiLevelType w:val="hybridMultilevel"/>
    <w:tmpl w:val="A4386AEA"/>
    <w:lvl w:ilvl="0" w:tplc="DCC4D760">
      <w:start w:val="1"/>
      <w:numFmt w:val="bullet"/>
      <w:lvlText w:val=""/>
      <w:lvlJc w:val="left"/>
      <w:pPr>
        <w:ind w:left="420" w:hanging="4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183D1D"/>
    <w:multiLevelType w:val="hybridMultilevel"/>
    <w:tmpl w:val="AFD656E8"/>
    <w:lvl w:ilvl="0" w:tplc="1A90468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EB1647"/>
    <w:multiLevelType w:val="hybridMultilevel"/>
    <w:tmpl w:val="C7800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0056B5F"/>
    <w:multiLevelType w:val="multilevel"/>
    <w:tmpl w:val="AFD8A756"/>
    <w:numStyleLink w:val="Bulletlist"/>
  </w:abstractNum>
  <w:abstractNum w:abstractNumId="19" w15:restartNumberingAfterBreak="0">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4351860"/>
    <w:multiLevelType w:val="multilevel"/>
    <w:tmpl w:val="BF2A429E"/>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449120B"/>
    <w:multiLevelType w:val="hybridMultilevel"/>
    <w:tmpl w:val="EA7E6ADA"/>
    <w:lvl w:ilvl="0" w:tplc="DCC4D760">
      <w:start w:val="1"/>
      <w:numFmt w:val="bullet"/>
      <w:lvlText w:val=""/>
      <w:lvlJc w:val="left"/>
      <w:pPr>
        <w:ind w:left="480" w:hanging="42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35844664"/>
    <w:multiLevelType w:val="multilevel"/>
    <w:tmpl w:val="441A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4832"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9D15277"/>
    <w:multiLevelType w:val="hybridMultilevel"/>
    <w:tmpl w:val="677A43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3E1D211B"/>
    <w:multiLevelType w:val="multilevel"/>
    <w:tmpl w:val="67B28B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5B6266"/>
    <w:multiLevelType w:val="hybridMultilevel"/>
    <w:tmpl w:val="4D7ABC9A"/>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7" w15:restartNumberingAfterBreak="0">
    <w:nsid w:val="4E625E7C"/>
    <w:multiLevelType w:val="hybridMultilevel"/>
    <w:tmpl w:val="5BD2EE62"/>
    <w:lvl w:ilvl="0" w:tplc="0C09000F">
      <w:start w:val="1"/>
      <w:numFmt w:val="decimal"/>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28" w15:restartNumberingAfterBreak="0">
    <w:nsid w:val="51E16788"/>
    <w:multiLevelType w:val="multilevel"/>
    <w:tmpl w:val="2AE88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134884"/>
    <w:multiLevelType w:val="multilevel"/>
    <w:tmpl w:val="37A8BB22"/>
    <w:lvl w:ilvl="0">
      <w:start w:val="1"/>
      <w:numFmt w:val="decimal"/>
      <w:pStyle w:val="SectionHeading"/>
      <w:suff w:val="space"/>
      <w:lvlText w:val="%1."/>
      <w:lvlJc w:val="left"/>
      <w:pPr>
        <w:ind w:left="360" w:hanging="360"/>
      </w:pPr>
      <w:rPr>
        <w:rFonts w:hint="default"/>
        <w:b w:val="0"/>
        <w:bCs w:val="0"/>
        <w:i w:val="0"/>
        <w:iCs w:val="0"/>
        <w:caps w:val="0"/>
        <w:smallCaps w:val="0"/>
        <w:strike w:val="0"/>
        <w:dstrike w:val="0"/>
        <w:noProof w:val="0"/>
        <w:vanish w:val="0"/>
        <w:color w:val="F9F9F9" w:themeColor="background1"/>
        <w:spacing w:val="0"/>
        <w:kern w:val="0"/>
        <w:position w:val="0"/>
        <w:u w:val="none"/>
        <w:effect w:val="none"/>
        <w:vertAlign w:val="baseline"/>
        <w:em w:val="none"/>
        <w:specVanish w:val="0"/>
      </w:rPr>
    </w:lvl>
    <w:lvl w:ilvl="1">
      <w:start w:val="1"/>
      <w:numFmt w:val="decimal"/>
      <w:lvlText w:val="%1.1."/>
      <w:lvlJc w:val="left"/>
      <w:pPr>
        <w:ind w:left="792" w:hanging="432"/>
      </w:pPr>
      <w:rPr>
        <w:b w:val="0"/>
        <w:bCs w:val="0"/>
        <w:i w:val="0"/>
        <w:iCs w:val="0"/>
        <w:caps w:val="0"/>
        <w:smallCaps w:val="0"/>
        <w:strike w:val="0"/>
        <w:dstrike w:val="0"/>
        <w:noProof w:val="0"/>
        <w:vanish w:val="0"/>
        <w:color w:val="F9F9F9" w:themeColor="background1"/>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3AB1B68"/>
    <w:multiLevelType w:val="hybridMultilevel"/>
    <w:tmpl w:val="392825F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3BC1006"/>
    <w:multiLevelType w:val="multilevel"/>
    <w:tmpl w:val="E2E884EE"/>
    <w:lvl w:ilvl="0">
      <w:start w:val="1"/>
      <w:numFmt w:val="decimal"/>
      <w:pStyle w:val="CEOBrief-Heading1"/>
      <w:lvlText w:val="%1."/>
      <w:lvlJc w:val="left"/>
      <w:pPr>
        <w:ind w:left="360" w:hanging="360"/>
      </w:pPr>
    </w:lvl>
    <w:lvl w:ilvl="1">
      <w:start w:val="1"/>
      <w:numFmt w:val="decimal"/>
      <w:pStyle w:val="CEOBrief-Paragraph1"/>
      <w:lvlText w:val="%1.%2."/>
      <w:lvlJc w:val="left"/>
      <w:pPr>
        <w:ind w:left="432" w:hanging="432"/>
      </w:pPr>
      <w:rPr>
        <w:b w:val="0"/>
        <w:bCs/>
      </w:rPr>
    </w:lvl>
    <w:lvl w:ilvl="2">
      <w:start w:val="1"/>
      <w:numFmt w:val="decimal"/>
      <w:pStyle w:val="CEOBrief-Paragraph2"/>
      <w:lvlText w:val="%1.%2.%3."/>
      <w:lvlJc w:val="left"/>
      <w:pPr>
        <w:ind w:left="646"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33" w15:restartNumberingAfterBreak="0">
    <w:nsid w:val="5DFB2E66"/>
    <w:multiLevelType w:val="hybridMultilevel"/>
    <w:tmpl w:val="71124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35" w15:restartNumberingAfterBreak="0">
    <w:nsid w:val="6A01767D"/>
    <w:multiLevelType w:val="multilevel"/>
    <w:tmpl w:val="74427506"/>
    <w:lvl w:ilvl="0">
      <w:start w:val="1"/>
      <w:numFmt w:val="decimal"/>
      <w:lvlText w:val="%1"/>
      <w:lvlJc w:val="left"/>
      <w:pPr>
        <w:ind w:left="360" w:hanging="360"/>
      </w:pPr>
      <w:rPr>
        <w:rFonts w:hint="default"/>
      </w:rPr>
    </w:lvl>
    <w:lvl w:ilvl="1">
      <w:start w:val="1"/>
      <w:numFmt w:val="decimal"/>
      <w:pStyle w:val="StyleNotesHeaderLeftLeft-008cm"/>
      <w:lvlText w:val="%1.%2"/>
      <w:lvlJc w:val="left"/>
      <w:pPr>
        <w:ind w:left="360" w:hanging="360"/>
      </w:pPr>
      <w:rPr>
        <w:rFonts w:hint="default"/>
        <w:sz w:val="18"/>
        <w:szCs w:val="18"/>
      </w:rPr>
    </w:lvl>
    <w:lvl w:ilvl="2">
      <w:start w:val="1"/>
      <w:numFmt w:val="decimal"/>
      <w:lvlText w:val="%1.%2.%3"/>
      <w:lvlJc w:val="left"/>
      <w:pPr>
        <w:ind w:left="630" w:hanging="720"/>
      </w:pPr>
      <w:rPr>
        <w:rFonts w:hint="default"/>
      </w:rPr>
    </w:lvl>
    <w:lvl w:ilvl="3">
      <w:start w:val="1"/>
      <w:numFmt w:val="decimal"/>
      <w:lvlText w:val="%1.%2.%3.%4"/>
      <w:lvlJc w:val="left"/>
      <w:pPr>
        <w:ind w:left="585" w:hanging="720"/>
      </w:pPr>
      <w:rPr>
        <w:rFonts w:hint="default"/>
      </w:rPr>
    </w:lvl>
    <w:lvl w:ilvl="4">
      <w:start w:val="1"/>
      <w:numFmt w:val="decimal"/>
      <w:lvlText w:val="%1.%2.%3.%4.%5"/>
      <w:lvlJc w:val="left"/>
      <w:pPr>
        <w:ind w:left="540"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810" w:hanging="108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36" w15:restartNumberingAfterBreak="0">
    <w:nsid w:val="6B83469B"/>
    <w:multiLevelType w:val="hybridMultilevel"/>
    <w:tmpl w:val="94EED366"/>
    <w:lvl w:ilvl="0" w:tplc="DCC4D760">
      <w:start w:val="1"/>
      <w:numFmt w:val="bullet"/>
      <w:lvlText w:val=""/>
      <w:lvlJc w:val="left"/>
      <w:pPr>
        <w:ind w:left="420" w:hanging="4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E921FA"/>
    <w:multiLevelType w:val="multilevel"/>
    <w:tmpl w:val="D7FEEA16"/>
    <w:lvl w:ilvl="0">
      <w:start w:val="1"/>
      <w:numFmt w:val="decimal"/>
      <w:pStyle w:val="NotesHeading-Level1"/>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75A63E01"/>
    <w:multiLevelType w:val="hybridMultilevel"/>
    <w:tmpl w:val="BAE2131A"/>
    <w:lvl w:ilvl="0" w:tplc="DCC4D760">
      <w:start w:val="1"/>
      <w:numFmt w:val="bullet"/>
      <w:lvlText w:val=""/>
      <w:lvlJc w:val="left"/>
      <w:pPr>
        <w:ind w:left="420" w:hanging="4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3D36A6"/>
    <w:multiLevelType w:val="hybridMultilevel"/>
    <w:tmpl w:val="5764F086"/>
    <w:lvl w:ilvl="0" w:tplc="30080FC4">
      <w:numFmt w:val="bullet"/>
      <w:lvlText w:val="-"/>
      <w:lvlJc w:val="left"/>
      <w:pPr>
        <w:ind w:left="413" w:hanging="360"/>
      </w:pPr>
      <w:rPr>
        <w:rFonts w:ascii="Times New Roman" w:eastAsia="Times New Roman" w:hAnsi="Times New Roman" w:cs="Times New Roman" w:hint="default"/>
      </w:rPr>
    </w:lvl>
    <w:lvl w:ilvl="1" w:tplc="0C090003" w:tentative="1">
      <w:start w:val="1"/>
      <w:numFmt w:val="bullet"/>
      <w:lvlText w:val="o"/>
      <w:lvlJc w:val="left"/>
      <w:pPr>
        <w:ind w:left="1133" w:hanging="360"/>
      </w:pPr>
      <w:rPr>
        <w:rFonts w:ascii="Courier New" w:hAnsi="Courier New" w:cs="Courier New" w:hint="default"/>
      </w:rPr>
    </w:lvl>
    <w:lvl w:ilvl="2" w:tplc="0C090005" w:tentative="1">
      <w:start w:val="1"/>
      <w:numFmt w:val="bullet"/>
      <w:lvlText w:val=""/>
      <w:lvlJc w:val="left"/>
      <w:pPr>
        <w:ind w:left="1853" w:hanging="360"/>
      </w:pPr>
      <w:rPr>
        <w:rFonts w:ascii="Wingdings" w:hAnsi="Wingdings" w:hint="default"/>
      </w:rPr>
    </w:lvl>
    <w:lvl w:ilvl="3" w:tplc="0C090001" w:tentative="1">
      <w:start w:val="1"/>
      <w:numFmt w:val="bullet"/>
      <w:lvlText w:val=""/>
      <w:lvlJc w:val="left"/>
      <w:pPr>
        <w:ind w:left="2573" w:hanging="360"/>
      </w:pPr>
      <w:rPr>
        <w:rFonts w:ascii="Symbol" w:hAnsi="Symbol" w:hint="default"/>
      </w:rPr>
    </w:lvl>
    <w:lvl w:ilvl="4" w:tplc="0C090003" w:tentative="1">
      <w:start w:val="1"/>
      <w:numFmt w:val="bullet"/>
      <w:lvlText w:val="o"/>
      <w:lvlJc w:val="left"/>
      <w:pPr>
        <w:ind w:left="3293" w:hanging="360"/>
      </w:pPr>
      <w:rPr>
        <w:rFonts w:ascii="Courier New" w:hAnsi="Courier New" w:cs="Courier New" w:hint="default"/>
      </w:rPr>
    </w:lvl>
    <w:lvl w:ilvl="5" w:tplc="0C090005" w:tentative="1">
      <w:start w:val="1"/>
      <w:numFmt w:val="bullet"/>
      <w:lvlText w:val=""/>
      <w:lvlJc w:val="left"/>
      <w:pPr>
        <w:ind w:left="4013" w:hanging="360"/>
      </w:pPr>
      <w:rPr>
        <w:rFonts w:ascii="Wingdings" w:hAnsi="Wingdings" w:hint="default"/>
      </w:rPr>
    </w:lvl>
    <w:lvl w:ilvl="6" w:tplc="0C090001" w:tentative="1">
      <w:start w:val="1"/>
      <w:numFmt w:val="bullet"/>
      <w:lvlText w:val=""/>
      <w:lvlJc w:val="left"/>
      <w:pPr>
        <w:ind w:left="4733" w:hanging="360"/>
      </w:pPr>
      <w:rPr>
        <w:rFonts w:ascii="Symbol" w:hAnsi="Symbol" w:hint="default"/>
      </w:rPr>
    </w:lvl>
    <w:lvl w:ilvl="7" w:tplc="0C090003" w:tentative="1">
      <w:start w:val="1"/>
      <w:numFmt w:val="bullet"/>
      <w:lvlText w:val="o"/>
      <w:lvlJc w:val="left"/>
      <w:pPr>
        <w:ind w:left="5453" w:hanging="360"/>
      </w:pPr>
      <w:rPr>
        <w:rFonts w:ascii="Courier New" w:hAnsi="Courier New" w:cs="Courier New" w:hint="default"/>
      </w:rPr>
    </w:lvl>
    <w:lvl w:ilvl="8" w:tplc="0C090005" w:tentative="1">
      <w:start w:val="1"/>
      <w:numFmt w:val="bullet"/>
      <w:lvlText w:val=""/>
      <w:lvlJc w:val="left"/>
      <w:pPr>
        <w:ind w:left="6173" w:hanging="360"/>
      </w:pPr>
      <w:rPr>
        <w:rFonts w:ascii="Wingdings" w:hAnsi="Wingdings" w:hint="default"/>
      </w:rPr>
    </w:lvl>
  </w:abstractNum>
  <w:abstractNum w:abstractNumId="40" w15:restartNumberingAfterBreak="0">
    <w:nsid w:val="7A9206EC"/>
    <w:multiLevelType w:val="hybridMultilevel"/>
    <w:tmpl w:val="828C9472"/>
    <w:lvl w:ilvl="0" w:tplc="DCC4D760">
      <w:start w:val="1"/>
      <w:numFmt w:val="bullet"/>
      <w:lvlText w:val=""/>
      <w:lvlJc w:val="left"/>
      <w:pPr>
        <w:ind w:left="420" w:hanging="4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C796F77"/>
    <w:multiLevelType w:val="hybridMultilevel"/>
    <w:tmpl w:val="D9F66062"/>
    <w:lvl w:ilvl="0" w:tplc="CE52AA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506F29"/>
    <w:multiLevelType w:val="hybridMultilevel"/>
    <w:tmpl w:val="3858FF60"/>
    <w:lvl w:ilvl="0" w:tplc="0C090003">
      <w:start w:val="1"/>
      <w:numFmt w:val="bullet"/>
      <w:lvlText w:val="o"/>
      <w:lvlJc w:val="left"/>
      <w:pPr>
        <w:ind w:left="420" w:hanging="42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7611780">
    <w:abstractNumId w:val="23"/>
  </w:num>
  <w:num w:numId="2" w16cid:durableId="862402279">
    <w:abstractNumId w:val="2"/>
  </w:num>
  <w:num w:numId="3" w16cid:durableId="1991639433">
    <w:abstractNumId w:val="9"/>
  </w:num>
  <w:num w:numId="4" w16cid:durableId="739518056">
    <w:abstractNumId w:val="41"/>
  </w:num>
  <w:num w:numId="5" w16cid:durableId="145901810">
    <w:abstractNumId w:val="17"/>
  </w:num>
  <w:num w:numId="6" w16cid:durableId="2084796931">
    <w:abstractNumId w:val="5"/>
  </w:num>
  <w:num w:numId="7" w16cid:durableId="1617567124">
    <w:abstractNumId w:val="12"/>
  </w:num>
  <w:num w:numId="8" w16cid:durableId="561142459">
    <w:abstractNumId w:val="32"/>
  </w:num>
  <w:num w:numId="9" w16cid:durableId="21519757">
    <w:abstractNumId w:val="18"/>
  </w:num>
  <w:num w:numId="10" w16cid:durableId="163791364">
    <w:abstractNumId w:val="34"/>
  </w:num>
  <w:num w:numId="11" w16cid:durableId="1363048986">
    <w:abstractNumId w:val="42"/>
  </w:num>
  <w:num w:numId="12" w16cid:durableId="649675719">
    <w:abstractNumId w:val="6"/>
  </w:num>
  <w:num w:numId="13" w16cid:durableId="384790932">
    <w:abstractNumId w:val="0"/>
  </w:num>
  <w:num w:numId="14" w16cid:durableId="1928348592">
    <w:abstractNumId w:val="40"/>
  </w:num>
  <w:num w:numId="15" w16cid:durableId="1704674968">
    <w:abstractNumId w:val="36"/>
  </w:num>
  <w:num w:numId="16" w16cid:durableId="1436094397">
    <w:abstractNumId w:val="38"/>
  </w:num>
  <w:num w:numId="17" w16cid:durableId="287855886">
    <w:abstractNumId w:val="21"/>
  </w:num>
  <w:num w:numId="18" w16cid:durableId="754665650">
    <w:abstractNumId w:val="14"/>
  </w:num>
  <w:num w:numId="19" w16cid:durableId="821429745">
    <w:abstractNumId w:val="11"/>
  </w:num>
  <w:num w:numId="20" w16cid:durableId="1929650966">
    <w:abstractNumId w:val="27"/>
  </w:num>
  <w:num w:numId="21" w16cid:durableId="1311250129">
    <w:abstractNumId w:val="4"/>
  </w:num>
  <w:num w:numId="22" w16cid:durableId="676932240">
    <w:abstractNumId w:val="22"/>
  </w:num>
  <w:num w:numId="23" w16cid:durableId="259798663">
    <w:abstractNumId w:val="20"/>
  </w:num>
  <w:num w:numId="24" w16cid:durableId="1113475731">
    <w:abstractNumId w:val="43"/>
  </w:num>
  <w:num w:numId="25" w16cid:durableId="2087072387">
    <w:abstractNumId w:val="37"/>
  </w:num>
  <w:num w:numId="26" w16cid:durableId="1321036747">
    <w:abstractNumId w:val="8"/>
  </w:num>
  <w:num w:numId="27" w16cid:durableId="988482682">
    <w:abstractNumId w:val="35"/>
  </w:num>
  <w:num w:numId="28" w16cid:durableId="16444603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436028">
    <w:abstractNumId w:val="29"/>
  </w:num>
  <w:num w:numId="30" w16cid:durableId="1883979336">
    <w:abstractNumId w:val="7"/>
  </w:num>
  <w:num w:numId="31" w16cid:durableId="915087237">
    <w:abstractNumId w:val="30"/>
  </w:num>
  <w:num w:numId="32" w16cid:durableId="2001274279">
    <w:abstractNumId w:val="19"/>
  </w:num>
  <w:num w:numId="33" w16cid:durableId="1184319153">
    <w:abstractNumId w:val="13"/>
  </w:num>
  <w:num w:numId="34" w16cid:durableId="1679506494">
    <w:abstractNumId w:val="16"/>
  </w:num>
  <w:num w:numId="35" w16cid:durableId="91972508">
    <w:abstractNumId w:val="28"/>
  </w:num>
  <w:num w:numId="36" w16cid:durableId="102113399">
    <w:abstractNumId w:val="25"/>
  </w:num>
  <w:num w:numId="37" w16cid:durableId="205024636">
    <w:abstractNumId w:val="10"/>
  </w:num>
  <w:num w:numId="38" w16cid:durableId="1761413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6208270">
    <w:abstractNumId w:val="26"/>
  </w:num>
  <w:num w:numId="40" w16cid:durableId="901988754">
    <w:abstractNumId w:val="3"/>
  </w:num>
  <w:num w:numId="41" w16cid:durableId="1726561142">
    <w:abstractNumId w:val="1"/>
  </w:num>
  <w:num w:numId="42" w16cid:durableId="1522204774">
    <w:abstractNumId w:val="33"/>
  </w:num>
  <w:num w:numId="43" w16cid:durableId="318851281">
    <w:abstractNumId w:val="15"/>
  </w:num>
  <w:num w:numId="44" w16cid:durableId="973023275">
    <w:abstractNumId w:val="39"/>
  </w:num>
  <w:num w:numId="45" w16cid:durableId="18938797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12487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C"/>
    <w:rsid w:val="0000128B"/>
    <w:rsid w:val="000050F6"/>
    <w:rsid w:val="000057CD"/>
    <w:rsid w:val="0001224E"/>
    <w:rsid w:val="00012A0D"/>
    <w:rsid w:val="000164C3"/>
    <w:rsid w:val="0001689B"/>
    <w:rsid w:val="000175BD"/>
    <w:rsid w:val="00021FA8"/>
    <w:rsid w:val="0002422C"/>
    <w:rsid w:val="000256ED"/>
    <w:rsid w:val="00026F28"/>
    <w:rsid w:val="000270A5"/>
    <w:rsid w:val="0002789D"/>
    <w:rsid w:val="0003058C"/>
    <w:rsid w:val="00030609"/>
    <w:rsid w:val="00032BF4"/>
    <w:rsid w:val="000337C0"/>
    <w:rsid w:val="0003446B"/>
    <w:rsid w:val="00035ADD"/>
    <w:rsid w:val="000368D3"/>
    <w:rsid w:val="000378BB"/>
    <w:rsid w:val="00040B53"/>
    <w:rsid w:val="00041227"/>
    <w:rsid w:val="00042A45"/>
    <w:rsid w:val="000437D9"/>
    <w:rsid w:val="0004449B"/>
    <w:rsid w:val="000449EB"/>
    <w:rsid w:val="00044E10"/>
    <w:rsid w:val="00046B28"/>
    <w:rsid w:val="000502DE"/>
    <w:rsid w:val="000511FD"/>
    <w:rsid w:val="00053A22"/>
    <w:rsid w:val="00054075"/>
    <w:rsid w:val="00055AB0"/>
    <w:rsid w:val="00056100"/>
    <w:rsid w:val="00057213"/>
    <w:rsid w:val="00057554"/>
    <w:rsid w:val="00060BB5"/>
    <w:rsid w:val="00061B0A"/>
    <w:rsid w:val="000624B2"/>
    <w:rsid w:val="000625E0"/>
    <w:rsid w:val="00062918"/>
    <w:rsid w:val="00063042"/>
    <w:rsid w:val="00063848"/>
    <w:rsid w:val="000645AC"/>
    <w:rsid w:val="000645BC"/>
    <w:rsid w:val="00064614"/>
    <w:rsid w:val="0006487E"/>
    <w:rsid w:val="0006621C"/>
    <w:rsid w:val="00066632"/>
    <w:rsid w:val="00066B61"/>
    <w:rsid w:val="0007012A"/>
    <w:rsid w:val="00071372"/>
    <w:rsid w:val="00072A97"/>
    <w:rsid w:val="00072BE0"/>
    <w:rsid w:val="0007332F"/>
    <w:rsid w:val="000737AD"/>
    <w:rsid w:val="0007496A"/>
    <w:rsid w:val="00074BED"/>
    <w:rsid w:val="00076BCB"/>
    <w:rsid w:val="000777F9"/>
    <w:rsid w:val="0007797B"/>
    <w:rsid w:val="000801C6"/>
    <w:rsid w:val="00080E0F"/>
    <w:rsid w:val="00081F12"/>
    <w:rsid w:val="000832FF"/>
    <w:rsid w:val="00083476"/>
    <w:rsid w:val="00083688"/>
    <w:rsid w:val="00084F52"/>
    <w:rsid w:val="000867E9"/>
    <w:rsid w:val="000872A0"/>
    <w:rsid w:val="000879E8"/>
    <w:rsid w:val="000916FF"/>
    <w:rsid w:val="0009185C"/>
    <w:rsid w:val="00091C66"/>
    <w:rsid w:val="00093B4B"/>
    <w:rsid w:val="00093F5B"/>
    <w:rsid w:val="00094661"/>
    <w:rsid w:val="00094AC7"/>
    <w:rsid w:val="000969D8"/>
    <w:rsid w:val="00096E39"/>
    <w:rsid w:val="0009788A"/>
    <w:rsid w:val="000A0C86"/>
    <w:rsid w:val="000A1021"/>
    <w:rsid w:val="000A21C9"/>
    <w:rsid w:val="000A3CB1"/>
    <w:rsid w:val="000A6EE8"/>
    <w:rsid w:val="000A7258"/>
    <w:rsid w:val="000A7A46"/>
    <w:rsid w:val="000A7B2C"/>
    <w:rsid w:val="000A7DDD"/>
    <w:rsid w:val="000A7E21"/>
    <w:rsid w:val="000B030C"/>
    <w:rsid w:val="000B1796"/>
    <w:rsid w:val="000B1A71"/>
    <w:rsid w:val="000B1FD5"/>
    <w:rsid w:val="000B531E"/>
    <w:rsid w:val="000B5D1C"/>
    <w:rsid w:val="000B7C0E"/>
    <w:rsid w:val="000B7DD0"/>
    <w:rsid w:val="000C1232"/>
    <w:rsid w:val="000C1D69"/>
    <w:rsid w:val="000C3BC5"/>
    <w:rsid w:val="000C4961"/>
    <w:rsid w:val="000C5994"/>
    <w:rsid w:val="000C72ED"/>
    <w:rsid w:val="000C7BBE"/>
    <w:rsid w:val="000C7BD6"/>
    <w:rsid w:val="000D06BC"/>
    <w:rsid w:val="000D0D5D"/>
    <w:rsid w:val="000D1B3E"/>
    <w:rsid w:val="000D3706"/>
    <w:rsid w:val="000D3DCF"/>
    <w:rsid w:val="000D5141"/>
    <w:rsid w:val="000D6A4C"/>
    <w:rsid w:val="000D6CF7"/>
    <w:rsid w:val="000D7D8F"/>
    <w:rsid w:val="000E1437"/>
    <w:rsid w:val="000E2FC5"/>
    <w:rsid w:val="000E49AD"/>
    <w:rsid w:val="000E4D68"/>
    <w:rsid w:val="000E54C5"/>
    <w:rsid w:val="000E6600"/>
    <w:rsid w:val="000E6604"/>
    <w:rsid w:val="000E6EDC"/>
    <w:rsid w:val="000F1C41"/>
    <w:rsid w:val="000F24A9"/>
    <w:rsid w:val="000F3886"/>
    <w:rsid w:val="000F4065"/>
    <w:rsid w:val="000F4106"/>
    <w:rsid w:val="000F4D51"/>
    <w:rsid w:val="000F58FF"/>
    <w:rsid w:val="000F690A"/>
    <w:rsid w:val="000F7354"/>
    <w:rsid w:val="000F7D48"/>
    <w:rsid w:val="00101629"/>
    <w:rsid w:val="001017C5"/>
    <w:rsid w:val="001019B0"/>
    <w:rsid w:val="00102A1D"/>
    <w:rsid w:val="00105BA2"/>
    <w:rsid w:val="00110B07"/>
    <w:rsid w:val="00112693"/>
    <w:rsid w:val="001126DD"/>
    <w:rsid w:val="0011283F"/>
    <w:rsid w:val="00113250"/>
    <w:rsid w:val="001134EB"/>
    <w:rsid w:val="00113B50"/>
    <w:rsid w:val="00114365"/>
    <w:rsid w:val="00115A04"/>
    <w:rsid w:val="00117EA9"/>
    <w:rsid w:val="00117F5F"/>
    <w:rsid w:val="0012094A"/>
    <w:rsid w:val="00121175"/>
    <w:rsid w:val="0012232A"/>
    <w:rsid w:val="001227F3"/>
    <w:rsid w:val="00122E39"/>
    <w:rsid w:val="00123841"/>
    <w:rsid w:val="001243BB"/>
    <w:rsid w:val="00125C8B"/>
    <w:rsid w:val="001264A6"/>
    <w:rsid w:val="00126576"/>
    <w:rsid w:val="00126B30"/>
    <w:rsid w:val="00127458"/>
    <w:rsid w:val="00133885"/>
    <w:rsid w:val="00133B8F"/>
    <w:rsid w:val="00133FFB"/>
    <w:rsid w:val="00136F02"/>
    <w:rsid w:val="001373F0"/>
    <w:rsid w:val="001379E5"/>
    <w:rsid w:val="0014207A"/>
    <w:rsid w:val="00144123"/>
    <w:rsid w:val="0014499A"/>
    <w:rsid w:val="0014642D"/>
    <w:rsid w:val="001464C8"/>
    <w:rsid w:val="00147A65"/>
    <w:rsid w:val="001519B4"/>
    <w:rsid w:val="00153306"/>
    <w:rsid w:val="001543F0"/>
    <w:rsid w:val="00154B0A"/>
    <w:rsid w:val="00154C22"/>
    <w:rsid w:val="00154D09"/>
    <w:rsid w:val="00155751"/>
    <w:rsid w:val="001559F8"/>
    <w:rsid w:val="00156899"/>
    <w:rsid w:val="00157600"/>
    <w:rsid w:val="00157AAC"/>
    <w:rsid w:val="001611E5"/>
    <w:rsid w:val="001614A5"/>
    <w:rsid w:val="001621B6"/>
    <w:rsid w:val="001625B0"/>
    <w:rsid w:val="0016450F"/>
    <w:rsid w:val="001651D3"/>
    <w:rsid w:val="001665A1"/>
    <w:rsid w:val="00166C72"/>
    <w:rsid w:val="001670D4"/>
    <w:rsid w:val="001708A8"/>
    <w:rsid w:val="00172151"/>
    <w:rsid w:val="001725A1"/>
    <w:rsid w:val="00172B8C"/>
    <w:rsid w:val="00173416"/>
    <w:rsid w:val="001751B6"/>
    <w:rsid w:val="0017522D"/>
    <w:rsid w:val="00175E7E"/>
    <w:rsid w:val="001809B3"/>
    <w:rsid w:val="00180D51"/>
    <w:rsid w:val="00182114"/>
    <w:rsid w:val="00182ACA"/>
    <w:rsid w:val="00184F07"/>
    <w:rsid w:val="001854BF"/>
    <w:rsid w:val="00186CE7"/>
    <w:rsid w:val="00187EA6"/>
    <w:rsid w:val="00192D14"/>
    <w:rsid w:val="00192E81"/>
    <w:rsid w:val="00195BC4"/>
    <w:rsid w:val="001962E9"/>
    <w:rsid w:val="00196F6D"/>
    <w:rsid w:val="0019732F"/>
    <w:rsid w:val="001A0BD6"/>
    <w:rsid w:val="001A0D0E"/>
    <w:rsid w:val="001A15AB"/>
    <w:rsid w:val="001A1D7D"/>
    <w:rsid w:val="001A316B"/>
    <w:rsid w:val="001A3901"/>
    <w:rsid w:val="001A4FD6"/>
    <w:rsid w:val="001A57B8"/>
    <w:rsid w:val="001A59E8"/>
    <w:rsid w:val="001A6947"/>
    <w:rsid w:val="001A7959"/>
    <w:rsid w:val="001A7C74"/>
    <w:rsid w:val="001B05C5"/>
    <w:rsid w:val="001B3C97"/>
    <w:rsid w:val="001B4767"/>
    <w:rsid w:val="001B79CC"/>
    <w:rsid w:val="001B7F61"/>
    <w:rsid w:val="001C0A6D"/>
    <w:rsid w:val="001C0D03"/>
    <w:rsid w:val="001C190F"/>
    <w:rsid w:val="001C19BE"/>
    <w:rsid w:val="001C1BF6"/>
    <w:rsid w:val="001C20A0"/>
    <w:rsid w:val="001C29A2"/>
    <w:rsid w:val="001C30F1"/>
    <w:rsid w:val="001C3A56"/>
    <w:rsid w:val="001C3C07"/>
    <w:rsid w:val="001C6C21"/>
    <w:rsid w:val="001C7231"/>
    <w:rsid w:val="001C74C2"/>
    <w:rsid w:val="001D0A61"/>
    <w:rsid w:val="001D0C1E"/>
    <w:rsid w:val="001D1116"/>
    <w:rsid w:val="001D3A5F"/>
    <w:rsid w:val="001D6641"/>
    <w:rsid w:val="001D710C"/>
    <w:rsid w:val="001D7BD4"/>
    <w:rsid w:val="001D7BFB"/>
    <w:rsid w:val="001E1D6B"/>
    <w:rsid w:val="001E2737"/>
    <w:rsid w:val="001E32AD"/>
    <w:rsid w:val="001E4FE5"/>
    <w:rsid w:val="001E630D"/>
    <w:rsid w:val="001E686D"/>
    <w:rsid w:val="001E6F7B"/>
    <w:rsid w:val="001F01E7"/>
    <w:rsid w:val="001F2ADC"/>
    <w:rsid w:val="001F2C42"/>
    <w:rsid w:val="001F4F2B"/>
    <w:rsid w:val="001F5A8E"/>
    <w:rsid w:val="001F68CA"/>
    <w:rsid w:val="001F6E20"/>
    <w:rsid w:val="0020060C"/>
    <w:rsid w:val="00200CF1"/>
    <w:rsid w:val="00201366"/>
    <w:rsid w:val="00201406"/>
    <w:rsid w:val="002027C4"/>
    <w:rsid w:val="00205E75"/>
    <w:rsid w:val="002072F4"/>
    <w:rsid w:val="00207674"/>
    <w:rsid w:val="00211BA2"/>
    <w:rsid w:val="0021381A"/>
    <w:rsid w:val="00213949"/>
    <w:rsid w:val="00215051"/>
    <w:rsid w:val="00215B78"/>
    <w:rsid w:val="00216313"/>
    <w:rsid w:val="00216D29"/>
    <w:rsid w:val="00216DE5"/>
    <w:rsid w:val="002210F2"/>
    <w:rsid w:val="00222794"/>
    <w:rsid w:val="002239D5"/>
    <w:rsid w:val="00223F76"/>
    <w:rsid w:val="00227EBD"/>
    <w:rsid w:val="00230A1C"/>
    <w:rsid w:val="00230D8F"/>
    <w:rsid w:val="00230E04"/>
    <w:rsid w:val="00232013"/>
    <w:rsid w:val="002321EA"/>
    <w:rsid w:val="002336D9"/>
    <w:rsid w:val="0023438D"/>
    <w:rsid w:val="00234AE0"/>
    <w:rsid w:val="00234EFF"/>
    <w:rsid w:val="0023594A"/>
    <w:rsid w:val="0023603F"/>
    <w:rsid w:val="00237C0A"/>
    <w:rsid w:val="00237F5D"/>
    <w:rsid w:val="00240D50"/>
    <w:rsid w:val="00241CD7"/>
    <w:rsid w:val="00243B04"/>
    <w:rsid w:val="00243E71"/>
    <w:rsid w:val="00245379"/>
    <w:rsid w:val="00245EEE"/>
    <w:rsid w:val="0024613A"/>
    <w:rsid w:val="00247078"/>
    <w:rsid w:val="002474B3"/>
    <w:rsid w:val="0025160C"/>
    <w:rsid w:val="0025459E"/>
    <w:rsid w:val="00254687"/>
    <w:rsid w:val="002548EE"/>
    <w:rsid w:val="00254D32"/>
    <w:rsid w:val="002554DE"/>
    <w:rsid w:val="00255A26"/>
    <w:rsid w:val="00255AAB"/>
    <w:rsid w:val="00255B1B"/>
    <w:rsid w:val="00260556"/>
    <w:rsid w:val="002608E2"/>
    <w:rsid w:val="002612AE"/>
    <w:rsid w:val="00261D76"/>
    <w:rsid w:val="0026224E"/>
    <w:rsid w:val="00263F04"/>
    <w:rsid w:val="002650DB"/>
    <w:rsid w:val="00267829"/>
    <w:rsid w:val="00267989"/>
    <w:rsid w:val="00274D70"/>
    <w:rsid w:val="00275607"/>
    <w:rsid w:val="00275856"/>
    <w:rsid w:val="00276161"/>
    <w:rsid w:val="00280054"/>
    <w:rsid w:val="002804DE"/>
    <w:rsid w:val="00281386"/>
    <w:rsid w:val="002813D2"/>
    <w:rsid w:val="00283807"/>
    <w:rsid w:val="00284A4B"/>
    <w:rsid w:val="00284BB0"/>
    <w:rsid w:val="00285FF5"/>
    <w:rsid w:val="00287884"/>
    <w:rsid w:val="00290358"/>
    <w:rsid w:val="00293639"/>
    <w:rsid w:val="002939E7"/>
    <w:rsid w:val="00294BDA"/>
    <w:rsid w:val="00295056"/>
    <w:rsid w:val="002962FF"/>
    <w:rsid w:val="0029661E"/>
    <w:rsid w:val="00296641"/>
    <w:rsid w:val="002A0860"/>
    <w:rsid w:val="002A0AB4"/>
    <w:rsid w:val="002A1C3B"/>
    <w:rsid w:val="002A30E0"/>
    <w:rsid w:val="002A533F"/>
    <w:rsid w:val="002A5677"/>
    <w:rsid w:val="002A6373"/>
    <w:rsid w:val="002B17B8"/>
    <w:rsid w:val="002B23E4"/>
    <w:rsid w:val="002B2413"/>
    <w:rsid w:val="002B2F77"/>
    <w:rsid w:val="002B38C4"/>
    <w:rsid w:val="002B4A35"/>
    <w:rsid w:val="002B6876"/>
    <w:rsid w:val="002B6F35"/>
    <w:rsid w:val="002C00B8"/>
    <w:rsid w:val="002C0768"/>
    <w:rsid w:val="002C081C"/>
    <w:rsid w:val="002C2B2E"/>
    <w:rsid w:val="002C3090"/>
    <w:rsid w:val="002C3C9C"/>
    <w:rsid w:val="002C41A2"/>
    <w:rsid w:val="002C49EC"/>
    <w:rsid w:val="002C4D52"/>
    <w:rsid w:val="002C5C1C"/>
    <w:rsid w:val="002C618F"/>
    <w:rsid w:val="002C73B7"/>
    <w:rsid w:val="002C78B5"/>
    <w:rsid w:val="002C7B03"/>
    <w:rsid w:val="002D014B"/>
    <w:rsid w:val="002D052C"/>
    <w:rsid w:val="002D1139"/>
    <w:rsid w:val="002D3767"/>
    <w:rsid w:val="002D4F37"/>
    <w:rsid w:val="002D50E1"/>
    <w:rsid w:val="002D6DD1"/>
    <w:rsid w:val="002D7172"/>
    <w:rsid w:val="002E016A"/>
    <w:rsid w:val="002E1357"/>
    <w:rsid w:val="002E30FA"/>
    <w:rsid w:val="002E3180"/>
    <w:rsid w:val="002E3C47"/>
    <w:rsid w:val="002E4768"/>
    <w:rsid w:val="002E4B7D"/>
    <w:rsid w:val="002E4CA0"/>
    <w:rsid w:val="002E4E25"/>
    <w:rsid w:val="002E5010"/>
    <w:rsid w:val="002E6E3E"/>
    <w:rsid w:val="002E75F1"/>
    <w:rsid w:val="002F0B43"/>
    <w:rsid w:val="002F183F"/>
    <w:rsid w:val="002F19E5"/>
    <w:rsid w:val="002F2DDE"/>
    <w:rsid w:val="002F2FC5"/>
    <w:rsid w:val="002F3065"/>
    <w:rsid w:val="002F34D5"/>
    <w:rsid w:val="002F436F"/>
    <w:rsid w:val="002F48B3"/>
    <w:rsid w:val="002F5BD3"/>
    <w:rsid w:val="002F6435"/>
    <w:rsid w:val="002F7DE9"/>
    <w:rsid w:val="00301405"/>
    <w:rsid w:val="0030168A"/>
    <w:rsid w:val="00303974"/>
    <w:rsid w:val="00303E5F"/>
    <w:rsid w:val="003053C7"/>
    <w:rsid w:val="00305F1D"/>
    <w:rsid w:val="00306030"/>
    <w:rsid w:val="003060A1"/>
    <w:rsid w:val="00306DBB"/>
    <w:rsid w:val="0031083E"/>
    <w:rsid w:val="00310C1A"/>
    <w:rsid w:val="00312083"/>
    <w:rsid w:val="00312E0B"/>
    <w:rsid w:val="003131F3"/>
    <w:rsid w:val="003147DC"/>
    <w:rsid w:val="003159B6"/>
    <w:rsid w:val="00316AF2"/>
    <w:rsid w:val="00316D31"/>
    <w:rsid w:val="00317876"/>
    <w:rsid w:val="003203A1"/>
    <w:rsid w:val="0032056B"/>
    <w:rsid w:val="00321843"/>
    <w:rsid w:val="00321AEC"/>
    <w:rsid w:val="003226A0"/>
    <w:rsid w:val="00323BB7"/>
    <w:rsid w:val="00324174"/>
    <w:rsid w:val="0032587D"/>
    <w:rsid w:val="00325ADB"/>
    <w:rsid w:val="00325F0C"/>
    <w:rsid w:val="0032730A"/>
    <w:rsid w:val="003335E6"/>
    <w:rsid w:val="00333916"/>
    <w:rsid w:val="0033425D"/>
    <w:rsid w:val="00334719"/>
    <w:rsid w:val="003359CA"/>
    <w:rsid w:val="00340F6E"/>
    <w:rsid w:val="00340F70"/>
    <w:rsid w:val="003431CF"/>
    <w:rsid w:val="00343933"/>
    <w:rsid w:val="003445DA"/>
    <w:rsid w:val="00344D22"/>
    <w:rsid w:val="0034591B"/>
    <w:rsid w:val="00345F5B"/>
    <w:rsid w:val="003461A0"/>
    <w:rsid w:val="00346316"/>
    <w:rsid w:val="00346FA6"/>
    <w:rsid w:val="003479B7"/>
    <w:rsid w:val="00347F3A"/>
    <w:rsid w:val="00350212"/>
    <w:rsid w:val="0035041B"/>
    <w:rsid w:val="0035301C"/>
    <w:rsid w:val="0035317C"/>
    <w:rsid w:val="00353CA2"/>
    <w:rsid w:val="00353FEB"/>
    <w:rsid w:val="003575AB"/>
    <w:rsid w:val="003606DC"/>
    <w:rsid w:val="00360F21"/>
    <w:rsid w:val="00361322"/>
    <w:rsid w:val="0036185B"/>
    <w:rsid w:val="003619B4"/>
    <w:rsid w:val="00361A40"/>
    <w:rsid w:val="003622D9"/>
    <w:rsid w:val="003626AF"/>
    <w:rsid w:val="003638A4"/>
    <w:rsid w:val="003638FC"/>
    <w:rsid w:val="00363DDC"/>
    <w:rsid w:val="00364CCB"/>
    <w:rsid w:val="00364F59"/>
    <w:rsid w:val="003665AA"/>
    <w:rsid w:val="00366862"/>
    <w:rsid w:val="00366EF6"/>
    <w:rsid w:val="00366EFA"/>
    <w:rsid w:val="00367D1F"/>
    <w:rsid w:val="00370316"/>
    <w:rsid w:val="0037154B"/>
    <w:rsid w:val="0037165A"/>
    <w:rsid w:val="00371D0C"/>
    <w:rsid w:val="003724BD"/>
    <w:rsid w:val="00372519"/>
    <w:rsid w:val="003752D4"/>
    <w:rsid w:val="00380445"/>
    <w:rsid w:val="00380E79"/>
    <w:rsid w:val="00381DE6"/>
    <w:rsid w:val="003820DF"/>
    <w:rsid w:val="0038213D"/>
    <w:rsid w:val="0038225E"/>
    <w:rsid w:val="00382BE2"/>
    <w:rsid w:val="00383234"/>
    <w:rsid w:val="00383450"/>
    <w:rsid w:val="00384505"/>
    <w:rsid w:val="00384FDD"/>
    <w:rsid w:val="00385962"/>
    <w:rsid w:val="00386595"/>
    <w:rsid w:val="0038795E"/>
    <w:rsid w:val="00387FE6"/>
    <w:rsid w:val="00390397"/>
    <w:rsid w:val="003908B7"/>
    <w:rsid w:val="00391523"/>
    <w:rsid w:val="00391D24"/>
    <w:rsid w:val="00392276"/>
    <w:rsid w:val="00394829"/>
    <w:rsid w:val="00394A2C"/>
    <w:rsid w:val="00394EC2"/>
    <w:rsid w:val="0039783B"/>
    <w:rsid w:val="003978BF"/>
    <w:rsid w:val="003A2FA9"/>
    <w:rsid w:val="003A3E9D"/>
    <w:rsid w:val="003A3FCC"/>
    <w:rsid w:val="003A5016"/>
    <w:rsid w:val="003A5104"/>
    <w:rsid w:val="003A60EF"/>
    <w:rsid w:val="003A6172"/>
    <w:rsid w:val="003A6628"/>
    <w:rsid w:val="003A6C62"/>
    <w:rsid w:val="003B0281"/>
    <w:rsid w:val="003B10B9"/>
    <w:rsid w:val="003B2BB8"/>
    <w:rsid w:val="003B3F1F"/>
    <w:rsid w:val="003B4E05"/>
    <w:rsid w:val="003B4F75"/>
    <w:rsid w:val="003B527D"/>
    <w:rsid w:val="003B589B"/>
    <w:rsid w:val="003B5AA9"/>
    <w:rsid w:val="003B62B5"/>
    <w:rsid w:val="003B658F"/>
    <w:rsid w:val="003C1CC6"/>
    <w:rsid w:val="003C2281"/>
    <w:rsid w:val="003C2D72"/>
    <w:rsid w:val="003C3460"/>
    <w:rsid w:val="003C6886"/>
    <w:rsid w:val="003C7217"/>
    <w:rsid w:val="003C73EE"/>
    <w:rsid w:val="003C7C9D"/>
    <w:rsid w:val="003C7CA4"/>
    <w:rsid w:val="003D0846"/>
    <w:rsid w:val="003D0FB9"/>
    <w:rsid w:val="003D34FF"/>
    <w:rsid w:val="003D3E5D"/>
    <w:rsid w:val="003D4F0B"/>
    <w:rsid w:val="003D53B3"/>
    <w:rsid w:val="003D60C1"/>
    <w:rsid w:val="003D61E3"/>
    <w:rsid w:val="003D6898"/>
    <w:rsid w:val="003D68CE"/>
    <w:rsid w:val="003D77E6"/>
    <w:rsid w:val="003E2AFE"/>
    <w:rsid w:val="003E2B5D"/>
    <w:rsid w:val="003E42E6"/>
    <w:rsid w:val="003F081B"/>
    <w:rsid w:val="003F25CD"/>
    <w:rsid w:val="003F2634"/>
    <w:rsid w:val="003F2A54"/>
    <w:rsid w:val="003F2DA2"/>
    <w:rsid w:val="003F30FC"/>
    <w:rsid w:val="003F3BC7"/>
    <w:rsid w:val="003F3E94"/>
    <w:rsid w:val="003F6313"/>
    <w:rsid w:val="003F6ED7"/>
    <w:rsid w:val="003F7DD7"/>
    <w:rsid w:val="00400496"/>
    <w:rsid w:val="0040062A"/>
    <w:rsid w:val="004006E4"/>
    <w:rsid w:val="00400B25"/>
    <w:rsid w:val="00400B80"/>
    <w:rsid w:val="00401147"/>
    <w:rsid w:val="004018C3"/>
    <w:rsid w:val="00402E52"/>
    <w:rsid w:val="004041CA"/>
    <w:rsid w:val="0040508B"/>
    <w:rsid w:val="0040538A"/>
    <w:rsid w:val="0040655B"/>
    <w:rsid w:val="00406CD0"/>
    <w:rsid w:val="00411BFD"/>
    <w:rsid w:val="004139EB"/>
    <w:rsid w:val="00413E92"/>
    <w:rsid w:val="0041442E"/>
    <w:rsid w:val="0041592C"/>
    <w:rsid w:val="00415B97"/>
    <w:rsid w:val="004165B2"/>
    <w:rsid w:val="004167F7"/>
    <w:rsid w:val="0042077F"/>
    <w:rsid w:val="00420F01"/>
    <w:rsid w:val="00421CBC"/>
    <w:rsid w:val="00422B8E"/>
    <w:rsid w:val="00423D25"/>
    <w:rsid w:val="00424846"/>
    <w:rsid w:val="0042656F"/>
    <w:rsid w:val="00426F7F"/>
    <w:rsid w:val="00430D86"/>
    <w:rsid w:val="004343F7"/>
    <w:rsid w:val="004364A0"/>
    <w:rsid w:val="00441014"/>
    <w:rsid w:val="004428AA"/>
    <w:rsid w:val="004443DB"/>
    <w:rsid w:val="004466FC"/>
    <w:rsid w:val="00446794"/>
    <w:rsid w:val="004518D7"/>
    <w:rsid w:val="00451BA6"/>
    <w:rsid w:val="00455D78"/>
    <w:rsid w:val="0045605E"/>
    <w:rsid w:val="0045672F"/>
    <w:rsid w:val="00456B86"/>
    <w:rsid w:val="00456C2E"/>
    <w:rsid w:val="00460680"/>
    <w:rsid w:val="004612D2"/>
    <w:rsid w:val="00462597"/>
    <w:rsid w:val="00464B5C"/>
    <w:rsid w:val="00466168"/>
    <w:rsid w:val="00470BB1"/>
    <w:rsid w:val="00471ACA"/>
    <w:rsid w:val="00471DC6"/>
    <w:rsid w:val="0047222D"/>
    <w:rsid w:val="0047225D"/>
    <w:rsid w:val="00472A9C"/>
    <w:rsid w:val="00474182"/>
    <w:rsid w:val="0047597B"/>
    <w:rsid w:val="004765D4"/>
    <w:rsid w:val="0048002C"/>
    <w:rsid w:val="004804D4"/>
    <w:rsid w:val="00480C32"/>
    <w:rsid w:val="004816E8"/>
    <w:rsid w:val="00482705"/>
    <w:rsid w:val="00482E49"/>
    <w:rsid w:val="0048382F"/>
    <w:rsid w:val="00483A98"/>
    <w:rsid w:val="00484872"/>
    <w:rsid w:val="004857C2"/>
    <w:rsid w:val="004860DB"/>
    <w:rsid w:val="004861C3"/>
    <w:rsid w:val="0048732D"/>
    <w:rsid w:val="004876FD"/>
    <w:rsid w:val="00491916"/>
    <w:rsid w:val="004919B7"/>
    <w:rsid w:val="004919D2"/>
    <w:rsid w:val="00491D4B"/>
    <w:rsid w:val="00491EF8"/>
    <w:rsid w:val="00492E05"/>
    <w:rsid w:val="00495D62"/>
    <w:rsid w:val="00496670"/>
    <w:rsid w:val="00497462"/>
    <w:rsid w:val="00497B51"/>
    <w:rsid w:val="004A0D65"/>
    <w:rsid w:val="004A0D9A"/>
    <w:rsid w:val="004A10F1"/>
    <w:rsid w:val="004A2412"/>
    <w:rsid w:val="004A36C0"/>
    <w:rsid w:val="004A39A2"/>
    <w:rsid w:val="004A4997"/>
    <w:rsid w:val="004A564D"/>
    <w:rsid w:val="004A61D1"/>
    <w:rsid w:val="004A6C29"/>
    <w:rsid w:val="004A7F9E"/>
    <w:rsid w:val="004B0C9B"/>
    <w:rsid w:val="004B1F7D"/>
    <w:rsid w:val="004B31F3"/>
    <w:rsid w:val="004B3716"/>
    <w:rsid w:val="004B375F"/>
    <w:rsid w:val="004B3883"/>
    <w:rsid w:val="004B52CB"/>
    <w:rsid w:val="004B54CA"/>
    <w:rsid w:val="004B5CD1"/>
    <w:rsid w:val="004B676D"/>
    <w:rsid w:val="004B6B8D"/>
    <w:rsid w:val="004B7D6B"/>
    <w:rsid w:val="004C1F66"/>
    <w:rsid w:val="004C2D9C"/>
    <w:rsid w:val="004C357C"/>
    <w:rsid w:val="004C3738"/>
    <w:rsid w:val="004C39BE"/>
    <w:rsid w:val="004C5085"/>
    <w:rsid w:val="004C61DF"/>
    <w:rsid w:val="004C6771"/>
    <w:rsid w:val="004C7539"/>
    <w:rsid w:val="004C75ED"/>
    <w:rsid w:val="004C7CA1"/>
    <w:rsid w:val="004D0D5D"/>
    <w:rsid w:val="004D0DCF"/>
    <w:rsid w:val="004D0E40"/>
    <w:rsid w:val="004D1183"/>
    <w:rsid w:val="004D32B5"/>
    <w:rsid w:val="004D3542"/>
    <w:rsid w:val="004D584E"/>
    <w:rsid w:val="004E02AC"/>
    <w:rsid w:val="004E059D"/>
    <w:rsid w:val="004E1864"/>
    <w:rsid w:val="004E203C"/>
    <w:rsid w:val="004E21C7"/>
    <w:rsid w:val="004E2847"/>
    <w:rsid w:val="004E416F"/>
    <w:rsid w:val="004E461E"/>
    <w:rsid w:val="004E5432"/>
    <w:rsid w:val="004E5CA0"/>
    <w:rsid w:val="004E5CBF"/>
    <w:rsid w:val="004E7672"/>
    <w:rsid w:val="004F0179"/>
    <w:rsid w:val="004F13AB"/>
    <w:rsid w:val="004F2657"/>
    <w:rsid w:val="004F2EC8"/>
    <w:rsid w:val="004F33BB"/>
    <w:rsid w:val="004F3EEB"/>
    <w:rsid w:val="004F584D"/>
    <w:rsid w:val="004F6117"/>
    <w:rsid w:val="004F70BD"/>
    <w:rsid w:val="005040D4"/>
    <w:rsid w:val="00505DE4"/>
    <w:rsid w:val="00506667"/>
    <w:rsid w:val="005069BB"/>
    <w:rsid w:val="00510240"/>
    <w:rsid w:val="0051177F"/>
    <w:rsid w:val="00513AA1"/>
    <w:rsid w:val="00514F1B"/>
    <w:rsid w:val="00515AB6"/>
    <w:rsid w:val="005163B5"/>
    <w:rsid w:val="005173E5"/>
    <w:rsid w:val="00517795"/>
    <w:rsid w:val="00517901"/>
    <w:rsid w:val="00520333"/>
    <w:rsid w:val="00520A8D"/>
    <w:rsid w:val="00520EBC"/>
    <w:rsid w:val="00521F00"/>
    <w:rsid w:val="00523EEC"/>
    <w:rsid w:val="005258DA"/>
    <w:rsid w:val="00526817"/>
    <w:rsid w:val="00526E33"/>
    <w:rsid w:val="00527F27"/>
    <w:rsid w:val="005312E9"/>
    <w:rsid w:val="0053144C"/>
    <w:rsid w:val="00531E4B"/>
    <w:rsid w:val="005348EE"/>
    <w:rsid w:val="00534D57"/>
    <w:rsid w:val="005359D9"/>
    <w:rsid w:val="00535DB8"/>
    <w:rsid w:val="00535DFD"/>
    <w:rsid w:val="00536F7B"/>
    <w:rsid w:val="0053770B"/>
    <w:rsid w:val="00537A29"/>
    <w:rsid w:val="00537BC0"/>
    <w:rsid w:val="00542008"/>
    <w:rsid w:val="00542F7A"/>
    <w:rsid w:val="00545823"/>
    <w:rsid w:val="00550E39"/>
    <w:rsid w:val="005511B2"/>
    <w:rsid w:val="00551668"/>
    <w:rsid w:val="0055206C"/>
    <w:rsid w:val="005524ED"/>
    <w:rsid w:val="00553144"/>
    <w:rsid w:val="005539AD"/>
    <w:rsid w:val="0055492D"/>
    <w:rsid w:val="00554A02"/>
    <w:rsid w:val="005550C6"/>
    <w:rsid w:val="0055601E"/>
    <w:rsid w:val="00557515"/>
    <w:rsid w:val="00557CB3"/>
    <w:rsid w:val="00560CF9"/>
    <w:rsid w:val="00561A72"/>
    <w:rsid w:val="00562D8C"/>
    <w:rsid w:val="00562DEF"/>
    <w:rsid w:val="00563803"/>
    <w:rsid w:val="005656C9"/>
    <w:rsid w:val="00565716"/>
    <w:rsid w:val="00566018"/>
    <w:rsid w:val="00570781"/>
    <w:rsid w:val="00570A06"/>
    <w:rsid w:val="005717E9"/>
    <w:rsid w:val="0057255F"/>
    <w:rsid w:val="00573E0F"/>
    <w:rsid w:val="00574927"/>
    <w:rsid w:val="00574A26"/>
    <w:rsid w:val="00574B05"/>
    <w:rsid w:val="00574D04"/>
    <w:rsid w:val="00575593"/>
    <w:rsid w:val="005755D3"/>
    <w:rsid w:val="0057611D"/>
    <w:rsid w:val="00576162"/>
    <w:rsid w:val="00576A90"/>
    <w:rsid w:val="0058020A"/>
    <w:rsid w:val="00582574"/>
    <w:rsid w:val="00582F7C"/>
    <w:rsid w:val="005834C9"/>
    <w:rsid w:val="00585197"/>
    <w:rsid w:val="00585D80"/>
    <w:rsid w:val="005866D1"/>
    <w:rsid w:val="00586997"/>
    <w:rsid w:val="00586B2A"/>
    <w:rsid w:val="00586BAD"/>
    <w:rsid w:val="00591099"/>
    <w:rsid w:val="00591C73"/>
    <w:rsid w:val="00591F5E"/>
    <w:rsid w:val="005921BC"/>
    <w:rsid w:val="00592871"/>
    <w:rsid w:val="0059298F"/>
    <w:rsid w:val="00592C98"/>
    <w:rsid w:val="00593271"/>
    <w:rsid w:val="0059375C"/>
    <w:rsid w:val="005938B8"/>
    <w:rsid w:val="00593C73"/>
    <w:rsid w:val="0059428B"/>
    <w:rsid w:val="0059516F"/>
    <w:rsid w:val="005957FF"/>
    <w:rsid w:val="00596A9D"/>
    <w:rsid w:val="00596BE0"/>
    <w:rsid w:val="00596C7F"/>
    <w:rsid w:val="005A0EA4"/>
    <w:rsid w:val="005A13C3"/>
    <w:rsid w:val="005A1743"/>
    <w:rsid w:val="005A19CA"/>
    <w:rsid w:val="005A2F64"/>
    <w:rsid w:val="005A4A26"/>
    <w:rsid w:val="005A6000"/>
    <w:rsid w:val="005A621F"/>
    <w:rsid w:val="005A6312"/>
    <w:rsid w:val="005A633A"/>
    <w:rsid w:val="005A643D"/>
    <w:rsid w:val="005A6441"/>
    <w:rsid w:val="005A78B0"/>
    <w:rsid w:val="005B0321"/>
    <w:rsid w:val="005B2E67"/>
    <w:rsid w:val="005B778B"/>
    <w:rsid w:val="005B7ABE"/>
    <w:rsid w:val="005C1061"/>
    <w:rsid w:val="005C1A65"/>
    <w:rsid w:val="005C3AA9"/>
    <w:rsid w:val="005C4C85"/>
    <w:rsid w:val="005D0503"/>
    <w:rsid w:val="005D0C23"/>
    <w:rsid w:val="005D0C68"/>
    <w:rsid w:val="005D0CB0"/>
    <w:rsid w:val="005D1621"/>
    <w:rsid w:val="005D3B28"/>
    <w:rsid w:val="005D3C9C"/>
    <w:rsid w:val="005D4335"/>
    <w:rsid w:val="005D46EF"/>
    <w:rsid w:val="005D5631"/>
    <w:rsid w:val="005D5F3F"/>
    <w:rsid w:val="005D699D"/>
    <w:rsid w:val="005D6B63"/>
    <w:rsid w:val="005E31B0"/>
    <w:rsid w:val="005E33F9"/>
    <w:rsid w:val="005E4642"/>
    <w:rsid w:val="005E605F"/>
    <w:rsid w:val="005E619D"/>
    <w:rsid w:val="005E78D1"/>
    <w:rsid w:val="005F07E8"/>
    <w:rsid w:val="005F0DDE"/>
    <w:rsid w:val="005F1E0F"/>
    <w:rsid w:val="005F21AF"/>
    <w:rsid w:val="005F2FA5"/>
    <w:rsid w:val="005F5CE9"/>
    <w:rsid w:val="005F5DFE"/>
    <w:rsid w:val="005F66C1"/>
    <w:rsid w:val="005F686F"/>
    <w:rsid w:val="005F6BFD"/>
    <w:rsid w:val="005F72DE"/>
    <w:rsid w:val="006005B8"/>
    <w:rsid w:val="00601718"/>
    <w:rsid w:val="00605AEF"/>
    <w:rsid w:val="006075FB"/>
    <w:rsid w:val="00610EAE"/>
    <w:rsid w:val="00610FD9"/>
    <w:rsid w:val="00611605"/>
    <w:rsid w:val="006122E2"/>
    <w:rsid w:val="00612560"/>
    <w:rsid w:val="00612879"/>
    <w:rsid w:val="00612AC8"/>
    <w:rsid w:val="00613954"/>
    <w:rsid w:val="00614FB8"/>
    <w:rsid w:val="00615355"/>
    <w:rsid w:val="006157EC"/>
    <w:rsid w:val="00617556"/>
    <w:rsid w:val="00617958"/>
    <w:rsid w:val="00617F5E"/>
    <w:rsid w:val="00622670"/>
    <w:rsid w:val="00623A2D"/>
    <w:rsid w:val="00623CA5"/>
    <w:rsid w:val="00627094"/>
    <w:rsid w:val="00630E10"/>
    <w:rsid w:val="00633338"/>
    <w:rsid w:val="00633BD8"/>
    <w:rsid w:val="00635D9D"/>
    <w:rsid w:val="00636DFC"/>
    <w:rsid w:val="00637784"/>
    <w:rsid w:val="0064149E"/>
    <w:rsid w:val="00641555"/>
    <w:rsid w:val="006418CC"/>
    <w:rsid w:val="00641FA4"/>
    <w:rsid w:val="00643D33"/>
    <w:rsid w:val="00643E7D"/>
    <w:rsid w:val="00645007"/>
    <w:rsid w:val="006453A0"/>
    <w:rsid w:val="006455BC"/>
    <w:rsid w:val="0064716B"/>
    <w:rsid w:val="0065005C"/>
    <w:rsid w:val="00650B72"/>
    <w:rsid w:val="00651E5E"/>
    <w:rsid w:val="006520F1"/>
    <w:rsid w:val="006526AA"/>
    <w:rsid w:val="006537B0"/>
    <w:rsid w:val="00653B87"/>
    <w:rsid w:val="0065417B"/>
    <w:rsid w:val="00654364"/>
    <w:rsid w:val="0065498E"/>
    <w:rsid w:val="00654F92"/>
    <w:rsid w:val="0066083A"/>
    <w:rsid w:val="00660A79"/>
    <w:rsid w:val="00662221"/>
    <w:rsid w:val="00664E61"/>
    <w:rsid w:val="00664F75"/>
    <w:rsid w:val="006670E0"/>
    <w:rsid w:val="00667123"/>
    <w:rsid w:val="00667FDC"/>
    <w:rsid w:val="00672240"/>
    <w:rsid w:val="006739CD"/>
    <w:rsid w:val="006763EB"/>
    <w:rsid w:val="006765FF"/>
    <w:rsid w:val="00676FF9"/>
    <w:rsid w:val="0067720F"/>
    <w:rsid w:val="006778C1"/>
    <w:rsid w:val="006806D4"/>
    <w:rsid w:val="00681404"/>
    <w:rsid w:val="006814D2"/>
    <w:rsid w:val="00681953"/>
    <w:rsid w:val="00681C8B"/>
    <w:rsid w:val="00681CB7"/>
    <w:rsid w:val="00682318"/>
    <w:rsid w:val="00682861"/>
    <w:rsid w:val="00683992"/>
    <w:rsid w:val="00685054"/>
    <w:rsid w:val="0068581B"/>
    <w:rsid w:val="0068748D"/>
    <w:rsid w:val="0068765A"/>
    <w:rsid w:val="00691745"/>
    <w:rsid w:val="0069329B"/>
    <w:rsid w:val="006941A0"/>
    <w:rsid w:val="00696527"/>
    <w:rsid w:val="00697772"/>
    <w:rsid w:val="00697C41"/>
    <w:rsid w:val="00697F76"/>
    <w:rsid w:val="006A024A"/>
    <w:rsid w:val="006A0C55"/>
    <w:rsid w:val="006A1AFD"/>
    <w:rsid w:val="006A1ECD"/>
    <w:rsid w:val="006A3991"/>
    <w:rsid w:val="006A3A5F"/>
    <w:rsid w:val="006A45B5"/>
    <w:rsid w:val="006A4CE7"/>
    <w:rsid w:val="006A62E2"/>
    <w:rsid w:val="006A6798"/>
    <w:rsid w:val="006A6F51"/>
    <w:rsid w:val="006B04F5"/>
    <w:rsid w:val="006B12DE"/>
    <w:rsid w:val="006B149D"/>
    <w:rsid w:val="006B45AF"/>
    <w:rsid w:val="006B46BC"/>
    <w:rsid w:val="006B54FB"/>
    <w:rsid w:val="006B5C4C"/>
    <w:rsid w:val="006B6AD0"/>
    <w:rsid w:val="006B6B89"/>
    <w:rsid w:val="006B78B3"/>
    <w:rsid w:val="006C2BF0"/>
    <w:rsid w:val="006C3F6E"/>
    <w:rsid w:val="006C414F"/>
    <w:rsid w:val="006C5C18"/>
    <w:rsid w:val="006D169F"/>
    <w:rsid w:val="006D272E"/>
    <w:rsid w:val="006D329A"/>
    <w:rsid w:val="006D3613"/>
    <w:rsid w:val="006D5A37"/>
    <w:rsid w:val="006D6329"/>
    <w:rsid w:val="006D688A"/>
    <w:rsid w:val="006D7AC3"/>
    <w:rsid w:val="006E03AE"/>
    <w:rsid w:val="006E070C"/>
    <w:rsid w:val="006E0959"/>
    <w:rsid w:val="006E1ED9"/>
    <w:rsid w:val="006E214C"/>
    <w:rsid w:val="006E259B"/>
    <w:rsid w:val="006E2640"/>
    <w:rsid w:val="006E7A5A"/>
    <w:rsid w:val="006E7B35"/>
    <w:rsid w:val="006F4FF4"/>
    <w:rsid w:val="006F5763"/>
    <w:rsid w:val="006F5FE7"/>
    <w:rsid w:val="006F65BE"/>
    <w:rsid w:val="007002CA"/>
    <w:rsid w:val="007013AD"/>
    <w:rsid w:val="00704099"/>
    <w:rsid w:val="0070450E"/>
    <w:rsid w:val="00704E0E"/>
    <w:rsid w:val="00705502"/>
    <w:rsid w:val="00705AD7"/>
    <w:rsid w:val="00705C90"/>
    <w:rsid w:val="00706077"/>
    <w:rsid w:val="007066D5"/>
    <w:rsid w:val="00706D92"/>
    <w:rsid w:val="00710F7A"/>
    <w:rsid w:val="00712265"/>
    <w:rsid w:val="00712460"/>
    <w:rsid w:val="00712F5C"/>
    <w:rsid w:val="00713CE1"/>
    <w:rsid w:val="007145B8"/>
    <w:rsid w:val="00715B74"/>
    <w:rsid w:val="00717578"/>
    <w:rsid w:val="00720E74"/>
    <w:rsid w:val="007219F1"/>
    <w:rsid w:val="00721AD1"/>
    <w:rsid w:val="007226E7"/>
    <w:rsid w:val="007227EC"/>
    <w:rsid w:val="0072291B"/>
    <w:rsid w:val="00723256"/>
    <w:rsid w:val="00723B6B"/>
    <w:rsid w:val="0072484B"/>
    <w:rsid w:val="00726306"/>
    <w:rsid w:val="0072630D"/>
    <w:rsid w:val="00726350"/>
    <w:rsid w:val="00726378"/>
    <w:rsid w:val="00726D76"/>
    <w:rsid w:val="00726F00"/>
    <w:rsid w:val="00727852"/>
    <w:rsid w:val="007307A7"/>
    <w:rsid w:val="0073099F"/>
    <w:rsid w:val="00730C5F"/>
    <w:rsid w:val="00730C6E"/>
    <w:rsid w:val="00730DDA"/>
    <w:rsid w:val="00730EB6"/>
    <w:rsid w:val="00732BBD"/>
    <w:rsid w:val="00732F37"/>
    <w:rsid w:val="00734358"/>
    <w:rsid w:val="00734648"/>
    <w:rsid w:val="007347EE"/>
    <w:rsid w:val="00734840"/>
    <w:rsid w:val="00735EDC"/>
    <w:rsid w:val="00736491"/>
    <w:rsid w:val="0074016E"/>
    <w:rsid w:val="00740E31"/>
    <w:rsid w:val="007439AA"/>
    <w:rsid w:val="0074446B"/>
    <w:rsid w:val="0074528E"/>
    <w:rsid w:val="00750038"/>
    <w:rsid w:val="0075092C"/>
    <w:rsid w:val="00751ABE"/>
    <w:rsid w:val="0075484E"/>
    <w:rsid w:val="007550F5"/>
    <w:rsid w:val="00755767"/>
    <w:rsid w:val="00755E4D"/>
    <w:rsid w:val="00760DED"/>
    <w:rsid w:val="00761284"/>
    <w:rsid w:val="0076354B"/>
    <w:rsid w:val="00763AF2"/>
    <w:rsid w:val="007641EF"/>
    <w:rsid w:val="00764323"/>
    <w:rsid w:val="00764582"/>
    <w:rsid w:val="00764E75"/>
    <w:rsid w:val="00765549"/>
    <w:rsid w:val="00766CAA"/>
    <w:rsid w:val="00767166"/>
    <w:rsid w:val="007677D9"/>
    <w:rsid w:val="007708B3"/>
    <w:rsid w:val="007719E7"/>
    <w:rsid w:val="007723CF"/>
    <w:rsid w:val="00773433"/>
    <w:rsid w:val="007738E7"/>
    <w:rsid w:val="00773A49"/>
    <w:rsid w:val="007751BE"/>
    <w:rsid w:val="0077647C"/>
    <w:rsid w:val="00776E16"/>
    <w:rsid w:val="007775A1"/>
    <w:rsid w:val="00780925"/>
    <w:rsid w:val="00780F55"/>
    <w:rsid w:val="0078119A"/>
    <w:rsid w:val="007822F4"/>
    <w:rsid w:val="007828BF"/>
    <w:rsid w:val="00783B7D"/>
    <w:rsid w:val="00784C2F"/>
    <w:rsid w:val="00785261"/>
    <w:rsid w:val="0079042E"/>
    <w:rsid w:val="00791CE9"/>
    <w:rsid w:val="00793A38"/>
    <w:rsid w:val="00794C0B"/>
    <w:rsid w:val="00795303"/>
    <w:rsid w:val="0079608F"/>
    <w:rsid w:val="00796287"/>
    <w:rsid w:val="007963B3"/>
    <w:rsid w:val="007A17E4"/>
    <w:rsid w:val="007A2073"/>
    <w:rsid w:val="007A2397"/>
    <w:rsid w:val="007A2767"/>
    <w:rsid w:val="007A3A75"/>
    <w:rsid w:val="007A47B3"/>
    <w:rsid w:val="007A4A42"/>
    <w:rsid w:val="007B0256"/>
    <w:rsid w:val="007B0555"/>
    <w:rsid w:val="007B12B8"/>
    <w:rsid w:val="007B1751"/>
    <w:rsid w:val="007B195D"/>
    <w:rsid w:val="007B1A02"/>
    <w:rsid w:val="007B1F9B"/>
    <w:rsid w:val="007B24F1"/>
    <w:rsid w:val="007B331D"/>
    <w:rsid w:val="007B3D2E"/>
    <w:rsid w:val="007B4627"/>
    <w:rsid w:val="007B4D9D"/>
    <w:rsid w:val="007B62E8"/>
    <w:rsid w:val="007B6469"/>
    <w:rsid w:val="007B7373"/>
    <w:rsid w:val="007B7460"/>
    <w:rsid w:val="007C0244"/>
    <w:rsid w:val="007C0DB1"/>
    <w:rsid w:val="007C100D"/>
    <w:rsid w:val="007C270D"/>
    <w:rsid w:val="007C4879"/>
    <w:rsid w:val="007C4C99"/>
    <w:rsid w:val="007C6013"/>
    <w:rsid w:val="007C6A7F"/>
    <w:rsid w:val="007C763F"/>
    <w:rsid w:val="007D04C8"/>
    <w:rsid w:val="007D1575"/>
    <w:rsid w:val="007D1B8F"/>
    <w:rsid w:val="007D2B41"/>
    <w:rsid w:val="007D2F9B"/>
    <w:rsid w:val="007D3D4E"/>
    <w:rsid w:val="007D45FE"/>
    <w:rsid w:val="007D47C3"/>
    <w:rsid w:val="007D4FB6"/>
    <w:rsid w:val="007D6F0C"/>
    <w:rsid w:val="007D7891"/>
    <w:rsid w:val="007D7EEB"/>
    <w:rsid w:val="007E0CE0"/>
    <w:rsid w:val="007E10B2"/>
    <w:rsid w:val="007E2634"/>
    <w:rsid w:val="007E2FCF"/>
    <w:rsid w:val="007E3F1D"/>
    <w:rsid w:val="007E44F3"/>
    <w:rsid w:val="007E68FF"/>
    <w:rsid w:val="007E6C06"/>
    <w:rsid w:val="007F02D0"/>
    <w:rsid w:val="007F1782"/>
    <w:rsid w:val="007F21C4"/>
    <w:rsid w:val="007F270C"/>
    <w:rsid w:val="007F2BBB"/>
    <w:rsid w:val="007F4017"/>
    <w:rsid w:val="007F6C84"/>
    <w:rsid w:val="007F7ACF"/>
    <w:rsid w:val="007F7F48"/>
    <w:rsid w:val="008016B0"/>
    <w:rsid w:val="0080258E"/>
    <w:rsid w:val="00802737"/>
    <w:rsid w:val="008039D2"/>
    <w:rsid w:val="008043D2"/>
    <w:rsid w:val="00804D02"/>
    <w:rsid w:val="0080564E"/>
    <w:rsid w:val="00806298"/>
    <w:rsid w:val="008101B7"/>
    <w:rsid w:val="00812504"/>
    <w:rsid w:val="00812A15"/>
    <w:rsid w:val="00813481"/>
    <w:rsid w:val="00813951"/>
    <w:rsid w:val="0081441A"/>
    <w:rsid w:val="00814E66"/>
    <w:rsid w:val="008151D9"/>
    <w:rsid w:val="00816D46"/>
    <w:rsid w:val="00817303"/>
    <w:rsid w:val="00817654"/>
    <w:rsid w:val="00820500"/>
    <w:rsid w:val="00820C69"/>
    <w:rsid w:val="00821A87"/>
    <w:rsid w:val="00821F8A"/>
    <w:rsid w:val="00822AEB"/>
    <w:rsid w:val="00822F96"/>
    <w:rsid w:val="008242E3"/>
    <w:rsid w:val="008266B9"/>
    <w:rsid w:val="00826731"/>
    <w:rsid w:val="00826884"/>
    <w:rsid w:val="0082689B"/>
    <w:rsid w:val="008275E5"/>
    <w:rsid w:val="00830A50"/>
    <w:rsid w:val="0083276D"/>
    <w:rsid w:val="00832B0C"/>
    <w:rsid w:val="00832F77"/>
    <w:rsid w:val="00832F99"/>
    <w:rsid w:val="00833F75"/>
    <w:rsid w:val="00834050"/>
    <w:rsid w:val="00834475"/>
    <w:rsid w:val="00834863"/>
    <w:rsid w:val="00835EB4"/>
    <w:rsid w:val="008361EE"/>
    <w:rsid w:val="00840E3F"/>
    <w:rsid w:val="00840FE9"/>
    <w:rsid w:val="00841EA4"/>
    <w:rsid w:val="0084286B"/>
    <w:rsid w:val="008432CF"/>
    <w:rsid w:val="0084450B"/>
    <w:rsid w:val="008445C6"/>
    <w:rsid w:val="008465D8"/>
    <w:rsid w:val="00846910"/>
    <w:rsid w:val="00847144"/>
    <w:rsid w:val="00847308"/>
    <w:rsid w:val="008476F0"/>
    <w:rsid w:val="008478E2"/>
    <w:rsid w:val="00850CE6"/>
    <w:rsid w:val="00850F85"/>
    <w:rsid w:val="00850FCB"/>
    <w:rsid w:val="00851FFC"/>
    <w:rsid w:val="00853257"/>
    <w:rsid w:val="00853EC0"/>
    <w:rsid w:val="00855915"/>
    <w:rsid w:val="00856593"/>
    <w:rsid w:val="00856B3A"/>
    <w:rsid w:val="0085786D"/>
    <w:rsid w:val="008600AF"/>
    <w:rsid w:val="00860F3E"/>
    <w:rsid w:val="008631F7"/>
    <w:rsid w:val="00863C7F"/>
    <w:rsid w:val="008649B0"/>
    <w:rsid w:val="0086509F"/>
    <w:rsid w:val="0086544A"/>
    <w:rsid w:val="008660BE"/>
    <w:rsid w:val="008662F5"/>
    <w:rsid w:val="008671BD"/>
    <w:rsid w:val="00867E1D"/>
    <w:rsid w:val="00870EDC"/>
    <w:rsid w:val="00871B9C"/>
    <w:rsid w:val="00872123"/>
    <w:rsid w:val="008721E2"/>
    <w:rsid w:val="00872285"/>
    <w:rsid w:val="008723CD"/>
    <w:rsid w:val="00872EF7"/>
    <w:rsid w:val="00873D9C"/>
    <w:rsid w:val="00875AA9"/>
    <w:rsid w:val="00876741"/>
    <w:rsid w:val="00876A2A"/>
    <w:rsid w:val="00877A07"/>
    <w:rsid w:val="00877F09"/>
    <w:rsid w:val="00880C4D"/>
    <w:rsid w:val="008818F4"/>
    <w:rsid w:val="00882525"/>
    <w:rsid w:val="00885D2C"/>
    <w:rsid w:val="00887867"/>
    <w:rsid w:val="008879FA"/>
    <w:rsid w:val="00891548"/>
    <w:rsid w:val="0089253B"/>
    <w:rsid w:val="00892736"/>
    <w:rsid w:val="00892A46"/>
    <w:rsid w:val="00892EFD"/>
    <w:rsid w:val="0089315A"/>
    <w:rsid w:val="00893BDC"/>
    <w:rsid w:val="00894A17"/>
    <w:rsid w:val="008958A2"/>
    <w:rsid w:val="00896939"/>
    <w:rsid w:val="00896D37"/>
    <w:rsid w:val="008A0608"/>
    <w:rsid w:val="008A0D91"/>
    <w:rsid w:val="008A19D5"/>
    <w:rsid w:val="008A1AEA"/>
    <w:rsid w:val="008A1E8E"/>
    <w:rsid w:val="008A344B"/>
    <w:rsid w:val="008A3FDF"/>
    <w:rsid w:val="008A501D"/>
    <w:rsid w:val="008A520B"/>
    <w:rsid w:val="008A63BE"/>
    <w:rsid w:val="008A73C8"/>
    <w:rsid w:val="008B0758"/>
    <w:rsid w:val="008B19B0"/>
    <w:rsid w:val="008B2E88"/>
    <w:rsid w:val="008B32CB"/>
    <w:rsid w:val="008B3B11"/>
    <w:rsid w:val="008B419B"/>
    <w:rsid w:val="008B4619"/>
    <w:rsid w:val="008B51CA"/>
    <w:rsid w:val="008B7AE3"/>
    <w:rsid w:val="008C0047"/>
    <w:rsid w:val="008C010B"/>
    <w:rsid w:val="008C245D"/>
    <w:rsid w:val="008C3624"/>
    <w:rsid w:val="008C3AF3"/>
    <w:rsid w:val="008C5B5A"/>
    <w:rsid w:val="008C656E"/>
    <w:rsid w:val="008C6722"/>
    <w:rsid w:val="008C6C5B"/>
    <w:rsid w:val="008C6CE2"/>
    <w:rsid w:val="008C7E4D"/>
    <w:rsid w:val="008D0BDF"/>
    <w:rsid w:val="008D0F0B"/>
    <w:rsid w:val="008D217E"/>
    <w:rsid w:val="008D25C1"/>
    <w:rsid w:val="008D4B76"/>
    <w:rsid w:val="008D4BA7"/>
    <w:rsid w:val="008D5303"/>
    <w:rsid w:val="008D5C4D"/>
    <w:rsid w:val="008D62DB"/>
    <w:rsid w:val="008D64B9"/>
    <w:rsid w:val="008D6592"/>
    <w:rsid w:val="008D6D99"/>
    <w:rsid w:val="008E1A7D"/>
    <w:rsid w:val="008E1F1B"/>
    <w:rsid w:val="008E29C9"/>
    <w:rsid w:val="008E7810"/>
    <w:rsid w:val="008E7ACA"/>
    <w:rsid w:val="008E7F67"/>
    <w:rsid w:val="008F0E74"/>
    <w:rsid w:val="008F321B"/>
    <w:rsid w:val="008F4882"/>
    <w:rsid w:val="008F7372"/>
    <w:rsid w:val="008F7645"/>
    <w:rsid w:val="008F7C31"/>
    <w:rsid w:val="009011E5"/>
    <w:rsid w:val="009017C5"/>
    <w:rsid w:val="00901F50"/>
    <w:rsid w:val="009023D0"/>
    <w:rsid w:val="00904297"/>
    <w:rsid w:val="00904B8E"/>
    <w:rsid w:val="00905671"/>
    <w:rsid w:val="009056B6"/>
    <w:rsid w:val="00905783"/>
    <w:rsid w:val="009073D2"/>
    <w:rsid w:val="009077CB"/>
    <w:rsid w:val="00907B76"/>
    <w:rsid w:val="009101E9"/>
    <w:rsid w:val="00910F0D"/>
    <w:rsid w:val="0091120E"/>
    <w:rsid w:val="00911343"/>
    <w:rsid w:val="00911976"/>
    <w:rsid w:val="009152E8"/>
    <w:rsid w:val="00921295"/>
    <w:rsid w:val="009225F0"/>
    <w:rsid w:val="00922626"/>
    <w:rsid w:val="009238BF"/>
    <w:rsid w:val="00923ED2"/>
    <w:rsid w:val="009244FE"/>
    <w:rsid w:val="00924C91"/>
    <w:rsid w:val="00925BFC"/>
    <w:rsid w:val="00925EAF"/>
    <w:rsid w:val="0092625C"/>
    <w:rsid w:val="00927263"/>
    <w:rsid w:val="00933805"/>
    <w:rsid w:val="00933B2A"/>
    <w:rsid w:val="00933EF1"/>
    <w:rsid w:val="009361C5"/>
    <w:rsid w:val="00936CCC"/>
    <w:rsid w:val="00940AC8"/>
    <w:rsid w:val="0094149A"/>
    <w:rsid w:val="00941D65"/>
    <w:rsid w:val="009430C7"/>
    <w:rsid w:val="00945136"/>
    <w:rsid w:val="00945E5F"/>
    <w:rsid w:val="009461DF"/>
    <w:rsid w:val="009466D2"/>
    <w:rsid w:val="00950DCA"/>
    <w:rsid w:val="00950F57"/>
    <w:rsid w:val="00952A0D"/>
    <w:rsid w:val="00953C41"/>
    <w:rsid w:val="00954681"/>
    <w:rsid w:val="0095485A"/>
    <w:rsid w:val="00954B0B"/>
    <w:rsid w:val="0095513E"/>
    <w:rsid w:val="0095533A"/>
    <w:rsid w:val="00955DB3"/>
    <w:rsid w:val="00957ACA"/>
    <w:rsid w:val="00957E88"/>
    <w:rsid w:val="00960363"/>
    <w:rsid w:val="00961B4E"/>
    <w:rsid w:val="00961C5B"/>
    <w:rsid w:val="009622C1"/>
    <w:rsid w:val="00964224"/>
    <w:rsid w:val="0096443A"/>
    <w:rsid w:val="00964C5B"/>
    <w:rsid w:val="00964E03"/>
    <w:rsid w:val="00965EBD"/>
    <w:rsid w:val="00966323"/>
    <w:rsid w:val="0096681C"/>
    <w:rsid w:val="00966846"/>
    <w:rsid w:val="009676E8"/>
    <w:rsid w:val="00967957"/>
    <w:rsid w:val="009703C4"/>
    <w:rsid w:val="009714A8"/>
    <w:rsid w:val="0097290B"/>
    <w:rsid w:val="009748B5"/>
    <w:rsid w:val="00974D58"/>
    <w:rsid w:val="00975869"/>
    <w:rsid w:val="009764F0"/>
    <w:rsid w:val="0097684E"/>
    <w:rsid w:val="00976CD9"/>
    <w:rsid w:val="00976E8D"/>
    <w:rsid w:val="00977963"/>
    <w:rsid w:val="00977DA7"/>
    <w:rsid w:val="00982754"/>
    <w:rsid w:val="00984390"/>
    <w:rsid w:val="009875FB"/>
    <w:rsid w:val="00990FF7"/>
    <w:rsid w:val="00993D6D"/>
    <w:rsid w:val="00995E57"/>
    <w:rsid w:val="009A0941"/>
    <w:rsid w:val="009A3B67"/>
    <w:rsid w:val="009A3FFC"/>
    <w:rsid w:val="009A5AC1"/>
    <w:rsid w:val="009A5B85"/>
    <w:rsid w:val="009A6155"/>
    <w:rsid w:val="009A686B"/>
    <w:rsid w:val="009A6E19"/>
    <w:rsid w:val="009A7F4E"/>
    <w:rsid w:val="009B0928"/>
    <w:rsid w:val="009B1839"/>
    <w:rsid w:val="009B1C5B"/>
    <w:rsid w:val="009B2942"/>
    <w:rsid w:val="009B2EED"/>
    <w:rsid w:val="009B50A5"/>
    <w:rsid w:val="009B5EFC"/>
    <w:rsid w:val="009B61F9"/>
    <w:rsid w:val="009B62D0"/>
    <w:rsid w:val="009B691C"/>
    <w:rsid w:val="009B6E24"/>
    <w:rsid w:val="009C01A0"/>
    <w:rsid w:val="009C2176"/>
    <w:rsid w:val="009C34F0"/>
    <w:rsid w:val="009C360F"/>
    <w:rsid w:val="009C36EB"/>
    <w:rsid w:val="009C4200"/>
    <w:rsid w:val="009C42B2"/>
    <w:rsid w:val="009C694D"/>
    <w:rsid w:val="009C6998"/>
    <w:rsid w:val="009C6DA4"/>
    <w:rsid w:val="009C750A"/>
    <w:rsid w:val="009C78AF"/>
    <w:rsid w:val="009D03B0"/>
    <w:rsid w:val="009D36F3"/>
    <w:rsid w:val="009D380C"/>
    <w:rsid w:val="009D4600"/>
    <w:rsid w:val="009D6666"/>
    <w:rsid w:val="009D6FFE"/>
    <w:rsid w:val="009D7B02"/>
    <w:rsid w:val="009E077E"/>
    <w:rsid w:val="009E1CB5"/>
    <w:rsid w:val="009E40F9"/>
    <w:rsid w:val="009E4B1D"/>
    <w:rsid w:val="009E5042"/>
    <w:rsid w:val="009E5CFF"/>
    <w:rsid w:val="009E654B"/>
    <w:rsid w:val="009E742A"/>
    <w:rsid w:val="009E7E30"/>
    <w:rsid w:val="009E7F5A"/>
    <w:rsid w:val="009F42B8"/>
    <w:rsid w:val="009F4FAD"/>
    <w:rsid w:val="009F68B4"/>
    <w:rsid w:val="009F6E27"/>
    <w:rsid w:val="009F7035"/>
    <w:rsid w:val="009F71FE"/>
    <w:rsid w:val="009F74E5"/>
    <w:rsid w:val="009F7C45"/>
    <w:rsid w:val="00A01981"/>
    <w:rsid w:val="00A02301"/>
    <w:rsid w:val="00A03B19"/>
    <w:rsid w:val="00A04A76"/>
    <w:rsid w:val="00A052D6"/>
    <w:rsid w:val="00A05915"/>
    <w:rsid w:val="00A05CD2"/>
    <w:rsid w:val="00A063B5"/>
    <w:rsid w:val="00A06903"/>
    <w:rsid w:val="00A06B1B"/>
    <w:rsid w:val="00A10EFC"/>
    <w:rsid w:val="00A11AC4"/>
    <w:rsid w:val="00A13783"/>
    <w:rsid w:val="00A13864"/>
    <w:rsid w:val="00A14204"/>
    <w:rsid w:val="00A15A18"/>
    <w:rsid w:val="00A16CD1"/>
    <w:rsid w:val="00A17422"/>
    <w:rsid w:val="00A20CE9"/>
    <w:rsid w:val="00A21351"/>
    <w:rsid w:val="00A219C2"/>
    <w:rsid w:val="00A21D80"/>
    <w:rsid w:val="00A24862"/>
    <w:rsid w:val="00A27A9C"/>
    <w:rsid w:val="00A27D99"/>
    <w:rsid w:val="00A32056"/>
    <w:rsid w:val="00A33264"/>
    <w:rsid w:val="00A345E1"/>
    <w:rsid w:val="00A348E9"/>
    <w:rsid w:val="00A34C57"/>
    <w:rsid w:val="00A36773"/>
    <w:rsid w:val="00A41EB0"/>
    <w:rsid w:val="00A4203D"/>
    <w:rsid w:val="00A420DA"/>
    <w:rsid w:val="00A426EA"/>
    <w:rsid w:val="00A426FB"/>
    <w:rsid w:val="00A42E0D"/>
    <w:rsid w:val="00A451EB"/>
    <w:rsid w:val="00A46305"/>
    <w:rsid w:val="00A47174"/>
    <w:rsid w:val="00A47F24"/>
    <w:rsid w:val="00A50836"/>
    <w:rsid w:val="00A50CA7"/>
    <w:rsid w:val="00A50D1B"/>
    <w:rsid w:val="00A525A4"/>
    <w:rsid w:val="00A550B0"/>
    <w:rsid w:val="00A554D1"/>
    <w:rsid w:val="00A56753"/>
    <w:rsid w:val="00A56B92"/>
    <w:rsid w:val="00A56D65"/>
    <w:rsid w:val="00A606FF"/>
    <w:rsid w:val="00A61A7C"/>
    <w:rsid w:val="00A61E7C"/>
    <w:rsid w:val="00A630C5"/>
    <w:rsid w:val="00A63C5B"/>
    <w:rsid w:val="00A645EB"/>
    <w:rsid w:val="00A646C6"/>
    <w:rsid w:val="00A65E65"/>
    <w:rsid w:val="00A67062"/>
    <w:rsid w:val="00A7135D"/>
    <w:rsid w:val="00A71751"/>
    <w:rsid w:val="00A71856"/>
    <w:rsid w:val="00A74BC0"/>
    <w:rsid w:val="00A77A0A"/>
    <w:rsid w:val="00A80042"/>
    <w:rsid w:val="00A80AA4"/>
    <w:rsid w:val="00A826D3"/>
    <w:rsid w:val="00A8352F"/>
    <w:rsid w:val="00A8415C"/>
    <w:rsid w:val="00A84BD6"/>
    <w:rsid w:val="00A86569"/>
    <w:rsid w:val="00A86D72"/>
    <w:rsid w:val="00A90449"/>
    <w:rsid w:val="00A91591"/>
    <w:rsid w:val="00A92707"/>
    <w:rsid w:val="00A92838"/>
    <w:rsid w:val="00A92E39"/>
    <w:rsid w:val="00A932B8"/>
    <w:rsid w:val="00A9438A"/>
    <w:rsid w:val="00A971B3"/>
    <w:rsid w:val="00AA02E5"/>
    <w:rsid w:val="00AA0637"/>
    <w:rsid w:val="00AA0E0F"/>
    <w:rsid w:val="00AA13C0"/>
    <w:rsid w:val="00AA144E"/>
    <w:rsid w:val="00AA2A7F"/>
    <w:rsid w:val="00AA2CE3"/>
    <w:rsid w:val="00AA2EFF"/>
    <w:rsid w:val="00AA38BC"/>
    <w:rsid w:val="00AA38DB"/>
    <w:rsid w:val="00AA3A60"/>
    <w:rsid w:val="00AA4537"/>
    <w:rsid w:val="00AA49E1"/>
    <w:rsid w:val="00AA4A8E"/>
    <w:rsid w:val="00AA6762"/>
    <w:rsid w:val="00AA6A5B"/>
    <w:rsid w:val="00AA6ABB"/>
    <w:rsid w:val="00AA73D7"/>
    <w:rsid w:val="00AB0931"/>
    <w:rsid w:val="00AB0FCA"/>
    <w:rsid w:val="00AB231D"/>
    <w:rsid w:val="00AB282F"/>
    <w:rsid w:val="00AB2B8C"/>
    <w:rsid w:val="00AB3564"/>
    <w:rsid w:val="00AB360D"/>
    <w:rsid w:val="00AB3D24"/>
    <w:rsid w:val="00AB57F3"/>
    <w:rsid w:val="00AB5DE9"/>
    <w:rsid w:val="00AB6C34"/>
    <w:rsid w:val="00AB7F0F"/>
    <w:rsid w:val="00AC0D0E"/>
    <w:rsid w:val="00AC0F64"/>
    <w:rsid w:val="00AC153C"/>
    <w:rsid w:val="00AC15D1"/>
    <w:rsid w:val="00AC1A29"/>
    <w:rsid w:val="00AC2501"/>
    <w:rsid w:val="00AC2CAA"/>
    <w:rsid w:val="00AC2FF7"/>
    <w:rsid w:val="00AC3D68"/>
    <w:rsid w:val="00AC4505"/>
    <w:rsid w:val="00AC51D7"/>
    <w:rsid w:val="00AC5AE0"/>
    <w:rsid w:val="00AC5BE7"/>
    <w:rsid w:val="00AC67C5"/>
    <w:rsid w:val="00AC7D18"/>
    <w:rsid w:val="00AD1B6F"/>
    <w:rsid w:val="00AD1B8D"/>
    <w:rsid w:val="00AD341E"/>
    <w:rsid w:val="00AD3ABB"/>
    <w:rsid w:val="00AD5075"/>
    <w:rsid w:val="00AD517E"/>
    <w:rsid w:val="00AD5F76"/>
    <w:rsid w:val="00AD7D5E"/>
    <w:rsid w:val="00AE001B"/>
    <w:rsid w:val="00AE091A"/>
    <w:rsid w:val="00AE23EB"/>
    <w:rsid w:val="00AE26F0"/>
    <w:rsid w:val="00AE346F"/>
    <w:rsid w:val="00AE377D"/>
    <w:rsid w:val="00AE49F3"/>
    <w:rsid w:val="00AE51C6"/>
    <w:rsid w:val="00AE532D"/>
    <w:rsid w:val="00AE6762"/>
    <w:rsid w:val="00AE76AF"/>
    <w:rsid w:val="00AE7752"/>
    <w:rsid w:val="00AF11CA"/>
    <w:rsid w:val="00AF2B54"/>
    <w:rsid w:val="00AF31D5"/>
    <w:rsid w:val="00AF66ED"/>
    <w:rsid w:val="00AF700A"/>
    <w:rsid w:val="00AF72D5"/>
    <w:rsid w:val="00B0064D"/>
    <w:rsid w:val="00B014AF"/>
    <w:rsid w:val="00B01AB6"/>
    <w:rsid w:val="00B01C4A"/>
    <w:rsid w:val="00B01E40"/>
    <w:rsid w:val="00B0263C"/>
    <w:rsid w:val="00B02B32"/>
    <w:rsid w:val="00B03692"/>
    <w:rsid w:val="00B03E01"/>
    <w:rsid w:val="00B040FE"/>
    <w:rsid w:val="00B043BA"/>
    <w:rsid w:val="00B047C5"/>
    <w:rsid w:val="00B05201"/>
    <w:rsid w:val="00B05D15"/>
    <w:rsid w:val="00B078E1"/>
    <w:rsid w:val="00B10D7A"/>
    <w:rsid w:val="00B111AF"/>
    <w:rsid w:val="00B112C7"/>
    <w:rsid w:val="00B11835"/>
    <w:rsid w:val="00B1295A"/>
    <w:rsid w:val="00B14687"/>
    <w:rsid w:val="00B15934"/>
    <w:rsid w:val="00B17998"/>
    <w:rsid w:val="00B17AAB"/>
    <w:rsid w:val="00B17EEC"/>
    <w:rsid w:val="00B216ED"/>
    <w:rsid w:val="00B2524F"/>
    <w:rsid w:val="00B255F2"/>
    <w:rsid w:val="00B27DFD"/>
    <w:rsid w:val="00B27FA1"/>
    <w:rsid w:val="00B301A4"/>
    <w:rsid w:val="00B31089"/>
    <w:rsid w:val="00B311EF"/>
    <w:rsid w:val="00B31E96"/>
    <w:rsid w:val="00B322A0"/>
    <w:rsid w:val="00B32797"/>
    <w:rsid w:val="00B3294D"/>
    <w:rsid w:val="00B32A50"/>
    <w:rsid w:val="00B3382A"/>
    <w:rsid w:val="00B33867"/>
    <w:rsid w:val="00B349D9"/>
    <w:rsid w:val="00B3543B"/>
    <w:rsid w:val="00B35A4B"/>
    <w:rsid w:val="00B43B3B"/>
    <w:rsid w:val="00B449F1"/>
    <w:rsid w:val="00B464C8"/>
    <w:rsid w:val="00B47ABB"/>
    <w:rsid w:val="00B50ED0"/>
    <w:rsid w:val="00B53EC9"/>
    <w:rsid w:val="00B57047"/>
    <w:rsid w:val="00B57C21"/>
    <w:rsid w:val="00B57FE2"/>
    <w:rsid w:val="00B6004D"/>
    <w:rsid w:val="00B61B25"/>
    <w:rsid w:val="00B627FC"/>
    <w:rsid w:val="00B62D33"/>
    <w:rsid w:val="00B639E0"/>
    <w:rsid w:val="00B63FE9"/>
    <w:rsid w:val="00B65943"/>
    <w:rsid w:val="00B6699F"/>
    <w:rsid w:val="00B6775E"/>
    <w:rsid w:val="00B67C8B"/>
    <w:rsid w:val="00B70070"/>
    <w:rsid w:val="00B7031A"/>
    <w:rsid w:val="00B70CB6"/>
    <w:rsid w:val="00B71828"/>
    <w:rsid w:val="00B719ED"/>
    <w:rsid w:val="00B72D80"/>
    <w:rsid w:val="00B73DA2"/>
    <w:rsid w:val="00B73F08"/>
    <w:rsid w:val="00B743CB"/>
    <w:rsid w:val="00B7710E"/>
    <w:rsid w:val="00B8199A"/>
    <w:rsid w:val="00B83978"/>
    <w:rsid w:val="00B86011"/>
    <w:rsid w:val="00B86427"/>
    <w:rsid w:val="00B8693F"/>
    <w:rsid w:val="00B86E77"/>
    <w:rsid w:val="00B8787E"/>
    <w:rsid w:val="00B87A70"/>
    <w:rsid w:val="00B90433"/>
    <w:rsid w:val="00B94E66"/>
    <w:rsid w:val="00B95D8A"/>
    <w:rsid w:val="00B962B1"/>
    <w:rsid w:val="00B969E8"/>
    <w:rsid w:val="00B96F4D"/>
    <w:rsid w:val="00B97A26"/>
    <w:rsid w:val="00BA00A5"/>
    <w:rsid w:val="00BA1155"/>
    <w:rsid w:val="00BA159E"/>
    <w:rsid w:val="00BA16E0"/>
    <w:rsid w:val="00BA19BC"/>
    <w:rsid w:val="00BA1FC0"/>
    <w:rsid w:val="00BA28BE"/>
    <w:rsid w:val="00BA2DB9"/>
    <w:rsid w:val="00BA537E"/>
    <w:rsid w:val="00BA5656"/>
    <w:rsid w:val="00BA56AF"/>
    <w:rsid w:val="00BA62D1"/>
    <w:rsid w:val="00BB0F99"/>
    <w:rsid w:val="00BB19C2"/>
    <w:rsid w:val="00BB2106"/>
    <w:rsid w:val="00BB23CF"/>
    <w:rsid w:val="00BB40DF"/>
    <w:rsid w:val="00BB4F8C"/>
    <w:rsid w:val="00BB51D0"/>
    <w:rsid w:val="00BB777A"/>
    <w:rsid w:val="00BC1253"/>
    <w:rsid w:val="00BC1502"/>
    <w:rsid w:val="00BC15B7"/>
    <w:rsid w:val="00BC2330"/>
    <w:rsid w:val="00BC418A"/>
    <w:rsid w:val="00BD028D"/>
    <w:rsid w:val="00BD257B"/>
    <w:rsid w:val="00BD268B"/>
    <w:rsid w:val="00BD5DD2"/>
    <w:rsid w:val="00BD5E4E"/>
    <w:rsid w:val="00BD5EAA"/>
    <w:rsid w:val="00BD71AB"/>
    <w:rsid w:val="00BD7BB9"/>
    <w:rsid w:val="00BD7EC4"/>
    <w:rsid w:val="00BE0BD5"/>
    <w:rsid w:val="00BE3007"/>
    <w:rsid w:val="00BE3421"/>
    <w:rsid w:val="00BE3506"/>
    <w:rsid w:val="00BE58DA"/>
    <w:rsid w:val="00BE632A"/>
    <w:rsid w:val="00BE69A5"/>
    <w:rsid w:val="00BE7148"/>
    <w:rsid w:val="00BF0194"/>
    <w:rsid w:val="00BF055A"/>
    <w:rsid w:val="00BF0A37"/>
    <w:rsid w:val="00BF159D"/>
    <w:rsid w:val="00BF265E"/>
    <w:rsid w:val="00BF41E8"/>
    <w:rsid w:val="00BF4814"/>
    <w:rsid w:val="00BF5D0D"/>
    <w:rsid w:val="00BF6B6E"/>
    <w:rsid w:val="00BF7483"/>
    <w:rsid w:val="00C009BC"/>
    <w:rsid w:val="00C00FA0"/>
    <w:rsid w:val="00C01B34"/>
    <w:rsid w:val="00C02A28"/>
    <w:rsid w:val="00C02AF3"/>
    <w:rsid w:val="00C0310B"/>
    <w:rsid w:val="00C03571"/>
    <w:rsid w:val="00C038F6"/>
    <w:rsid w:val="00C0444B"/>
    <w:rsid w:val="00C0556A"/>
    <w:rsid w:val="00C05A58"/>
    <w:rsid w:val="00C05D84"/>
    <w:rsid w:val="00C107E1"/>
    <w:rsid w:val="00C10BEA"/>
    <w:rsid w:val="00C11413"/>
    <w:rsid w:val="00C11753"/>
    <w:rsid w:val="00C117FF"/>
    <w:rsid w:val="00C118D1"/>
    <w:rsid w:val="00C13759"/>
    <w:rsid w:val="00C1460B"/>
    <w:rsid w:val="00C14694"/>
    <w:rsid w:val="00C14E77"/>
    <w:rsid w:val="00C159BF"/>
    <w:rsid w:val="00C16206"/>
    <w:rsid w:val="00C16C23"/>
    <w:rsid w:val="00C17E0C"/>
    <w:rsid w:val="00C2160C"/>
    <w:rsid w:val="00C2233D"/>
    <w:rsid w:val="00C223DD"/>
    <w:rsid w:val="00C2250E"/>
    <w:rsid w:val="00C2397C"/>
    <w:rsid w:val="00C244A1"/>
    <w:rsid w:val="00C24B45"/>
    <w:rsid w:val="00C24C39"/>
    <w:rsid w:val="00C25B9C"/>
    <w:rsid w:val="00C26503"/>
    <w:rsid w:val="00C26C62"/>
    <w:rsid w:val="00C27827"/>
    <w:rsid w:val="00C27C63"/>
    <w:rsid w:val="00C31002"/>
    <w:rsid w:val="00C3116F"/>
    <w:rsid w:val="00C31A6F"/>
    <w:rsid w:val="00C3211D"/>
    <w:rsid w:val="00C34832"/>
    <w:rsid w:val="00C354C9"/>
    <w:rsid w:val="00C369CF"/>
    <w:rsid w:val="00C40652"/>
    <w:rsid w:val="00C416A6"/>
    <w:rsid w:val="00C41AF5"/>
    <w:rsid w:val="00C4270E"/>
    <w:rsid w:val="00C42FD6"/>
    <w:rsid w:val="00C4393D"/>
    <w:rsid w:val="00C4397A"/>
    <w:rsid w:val="00C43A08"/>
    <w:rsid w:val="00C46666"/>
    <w:rsid w:val="00C4692F"/>
    <w:rsid w:val="00C46EB0"/>
    <w:rsid w:val="00C4720F"/>
    <w:rsid w:val="00C47A75"/>
    <w:rsid w:val="00C50D0F"/>
    <w:rsid w:val="00C5199E"/>
    <w:rsid w:val="00C526C5"/>
    <w:rsid w:val="00C5430D"/>
    <w:rsid w:val="00C54B33"/>
    <w:rsid w:val="00C54B3A"/>
    <w:rsid w:val="00C55404"/>
    <w:rsid w:val="00C56323"/>
    <w:rsid w:val="00C578BF"/>
    <w:rsid w:val="00C60755"/>
    <w:rsid w:val="00C60FE8"/>
    <w:rsid w:val="00C61B89"/>
    <w:rsid w:val="00C62FBD"/>
    <w:rsid w:val="00C64C8D"/>
    <w:rsid w:val="00C65496"/>
    <w:rsid w:val="00C655C7"/>
    <w:rsid w:val="00C66422"/>
    <w:rsid w:val="00C666F0"/>
    <w:rsid w:val="00C70225"/>
    <w:rsid w:val="00C703A1"/>
    <w:rsid w:val="00C708EB"/>
    <w:rsid w:val="00C7150A"/>
    <w:rsid w:val="00C71C84"/>
    <w:rsid w:val="00C72AE0"/>
    <w:rsid w:val="00C72D1C"/>
    <w:rsid w:val="00C74028"/>
    <w:rsid w:val="00C7411D"/>
    <w:rsid w:val="00C7651D"/>
    <w:rsid w:val="00C80315"/>
    <w:rsid w:val="00C80844"/>
    <w:rsid w:val="00C821EB"/>
    <w:rsid w:val="00C82242"/>
    <w:rsid w:val="00C82713"/>
    <w:rsid w:val="00C82C42"/>
    <w:rsid w:val="00C83A08"/>
    <w:rsid w:val="00C84203"/>
    <w:rsid w:val="00C844BE"/>
    <w:rsid w:val="00C8488C"/>
    <w:rsid w:val="00C84AA6"/>
    <w:rsid w:val="00C85292"/>
    <w:rsid w:val="00C857DD"/>
    <w:rsid w:val="00C85E29"/>
    <w:rsid w:val="00C86B94"/>
    <w:rsid w:val="00C8737A"/>
    <w:rsid w:val="00C908BB"/>
    <w:rsid w:val="00C9102E"/>
    <w:rsid w:val="00C938B9"/>
    <w:rsid w:val="00C93EBE"/>
    <w:rsid w:val="00C94ACC"/>
    <w:rsid w:val="00C94F1B"/>
    <w:rsid w:val="00C95B3D"/>
    <w:rsid w:val="00C96053"/>
    <w:rsid w:val="00C96B8D"/>
    <w:rsid w:val="00C97790"/>
    <w:rsid w:val="00CA030E"/>
    <w:rsid w:val="00CA06D9"/>
    <w:rsid w:val="00CA15C2"/>
    <w:rsid w:val="00CA185C"/>
    <w:rsid w:val="00CA2EE6"/>
    <w:rsid w:val="00CA3328"/>
    <w:rsid w:val="00CA36E3"/>
    <w:rsid w:val="00CA384D"/>
    <w:rsid w:val="00CA4164"/>
    <w:rsid w:val="00CA44F6"/>
    <w:rsid w:val="00CA5D3C"/>
    <w:rsid w:val="00CA6A93"/>
    <w:rsid w:val="00CA6BA4"/>
    <w:rsid w:val="00CA6BC2"/>
    <w:rsid w:val="00CA7298"/>
    <w:rsid w:val="00CB0EB7"/>
    <w:rsid w:val="00CB143F"/>
    <w:rsid w:val="00CB16B8"/>
    <w:rsid w:val="00CB193B"/>
    <w:rsid w:val="00CB2835"/>
    <w:rsid w:val="00CB3000"/>
    <w:rsid w:val="00CB53BC"/>
    <w:rsid w:val="00CB54E8"/>
    <w:rsid w:val="00CB6138"/>
    <w:rsid w:val="00CB7991"/>
    <w:rsid w:val="00CC0774"/>
    <w:rsid w:val="00CC1405"/>
    <w:rsid w:val="00CC168E"/>
    <w:rsid w:val="00CC2BD5"/>
    <w:rsid w:val="00CC3195"/>
    <w:rsid w:val="00CC33F6"/>
    <w:rsid w:val="00CC378D"/>
    <w:rsid w:val="00CC3C47"/>
    <w:rsid w:val="00CC3FE8"/>
    <w:rsid w:val="00CC49E9"/>
    <w:rsid w:val="00CC4A4F"/>
    <w:rsid w:val="00CC57BD"/>
    <w:rsid w:val="00CC5843"/>
    <w:rsid w:val="00CC5F58"/>
    <w:rsid w:val="00CC60BB"/>
    <w:rsid w:val="00CC702D"/>
    <w:rsid w:val="00CC73B2"/>
    <w:rsid w:val="00CD2018"/>
    <w:rsid w:val="00CD35E4"/>
    <w:rsid w:val="00CD3DF5"/>
    <w:rsid w:val="00CD3FA1"/>
    <w:rsid w:val="00CD531A"/>
    <w:rsid w:val="00CD55A9"/>
    <w:rsid w:val="00CD59EF"/>
    <w:rsid w:val="00CD5DF3"/>
    <w:rsid w:val="00CD61BC"/>
    <w:rsid w:val="00CD63B3"/>
    <w:rsid w:val="00CD66A8"/>
    <w:rsid w:val="00CD67F1"/>
    <w:rsid w:val="00CD6A84"/>
    <w:rsid w:val="00CD6C48"/>
    <w:rsid w:val="00CD779D"/>
    <w:rsid w:val="00CE0385"/>
    <w:rsid w:val="00CE2A04"/>
    <w:rsid w:val="00CE357D"/>
    <w:rsid w:val="00CE35DE"/>
    <w:rsid w:val="00CE3F21"/>
    <w:rsid w:val="00CE3FB4"/>
    <w:rsid w:val="00CE4C51"/>
    <w:rsid w:val="00CE720A"/>
    <w:rsid w:val="00CF200A"/>
    <w:rsid w:val="00CF2572"/>
    <w:rsid w:val="00CF2AB7"/>
    <w:rsid w:val="00CF3E39"/>
    <w:rsid w:val="00CF5562"/>
    <w:rsid w:val="00CF5849"/>
    <w:rsid w:val="00CF5995"/>
    <w:rsid w:val="00CF73E4"/>
    <w:rsid w:val="00CF74D3"/>
    <w:rsid w:val="00D000EA"/>
    <w:rsid w:val="00D003CF"/>
    <w:rsid w:val="00D04537"/>
    <w:rsid w:val="00D051E5"/>
    <w:rsid w:val="00D05403"/>
    <w:rsid w:val="00D05B22"/>
    <w:rsid w:val="00D06004"/>
    <w:rsid w:val="00D06470"/>
    <w:rsid w:val="00D066CF"/>
    <w:rsid w:val="00D114BE"/>
    <w:rsid w:val="00D1437B"/>
    <w:rsid w:val="00D14422"/>
    <w:rsid w:val="00D14483"/>
    <w:rsid w:val="00D164C4"/>
    <w:rsid w:val="00D176DA"/>
    <w:rsid w:val="00D20352"/>
    <w:rsid w:val="00D20C8F"/>
    <w:rsid w:val="00D211A2"/>
    <w:rsid w:val="00D24A04"/>
    <w:rsid w:val="00D26F9A"/>
    <w:rsid w:val="00D30016"/>
    <w:rsid w:val="00D30605"/>
    <w:rsid w:val="00D30B56"/>
    <w:rsid w:val="00D30CDF"/>
    <w:rsid w:val="00D35DB2"/>
    <w:rsid w:val="00D35FF8"/>
    <w:rsid w:val="00D37ACC"/>
    <w:rsid w:val="00D37E7D"/>
    <w:rsid w:val="00D40035"/>
    <w:rsid w:val="00D40337"/>
    <w:rsid w:val="00D40D30"/>
    <w:rsid w:val="00D412ED"/>
    <w:rsid w:val="00D419AA"/>
    <w:rsid w:val="00D419CA"/>
    <w:rsid w:val="00D4477D"/>
    <w:rsid w:val="00D44ADB"/>
    <w:rsid w:val="00D44FB2"/>
    <w:rsid w:val="00D45316"/>
    <w:rsid w:val="00D46AD4"/>
    <w:rsid w:val="00D47774"/>
    <w:rsid w:val="00D52F83"/>
    <w:rsid w:val="00D541D4"/>
    <w:rsid w:val="00D55EB3"/>
    <w:rsid w:val="00D56C72"/>
    <w:rsid w:val="00D57322"/>
    <w:rsid w:val="00D608B4"/>
    <w:rsid w:val="00D6118D"/>
    <w:rsid w:val="00D65A27"/>
    <w:rsid w:val="00D66A40"/>
    <w:rsid w:val="00D6780A"/>
    <w:rsid w:val="00D67EC8"/>
    <w:rsid w:val="00D7230D"/>
    <w:rsid w:val="00D73057"/>
    <w:rsid w:val="00D7463A"/>
    <w:rsid w:val="00D74A06"/>
    <w:rsid w:val="00D7560F"/>
    <w:rsid w:val="00D7659E"/>
    <w:rsid w:val="00D76E73"/>
    <w:rsid w:val="00D776F4"/>
    <w:rsid w:val="00D77CD9"/>
    <w:rsid w:val="00D80838"/>
    <w:rsid w:val="00D817CE"/>
    <w:rsid w:val="00D82066"/>
    <w:rsid w:val="00D83237"/>
    <w:rsid w:val="00D8331A"/>
    <w:rsid w:val="00D86026"/>
    <w:rsid w:val="00D86671"/>
    <w:rsid w:val="00D86D71"/>
    <w:rsid w:val="00D8739D"/>
    <w:rsid w:val="00D87A0F"/>
    <w:rsid w:val="00D904EC"/>
    <w:rsid w:val="00D918FB"/>
    <w:rsid w:val="00D920EE"/>
    <w:rsid w:val="00D92EEC"/>
    <w:rsid w:val="00D93DBA"/>
    <w:rsid w:val="00D943C1"/>
    <w:rsid w:val="00D9533E"/>
    <w:rsid w:val="00D95FB3"/>
    <w:rsid w:val="00D96D51"/>
    <w:rsid w:val="00DA04CF"/>
    <w:rsid w:val="00DA0912"/>
    <w:rsid w:val="00DA0BBD"/>
    <w:rsid w:val="00DA0CEB"/>
    <w:rsid w:val="00DA21D9"/>
    <w:rsid w:val="00DA4342"/>
    <w:rsid w:val="00DA43D9"/>
    <w:rsid w:val="00DA5717"/>
    <w:rsid w:val="00DB055B"/>
    <w:rsid w:val="00DB11F6"/>
    <w:rsid w:val="00DB125A"/>
    <w:rsid w:val="00DB156D"/>
    <w:rsid w:val="00DB3A0C"/>
    <w:rsid w:val="00DB3C4F"/>
    <w:rsid w:val="00DB45AF"/>
    <w:rsid w:val="00DB4F23"/>
    <w:rsid w:val="00DB5410"/>
    <w:rsid w:val="00DB5769"/>
    <w:rsid w:val="00DB6B6A"/>
    <w:rsid w:val="00DB71C0"/>
    <w:rsid w:val="00DB73DE"/>
    <w:rsid w:val="00DB7986"/>
    <w:rsid w:val="00DC1876"/>
    <w:rsid w:val="00DC20A1"/>
    <w:rsid w:val="00DC24DC"/>
    <w:rsid w:val="00DC54C5"/>
    <w:rsid w:val="00DC650E"/>
    <w:rsid w:val="00DC6C1F"/>
    <w:rsid w:val="00DC6D57"/>
    <w:rsid w:val="00DC718B"/>
    <w:rsid w:val="00DC75E6"/>
    <w:rsid w:val="00DC7E91"/>
    <w:rsid w:val="00DD2BFF"/>
    <w:rsid w:val="00DD3D47"/>
    <w:rsid w:val="00DD3E52"/>
    <w:rsid w:val="00DD501B"/>
    <w:rsid w:val="00DD5A86"/>
    <w:rsid w:val="00DE1C7E"/>
    <w:rsid w:val="00DE2551"/>
    <w:rsid w:val="00DE2ADF"/>
    <w:rsid w:val="00DE3193"/>
    <w:rsid w:val="00DE4F5B"/>
    <w:rsid w:val="00DE5043"/>
    <w:rsid w:val="00DE5E6A"/>
    <w:rsid w:val="00DF06B4"/>
    <w:rsid w:val="00DF1880"/>
    <w:rsid w:val="00DF327E"/>
    <w:rsid w:val="00DF4A5F"/>
    <w:rsid w:val="00DF7E1D"/>
    <w:rsid w:val="00E00A45"/>
    <w:rsid w:val="00E01837"/>
    <w:rsid w:val="00E01A08"/>
    <w:rsid w:val="00E02A31"/>
    <w:rsid w:val="00E04B36"/>
    <w:rsid w:val="00E0512B"/>
    <w:rsid w:val="00E11821"/>
    <w:rsid w:val="00E124A7"/>
    <w:rsid w:val="00E1286F"/>
    <w:rsid w:val="00E16083"/>
    <w:rsid w:val="00E17B60"/>
    <w:rsid w:val="00E20085"/>
    <w:rsid w:val="00E21E13"/>
    <w:rsid w:val="00E22872"/>
    <w:rsid w:val="00E23050"/>
    <w:rsid w:val="00E2475A"/>
    <w:rsid w:val="00E2511B"/>
    <w:rsid w:val="00E2624C"/>
    <w:rsid w:val="00E27900"/>
    <w:rsid w:val="00E30002"/>
    <w:rsid w:val="00E310A7"/>
    <w:rsid w:val="00E31597"/>
    <w:rsid w:val="00E316BA"/>
    <w:rsid w:val="00E31719"/>
    <w:rsid w:val="00E3208F"/>
    <w:rsid w:val="00E33033"/>
    <w:rsid w:val="00E33600"/>
    <w:rsid w:val="00E34408"/>
    <w:rsid w:val="00E35112"/>
    <w:rsid w:val="00E3517A"/>
    <w:rsid w:val="00E35B9D"/>
    <w:rsid w:val="00E35C2F"/>
    <w:rsid w:val="00E3615E"/>
    <w:rsid w:val="00E361CF"/>
    <w:rsid w:val="00E37CA4"/>
    <w:rsid w:val="00E42AB0"/>
    <w:rsid w:val="00E431C9"/>
    <w:rsid w:val="00E43A46"/>
    <w:rsid w:val="00E45904"/>
    <w:rsid w:val="00E4798D"/>
    <w:rsid w:val="00E47FA0"/>
    <w:rsid w:val="00E5162E"/>
    <w:rsid w:val="00E523B6"/>
    <w:rsid w:val="00E54104"/>
    <w:rsid w:val="00E56010"/>
    <w:rsid w:val="00E576FB"/>
    <w:rsid w:val="00E57C67"/>
    <w:rsid w:val="00E60A0F"/>
    <w:rsid w:val="00E60CCC"/>
    <w:rsid w:val="00E6151B"/>
    <w:rsid w:val="00E63D88"/>
    <w:rsid w:val="00E64C18"/>
    <w:rsid w:val="00E64EA0"/>
    <w:rsid w:val="00E64FA3"/>
    <w:rsid w:val="00E65441"/>
    <w:rsid w:val="00E655B7"/>
    <w:rsid w:val="00E67C9E"/>
    <w:rsid w:val="00E67DBE"/>
    <w:rsid w:val="00E70ACE"/>
    <w:rsid w:val="00E71897"/>
    <w:rsid w:val="00E72027"/>
    <w:rsid w:val="00E723C3"/>
    <w:rsid w:val="00E74040"/>
    <w:rsid w:val="00E747D2"/>
    <w:rsid w:val="00E74907"/>
    <w:rsid w:val="00E752EC"/>
    <w:rsid w:val="00E777EE"/>
    <w:rsid w:val="00E77E81"/>
    <w:rsid w:val="00E804F9"/>
    <w:rsid w:val="00E83B0D"/>
    <w:rsid w:val="00E852F3"/>
    <w:rsid w:val="00E85651"/>
    <w:rsid w:val="00E85C37"/>
    <w:rsid w:val="00E8696F"/>
    <w:rsid w:val="00E86C7D"/>
    <w:rsid w:val="00E876F5"/>
    <w:rsid w:val="00E903C1"/>
    <w:rsid w:val="00E90C5B"/>
    <w:rsid w:val="00E91E53"/>
    <w:rsid w:val="00E92EBD"/>
    <w:rsid w:val="00E930BB"/>
    <w:rsid w:val="00E9424C"/>
    <w:rsid w:val="00E94A4C"/>
    <w:rsid w:val="00E970BA"/>
    <w:rsid w:val="00EA133B"/>
    <w:rsid w:val="00EA2179"/>
    <w:rsid w:val="00EA2862"/>
    <w:rsid w:val="00EA34E2"/>
    <w:rsid w:val="00EA3656"/>
    <w:rsid w:val="00EA3AFD"/>
    <w:rsid w:val="00EA3DD3"/>
    <w:rsid w:val="00EA5908"/>
    <w:rsid w:val="00EA6B74"/>
    <w:rsid w:val="00EB0D97"/>
    <w:rsid w:val="00EB20FF"/>
    <w:rsid w:val="00EB29F1"/>
    <w:rsid w:val="00EB3144"/>
    <w:rsid w:val="00EB333E"/>
    <w:rsid w:val="00EB6678"/>
    <w:rsid w:val="00EC05D8"/>
    <w:rsid w:val="00EC1C3D"/>
    <w:rsid w:val="00EC2863"/>
    <w:rsid w:val="00EC3561"/>
    <w:rsid w:val="00EC42A6"/>
    <w:rsid w:val="00EC4364"/>
    <w:rsid w:val="00EC4724"/>
    <w:rsid w:val="00EC4BFC"/>
    <w:rsid w:val="00EC4C79"/>
    <w:rsid w:val="00EC5D56"/>
    <w:rsid w:val="00EC601B"/>
    <w:rsid w:val="00EC60CA"/>
    <w:rsid w:val="00EC6AE8"/>
    <w:rsid w:val="00EC7EA2"/>
    <w:rsid w:val="00ED0351"/>
    <w:rsid w:val="00ED063E"/>
    <w:rsid w:val="00ED204F"/>
    <w:rsid w:val="00ED2504"/>
    <w:rsid w:val="00ED275F"/>
    <w:rsid w:val="00ED37FD"/>
    <w:rsid w:val="00ED39EC"/>
    <w:rsid w:val="00ED4794"/>
    <w:rsid w:val="00ED4BED"/>
    <w:rsid w:val="00ED4CFD"/>
    <w:rsid w:val="00ED7F3C"/>
    <w:rsid w:val="00EE0B6D"/>
    <w:rsid w:val="00EE1086"/>
    <w:rsid w:val="00EE17BD"/>
    <w:rsid w:val="00EE1990"/>
    <w:rsid w:val="00EE1BC9"/>
    <w:rsid w:val="00EE2708"/>
    <w:rsid w:val="00EE27A2"/>
    <w:rsid w:val="00EE29C1"/>
    <w:rsid w:val="00EE426D"/>
    <w:rsid w:val="00EE4A81"/>
    <w:rsid w:val="00EE522E"/>
    <w:rsid w:val="00EE542C"/>
    <w:rsid w:val="00EE54E1"/>
    <w:rsid w:val="00EE5838"/>
    <w:rsid w:val="00EE6FDA"/>
    <w:rsid w:val="00EF11F3"/>
    <w:rsid w:val="00EF1DA8"/>
    <w:rsid w:val="00EF2802"/>
    <w:rsid w:val="00EF64F4"/>
    <w:rsid w:val="00EF7026"/>
    <w:rsid w:val="00F0152A"/>
    <w:rsid w:val="00F01AF0"/>
    <w:rsid w:val="00F02190"/>
    <w:rsid w:val="00F0438A"/>
    <w:rsid w:val="00F04C8D"/>
    <w:rsid w:val="00F06457"/>
    <w:rsid w:val="00F066DE"/>
    <w:rsid w:val="00F06BFA"/>
    <w:rsid w:val="00F07141"/>
    <w:rsid w:val="00F11476"/>
    <w:rsid w:val="00F11A3E"/>
    <w:rsid w:val="00F12401"/>
    <w:rsid w:val="00F12BAA"/>
    <w:rsid w:val="00F12DB1"/>
    <w:rsid w:val="00F146F9"/>
    <w:rsid w:val="00F14787"/>
    <w:rsid w:val="00F15DA0"/>
    <w:rsid w:val="00F16657"/>
    <w:rsid w:val="00F20104"/>
    <w:rsid w:val="00F20363"/>
    <w:rsid w:val="00F212DD"/>
    <w:rsid w:val="00F21D8B"/>
    <w:rsid w:val="00F2306B"/>
    <w:rsid w:val="00F231FD"/>
    <w:rsid w:val="00F23525"/>
    <w:rsid w:val="00F2355D"/>
    <w:rsid w:val="00F23CCF"/>
    <w:rsid w:val="00F246C7"/>
    <w:rsid w:val="00F24C2C"/>
    <w:rsid w:val="00F2618D"/>
    <w:rsid w:val="00F26A8F"/>
    <w:rsid w:val="00F27686"/>
    <w:rsid w:val="00F27DBA"/>
    <w:rsid w:val="00F30A6D"/>
    <w:rsid w:val="00F31C9F"/>
    <w:rsid w:val="00F3336B"/>
    <w:rsid w:val="00F33F31"/>
    <w:rsid w:val="00F34525"/>
    <w:rsid w:val="00F35060"/>
    <w:rsid w:val="00F358D2"/>
    <w:rsid w:val="00F364E1"/>
    <w:rsid w:val="00F411F2"/>
    <w:rsid w:val="00F4130B"/>
    <w:rsid w:val="00F418CC"/>
    <w:rsid w:val="00F41E99"/>
    <w:rsid w:val="00F42583"/>
    <w:rsid w:val="00F42707"/>
    <w:rsid w:val="00F42AEF"/>
    <w:rsid w:val="00F4349F"/>
    <w:rsid w:val="00F438FA"/>
    <w:rsid w:val="00F4402E"/>
    <w:rsid w:val="00F45D45"/>
    <w:rsid w:val="00F47E09"/>
    <w:rsid w:val="00F50546"/>
    <w:rsid w:val="00F526DD"/>
    <w:rsid w:val="00F55A65"/>
    <w:rsid w:val="00F56C49"/>
    <w:rsid w:val="00F578C9"/>
    <w:rsid w:val="00F57F1A"/>
    <w:rsid w:val="00F601EE"/>
    <w:rsid w:val="00F61182"/>
    <w:rsid w:val="00F63999"/>
    <w:rsid w:val="00F63C06"/>
    <w:rsid w:val="00F6415A"/>
    <w:rsid w:val="00F6610A"/>
    <w:rsid w:val="00F67217"/>
    <w:rsid w:val="00F675FE"/>
    <w:rsid w:val="00F67E0C"/>
    <w:rsid w:val="00F702F0"/>
    <w:rsid w:val="00F70D7D"/>
    <w:rsid w:val="00F72C28"/>
    <w:rsid w:val="00F73BA9"/>
    <w:rsid w:val="00F742F9"/>
    <w:rsid w:val="00F74B21"/>
    <w:rsid w:val="00F75B28"/>
    <w:rsid w:val="00F75F99"/>
    <w:rsid w:val="00F810BF"/>
    <w:rsid w:val="00F822DA"/>
    <w:rsid w:val="00F8384B"/>
    <w:rsid w:val="00F84559"/>
    <w:rsid w:val="00F8472C"/>
    <w:rsid w:val="00F86FC3"/>
    <w:rsid w:val="00F87EC7"/>
    <w:rsid w:val="00F907C4"/>
    <w:rsid w:val="00F91A17"/>
    <w:rsid w:val="00F92FB9"/>
    <w:rsid w:val="00F9382E"/>
    <w:rsid w:val="00F94C21"/>
    <w:rsid w:val="00F95902"/>
    <w:rsid w:val="00F95B71"/>
    <w:rsid w:val="00F97789"/>
    <w:rsid w:val="00FA12E6"/>
    <w:rsid w:val="00FA1306"/>
    <w:rsid w:val="00FA334F"/>
    <w:rsid w:val="00FA3AA5"/>
    <w:rsid w:val="00FA46A8"/>
    <w:rsid w:val="00FA4D9B"/>
    <w:rsid w:val="00FA5C1A"/>
    <w:rsid w:val="00FA6FB2"/>
    <w:rsid w:val="00FB0083"/>
    <w:rsid w:val="00FB06BB"/>
    <w:rsid w:val="00FB1016"/>
    <w:rsid w:val="00FB31C3"/>
    <w:rsid w:val="00FB4A5B"/>
    <w:rsid w:val="00FB5514"/>
    <w:rsid w:val="00FB5B01"/>
    <w:rsid w:val="00FB6042"/>
    <w:rsid w:val="00FB72C4"/>
    <w:rsid w:val="00FB7599"/>
    <w:rsid w:val="00FB7B4C"/>
    <w:rsid w:val="00FB7B85"/>
    <w:rsid w:val="00FC0786"/>
    <w:rsid w:val="00FC1329"/>
    <w:rsid w:val="00FC24DB"/>
    <w:rsid w:val="00FC6941"/>
    <w:rsid w:val="00FC6F92"/>
    <w:rsid w:val="00FC7126"/>
    <w:rsid w:val="00FD0C95"/>
    <w:rsid w:val="00FD13AB"/>
    <w:rsid w:val="00FD354D"/>
    <w:rsid w:val="00FD3969"/>
    <w:rsid w:val="00FD3B65"/>
    <w:rsid w:val="00FD3B7A"/>
    <w:rsid w:val="00FD3D46"/>
    <w:rsid w:val="00FD4281"/>
    <w:rsid w:val="00FD4A05"/>
    <w:rsid w:val="00FD5A7A"/>
    <w:rsid w:val="00FE030C"/>
    <w:rsid w:val="00FE0842"/>
    <w:rsid w:val="00FE2D55"/>
    <w:rsid w:val="00FE2EE5"/>
    <w:rsid w:val="00FE3582"/>
    <w:rsid w:val="00FE3C9D"/>
    <w:rsid w:val="00FE5880"/>
    <w:rsid w:val="00FE5A36"/>
    <w:rsid w:val="00FE6339"/>
    <w:rsid w:val="00FF0CAF"/>
    <w:rsid w:val="00FF1DF9"/>
    <w:rsid w:val="00FF34B8"/>
    <w:rsid w:val="00FF38DC"/>
    <w:rsid w:val="00FF4030"/>
    <w:rsid w:val="00FF4D11"/>
    <w:rsid w:val="00FF7145"/>
    <w:rsid w:val="00FF7699"/>
    <w:rsid w:val="00FF7739"/>
    <w:rsid w:val="00FF7873"/>
    <w:rsid w:val="00FF7A51"/>
    <w:rsid w:val="4098097C"/>
    <w:rsid w:val="5DD3BBE8"/>
    <w:rsid w:val="64B6CD8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4A3C1"/>
  <w15:docId w15:val="{26A46EFF-55BD-4AE4-91EA-8C5B0957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FA1"/>
    <w:pPr>
      <w:spacing w:after="240" w:line="288" w:lineRule="auto"/>
    </w:pPr>
    <w:rPr>
      <w:rFonts w:ascii="Arial" w:eastAsia="Times New Roman" w:hAnsi="Arial"/>
      <w:sz w:val="24"/>
      <w:szCs w:val="24"/>
      <w:lang w:eastAsia="ja-JP"/>
    </w:rPr>
  </w:style>
  <w:style w:type="paragraph" w:styleId="Heading1">
    <w:name w:val="heading 1"/>
    <w:aliases w:val="Heading 1 do not use,Section heading 1,Front Page Title,1.,Para 1,Para 11"/>
    <w:basedOn w:val="Normal"/>
    <w:next w:val="Normal"/>
    <w:link w:val="Heading1Char"/>
    <w:qFormat/>
    <w:rsid w:val="00F67217"/>
    <w:pPr>
      <w:spacing w:before="800" w:after="400"/>
      <w:outlineLvl w:val="0"/>
    </w:pPr>
    <w:rPr>
      <w:rFonts w:cs="Arial"/>
      <w:b/>
      <w:color w:val="6B2876" w:themeColor="text2"/>
      <w:sz w:val="80"/>
      <w:szCs w:val="60"/>
    </w:rPr>
  </w:style>
  <w:style w:type="paragraph" w:styleId="Heading2">
    <w:name w:val="heading 2"/>
    <w:aliases w:val="Heading 2 do not use,Front Page List of Sections,Board Brief - Paragraph Heading 2"/>
    <w:basedOn w:val="Normal"/>
    <w:next w:val="Normal"/>
    <w:link w:val="Heading2Char"/>
    <w:unhideWhenUsed/>
    <w:qFormat/>
    <w:rsid w:val="00B70CB6"/>
    <w:pPr>
      <w:numPr>
        <w:numId w:val="1"/>
      </w:numPr>
      <w:spacing w:before="600" w:after="120"/>
      <w:ind w:left="720"/>
      <w:outlineLvl w:val="1"/>
    </w:pPr>
    <w:rPr>
      <w:b/>
      <w:bCs/>
      <w:color w:val="6B2976"/>
      <w:sz w:val="36"/>
      <w:szCs w:val="36"/>
    </w:rPr>
  </w:style>
  <w:style w:type="paragraph" w:styleId="Heading3">
    <w:name w:val="heading 3"/>
    <w:aliases w:val="Heading 3 do not use"/>
    <w:basedOn w:val="Normal"/>
    <w:next w:val="Normal"/>
    <w:link w:val="Heading3Char"/>
    <w:unhideWhenUsed/>
    <w:qFormat/>
    <w:rsid w:val="00B70CB6"/>
    <w:pPr>
      <w:numPr>
        <w:ilvl w:val="1"/>
        <w:numId w:val="1"/>
      </w:numPr>
      <w:spacing w:before="400" w:after="120"/>
      <w:ind w:left="720"/>
      <w:outlineLvl w:val="2"/>
    </w:pPr>
    <w:rPr>
      <w:b/>
      <w:color w:val="6B2976"/>
      <w:sz w:val="32"/>
      <w:szCs w:val="32"/>
    </w:rPr>
  </w:style>
  <w:style w:type="paragraph" w:styleId="Heading4">
    <w:name w:val="heading 4"/>
    <w:basedOn w:val="Normal"/>
    <w:next w:val="Normal"/>
    <w:link w:val="Heading4Char"/>
    <w:unhideWhenUsed/>
    <w:qFormat/>
    <w:rsid w:val="00C11753"/>
    <w:pPr>
      <w:keepNext/>
      <w:numPr>
        <w:ilvl w:val="2"/>
        <w:numId w:val="1"/>
      </w:numPr>
      <w:spacing w:before="120" w:after="120"/>
      <w:ind w:left="794" w:hanging="794"/>
      <w:outlineLvl w:val="3"/>
    </w:pPr>
    <w:rPr>
      <w:b/>
      <w:color w:val="6B2876" w:themeColor="text1"/>
      <w:sz w:val="28"/>
      <w:szCs w:val="28"/>
    </w:rPr>
  </w:style>
  <w:style w:type="paragraph" w:styleId="Heading5">
    <w:name w:val="heading 5"/>
    <w:basedOn w:val="Normal"/>
    <w:next w:val="Normal"/>
    <w:link w:val="Heading5Char"/>
    <w:unhideWhenUsed/>
    <w:qFormat/>
    <w:rsid w:val="00614FB8"/>
    <w:pPr>
      <w:spacing w:before="360" w:after="120"/>
      <w:outlineLvl w:val="4"/>
    </w:pPr>
    <w:rPr>
      <w:b/>
      <w:color w:val="6B2876" w:themeColor="text1"/>
      <w:sz w:val="28"/>
    </w:rPr>
  </w:style>
  <w:style w:type="paragraph" w:styleId="Heading6">
    <w:name w:val="heading 6"/>
    <w:basedOn w:val="Introparagraph"/>
    <w:next w:val="Normal"/>
    <w:link w:val="Heading6Char"/>
    <w:unhideWhenUsed/>
    <w:qFormat/>
    <w:rsid w:val="00B27FA1"/>
    <w:pPr>
      <w:spacing w:before="120" w:after="120"/>
      <w:outlineLvl w:val="5"/>
    </w:pPr>
    <w:rPr>
      <w:sz w:val="26"/>
    </w:rPr>
  </w:style>
  <w:style w:type="paragraph" w:styleId="Heading7">
    <w:name w:val="heading 7"/>
    <w:aliases w:val="Section Sub-Heading 4"/>
    <w:basedOn w:val="Normal"/>
    <w:next w:val="Normal"/>
    <w:link w:val="Heading7Char"/>
    <w:unhideWhenUsed/>
    <w:rsid w:val="004B54CA"/>
    <w:pPr>
      <w:spacing w:after="0"/>
      <w:outlineLvl w:val="6"/>
    </w:pPr>
    <w:rPr>
      <w:i/>
      <w:iCs/>
    </w:rPr>
  </w:style>
  <w:style w:type="paragraph" w:styleId="Heading8">
    <w:name w:val="heading 8"/>
    <w:basedOn w:val="Normal"/>
    <w:next w:val="Normal"/>
    <w:link w:val="Heading8Char"/>
    <w:unhideWhenUsed/>
    <w:rsid w:val="004B54CA"/>
    <w:pPr>
      <w:spacing w:after="0"/>
      <w:outlineLvl w:val="7"/>
    </w:pPr>
    <w:rPr>
      <w:sz w:val="20"/>
      <w:szCs w:val="20"/>
    </w:rPr>
  </w:style>
  <w:style w:type="paragraph" w:styleId="Heading9">
    <w:name w:val="heading 9"/>
    <w:basedOn w:val="Normal"/>
    <w:next w:val="Normal"/>
    <w:link w:val="Heading9Char"/>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o not use Char,Section heading 1 Char,Front Page Title Char,1. Char,Para 1 Char,Para 11 Char"/>
    <w:link w:val="Heading1"/>
    <w:rsid w:val="00F67217"/>
    <w:rPr>
      <w:rFonts w:ascii="Arial" w:eastAsia="Times New Roman" w:hAnsi="Arial" w:cs="Arial"/>
      <w:b/>
      <w:color w:val="6B2876" w:themeColor="text2"/>
      <w:sz w:val="80"/>
      <w:szCs w:val="60"/>
      <w:lang w:eastAsia="ja-JP"/>
    </w:rPr>
  </w:style>
  <w:style w:type="character" w:customStyle="1" w:styleId="Heading2Char">
    <w:name w:val="Heading 2 Char"/>
    <w:aliases w:val="Heading 2 do not use Char,Front Page List of Sections Char,Board Brief - Paragraph Heading 2 Char"/>
    <w:link w:val="Heading2"/>
    <w:uiPriority w:val="1"/>
    <w:rsid w:val="00B70CB6"/>
    <w:rPr>
      <w:rFonts w:ascii="Arial" w:eastAsia="Times New Roman" w:hAnsi="Arial"/>
      <w:b/>
      <w:bCs/>
      <w:color w:val="6B2976"/>
      <w:sz w:val="36"/>
      <w:szCs w:val="36"/>
      <w:lang w:eastAsia="ja-JP"/>
    </w:rPr>
  </w:style>
  <w:style w:type="paragraph" w:customStyle="1" w:styleId="Tablebullet">
    <w:name w:val="Table bullet"/>
    <w:qFormat/>
    <w:rsid w:val="008A0D91"/>
    <w:pPr>
      <w:numPr>
        <w:numId w:val="21"/>
      </w:numPr>
      <w:spacing w:before="100" w:after="100" w:line="288" w:lineRule="auto"/>
      <w:ind w:left="397" w:hanging="397"/>
      <w:contextualSpacing/>
    </w:pPr>
    <w:rPr>
      <w:rFonts w:ascii="Arial" w:eastAsia="Times New Roman" w:hAnsi="Arial"/>
      <w:sz w:val="24"/>
      <w:szCs w:val="24"/>
      <w:lang w:val="en-GB" w:eastAsia="ja-JP"/>
    </w:rPr>
  </w:style>
  <w:style w:type="character" w:customStyle="1" w:styleId="Heading3Char">
    <w:name w:val="Heading 3 Char"/>
    <w:aliases w:val="Heading 3 do not use Char"/>
    <w:link w:val="Heading3"/>
    <w:rsid w:val="00B70CB6"/>
    <w:rPr>
      <w:rFonts w:ascii="Arial" w:eastAsia="Times New Roman" w:hAnsi="Arial"/>
      <w:b/>
      <w:color w:val="6B2976"/>
      <w:sz w:val="32"/>
      <w:szCs w:val="32"/>
      <w:lang w:eastAsia="ja-JP"/>
    </w:rPr>
  </w:style>
  <w:style w:type="character" w:customStyle="1" w:styleId="Heading4Char">
    <w:name w:val="Heading 4 Char"/>
    <w:link w:val="Heading4"/>
    <w:rsid w:val="00C11753"/>
    <w:rPr>
      <w:rFonts w:ascii="Arial" w:eastAsia="Times New Roman" w:hAnsi="Arial"/>
      <w:b/>
      <w:color w:val="6B2876" w:themeColor="text1"/>
      <w:sz w:val="28"/>
      <w:szCs w:val="28"/>
      <w:lang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B27FA1"/>
    <w:rPr>
      <w:rFonts w:ascii="Arial" w:eastAsia="Times New Roman" w:hAnsi="Arial"/>
      <w:bCs/>
      <w:color w:val="6B2876" w:themeColor="text1"/>
      <w:sz w:val="26"/>
      <w:szCs w:val="28"/>
      <w:lang w:eastAsia="ja-JP"/>
    </w:rPr>
  </w:style>
  <w:style w:type="character" w:customStyle="1" w:styleId="Heading7Char">
    <w:name w:val="Heading 7 Char"/>
    <w:aliases w:val="Section Sub-Heading 4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940AC8"/>
    <w:pPr>
      <w:numPr>
        <w:numId w:val="4"/>
      </w:numPr>
    </w:pPr>
  </w:style>
  <w:style w:type="numbering" w:customStyle="1" w:styleId="CurrentList2">
    <w:name w:val="Current List2"/>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4466FC"/>
    <w:pPr>
      <w:tabs>
        <w:tab w:val="left" w:pos="480"/>
        <w:tab w:val="right" w:pos="9174"/>
      </w:tabs>
      <w:spacing w:before="240" w:after="120"/>
      <w:ind w:left="482" w:hanging="482"/>
    </w:pPr>
    <w:rPr>
      <w:rFonts w:cs="Arial"/>
      <w:b/>
      <w:bCs/>
      <w:noProof/>
      <w:color w:val="6A2875"/>
      <w:lang w:val="en-GB"/>
    </w:rPr>
  </w:style>
  <w:style w:type="paragraph" w:styleId="TOC2">
    <w:name w:val="toc 2"/>
    <w:basedOn w:val="Normal"/>
    <w:next w:val="Normal"/>
    <w:autoRedefine/>
    <w:uiPriority w:val="39"/>
    <w:unhideWhenUsed/>
    <w:qFormat/>
    <w:rsid w:val="00537A29"/>
    <w:pPr>
      <w:spacing w:before="120" w:after="0"/>
      <w:ind w:left="240"/>
    </w:pPr>
    <w:rPr>
      <w:rFonts w:asciiTheme="minorHAnsi" w:hAnsiTheme="minorHAnsi" w:cstheme="minorHAnsi"/>
      <w:i/>
      <w:iCs/>
      <w:sz w:val="20"/>
      <w:szCs w:val="20"/>
    </w:rPr>
  </w:style>
  <w:style w:type="paragraph" w:styleId="TOC3">
    <w:name w:val="toc 3"/>
    <w:basedOn w:val="Normal"/>
    <w:next w:val="Normal"/>
    <w:autoRedefine/>
    <w:uiPriority w:val="39"/>
    <w:unhideWhenUsed/>
    <w:qFormat/>
    <w:rsid w:val="00705AD7"/>
    <w:pPr>
      <w:spacing w:after="0"/>
      <w:ind w:left="480"/>
    </w:pPr>
    <w:rPr>
      <w:rFonts w:asciiTheme="minorHAnsi" w:hAnsiTheme="minorHAnsi" w:cstheme="minorHAnsi"/>
      <w:sz w:val="20"/>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nhideWhenUsed/>
    <w:rsid w:val="00933B2A"/>
    <w:pPr>
      <w:spacing w:after="0"/>
      <w:ind w:left="720"/>
    </w:pPr>
    <w:rPr>
      <w:rFonts w:asciiTheme="minorHAnsi" w:hAnsiTheme="minorHAnsi" w:cstheme="minorHAnsi"/>
      <w:sz w:val="20"/>
      <w:szCs w:val="20"/>
    </w:rPr>
  </w:style>
  <w:style w:type="paragraph" w:styleId="TOC5">
    <w:name w:val="toc 5"/>
    <w:basedOn w:val="Normal"/>
    <w:next w:val="Normal"/>
    <w:autoRedefine/>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nhideWhenUsed/>
    <w:qFormat/>
    <w:rsid w:val="00B27FA1"/>
    <w:pPr>
      <w:spacing w:after="0" w:line="240" w:lineRule="auto"/>
    </w:pPr>
    <w:rPr>
      <w:sz w:val="20"/>
      <w:szCs w:val="20"/>
    </w:rPr>
  </w:style>
  <w:style w:type="character" w:customStyle="1" w:styleId="FootnoteTextChar">
    <w:name w:val="Footnote Text Char"/>
    <w:basedOn w:val="DefaultParagraphFont"/>
    <w:link w:val="FootnoteText"/>
    <w:uiPriority w:val="99"/>
    <w:rsid w:val="00B27FA1"/>
    <w:rPr>
      <w:rFonts w:ascii="Arial" w:eastAsia="Times New Roman" w:hAnsi="Arial"/>
      <w:lang w:eastAsia="ja-JP"/>
    </w:rPr>
  </w:style>
  <w:style w:type="character" w:styleId="FootnoteReference">
    <w:name w:val="footnote reference"/>
    <w:basedOn w:val="TableDescriptionChar"/>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unhideWhenUsed/>
    <w:rsid w:val="00BA56AF"/>
    <w:pPr>
      <w:spacing w:before="100" w:beforeAutospacing="1" w:after="100" w:afterAutospacing="1" w:line="240" w:lineRule="auto"/>
    </w:pPr>
    <w:rPr>
      <w:rFonts w:ascii="Times New Roman" w:hAnsi="Times New Roman"/>
      <w:lang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9"/>
      </w:numPr>
      <w:ind w:left="1071" w:hanging="357"/>
    </w:pPr>
  </w:style>
  <w:style w:type="numbering" w:customStyle="1" w:styleId="Bulletlist">
    <w:name w:val="Bullet list"/>
    <w:uiPriority w:val="99"/>
    <w:rsid w:val="00791CE9"/>
    <w:pPr>
      <w:numPr>
        <w:numId w:val="8"/>
      </w:numPr>
    </w:pPr>
  </w:style>
  <w:style w:type="paragraph" w:customStyle="1" w:styleId="BoardBrief-Paragraph2">
    <w:name w:val="Board Brief - Paragraph 2"/>
    <w:basedOn w:val="Normal"/>
    <w:uiPriority w:val="2"/>
    <w:rsid w:val="00B743CB"/>
    <w:pPr>
      <w:numPr>
        <w:ilvl w:val="2"/>
        <w:numId w:val="7"/>
      </w:numPr>
      <w:spacing w:line="360" w:lineRule="auto"/>
    </w:pPr>
    <w:rPr>
      <w:rFonts w:eastAsiaTheme="minorHAnsi" w:cs="Arial"/>
      <w:szCs w:val="22"/>
      <w:lang w:eastAsia="en-AU"/>
    </w:rPr>
  </w:style>
  <w:style w:type="paragraph" w:customStyle="1" w:styleId="11Section-Parapraph">
    <w:name w:val="1.1 Section - Parapraph"/>
    <w:basedOn w:val="ListParagraph"/>
    <w:uiPriority w:val="2"/>
    <w:rsid w:val="00B743CB"/>
    <w:pPr>
      <w:numPr>
        <w:ilvl w:val="1"/>
        <w:numId w:val="7"/>
      </w:numPr>
      <w:spacing w:before="240" w:line="360" w:lineRule="auto"/>
      <w:contextualSpacing w:val="0"/>
    </w:pPr>
    <w:rPr>
      <w:rFonts w:eastAsiaTheme="minorHAnsi" w:cs="Arial"/>
      <w:szCs w:val="22"/>
      <w:lang w:eastAsia="en-AU"/>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rsid w:val="008C7E4D"/>
    <w:pPr>
      <w:spacing w:after="0"/>
      <w:jc w:val="center"/>
    </w:pPr>
    <w:rPr>
      <w:rFonts w:eastAsia="MS Mincho" w:cs="FSMe-Bold"/>
      <w:spacing w:val="-2"/>
      <w:sz w:val="20"/>
      <w:szCs w:val="20"/>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semiHidden/>
    <w:unhideWhenUsed/>
    <w:rsid w:val="008C7E4D"/>
    <w:rPr>
      <w:sz w:val="16"/>
      <w:szCs w:val="16"/>
    </w:rPr>
  </w:style>
  <w:style w:type="paragraph" w:styleId="CommentText">
    <w:name w:val="annotation text"/>
    <w:basedOn w:val="Normal"/>
    <w:link w:val="CommentTextChar"/>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0"/>
      </w:numPr>
      <w:ind w:left="714" w:hanging="357"/>
    </w:pPr>
  </w:style>
  <w:style w:type="paragraph" w:styleId="Revision">
    <w:name w:val="Revision"/>
    <w:hidden/>
    <w:uiPriority w:val="99"/>
    <w:semiHidden/>
    <w:rsid w:val="00870EDC"/>
    <w:rPr>
      <w:rFonts w:ascii="Arial" w:eastAsia="Times New Roman" w:hAnsi="Arial"/>
      <w:sz w:val="24"/>
      <w:szCs w:val="24"/>
      <w:lang w:val="en-US" w:eastAsia="ja-JP"/>
    </w:rPr>
  </w:style>
  <w:style w:type="paragraph" w:styleId="CommentSubject">
    <w:name w:val="annotation subject"/>
    <w:basedOn w:val="CommentText"/>
    <w:next w:val="CommentText"/>
    <w:link w:val="CommentSubjectChar"/>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lang w:val="en-US" w:eastAsia="ja-JP"/>
    </w:rPr>
  </w:style>
  <w:style w:type="paragraph" w:customStyle="1" w:styleId="Pa10">
    <w:name w:val="Pa10"/>
    <w:basedOn w:val="Normal"/>
    <w:next w:val="Normal"/>
    <w:uiPriority w:val="99"/>
    <w:rsid w:val="00EA5908"/>
    <w:pPr>
      <w:autoSpaceDE w:val="0"/>
      <w:autoSpaceDN w:val="0"/>
      <w:adjustRightInd w:val="0"/>
      <w:spacing w:after="0" w:line="221" w:lineRule="atLeast"/>
    </w:pPr>
    <w:rPr>
      <w:rFonts w:ascii="FS Me Pro" w:eastAsia="FSMePro" w:hAnsi="FS Me Pro"/>
      <w:lang w:eastAsia="en-AU"/>
    </w:rPr>
  </w:style>
  <w:style w:type="paragraph" w:customStyle="1" w:styleId="Pa11">
    <w:name w:val="Pa11"/>
    <w:basedOn w:val="Normal"/>
    <w:next w:val="Normal"/>
    <w:uiPriority w:val="99"/>
    <w:rsid w:val="00EA5908"/>
    <w:pPr>
      <w:autoSpaceDE w:val="0"/>
      <w:autoSpaceDN w:val="0"/>
      <w:adjustRightInd w:val="0"/>
      <w:spacing w:after="0" w:line="221" w:lineRule="atLeast"/>
    </w:pPr>
    <w:rPr>
      <w:rFonts w:ascii="FS Me Pro" w:eastAsia="FSMePro" w:hAnsi="FS Me Pro"/>
      <w:lang w:eastAsia="en-AU"/>
    </w:rPr>
  </w:style>
  <w:style w:type="paragraph" w:customStyle="1" w:styleId="Pa66">
    <w:name w:val="Pa66"/>
    <w:basedOn w:val="Normal"/>
    <w:next w:val="Normal"/>
    <w:uiPriority w:val="99"/>
    <w:rsid w:val="00EA5908"/>
    <w:pPr>
      <w:autoSpaceDE w:val="0"/>
      <w:autoSpaceDN w:val="0"/>
      <w:adjustRightInd w:val="0"/>
      <w:spacing w:after="0" w:line="221" w:lineRule="atLeast"/>
    </w:pPr>
    <w:rPr>
      <w:rFonts w:ascii="FS Me Pro" w:eastAsia="FSMePro" w:hAnsi="FS Me Pro"/>
      <w:lang w:eastAsia="en-AU"/>
    </w:rPr>
  </w:style>
  <w:style w:type="character" w:customStyle="1" w:styleId="FGCEMPHASIS">
    <w:name w:val="FGC_EMPHASIS"/>
    <w:basedOn w:val="DefaultParagraphFont"/>
    <w:uiPriority w:val="1"/>
    <w:rsid w:val="0047222D"/>
    <w:rPr>
      <w:rFonts w:ascii="Arial" w:hAnsi="Arial"/>
      <w:b/>
      <w:bCs/>
      <w:color w:val="auto"/>
      <w:sz w:val="22"/>
    </w:rPr>
  </w:style>
  <w:style w:type="table" w:customStyle="1" w:styleId="GridTable2-Accent312">
    <w:name w:val="Grid Table 2 - Accent 312"/>
    <w:basedOn w:val="TableNormal"/>
    <w:next w:val="GridTable2-Accent3"/>
    <w:uiPriority w:val="47"/>
    <w:rsid w:val="009F6E27"/>
    <w:rPr>
      <w:rFonts w:ascii="Calibri" w:eastAsia="Calibri" w:hAnsi="Calibri" w:cs="Cordia New"/>
      <w:sz w:val="22"/>
      <w:szCs w:val="22"/>
      <w:lang w:eastAsia="en-US"/>
    </w:rPr>
    <w:tblPr>
      <w:tblStyleRowBandSize w:val="1"/>
      <w:tblStyleColBandSize w:val="1"/>
      <w:tblBorders>
        <w:top w:val="single" w:sz="4" w:space="0" w:color="BFBFBF"/>
        <w:bottom w:val="single" w:sz="4" w:space="0" w:color="BFBFBF"/>
        <w:insideH w:val="single" w:sz="4" w:space="0" w:color="BFBFBF"/>
        <w:insideV w:val="single" w:sz="4" w:space="0" w:color="BFBFBF"/>
      </w:tblBorders>
    </w:tblPr>
    <w:tblStylePr w:type="firstRow">
      <w:rPr>
        <w:rFonts w:ascii="Arial" w:hAnsi="Arial"/>
        <w:b/>
        <w:bCs/>
        <w:color w:val="FFFFFF"/>
        <w:sz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Horz">
      <w:tblPr/>
      <w:tcPr>
        <w:shd w:val="clear" w:color="auto" w:fill="EDEDED"/>
      </w:tcPr>
    </w:tblStylePr>
  </w:style>
  <w:style w:type="table" w:styleId="GridTable2-Accent3">
    <w:name w:val="Grid Table 2 Accent 3"/>
    <w:basedOn w:val="TableNormal"/>
    <w:uiPriority w:val="47"/>
    <w:rsid w:val="009F6E27"/>
    <w:tblPr>
      <w:tblStyleRowBandSize w:val="1"/>
      <w:tblStyleColBandSize w:val="1"/>
      <w:tblBorders>
        <w:top w:val="single" w:sz="2" w:space="0" w:color="BA61C9" w:themeColor="accent3" w:themeTint="99"/>
        <w:bottom w:val="single" w:sz="2" w:space="0" w:color="BA61C9" w:themeColor="accent3" w:themeTint="99"/>
        <w:insideH w:val="single" w:sz="2" w:space="0" w:color="BA61C9" w:themeColor="accent3" w:themeTint="99"/>
        <w:insideV w:val="single" w:sz="2" w:space="0" w:color="BA61C9" w:themeColor="accent3" w:themeTint="99"/>
      </w:tblBorders>
    </w:tblPr>
    <w:tblStylePr w:type="firstRow">
      <w:rPr>
        <w:b/>
        <w:bCs/>
      </w:rPr>
      <w:tblPr/>
      <w:tcPr>
        <w:tcBorders>
          <w:top w:val="nil"/>
          <w:bottom w:val="single" w:sz="12" w:space="0" w:color="BA61C9" w:themeColor="accent3" w:themeTint="99"/>
          <w:insideH w:val="nil"/>
          <w:insideV w:val="nil"/>
        </w:tcBorders>
        <w:shd w:val="clear" w:color="auto" w:fill="F9F9F9" w:themeFill="background1"/>
      </w:tcPr>
    </w:tblStylePr>
    <w:tblStylePr w:type="lastRow">
      <w:rPr>
        <w:b/>
        <w:bCs/>
      </w:rPr>
      <w:tblPr/>
      <w:tcPr>
        <w:tcBorders>
          <w:top w:val="double" w:sz="2" w:space="0" w:color="BA61C9" w:themeColor="accent3" w:themeTint="99"/>
          <w:bottom w:val="nil"/>
          <w:insideH w:val="nil"/>
          <w:insideV w:val="nil"/>
        </w:tcBorders>
        <w:shd w:val="clear" w:color="auto" w:fill="F9F9F9" w:themeFill="background1"/>
      </w:tcPr>
    </w:tblStylePr>
    <w:tblStylePr w:type="firstCol">
      <w:rPr>
        <w:b/>
        <w:bCs/>
      </w:rPr>
    </w:tblStylePr>
    <w:tblStylePr w:type="lastCol">
      <w:rPr>
        <w:b/>
        <w:bCs/>
      </w:rPr>
    </w:tblStylePr>
    <w:tblStylePr w:type="band1Vert">
      <w:tblPr/>
      <w:tcPr>
        <w:shd w:val="clear" w:color="auto" w:fill="E8CAED" w:themeFill="accent3" w:themeFillTint="33"/>
      </w:tcPr>
    </w:tblStylePr>
    <w:tblStylePr w:type="band1Horz">
      <w:tblPr/>
      <w:tcPr>
        <w:shd w:val="clear" w:color="auto" w:fill="E8CAED" w:themeFill="accent3" w:themeFillTint="33"/>
      </w:tcPr>
    </w:tblStylePr>
  </w:style>
  <w:style w:type="paragraph" w:customStyle="1" w:styleId="paragraph">
    <w:name w:val="paragraph"/>
    <w:basedOn w:val="Normal"/>
    <w:rsid w:val="00E16083"/>
    <w:pPr>
      <w:spacing w:before="100" w:beforeAutospacing="1" w:after="100" w:afterAutospacing="1" w:line="240" w:lineRule="auto"/>
    </w:pPr>
    <w:rPr>
      <w:rFonts w:ascii="Times New Roman" w:hAnsi="Times New Roman"/>
      <w:lang w:eastAsia="en-AU"/>
    </w:rPr>
  </w:style>
  <w:style w:type="character" w:customStyle="1" w:styleId="normaltextrun">
    <w:name w:val="normaltextrun"/>
    <w:basedOn w:val="DefaultParagraphFont"/>
    <w:rsid w:val="00E16083"/>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E16083"/>
    <w:rPr>
      <w:rFonts w:ascii="Arial" w:eastAsia="Times New Roman" w:hAnsi="Arial"/>
      <w:sz w:val="24"/>
      <w:szCs w:val="24"/>
      <w:lang w:val="en-US" w:eastAsia="ja-JP"/>
    </w:rPr>
  </w:style>
  <w:style w:type="paragraph" w:customStyle="1" w:styleId="FGCNORMAL">
    <w:name w:val="FGC_NORMAL"/>
    <w:basedOn w:val="Normal"/>
    <w:rsid w:val="00E16083"/>
    <w:pPr>
      <w:spacing w:before="120" w:after="120"/>
      <w:ind w:left="652"/>
    </w:pPr>
    <w:rPr>
      <w:rFonts w:eastAsiaTheme="minorEastAsia" w:cs="Arial"/>
      <w:sz w:val="22"/>
      <w:szCs w:val="22"/>
    </w:rPr>
  </w:style>
  <w:style w:type="character" w:styleId="Strong">
    <w:name w:val="Strong"/>
    <w:basedOn w:val="DefaultParagraphFont"/>
    <w:uiPriority w:val="22"/>
    <w:qFormat/>
    <w:rsid w:val="00E16083"/>
    <w:rPr>
      <w:b/>
      <w:bCs/>
    </w:rPr>
  </w:style>
  <w:style w:type="paragraph" w:customStyle="1" w:styleId="Heading3a">
    <w:name w:val="Heading 3a"/>
    <w:basedOn w:val="Normal"/>
    <w:rsid w:val="009B5EFC"/>
    <w:pPr>
      <w:spacing w:before="120" w:after="120" w:line="240" w:lineRule="auto"/>
      <w:outlineLvl w:val="2"/>
    </w:pPr>
    <w:rPr>
      <w:rFonts w:eastAsia="Georgia" w:cs="Arial"/>
      <w:b/>
      <w:lang w:eastAsia="en-US"/>
    </w:rPr>
  </w:style>
  <w:style w:type="paragraph" w:customStyle="1" w:styleId="Pa28">
    <w:name w:val="Pa28"/>
    <w:basedOn w:val="Normal"/>
    <w:next w:val="Normal"/>
    <w:uiPriority w:val="99"/>
    <w:rsid w:val="00CC33F6"/>
    <w:pPr>
      <w:autoSpaceDE w:val="0"/>
      <w:autoSpaceDN w:val="0"/>
      <w:adjustRightInd w:val="0"/>
      <w:spacing w:after="0" w:line="171" w:lineRule="atLeast"/>
    </w:pPr>
    <w:rPr>
      <w:rFonts w:ascii="FS Me Pro Light" w:eastAsiaTheme="minorHAnsi" w:hAnsi="FS Me Pro Light" w:cstheme="minorBidi"/>
      <w:lang w:eastAsia="en-US"/>
    </w:rPr>
  </w:style>
  <w:style w:type="table" w:customStyle="1" w:styleId="FSRtable">
    <w:name w:val="FSR table"/>
    <w:basedOn w:val="TableNormal"/>
    <w:uiPriority w:val="99"/>
    <w:rsid w:val="00641555"/>
    <w:pPr>
      <w:keepLines/>
      <w:jc w:val="right"/>
    </w:pPr>
    <w:rPr>
      <w:rFonts w:ascii="Arial" w:eastAsiaTheme="minorEastAsia" w:hAnsi="Arial" w:cstheme="minorBidi"/>
      <w:sz w:val="22"/>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9F9F9"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paragraph" w:customStyle="1" w:styleId="FSRsublist">
    <w:name w:val="FSR_sublist"/>
    <w:basedOn w:val="ListParagraph"/>
    <w:qFormat/>
    <w:rsid w:val="00850FCB"/>
    <w:pPr>
      <w:numPr>
        <w:ilvl w:val="1"/>
        <w:numId w:val="13"/>
      </w:numPr>
      <w:spacing w:after="0"/>
    </w:pPr>
    <w:rPr>
      <w:rFonts w:eastAsiaTheme="minorEastAsia" w:cstheme="minorBidi"/>
      <w:sz w:val="22"/>
    </w:rPr>
  </w:style>
  <w:style w:type="paragraph" w:customStyle="1" w:styleId="TableParagraph">
    <w:name w:val="Table Paragraph"/>
    <w:basedOn w:val="Normal"/>
    <w:uiPriority w:val="1"/>
    <w:qFormat/>
    <w:rsid w:val="004A564D"/>
    <w:pPr>
      <w:widowControl w:val="0"/>
      <w:autoSpaceDE w:val="0"/>
      <w:autoSpaceDN w:val="0"/>
      <w:spacing w:after="0" w:line="240" w:lineRule="auto"/>
    </w:pPr>
    <w:rPr>
      <w:rFonts w:ascii="Calibri" w:eastAsia="Calibri" w:hAnsi="Calibri" w:cs="Calibri"/>
      <w:sz w:val="22"/>
      <w:szCs w:val="22"/>
      <w:lang w:eastAsia="en-US"/>
    </w:rPr>
  </w:style>
  <w:style w:type="character" w:customStyle="1" w:styleId="ui-provider">
    <w:name w:val="ui-provider"/>
    <w:basedOn w:val="DefaultParagraphFont"/>
    <w:rsid w:val="00713CE1"/>
  </w:style>
  <w:style w:type="character" w:customStyle="1" w:styleId="BodyText1Char">
    <w:name w:val="Body Text1 Char"/>
    <w:basedOn w:val="DefaultParagraphFont"/>
    <w:link w:val="BodyText1"/>
    <w:locked/>
    <w:rsid w:val="00A01981"/>
    <w:rPr>
      <w:rFonts w:ascii="Arial" w:eastAsiaTheme="minorEastAsia" w:hAnsi="Arial" w:cs="Arial"/>
      <w:lang w:eastAsia="ja-JP"/>
    </w:rPr>
  </w:style>
  <w:style w:type="paragraph" w:customStyle="1" w:styleId="BodyText1">
    <w:name w:val="Body Text1"/>
    <w:basedOn w:val="Normal"/>
    <w:link w:val="BodyText1Char"/>
    <w:qFormat/>
    <w:rsid w:val="00A01981"/>
    <w:pPr>
      <w:spacing w:before="120" w:after="120" w:line="240" w:lineRule="auto"/>
    </w:pPr>
    <w:rPr>
      <w:rFonts w:eastAsiaTheme="minorEastAsia" w:cs="Arial"/>
      <w:sz w:val="20"/>
      <w:szCs w:val="20"/>
    </w:rPr>
  </w:style>
  <w:style w:type="paragraph" w:customStyle="1" w:styleId="ActHead5">
    <w:name w:val="ActHead 5"/>
    <w:aliases w:val="s"/>
    <w:basedOn w:val="Normal"/>
    <w:next w:val="Normal"/>
    <w:link w:val="ActHead5Char"/>
    <w:rsid w:val="00A01981"/>
    <w:pPr>
      <w:keepNext/>
      <w:keepLines/>
      <w:spacing w:before="280" w:after="0" w:line="240" w:lineRule="auto"/>
      <w:ind w:left="1134" w:hanging="1134"/>
      <w:outlineLvl w:val="4"/>
    </w:pPr>
    <w:rPr>
      <w:rFonts w:ascii="Times New Roman" w:hAnsi="Times New Roman"/>
      <w:b/>
      <w:kern w:val="28"/>
      <w:szCs w:val="22"/>
      <w:lang w:eastAsia="en-AU"/>
    </w:rPr>
  </w:style>
  <w:style w:type="character" w:customStyle="1" w:styleId="ActHead5Char">
    <w:name w:val="ActHead 5 Char"/>
    <w:aliases w:val="s Char"/>
    <w:basedOn w:val="DefaultParagraphFont"/>
    <w:link w:val="ActHead5"/>
    <w:locked/>
    <w:rsid w:val="00A01981"/>
    <w:rPr>
      <w:rFonts w:ascii="Times New Roman" w:eastAsia="Times New Roman" w:hAnsi="Times New Roman"/>
      <w:b/>
      <w:kern w:val="28"/>
      <w:sz w:val="24"/>
      <w:szCs w:val="22"/>
    </w:rPr>
  </w:style>
  <w:style w:type="character" w:styleId="PlaceholderText">
    <w:name w:val="Placeholder Text"/>
    <w:basedOn w:val="DefaultParagraphFont"/>
    <w:uiPriority w:val="99"/>
    <w:semiHidden/>
    <w:rsid w:val="00E17B60"/>
    <w:rPr>
      <w:color w:val="666666"/>
    </w:rPr>
  </w:style>
  <w:style w:type="table" w:customStyle="1" w:styleId="GridTable41">
    <w:name w:val="Grid Table 41"/>
    <w:basedOn w:val="TableNormal"/>
    <w:next w:val="GridTable4"/>
    <w:uiPriority w:val="49"/>
    <w:rsid w:val="00FC6941"/>
    <w:pPr>
      <w:spacing w:before="120" w:after="120"/>
    </w:pPr>
    <w:rPr>
      <w:rFonts w:ascii="Arial" w:eastAsia="Aptos" w:hAnsi="Arial" w:cs="Cordia New"/>
      <w:sz w:val="22"/>
      <w:szCs w:val="22"/>
      <w:lang w:eastAsia="en-US"/>
    </w:r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rPr>
        <w:tblHeader/>
      </w:trPr>
      <w:tcPr>
        <w:tcBorders>
          <w:top w:val="nil"/>
          <w:left w:val="single" w:sz="4" w:space="0" w:color="6B2876"/>
          <w:bottom w:val="nil"/>
          <w:right w:val="nil"/>
          <w:insideH w:val="single" w:sz="4" w:space="0" w:color="F9F9F9"/>
          <w:insideV w:val="single" w:sz="4" w:space="0" w:color="F9F9F9"/>
          <w:tl2br w:val="nil"/>
          <w:tr2bl w:val="nil"/>
        </w:tcBorders>
        <w:shd w:val="clear" w:color="auto" w:fill="6B2876"/>
      </w:tcPr>
    </w:tblStylePr>
    <w:tblStylePr w:type="lastRow">
      <w:rPr>
        <w:b/>
        <w:bCs/>
      </w:rPr>
      <w:tblPr/>
      <w:tcPr>
        <w:tcBorders>
          <w:top w:val="double" w:sz="4" w:space="0" w:color="6B2876"/>
          <w:bottom w:val="nil"/>
        </w:tcBorders>
      </w:tcPr>
    </w:tblStylePr>
    <w:tblStylePr w:type="firstCol">
      <w:rPr>
        <w:b/>
        <w:bCs/>
        <w:color w:val="F9F9F9"/>
      </w:rPr>
      <w:tblPr/>
      <w:tcPr>
        <w:tcBorders>
          <w:top w:val="single" w:sz="4" w:space="0" w:color="6B2876"/>
          <w:left w:val="single" w:sz="4" w:space="0" w:color="6B2876"/>
          <w:bottom w:val="single" w:sz="4" w:space="0" w:color="6B2876"/>
          <w:right w:val="single" w:sz="4" w:space="0" w:color="6B2876"/>
          <w:insideH w:val="single" w:sz="4" w:space="0" w:color="F9F9F9"/>
          <w:insideV w:val="single" w:sz="4" w:space="0" w:color="F9F9F9"/>
          <w:tl2br w:val="nil"/>
          <w:tr2bl w:val="nil"/>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customStyle="1" w:styleId="GridTable411">
    <w:name w:val="Grid Table 411"/>
    <w:basedOn w:val="TableNormal"/>
    <w:next w:val="GridTable4"/>
    <w:uiPriority w:val="49"/>
    <w:rsid w:val="00FC6941"/>
    <w:pPr>
      <w:spacing w:before="120" w:after="120"/>
    </w:pPr>
    <w:rPr>
      <w:rFonts w:ascii="Arial" w:eastAsia="Aptos" w:hAnsi="Arial" w:cs="Cordia New"/>
      <w:sz w:val="22"/>
      <w:szCs w:val="22"/>
      <w:lang w:eastAsia="en-US"/>
    </w:r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rPr>
        <w:tblHeader/>
      </w:trPr>
      <w:tcPr>
        <w:tcBorders>
          <w:top w:val="nil"/>
          <w:left w:val="single" w:sz="4" w:space="0" w:color="6B2876"/>
          <w:bottom w:val="nil"/>
          <w:right w:val="nil"/>
          <w:insideH w:val="single" w:sz="4" w:space="0" w:color="F9F9F9"/>
          <w:insideV w:val="single" w:sz="4" w:space="0" w:color="F9F9F9"/>
          <w:tl2br w:val="nil"/>
          <w:tr2bl w:val="nil"/>
        </w:tcBorders>
        <w:shd w:val="clear" w:color="auto" w:fill="6B2876"/>
      </w:tcPr>
    </w:tblStylePr>
    <w:tblStylePr w:type="lastRow">
      <w:rPr>
        <w:b/>
        <w:bCs/>
      </w:rPr>
      <w:tblPr/>
      <w:tcPr>
        <w:tcBorders>
          <w:top w:val="double" w:sz="4" w:space="0" w:color="6B2876"/>
          <w:bottom w:val="nil"/>
        </w:tcBorders>
      </w:tcPr>
    </w:tblStylePr>
    <w:tblStylePr w:type="firstCol">
      <w:rPr>
        <w:b/>
        <w:bCs/>
        <w:color w:val="F9F9F9"/>
      </w:rPr>
      <w:tblPr/>
      <w:tcPr>
        <w:tcBorders>
          <w:top w:val="single" w:sz="4" w:space="0" w:color="6B2876"/>
          <w:left w:val="single" w:sz="4" w:space="0" w:color="6B2876"/>
          <w:bottom w:val="single" w:sz="4" w:space="0" w:color="6B2876"/>
          <w:right w:val="single" w:sz="4" w:space="0" w:color="6B2876"/>
          <w:insideH w:val="single" w:sz="4" w:space="0" w:color="F9F9F9"/>
          <w:insideV w:val="single" w:sz="4" w:space="0" w:color="F9F9F9"/>
          <w:tl2br w:val="nil"/>
          <w:tr2bl w:val="nil"/>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note">
    <w:name w:val="Tablenote"/>
    <w:basedOn w:val="FootnoteText"/>
    <w:link w:val="TablenoteChar"/>
    <w:qFormat/>
    <w:rsid w:val="00B27FA1"/>
    <w:pPr>
      <w:spacing w:before="60" w:after="120"/>
    </w:pPr>
    <w:rPr>
      <w:lang w:val="en-GB"/>
    </w:rPr>
  </w:style>
  <w:style w:type="character" w:customStyle="1" w:styleId="TablenoteChar">
    <w:name w:val="Tablenote Char"/>
    <w:basedOn w:val="FootnoteTextChar"/>
    <w:link w:val="Tablenote"/>
    <w:rsid w:val="00B27FA1"/>
    <w:rPr>
      <w:rFonts w:ascii="Arial" w:eastAsia="Times New Roman" w:hAnsi="Arial"/>
      <w:lang w:val="en-GB" w:eastAsia="ja-JP"/>
    </w:rPr>
  </w:style>
  <w:style w:type="character" w:styleId="Mention">
    <w:name w:val="Mention"/>
    <w:basedOn w:val="DefaultParagraphFont"/>
    <w:uiPriority w:val="99"/>
    <w:unhideWhenUsed/>
    <w:rsid w:val="000D3DCF"/>
    <w:rPr>
      <w:color w:val="2B579A"/>
      <w:shd w:val="clear" w:color="auto" w:fill="E1DFDD"/>
    </w:rPr>
  </w:style>
  <w:style w:type="paragraph" w:customStyle="1" w:styleId="StatementHeading">
    <w:name w:val="Statement Heading"/>
    <w:basedOn w:val="Normal"/>
    <w:rsid w:val="007D2F9B"/>
    <w:pPr>
      <w:spacing w:after="0" w:line="260" w:lineRule="atLeast"/>
    </w:pPr>
    <w:rPr>
      <w:b/>
      <w:szCs w:val="20"/>
      <w:lang w:eastAsia="en-US"/>
    </w:rPr>
  </w:style>
  <w:style w:type="paragraph" w:customStyle="1" w:styleId="StatementName">
    <w:name w:val="Statement Name"/>
    <w:basedOn w:val="Normal"/>
    <w:next w:val="Normal"/>
    <w:link w:val="StatementNameChar"/>
    <w:autoRedefine/>
    <w:rsid w:val="00C821EB"/>
    <w:pPr>
      <w:pBdr>
        <w:bottom w:val="single" w:sz="4" w:space="1" w:color="auto"/>
      </w:pBdr>
      <w:spacing w:after="0" w:line="240" w:lineRule="auto"/>
    </w:pPr>
    <w:rPr>
      <w:rFonts w:cs="Arial"/>
      <w:b/>
      <w:lang w:eastAsia="en-US"/>
    </w:rPr>
  </w:style>
  <w:style w:type="paragraph" w:customStyle="1" w:styleId="StatementDateHeader">
    <w:name w:val="Statement Date Header"/>
    <w:basedOn w:val="Normal"/>
    <w:next w:val="Normal"/>
    <w:rsid w:val="00B040FE"/>
    <w:pPr>
      <w:pBdr>
        <w:bottom w:val="single" w:sz="4" w:space="1" w:color="auto"/>
      </w:pBdr>
      <w:spacing w:after="0" w:line="260" w:lineRule="atLeast"/>
    </w:pPr>
    <w:rPr>
      <w:i/>
      <w:szCs w:val="20"/>
      <w:lang w:eastAsia="en-US"/>
    </w:rPr>
  </w:style>
  <w:style w:type="paragraph" w:customStyle="1" w:styleId="StatementTextLevel3">
    <w:name w:val="Statement Text Level 3"/>
    <w:basedOn w:val="Normal"/>
    <w:next w:val="Normal"/>
    <w:rsid w:val="00B040FE"/>
    <w:pPr>
      <w:spacing w:after="0" w:line="260" w:lineRule="atLeast"/>
    </w:pPr>
    <w:rPr>
      <w:sz w:val="18"/>
      <w:szCs w:val="20"/>
      <w:lang w:eastAsia="en-US"/>
    </w:rPr>
  </w:style>
  <w:style w:type="paragraph" w:customStyle="1" w:styleId="ContinuedNotesHeading-Level1">
    <w:name w:val="Continued Notes Heading - Level 1"/>
    <w:basedOn w:val="NotesHeading-Level1"/>
    <w:qFormat/>
    <w:rsid w:val="00B040FE"/>
    <w:pPr>
      <w:numPr>
        <w:numId w:val="0"/>
      </w:numPr>
      <w:spacing w:line="240" w:lineRule="auto"/>
      <w:outlineLvl w:val="9"/>
    </w:pPr>
  </w:style>
  <w:style w:type="paragraph" w:customStyle="1" w:styleId="TableHeaderLevel1">
    <w:name w:val="Table Header Level 1"/>
    <w:basedOn w:val="Normal"/>
    <w:semiHidden/>
    <w:rsid w:val="00B040FE"/>
    <w:pPr>
      <w:spacing w:after="0" w:line="260" w:lineRule="atLeast"/>
      <w:jc w:val="center"/>
    </w:pPr>
    <w:rPr>
      <w:b/>
      <w:sz w:val="18"/>
      <w:szCs w:val="18"/>
      <w:lang w:eastAsia="en-US"/>
    </w:rPr>
  </w:style>
  <w:style w:type="paragraph" w:customStyle="1" w:styleId="StatementTextLevel1bItalic">
    <w:name w:val="Statement Text Level 1(b) + Italic"/>
    <w:basedOn w:val="Normal"/>
    <w:rsid w:val="00B040FE"/>
    <w:pPr>
      <w:spacing w:after="0" w:line="260" w:lineRule="atLeast"/>
    </w:pPr>
    <w:rPr>
      <w:b/>
      <w:bCs/>
      <w:i/>
      <w:iCs/>
      <w:sz w:val="18"/>
      <w:szCs w:val="18"/>
      <w:lang w:eastAsia="en-US"/>
    </w:rPr>
  </w:style>
  <w:style w:type="paragraph" w:customStyle="1" w:styleId="Graphic">
    <w:name w:val="Graphic"/>
    <w:basedOn w:val="Signature"/>
    <w:rsid w:val="00B040FE"/>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B040FE"/>
    <w:pPr>
      <w:spacing w:after="0" w:line="240" w:lineRule="auto"/>
    </w:pPr>
    <w:rPr>
      <w:rFonts w:ascii="Times New Roman" w:hAnsi="Times New Roman"/>
      <w:sz w:val="22"/>
      <w:szCs w:val="20"/>
      <w:lang w:eastAsia="en-US"/>
    </w:rPr>
  </w:style>
  <w:style w:type="character" w:customStyle="1" w:styleId="SignatureChar">
    <w:name w:val="Signature Char"/>
    <w:basedOn w:val="DefaultParagraphFont"/>
    <w:link w:val="Signature"/>
    <w:rsid w:val="00B040FE"/>
    <w:rPr>
      <w:rFonts w:ascii="Times New Roman" w:eastAsia="Times New Roman" w:hAnsi="Times New Roman"/>
      <w:sz w:val="22"/>
      <w:lang w:eastAsia="en-US"/>
    </w:rPr>
  </w:style>
  <w:style w:type="paragraph" w:styleId="MacroText">
    <w:name w:val="macro"/>
    <w:link w:val="MacroTextChar"/>
    <w:semiHidden/>
    <w:rsid w:val="00B040FE"/>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eastAsia="Times New Roman" w:hAnsi="Courier New" w:cs="Courier New"/>
      <w:sz w:val="18"/>
      <w:lang w:val="en-GB" w:eastAsia="en-US"/>
    </w:rPr>
  </w:style>
  <w:style w:type="character" w:customStyle="1" w:styleId="MacroTextChar">
    <w:name w:val="Macro Text Char"/>
    <w:basedOn w:val="DefaultParagraphFont"/>
    <w:link w:val="MacroText"/>
    <w:semiHidden/>
    <w:rsid w:val="00B040FE"/>
    <w:rPr>
      <w:rFonts w:ascii="Courier New" w:eastAsia="Times New Roman" w:hAnsi="Courier New" w:cs="Courier New"/>
      <w:sz w:val="18"/>
      <w:lang w:val="en-GB" w:eastAsia="en-US"/>
    </w:rPr>
  </w:style>
  <w:style w:type="paragraph" w:customStyle="1" w:styleId="NotesTotal">
    <w:name w:val="Notes Total"/>
    <w:basedOn w:val="Normal"/>
    <w:autoRedefine/>
    <w:rsid w:val="00B040FE"/>
    <w:pPr>
      <w:spacing w:after="0" w:line="260" w:lineRule="atLeast"/>
      <w:ind w:left="139" w:right="57"/>
    </w:pPr>
    <w:rPr>
      <w:rFonts w:ascii="Times New Roman" w:hAnsi="Times New Roman"/>
      <w:b/>
      <w:iCs/>
      <w:sz w:val="20"/>
      <w:szCs w:val="20"/>
      <w:lang w:eastAsia="en-US"/>
    </w:rPr>
  </w:style>
  <w:style w:type="paragraph" w:customStyle="1" w:styleId="TitlePage">
    <w:name w:val="Title Page"/>
    <w:basedOn w:val="Normal"/>
    <w:autoRedefine/>
    <w:rsid w:val="00B040FE"/>
    <w:pPr>
      <w:spacing w:before="1200" w:after="1200" w:line="260" w:lineRule="atLeast"/>
      <w:ind w:left="57" w:right="57"/>
      <w:jc w:val="right"/>
    </w:pPr>
    <w:rPr>
      <w:rFonts w:ascii="Times New Roman" w:hAnsi="Times New Roman"/>
      <w:b/>
      <w:bCs/>
      <w:sz w:val="48"/>
      <w:szCs w:val="20"/>
      <w:lang w:eastAsia="en-US"/>
    </w:rPr>
  </w:style>
  <w:style w:type="paragraph" w:customStyle="1" w:styleId="zcontents">
    <w:name w:val="zcontents"/>
    <w:basedOn w:val="Normal"/>
    <w:semiHidden/>
    <w:rsid w:val="00B040FE"/>
    <w:pPr>
      <w:spacing w:after="260" w:line="240" w:lineRule="auto"/>
    </w:pPr>
    <w:rPr>
      <w:rFonts w:ascii="Times New Roman" w:hAnsi="Times New Roman"/>
      <w:b/>
      <w:sz w:val="32"/>
      <w:szCs w:val="20"/>
      <w:lang w:eastAsia="en-US"/>
    </w:rPr>
  </w:style>
  <w:style w:type="paragraph" w:customStyle="1" w:styleId="Normal10pt">
    <w:name w:val="Normal + 10 pt"/>
    <w:aliases w:val="Line spacing:  single"/>
    <w:basedOn w:val="Normal"/>
    <w:rsid w:val="00B040FE"/>
    <w:pPr>
      <w:spacing w:before="130" w:after="130" w:line="260" w:lineRule="atLeast"/>
    </w:pPr>
    <w:rPr>
      <w:rFonts w:ascii="Times New Roman" w:hAnsi="Times New Roman"/>
      <w:b/>
      <w:sz w:val="20"/>
      <w:szCs w:val="20"/>
      <w:lang w:eastAsia="en-US"/>
    </w:rPr>
  </w:style>
  <w:style w:type="paragraph" w:styleId="z-BottomofForm">
    <w:name w:val="HTML Bottom of Form"/>
    <w:basedOn w:val="Normal"/>
    <w:next w:val="Normal"/>
    <w:link w:val="z-BottomofFormChar"/>
    <w:hidden/>
    <w:rsid w:val="00B040FE"/>
    <w:pPr>
      <w:pBdr>
        <w:top w:val="single" w:sz="6" w:space="1" w:color="auto"/>
      </w:pBdr>
      <w:spacing w:after="0" w:line="260" w:lineRule="atLeast"/>
      <w:jc w:val="center"/>
    </w:pPr>
    <w:rPr>
      <w:rFonts w:cs="Arial"/>
      <w:vanish/>
      <w:sz w:val="16"/>
      <w:szCs w:val="16"/>
      <w:lang w:eastAsia="en-US"/>
    </w:rPr>
  </w:style>
  <w:style w:type="character" w:customStyle="1" w:styleId="z-BottomofFormChar">
    <w:name w:val="z-Bottom of Form Char"/>
    <w:basedOn w:val="DefaultParagraphFont"/>
    <w:link w:val="z-BottomofForm"/>
    <w:rsid w:val="00B040FE"/>
    <w:rPr>
      <w:rFonts w:ascii="Arial" w:eastAsia="Times New Roman" w:hAnsi="Arial" w:cs="Arial"/>
      <w:vanish/>
      <w:sz w:val="16"/>
      <w:szCs w:val="16"/>
      <w:lang w:eastAsia="en-US"/>
    </w:rPr>
  </w:style>
  <w:style w:type="paragraph" w:styleId="z-TopofForm">
    <w:name w:val="HTML Top of Form"/>
    <w:basedOn w:val="Normal"/>
    <w:next w:val="Normal"/>
    <w:link w:val="z-TopofFormChar"/>
    <w:hidden/>
    <w:rsid w:val="00B040FE"/>
    <w:pPr>
      <w:pBdr>
        <w:bottom w:val="single" w:sz="6" w:space="1" w:color="auto"/>
      </w:pBdr>
      <w:spacing w:after="0" w:line="260" w:lineRule="atLeast"/>
      <w:jc w:val="center"/>
    </w:pPr>
    <w:rPr>
      <w:rFonts w:cs="Arial"/>
      <w:vanish/>
      <w:sz w:val="16"/>
      <w:szCs w:val="16"/>
      <w:lang w:eastAsia="en-US"/>
    </w:rPr>
  </w:style>
  <w:style w:type="character" w:customStyle="1" w:styleId="z-TopofFormChar">
    <w:name w:val="z-Top of Form Char"/>
    <w:basedOn w:val="DefaultParagraphFont"/>
    <w:link w:val="z-TopofForm"/>
    <w:rsid w:val="00B040FE"/>
    <w:rPr>
      <w:rFonts w:ascii="Arial" w:eastAsia="Times New Roman" w:hAnsi="Arial" w:cs="Arial"/>
      <w:vanish/>
      <w:sz w:val="16"/>
      <w:szCs w:val="16"/>
      <w:lang w:eastAsia="en-US"/>
    </w:rPr>
  </w:style>
  <w:style w:type="paragraph" w:styleId="DocumentMap">
    <w:name w:val="Document Map"/>
    <w:basedOn w:val="Normal"/>
    <w:link w:val="DocumentMapChar"/>
    <w:semiHidden/>
    <w:rsid w:val="00B040FE"/>
    <w:pPr>
      <w:shd w:val="clear" w:color="auto" w:fill="000080"/>
      <w:spacing w:after="0" w:line="240" w:lineRule="auto"/>
    </w:pPr>
    <w:rPr>
      <w:rFonts w:ascii="Tahoma" w:hAnsi="Tahoma"/>
      <w:sz w:val="20"/>
      <w:szCs w:val="20"/>
      <w:lang w:eastAsia="en-AU"/>
    </w:rPr>
  </w:style>
  <w:style w:type="character" w:customStyle="1" w:styleId="DocumentMapChar">
    <w:name w:val="Document Map Char"/>
    <w:basedOn w:val="DefaultParagraphFont"/>
    <w:link w:val="DocumentMap"/>
    <w:semiHidden/>
    <w:rsid w:val="00B040FE"/>
    <w:rPr>
      <w:rFonts w:ascii="Tahoma" w:eastAsia="Times New Roman" w:hAnsi="Tahoma"/>
      <w:shd w:val="clear" w:color="auto" w:fill="000080"/>
    </w:rPr>
  </w:style>
  <w:style w:type="paragraph" w:customStyle="1" w:styleId="Normal8pt">
    <w:name w:val="Normal + 8 pt"/>
    <w:basedOn w:val="Normal"/>
    <w:rsid w:val="00B040FE"/>
    <w:pPr>
      <w:widowControl w:val="0"/>
      <w:autoSpaceDE w:val="0"/>
      <w:autoSpaceDN w:val="0"/>
      <w:spacing w:after="0" w:line="240" w:lineRule="auto"/>
    </w:pPr>
    <w:rPr>
      <w:rFonts w:ascii="Times New Roman" w:hAnsi="Times New Roman"/>
      <w:bCs/>
      <w:iCs/>
      <w:spacing w:val="-6"/>
      <w:sz w:val="16"/>
      <w:szCs w:val="16"/>
      <w:lang w:val="en-US" w:eastAsia="en-US"/>
    </w:rPr>
  </w:style>
  <w:style w:type="paragraph" w:customStyle="1" w:styleId="NormalCalistoMT">
    <w:name w:val="Normal + Calisto MT"/>
    <w:aliases w:val="8 pt,Right"/>
    <w:basedOn w:val="Normal"/>
    <w:rsid w:val="00B040FE"/>
    <w:pPr>
      <w:framePr w:hSpace="180" w:wrap="around" w:vAnchor="text" w:hAnchor="margin" w:y="1"/>
      <w:spacing w:after="0" w:line="260" w:lineRule="atLeast"/>
      <w:ind w:right="212"/>
      <w:suppressOverlap/>
      <w:jc w:val="right"/>
    </w:pPr>
    <w:rPr>
      <w:rFonts w:ascii="Calisto MT" w:hAnsi="Calisto MT"/>
      <w:sz w:val="16"/>
      <w:szCs w:val="20"/>
      <w:lang w:eastAsia="en-US"/>
    </w:rPr>
  </w:style>
  <w:style w:type="paragraph" w:customStyle="1" w:styleId="ReferenceText">
    <w:name w:val="Reference Text"/>
    <w:basedOn w:val="Normal"/>
    <w:link w:val="ReferenceTextChar"/>
    <w:autoRedefine/>
    <w:qFormat/>
    <w:rsid w:val="003203A1"/>
    <w:pPr>
      <w:spacing w:after="0" w:line="240" w:lineRule="auto"/>
    </w:pPr>
    <w:rPr>
      <w:sz w:val="18"/>
      <w:szCs w:val="20"/>
      <w:lang w:eastAsia="en-AU"/>
    </w:rPr>
  </w:style>
  <w:style w:type="paragraph" w:customStyle="1" w:styleId="NotesHeading-Level1">
    <w:name w:val="Notes Heading - Level 1"/>
    <w:basedOn w:val="Normal"/>
    <w:qFormat/>
    <w:rsid w:val="00B040FE"/>
    <w:pPr>
      <w:numPr>
        <w:numId w:val="25"/>
      </w:numPr>
      <w:tabs>
        <w:tab w:val="clear" w:pos="10491"/>
        <w:tab w:val="num" w:pos="851"/>
      </w:tabs>
      <w:spacing w:after="0" w:line="260" w:lineRule="atLeast"/>
      <w:ind w:left="1134" w:right="607"/>
      <w:outlineLvl w:val="0"/>
    </w:pPr>
    <w:rPr>
      <w:b/>
      <w:sz w:val="20"/>
      <w:szCs w:val="20"/>
      <w:lang w:eastAsia="en-US"/>
    </w:rPr>
  </w:style>
  <w:style w:type="paragraph" w:customStyle="1" w:styleId="NotesHeading-Level2">
    <w:name w:val="Notes Heading - Level 2"/>
    <w:basedOn w:val="NotesHeading-Level1"/>
    <w:rsid w:val="00B040FE"/>
    <w:pPr>
      <w:framePr w:hSpace="180" w:wrap="around" w:vAnchor="text" w:hAnchor="margin" w:y="1"/>
      <w:numPr>
        <w:ilvl w:val="1"/>
      </w:numPr>
      <w:suppressOverlap/>
    </w:pPr>
    <w:rPr>
      <w:sz w:val="18"/>
    </w:rPr>
  </w:style>
  <w:style w:type="character" w:customStyle="1" w:styleId="StatementNameChar">
    <w:name w:val="Statement Name Char"/>
    <w:basedOn w:val="DefaultParagraphFont"/>
    <w:link w:val="StatementName"/>
    <w:rsid w:val="00C821EB"/>
    <w:rPr>
      <w:rFonts w:ascii="Arial" w:eastAsia="Times New Roman" w:hAnsi="Arial" w:cs="Arial"/>
      <w:b/>
      <w:sz w:val="24"/>
      <w:szCs w:val="24"/>
      <w:lang w:eastAsia="en-US"/>
    </w:rPr>
  </w:style>
  <w:style w:type="numbering" w:customStyle="1" w:styleId="Style2">
    <w:name w:val="Style2"/>
    <w:rsid w:val="00B040FE"/>
    <w:pPr>
      <w:numPr>
        <w:numId w:val="26"/>
      </w:numPr>
    </w:pPr>
  </w:style>
  <w:style w:type="character" w:customStyle="1" w:styleId="ReferenceTextChar">
    <w:name w:val="Reference Text Char"/>
    <w:basedOn w:val="DefaultParagraphFont"/>
    <w:link w:val="ReferenceText"/>
    <w:rsid w:val="003203A1"/>
    <w:rPr>
      <w:rFonts w:ascii="Arial" w:eastAsia="Times New Roman" w:hAnsi="Arial"/>
      <w:sz w:val="18"/>
    </w:rPr>
  </w:style>
  <w:style w:type="table" w:customStyle="1" w:styleId="TableGrid1">
    <w:name w:val="Table Grid1"/>
    <w:basedOn w:val="TableNormal"/>
    <w:next w:val="TableGrid"/>
    <w:rsid w:val="00B040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B040FE"/>
    <w:pPr>
      <w:spacing w:after="0" w:line="260" w:lineRule="atLeast"/>
    </w:pPr>
    <w:rPr>
      <w:rFonts w:ascii="Times New Roman" w:hAnsi="Times New Roman"/>
      <w:sz w:val="22"/>
      <w:szCs w:val="20"/>
      <w:lang w:eastAsia="en-US"/>
    </w:rPr>
  </w:style>
  <w:style w:type="paragraph" w:customStyle="1" w:styleId="GreyShadeTableBreak">
    <w:name w:val="Grey Shade Table Break"/>
    <w:basedOn w:val="Normal"/>
    <w:qFormat/>
    <w:rsid w:val="00B040FE"/>
    <w:pPr>
      <w:shd w:val="clear" w:color="auto" w:fill="D3D3D3" w:themeFill="background1" w:themeFillShade="D9"/>
      <w:tabs>
        <w:tab w:val="left" w:pos="9214"/>
      </w:tabs>
      <w:spacing w:after="0" w:line="260" w:lineRule="atLeast"/>
      <w:ind w:right="607"/>
    </w:pPr>
    <w:rPr>
      <w:rFonts w:ascii="Times New Roman" w:hAnsi="Times New Roman"/>
      <w:sz w:val="22"/>
      <w:szCs w:val="20"/>
      <w:lang w:eastAsia="en-US"/>
    </w:rPr>
  </w:style>
  <w:style w:type="paragraph" w:customStyle="1" w:styleId="GreyShadeTableBreaknon-Standard">
    <w:name w:val="Grey Shade Table Break non-Standard"/>
    <w:qFormat/>
    <w:rsid w:val="00B040FE"/>
    <w:pPr>
      <w:shd w:val="clear" w:color="auto" w:fill="D3D3D3" w:themeFill="background1" w:themeFillShade="D9"/>
      <w:ind w:right="57"/>
    </w:pPr>
    <w:rPr>
      <w:rFonts w:ascii="Times New Roman" w:eastAsia="Times New Roman" w:hAnsi="Times New Roman"/>
      <w:sz w:val="22"/>
      <w:lang w:eastAsia="en-US"/>
    </w:rPr>
  </w:style>
  <w:style w:type="paragraph" w:customStyle="1" w:styleId="ReferenceTextLetter">
    <w:name w:val="Reference Text Letter"/>
    <w:basedOn w:val="ReferenceText"/>
    <w:rsid w:val="00B040FE"/>
    <w:pPr>
      <w:ind w:left="567" w:right="567"/>
    </w:pPr>
    <w:rPr>
      <w:rFonts w:cs="Arial"/>
      <w:szCs w:val="18"/>
    </w:rPr>
  </w:style>
  <w:style w:type="paragraph" w:customStyle="1" w:styleId="StyleNotesHeaderLeftLeft-008cm">
    <w:name w:val="Style Notes Header + Left Left:  -0.08 cm"/>
    <w:basedOn w:val="Normal"/>
    <w:rsid w:val="00B040FE"/>
    <w:pPr>
      <w:numPr>
        <w:ilvl w:val="1"/>
        <w:numId w:val="27"/>
      </w:numPr>
      <w:spacing w:before="180" w:after="60" w:line="240" w:lineRule="auto"/>
    </w:pPr>
    <w:rPr>
      <w:b/>
      <w:bCs/>
      <w:sz w:val="18"/>
      <w:szCs w:val="20"/>
      <w:lang w:eastAsia="en-US"/>
    </w:rPr>
  </w:style>
  <w:style w:type="paragraph" w:customStyle="1" w:styleId="NotesText">
    <w:name w:val="Notes Text"/>
    <w:basedOn w:val="ReferenceText"/>
    <w:rsid w:val="00B040FE"/>
    <w:pPr>
      <w:spacing w:before="100" w:after="100"/>
    </w:pPr>
  </w:style>
  <w:style w:type="paragraph" w:customStyle="1" w:styleId="Default">
    <w:name w:val="Default"/>
    <w:rsid w:val="00B040FE"/>
    <w:pPr>
      <w:autoSpaceDE w:val="0"/>
      <w:autoSpaceDN w:val="0"/>
      <w:adjustRightInd w:val="0"/>
    </w:pPr>
    <w:rPr>
      <w:rFonts w:ascii="Times New Roman" w:eastAsiaTheme="minorHAnsi" w:hAnsi="Times New Roman"/>
      <w:color w:val="000000"/>
      <w:sz w:val="24"/>
      <w:szCs w:val="24"/>
      <w:lang w:eastAsia="en-US"/>
    </w:rPr>
  </w:style>
  <w:style w:type="table" w:customStyle="1" w:styleId="LightShading1">
    <w:name w:val="Light Shading1"/>
    <w:basedOn w:val="TableNormal"/>
    <w:uiPriority w:val="60"/>
    <w:rsid w:val="00B040FE"/>
    <w:rPr>
      <w:rFonts w:asciiTheme="minorHAnsi" w:eastAsiaTheme="minorHAnsi" w:hAnsiTheme="minorHAnsi" w:cstheme="minorBidi"/>
      <w:color w:val="501E58" w:themeColor="text1" w:themeShade="BF"/>
      <w:sz w:val="22"/>
      <w:szCs w:val="22"/>
      <w:lang w:eastAsia="en-US"/>
    </w:rPr>
    <w:tblPr>
      <w:tblStyleRowBandSize w:val="1"/>
      <w:tblStyleColBandSize w:val="1"/>
      <w:tblBorders>
        <w:top w:val="single" w:sz="8" w:space="0" w:color="6B2876" w:themeColor="text1"/>
        <w:bottom w:val="single" w:sz="8" w:space="0" w:color="6B2876" w:themeColor="text1"/>
      </w:tblBorders>
    </w:tblPr>
    <w:tblStylePr w:type="firstRow">
      <w:pPr>
        <w:spacing w:before="0" w:after="0" w:line="240" w:lineRule="auto"/>
      </w:pPr>
      <w:rPr>
        <w:b/>
        <w:bCs/>
      </w:rPr>
      <w:tblPr/>
      <w:tcPr>
        <w:tcBorders>
          <w:top w:val="single" w:sz="8" w:space="0" w:color="6B2876" w:themeColor="text1"/>
          <w:left w:val="nil"/>
          <w:bottom w:val="single" w:sz="8" w:space="0" w:color="6B2876" w:themeColor="text1"/>
          <w:right w:val="nil"/>
          <w:insideH w:val="nil"/>
          <w:insideV w:val="nil"/>
        </w:tcBorders>
      </w:tcPr>
    </w:tblStylePr>
    <w:tblStylePr w:type="lastRow">
      <w:pPr>
        <w:spacing w:before="0" w:after="0" w:line="240" w:lineRule="auto"/>
      </w:pPr>
      <w:rPr>
        <w:b/>
        <w:bCs/>
      </w:rPr>
      <w:tblPr/>
      <w:tcPr>
        <w:tcBorders>
          <w:top w:val="single" w:sz="8" w:space="0" w:color="6B2876" w:themeColor="text1"/>
          <w:left w:val="nil"/>
          <w:bottom w:val="single" w:sz="8" w:space="0" w:color="6B287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EE9" w:themeFill="text1" w:themeFillTint="3F"/>
      </w:tcPr>
    </w:tblStylePr>
    <w:tblStylePr w:type="band1Horz">
      <w:tblPr/>
      <w:tcPr>
        <w:tcBorders>
          <w:left w:val="nil"/>
          <w:right w:val="nil"/>
          <w:insideH w:val="nil"/>
          <w:insideV w:val="nil"/>
        </w:tcBorders>
        <w:shd w:val="clear" w:color="auto" w:fill="E2BEE9" w:themeFill="text1" w:themeFillTint="3F"/>
      </w:tcPr>
    </w:tblStylePr>
  </w:style>
  <w:style w:type="table" w:customStyle="1" w:styleId="LightShading10">
    <w:name w:val="Light Shading10"/>
    <w:basedOn w:val="TableNormal"/>
    <w:next w:val="LightShading1"/>
    <w:uiPriority w:val="60"/>
    <w:rsid w:val="00B040FE"/>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B040F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B040FE"/>
    <w:rPr>
      <w:i/>
      <w:iCs/>
      <w:smallCaps/>
      <w:spacing w:val="5"/>
    </w:rPr>
  </w:style>
  <w:style w:type="paragraph" w:customStyle="1" w:styleId="PolicytextDept">
    <w:name w:val="Policy text Dept"/>
    <w:basedOn w:val="Normal"/>
    <w:link w:val="PolicytextDeptChar"/>
    <w:qFormat/>
    <w:rsid w:val="00B040FE"/>
    <w:pPr>
      <w:pBdr>
        <w:top w:val="single" w:sz="4" w:space="1" w:color="800080"/>
        <w:left w:val="single" w:sz="4" w:space="0" w:color="800080"/>
        <w:bottom w:val="single" w:sz="4" w:space="1" w:color="800080"/>
        <w:right w:val="single" w:sz="4" w:space="0" w:color="800080"/>
      </w:pBdr>
      <w:spacing w:after="120" w:line="120" w:lineRule="atLeast"/>
    </w:pPr>
    <w:rPr>
      <w:rFonts w:cs="Arial"/>
      <w:bCs/>
      <w:sz w:val="18"/>
      <w:szCs w:val="18"/>
      <w:lang w:eastAsia="en-US"/>
    </w:rPr>
  </w:style>
  <w:style w:type="character" w:customStyle="1" w:styleId="PolicytextDeptChar">
    <w:name w:val="Policy text Dept Char"/>
    <w:basedOn w:val="DefaultParagraphFont"/>
    <w:link w:val="PolicytextDept"/>
    <w:rsid w:val="00B040FE"/>
    <w:rPr>
      <w:rFonts w:ascii="Arial" w:eastAsia="Times New Roman" w:hAnsi="Arial" w:cs="Arial"/>
      <w:bCs/>
      <w:sz w:val="18"/>
      <w:szCs w:val="18"/>
      <w:lang w:eastAsia="en-US"/>
    </w:rPr>
  </w:style>
  <w:style w:type="paragraph" w:customStyle="1" w:styleId="PolicyheadingDept">
    <w:name w:val="Policy heading Dept"/>
    <w:basedOn w:val="PolicytextDept"/>
    <w:qFormat/>
    <w:rsid w:val="00B040FE"/>
    <w:rPr>
      <w:b/>
    </w:rPr>
  </w:style>
  <w:style w:type="paragraph" w:customStyle="1" w:styleId="SectionHeading">
    <w:name w:val="Section Heading"/>
    <w:basedOn w:val="Normal"/>
    <w:link w:val="SectionHeadingChar"/>
    <w:qFormat/>
    <w:rsid w:val="00B040FE"/>
    <w:pPr>
      <w:numPr>
        <w:numId w:val="29"/>
      </w:numPr>
      <w:shd w:val="clear" w:color="00CC99" w:fill="800080"/>
      <w:spacing w:after="0" w:line="260" w:lineRule="atLeast"/>
      <w:outlineLvl w:val="0"/>
    </w:pPr>
    <w:rPr>
      <w:rFonts w:ascii="Arial Bold" w:hAnsi="Arial Bold"/>
      <w:b/>
      <w:color w:val="F9F9F9" w:themeColor="background1"/>
      <w:szCs w:val="20"/>
      <w:lang w:eastAsia="en-US"/>
    </w:rPr>
  </w:style>
  <w:style w:type="character" w:customStyle="1" w:styleId="SectionHeadingChar">
    <w:name w:val="Section Heading Char"/>
    <w:basedOn w:val="DefaultParagraphFont"/>
    <w:link w:val="SectionHeading"/>
    <w:rsid w:val="00B040FE"/>
    <w:rPr>
      <w:rFonts w:ascii="Arial Bold" w:eastAsia="Times New Roman" w:hAnsi="Arial Bold"/>
      <w:b/>
      <w:color w:val="F9F9F9" w:themeColor="background1"/>
      <w:sz w:val="24"/>
      <w:shd w:val="clear" w:color="00CC99" w:fill="800080"/>
      <w:lang w:eastAsia="en-US"/>
    </w:rPr>
  </w:style>
  <w:style w:type="paragraph" w:customStyle="1" w:styleId="SubHeading">
    <w:name w:val="Sub Heading"/>
    <w:basedOn w:val="SectionHeading"/>
    <w:link w:val="SubHeadingChar"/>
    <w:qFormat/>
    <w:rsid w:val="00B040FE"/>
    <w:pPr>
      <w:numPr>
        <w:ilvl w:val="1"/>
        <w:numId w:val="30"/>
      </w:numPr>
      <w:shd w:val="clear" w:color="auto" w:fill="6B2876" w:themeFill="text1"/>
      <w:ind w:left="426" w:hanging="426"/>
      <w:outlineLvl w:val="1"/>
    </w:pPr>
    <w:rPr>
      <w:rFonts w:ascii="Arial" w:hAnsi="Arial" w:cs="Arial"/>
      <w:sz w:val="20"/>
    </w:rPr>
  </w:style>
  <w:style w:type="paragraph" w:customStyle="1" w:styleId="SectionHeadingDescription">
    <w:name w:val="Section Heading Description"/>
    <w:basedOn w:val="SectionHeading"/>
    <w:next w:val="SubHeading"/>
    <w:qFormat/>
    <w:rsid w:val="00B040FE"/>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B040FE"/>
    <w:rPr>
      <w:rFonts w:ascii="Arial" w:eastAsia="Times New Roman" w:hAnsi="Arial" w:cs="Arial"/>
      <w:b/>
      <w:color w:val="F9F9F9" w:themeColor="background1"/>
      <w:shd w:val="clear" w:color="auto" w:fill="6B2876" w:themeFill="text1"/>
      <w:lang w:eastAsia="en-US"/>
    </w:rPr>
  </w:style>
  <w:style w:type="paragraph" w:customStyle="1" w:styleId="AccountingPolicy-Departmental">
    <w:name w:val="Accounting Policy - Departmental"/>
    <w:basedOn w:val="Normal"/>
    <w:qFormat/>
    <w:rsid w:val="00B040FE"/>
    <w:pPr>
      <w:pBdr>
        <w:top w:val="single" w:sz="4" w:space="1" w:color="800080"/>
        <w:left w:val="single" w:sz="4" w:space="4" w:color="800080"/>
        <w:bottom w:val="single" w:sz="4" w:space="1" w:color="800080"/>
        <w:right w:val="single" w:sz="4" w:space="4" w:color="800080"/>
      </w:pBdr>
      <w:spacing w:after="20" w:line="260" w:lineRule="atLeast"/>
      <w:ind w:left="85" w:right="142"/>
      <w:outlineLvl w:val="0"/>
    </w:pPr>
    <w:rPr>
      <w:rFonts w:cs="Helvetica"/>
      <w:sz w:val="18"/>
      <w:szCs w:val="18"/>
      <w:lang w:eastAsia="en-US"/>
    </w:rPr>
  </w:style>
  <w:style w:type="paragraph" w:customStyle="1" w:styleId="SectionHeading-NoNumber">
    <w:name w:val="Section Heading - No Number"/>
    <w:basedOn w:val="SectionHeading"/>
    <w:link w:val="SectionHeading-NoNumberChar"/>
    <w:qFormat/>
    <w:rsid w:val="00B040FE"/>
    <w:pPr>
      <w:numPr>
        <w:numId w:val="0"/>
      </w:numPr>
      <w:shd w:val="clear" w:color="auto" w:fill="800080"/>
      <w:tabs>
        <w:tab w:val="right" w:pos="9072"/>
      </w:tabs>
    </w:pPr>
  </w:style>
  <w:style w:type="character" w:customStyle="1" w:styleId="SectionHeading-NoNumberChar">
    <w:name w:val="Section Heading - No Number Char"/>
    <w:basedOn w:val="SectionHeadingChar"/>
    <w:link w:val="SectionHeading-NoNumber"/>
    <w:rsid w:val="00B040FE"/>
    <w:rPr>
      <w:rFonts w:ascii="Arial Bold" w:eastAsia="Times New Roman" w:hAnsi="Arial Bold"/>
      <w:b/>
      <w:color w:val="F9F9F9" w:themeColor="background1"/>
      <w:sz w:val="24"/>
      <w:shd w:val="clear" w:color="auto" w:fill="800080"/>
      <w:lang w:eastAsia="en-US"/>
    </w:rPr>
  </w:style>
  <w:style w:type="paragraph" w:customStyle="1" w:styleId="Dash">
    <w:name w:val="Dash"/>
    <w:basedOn w:val="Normal"/>
    <w:rsid w:val="00B040FE"/>
    <w:pPr>
      <w:spacing w:line="240" w:lineRule="auto"/>
    </w:pPr>
    <w:rPr>
      <w:rFonts w:ascii="Times New Roman" w:hAnsi="Times New Roman"/>
      <w:lang w:eastAsia="en-US"/>
    </w:rPr>
  </w:style>
  <w:style w:type="character" w:customStyle="1" w:styleId="ms-rtefontsize-3">
    <w:name w:val="ms-rtefontsize-3"/>
    <w:basedOn w:val="DefaultParagraphFont"/>
    <w:rsid w:val="00B040FE"/>
  </w:style>
  <w:style w:type="paragraph" w:customStyle="1" w:styleId="CEOBrief-Heading1">
    <w:name w:val="CEO Brief - Heading 1"/>
    <w:basedOn w:val="ListParagraph"/>
    <w:qFormat/>
    <w:rsid w:val="00B040FE"/>
    <w:pPr>
      <w:numPr>
        <w:numId w:val="45"/>
      </w:numPr>
      <w:tabs>
        <w:tab w:val="num" w:pos="360"/>
      </w:tabs>
      <w:spacing w:before="120" w:after="120" w:line="240" w:lineRule="auto"/>
      <w:ind w:left="720" w:firstLine="0"/>
      <w:contextualSpacing w:val="0"/>
    </w:pPr>
    <w:rPr>
      <w:rFonts w:cs="Arial"/>
      <w:b/>
      <w:color w:val="6B2F76"/>
      <w:sz w:val="22"/>
      <w:szCs w:val="22"/>
      <w:lang w:eastAsia="en-US"/>
    </w:rPr>
  </w:style>
  <w:style w:type="character" w:customStyle="1" w:styleId="CEOBrief-Paragraph1Char">
    <w:name w:val="CEO Brief - Paragraph 1 Char"/>
    <w:basedOn w:val="DefaultParagraphFont"/>
    <w:link w:val="CEOBrief-Paragraph1"/>
    <w:locked/>
    <w:rsid w:val="00B040FE"/>
    <w:rPr>
      <w:rFonts w:ascii="Arial" w:hAnsi="Arial" w:cs="Arial"/>
      <w:sz w:val="22"/>
      <w:szCs w:val="22"/>
      <w:lang w:eastAsia="en-US"/>
    </w:rPr>
  </w:style>
  <w:style w:type="paragraph" w:customStyle="1" w:styleId="CEOBrief-Paragraph1">
    <w:name w:val="CEO Brief - Paragraph 1"/>
    <w:basedOn w:val="ListParagraph"/>
    <w:link w:val="CEOBrief-Paragraph1Char"/>
    <w:qFormat/>
    <w:rsid w:val="00B040FE"/>
    <w:pPr>
      <w:numPr>
        <w:ilvl w:val="1"/>
        <w:numId w:val="45"/>
      </w:numPr>
      <w:spacing w:before="120" w:after="120" w:line="240" w:lineRule="auto"/>
      <w:contextualSpacing w:val="0"/>
    </w:pPr>
    <w:rPr>
      <w:rFonts w:eastAsia="FSMePro" w:cs="Arial"/>
      <w:sz w:val="22"/>
      <w:szCs w:val="22"/>
      <w:lang w:eastAsia="en-US"/>
    </w:rPr>
  </w:style>
  <w:style w:type="paragraph" w:customStyle="1" w:styleId="CEOBrief-Paragraph2">
    <w:name w:val="CEO Brief - Paragraph 2"/>
    <w:basedOn w:val="CEOBrief-Paragraph1"/>
    <w:qFormat/>
    <w:rsid w:val="00B040FE"/>
    <w:pPr>
      <w:numPr>
        <w:ilvl w:val="2"/>
      </w:numPr>
      <w:tabs>
        <w:tab w:val="num" w:pos="360"/>
        <w:tab w:val="num" w:pos="1080"/>
      </w:tabs>
      <w:ind w:left="1224"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536">
      <w:bodyDiv w:val="1"/>
      <w:marLeft w:val="0"/>
      <w:marRight w:val="0"/>
      <w:marTop w:val="0"/>
      <w:marBottom w:val="0"/>
      <w:divBdr>
        <w:top w:val="none" w:sz="0" w:space="0" w:color="auto"/>
        <w:left w:val="none" w:sz="0" w:space="0" w:color="auto"/>
        <w:bottom w:val="none" w:sz="0" w:space="0" w:color="auto"/>
        <w:right w:val="none" w:sz="0" w:space="0" w:color="auto"/>
      </w:divBdr>
    </w:div>
    <w:div w:id="15887228">
      <w:bodyDiv w:val="1"/>
      <w:marLeft w:val="0"/>
      <w:marRight w:val="0"/>
      <w:marTop w:val="0"/>
      <w:marBottom w:val="0"/>
      <w:divBdr>
        <w:top w:val="none" w:sz="0" w:space="0" w:color="auto"/>
        <w:left w:val="none" w:sz="0" w:space="0" w:color="auto"/>
        <w:bottom w:val="none" w:sz="0" w:space="0" w:color="auto"/>
        <w:right w:val="none" w:sz="0" w:space="0" w:color="auto"/>
      </w:divBdr>
    </w:div>
    <w:div w:id="61102695">
      <w:bodyDiv w:val="1"/>
      <w:marLeft w:val="0"/>
      <w:marRight w:val="0"/>
      <w:marTop w:val="0"/>
      <w:marBottom w:val="0"/>
      <w:divBdr>
        <w:top w:val="none" w:sz="0" w:space="0" w:color="auto"/>
        <w:left w:val="none" w:sz="0" w:space="0" w:color="auto"/>
        <w:bottom w:val="none" w:sz="0" w:space="0" w:color="auto"/>
        <w:right w:val="none" w:sz="0" w:space="0" w:color="auto"/>
      </w:divBdr>
    </w:div>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97067511">
      <w:bodyDiv w:val="1"/>
      <w:marLeft w:val="0"/>
      <w:marRight w:val="0"/>
      <w:marTop w:val="0"/>
      <w:marBottom w:val="0"/>
      <w:divBdr>
        <w:top w:val="none" w:sz="0" w:space="0" w:color="auto"/>
        <w:left w:val="none" w:sz="0" w:space="0" w:color="auto"/>
        <w:bottom w:val="none" w:sz="0" w:space="0" w:color="auto"/>
        <w:right w:val="none" w:sz="0" w:space="0" w:color="auto"/>
      </w:divBdr>
    </w:div>
    <w:div w:id="99228503">
      <w:bodyDiv w:val="1"/>
      <w:marLeft w:val="0"/>
      <w:marRight w:val="0"/>
      <w:marTop w:val="0"/>
      <w:marBottom w:val="0"/>
      <w:divBdr>
        <w:top w:val="none" w:sz="0" w:space="0" w:color="auto"/>
        <w:left w:val="none" w:sz="0" w:space="0" w:color="auto"/>
        <w:bottom w:val="none" w:sz="0" w:space="0" w:color="auto"/>
        <w:right w:val="none" w:sz="0" w:space="0" w:color="auto"/>
      </w:divBdr>
    </w:div>
    <w:div w:id="108278284">
      <w:bodyDiv w:val="1"/>
      <w:marLeft w:val="0"/>
      <w:marRight w:val="0"/>
      <w:marTop w:val="0"/>
      <w:marBottom w:val="0"/>
      <w:divBdr>
        <w:top w:val="none" w:sz="0" w:space="0" w:color="auto"/>
        <w:left w:val="none" w:sz="0" w:space="0" w:color="auto"/>
        <w:bottom w:val="none" w:sz="0" w:space="0" w:color="auto"/>
        <w:right w:val="none" w:sz="0" w:space="0" w:color="auto"/>
      </w:divBdr>
    </w:div>
    <w:div w:id="386101568">
      <w:bodyDiv w:val="1"/>
      <w:marLeft w:val="0"/>
      <w:marRight w:val="0"/>
      <w:marTop w:val="0"/>
      <w:marBottom w:val="0"/>
      <w:divBdr>
        <w:top w:val="none" w:sz="0" w:space="0" w:color="auto"/>
        <w:left w:val="none" w:sz="0" w:space="0" w:color="auto"/>
        <w:bottom w:val="none" w:sz="0" w:space="0" w:color="auto"/>
        <w:right w:val="none" w:sz="0" w:space="0" w:color="auto"/>
      </w:divBdr>
    </w:div>
    <w:div w:id="463230996">
      <w:bodyDiv w:val="1"/>
      <w:marLeft w:val="0"/>
      <w:marRight w:val="0"/>
      <w:marTop w:val="0"/>
      <w:marBottom w:val="0"/>
      <w:divBdr>
        <w:top w:val="none" w:sz="0" w:space="0" w:color="auto"/>
        <w:left w:val="none" w:sz="0" w:space="0" w:color="auto"/>
        <w:bottom w:val="none" w:sz="0" w:space="0" w:color="auto"/>
        <w:right w:val="none" w:sz="0" w:space="0" w:color="auto"/>
      </w:divBdr>
    </w:div>
    <w:div w:id="518811203">
      <w:bodyDiv w:val="1"/>
      <w:marLeft w:val="0"/>
      <w:marRight w:val="0"/>
      <w:marTop w:val="0"/>
      <w:marBottom w:val="0"/>
      <w:divBdr>
        <w:top w:val="none" w:sz="0" w:space="0" w:color="auto"/>
        <w:left w:val="none" w:sz="0" w:space="0" w:color="auto"/>
        <w:bottom w:val="none" w:sz="0" w:space="0" w:color="auto"/>
        <w:right w:val="none" w:sz="0" w:space="0" w:color="auto"/>
      </w:divBdr>
    </w:div>
    <w:div w:id="677003835">
      <w:bodyDiv w:val="1"/>
      <w:marLeft w:val="0"/>
      <w:marRight w:val="0"/>
      <w:marTop w:val="0"/>
      <w:marBottom w:val="0"/>
      <w:divBdr>
        <w:top w:val="none" w:sz="0" w:space="0" w:color="auto"/>
        <w:left w:val="none" w:sz="0" w:space="0" w:color="auto"/>
        <w:bottom w:val="none" w:sz="0" w:space="0" w:color="auto"/>
        <w:right w:val="none" w:sz="0" w:space="0" w:color="auto"/>
      </w:divBdr>
    </w:div>
    <w:div w:id="770973793">
      <w:bodyDiv w:val="1"/>
      <w:marLeft w:val="0"/>
      <w:marRight w:val="0"/>
      <w:marTop w:val="0"/>
      <w:marBottom w:val="0"/>
      <w:divBdr>
        <w:top w:val="none" w:sz="0" w:space="0" w:color="auto"/>
        <w:left w:val="none" w:sz="0" w:space="0" w:color="auto"/>
        <w:bottom w:val="none" w:sz="0" w:space="0" w:color="auto"/>
        <w:right w:val="none" w:sz="0" w:space="0" w:color="auto"/>
      </w:divBdr>
    </w:div>
    <w:div w:id="775059600">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4451">
      <w:bodyDiv w:val="1"/>
      <w:marLeft w:val="0"/>
      <w:marRight w:val="0"/>
      <w:marTop w:val="0"/>
      <w:marBottom w:val="0"/>
      <w:divBdr>
        <w:top w:val="none" w:sz="0" w:space="0" w:color="auto"/>
        <w:left w:val="none" w:sz="0" w:space="0" w:color="auto"/>
        <w:bottom w:val="none" w:sz="0" w:space="0" w:color="auto"/>
        <w:right w:val="none" w:sz="0" w:space="0" w:color="auto"/>
      </w:divBdr>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1026637856">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222710569">
      <w:bodyDiv w:val="1"/>
      <w:marLeft w:val="0"/>
      <w:marRight w:val="0"/>
      <w:marTop w:val="0"/>
      <w:marBottom w:val="0"/>
      <w:divBdr>
        <w:top w:val="none" w:sz="0" w:space="0" w:color="auto"/>
        <w:left w:val="none" w:sz="0" w:space="0" w:color="auto"/>
        <w:bottom w:val="none" w:sz="0" w:space="0" w:color="auto"/>
        <w:right w:val="none" w:sz="0" w:space="0" w:color="auto"/>
      </w:divBdr>
    </w:div>
    <w:div w:id="1229615678">
      <w:bodyDiv w:val="1"/>
      <w:marLeft w:val="0"/>
      <w:marRight w:val="0"/>
      <w:marTop w:val="0"/>
      <w:marBottom w:val="0"/>
      <w:divBdr>
        <w:top w:val="none" w:sz="0" w:space="0" w:color="auto"/>
        <w:left w:val="none" w:sz="0" w:space="0" w:color="auto"/>
        <w:bottom w:val="none" w:sz="0" w:space="0" w:color="auto"/>
        <w:right w:val="none" w:sz="0" w:space="0" w:color="auto"/>
      </w:divBdr>
    </w:div>
    <w:div w:id="1256399755">
      <w:bodyDiv w:val="1"/>
      <w:marLeft w:val="0"/>
      <w:marRight w:val="0"/>
      <w:marTop w:val="0"/>
      <w:marBottom w:val="0"/>
      <w:divBdr>
        <w:top w:val="none" w:sz="0" w:space="0" w:color="auto"/>
        <w:left w:val="none" w:sz="0" w:space="0" w:color="auto"/>
        <w:bottom w:val="none" w:sz="0" w:space="0" w:color="auto"/>
        <w:right w:val="none" w:sz="0" w:space="0" w:color="auto"/>
      </w:divBdr>
    </w:div>
    <w:div w:id="1281884827">
      <w:bodyDiv w:val="1"/>
      <w:marLeft w:val="0"/>
      <w:marRight w:val="0"/>
      <w:marTop w:val="0"/>
      <w:marBottom w:val="0"/>
      <w:divBdr>
        <w:top w:val="none" w:sz="0" w:space="0" w:color="auto"/>
        <w:left w:val="none" w:sz="0" w:space="0" w:color="auto"/>
        <w:bottom w:val="none" w:sz="0" w:space="0" w:color="auto"/>
        <w:right w:val="none" w:sz="0" w:space="0" w:color="auto"/>
      </w:divBdr>
    </w:div>
    <w:div w:id="1415201159">
      <w:bodyDiv w:val="1"/>
      <w:marLeft w:val="0"/>
      <w:marRight w:val="0"/>
      <w:marTop w:val="0"/>
      <w:marBottom w:val="0"/>
      <w:divBdr>
        <w:top w:val="none" w:sz="0" w:space="0" w:color="auto"/>
        <w:left w:val="none" w:sz="0" w:space="0" w:color="auto"/>
        <w:bottom w:val="none" w:sz="0" w:space="0" w:color="auto"/>
        <w:right w:val="none" w:sz="0" w:space="0" w:color="auto"/>
      </w:divBdr>
    </w:div>
    <w:div w:id="1420368525">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06942">
      <w:bodyDiv w:val="1"/>
      <w:marLeft w:val="0"/>
      <w:marRight w:val="0"/>
      <w:marTop w:val="0"/>
      <w:marBottom w:val="0"/>
      <w:divBdr>
        <w:top w:val="none" w:sz="0" w:space="0" w:color="auto"/>
        <w:left w:val="none" w:sz="0" w:space="0" w:color="auto"/>
        <w:bottom w:val="none" w:sz="0" w:space="0" w:color="auto"/>
        <w:right w:val="none" w:sz="0" w:space="0" w:color="auto"/>
      </w:divBdr>
    </w:div>
    <w:div w:id="1641766136">
      <w:bodyDiv w:val="1"/>
      <w:marLeft w:val="0"/>
      <w:marRight w:val="0"/>
      <w:marTop w:val="0"/>
      <w:marBottom w:val="0"/>
      <w:divBdr>
        <w:top w:val="none" w:sz="0" w:space="0" w:color="auto"/>
        <w:left w:val="none" w:sz="0" w:space="0" w:color="auto"/>
        <w:bottom w:val="none" w:sz="0" w:space="0" w:color="auto"/>
        <w:right w:val="none" w:sz="0" w:space="0" w:color="auto"/>
      </w:divBdr>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776052382">
      <w:bodyDiv w:val="1"/>
      <w:marLeft w:val="0"/>
      <w:marRight w:val="0"/>
      <w:marTop w:val="0"/>
      <w:marBottom w:val="0"/>
      <w:divBdr>
        <w:top w:val="none" w:sz="0" w:space="0" w:color="auto"/>
        <w:left w:val="none" w:sz="0" w:space="0" w:color="auto"/>
        <w:bottom w:val="none" w:sz="0" w:space="0" w:color="auto"/>
        <w:right w:val="none" w:sz="0" w:space="0" w:color="auto"/>
      </w:divBdr>
    </w:div>
    <w:div w:id="1786076473">
      <w:bodyDiv w:val="1"/>
      <w:marLeft w:val="0"/>
      <w:marRight w:val="0"/>
      <w:marTop w:val="0"/>
      <w:marBottom w:val="0"/>
      <w:divBdr>
        <w:top w:val="none" w:sz="0" w:space="0" w:color="auto"/>
        <w:left w:val="none" w:sz="0" w:space="0" w:color="auto"/>
        <w:bottom w:val="none" w:sz="0" w:space="0" w:color="auto"/>
        <w:right w:val="none" w:sz="0" w:space="0" w:color="auto"/>
      </w:divBdr>
    </w:div>
    <w:div w:id="1840080492">
      <w:bodyDiv w:val="1"/>
      <w:marLeft w:val="0"/>
      <w:marRight w:val="0"/>
      <w:marTop w:val="0"/>
      <w:marBottom w:val="0"/>
      <w:divBdr>
        <w:top w:val="none" w:sz="0" w:space="0" w:color="auto"/>
        <w:left w:val="none" w:sz="0" w:space="0" w:color="auto"/>
        <w:bottom w:val="none" w:sz="0" w:space="0" w:color="auto"/>
        <w:right w:val="none" w:sz="0" w:space="0" w:color="auto"/>
      </w:divBdr>
    </w:div>
    <w:div w:id="1842239770">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422279">
      <w:bodyDiv w:val="1"/>
      <w:marLeft w:val="0"/>
      <w:marRight w:val="0"/>
      <w:marTop w:val="0"/>
      <w:marBottom w:val="0"/>
      <w:divBdr>
        <w:top w:val="none" w:sz="0" w:space="0" w:color="auto"/>
        <w:left w:val="none" w:sz="0" w:space="0" w:color="auto"/>
        <w:bottom w:val="none" w:sz="0" w:space="0" w:color="auto"/>
        <w:right w:val="none" w:sz="0" w:space="0" w:color="auto"/>
      </w:divBdr>
    </w:div>
    <w:div w:id="1942757094">
      <w:bodyDiv w:val="1"/>
      <w:marLeft w:val="0"/>
      <w:marRight w:val="0"/>
      <w:marTop w:val="0"/>
      <w:marBottom w:val="0"/>
      <w:divBdr>
        <w:top w:val="none" w:sz="0" w:space="0" w:color="auto"/>
        <w:left w:val="none" w:sz="0" w:space="0" w:color="auto"/>
        <w:bottom w:val="none" w:sz="0" w:space="0" w:color="auto"/>
        <w:right w:val="none" w:sz="0" w:space="0" w:color="auto"/>
      </w:divBdr>
    </w:div>
    <w:div w:id="1982688687">
      <w:bodyDiv w:val="1"/>
      <w:marLeft w:val="0"/>
      <w:marRight w:val="0"/>
      <w:marTop w:val="0"/>
      <w:marBottom w:val="0"/>
      <w:divBdr>
        <w:top w:val="none" w:sz="0" w:space="0" w:color="auto"/>
        <w:left w:val="none" w:sz="0" w:space="0" w:color="auto"/>
        <w:bottom w:val="none" w:sz="0" w:space="0" w:color="auto"/>
        <w:right w:val="none" w:sz="0" w:space="0" w:color="auto"/>
      </w:divBdr>
    </w:div>
    <w:div w:id="2049721653">
      <w:bodyDiv w:val="1"/>
      <w:marLeft w:val="0"/>
      <w:marRight w:val="0"/>
      <w:marTop w:val="0"/>
      <w:marBottom w:val="0"/>
      <w:divBdr>
        <w:top w:val="none" w:sz="0" w:space="0" w:color="auto"/>
        <w:left w:val="none" w:sz="0" w:space="0" w:color="auto"/>
        <w:bottom w:val="none" w:sz="0" w:space="0" w:color="auto"/>
        <w:right w:val="none" w:sz="0" w:space="0" w:color="auto"/>
      </w:divBdr>
    </w:div>
    <w:div w:id="2080708882">
      <w:bodyDiv w:val="1"/>
      <w:marLeft w:val="0"/>
      <w:marRight w:val="0"/>
      <w:marTop w:val="0"/>
      <w:marBottom w:val="0"/>
      <w:divBdr>
        <w:top w:val="none" w:sz="0" w:space="0" w:color="auto"/>
        <w:left w:val="none" w:sz="0" w:space="0" w:color="auto"/>
        <w:bottom w:val="none" w:sz="0" w:space="0" w:color="auto"/>
        <w:right w:val="none" w:sz="0" w:space="0" w:color="auto"/>
      </w:divBdr>
    </w:div>
    <w:div w:id="2090542178">
      <w:bodyDiv w:val="1"/>
      <w:marLeft w:val="0"/>
      <w:marRight w:val="0"/>
      <w:marTop w:val="0"/>
      <w:marBottom w:val="0"/>
      <w:divBdr>
        <w:top w:val="none" w:sz="0" w:space="0" w:color="auto"/>
        <w:left w:val="none" w:sz="0" w:space="0" w:color="auto"/>
        <w:bottom w:val="none" w:sz="0" w:space="0" w:color="auto"/>
        <w:right w:val="none" w:sz="0" w:space="0" w:color="auto"/>
      </w:divBdr>
    </w:div>
    <w:div w:id="214087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about-us/publications/corporate-plan" TargetMode="External"/><Relationship Id="rId21" Type="http://schemas.openxmlformats.org/officeDocument/2006/relationships/header" Target="header5.xml"/><Relationship Id="rId42" Type="http://schemas.openxmlformats.org/officeDocument/2006/relationships/image" Target="media/image11.PNG"/><Relationship Id="rId47" Type="http://schemas.openxmlformats.org/officeDocument/2006/relationships/footer" Target="footer9.xml"/><Relationship Id="rId63" Type="http://schemas.openxmlformats.org/officeDocument/2006/relationships/image" Target="media/image14.png"/><Relationship Id="rId68" Type="http://schemas.openxmlformats.org/officeDocument/2006/relationships/image" Target="media/image17.png"/><Relationship Id="rId84" Type="http://schemas.openxmlformats.org/officeDocument/2006/relationships/header" Target="header24.xml"/><Relationship Id="rId89" Type="http://schemas.openxmlformats.org/officeDocument/2006/relationships/footer" Target="footer20.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footer" Target="footer6.xml"/><Relationship Id="rId37" Type="http://schemas.openxmlformats.org/officeDocument/2006/relationships/image" Target="media/image8.png"/><Relationship Id="rId53" Type="http://schemas.openxmlformats.org/officeDocument/2006/relationships/header" Target="header15.xml"/><Relationship Id="rId58" Type="http://schemas.openxmlformats.org/officeDocument/2006/relationships/header" Target="header19.xml"/><Relationship Id="rId74" Type="http://schemas.openxmlformats.org/officeDocument/2006/relationships/image" Target="media/image23.png"/><Relationship Id="rId79" Type="http://schemas.openxmlformats.org/officeDocument/2006/relationships/footer" Target="footer14.xm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eader" Target="header26.xml"/><Relationship Id="rId95" Type="http://schemas.openxmlformats.org/officeDocument/2006/relationships/footer" Target="footer24.xml"/><Relationship Id="rId22" Type="http://schemas.openxmlformats.org/officeDocument/2006/relationships/footer" Target="footer5.xml"/><Relationship Id="rId27" Type="http://schemas.openxmlformats.org/officeDocument/2006/relationships/hyperlink" Target="https://www.legislation.gov.au/C2013A00020/latest/text" TargetMode="External"/><Relationship Id="rId43" Type="http://schemas.openxmlformats.org/officeDocument/2006/relationships/image" Target="media/image12.JPG"/><Relationship Id="rId48" Type="http://schemas.openxmlformats.org/officeDocument/2006/relationships/header" Target="header11.xml"/><Relationship Id="rId64" Type="http://schemas.openxmlformats.org/officeDocument/2006/relationships/header" Target="header21.xml"/><Relationship Id="rId69" Type="http://schemas.openxmlformats.org/officeDocument/2006/relationships/image" Target="media/image18.jpeg"/><Relationship Id="rId80" Type="http://schemas.openxmlformats.org/officeDocument/2006/relationships/footer" Target="footer15.xml"/><Relationship Id="rId85" Type="http://schemas.openxmlformats.org/officeDocument/2006/relationships/footer" Target="footer17.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dss.gov.au" TargetMode="External"/><Relationship Id="rId33" Type="http://schemas.openxmlformats.org/officeDocument/2006/relationships/header" Target="header7.xml"/><Relationship Id="rId38" Type="http://schemas.openxmlformats.org/officeDocument/2006/relationships/image" Target="media/image9.png"/><Relationship Id="rId46" Type="http://schemas.openxmlformats.org/officeDocument/2006/relationships/footer" Target="footer8.xml"/><Relationship Id="rId59" Type="http://schemas.openxmlformats.org/officeDocument/2006/relationships/footer" Target="footer12.xml"/><Relationship Id="rId67" Type="http://schemas.openxmlformats.org/officeDocument/2006/relationships/image" Target="media/image16.png"/><Relationship Id="rId20" Type="http://schemas.openxmlformats.org/officeDocument/2006/relationships/footer" Target="footer4.xml"/><Relationship Id="rId41" Type="http://schemas.openxmlformats.org/officeDocument/2006/relationships/image" Target="media/image10.jpeg"/><Relationship Id="rId54" Type="http://schemas.openxmlformats.org/officeDocument/2006/relationships/footer" Target="footer11.xml"/><Relationship Id="rId62" Type="http://schemas.openxmlformats.org/officeDocument/2006/relationships/hyperlink" Target="https://dataresearch.ndis.gov.au/reports-and-analyses/previous-annual-financial-sustainability-reports" TargetMode="External"/><Relationship Id="rId70" Type="http://schemas.openxmlformats.org/officeDocument/2006/relationships/image" Target="media/image19.png"/><Relationship Id="rId75" Type="http://schemas.openxmlformats.org/officeDocument/2006/relationships/image" Target="media/image24.png"/><Relationship Id="rId83" Type="http://schemas.openxmlformats.org/officeDocument/2006/relationships/footer" Target="footer16.xml"/><Relationship Id="rId88" Type="http://schemas.openxmlformats.org/officeDocument/2006/relationships/footer" Target="footer19.xml"/><Relationship Id="rId91" Type="http://schemas.openxmlformats.org/officeDocument/2006/relationships/footer" Target="footer21.xml"/><Relationship Id="rId96"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yperlink" Target="https://www.ndis.gov.au/about-us/publications/annual-financial-sustainability-reports" TargetMode="External"/><Relationship Id="rId36" Type="http://schemas.openxmlformats.org/officeDocument/2006/relationships/image" Target="media/image7.png"/><Relationship Id="rId49" Type="http://schemas.openxmlformats.org/officeDocument/2006/relationships/header" Target="header12.xml"/><Relationship Id="rId57" Type="http://schemas.openxmlformats.org/officeDocument/2006/relationships/header" Target="header18.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13.png"/><Relationship Id="rId52" Type="http://schemas.openxmlformats.org/officeDocument/2006/relationships/header" Target="header14.xml"/><Relationship Id="rId60" Type="http://schemas.openxmlformats.org/officeDocument/2006/relationships/header" Target="header20.xml"/><Relationship Id="rId65" Type="http://schemas.openxmlformats.org/officeDocument/2006/relationships/header" Target="header22.xml"/><Relationship Id="rId73" Type="http://schemas.openxmlformats.org/officeDocument/2006/relationships/image" Target="media/image22.png"/><Relationship Id="rId78" Type="http://schemas.openxmlformats.org/officeDocument/2006/relationships/header" Target="header23.xml"/><Relationship Id="rId81" Type="http://schemas.openxmlformats.org/officeDocument/2006/relationships/hyperlink" Target="https://www.ndis-iac.com.au/" TargetMode="External"/><Relationship Id="rId86" Type="http://schemas.openxmlformats.org/officeDocument/2006/relationships/footer" Target="footer18.xml"/><Relationship Id="rId94" Type="http://schemas.openxmlformats.org/officeDocument/2006/relationships/footer" Target="footer23.xml"/><Relationship Id="rId99" Type="http://schemas.openxmlformats.org/officeDocument/2006/relationships/footer" Target="footer26.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header" Target="header8.xml"/><Relationship Id="rId34" Type="http://schemas.openxmlformats.org/officeDocument/2006/relationships/footer" Target="footer7.xml"/><Relationship Id="rId50" Type="http://schemas.openxmlformats.org/officeDocument/2006/relationships/footer" Target="footer10.xml"/><Relationship Id="rId55" Type="http://schemas.openxmlformats.org/officeDocument/2006/relationships/header" Target="header16.xml"/><Relationship Id="rId76" Type="http://schemas.openxmlformats.org/officeDocument/2006/relationships/image" Target="media/image25.png"/><Relationship Id="rId97"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image" Target="media/image20.png"/><Relationship Id="rId92" Type="http://schemas.openxmlformats.org/officeDocument/2006/relationships/footer" Target="footer22.xml"/><Relationship Id="rId2" Type="http://schemas.openxmlformats.org/officeDocument/2006/relationships/customXml" Target="../customXml/item2.xml"/><Relationship Id="rId29" Type="http://schemas.openxmlformats.org/officeDocument/2006/relationships/hyperlink" Target="https://www.ndis.gov.au/about-us/publications/annual-report/annual-report-2020-21" TargetMode="External"/><Relationship Id="rId24" Type="http://schemas.openxmlformats.org/officeDocument/2006/relationships/image" Target="media/image5.png"/><Relationship Id="rId40" Type="http://schemas.openxmlformats.org/officeDocument/2006/relationships/header" Target="header9.xml"/><Relationship Id="rId45" Type="http://schemas.openxmlformats.org/officeDocument/2006/relationships/header" Target="header10.xml"/><Relationship Id="rId66" Type="http://schemas.openxmlformats.org/officeDocument/2006/relationships/image" Target="media/image15.emf"/><Relationship Id="rId87" Type="http://schemas.openxmlformats.org/officeDocument/2006/relationships/header" Target="header25.xml"/><Relationship Id="rId61" Type="http://schemas.openxmlformats.org/officeDocument/2006/relationships/footer" Target="footer13.xml"/><Relationship Id="rId82" Type="http://schemas.openxmlformats.org/officeDocument/2006/relationships/hyperlink" Target="https://www.ndis.gov.au/media/6993/download?attachment" TargetMode="External"/><Relationship Id="rId19" Type="http://schemas.openxmlformats.org/officeDocument/2006/relationships/header" Target="header4.xml"/><Relationship Id="rId14" Type="http://schemas.openxmlformats.org/officeDocument/2006/relationships/footer" Target="footer2.xml"/><Relationship Id="rId30" Type="http://schemas.openxmlformats.org/officeDocument/2006/relationships/hyperlink" Target="https://australiandisabilitynetwork.org.au/students-jobseekers/start-a-stepping-into-internship/" TargetMode="External"/><Relationship Id="rId35" Type="http://schemas.openxmlformats.org/officeDocument/2006/relationships/image" Target="media/image6.png"/><Relationship Id="rId56" Type="http://schemas.openxmlformats.org/officeDocument/2006/relationships/header" Target="header17.xml"/><Relationship Id="rId77" Type="http://schemas.openxmlformats.org/officeDocument/2006/relationships/image" Target="media/image26.png"/><Relationship Id="rId100" Type="http://schemas.openxmlformats.org/officeDocument/2006/relationships/footer" Target="footer27.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image" Target="media/image21.png"/><Relationship Id="rId93" Type="http://schemas.openxmlformats.org/officeDocument/2006/relationships/header" Target="header27.xml"/><Relationship Id="rId98" Type="http://schemas.openxmlformats.org/officeDocument/2006/relationships/image" Target="media/image27.emf"/><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budget.gov.au/content/bp2/download/bp2_2024-25.pdf" TargetMode="External"/><Relationship Id="rId2" Type="http://schemas.openxmlformats.org/officeDocument/2006/relationships/hyperlink" Target="https://ministers.dss.gov.au/media-releases/11011" TargetMode="External"/><Relationship Id="rId1" Type="http://schemas.openxmlformats.org/officeDocument/2006/relationships/hyperlink" Target="https://www.dss.gov.au/publications-articles-corporate-publications-department-of-social-services-corporate-plans/department-of-social-services-corporate-plan-2023-24" TargetMode="External"/><Relationship Id="rId5" Type="http://schemas.openxmlformats.org/officeDocument/2006/relationships/hyperlink" Target="https://www.ndis.gov.au/news/9828-reinforcing-sustainable-honest-and-trustworthy-ndis" TargetMode="External"/><Relationship Id="rId4" Type="http://schemas.openxmlformats.org/officeDocument/2006/relationships/hyperlink" Target="https://www.aph.gov.au/Parliamentary_Business/Bills_Legislation/Bills_Search_Results/Result?bId=r718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AppData\Local\Microsoft\Windows\INetCache\Content.Outlook\82XQCGBL\NDIS%20Annual%20report%20templat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8102b3-a4e4-4628-9084-1226c40084d2" xsi:nil="true"/>
    <lcf76f155ced4ddcb4097134ff3c332f xmlns="825017e0-7538-4bca-873c-3a895d404480">
      <Terms xmlns="http://schemas.microsoft.com/office/infopath/2007/PartnerControls"/>
    </lcf76f155ced4ddcb4097134ff3c332f>
    <_Flow_SignoffStatus xmlns="825017e0-7538-4bca-873c-3a895d40448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9F953A39A4F5941B24B59D3F23CA6C3" ma:contentTypeVersion="16" ma:contentTypeDescription="Create a new document." ma:contentTypeScope="" ma:versionID="758e355869a8636fa17be364c6fd5cd3">
  <xsd:schema xmlns:xsd="http://www.w3.org/2001/XMLSchema" xmlns:xs="http://www.w3.org/2001/XMLSchema" xmlns:p="http://schemas.microsoft.com/office/2006/metadata/properties" xmlns:ns2="825017e0-7538-4bca-873c-3a895d404480" xmlns:ns3="888102b3-a4e4-4628-9084-1226c40084d2" targetNamespace="http://schemas.microsoft.com/office/2006/metadata/properties" ma:root="true" ma:fieldsID="a817026e40e264c975ec8a7c65b87f36" ns2:_="" ns3:_="">
    <xsd:import namespace="825017e0-7538-4bca-873c-3a895d404480"/>
    <xsd:import namespace="888102b3-a4e4-4628-9084-1226c40084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_Flow_SignoffStatus"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017e0-7538-4bca-873c-3a895d404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8102b3-a4e4-4628-9084-1226c40084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5e051b-09b3-4e8f-be1a-59fdb832826f}" ma:internalName="TaxCatchAll" ma:showField="CatchAllData" ma:web="888102b3-a4e4-4628-9084-1226c4008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3b2b40ee-b8fe-4b06-ad44-1258380a093b"/>
    <ds:schemaRef ds:uri="http://purl.org/dc/elements/1.1/"/>
    <ds:schemaRef ds:uri="http://schemas.openxmlformats.org/package/2006/metadata/core-properties"/>
    <ds:schemaRef ds:uri="66f30785-3033-406d-ad85-6f15c7f15760"/>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24C0B212-A13B-48FD-B8E9-9F8884AF5B72}"/>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Annual report template.dotx</Template>
  <TotalTime>2</TotalTime>
  <Pages>150</Pages>
  <Words>38235</Words>
  <Characters>217945</Characters>
  <Application>Microsoft Office Word</Application>
  <DocSecurity>0</DocSecurity>
  <Lines>1816</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Blachford, Bridie</cp:lastModifiedBy>
  <cp:revision>4</cp:revision>
  <cp:lastPrinted>2024-01-25T20:44:00Z</cp:lastPrinted>
  <dcterms:created xsi:type="dcterms:W3CDTF">2024-10-28T05:32:00Z</dcterms:created>
  <dcterms:modified xsi:type="dcterms:W3CDTF">2024-10-28T05:34:00Z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ActionId">
    <vt:lpwstr>e07ae7a1-7253-4246-a758-4545ec851053</vt:lpwstr>
  </property>
  <property fmtid="{D5CDD505-2E9C-101B-9397-08002B2CF9AE}" pid="3" name="MediaServiceImageTags">
    <vt:lpwstr/>
  </property>
  <property fmtid="{D5CDD505-2E9C-101B-9397-08002B2CF9AE}" pid="4" name="ContentTypeId">
    <vt:lpwstr>0x010100B9F953A39A4F5941B24B59D3F23CA6C3</vt:lpwstr>
  </property>
  <property fmtid="{D5CDD505-2E9C-101B-9397-08002B2CF9AE}" pid="5" name="MSIP_Label_2b83f8d7-e91f-4eee-a336-52a8061c0503_SetDate">
    <vt:lpwstr>2024-10-22T05:04:59Z</vt:lpwstr>
  </property>
  <property fmtid="{D5CDD505-2E9C-101B-9397-08002B2CF9AE}" pid="6" name="MSIP_Label_2b83f8d7-e91f-4eee-a336-52a8061c0503_Name">
    <vt:lpwstr>OFFICIAL</vt:lpwstr>
  </property>
  <property fmtid="{D5CDD505-2E9C-101B-9397-08002B2CF9AE}" pid="7" name="MSIP_Label_2b83f8d7-e91f-4eee-a336-52a8061c0503_ContentBits">
    <vt:lpwstr>0</vt:lpwstr>
  </property>
  <property fmtid="{D5CDD505-2E9C-101B-9397-08002B2CF9AE}" pid="8" name="MSIP_Label_2b83f8d7-e91f-4eee-a336-52a8061c0503_SiteId">
    <vt:lpwstr>cd778b65-752d-454a-87cf-b9990fe58993</vt:lpwstr>
  </property>
  <property fmtid="{D5CDD505-2E9C-101B-9397-08002B2CF9AE}" pid="9" name="MSIP_Label_2b83f8d7-e91f-4eee-a336-52a8061c0503_Method">
    <vt:lpwstr>Privileged</vt:lpwstr>
  </property>
  <property fmtid="{D5CDD505-2E9C-101B-9397-08002B2CF9AE}" pid="10" name="MSIP_Label_2b83f8d7-e91f-4eee-a336-52a8061c0503_Enabled">
    <vt:lpwstr>true</vt:lpwstr>
  </property>
</Properties>
</file>