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6.xml" ContentType="application/vnd.openxmlformats-officedocument.wordprocessingml.foot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17.xml" ContentType="application/vnd.openxmlformats-officedocument.wordprocessingml.footer+xml"/>
  <Override PartName="/word/header24.xml" ContentType="application/vnd.openxmlformats-officedocument.wordprocessingml.header+xml"/>
  <Override PartName="/word/footer18.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19.xml" ContentType="application/vnd.openxmlformats-officedocument.wordprocessingml.footer+xml"/>
  <Override PartName="/word/header27.xml" ContentType="application/vnd.openxmlformats-officedocument.wordprocessingml.header+xml"/>
  <Override PartName="/word/footer20.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1.xml" ContentType="application/vnd.openxmlformats-officedocument.wordprocessingml.footer+xml"/>
  <Override PartName="/word/header30.xml" ContentType="application/vnd.openxmlformats-officedocument.wordprocessingml.header+xml"/>
  <Override PartName="/word/footer22.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23.xml" ContentType="application/vnd.openxmlformats-officedocument.wordprocessingml.footer+xml"/>
  <Override PartName="/word/header33.xml" ContentType="application/vnd.openxmlformats-officedocument.wordprocessingml.header+xml"/>
  <Override PartName="/word/footer24.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25.xml" ContentType="application/vnd.openxmlformats-officedocument.wordprocessingml.footer+xml"/>
  <Override PartName="/word/header36.xml" ContentType="application/vnd.openxmlformats-officedocument.wordprocessingml.header+xml"/>
  <Override PartName="/word/footer2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27.xml" ContentType="application/vnd.openxmlformats-officedocument.wordprocessingml.footer+xml"/>
  <Override PartName="/word/header39.xml" ContentType="application/vnd.openxmlformats-officedocument.wordprocessingml.header+xml"/>
  <Override PartName="/word/footer28.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29.xml" ContentType="application/vnd.openxmlformats-officedocument.wordprocessingml.footer+xml"/>
  <Override PartName="/word/header42.xml" ContentType="application/vnd.openxmlformats-officedocument.wordprocessingml.header+xml"/>
  <Override PartName="/word/footer30.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3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footer32.xml" ContentType="application/vnd.openxmlformats-officedocument.wordprocessingml.foot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footer33.xml" ContentType="application/vnd.openxmlformats-officedocument.wordprocessingml.foot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footer34.xml" ContentType="application/vnd.openxmlformats-officedocument.wordprocessingml.foot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footer35.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footer36.xml" ContentType="application/vnd.openxmlformats-officedocument.wordprocessingml.footer+xml"/>
  <Override PartName="/word/header72.xml" ContentType="application/vnd.openxmlformats-officedocument.wordprocessingml.header+xml"/>
  <Override PartName="/word/footer37.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38.xml" ContentType="application/vnd.openxmlformats-officedocument.wordprocessingml.footer+xml"/>
  <Override PartName="/word/header75.xml" ContentType="application/vnd.openxmlformats-officedocument.wordprocessingml.header+xml"/>
  <Override PartName="/word/footer39.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footer40.xml" ContentType="application/vnd.openxmlformats-officedocument.wordprocessingml.footer+xml"/>
  <Override PartName="/word/header78.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header79.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95F960" w14:textId="7699A647" w:rsidR="008C7E4D" w:rsidRPr="007A3600" w:rsidRDefault="007A1D8F" w:rsidP="00AD3197">
      <w:pPr>
        <w:pStyle w:val="Heading1"/>
      </w:pPr>
      <w:r w:rsidRPr="007A3600">
        <w:t>NDIA Annual Report 2024–25</w:t>
      </w:r>
    </w:p>
    <w:p w14:paraId="482CD205" w14:textId="77777777" w:rsidR="00BE41D3" w:rsidRPr="007A3600" w:rsidRDefault="00BE41D3" w:rsidP="00AD3197">
      <w:pPr>
        <w:pStyle w:val="Contentsheading"/>
        <w:sectPr w:rsidR="00BE41D3" w:rsidRPr="007A3600" w:rsidSect="008307EC">
          <w:headerReference w:type="default" r:id="rId11"/>
          <w:footerReference w:type="default" r:id="rId12"/>
          <w:headerReference w:type="first" r:id="rId13"/>
          <w:pgSz w:w="11906" w:h="16838" w:code="9"/>
          <w:pgMar w:top="9072" w:right="1440" w:bottom="1701" w:left="1440" w:header="561" w:footer="374" w:gutter="0"/>
          <w:cols w:space="708"/>
          <w:titlePg/>
          <w:docGrid w:linePitch="360"/>
        </w:sectPr>
      </w:pPr>
      <w:bookmarkStart w:id="0" w:name="_Toc157528057"/>
      <w:bookmarkStart w:id="1" w:name="_Toc157528252"/>
      <w:bookmarkStart w:id="2" w:name="_Toc157529519"/>
      <w:bookmarkStart w:id="3" w:name="_Toc157529657"/>
      <w:bookmarkStart w:id="4" w:name="_Toc157679812"/>
      <w:bookmarkStart w:id="5" w:name="_Toc157682116"/>
      <w:bookmarkStart w:id="6" w:name="_Toc201215649"/>
    </w:p>
    <w:p w14:paraId="1981CB1F" w14:textId="61E2DBE1" w:rsidR="004E0338" w:rsidRPr="007A3600" w:rsidRDefault="00707868" w:rsidP="00FB7EFE">
      <w:pPr>
        <w:pStyle w:val="Storytitle"/>
        <w:pBdr>
          <w:left w:val="single" w:sz="4" w:space="4" w:color="6B2876" w:themeColor="text1"/>
          <w:right w:val="single" w:sz="4" w:space="4" w:color="6B2876" w:themeColor="text1"/>
        </w:pBdr>
      </w:pPr>
      <w:r w:rsidRPr="007A3600">
        <w:lastRenderedPageBreak/>
        <w:t>New skills help Oceanlee find work and live independently</w:t>
      </w:r>
    </w:p>
    <w:p w14:paraId="05E6F13F" w14:textId="77777777" w:rsidR="006B11C1" w:rsidRPr="007A3600" w:rsidRDefault="006B11C1" w:rsidP="00FB7EFE">
      <w:pPr>
        <w:pStyle w:val="PullOut-Body"/>
        <w:pBdr>
          <w:left w:val="single" w:sz="4" w:space="4" w:color="6B2876" w:themeColor="text1"/>
          <w:right w:val="single" w:sz="4" w:space="4" w:color="6B2876" w:themeColor="text1"/>
        </w:pBdr>
      </w:pPr>
      <w:r w:rsidRPr="007A3600">
        <w:t>With the right supports, Dubbo NDIS participant Oceanlee has changed her life. Now she’s more confident, independent and working in a job she loves.</w:t>
      </w:r>
    </w:p>
    <w:p w14:paraId="07C1B962" w14:textId="77777777" w:rsidR="006B11C1" w:rsidRPr="007A3600" w:rsidRDefault="006B11C1" w:rsidP="00FB7EFE">
      <w:pPr>
        <w:pStyle w:val="PullOut-Body"/>
        <w:pBdr>
          <w:left w:val="single" w:sz="4" w:space="4" w:color="6B2876" w:themeColor="text1"/>
          <w:right w:val="single" w:sz="4" w:space="4" w:color="6B2876" w:themeColor="text1"/>
        </w:pBdr>
      </w:pPr>
      <w:r w:rsidRPr="007A3600">
        <w:t>The 26-year-old said when she finished school, she knew she could do with some help.</w:t>
      </w:r>
    </w:p>
    <w:p w14:paraId="2DF1A09F" w14:textId="77777777" w:rsidR="006B11C1" w:rsidRPr="007A3600" w:rsidRDefault="006B11C1" w:rsidP="00FB7EFE">
      <w:pPr>
        <w:pStyle w:val="PullOut-Body"/>
        <w:pBdr>
          <w:left w:val="single" w:sz="4" w:space="4" w:color="6B2876" w:themeColor="text1"/>
          <w:right w:val="single" w:sz="4" w:space="4" w:color="6B2876" w:themeColor="text1"/>
        </w:pBdr>
      </w:pPr>
      <w:r w:rsidRPr="007A3600">
        <w:t>‘I decided to reach out to Social Futures,’ Oceanlee said. ‘I met Noel, my local area coordinator.’</w:t>
      </w:r>
    </w:p>
    <w:p w14:paraId="29ABBA32" w14:textId="77777777" w:rsidR="006B11C1" w:rsidRPr="007A3600" w:rsidRDefault="006B11C1" w:rsidP="00FB7EFE">
      <w:pPr>
        <w:pStyle w:val="PullOut-Body"/>
        <w:pBdr>
          <w:left w:val="single" w:sz="4" w:space="4" w:color="6B2876" w:themeColor="text1"/>
          <w:right w:val="single" w:sz="4" w:space="4" w:color="6B2876" w:themeColor="text1"/>
        </w:pBdr>
      </w:pPr>
      <w:r w:rsidRPr="007A3600">
        <w:t>Oceanlee also started working with Reenie, a support worker, who showed her how to budget, catch public transport, write her resume, apply for jobs and prepare for interviews.</w:t>
      </w:r>
    </w:p>
    <w:p w14:paraId="3C12E01D" w14:textId="77777777" w:rsidR="006B11C1" w:rsidRPr="007A3600" w:rsidRDefault="006B11C1" w:rsidP="00FB7EFE">
      <w:pPr>
        <w:pStyle w:val="PullOut-Body"/>
        <w:pBdr>
          <w:left w:val="single" w:sz="4" w:space="4" w:color="6B2876" w:themeColor="text1"/>
          <w:right w:val="single" w:sz="4" w:space="4" w:color="6B2876" w:themeColor="text1"/>
        </w:pBdr>
      </w:pPr>
      <w:r w:rsidRPr="007A3600">
        <w:t>Noel and Reenie encouraged Oceanlee to set 3 main goals.</w:t>
      </w:r>
    </w:p>
    <w:p w14:paraId="3B2C8B1B" w14:textId="77777777" w:rsidR="006B11C1" w:rsidRPr="007A3600" w:rsidRDefault="006B11C1" w:rsidP="00FB7EFE">
      <w:pPr>
        <w:pStyle w:val="PullOut-Body"/>
        <w:pBdr>
          <w:left w:val="single" w:sz="4" w:space="4" w:color="6B2876" w:themeColor="text1"/>
          <w:right w:val="single" w:sz="4" w:space="4" w:color="6B2876" w:themeColor="text1"/>
        </w:pBdr>
      </w:pPr>
      <w:r w:rsidRPr="007A3600">
        <w:t>‘I wanted to get a full-time job, my driver’s licence and live independently,’ she said.</w:t>
      </w:r>
    </w:p>
    <w:p w14:paraId="36E16B18" w14:textId="77777777" w:rsidR="006B11C1" w:rsidRPr="007A3600" w:rsidRDefault="006B11C1" w:rsidP="00FB7EFE">
      <w:pPr>
        <w:pStyle w:val="PullOut-Body"/>
        <w:pBdr>
          <w:left w:val="single" w:sz="4" w:space="4" w:color="6B2876" w:themeColor="text1"/>
          <w:right w:val="single" w:sz="4" w:space="4" w:color="6B2876" w:themeColor="text1"/>
        </w:pBdr>
      </w:pPr>
      <w:r w:rsidRPr="007A3600">
        <w:t>Oceanlee’s dad worked at a national hardware store. He suggested she apply there, which she did and landed a casual role.</w:t>
      </w:r>
    </w:p>
    <w:p w14:paraId="00D63ADC" w14:textId="77777777" w:rsidR="006B11C1" w:rsidRPr="007A3600" w:rsidRDefault="006B11C1" w:rsidP="00FB7EFE">
      <w:pPr>
        <w:pStyle w:val="PullOut-Body"/>
        <w:pBdr>
          <w:left w:val="single" w:sz="4" w:space="4" w:color="6B2876" w:themeColor="text1"/>
          <w:right w:val="single" w:sz="4" w:space="4" w:color="6B2876" w:themeColor="text1"/>
        </w:pBdr>
      </w:pPr>
      <w:r w:rsidRPr="007A3600">
        <w:t>Oceanlee has made huge progress. With her NDIS funding and strong will, she’s reached 2 of her 3 goals.</w:t>
      </w:r>
    </w:p>
    <w:p w14:paraId="359CB3CF" w14:textId="77777777" w:rsidR="006B11C1" w:rsidRPr="007A3600" w:rsidRDefault="006B11C1" w:rsidP="00FB7EFE">
      <w:pPr>
        <w:pStyle w:val="PullOut-Body"/>
        <w:pBdr>
          <w:left w:val="single" w:sz="4" w:space="4" w:color="6B2876" w:themeColor="text1"/>
          <w:right w:val="single" w:sz="4" w:space="4" w:color="6B2876" w:themeColor="text1"/>
        </w:pBdr>
      </w:pPr>
      <w:r w:rsidRPr="007A3600">
        <w:t>‘After 3 months, I was offered a full-time job! I absolutely love it,’ she said. ‘It’s helped me overcome my social anxiety.’</w:t>
      </w:r>
    </w:p>
    <w:p w14:paraId="57AAD448" w14:textId="77777777" w:rsidR="006B11C1" w:rsidRPr="007A3600" w:rsidRDefault="006B11C1" w:rsidP="00FB7EFE">
      <w:pPr>
        <w:pStyle w:val="PullOut-Body"/>
        <w:pBdr>
          <w:left w:val="single" w:sz="4" w:space="4" w:color="6B2876" w:themeColor="text1"/>
          <w:right w:val="single" w:sz="4" w:space="4" w:color="6B2876" w:themeColor="text1"/>
        </w:pBdr>
      </w:pPr>
      <w:r w:rsidRPr="007A3600">
        <w:t>Oceanlee is now thriving. ‘Everyone’s proud of me,’ she said. ‘I think I’m a bit of a favourite at work too,’ she added.</w:t>
      </w:r>
    </w:p>
    <w:p w14:paraId="4F9EA96B" w14:textId="77777777" w:rsidR="006B11C1" w:rsidRPr="007A3600" w:rsidRDefault="006B11C1" w:rsidP="00FB7EFE">
      <w:pPr>
        <w:pStyle w:val="PullOut-Body"/>
        <w:pBdr>
          <w:left w:val="single" w:sz="4" w:space="4" w:color="6B2876" w:themeColor="text1"/>
          <w:right w:val="single" w:sz="4" w:space="4" w:color="6B2876" w:themeColor="text1"/>
        </w:pBdr>
      </w:pPr>
      <w:r w:rsidRPr="007A3600">
        <w:t>‘I’m also living independently and I’m catching the bus on my own. I’m really proud of that!’</w:t>
      </w:r>
    </w:p>
    <w:p w14:paraId="14D650DB" w14:textId="77777777" w:rsidR="006B11C1" w:rsidRPr="007A3600" w:rsidRDefault="006B11C1" w:rsidP="00FB7EFE">
      <w:pPr>
        <w:pStyle w:val="PullOut-Body"/>
        <w:pBdr>
          <w:left w:val="single" w:sz="4" w:space="4" w:color="6B2876" w:themeColor="text1"/>
          <w:right w:val="single" w:sz="4" w:space="4" w:color="6B2876" w:themeColor="text1"/>
        </w:pBdr>
      </w:pPr>
      <w:r w:rsidRPr="007A3600">
        <w:t>Next on Oceanlee’s list is to get her driver’s licence and save for her future.</w:t>
      </w:r>
    </w:p>
    <w:p w14:paraId="7CE89302" w14:textId="77777777" w:rsidR="006B11C1" w:rsidRPr="007A3600" w:rsidRDefault="006B11C1" w:rsidP="00FB7EFE">
      <w:pPr>
        <w:pStyle w:val="PullOut-Body"/>
        <w:pBdr>
          <w:left w:val="single" w:sz="4" w:space="4" w:color="6B2876" w:themeColor="text1"/>
          <w:right w:val="single" w:sz="4" w:space="4" w:color="6B2876" w:themeColor="text1"/>
        </w:pBdr>
      </w:pPr>
      <w:r w:rsidRPr="007A3600">
        <w:t>‘I’d love to own my own home one day and travel,’ she said.</w:t>
      </w:r>
    </w:p>
    <w:p w14:paraId="015CAF70" w14:textId="2ED8C410" w:rsidR="006B11C1" w:rsidRPr="007A3600" w:rsidRDefault="006B11C1" w:rsidP="00FB7EFE">
      <w:pPr>
        <w:pStyle w:val="PullOut-Body"/>
        <w:pBdr>
          <w:left w:val="single" w:sz="4" w:space="4" w:color="6B2876" w:themeColor="text1"/>
          <w:right w:val="single" w:sz="4" w:space="4" w:color="6B2876" w:themeColor="text1"/>
        </w:pBdr>
      </w:pPr>
      <w:r w:rsidRPr="007A3600">
        <w:t>‘Before I got my NDIS funding, my family and I struggled. But the NDIS changed my life. I’ve learned so much – social skills, budgeting ... though budgeting’s hard. I have a big cup addiction and when I see one, I want to buy it!’ she laughed.</w:t>
      </w:r>
    </w:p>
    <w:p w14:paraId="5BC30AF7" w14:textId="77777777" w:rsidR="006B11C1" w:rsidRPr="007A3600" w:rsidRDefault="006B11C1" w:rsidP="00FB7EFE">
      <w:pPr>
        <w:pStyle w:val="PullOut-Body"/>
        <w:pBdr>
          <w:left w:val="single" w:sz="4" w:space="4" w:color="6B2876" w:themeColor="text1"/>
          <w:right w:val="single" w:sz="4" w:space="4" w:color="6B2876" w:themeColor="text1"/>
        </w:pBdr>
      </w:pPr>
      <w:r w:rsidRPr="007A3600">
        <w:t>Oceanlee has some advice for others.</w:t>
      </w:r>
    </w:p>
    <w:p w14:paraId="70D02C2D" w14:textId="0F110ECF" w:rsidR="00E269E7" w:rsidRPr="007A3600" w:rsidRDefault="006B11C1" w:rsidP="00FB7EFE">
      <w:pPr>
        <w:pStyle w:val="PullOut-Body"/>
        <w:pBdr>
          <w:left w:val="single" w:sz="4" w:space="4" w:color="6B2876" w:themeColor="text1"/>
          <w:right w:val="single" w:sz="4" w:space="4" w:color="6B2876" w:themeColor="text1"/>
        </w:pBdr>
      </w:pPr>
      <w:r w:rsidRPr="007A3600">
        <w:t>‘Do your research on your local NDIS partner in the community and disability support providers, then make some calls,’ she said. ‘I did, and meeting Noel and Reenie changed my life!’</w:t>
      </w:r>
    </w:p>
    <w:p w14:paraId="66DB34AB" w14:textId="77777777" w:rsidR="004E0338" w:rsidRPr="007A3600" w:rsidRDefault="004E0338" w:rsidP="00AD3197">
      <w:r w:rsidRPr="007A3600">
        <w:br w:type="page"/>
      </w:r>
    </w:p>
    <w:p w14:paraId="4111EB5A" w14:textId="035433C9" w:rsidR="00AA07FC" w:rsidRPr="007A3600" w:rsidRDefault="005F5CE9" w:rsidP="00AD3197">
      <w:pPr>
        <w:pStyle w:val="Contentsheading"/>
      </w:pPr>
      <w:r w:rsidRPr="007A3600">
        <w:lastRenderedPageBreak/>
        <w:t>Contents</w:t>
      </w:r>
      <w:bookmarkEnd w:id="0"/>
      <w:bookmarkEnd w:id="1"/>
      <w:bookmarkEnd w:id="2"/>
      <w:bookmarkEnd w:id="3"/>
      <w:bookmarkEnd w:id="4"/>
      <w:bookmarkEnd w:id="5"/>
      <w:bookmarkEnd w:id="6"/>
    </w:p>
    <w:p w14:paraId="406BB30E" w14:textId="0192930C" w:rsidR="000E41B3" w:rsidRDefault="00A15BC8"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rsidRPr="007A3600">
        <w:rPr>
          <w:iCs w:val="0"/>
        </w:rPr>
        <w:fldChar w:fldCharType="begin"/>
      </w:r>
      <w:r w:rsidRPr="007A3600">
        <w:rPr>
          <w:iCs w:val="0"/>
        </w:rPr>
        <w:instrText xml:space="preserve"> TOC \t "Heading 2,1,Heading 3,2" </w:instrText>
      </w:r>
      <w:r w:rsidRPr="007A3600">
        <w:rPr>
          <w:iCs w:val="0"/>
        </w:rPr>
        <w:fldChar w:fldCharType="separate"/>
      </w:r>
      <w:r w:rsidR="000E41B3">
        <w:t>Letter of transmittal</w:t>
      </w:r>
      <w:r w:rsidR="000E41B3">
        <w:tab/>
      </w:r>
      <w:r w:rsidR="000E41B3">
        <w:fldChar w:fldCharType="begin"/>
      </w:r>
      <w:r w:rsidR="000E41B3">
        <w:instrText xml:space="preserve"> PAGEREF _Toc209695830 \h </w:instrText>
      </w:r>
      <w:r w:rsidR="000E41B3">
        <w:fldChar w:fldCharType="separate"/>
      </w:r>
      <w:r w:rsidR="000E41B3">
        <w:t>7</w:t>
      </w:r>
      <w:r w:rsidR="000E41B3">
        <w:fldChar w:fldCharType="end"/>
      </w:r>
    </w:p>
    <w:p w14:paraId="7EC0E970" w14:textId="33DF28D3"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1: The National Disability Insurance Agency – delivering the National Disability Insurance Scheme</w:t>
      </w:r>
      <w:r>
        <w:rPr>
          <w:noProof/>
        </w:rPr>
        <w:tab/>
      </w:r>
      <w:r>
        <w:rPr>
          <w:noProof/>
        </w:rPr>
        <w:fldChar w:fldCharType="begin"/>
      </w:r>
      <w:r>
        <w:rPr>
          <w:noProof/>
        </w:rPr>
        <w:instrText xml:space="preserve"> PAGEREF _Toc209695831 \h </w:instrText>
      </w:r>
      <w:r>
        <w:rPr>
          <w:noProof/>
        </w:rPr>
      </w:r>
      <w:r>
        <w:rPr>
          <w:noProof/>
        </w:rPr>
        <w:fldChar w:fldCharType="separate"/>
      </w:r>
      <w:r>
        <w:rPr>
          <w:noProof/>
        </w:rPr>
        <w:t>8</w:t>
      </w:r>
      <w:r>
        <w:rPr>
          <w:noProof/>
        </w:rPr>
        <w:fldChar w:fldCharType="end"/>
      </w:r>
    </w:p>
    <w:p w14:paraId="49C86739" w14:textId="654EC508"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1.1</w:t>
      </w:r>
      <w:r>
        <w:rPr>
          <w:rFonts w:eastAsiaTheme="minorEastAsia" w:cstheme="minorBidi"/>
          <w:iCs w:val="0"/>
          <w:kern w:val="2"/>
          <w:szCs w:val="24"/>
          <w14:ligatures w14:val="standardContextual"/>
        </w:rPr>
        <w:tab/>
      </w:r>
      <w:r>
        <w:t>A message from the NDIA Board Chair</w:t>
      </w:r>
      <w:r>
        <w:tab/>
      </w:r>
      <w:r>
        <w:fldChar w:fldCharType="begin"/>
      </w:r>
      <w:r>
        <w:instrText xml:space="preserve"> PAGEREF _Toc209695832 \h </w:instrText>
      </w:r>
      <w:r>
        <w:fldChar w:fldCharType="separate"/>
      </w:r>
      <w:r>
        <w:t>11</w:t>
      </w:r>
      <w:r>
        <w:fldChar w:fldCharType="end"/>
      </w:r>
    </w:p>
    <w:p w14:paraId="282CC129" w14:textId="35C5127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1.2</w:t>
      </w:r>
      <w:r>
        <w:rPr>
          <w:rFonts w:eastAsiaTheme="minorEastAsia" w:cstheme="minorBidi"/>
          <w:iCs w:val="0"/>
          <w:kern w:val="2"/>
          <w:szCs w:val="24"/>
          <w14:ligatures w14:val="standardContextual"/>
        </w:rPr>
        <w:tab/>
      </w:r>
      <w:r>
        <w:t>A message from the acting NDIA Chief Executive Officer</w:t>
      </w:r>
      <w:r>
        <w:tab/>
      </w:r>
      <w:r>
        <w:fldChar w:fldCharType="begin"/>
      </w:r>
      <w:r>
        <w:instrText xml:space="preserve"> PAGEREF _Toc209695833 \h </w:instrText>
      </w:r>
      <w:r>
        <w:fldChar w:fldCharType="separate"/>
      </w:r>
      <w:r>
        <w:t>13</w:t>
      </w:r>
      <w:r>
        <w:fldChar w:fldCharType="end"/>
      </w:r>
    </w:p>
    <w:p w14:paraId="57FB185C" w14:textId="449F666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1.3</w:t>
      </w:r>
      <w:r>
        <w:rPr>
          <w:rFonts w:eastAsiaTheme="minorEastAsia" w:cstheme="minorBidi"/>
          <w:iCs w:val="0"/>
          <w:kern w:val="2"/>
          <w:szCs w:val="24"/>
          <w14:ligatures w14:val="standardContextual"/>
        </w:rPr>
        <w:tab/>
      </w:r>
      <w:r>
        <w:t>The National Disability Insurance Agency</w:t>
      </w:r>
      <w:r>
        <w:tab/>
      </w:r>
      <w:r>
        <w:fldChar w:fldCharType="begin"/>
      </w:r>
      <w:r>
        <w:instrText xml:space="preserve"> PAGEREF _Toc209695834 \h </w:instrText>
      </w:r>
      <w:r>
        <w:fldChar w:fldCharType="separate"/>
      </w:r>
      <w:r>
        <w:t>15</w:t>
      </w:r>
      <w:r>
        <w:fldChar w:fldCharType="end"/>
      </w:r>
    </w:p>
    <w:p w14:paraId="56E272CA" w14:textId="2B893C34"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1.4</w:t>
      </w:r>
      <w:r>
        <w:rPr>
          <w:rFonts w:eastAsiaTheme="minorEastAsia" w:cstheme="minorBidi"/>
          <w:iCs w:val="0"/>
          <w:kern w:val="2"/>
          <w:szCs w:val="24"/>
          <w14:ligatures w14:val="standardContextual"/>
        </w:rPr>
        <w:tab/>
      </w:r>
      <w:r>
        <w:t>The National Disability Insurance Scheme</w:t>
      </w:r>
      <w:r>
        <w:tab/>
      </w:r>
      <w:r>
        <w:fldChar w:fldCharType="begin"/>
      </w:r>
      <w:r>
        <w:instrText xml:space="preserve"> PAGEREF _Toc209695835 \h </w:instrText>
      </w:r>
      <w:r>
        <w:fldChar w:fldCharType="separate"/>
      </w:r>
      <w:r>
        <w:t>17</w:t>
      </w:r>
      <w:r>
        <w:fldChar w:fldCharType="end"/>
      </w:r>
    </w:p>
    <w:p w14:paraId="485A8267" w14:textId="4104C18B"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2: Annual performance statements</w:t>
      </w:r>
      <w:r>
        <w:rPr>
          <w:noProof/>
        </w:rPr>
        <w:tab/>
      </w:r>
      <w:r>
        <w:rPr>
          <w:noProof/>
        </w:rPr>
        <w:fldChar w:fldCharType="begin"/>
      </w:r>
      <w:r>
        <w:rPr>
          <w:noProof/>
        </w:rPr>
        <w:instrText xml:space="preserve"> PAGEREF _Toc209695836 \h </w:instrText>
      </w:r>
      <w:r>
        <w:rPr>
          <w:noProof/>
        </w:rPr>
      </w:r>
      <w:r>
        <w:rPr>
          <w:noProof/>
        </w:rPr>
        <w:fldChar w:fldCharType="separate"/>
      </w:r>
      <w:r>
        <w:rPr>
          <w:noProof/>
        </w:rPr>
        <w:t>19</w:t>
      </w:r>
      <w:r>
        <w:rPr>
          <w:noProof/>
        </w:rPr>
        <w:fldChar w:fldCharType="end"/>
      </w:r>
    </w:p>
    <w:p w14:paraId="53498D26" w14:textId="05092C6B"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2.1</w:t>
      </w:r>
      <w:r>
        <w:rPr>
          <w:rFonts w:eastAsiaTheme="minorEastAsia" w:cstheme="minorBidi"/>
          <w:iCs w:val="0"/>
          <w:kern w:val="2"/>
          <w:szCs w:val="24"/>
          <w14:ligatures w14:val="standardContextual"/>
        </w:rPr>
        <w:tab/>
      </w:r>
      <w:r>
        <w:t>Statement of preparation</w:t>
      </w:r>
      <w:r>
        <w:tab/>
      </w:r>
      <w:r>
        <w:fldChar w:fldCharType="begin"/>
      </w:r>
      <w:r>
        <w:instrText xml:space="preserve"> PAGEREF _Toc209695837 \h </w:instrText>
      </w:r>
      <w:r>
        <w:fldChar w:fldCharType="separate"/>
      </w:r>
      <w:r>
        <w:t>20</w:t>
      </w:r>
      <w:r>
        <w:fldChar w:fldCharType="end"/>
      </w:r>
    </w:p>
    <w:p w14:paraId="47B8BB94" w14:textId="44BD900A"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rPr>
          <w:lang w:eastAsia="ja-JP"/>
        </w:rPr>
        <w:t>2.2</w:t>
      </w:r>
      <w:r>
        <w:rPr>
          <w:rFonts w:eastAsiaTheme="minorEastAsia" w:cstheme="minorBidi"/>
          <w:iCs w:val="0"/>
          <w:kern w:val="2"/>
          <w:szCs w:val="24"/>
          <w14:ligatures w14:val="standardContextual"/>
        </w:rPr>
        <w:tab/>
      </w:r>
      <w:r>
        <w:rPr>
          <w:lang w:eastAsia="ja-JP"/>
        </w:rPr>
        <w:t>Performance framework</w:t>
      </w:r>
      <w:r>
        <w:tab/>
      </w:r>
      <w:r>
        <w:fldChar w:fldCharType="begin"/>
      </w:r>
      <w:r>
        <w:instrText xml:space="preserve"> PAGEREF _Toc209695838 \h </w:instrText>
      </w:r>
      <w:r>
        <w:fldChar w:fldCharType="separate"/>
      </w:r>
      <w:r>
        <w:t>20</w:t>
      </w:r>
      <w:r>
        <w:fldChar w:fldCharType="end"/>
      </w:r>
    </w:p>
    <w:p w14:paraId="1500EF44" w14:textId="6E77843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rPr>
          <w:lang w:eastAsia="ja-JP"/>
        </w:rPr>
        <w:t>2.3</w:t>
      </w:r>
      <w:r>
        <w:rPr>
          <w:rFonts w:eastAsiaTheme="minorEastAsia" w:cstheme="minorBidi"/>
          <w:iCs w:val="0"/>
          <w:kern w:val="2"/>
          <w:szCs w:val="24"/>
          <w14:ligatures w14:val="standardContextual"/>
        </w:rPr>
        <w:tab/>
      </w:r>
      <w:r>
        <w:rPr>
          <w:lang w:eastAsia="ja-JP"/>
        </w:rPr>
        <w:t>The NDIA annual performance statements</w:t>
      </w:r>
      <w:r>
        <w:tab/>
      </w:r>
      <w:r>
        <w:fldChar w:fldCharType="begin"/>
      </w:r>
      <w:r>
        <w:instrText xml:space="preserve"> PAGEREF _Toc209695839 \h </w:instrText>
      </w:r>
      <w:r>
        <w:fldChar w:fldCharType="separate"/>
      </w:r>
      <w:r>
        <w:t>20</w:t>
      </w:r>
      <w:r>
        <w:fldChar w:fldCharType="end"/>
      </w:r>
    </w:p>
    <w:p w14:paraId="5FE7B6A7" w14:textId="6AE29313"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3: Financial sustainability statements</w:t>
      </w:r>
      <w:r>
        <w:rPr>
          <w:noProof/>
        </w:rPr>
        <w:tab/>
      </w:r>
      <w:r>
        <w:rPr>
          <w:noProof/>
        </w:rPr>
        <w:fldChar w:fldCharType="begin"/>
      </w:r>
      <w:r>
        <w:rPr>
          <w:noProof/>
        </w:rPr>
        <w:instrText xml:space="preserve"> PAGEREF _Toc209695840 \h </w:instrText>
      </w:r>
      <w:r>
        <w:rPr>
          <w:noProof/>
        </w:rPr>
      </w:r>
      <w:r>
        <w:rPr>
          <w:noProof/>
        </w:rPr>
        <w:fldChar w:fldCharType="separate"/>
      </w:r>
      <w:r>
        <w:rPr>
          <w:noProof/>
        </w:rPr>
        <w:t>39</w:t>
      </w:r>
      <w:r>
        <w:rPr>
          <w:noProof/>
        </w:rPr>
        <w:fldChar w:fldCharType="end"/>
      </w:r>
    </w:p>
    <w:p w14:paraId="57571249" w14:textId="25814B14"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3.1</w:t>
      </w:r>
      <w:r>
        <w:rPr>
          <w:rFonts w:eastAsiaTheme="minorEastAsia" w:cstheme="minorBidi"/>
          <w:iCs w:val="0"/>
          <w:kern w:val="2"/>
          <w:szCs w:val="24"/>
          <w14:ligatures w14:val="standardContextual"/>
        </w:rPr>
        <w:tab/>
      </w:r>
      <w:r>
        <w:t>Introduction</w:t>
      </w:r>
      <w:r>
        <w:tab/>
      </w:r>
      <w:r>
        <w:fldChar w:fldCharType="begin"/>
      </w:r>
      <w:r>
        <w:instrText xml:space="preserve"> PAGEREF _Toc209695841 \h </w:instrText>
      </w:r>
      <w:r>
        <w:fldChar w:fldCharType="separate"/>
      </w:r>
      <w:r>
        <w:t>40</w:t>
      </w:r>
      <w:r>
        <w:fldChar w:fldCharType="end"/>
      </w:r>
    </w:p>
    <w:p w14:paraId="426570C2" w14:textId="25D1B6A5"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3.2</w:t>
      </w:r>
      <w:r>
        <w:rPr>
          <w:rFonts w:eastAsiaTheme="minorEastAsia" w:cstheme="minorBidi"/>
          <w:iCs w:val="0"/>
          <w:kern w:val="2"/>
          <w:szCs w:val="24"/>
          <w14:ligatures w14:val="standardContextual"/>
        </w:rPr>
        <w:tab/>
      </w:r>
      <w:r>
        <w:t>Scheme reforms update since previous review</w:t>
      </w:r>
      <w:r>
        <w:tab/>
      </w:r>
      <w:r>
        <w:fldChar w:fldCharType="begin"/>
      </w:r>
      <w:r>
        <w:instrText xml:space="preserve"> PAGEREF _Toc209695842 \h </w:instrText>
      </w:r>
      <w:r>
        <w:fldChar w:fldCharType="separate"/>
      </w:r>
      <w:r>
        <w:t>40</w:t>
      </w:r>
      <w:r>
        <w:fldChar w:fldCharType="end"/>
      </w:r>
    </w:p>
    <w:p w14:paraId="48A38E14" w14:textId="5A69DA2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3.3</w:t>
      </w:r>
      <w:r>
        <w:rPr>
          <w:rFonts w:eastAsiaTheme="minorEastAsia" w:cstheme="minorBidi"/>
          <w:iCs w:val="0"/>
          <w:kern w:val="2"/>
          <w:szCs w:val="24"/>
          <w14:ligatures w14:val="standardContextual"/>
        </w:rPr>
        <w:tab/>
      </w:r>
      <w:r>
        <w:t>June 2025 projection of Scheme expenses</w:t>
      </w:r>
      <w:r>
        <w:tab/>
      </w:r>
      <w:r>
        <w:fldChar w:fldCharType="begin"/>
      </w:r>
      <w:r>
        <w:instrText xml:space="preserve"> PAGEREF _Toc209695843 \h </w:instrText>
      </w:r>
      <w:r>
        <w:fldChar w:fldCharType="separate"/>
      </w:r>
      <w:r>
        <w:t>42</w:t>
      </w:r>
      <w:r>
        <w:fldChar w:fldCharType="end"/>
      </w:r>
    </w:p>
    <w:p w14:paraId="458E79AB" w14:textId="1F16100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3.4</w:t>
      </w:r>
      <w:r>
        <w:rPr>
          <w:rFonts w:eastAsiaTheme="minorEastAsia" w:cstheme="minorBidi"/>
          <w:iCs w:val="0"/>
          <w:kern w:val="2"/>
          <w:szCs w:val="24"/>
          <w14:ligatures w14:val="standardContextual"/>
        </w:rPr>
        <w:tab/>
      </w:r>
      <w:r>
        <w:t>Letter from independent actuary</w:t>
      </w:r>
      <w:r>
        <w:tab/>
      </w:r>
      <w:r>
        <w:fldChar w:fldCharType="begin"/>
      </w:r>
      <w:r>
        <w:instrText xml:space="preserve"> PAGEREF _Toc209695844 \h </w:instrText>
      </w:r>
      <w:r>
        <w:fldChar w:fldCharType="separate"/>
      </w:r>
      <w:r>
        <w:t>46</w:t>
      </w:r>
      <w:r>
        <w:fldChar w:fldCharType="end"/>
      </w:r>
    </w:p>
    <w:p w14:paraId="05DE7E40" w14:textId="3C2DAB38"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4: Management and accountability</w:t>
      </w:r>
      <w:r>
        <w:rPr>
          <w:noProof/>
        </w:rPr>
        <w:tab/>
      </w:r>
      <w:r>
        <w:rPr>
          <w:noProof/>
        </w:rPr>
        <w:fldChar w:fldCharType="begin"/>
      </w:r>
      <w:r>
        <w:rPr>
          <w:noProof/>
        </w:rPr>
        <w:instrText xml:space="preserve"> PAGEREF _Toc209695845 \h </w:instrText>
      </w:r>
      <w:r>
        <w:rPr>
          <w:noProof/>
        </w:rPr>
      </w:r>
      <w:r>
        <w:rPr>
          <w:noProof/>
        </w:rPr>
        <w:fldChar w:fldCharType="separate"/>
      </w:r>
      <w:r>
        <w:rPr>
          <w:noProof/>
        </w:rPr>
        <w:t>47</w:t>
      </w:r>
      <w:r>
        <w:rPr>
          <w:noProof/>
        </w:rPr>
        <w:fldChar w:fldCharType="end"/>
      </w:r>
    </w:p>
    <w:p w14:paraId="439E0AA8" w14:textId="25BA9E8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4.1</w:t>
      </w:r>
      <w:r>
        <w:rPr>
          <w:rFonts w:eastAsiaTheme="minorEastAsia" w:cstheme="minorBidi"/>
          <w:iCs w:val="0"/>
          <w:kern w:val="2"/>
          <w:szCs w:val="24"/>
          <w14:ligatures w14:val="standardContextual"/>
        </w:rPr>
        <w:tab/>
      </w:r>
      <w:r>
        <w:t>Governance</w:t>
      </w:r>
      <w:r>
        <w:tab/>
      </w:r>
      <w:r>
        <w:fldChar w:fldCharType="begin"/>
      </w:r>
      <w:r>
        <w:instrText xml:space="preserve"> PAGEREF _Toc209695846 \h </w:instrText>
      </w:r>
      <w:r>
        <w:fldChar w:fldCharType="separate"/>
      </w:r>
      <w:r>
        <w:t>48</w:t>
      </w:r>
      <w:r>
        <w:fldChar w:fldCharType="end"/>
      </w:r>
    </w:p>
    <w:p w14:paraId="210BABB8" w14:textId="04B050E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4.2</w:t>
      </w:r>
      <w:r>
        <w:rPr>
          <w:rFonts w:eastAsiaTheme="minorEastAsia" w:cstheme="minorBidi"/>
          <w:iCs w:val="0"/>
          <w:kern w:val="2"/>
          <w:szCs w:val="24"/>
          <w14:ligatures w14:val="standardContextual"/>
        </w:rPr>
        <w:tab/>
      </w:r>
      <w:r>
        <w:t>NDIA Board</w:t>
      </w:r>
      <w:r>
        <w:tab/>
      </w:r>
      <w:r>
        <w:fldChar w:fldCharType="begin"/>
      </w:r>
      <w:r>
        <w:instrText xml:space="preserve"> PAGEREF _Toc209695847 \h </w:instrText>
      </w:r>
      <w:r>
        <w:fldChar w:fldCharType="separate"/>
      </w:r>
      <w:r>
        <w:t>49</w:t>
      </w:r>
      <w:r>
        <w:fldChar w:fldCharType="end"/>
      </w:r>
    </w:p>
    <w:p w14:paraId="57C77FC5" w14:textId="65676046"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4.3</w:t>
      </w:r>
      <w:r>
        <w:rPr>
          <w:rFonts w:eastAsiaTheme="minorEastAsia" w:cstheme="minorBidi"/>
          <w:iCs w:val="0"/>
          <w:kern w:val="2"/>
          <w:szCs w:val="24"/>
          <w14:ligatures w14:val="standardContextual"/>
        </w:rPr>
        <w:tab/>
      </w:r>
      <w:r>
        <w:t>Board committees</w:t>
      </w:r>
      <w:r>
        <w:tab/>
      </w:r>
      <w:r>
        <w:fldChar w:fldCharType="begin"/>
      </w:r>
      <w:r>
        <w:instrText xml:space="preserve"> PAGEREF _Toc209695848 \h </w:instrText>
      </w:r>
      <w:r>
        <w:fldChar w:fldCharType="separate"/>
      </w:r>
      <w:r>
        <w:t>62</w:t>
      </w:r>
      <w:r>
        <w:fldChar w:fldCharType="end"/>
      </w:r>
    </w:p>
    <w:p w14:paraId="1B7D7ED0" w14:textId="7ED2E6B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4.4</w:t>
      </w:r>
      <w:r>
        <w:rPr>
          <w:rFonts w:eastAsiaTheme="minorEastAsia" w:cstheme="minorBidi"/>
          <w:iCs w:val="0"/>
          <w:kern w:val="2"/>
          <w:szCs w:val="24"/>
          <w14:ligatures w14:val="standardContextual"/>
        </w:rPr>
        <w:tab/>
      </w:r>
      <w:r>
        <w:t>Independent Advisory Council</w:t>
      </w:r>
      <w:r>
        <w:tab/>
      </w:r>
      <w:r>
        <w:fldChar w:fldCharType="begin"/>
      </w:r>
      <w:r>
        <w:instrText xml:space="preserve"> PAGEREF _Toc209695849 \h </w:instrText>
      </w:r>
      <w:r>
        <w:fldChar w:fldCharType="separate"/>
      </w:r>
      <w:r>
        <w:t>67</w:t>
      </w:r>
      <w:r>
        <w:fldChar w:fldCharType="end"/>
      </w:r>
    </w:p>
    <w:p w14:paraId="3876A7A9" w14:textId="396817BB"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4.5</w:t>
      </w:r>
      <w:r>
        <w:rPr>
          <w:rFonts w:eastAsiaTheme="minorEastAsia" w:cstheme="minorBidi"/>
          <w:iCs w:val="0"/>
          <w:kern w:val="2"/>
          <w:szCs w:val="24"/>
          <w14:ligatures w14:val="standardContextual"/>
        </w:rPr>
        <w:tab/>
      </w:r>
      <w:r>
        <w:t>Chief Executive Officer and Strategic Leadership Team</w:t>
      </w:r>
      <w:r>
        <w:tab/>
      </w:r>
      <w:r>
        <w:fldChar w:fldCharType="begin"/>
      </w:r>
      <w:r>
        <w:instrText xml:space="preserve"> PAGEREF _Toc209695850 \h </w:instrText>
      </w:r>
      <w:r>
        <w:fldChar w:fldCharType="separate"/>
      </w:r>
      <w:r>
        <w:t>69</w:t>
      </w:r>
      <w:r>
        <w:fldChar w:fldCharType="end"/>
      </w:r>
    </w:p>
    <w:p w14:paraId="3B0ADDC7" w14:textId="1BE1717D"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5: People</w:t>
      </w:r>
      <w:r>
        <w:rPr>
          <w:noProof/>
        </w:rPr>
        <w:tab/>
      </w:r>
      <w:r>
        <w:rPr>
          <w:noProof/>
        </w:rPr>
        <w:fldChar w:fldCharType="begin"/>
      </w:r>
      <w:r>
        <w:rPr>
          <w:noProof/>
        </w:rPr>
        <w:instrText xml:space="preserve"> PAGEREF _Toc209695851 \h </w:instrText>
      </w:r>
      <w:r>
        <w:rPr>
          <w:noProof/>
        </w:rPr>
      </w:r>
      <w:r>
        <w:rPr>
          <w:noProof/>
        </w:rPr>
        <w:fldChar w:fldCharType="separate"/>
      </w:r>
      <w:r>
        <w:rPr>
          <w:noProof/>
        </w:rPr>
        <w:t>71</w:t>
      </w:r>
      <w:r>
        <w:rPr>
          <w:noProof/>
        </w:rPr>
        <w:fldChar w:fldCharType="end"/>
      </w:r>
    </w:p>
    <w:p w14:paraId="2AEAFDE6" w14:textId="441FFC58"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5.1</w:t>
      </w:r>
      <w:r>
        <w:rPr>
          <w:rFonts w:eastAsiaTheme="minorEastAsia" w:cstheme="minorBidi"/>
          <w:iCs w:val="0"/>
          <w:kern w:val="2"/>
          <w:szCs w:val="24"/>
          <w14:ligatures w14:val="standardContextual"/>
        </w:rPr>
        <w:tab/>
      </w:r>
      <w:r>
        <w:t>Workforce profile</w:t>
      </w:r>
      <w:r>
        <w:tab/>
      </w:r>
      <w:r>
        <w:fldChar w:fldCharType="begin"/>
      </w:r>
      <w:r>
        <w:instrText xml:space="preserve"> PAGEREF _Toc209695852 \h </w:instrText>
      </w:r>
      <w:r>
        <w:fldChar w:fldCharType="separate"/>
      </w:r>
      <w:r>
        <w:t>72</w:t>
      </w:r>
      <w:r>
        <w:fldChar w:fldCharType="end"/>
      </w:r>
    </w:p>
    <w:p w14:paraId="141B3BE5" w14:textId="6D4E4CD2"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5.2</w:t>
      </w:r>
      <w:r>
        <w:rPr>
          <w:rFonts w:eastAsiaTheme="minorEastAsia" w:cstheme="minorBidi"/>
          <w:iCs w:val="0"/>
          <w:kern w:val="2"/>
          <w:szCs w:val="24"/>
          <w14:ligatures w14:val="standardContextual"/>
        </w:rPr>
        <w:tab/>
      </w:r>
      <w:r>
        <w:t>Health, safety and wellbeing</w:t>
      </w:r>
      <w:r>
        <w:tab/>
      </w:r>
      <w:r>
        <w:fldChar w:fldCharType="begin"/>
      </w:r>
      <w:r>
        <w:instrText xml:space="preserve"> PAGEREF _Toc209695853 \h </w:instrText>
      </w:r>
      <w:r>
        <w:fldChar w:fldCharType="separate"/>
      </w:r>
      <w:r>
        <w:t>72</w:t>
      </w:r>
      <w:r>
        <w:fldChar w:fldCharType="end"/>
      </w:r>
    </w:p>
    <w:p w14:paraId="73D583C6" w14:textId="652C1FD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5.3</w:t>
      </w:r>
      <w:r>
        <w:rPr>
          <w:rFonts w:eastAsiaTheme="minorEastAsia" w:cstheme="minorBidi"/>
          <w:iCs w:val="0"/>
          <w:kern w:val="2"/>
          <w:szCs w:val="24"/>
          <w14:ligatures w14:val="standardContextual"/>
        </w:rPr>
        <w:tab/>
      </w:r>
      <w:r>
        <w:t>Disability and diversity</w:t>
      </w:r>
      <w:r>
        <w:tab/>
      </w:r>
      <w:r>
        <w:fldChar w:fldCharType="begin"/>
      </w:r>
      <w:r>
        <w:instrText xml:space="preserve"> PAGEREF _Toc209695854 \h </w:instrText>
      </w:r>
      <w:r>
        <w:fldChar w:fldCharType="separate"/>
      </w:r>
      <w:r>
        <w:t>73</w:t>
      </w:r>
      <w:r>
        <w:fldChar w:fldCharType="end"/>
      </w:r>
    </w:p>
    <w:p w14:paraId="612D3CFC" w14:textId="7ACF9C8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5.4</w:t>
      </w:r>
      <w:r>
        <w:rPr>
          <w:rFonts w:eastAsiaTheme="minorEastAsia" w:cstheme="minorBidi"/>
          <w:iCs w:val="0"/>
          <w:kern w:val="2"/>
          <w:szCs w:val="24"/>
          <w14:ligatures w14:val="standardContextual"/>
        </w:rPr>
        <w:tab/>
      </w:r>
      <w:r>
        <w:t>Partner organisations</w:t>
      </w:r>
      <w:r>
        <w:tab/>
      </w:r>
      <w:r>
        <w:fldChar w:fldCharType="begin"/>
      </w:r>
      <w:r>
        <w:instrText xml:space="preserve"> PAGEREF _Toc209695855 \h </w:instrText>
      </w:r>
      <w:r>
        <w:fldChar w:fldCharType="separate"/>
      </w:r>
      <w:r>
        <w:t>75</w:t>
      </w:r>
      <w:r>
        <w:fldChar w:fldCharType="end"/>
      </w:r>
    </w:p>
    <w:p w14:paraId="1F898BB5" w14:textId="2559127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5.5</w:t>
      </w:r>
      <w:r>
        <w:rPr>
          <w:rFonts w:eastAsiaTheme="minorEastAsia" w:cstheme="minorBidi"/>
          <w:iCs w:val="0"/>
          <w:kern w:val="2"/>
          <w:szCs w:val="24"/>
          <w14:ligatures w14:val="standardContextual"/>
        </w:rPr>
        <w:tab/>
      </w:r>
      <w:r>
        <w:t>Strategic Commissioning Framework</w:t>
      </w:r>
      <w:r>
        <w:tab/>
      </w:r>
      <w:r>
        <w:fldChar w:fldCharType="begin"/>
      </w:r>
      <w:r>
        <w:instrText xml:space="preserve"> PAGEREF _Toc209695856 \h </w:instrText>
      </w:r>
      <w:r>
        <w:fldChar w:fldCharType="separate"/>
      </w:r>
      <w:r>
        <w:t>76</w:t>
      </w:r>
      <w:r>
        <w:fldChar w:fldCharType="end"/>
      </w:r>
    </w:p>
    <w:p w14:paraId="7AC15167" w14:textId="2BC96AB0"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5.6</w:t>
      </w:r>
      <w:r>
        <w:rPr>
          <w:rFonts w:eastAsiaTheme="minorEastAsia" w:cstheme="minorBidi"/>
          <w:iCs w:val="0"/>
          <w:kern w:val="2"/>
          <w:szCs w:val="24"/>
          <w14:ligatures w14:val="standardContextual"/>
        </w:rPr>
        <w:tab/>
      </w:r>
      <w:r>
        <w:t>Staff conduct policies</w:t>
      </w:r>
      <w:r>
        <w:tab/>
      </w:r>
      <w:r>
        <w:fldChar w:fldCharType="begin"/>
      </w:r>
      <w:r>
        <w:instrText xml:space="preserve"> PAGEREF _Toc209695857 \h </w:instrText>
      </w:r>
      <w:r>
        <w:fldChar w:fldCharType="separate"/>
      </w:r>
      <w:r>
        <w:t>76</w:t>
      </w:r>
      <w:r>
        <w:fldChar w:fldCharType="end"/>
      </w:r>
    </w:p>
    <w:p w14:paraId="655CD487" w14:textId="71B75BF5"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5.7</w:t>
      </w:r>
      <w:r>
        <w:rPr>
          <w:rFonts w:eastAsiaTheme="minorEastAsia" w:cstheme="minorBidi"/>
          <w:iCs w:val="0"/>
          <w:kern w:val="2"/>
          <w:szCs w:val="24"/>
          <w14:ligatures w14:val="standardContextual"/>
        </w:rPr>
        <w:tab/>
      </w:r>
      <w:r>
        <w:t>Executive remuneration</w:t>
      </w:r>
      <w:r>
        <w:tab/>
      </w:r>
      <w:r>
        <w:fldChar w:fldCharType="begin"/>
      </w:r>
      <w:r>
        <w:instrText xml:space="preserve"> PAGEREF _Toc209695858 \h </w:instrText>
      </w:r>
      <w:r>
        <w:fldChar w:fldCharType="separate"/>
      </w:r>
      <w:r>
        <w:t>77</w:t>
      </w:r>
      <w:r>
        <w:fldChar w:fldCharType="end"/>
      </w:r>
    </w:p>
    <w:p w14:paraId="35521F7A" w14:textId="69B00E35" w:rsidR="000E41B3" w:rsidRDefault="000E41B3" w:rsidP="000E41B3">
      <w:pPr>
        <w:pStyle w:val="TOC1"/>
        <w:tabs>
          <w:tab w:val="clear" w:pos="426"/>
          <w:tab w:val="clear" w:pos="851"/>
          <w:tab w:val="clear" w:pos="9016"/>
          <w:tab w:val="left" w:pos="425"/>
          <w:tab w:val="left" w:pos="1134"/>
          <w:tab w:val="right" w:pos="9015"/>
        </w:tabs>
        <w:spacing w:before="1200" w:after="80"/>
        <w:rPr>
          <w:rFonts w:eastAsiaTheme="minorEastAsia" w:cstheme="minorBidi"/>
          <w:iCs w:val="0"/>
          <w:noProof/>
          <w:kern w:val="2"/>
          <w:szCs w:val="24"/>
          <w14:ligatures w14:val="standardContextual"/>
        </w:rPr>
      </w:pPr>
      <w:r>
        <w:rPr>
          <w:noProof/>
        </w:rPr>
        <w:lastRenderedPageBreak/>
        <w:t>Section 6: Risk</w:t>
      </w:r>
      <w:r>
        <w:rPr>
          <w:noProof/>
        </w:rPr>
        <w:tab/>
      </w:r>
      <w:r>
        <w:rPr>
          <w:noProof/>
        </w:rPr>
        <w:fldChar w:fldCharType="begin"/>
      </w:r>
      <w:r>
        <w:rPr>
          <w:noProof/>
        </w:rPr>
        <w:instrText xml:space="preserve"> PAGEREF _Toc209695859 \h </w:instrText>
      </w:r>
      <w:r>
        <w:rPr>
          <w:noProof/>
        </w:rPr>
      </w:r>
      <w:r>
        <w:rPr>
          <w:noProof/>
        </w:rPr>
        <w:fldChar w:fldCharType="separate"/>
      </w:r>
      <w:r>
        <w:rPr>
          <w:noProof/>
        </w:rPr>
        <w:t>79</w:t>
      </w:r>
      <w:r>
        <w:rPr>
          <w:noProof/>
        </w:rPr>
        <w:fldChar w:fldCharType="end"/>
      </w:r>
    </w:p>
    <w:p w14:paraId="2A8E5C65" w14:textId="738716E4"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6.1</w:t>
      </w:r>
      <w:r>
        <w:rPr>
          <w:rFonts w:eastAsiaTheme="minorEastAsia" w:cstheme="minorBidi"/>
          <w:iCs w:val="0"/>
          <w:kern w:val="2"/>
          <w:szCs w:val="24"/>
          <w14:ligatures w14:val="standardContextual"/>
        </w:rPr>
        <w:tab/>
      </w:r>
      <w:r>
        <w:t>Risk management</w:t>
      </w:r>
      <w:r>
        <w:tab/>
      </w:r>
      <w:r>
        <w:fldChar w:fldCharType="begin"/>
      </w:r>
      <w:r>
        <w:instrText xml:space="preserve"> PAGEREF _Toc209695860 \h </w:instrText>
      </w:r>
      <w:r>
        <w:fldChar w:fldCharType="separate"/>
      </w:r>
      <w:r>
        <w:t>80</w:t>
      </w:r>
      <w:r>
        <w:fldChar w:fldCharType="end"/>
      </w:r>
    </w:p>
    <w:p w14:paraId="327B56B3" w14:textId="542EDD1B"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6.2</w:t>
      </w:r>
      <w:r>
        <w:rPr>
          <w:rFonts w:eastAsiaTheme="minorEastAsia" w:cstheme="minorBidi"/>
          <w:iCs w:val="0"/>
          <w:kern w:val="2"/>
          <w:szCs w:val="24"/>
          <w14:ligatures w14:val="standardContextual"/>
        </w:rPr>
        <w:tab/>
      </w:r>
      <w:r>
        <w:t>Audit</w:t>
      </w:r>
      <w:r>
        <w:tab/>
      </w:r>
      <w:r>
        <w:fldChar w:fldCharType="begin"/>
      </w:r>
      <w:r>
        <w:instrText xml:space="preserve"> PAGEREF _Toc209695861 \h </w:instrText>
      </w:r>
      <w:r>
        <w:fldChar w:fldCharType="separate"/>
      </w:r>
      <w:r>
        <w:t>80</w:t>
      </w:r>
      <w:r>
        <w:fldChar w:fldCharType="end"/>
      </w:r>
    </w:p>
    <w:p w14:paraId="40B9D9DC" w14:textId="086EFA24"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6.3</w:t>
      </w:r>
      <w:r>
        <w:rPr>
          <w:rFonts w:eastAsiaTheme="minorEastAsia" w:cstheme="minorBidi"/>
          <w:iCs w:val="0"/>
          <w:kern w:val="2"/>
          <w:szCs w:val="24"/>
          <w14:ligatures w14:val="standardContextual"/>
        </w:rPr>
        <w:tab/>
      </w:r>
      <w:r>
        <w:t>Ensuring the integrity of the NDIS</w:t>
      </w:r>
      <w:r>
        <w:tab/>
      </w:r>
      <w:r>
        <w:fldChar w:fldCharType="begin"/>
      </w:r>
      <w:r>
        <w:instrText xml:space="preserve"> PAGEREF _Toc209695862 \h </w:instrText>
      </w:r>
      <w:r>
        <w:fldChar w:fldCharType="separate"/>
      </w:r>
      <w:r>
        <w:t>81</w:t>
      </w:r>
      <w:r>
        <w:fldChar w:fldCharType="end"/>
      </w:r>
    </w:p>
    <w:p w14:paraId="34E795AE" w14:textId="36D05A8A"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7: Financial statements</w:t>
      </w:r>
      <w:r>
        <w:rPr>
          <w:noProof/>
        </w:rPr>
        <w:tab/>
      </w:r>
      <w:r>
        <w:rPr>
          <w:noProof/>
        </w:rPr>
        <w:fldChar w:fldCharType="begin"/>
      </w:r>
      <w:r>
        <w:rPr>
          <w:noProof/>
        </w:rPr>
        <w:instrText xml:space="preserve"> PAGEREF _Toc209695863 \h </w:instrText>
      </w:r>
      <w:r>
        <w:rPr>
          <w:noProof/>
        </w:rPr>
      </w:r>
      <w:r>
        <w:rPr>
          <w:noProof/>
        </w:rPr>
        <w:fldChar w:fldCharType="separate"/>
      </w:r>
      <w:r>
        <w:rPr>
          <w:noProof/>
        </w:rPr>
        <w:t>83</w:t>
      </w:r>
      <w:r>
        <w:rPr>
          <w:noProof/>
        </w:rPr>
        <w:fldChar w:fldCharType="end"/>
      </w:r>
    </w:p>
    <w:p w14:paraId="3365F600" w14:textId="715C03A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7.1</w:t>
      </w:r>
      <w:r>
        <w:rPr>
          <w:rFonts w:eastAsiaTheme="minorEastAsia" w:cstheme="minorBidi"/>
          <w:iCs w:val="0"/>
          <w:kern w:val="2"/>
          <w:szCs w:val="24"/>
          <w14:ligatures w14:val="standardContextual"/>
        </w:rPr>
        <w:tab/>
      </w:r>
      <w:r>
        <w:t>Independent audit report</w:t>
      </w:r>
      <w:r>
        <w:tab/>
      </w:r>
      <w:r>
        <w:fldChar w:fldCharType="begin"/>
      </w:r>
      <w:r>
        <w:instrText xml:space="preserve"> PAGEREF _Toc209695864 \h </w:instrText>
      </w:r>
      <w:r>
        <w:fldChar w:fldCharType="separate"/>
      </w:r>
      <w:r>
        <w:t>84</w:t>
      </w:r>
      <w:r>
        <w:fldChar w:fldCharType="end"/>
      </w:r>
    </w:p>
    <w:p w14:paraId="699B23E8" w14:textId="62B261BD"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7.2</w:t>
      </w:r>
      <w:r>
        <w:rPr>
          <w:rFonts w:eastAsiaTheme="minorEastAsia" w:cstheme="minorBidi"/>
          <w:iCs w:val="0"/>
          <w:kern w:val="2"/>
          <w:szCs w:val="24"/>
          <w14:ligatures w14:val="standardContextual"/>
        </w:rPr>
        <w:tab/>
      </w:r>
      <w:r>
        <w:t>Financial statements</w:t>
      </w:r>
      <w:r>
        <w:tab/>
      </w:r>
      <w:r>
        <w:fldChar w:fldCharType="begin"/>
      </w:r>
      <w:r>
        <w:instrText xml:space="preserve"> PAGEREF _Toc209695865 \h </w:instrText>
      </w:r>
      <w:r>
        <w:fldChar w:fldCharType="separate"/>
      </w:r>
      <w:r>
        <w:t>88</w:t>
      </w:r>
      <w:r>
        <w:fldChar w:fldCharType="end"/>
      </w:r>
    </w:p>
    <w:p w14:paraId="7FBD672D" w14:textId="27CEBC91"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8: Appendices</w:t>
      </w:r>
      <w:r>
        <w:rPr>
          <w:noProof/>
        </w:rPr>
        <w:tab/>
      </w:r>
      <w:r>
        <w:rPr>
          <w:noProof/>
        </w:rPr>
        <w:fldChar w:fldCharType="begin"/>
      </w:r>
      <w:r>
        <w:rPr>
          <w:noProof/>
        </w:rPr>
        <w:instrText xml:space="preserve"> PAGEREF _Toc209695866 \h </w:instrText>
      </w:r>
      <w:r>
        <w:rPr>
          <w:noProof/>
        </w:rPr>
      </w:r>
      <w:r>
        <w:rPr>
          <w:noProof/>
        </w:rPr>
        <w:fldChar w:fldCharType="separate"/>
      </w:r>
      <w:r>
        <w:rPr>
          <w:noProof/>
        </w:rPr>
        <w:t>121</w:t>
      </w:r>
      <w:r>
        <w:rPr>
          <w:noProof/>
        </w:rPr>
        <w:fldChar w:fldCharType="end"/>
      </w:r>
    </w:p>
    <w:p w14:paraId="202C18C5" w14:textId="3A81AAC5"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w:t>
      </w:r>
      <w:r>
        <w:rPr>
          <w:rFonts w:eastAsiaTheme="minorEastAsia" w:cstheme="minorBidi"/>
          <w:iCs w:val="0"/>
          <w:kern w:val="2"/>
          <w:szCs w:val="24"/>
          <w14:ligatures w14:val="standardContextual"/>
        </w:rPr>
        <w:tab/>
      </w:r>
      <w:r>
        <w:t>Accountable authority</w:t>
      </w:r>
      <w:r>
        <w:tab/>
      </w:r>
      <w:r>
        <w:fldChar w:fldCharType="begin"/>
      </w:r>
      <w:r>
        <w:instrText xml:space="preserve"> PAGEREF _Toc209695867 \h </w:instrText>
      </w:r>
      <w:r>
        <w:fldChar w:fldCharType="separate"/>
      </w:r>
      <w:r>
        <w:t>122</w:t>
      </w:r>
      <w:r>
        <w:fldChar w:fldCharType="end"/>
      </w:r>
    </w:p>
    <w:p w14:paraId="56BEF4F0" w14:textId="42D1B12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8.2</w:t>
      </w:r>
      <w:r>
        <w:rPr>
          <w:rFonts w:eastAsiaTheme="minorEastAsia" w:cstheme="minorBidi"/>
          <w:iCs w:val="0"/>
          <w:kern w:val="2"/>
          <w:szCs w:val="24"/>
          <w14:ligatures w14:val="standardContextual"/>
        </w:rPr>
        <w:tab/>
      </w:r>
      <w:r>
        <w:t>Workforce demographics</w:t>
      </w:r>
      <w:r>
        <w:tab/>
      </w:r>
      <w:r>
        <w:fldChar w:fldCharType="begin"/>
      </w:r>
      <w:r>
        <w:instrText xml:space="preserve"> PAGEREF _Toc209695868 \h </w:instrText>
      </w:r>
      <w:r>
        <w:fldChar w:fldCharType="separate"/>
      </w:r>
      <w:r>
        <w:t>136</w:t>
      </w:r>
      <w:r>
        <w:fldChar w:fldCharType="end"/>
      </w:r>
    </w:p>
    <w:p w14:paraId="76C77DF1" w14:textId="674D6EC2"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8.3</w:t>
      </w:r>
      <w:r>
        <w:rPr>
          <w:rFonts w:eastAsiaTheme="minorEastAsia" w:cstheme="minorBidi"/>
          <w:iCs w:val="0"/>
          <w:kern w:val="2"/>
          <w:szCs w:val="24"/>
          <w14:ligatures w14:val="standardContextual"/>
        </w:rPr>
        <w:tab/>
      </w:r>
      <w:r>
        <w:t>Remuneration tables</w:t>
      </w:r>
      <w:r>
        <w:tab/>
      </w:r>
      <w:r>
        <w:fldChar w:fldCharType="begin"/>
      </w:r>
      <w:r>
        <w:instrText xml:space="preserve"> PAGEREF _Toc209695869 \h </w:instrText>
      </w:r>
      <w:r>
        <w:fldChar w:fldCharType="separate"/>
      </w:r>
      <w:r>
        <w:t>140</w:t>
      </w:r>
      <w:r>
        <w:fldChar w:fldCharType="end"/>
      </w:r>
    </w:p>
    <w:p w14:paraId="5E376FD3" w14:textId="0DFAB0E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8.4</w:t>
      </w:r>
      <w:r>
        <w:rPr>
          <w:rFonts w:eastAsiaTheme="minorEastAsia" w:cstheme="minorBidi"/>
          <w:iCs w:val="0"/>
          <w:kern w:val="2"/>
          <w:szCs w:val="24"/>
          <w14:ligatures w14:val="standardContextual"/>
        </w:rPr>
        <w:tab/>
      </w:r>
      <w:r>
        <w:t>Judicial decisions and external reviews</w:t>
      </w:r>
      <w:r>
        <w:tab/>
      </w:r>
      <w:r>
        <w:fldChar w:fldCharType="begin"/>
      </w:r>
      <w:r>
        <w:instrText xml:space="preserve"> PAGEREF _Toc209695870 \h </w:instrText>
      </w:r>
      <w:r>
        <w:fldChar w:fldCharType="separate"/>
      </w:r>
      <w:r>
        <w:t>147</w:t>
      </w:r>
      <w:r>
        <w:fldChar w:fldCharType="end"/>
      </w:r>
    </w:p>
    <w:p w14:paraId="0FC9D370" w14:textId="7CEC19B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8.5</w:t>
      </w:r>
      <w:r>
        <w:rPr>
          <w:rFonts w:eastAsiaTheme="minorEastAsia" w:cstheme="minorBidi"/>
          <w:iCs w:val="0"/>
          <w:kern w:val="2"/>
          <w:szCs w:val="24"/>
          <w14:ligatures w14:val="standardContextual"/>
        </w:rPr>
        <w:tab/>
      </w:r>
      <w:r>
        <w:t>Parliamentary committee inquiries</w:t>
      </w:r>
      <w:r>
        <w:tab/>
      </w:r>
      <w:r>
        <w:fldChar w:fldCharType="begin"/>
      </w:r>
      <w:r>
        <w:instrText xml:space="preserve"> PAGEREF _Toc209695871 \h </w:instrText>
      </w:r>
      <w:r>
        <w:fldChar w:fldCharType="separate"/>
      </w:r>
      <w:r>
        <w:t>151</w:t>
      </w:r>
      <w:r>
        <w:fldChar w:fldCharType="end"/>
      </w:r>
    </w:p>
    <w:p w14:paraId="4CC124BC" w14:textId="2975D57A"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8.6</w:t>
      </w:r>
      <w:r>
        <w:rPr>
          <w:rFonts w:eastAsiaTheme="minorEastAsia" w:cstheme="minorBidi"/>
          <w:iCs w:val="0"/>
          <w:kern w:val="2"/>
          <w:szCs w:val="24"/>
          <w14:ligatures w14:val="standardContextual"/>
        </w:rPr>
        <w:tab/>
      </w:r>
      <w:r>
        <w:t>Royal Commission into Violence, Abuse, Neglect and Exploitation of People with Disability</w:t>
      </w:r>
      <w:r>
        <w:tab/>
      </w:r>
      <w:r>
        <w:fldChar w:fldCharType="begin"/>
      </w:r>
      <w:r>
        <w:instrText xml:space="preserve"> PAGEREF _Toc209695872 \h </w:instrText>
      </w:r>
      <w:r>
        <w:fldChar w:fldCharType="separate"/>
      </w:r>
      <w:r>
        <w:t>152</w:t>
      </w:r>
      <w:r>
        <w:fldChar w:fldCharType="end"/>
      </w:r>
    </w:p>
    <w:p w14:paraId="28AB3137" w14:textId="05FAE9B5"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8.7</w:t>
      </w:r>
      <w:r>
        <w:rPr>
          <w:rFonts w:eastAsiaTheme="minorEastAsia" w:cstheme="minorBidi"/>
          <w:iCs w:val="0"/>
          <w:kern w:val="2"/>
          <w:szCs w:val="24"/>
          <w14:ligatures w14:val="standardContextual"/>
        </w:rPr>
        <w:tab/>
      </w:r>
      <w:r>
        <w:t>Advertising and market research</w:t>
      </w:r>
      <w:r>
        <w:tab/>
      </w:r>
      <w:r>
        <w:fldChar w:fldCharType="begin"/>
      </w:r>
      <w:r>
        <w:instrText xml:space="preserve"> PAGEREF _Toc209695873 \h </w:instrText>
      </w:r>
      <w:r>
        <w:fldChar w:fldCharType="separate"/>
      </w:r>
      <w:r>
        <w:t>152</w:t>
      </w:r>
      <w:r>
        <w:fldChar w:fldCharType="end"/>
      </w:r>
    </w:p>
    <w:p w14:paraId="4A8BDA8E" w14:textId="288C251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8.8</w:t>
      </w:r>
      <w:r>
        <w:rPr>
          <w:rFonts w:eastAsiaTheme="minorEastAsia" w:cstheme="minorBidi"/>
          <w:iCs w:val="0"/>
          <w:kern w:val="2"/>
          <w:szCs w:val="24"/>
          <w14:ligatures w14:val="standardContextual"/>
        </w:rPr>
        <w:tab/>
      </w:r>
      <w:r>
        <w:t>Climate statement</w:t>
      </w:r>
      <w:r>
        <w:tab/>
      </w:r>
      <w:r>
        <w:fldChar w:fldCharType="begin"/>
      </w:r>
      <w:r>
        <w:instrText xml:space="preserve"> PAGEREF _Toc209695874 \h </w:instrText>
      </w:r>
      <w:r>
        <w:fldChar w:fldCharType="separate"/>
      </w:r>
      <w:r>
        <w:t>154</w:t>
      </w:r>
      <w:r>
        <w:fldChar w:fldCharType="end"/>
      </w:r>
    </w:p>
    <w:p w14:paraId="724C4FAD" w14:textId="67F4F677"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8.9</w:t>
      </w:r>
      <w:r>
        <w:rPr>
          <w:rFonts w:eastAsiaTheme="minorEastAsia" w:cstheme="minorBidi"/>
          <w:iCs w:val="0"/>
          <w:kern w:val="2"/>
          <w:szCs w:val="24"/>
          <w14:ligatures w14:val="standardContextual"/>
        </w:rPr>
        <w:tab/>
      </w:r>
      <w:r>
        <w:t>Compliance with Carer Recognition Act</w:t>
      </w:r>
      <w:r>
        <w:tab/>
      </w:r>
      <w:r>
        <w:fldChar w:fldCharType="begin"/>
      </w:r>
      <w:r>
        <w:instrText xml:space="preserve"> PAGEREF _Toc209695875 \h </w:instrText>
      </w:r>
      <w:r>
        <w:fldChar w:fldCharType="separate"/>
      </w:r>
      <w:r>
        <w:t>160</w:t>
      </w:r>
      <w:r>
        <w:fldChar w:fldCharType="end"/>
      </w:r>
    </w:p>
    <w:p w14:paraId="749994BC" w14:textId="08E27D88"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8.10</w:t>
      </w:r>
      <w:r>
        <w:rPr>
          <w:rFonts w:eastAsiaTheme="minorEastAsia" w:cstheme="minorBidi"/>
          <w:iCs w:val="0"/>
          <w:kern w:val="2"/>
          <w:szCs w:val="24"/>
          <w14:ligatures w14:val="standardContextual"/>
        </w:rPr>
        <w:tab/>
      </w:r>
      <w:r>
        <w:t>Privacy obligations</w:t>
      </w:r>
      <w:r>
        <w:tab/>
      </w:r>
      <w:r>
        <w:fldChar w:fldCharType="begin"/>
      </w:r>
      <w:r>
        <w:instrText xml:space="preserve"> PAGEREF _Toc209695876 \h </w:instrText>
      </w:r>
      <w:r>
        <w:fldChar w:fldCharType="separate"/>
      </w:r>
      <w:r>
        <w:t>163</w:t>
      </w:r>
      <w:r>
        <w:fldChar w:fldCharType="end"/>
      </w:r>
    </w:p>
    <w:p w14:paraId="42EBD7EC" w14:textId="50624EA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8.11</w:t>
      </w:r>
      <w:r>
        <w:rPr>
          <w:rFonts w:eastAsiaTheme="minorEastAsia" w:cstheme="minorBidi"/>
          <w:iCs w:val="0"/>
          <w:kern w:val="2"/>
          <w:szCs w:val="24"/>
          <w14:ligatures w14:val="standardContextual"/>
        </w:rPr>
        <w:tab/>
      </w:r>
      <w:r>
        <w:t>Other PGPA Act reportable items</w:t>
      </w:r>
      <w:r>
        <w:tab/>
      </w:r>
      <w:r>
        <w:fldChar w:fldCharType="begin"/>
      </w:r>
      <w:r>
        <w:instrText xml:space="preserve"> PAGEREF _Toc209695877 \h </w:instrText>
      </w:r>
      <w:r>
        <w:fldChar w:fldCharType="separate"/>
      </w:r>
      <w:r>
        <w:t>163</w:t>
      </w:r>
      <w:r>
        <w:fldChar w:fldCharType="end"/>
      </w:r>
    </w:p>
    <w:p w14:paraId="6CC75AAA" w14:textId="583E2E9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8.12</w:t>
      </w:r>
      <w:r>
        <w:rPr>
          <w:rFonts w:eastAsiaTheme="minorEastAsia" w:cstheme="minorBidi"/>
          <w:iCs w:val="0"/>
          <w:kern w:val="2"/>
          <w:szCs w:val="24"/>
          <w14:ligatures w14:val="standardContextual"/>
        </w:rPr>
        <w:tab/>
      </w:r>
      <w:r>
        <w:t>Disclosures relating to procurements and grants</w:t>
      </w:r>
      <w:r>
        <w:tab/>
      </w:r>
      <w:r>
        <w:fldChar w:fldCharType="begin"/>
      </w:r>
      <w:r>
        <w:instrText xml:space="preserve"> PAGEREF _Toc209695878 \h </w:instrText>
      </w:r>
      <w:r>
        <w:fldChar w:fldCharType="separate"/>
      </w:r>
      <w:r>
        <w:t>164</w:t>
      </w:r>
      <w:r>
        <w:fldChar w:fldCharType="end"/>
      </w:r>
    </w:p>
    <w:p w14:paraId="36EE151C" w14:textId="66669C3E"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8.13</w:t>
      </w:r>
      <w:r>
        <w:rPr>
          <w:rFonts w:eastAsiaTheme="minorEastAsia" w:cstheme="minorBidi"/>
          <w:iCs w:val="0"/>
          <w:kern w:val="2"/>
          <w:szCs w:val="24"/>
          <w14:ligatures w14:val="standardContextual"/>
        </w:rPr>
        <w:tab/>
      </w:r>
      <w:r>
        <w:t>NDIS Act reportable items</w:t>
      </w:r>
      <w:r>
        <w:tab/>
      </w:r>
      <w:r>
        <w:fldChar w:fldCharType="begin"/>
      </w:r>
      <w:r>
        <w:instrText xml:space="preserve"> PAGEREF _Toc209695879 \h </w:instrText>
      </w:r>
      <w:r>
        <w:fldChar w:fldCharType="separate"/>
      </w:r>
      <w:r>
        <w:t>164</w:t>
      </w:r>
      <w:r>
        <w:fldChar w:fldCharType="end"/>
      </w:r>
    </w:p>
    <w:p w14:paraId="66AC95A2" w14:textId="4C0E59D9"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8.14</w:t>
      </w:r>
      <w:r>
        <w:rPr>
          <w:rFonts w:eastAsiaTheme="minorEastAsia" w:cstheme="minorBidi"/>
          <w:iCs w:val="0"/>
          <w:kern w:val="2"/>
          <w:szCs w:val="24"/>
          <w14:ligatures w14:val="standardContextual"/>
        </w:rPr>
        <w:tab/>
      </w:r>
      <w:r>
        <w:t>Correction of material errors in NDIA Annual Report 2023–24</w:t>
      </w:r>
      <w:r>
        <w:tab/>
      </w:r>
      <w:r>
        <w:fldChar w:fldCharType="begin"/>
      </w:r>
      <w:r>
        <w:instrText xml:space="preserve"> PAGEREF _Toc209695880 \h </w:instrText>
      </w:r>
      <w:r>
        <w:fldChar w:fldCharType="separate"/>
      </w:r>
      <w:r>
        <w:t>165</w:t>
      </w:r>
      <w:r>
        <w:fldChar w:fldCharType="end"/>
      </w:r>
    </w:p>
    <w:p w14:paraId="05F5461D" w14:textId="6B63AC9B"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.15</w:t>
      </w:r>
      <w:r>
        <w:rPr>
          <w:rFonts w:eastAsiaTheme="minorEastAsia" w:cstheme="minorBidi"/>
          <w:iCs w:val="0"/>
          <w:kern w:val="2"/>
          <w:szCs w:val="24"/>
          <w14:ligatures w14:val="standardContextual"/>
        </w:rPr>
        <w:tab/>
      </w:r>
      <w:r>
        <w:t>Glossary</w:t>
      </w:r>
      <w:r>
        <w:tab/>
      </w:r>
      <w:r>
        <w:fldChar w:fldCharType="begin"/>
      </w:r>
      <w:r>
        <w:instrText xml:space="preserve"> PAGEREF _Toc209695881 \h </w:instrText>
      </w:r>
      <w:r>
        <w:fldChar w:fldCharType="separate"/>
      </w:r>
      <w:r>
        <w:t>167</w:t>
      </w:r>
      <w:r>
        <w:fldChar w:fldCharType="end"/>
      </w:r>
    </w:p>
    <w:p w14:paraId="2D8F8D58" w14:textId="0E4F88F3" w:rsidR="000E41B3" w:rsidRDefault="000E41B3" w:rsidP="000E41B3">
      <w:pPr>
        <w:pStyle w:val="TOC1"/>
        <w:tabs>
          <w:tab w:val="clear" w:pos="426"/>
          <w:tab w:val="clear" w:pos="851"/>
          <w:tab w:val="clear" w:pos="9016"/>
          <w:tab w:val="left" w:pos="425"/>
          <w:tab w:val="left" w:pos="1134"/>
          <w:tab w:val="right" w:pos="9015"/>
        </w:tabs>
        <w:spacing w:before="80" w:after="80"/>
        <w:rPr>
          <w:rFonts w:eastAsiaTheme="minorEastAsia" w:cstheme="minorBidi"/>
          <w:iCs w:val="0"/>
          <w:noProof/>
          <w:kern w:val="2"/>
          <w:szCs w:val="24"/>
          <w14:ligatures w14:val="standardContextual"/>
        </w:rPr>
      </w:pPr>
      <w:r>
        <w:rPr>
          <w:noProof/>
        </w:rPr>
        <w:t>Section 9: Indexes</w:t>
      </w:r>
      <w:r>
        <w:rPr>
          <w:noProof/>
        </w:rPr>
        <w:tab/>
      </w:r>
      <w:r>
        <w:rPr>
          <w:noProof/>
        </w:rPr>
        <w:fldChar w:fldCharType="begin"/>
      </w:r>
      <w:r>
        <w:rPr>
          <w:noProof/>
        </w:rPr>
        <w:instrText xml:space="preserve"> PAGEREF _Toc209695882 \h </w:instrText>
      </w:r>
      <w:r>
        <w:rPr>
          <w:noProof/>
        </w:rPr>
      </w:r>
      <w:r>
        <w:rPr>
          <w:noProof/>
        </w:rPr>
        <w:fldChar w:fldCharType="separate"/>
      </w:r>
      <w:r>
        <w:rPr>
          <w:noProof/>
        </w:rPr>
        <w:t>172</w:t>
      </w:r>
      <w:r>
        <w:rPr>
          <w:noProof/>
        </w:rPr>
        <w:fldChar w:fldCharType="end"/>
      </w:r>
    </w:p>
    <w:p w14:paraId="772E3564" w14:textId="343CD6DC"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9.1</w:t>
      </w:r>
      <w:r>
        <w:rPr>
          <w:rFonts w:eastAsiaTheme="minorEastAsia" w:cstheme="minorBidi"/>
          <w:iCs w:val="0"/>
          <w:kern w:val="2"/>
          <w:szCs w:val="24"/>
          <w14:ligatures w14:val="standardContextual"/>
        </w:rPr>
        <w:tab/>
      </w:r>
      <w:r>
        <w:t>Compliance indexes</w:t>
      </w:r>
      <w:r>
        <w:tab/>
      </w:r>
      <w:r>
        <w:fldChar w:fldCharType="begin"/>
      </w:r>
      <w:r>
        <w:instrText xml:space="preserve"> PAGEREF _Toc209695883 \h </w:instrText>
      </w:r>
      <w:r>
        <w:fldChar w:fldCharType="separate"/>
      </w:r>
      <w:r>
        <w:t>173</w:t>
      </w:r>
      <w:r>
        <w:fldChar w:fldCharType="end"/>
      </w:r>
    </w:p>
    <w:p w14:paraId="42C34805" w14:textId="604095E1"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9.2</w:t>
      </w:r>
      <w:r>
        <w:rPr>
          <w:rFonts w:eastAsiaTheme="minorEastAsia" w:cstheme="minorBidi"/>
          <w:iCs w:val="0"/>
          <w:kern w:val="2"/>
          <w:szCs w:val="24"/>
          <w14:ligatures w14:val="standardContextual"/>
        </w:rPr>
        <w:tab/>
      </w:r>
      <w:r>
        <w:t>Tables index</w:t>
      </w:r>
      <w:r>
        <w:tab/>
      </w:r>
      <w:r>
        <w:fldChar w:fldCharType="begin"/>
      </w:r>
      <w:r>
        <w:instrText xml:space="preserve"> PAGEREF _Toc209695884 \h </w:instrText>
      </w:r>
      <w:r>
        <w:fldChar w:fldCharType="separate"/>
      </w:r>
      <w:r>
        <w:t>181</w:t>
      </w:r>
      <w:r>
        <w:fldChar w:fldCharType="end"/>
      </w:r>
    </w:p>
    <w:p w14:paraId="58AECA0C" w14:textId="5406DE5F" w:rsidR="000E41B3" w:rsidRDefault="000E41B3" w:rsidP="000E41B3">
      <w:pPr>
        <w:pStyle w:val="TOC2"/>
        <w:tabs>
          <w:tab w:val="clear" w:pos="426"/>
          <w:tab w:val="clear" w:pos="851"/>
          <w:tab w:val="clear" w:pos="9016"/>
          <w:tab w:val="left" w:pos="425"/>
          <w:tab w:val="left" w:pos="1134"/>
          <w:tab w:val="right" w:pos="9015"/>
        </w:tabs>
        <w:spacing w:before="80" w:after="80"/>
        <w:rPr>
          <w:rFonts w:eastAsiaTheme="minorEastAsia" w:cstheme="minorBidi"/>
          <w:iCs w:val="0"/>
          <w:kern w:val="2"/>
          <w:szCs w:val="24"/>
          <w14:ligatures w14:val="standardContextual"/>
        </w:rPr>
      </w:pPr>
      <w:r>
        <w:t>9.3</w:t>
      </w:r>
      <w:r>
        <w:rPr>
          <w:rFonts w:eastAsiaTheme="minorEastAsia" w:cstheme="minorBidi"/>
          <w:iCs w:val="0"/>
          <w:kern w:val="2"/>
          <w:szCs w:val="24"/>
          <w14:ligatures w14:val="standardContextual"/>
        </w:rPr>
        <w:tab/>
      </w:r>
      <w:r>
        <w:t>Figures index</w:t>
      </w:r>
      <w:r>
        <w:tab/>
      </w:r>
      <w:r>
        <w:fldChar w:fldCharType="begin"/>
      </w:r>
      <w:r>
        <w:instrText xml:space="preserve"> PAGEREF _Toc209695885 \h </w:instrText>
      </w:r>
      <w:r>
        <w:fldChar w:fldCharType="separate"/>
      </w:r>
      <w:r>
        <w:t>182</w:t>
      </w:r>
      <w:r>
        <w:fldChar w:fldCharType="end"/>
      </w:r>
    </w:p>
    <w:p w14:paraId="3EFE2AB9" w14:textId="448A0D38" w:rsidR="0009513D" w:rsidRPr="007A3600" w:rsidRDefault="00A15BC8" w:rsidP="00AD3197">
      <w:pPr>
        <w:tabs>
          <w:tab w:val="left" w:pos="425"/>
          <w:tab w:val="left" w:pos="1134"/>
          <w:tab w:val="right" w:pos="9015"/>
        </w:tabs>
        <w:spacing w:before="100" w:after="100" w:line="276" w:lineRule="auto"/>
        <w:rPr>
          <w:rFonts w:asciiTheme="minorHAnsi" w:hAnsiTheme="minorHAnsi" w:cstheme="minorHAnsi"/>
          <w:iCs/>
          <w:noProof/>
          <w:szCs w:val="20"/>
        </w:rPr>
        <w:sectPr w:rsidR="0009513D" w:rsidRPr="007A3600" w:rsidSect="00FB7EFE">
          <w:headerReference w:type="even" r:id="rId14"/>
          <w:headerReference w:type="default" r:id="rId15"/>
          <w:footerReference w:type="default" r:id="rId16"/>
          <w:headerReference w:type="first" r:id="rId17"/>
          <w:footerReference w:type="first" r:id="rId18"/>
          <w:pgSz w:w="11906" w:h="16838" w:code="9"/>
          <w:pgMar w:top="142" w:right="1440" w:bottom="1701" w:left="1440" w:header="561" w:footer="374" w:gutter="0"/>
          <w:cols w:space="708"/>
          <w:titlePg/>
          <w:docGrid w:linePitch="360"/>
        </w:sectPr>
      </w:pPr>
      <w:r w:rsidRPr="007A3600">
        <w:rPr>
          <w:rFonts w:asciiTheme="minorHAnsi" w:hAnsiTheme="minorHAnsi" w:cstheme="minorHAnsi"/>
          <w:iCs/>
          <w:noProof/>
          <w:szCs w:val="20"/>
        </w:rPr>
        <w:fldChar w:fldCharType="end"/>
      </w:r>
    </w:p>
    <w:p w14:paraId="07A03053" w14:textId="7B1BED5F" w:rsidR="00653349" w:rsidRPr="007A3600" w:rsidRDefault="00653349" w:rsidP="00AD3197">
      <w:pPr>
        <w:tabs>
          <w:tab w:val="left" w:pos="425"/>
          <w:tab w:val="left" w:pos="1134"/>
        </w:tabs>
        <w:spacing w:before="4400" w:after="100" w:line="276" w:lineRule="auto"/>
        <w:ind w:left="284" w:right="237"/>
        <w:rPr>
          <w:sz w:val="32"/>
          <w:szCs w:val="32"/>
        </w:rPr>
      </w:pPr>
      <w:bookmarkStart w:id="7" w:name="_Toc122689910"/>
      <w:bookmarkStart w:id="8" w:name="_Toc156980168"/>
      <w:r w:rsidRPr="007A3600">
        <w:rPr>
          <w:b/>
          <w:sz w:val="32"/>
          <w:szCs w:val="32"/>
        </w:rPr>
        <w:lastRenderedPageBreak/>
        <w:t>Acknowledgement of Country</w:t>
      </w:r>
    </w:p>
    <w:p w14:paraId="276A9B1F" w14:textId="796E4F1E" w:rsidR="00653349" w:rsidRPr="007A3600" w:rsidRDefault="00653349" w:rsidP="00AD3197">
      <w:pPr>
        <w:spacing w:before="240"/>
        <w:ind w:left="284" w:right="237"/>
        <w:rPr>
          <w:sz w:val="28"/>
          <w:szCs w:val="28"/>
        </w:rPr>
      </w:pPr>
      <w:r w:rsidRPr="007A3600">
        <w:rPr>
          <w:sz w:val="28"/>
          <w:szCs w:val="28"/>
        </w:rPr>
        <w:t xml:space="preserve">The NDIA acknowledges the Aboriginal and Torres Strait Islander peoples of this nation and the Traditional Custodians of the lands across which our Agency conducts our business. We pay respects to the custodians of the land on which we work as well as their ancestors and Elders, past, present and emerging. </w:t>
      </w:r>
    </w:p>
    <w:p w14:paraId="608D12E2" w14:textId="3FCDCC3A" w:rsidR="005F5CE9" w:rsidRPr="007A3600" w:rsidRDefault="00653349" w:rsidP="00AD3197">
      <w:pPr>
        <w:spacing w:before="240"/>
        <w:ind w:left="284" w:right="237"/>
        <w:rPr>
          <w:sz w:val="28"/>
          <w:szCs w:val="28"/>
        </w:rPr>
      </w:pPr>
      <w:r w:rsidRPr="007A3600">
        <w:rPr>
          <w:sz w:val="28"/>
          <w:szCs w:val="28"/>
        </w:rPr>
        <w:t>The NDIA is committed to honouring Aboriginal and Torres Strait Islander peoples’ unique cultural and spiritual relationships to the land, waters, seas and their rich contribution to society.</w:t>
      </w:r>
    </w:p>
    <w:bookmarkEnd w:id="7"/>
    <w:bookmarkEnd w:id="8"/>
    <w:p w14:paraId="10A38189" w14:textId="77777777" w:rsidR="004735DE" w:rsidRPr="007A3600" w:rsidRDefault="004735DE" w:rsidP="00AD3197">
      <w:pPr>
        <w:rPr>
          <w:color w:val="FFFFFF"/>
        </w:rPr>
        <w:sectPr w:rsidR="004735DE" w:rsidRPr="007A3600" w:rsidSect="000F17C1">
          <w:headerReference w:type="first" r:id="rId19"/>
          <w:footerReference w:type="first" r:id="rId20"/>
          <w:pgSz w:w="11906" w:h="16838" w:code="9"/>
          <w:pgMar w:top="1701" w:right="1440" w:bottom="1701" w:left="1440" w:header="561" w:footer="374" w:gutter="0"/>
          <w:cols w:space="708"/>
          <w:titlePg/>
          <w:docGrid w:linePitch="360"/>
        </w:sectPr>
      </w:pPr>
    </w:p>
    <w:p w14:paraId="13E6AEE0" w14:textId="7FE8E2D4" w:rsidR="007C3D19" w:rsidRPr="007A3600" w:rsidRDefault="007C3D19" w:rsidP="00AD3197">
      <w:pPr>
        <w:pStyle w:val="Heading3"/>
        <w:spacing w:before="0" w:after="0"/>
      </w:pPr>
      <w:bookmarkStart w:id="9" w:name="_Toc207017669"/>
      <w:bookmarkStart w:id="10" w:name="_Toc209695830"/>
      <w:r w:rsidRPr="007A3600">
        <w:rPr>
          <w:noProof/>
          <w:color w:val="6B2876" w:themeColor="accent4"/>
        </w:rPr>
        <w:lastRenderedPageBreak/>
        <w:drawing>
          <wp:anchor distT="0" distB="0" distL="114300" distR="114300" simplePos="0" relativeHeight="251658240" behindDoc="0" locked="0" layoutInCell="1" allowOverlap="1" wp14:anchorId="5CE2D62C" wp14:editId="1B8F0A68">
            <wp:simplePos x="0" y="0"/>
            <wp:positionH relativeFrom="column">
              <wp:posOffset>2918460</wp:posOffset>
            </wp:positionH>
            <wp:positionV relativeFrom="paragraph">
              <wp:posOffset>451916</wp:posOffset>
            </wp:positionV>
            <wp:extent cx="2886990" cy="720000"/>
            <wp:effectExtent l="0" t="0" r="0" b="4445"/>
            <wp:wrapTopAndBottom/>
            <wp:docPr id="2" name="Picture 5" descr="NDIS - delivered by the National Disability Insurance Agency"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rotWithShape="1">
                    <a:blip r:embed="rId21" cstate="print">
                      <a:extLst>
                        <a:ext uri="{28A0092B-C50C-407E-A947-70E740481C1C}">
                          <a14:useLocalDpi xmlns:a14="http://schemas.microsoft.com/office/drawing/2010/main" val="0"/>
                        </a:ext>
                      </a:extLst>
                    </a:blip>
                    <a:srcRect/>
                    <a:stretch/>
                  </pic:blipFill>
                  <pic:spPr>
                    <a:xfrm>
                      <a:off x="0" y="0"/>
                      <a:ext cx="2886990" cy="720000"/>
                    </a:xfrm>
                    <a:prstGeom prst="rect">
                      <a:avLst/>
                    </a:prstGeom>
                  </pic:spPr>
                </pic:pic>
              </a:graphicData>
            </a:graphic>
            <wp14:sizeRelH relativeFrom="margin">
              <wp14:pctWidth>0</wp14:pctWidth>
            </wp14:sizeRelH>
            <wp14:sizeRelV relativeFrom="margin">
              <wp14:pctHeight>0</wp14:pctHeight>
            </wp14:sizeRelV>
          </wp:anchor>
        </w:drawing>
      </w:r>
      <w:r w:rsidRPr="007A3600">
        <w:t>Letter of transmittal</w:t>
      </w:r>
      <w:bookmarkEnd w:id="9"/>
      <w:bookmarkEnd w:id="10"/>
    </w:p>
    <w:p w14:paraId="13CF7070" w14:textId="77777777" w:rsidR="007C3D19" w:rsidRPr="007A3600" w:rsidRDefault="007C3D19" w:rsidP="008C277D">
      <w:pPr>
        <w:spacing w:after="0" w:line="276" w:lineRule="auto"/>
        <w:jc w:val="right"/>
      </w:pPr>
      <w:r w:rsidRPr="007A3600">
        <w:t>GPO Box 700</w:t>
      </w:r>
    </w:p>
    <w:p w14:paraId="181940D9" w14:textId="7989262A" w:rsidR="007C3D19" w:rsidRPr="007A3600" w:rsidRDefault="007C3D19" w:rsidP="008C277D">
      <w:pPr>
        <w:spacing w:after="0" w:line="276" w:lineRule="auto"/>
        <w:jc w:val="right"/>
      </w:pPr>
      <w:r w:rsidRPr="007A3600">
        <w:t>Canberra ACT 2601</w:t>
      </w:r>
    </w:p>
    <w:p w14:paraId="1BD9753D" w14:textId="77777777" w:rsidR="007C3D19" w:rsidRPr="007A3600" w:rsidRDefault="007C3D19" w:rsidP="008C277D">
      <w:pPr>
        <w:spacing w:after="0" w:line="276" w:lineRule="auto"/>
        <w:jc w:val="right"/>
      </w:pPr>
      <w:r w:rsidRPr="007A3600">
        <w:t>1800 800 110</w:t>
      </w:r>
    </w:p>
    <w:p w14:paraId="3A8EB6D6" w14:textId="5AF360AC" w:rsidR="003A60CC" w:rsidRPr="007A3600" w:rsidRDefault="00DC7572" w:rsidP="00AD3197">
      <w:pPr>
        <w:widowControl w:val="0"/>
        <w:spacing w:after="0" w:line="276" w:lineRule="auto"/>
      </w:pPr>
      <w:r w:rsidRPr="007A3600">
        <w:t>The Hon Mark Butler MP</w:t>
      </w:r>
    </w:p>
    <w:p w14:paraId="081E18F9" w14:textId="1CD1E018" w:rsidR="00430238" w:rsidRPr="007A3600" w:rsidRDefault="00DC7572" w:rsidP="00AD3197">
      <w:pPr>
        <w:widowControl w:val="0"/>
        <w:spacing w:after="0" w:line="276" w:lineRule="auto"/>
      </w:pPr>
      <w:r w:rsidRPr="007A3600">
        <w:t>Minister for Disability and the National Disability Insurance Scheme</w:t>
      </w:r>
    </w:p>
    <w:p w14:paraId="170185D6" w14:textId="41973097" w:rsidR="0001557F" w:rsidRPr="007A3600" w:rsidRDefault="0001557F" w:rsidP="00AD3197">
      <w:pPr>
        <w:widowControl w:val="0"/>
        <w:spacing w:after="0" w:line="276" w:lineRule="auto"/>
      </w:pPr>
      <w:r w:rsidRPr="007A3600">
        <w:t>Parliament House</w:t>
      </w:r>
    </w:p>
    <w:p w14:paraId="30782B6D" w14:textId="77777777" w:rsidR="0001557F" w:rsidRPr="007A3600" w:rsidRDefault="0001557F" w:rsidP="008C277D">
      <w:pPr>
        <w:widowControl w:val="0"/>
        <w:spacing w:after="80" w:line="276" w:lineRule="auto"/>
      </w:pPr>
      <w:r w:rsidRPr="007A3600">
        <w:t>Canberra ACT 2600</w:t>
      </w:r>
    </w:p>
    <w:p w14:paraId="194737AF" w14:textId="15A735A6" w:rsidR="003A60CC" w:rsidRPr="007A3600" w:rsidRDefault="007C3D19" w:rsidP="008C277D">
      <w:pPr>
        <w:widowControl w:val="0"/>
        <w:spacing w:before="120" w:after="0" w:line="276" w:lineRule="auto"/>
      </w:pPr>
      <w:r w:rsidRPr="007A3600">
        <w:t>Senator the Hon Jenny McAllister</w:t>
      </w:r>
    </w:p>
    <w:p w14:paraId="66106062" w14:textId="0D6EB537" w:rsidR="007C3D19" w:rsidRPr="007A3600" w:rsidRDefault="007C3D19" w:rsidP="00AD3197">
      <w:pPr>
        <w:widowControl w:val="0"/>
        <w:spacing w:after="0" w:line="276" w:lineRule="auto"/>
      </w:pPr>
      <w:r w:rsidRPr="007A3600">
        <w:t>Minister for the National Disability Insurance Scheme</w:t>
      </w:r>
    </w:p>
    <w:p w14:paraId="1D4E74D5" w14:textId="25E8E59B" w:rsidR="007C3D19" w:rsidRPr="007A3600" w:rsidRDefault="007C3D19" w:rsidP="00AD3197">
      <w:pPr>
        <w:widowControl w:val="0"/>
        <w:spacing w:after="0" w:line="276" w:lineRule="auto"/>
      </w:pPr>
      <w:r w:rsidRPr="007A3600">
        <w:t>Parliament House</w:t>
      </w:r>
    </w:p>
    <w:p w14:paraId="65E4DD87" w14:textId="74037D85" w:rsidR="007C3D19" w:rsidRPr="007A3600" w:rsidRDefault="007C3D19" w:rsidP="008C277D">
      <w:pPr>
        <w:widowControl w:val="0"/>
        <w:spacing w:after="80" w:line="276" w:lineRule="auto"/>
      </w:pPr>
      <w:r w:rsidRPr="007A3600">
        <w:t>Canberra ACT 2600</w:t>
      </w:r>
    </w:p>
    <w:p w14:paraId="18136F31" w14:textId="4C5378CB" w:rsidR="007C3D19" w:rsidRPr="007A3600" w:rsidRDefault="007C3D19" w:rsidP="008C277D">
      <w:pPr>
        <w:widowControl w:val="0"/>
        <w:spacing w:before="120" w:after="120" w:line="276" w:lineRule="auto"/>
      </w:pPr>
      <w:r w:rsidRPr="007A3600">
        <w:t>Dear Minister</w:t>
      </w:r>
      <w:r w:rsidR="00B72ECD" w:rsidRPr="007A3600">
        <w:t>s</w:t>
      </w:r>
      <w:r w:rsidRPr="007A3600">
        <w:t>,</w:t>
      </w:r>
    </w:p>
    <w:p w14:paraId="3C9D7AE6" w14:textId="523276CA" w:rsidR="007C3D19" w:rsidRPr="007A3600" w:rsidRDefault="007C3D19" w:rsidP="00AD3197">
      <w:pPr>
        <w:spacing w:after="120" w:line="276" w:lineRule="auto"/>
      </w:pPr>
      <w:r w:rsidRPr="007A3600">
        <w:t>On behalf of the National Disability Insurance Agency (NDIA), I present to you the annual report for the reporting year 1 July 2024 to 30 June 2025.</w:t>
      </w:r>
    </w:p>
    <w:p w14:paraId="0080AA11" w14:textId="7D28BF8D" w:rsidR="007C3D19" w:rsidRPr="007A3600" w:rsidRDefault="007C3D19" w:rsidP="00AD3197">
      <w:pPr>
        <w:spacing w:after="120" w:line="276" w:lineRule="auto"/>
      </w:pPr>
      <w:r w:rsidRPr="007A3600">
        <w:t xml:space="preserve">The report provides a detailed description of the NDIA’s operations during the year and has been prepared in accordance with the </w:t>
      </w:r>
      <w:r w:rsidRPr="007A3600">
        <w:rPr>
          <w:i/>
          <w:iCs/>
        </w:rPr>
        <w:t>Public Governance, Performance and Accountability Act 2013</w:t>
      </w:r>
      <w:r w:rsidRPr="007A3600">
        <w:t xml:space="preserve"> (Cth) (PGPA Act) and the </w:t>
      </w:r>
      <w:r w:rsidRPr="007A3600">
        <w:rPr>
          <w:i/>
          <w:iCs/>
        </w:rPr>
        <w:t>National Disability Insurance Scheme Act 2013</w:t>
      </w:r>
      <w:r w:rsidRPr="007A3600">
        <w:t xml:space="preserve"> (Cth) (NDIS Act).</w:t>
      </w:r>
    </w:p>
    <w:p w14:paraId="6308FFDA" w14:textId="17DB6DC1" w:rsidR="007C3D19" w:rsidRPr="007A3600" w:rsidRDefault="007C3D19" w:rsidP="00AD3197">
      <w:pPr>
        <w:spacing w:after="120" w:line="276" w:lineRule="auto"/>
      </w:pPr>
      <w:r w:rsidRPr="007A3600">
        <w:t>In accordance with section 39 of the PGPA Act, the report provides information about the NDIA’s performance in achieving its purpose.</w:t>
      </w:r>
    </w:p>
    <w:p w14:paraId="6B4C3871" w14:textId="4E55C3CF" w:rsidR="007C3D19" w:rsidRPr="007A3600" w:rsidRDefault="007C3D19" w:rsidP="00AD3197">
      <w:pPr>
        <w:spacing w:after="120" w:line="276" w:lineRule="auto"/>
      </w:pPr>
      <w:r w:rsidRPr="007A3600">
        <w:t xml:space="preserve">The report includes a copy of the NDIA’s annual financial </w:t>
      </w:r>
      <w:r w:rsidR="00697700" w:rsidRPr="007A3600">
        <w:t>statements</w:t>
      </w:r>
      <w:r w:rsidRPr="007A3600">
        <w:t xml:space="preserve"> and the Auditor-General’s report as prescribed by subsection 43(4) of the PGPA Act.</w:t>
      </w:r>
    </w:p>
    <w:p w14:paraId="661E4215" w14:textId="220A1974" w:rsidR="007C3D19" w:rsidRPr="007A3600" w:rsidRDefault="007C3D19" w:rsidP="00AD3197">
      <w:pPr>
        <w:spacing w:after="120" w:line="276" w:lineRule="auto"/>
      </w:pPr>
      <w:r w:rsidRPr="007A3600">
        <w:t>The incorporated summary of the Annual Financial Sustainability Report 2024–25 and the inclusion of the reviewing actuary’s report fulfils the NDIA’s obligations under subsection 172(4) of the NDIS Act.</w:t>
      </w:r>
    </w:p>
    <w:p w14:paraId="31DA035C" w14:textId="7C7FEA67" w:rsidR="007C3D19" w:rsidRDefault="007C3D19" w:rsidP="00AD3197">
      <w:pPr>
        <w:spacing w:after="120" w:line="276" w:lineRule="auto"/>
      </w:pPr>
      <w:r w:rsidRPr="007A3600">
        <w:t xml:space="preserve">The report is made in accordance with a resolution of the Board of Directors on 18 September </w:t>
      </w:r>
      <w:r w:rsidR="00485BB1" w:rsidRPr="007A3600">
        <w:t>202</w:t>
      </w:r>
      <w:r w:rsidR="00485BB1">
        <w:t>5</w:t>
      </w:r>
      <w:r w:rsidRPr="007A3600">
        <w:t>. The Board is responsible for its preparation and content. The report is provided to you as the responsible minister under section 46 of the PGPA Act.</w:t>
      </w:r>
    </w:p>
    <w:p w14:paraId="717765DA" w14:textId="4CA18134" w:rsidR="00CA792D" w:rsidRPr="007A3600" w:rsidRDefault="00CA792D" w:rsidP="00AD3197">
      <w:pPr>
        <w:spacing w:after="120" w:line="276" w:lineRule="auto"/>
      </w:pPr>
      <w:r w:rsidRPr="005F6042">
        <w:rPr>
          <w:noProof/>
        </w:rPr>
        <w:drawing>
          <wp:anchor distT="0" distB="0" distL="114300" distR="114300" simplePos="0" relativeHeight="251658244" behindDoc="1" locked="0" layoutInCell="1" allowOverlap="1" wp14:anchorId="6AE68061" wp14:editId="27D7F6EF">
            <wp:simplePos x="0" y="0"/>
            <wp:positionH relativeFrom="column">
              <wp:posOffset>0</wp:posOffset>
            </wp:positionH>
            <wp:positionV relativeFrom="page">
              <wp:posOffset>8425180</wp:posOffset>
            </wp:positionV>
            <wp:extent cx="1396412" cy="1476000"/>
            <wp:effectExtent l="0" t="0" r="0" b="0"/>
            <wp:wrapNone/>
            <wp:docPr id="1695250547" name="Picture 1" descr="Board Chair's signature block:&#10;Yours sincerely, &#10;Kurt Fearnley AO&#10;NDIA Board Chair&#10;18 Sept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50547" name="Picture 1" descr="Board Chair's signature block:&#10;Yours sincerely, &#10;Kurt Fearnley AO&#10;NDIA Board Chair&#10;18 September 2025"/>
                    <pic:cNvPicPr/>
                  </pic:nvPicPr>
                  <pic:blipFill>
                    <a:blip r:embed="rId22">
                      <a:extLst>
                        <a:ext uri="{28A0092B-C50C-407E-A947-70E740481C1C}">
                          <a14:useLocalDpi xmlns:a14="http://schemas.microsoft.com/office/drawing/2010/main" val="0"/>
                        </a:ext>
                      </a:extLst>
                    </a:blip>
                    <a:stretch>
                      <a:fillRect/>
                    </a:stretch>
                  </pic:blipFill>
                  <pic:spPr>
                    <a:xfrm>
                      <a:off x="0" y="0"/>
                      <a:ext cx="1396412" cy="1476000"/>
                    </a:xfrm>
                    <a:prstGeom prst="rect">
                      <a:avLst/>
                    </a:prstGeom>
                  </pic:spPr>
                </pic:pic>
              </a:graphicData>
            </a:graphic>
            <wp14:sizeRelH relativeFrom="page">
              <wp14:pctWidth>0</wp14:pctWidth>
            </wp14:sizeRelH>
            <wp14:sizeRelV relativeFrom="page">
              <wp14:pctHeight>0</wp14:pctHeight>
            </wp14:sizeRelV>
          </wp:anchor>
        </w:drawing>
      </w:r>
    </w:p>
    <w:p w14:paraId="56D8F95A" w14:textId="54758ECA" w:rsidR="007C3D19" w:rsidRPr="007A3600" w:rsidRDefault="007C3D19" w:rsidP="00AD3197">
      <w:pPr>
        <w:spacing w:after="20"/>
        <w:sectPr w:rsidR="007C3D19" w:rsidRPr="007A3600" w:rsidSect="00294D20">
          <w:headerReference w:type="first" r:id="rId23"/>
          <w:footerReference w:type="first" r:id="rId24"/>
          <w:pgSz w:w="11906" w:h="16838" w:code="9"/>
          <w:pgMar w:top="1134" w:right="1440" w:bottom="1560" w:left="1440" w:header="510" w:footer="374" w:gutter="0"/>
          <w:cols w:space="708"/>
          <w:titlePg/>
          <w:docGrid w:linePitch="360"/>
        </w:sectPr>
      </w:pPr>
    </w:p>
    <w:p w14:paraId="25ADDB46" w14:textId="2736EB19" w:rsidR="00384094" w:rsidRPr="007A3600" w:rsidRDefault="006C7470" w:rsidP="00AD3197">
      <w:pPr>
        <w:pStyle w:val="Heading2"/>
      </w:pPr>
      <w:bookmarkStart w:id="11" w:name="_Toc207017670"/>
      <w:bookmarkStart w:id="12" w:name="_Toc209695831"/>
      <w:r w:rsidRPr="007A3600">
        <w:lastRenderedPageBreak/>
        <w:t xml:space="preserve">Section </w:t>
      </w:r>
      <w:r w:rsidR="00047A47" w:rsidRPr="007A3600">
        <w:t xml:space="preserve">1: </w:t>
      </w:r>
      <w:r w:rsidR="005A57E8" w:rsidRPr="007A3600">
        <w:t>The National Disability Insurance Agency – delivering the National Disability Insurance Scheme</w:t>
      </w:r>
      <w:bookmarkEnd w:id="11"/>
      <w:bookmarkEnd w:id="12"/>
      <w:r w:rsidR="00384094" w:rsidRPr="007A3600">
        <w:br w:type="page"/>
      </w:r>
    </w:p>
    <w:p w14:paraId="5DA5D9CE" w14:textId="24318041" w:rsidR="00047A47" w:rsidRPr="007A3600" w:rsidRDefault="00E35A34" w:rsidP="00FB7EFE">
      <w:pPr>
        <w:pStyle w:val="Storytitle"/>
        <w:pBdr>
          <w:left w:val="single" w:sz="4" w:space="4" w:color="6B2876" w:themeColor="text1"/>
          <w:right w:val="single" w:sz="4" w:space="4" w:color="6B2876" w:themeColor="text1"/>
        </w:pBdr>
      </w:pPr>
      <w:r w:rsidRPr="007A3600">
        <w:lastRenderedPageBreak/>
        <w:t>Peter is back on Country with support from his community</w:t>
      </w:r>
    </w:p>
    <w:p w14:paraId="7DA9B4C6" w14:textId="77777777" w:rsidR="00CF373B" w:rsidRPr="007A3600" w:rsidRDefault="00CF373B" w:rsidP="00FB7EFE">
      <w:pPr>
        <w:pStyle w:val="PullOut-Body"/>
        <w:pBdr>
          <w:left w:val="single" w:sz="4" w:space="4" w:color="6B2876" w:themeColor="text1"/>
          <w:right w:val="single" w:sz="4" w:space="4" w:color="6B2876" w:themeColor="text1"/>
        </w:pBdr>
      </w:pPr>
      <w:r w:rsidRPr="007A3600">
        <w:t>Peter, a proud Wik-Mungkan man from Aurukun in Far North Queensland, remembers the morning everything changed.</w:t>
      </w:r>
    </w:p>
    <w:p w14:paraId="72890244" w14:textId="77777777" w:rsidR="00CF373B" w:rsidRPr="007A3600" w:rsidRDefault="00CF373B" w:rsidP="00FB7EFE">
      <w:pPr>
        <w:pStyle w:val="PullOut-Body"/>
        <w:pBdr>
          <w:left w:val="single" w:sz="4" w:space="4" w:color="6B2876" w:themeColor="text1"/>
          <w:right w:val="single" w:sz="4" w:space="4" w:color="6B2876" w:themeColor="text1"/>
        </w:pBdr>
      </w:pPr>
      <w:r w:rsidRPr="007A3600">
        <w:t>‘I got up to go to work and I couldn’t move my right side. I was paralysed,’ he said.</w:t>
      </w:r>
    </w:p>
    <w:p w14:paraId="0D28F21A" w14:textId="77777777" w:rsidR="00CF373B" w:rsidRPr="007A3600" w:rsidRDefault="00CF373B" w:rsidP="00FB7EFE">
      <w:pPr>
        <w:pStyle w:val="PullOut-Body"/>
        <w:pBdr>
          <w:left w:val="single" w:sz="4" w:space="4" w:color="6B2876" w:themeColor="text1"/>
          <w:right w:val="single" w:sz="4" w:space="4" w:color="6B2876" w:themeColor="text1"/>
        </w:pBdr>
      </w:pPr>
      <w:r w:rsidRPr="007A3600">
        <w:t>Peter was flown nearly 1,000 kilometres to Cairns Hospital, where he was supported to apply to the NDIS. It gave him access to culturally appropriate support in hospital and when he got back home.</w:t>
      </w:r>
    </w:p>
    <w:p w14:paraId="76DC8B9C" w14:textId="77777777" w:rsidR="00CF373B" w:rsidRPr="007A3600" w:rsidRDefault="00CF373B" w:rsidP="00FB7EFE">
      <w:pPr>
        <w:pStyle w:val="PullOut-Body"/>
        <w:pBdr>
          <w:left w:val="single" w:sz="4" w:space="4" w:color="6B2876" w:themeColor="text1"/>
          <w:right w:val="single" w:sz="4" w:space="4" w:color="6B2876" w:themeColor="text1"/>
        </w:pBdr>
      </w:pPr>
      <w:r w:rsidRPr="007A3600">
        <w:t>Through the NDIS, Peter connected with providers to help with daily living supports, physiotherapy and occupational therapy. All this support meant he could leave hospital and go home, where his family and community were ready to help his recovery.</w:t>
      </w:r>
    </w:p>
    <w:p w14:paraId="05E4DA69" w14:textId="77777777" w:rsidR="00CF373B" w:rsidRPr="007A3600" w:rsidRDefault="00CF373B" w:rsidP="00FB7EFE">
      <w:pPr>
        <w:pStyle w:val="PullOut-Body"/>
        <w:pBdr>
          <w:left w:val="single" w:sz="4" w:space="4" w:color="6B2876" w:themeColor="text1"/>
          <w:right w:val="single" w:sz="4" w:space="4" w:color="6B2876" w:themeColor="text1"/>
        </w:pBdr>
      </w:pPr>
      <w:r w:rsidRPr="007A3600">
        <w:t>In remote towns, like Aurukun, allied health professionals only visit monthly. To ensure Peter could continue his progress, his team designed a daily exercise plan he could do with his support workers.</w:t>
      </w:r>
    </w:p>
    <w:p w14:paraId="379B8FA3" w14:textId="77777777" w:rsidR="00CF373B" w:rsidRPr="007A3600" w:rsidRDefault="00CF373B" w:rsidP="00FB7EFE">
      <w:pPr>
        <w:pStyle w:val="PullOut-Body"/>
        <w:pBdr>
          <w:left w:val="single" w:sz="4" w:space="4" w:color="6B2876" w:themeColor="text1"/>
          <w:right w:val="single" w:sz="4" w:space="4" w:color="6B2876" w:themeColor="text1"/>
        </w:pBdr>
      </w:pPr>
      <w:r w:rsidRPr="007A3600">
        <w:t>Peter has local First Nations support workers, Ben, Ivan and Robert, who understand his culture and his needs.</w:t>
      </w:r>
    </w:p>
    <w:p w14:paraId="65E24178" w14:textId="77777777" w:rsidR="00CF373B" w:rsidRPr="007A3600" w:rsidRDefault="00CF373B" w:rsidP="00FB7EFE">
      <w:pPr>
        <w:pStyle w:val="PullOut-Body"/>
        <w:pBdr>
          <w:left w:val="single" w:sz="4" w:space="4" w:color="6B2876" w:themeColor="text1"/>
          <w:right w:val="single" w:sz="4" w:space="4" w:color="6B2876" w:themeColor="text1"/>
        </w:pBdr>
      </w:pPr>
      <w:r w:rsidRPr="007A3600">
        <w:t>Being surrounded by family and friends has helped Peter recover mentally and physically.</w:t>
      </w:r>
    </w:p>
    <w:p w14:paraId="33F68FF5" w14:textId="77777777" w:rsidR="00CF373B" w:rsidRPr="007A3600" w:rsidRDefault="00CF373B" w:rsidP="00FB7EFE">
      <w:pPr>
        <w:pStyle w:val="PullOut-Body"/>
        <w:pBdr>
          <w:left w:val="single" w:sz="4" w:space="4" w:color="6B2876" w:themeColor="text1"/>
          <w:right w:val="single" w:sz="4" w:space="4" w:color="6B2876" w:themeColor="text1"/>
        </w:pBdr>
      </w:pPr>
      <w:r w:rsidRPr="007A3600">
        <w:t>Doctors once told Peter he might never walk again. But being strong-minded and with the unwavering support of partner, Maisie, he proved them wrong.</w:t>
      </w:r>
    </w:p>
    <w:p w14:paraId="14FD6B0B" w14:textId="77777777" w:rsidR="00CF373B" w:rsidRPr="007A3600" w:rsidRDefault="00CF373B" w:rsidP="00FB7EFE">
      <w:pPr>
        <w:pStyle w:val="PullOut-Body"/>
        <w:pBdr>
          <w:left w:val="single" w:sz="4" w:space="4" w:color="6B2876" w:themeColor="text1"/>
          <w:right w:val="single" w:sz="4" w:space="4" w:color="6B2876" w:themeColor="text1"/>
        </w:pBdr>
      </w:pPr>
      <w:r w:rsidRPr="007A3600">
        <w:t>‘Maisie’s been really supportive,’ Peter said. ‘She tried to push me in the wheelchair, but I said, no, I want to walk with my cane.’</w:t>
      </w:r>
    </w:p>
    <w:p w14:paraId="41299992" w14:textId="590051F2" w:rsidR="00CF373B" w:rsidRPr="007A3600" w:rsidRDefault="00CF373B" w:rsidP="00FB7EFE">
      <w:pPr>
        <w:pStyle w:val="PullOut-Body"/>
        <w:pBdr>
          <w:left w:val="single" w:sz="4" w:space="4" w:color="6B2876" w:themeColor="text1"/>
          <w:right w:val="single" w:sz="4" w:space="4" w:color="6B2876" w:themeColor="text1"/>
        </w:pBdr>
      </w:pPr>
      <w:r w:rsidRPr="007A3600">
        <w:t>Today, Peter’s walking, fishing, mowing lawns and sharing cultural knowledge as an Elder.</w:t>
      </w:r>
    </w:p>
    <w:p w14:paraId="517DDA13" w14:textId="7988F5BF" w:rsidR="005F5CE9" w:rsidRPr="007A3600" w:rsidRDefault="005F5CE9" w:rsidP="00AD3197">
      <w:r w:rsidRPr="007A3600">
        <w:br w:type="page"/>
      </w:r>
    </w:p>
    <w:p w14:paraId="118AA4CD" w14:textId="77777777" w:rsidR="000D6FBD" w:rsidRPr="007A3600" w:rsidRDefault="000D6FBD" w:rsidP="00AD3197">
      <w:pPr>
        <w:pStyle w:val="Introparagraph"/>
        <w:rPr>
          <w:lang w:val="en-GB"/>
        </w:rPr>
      </w:pPr>
      <w:r w:rsidRPr="007A3600">
        <w:rPr>
          <w:lang w:val="en-GB"/>
        </w:rPr>
        <w:lastRenderedPageBreak/>
        <w:t>Acknowledgement of people with disability</w:t>
      </w:r>
    </w:p>
    <w:p w14:paraId="0EE1013A" w14:textId="488E8F01" w:rsidR="000D6FBD" w:rsidRPr="007A3600" w:rsidRDefault="000D6FBD" w:rsidP="00AD3197">
      <w:pPr>
        <w:rPr>
          <w:lang w:val="en-US"/>
        </w:rPr>
      </w:pPr>
      <w:r w:rsidRPr="007A3600">
        <w:t xml:space="preserve">The </w:t>
      </w:r>
      <w:r w:rsidR="002E6318" w:rsidRPr="007A3600">
        <w:t>National Disability Insurance Agency (</w:t>
      </w:r>
      <w:r w:rsidRPr="007A3600">
        <w:t>NDIA</w:t>
      </w:r>
      <w:r w:rsidR="002E6318" w:rsidRPr="007A3600">
        <w:t>)</w:t>
      </w:r>
      <w:r w:rsidRPr="007A3600">
        <w:t xml:space="preserve"> recognises the objectives of the United Nations Convention on the Rights of Persons with Disabilities – </w:t>
      </w:r>
      <w:r w:rsidRPr="007A3600">
        <w:rPr>
          <w:lang w:val="en-US"/>
        </w:rPr>
        <w:t>to promote, protect and ensure the full and equal enjoyment of all human rights and fundamental freedoms by all persons with disabilities and to promote respect for their inherent dignity.</w:t>
      </w:r>
    </w:p>
    <w:p w14:paraId="1633F5DF" w14:textId="33A36783" w:rsidR="00653349" w:rsidRPr="007A3600" w:rsidRDefault="000D6FBD" w:rsidP="00AD3197">
      <w:r w:rsidRPr="007A3600">
        <w:rPr>
          <w:lang w:val="en-US"/>
        </w:rPr>
        <w:t>We acknowledge the lived experience of people with disability, their family members, carers and supporters and their ongoing contribution to the development of the N</w:t>
      </w:r>
      <w:r w:rsidR="00735FDE" w:rsidRPr="007A3600">
        <w:rPr>
          <w:lang w:val="en-US"/>
        </w:rPr>
        <w:t xml:space="preserve">ational </w:t>
      </w:r>
      <w:r w:rsidRPr="007A3600">
        <w:rPr>
          <w:lang w:val="en-US"/>
        </w:rPr>
        <w:t>D</w:t>
      </w:r>
      <w:r w:rsidR="00735FDE" w:rsidRPr="007A3600">
        <w:rPr>
          <w:lang w:val="en-US"/>
        </w:rPr>
        <w:t xml:space="preserve">isability </w:t>
      </w:r>
      <w:r w:rsidRPr="007A3600">
        <w:rPr>
          <w:lang w:val="en-US"/>
        </w:rPr>
        <w:t>I</w:t>
      </w:r>
      <w:r w:rsidR="00735FDE" w:rsidRPr="007A3600">
        <w:rPr>
          <w:lang w:val="en-US"/>
        </w:rPr>
        <w:t xml:space="preserve">nsurance </w:t>
      </w:r>
      <w:r w:rsidRPr="007A3600">
        <w:rPr>
          <w:lang w:val="en-US"/>
        </w:rPr>
        <w:t>S</w:t>
      </w:r>
      <w:r w:rsidR="00735FDE" w:rsidRPr="007A3600">
        <w:rPr>
          <w:lang w:val="en-US"/>
        </w:rPr>
        <w:t>cheme (NDIS)</w:t>
      </w:r>
      <w:r w:rsidRPr="007A3600">
        <w:rPr>
          <w:lang w:val="en-US"/>
        </w:rPr>
        <w:t xml:space="preserve"> through co-design.</w:t>
      </w:r>
    </w:p>
    <w:p w14:paraId="672F832D" w14:textId="4D22666D" w:rsidR="007E2FC6" w:rsidRPr="007A3600" w:rsidRDefault="00211A86" w:rsidP="00AD3197">
      <w:pPr>
        <w:pStyle w:val="Introparagraph"/>
      </w:pPr>
      <w:bookmarkStart w:id="13" w:name="_Toc207017671"/>
      <w:r w:rsidRPr="007A3600">
        <w:t>About this report</w:t>
      </w:r>
      <w:bookmarkEnd w:id="13"/>
    </w:p>
    <w:p w14:paraId="50898668" w14:textId="0A4A603A" w:rsidR="00ED2D28" w:rsidRPr="007A3600" w:rsidRDefault="00ED2D28" w:rsidP="00AD3197">
      <w:r w:rsidRPr="007A3600">
        <w:t xml:space="preserve">This annual report is an important part of the NDIA’s responsibilities </w:t>
      </w:r>
      <w:r w:rsidR="000A5CA9" w:rsidRPr="007A3600">
        <w:t xml:space="preserve">as a corporate Commonwealth entity </w:t>
      </w:r>
      <w:r w:rsidRPr="007A3600">
        <w:t>under the Commonwealth Performance Framework</w:t>
      </w:r>
      <w:r w:rsidR="00D3660D" w:rsidRPr="007A3600">
        <w:t xml:space="preserve"> and the </w:t>
      </w:r>
      <w:r w:rsidR="00D3660D" w:rsidRPr="007A3600">
        <w:rPr>
          <w:i/>
          <w:iCs/>
        </w:rPr>
        <w:t>Public Governance, Performance and Accountability Act 2013</w:t>
      </w:r>
      <w:r w:rsidR="00D3660D" w:rsidRPr="007A3600">
        <w:t xml:space="preserve"> (Cth)</w:t>
      </w:r>
      <w:r w:rsidRPr="007A3600">
        <w:t>. It provides a comprehensive account of the NDIA’s performance for the 2024</w:t>
      </w:r>
      <w:r w:rsidR="00F04733" w:rsidRPr="007A3600">
        <w:t>–</w:t>
      </w:r>
      <w:r w:rsidRPr="007A3600">
        <w:t>25 financial year</w:t>
      </w:r>
      <w:r w:rsidR="000740BC" w:rsidRPr="007A3600">
        <w:t xml:space="preserve">. The report includes </w:t>
      </w:r>
      <w:r w:rsidRPr="007A3600">
        <w:t>our audited financial statements and performance statements</w:t>
      </w:r>
      <w:r w:rsidR="000740BC" w:rsidRPr="007A3600">
        <w:t xml:space="preserve">, which </w:t>
      </w:r>
      <w:r w:rsidRPr="007A3600">
        <w:t>show how we delivered against the performance measures and priorities described in the Portfolio Budget Statements 2024</w:t>
      </w:r>
      <w:r w:rsidR="00F04733" w:rsidRPr="007A3600">
        <w:t>–</w:t>
      </w:r>
      <w:r w:rsidRPr="007A3600">
        <w:t>25 and our Corporate Plan 2024–25</w:t>
      </w:r>
      <w:r w:rsidR="000740BC" w:rsidRPr="007A3600">
        <w:t xml:space="preserve"> </w:t>
      </w:r>
      <w:r w:rsidR="00900BCF" w:rsidRPr="007A3600">
        <w:t xml:space="preserve">– </w:t>
      </w:r>
      <w:r w:rsidRPr="007A3600">
        <w:t>our primary planning documents under the framework.</w:t>
      </w:r>
    </w:p>
    <w:p w14:paraId="46F619B9" w14:textId="393CE830" w:rsidR="00ED2D28" w:rsidRPr="007A3600" w:rsidRDefault="00ED2D28" w:rsidP="00AD3197">
      <w:r w:rsidRPr="007A3600">
        <w:t>In addition to this annual report, the NDIA also provides quarterly reports to the Disability Reform Ministerial Council</w:t>
      </w:r>
      <w:r w:rsidR="002E6318" w:rsidRPr="007A3600">
        <w:t xml:space="preserve"> (DRMC)</w:t>
      </w:r>
      <w:r w:rsidRPr="007A3600">
        <w:t xml:space="preserve">. </w:t>
      </w:r>
      <w:r w:rsidR="002E6318" w:rsidRPr="007A3600">
        <w:t xml:space="preserve">The reports </w:t>
      </w:r>
      <w:r w:rsidR="00832716" w:rsidRPr="007A3600">
        <w:t xml:space="preserve">give </w:t>
      </w:r>
      <w:r w:rsidR="002E6318" w:rsidRPr="007A3600">
        <w:t xml:space="preserve">the DRMC regular updates on the delivery and progress of the NDIS. They </w:t>
      </w:r>
      <w:r w:rsidRPr="007A3600">
        <w:t xml:space="preserve">are a statutory requirement under the </w:t>
      </w:r>
      <w:r w:rsidRPr="007A3600">
        <w:rPr>
          <w:i/>
          <w:iCs/>
        </w:rPr>
        <w:t>National Disability Insurance Scheme Act 2013</w:t>
      </w:r>
      <w:r w:rsidRPr="007A3600">
        <w:t xml:space="preserve"> (NDIS Act)</w:t>
      </w:r>
      <w:r w:rsidR="00832716" w:rsidRPr="007A3600">
        <w:t>.</w:t>
      </w:r>
    </w:p>
    <w:p w14:paraId="24C8448B" w14:textId="3D9364D0" w:rsidR="007E2FC6" w:rsidRPr="007A3600" w:rsidRDefault="00ED2D28" w:rsidP="00AD3197">
      <w:r w:rsidRPr="007A3600">
        <w:t>Together, these reports demonstrate how we plan, measure and report the impact of the NDIS. These documents are available on the NDIS website.</w:t>
      </w:r>
    </w:p>
    <w:p w14:paraId="2424613E" w14:textId="33FEDA2E" w:rsidR="00863C7F" w:rsidRPr="007A3600" w:rsidRDefault="00841B48" w:rsidP="00AD3197">
      <w:pPr>
        <w:pStyle w:val="Heading3"/>
        <w:numPr>
          <w:ilvl w:val="1"/>
          <w:numId w:val="29"/>
        </w:numPr>
      </w:pPr>
      <w:bookmarkStart w:id="14" w:name="_Toc207017672"/>
      <w:bookmarkStart w:id="15" w:name="_Toc209695832"/>
      <w:r w:rsidRPr="007A3600">
        <w:lastRenderedPageBreak/>
        <w:t>A message from the NDIA Board Chair</w:t>
      </w:r>
      <w:bookmarkEnd w:id="14"/>
      <w:bookmarkEnd w:id="15"/>
    </w:p>
    <w:p w14:paraId="18EB0613" w14:textId="1236FE43" w:rsidR="00930632" w:rsidRPr="007A3600" w:rsidRDefault="00930632" w:rsidP="00AD3197">
      <w:pPr>
        <w:keepNext/>
      </w:pPr>
      <w:r w:rsidRPr="007A3600">
        <w:rPr>
          <w:noProof/>
        </w:rPr>
        <w:drawing>
          <wp:inline distT="0" distB="0" distL="0" distR="0" wp14:anchorId="62C50995" wp14:editId="44430F76">
            <wp:extent cx="1358900" cy="1987550"/>
            <wp:effectExtent l="0" t="0" r="0" b="0"/>
            <wp:docPr id="694154154" name="Picture 26" descr="Mr Kurt Fearnley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154154" name="Picture 26" descr="Mr Kurt Fearnley A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8900" cy="1987550"/>
                    </a:xfrm>
                    <a:prstGeom prst="rect">
                      <a:avLst/>
                    </a:prstGeom>
                    <a:noFill/>
                    <a:ln>
                      <a:noFill/>
                    </a:ln>
                  </pic:spPr>
                </pic:pic>
              </a:graphicData>
            </a:graphic>
          </wp:inline>
        </w:drawing>
      </w:r>
    </w:p>
    <w:p w14:paraId="77C4B9E7" w14:textId="318FC882" w:rsidR="003345B2" w:rsidRPr="007A3600" w:rsidRDefault="003345B2" w:rsidP="00AD3197">
      <w:bookmarkStart w:id="16" w:name="_Hlk198623720"/>
      <w:r w:rsidRPr="007A3600">
        <w:t>It is a great honour to chair the Board of the NDIA and present the 2024</w:t>
      </w:r>
      <w:r w:rsidR="00E7285F" w:rsidRPr="007A3600">
        <w:t>–</w:t>
      </w:r>
      <w:r w:rsidRPr="007A3600">
        <w:t>25 Annual Report.</w:t>
      </w:r>
    </w:p>
    <w:p w14:paraId="511CC8EE" w14:textId="0D402FC5" w:rsidR="003345B2" w:rsidRPr="007A3600" w:rsidRDefault="003345B2" w:rsidP="00AD3197">
      <w:r w:rsidRPr="007A3600">
        <w:t>The Board’s focus is on improving outcomes for the more than 739,000 participants who receive supports from the NDIS and ensuring we manage the Scheme for its long-term sustainability.</w:t>
      </w:r>
    </w:p>
    <w:p w14:paraId="58552F98" w14:textId="335225B4" w:rsidR="003345B2" w:rsidRPr="007A3600" w:rsidRDefault="003345B2" w:rsidP="00AD3197">
      <w:r w:rsidRPr="007A3600">
        <w:t xml:space="preserve">The Board is committed to inclusion and co-design in the way the </w:t>
      </w:r>
      <w:r w:rsidR="00276785" w:rsidRPr="007A3600">
        <w:t xml:space="preserve">NDIA </w:t>
      </w:r>
      <w:r w:rsidRPr="007A3600">
        <w:t>operates, and we are representative of the community that we serve. It continues to be our priority to ensure the voices of people with disability are heard and are central to all that we do.</w:t>
      </w:r>
    </w:p>
    <w:p w14:paraId="570FD1F4" w14:textId="2487FEB1" w:rsidR="003345B2" w:rsidRPr="007A3600" w:rsidRDefault="003345B2" w:rsidP="00AD3197">
      <w:r w:rsidRPr="007A3600">
        <w:t xml:space="preserve">I am proud to lead a Board </w:t>
      </w:r>
      <w:r w:rsidR="00292164" w:rsidRPr="007A3600">
        <w:t xml:space="preserve">that </w:t>
      </w:r>
      <w:r w:rsidRPr="007A3600">
        <w:t xml:space="preserve">has a majority of members with lived experience of disability. </w:t>
      </w:r>
      <w:r w:rsidR="00292164" w:rsidRPr="007A3600">
        <w:t>Also</w:t>
      </w:r>
      <w:r w:rsidRPr="007A3600">
        <w:t xml:space="preserve">, the Australian Public Service Employee Census data shows that 23% of the NDIA’s staff identify as having a disability, with representation </w:t>
      </w:r>
      <w:r w:rsidR="00DC7BF9" w:rsidRPr="007A3600">
        <w:t>of 17%</w:t>
      </w:r>
      <w:r w:rsidRPr="007A3600">
        <w:t xml:space="preserve"> among </w:t>
      </w:r>
      <w:r w:rsidR="00292164" w:rsidRPr="007A3600">
        <w:t>s</w:t>
      </w:r>
      <w:r w:rsidRPr="007A3600">
        <w:t xml:space="preserve">enior </w:t>
      </w:r>
      <w:r w:rsidR="00292164" w:rsidRPr="007A3600">
        <w:t>e</w:t>
      </w:r>
      <w:r w:rsidRPr="007A3600">
        <w:t>xecutive staff.</w:t>
      </w:r>
    </w:p>
    <w:p w14:paraId="14F66186" w14:textId="62EE8EF7" w:rsidR="003345B2" w:rsidRPr="007A3600" w:rsidRDefault="00292164" w:rsidP="00AD3197">
      <w:r w:rsidRPr="007A3600">
        <w:t>At o</w:t>
      </w:r>
      <w:r w:rsidR="003345B2" w:rsidRPr="007A3600">
        <w:t>ur National Contact Centre</w:t>
      </w:r>
      <w:r w:rsidR="006420F9" w:rsidRPr="007A3600">
        <w:t>,</w:t>
      </w:r>
      <w:r w:rsidR="003345B2" w:rsidRPr="007A3600">
        <w:t xml:space="preserve"> more than 31% of staff identify as having a disability. This helps </w:t>
      </w:r>
      <w:r w:rsidR="006420F9" w:rsidRPr="007A3600">
        <w:t xml:space="preserve">to </w:t>
      </w:r>
      <w:r w:rsidR="003345B2" w:rsidRPr="007A3600">
        <w:t>ensure lived experience of disability is at the heart of the NDIA</w:t>
      </w:r>
      <w:r w:rsidR="003C3ECB" w:rsidRPr="007A3600">
        <w:t xml:space="preserve"> – </w:t>
      </w:r>
      <w:r w:rsidR="003345B2" w:rsidRPr="007A3600">
        <w:t>something that the launch of our Disability Action Plan this year has further enhanced.</w:t>
      </w:r>
    </w:p>
    <w:p w14:paraId="4B080A07" w14:textId="0CCA1415" w:rsidR="003345B2" w:rsidRPr="007A3600" w:rsidRDefault="003345B2" w:rsidP="00AD3197">
      <w:r w:rsidRPr="007A3600">
        <w:t xml:space="preserve">The Disability Action Plan </w:t>
      </w:r>
      <w:r w:rsidR="003C3ECB" w:rsidRPr="007A3600">
        <w:t>give</w:t>
      </w:r>
      <w:r w:rsidR="008338A3" w:rsidRPr="007A3600">
        <w:t>s</w:t>
      </w:r>
      <w:r w:rsidR="003C3ECB" w:rsidRPr="007A3600">
        <w:t xml:space="preserve"> </w:t>
      </w:r>
      <w:r w:rsidRPr="007A3600">
        <w:t>practical steps to create a more inclusive and accessible workplace for our staff</w:t>
      </w:r>
      <w:r w:rsidR="00AA5A27" w:rsidRPr="007A3600">
        <w:t>, which in turn</w:t>
      </w:r>
      <w:r w:rsidRPr="007A3600">
        <w:t xml:space="preserve"> helps</w:t>
      </w:r>
      <w:r w:rsidR="00AA5A27" w:rsidRPr="007A3600">
        <w:t xml:space="preserve"> to</w:t>
      </w:r>
      <w:r w:rsidRPr="007A3600">
        <w:t xml:space="preserve"> improve the service we provide to participants</w:t>
      </w:r>
      <w:r w:rsidR="004B4518" w:rsidRPr="007A3600">
        <w:t>,</w:t>
      </w:r>
      <w:r w:rsidRPr="007A3600">
        <w:t xml:space="preserve"> building a stronger, more inclusive NDIS.</w:t>
      </w:r>
    </w:p>
    <w:p w14:paraId="0E7578CD" w14:textId="55F521BC" w:rsidR="003345B2" w:rsidRPr="007A3600" w:rsidRDefault="003345B2" w:rsidP="00AD3197">
      <w:r w:rsidRPr="007A3600">
        <w:t xml:space="preserve">We know the NDIS will only succeed if the voices of participants are at its centre. This is why co-design is at the heart of our reform work </w:t>
      </w:r>
      <w:r w:rsidR="00C91014" w:rsidRPr="007A3600">
        <w:t xml:space="preserve">– to </w:t>
      </w:r>
      <w:r w:rsidRPr="007A3600">
        <w:t>ensur</w:t>
      </w:r>
      <w:r w:rsidR="00C91014" w:rsidRPr="007A3600">
        <w:t>e</w:t>
      </w:r>
      <w:r w:rsidRPr="007A3600">
        <w:t xml:space="preserve"> participants and the disability community have a voice in changes made to the Scheme. </w:t>
      </w:r>
    </w:p>
    <w:p w14:paraId="4BA8042C" w14:textId="2A6324E4" w:rsidR="003345B2" w:rsidRPr="007A3600" w:rsidRDefault="003345B2" w:rsidP="00AD3197">
      <w:r w:rsidRPr="007A3600">
        <w:t xml:space="preserve">In October 2024 new laws for the NDIS came into effect </w:t>
      </w:r>
      <w:r w:rsidR="00530E81" w:rsidRPr="007A3600">
        <w:t xml:space="preserve">in the </w:t>
      </w:r>
      <w:r w:rsidRPr="007A3600">
        <w:t>NDIS Amendment (Getting the NDIS Back on Track No.</w:t>
      </w:r>
      <w:r w:rsidR="006B16D7" w:rsidRPr="007A3600">
        <w:t xml:space="preserve"> </w:t>
      </w:r>
      <w:r w:rsidRPr="007A3600">
        <w:t xml:space="preserve">1) </w:t>
      </w:r>
      <w:r w:rsidR="008338A3" w:rsidRPr="007A3600">
        <w:t>Act</w:t>
      </w:r>
      <w:r w:rsidRPr="007A3600">
        <w:t xml:space="preserve">. </w:t>
      </w:r>
      <w:r w:rsidR="008338A3" w:rsidRPr="007A3600">
        <w:t>Since then</w:t>
      </w:r>
      <w:r w:rsidRPr="007A3600">
        <w:t xml:space="preserve">, the NDIA held more than 70 </w:t>
      </w:r>
      <w:r w:rsidRPr="007A3600">
        <w:lastRenderedPageBreak/>
        <w:t>co-design and consultation sessions involving more than 600 participants and members of the disability community and coordinated over 30 targeted consultation sessions with more than 90 external stakeholders to inform legislative rules and implementation.</w:t>
      </w:r>
    </w:p>
    <w:p w14:paraId="07B4F291" w14:textId="0A75FA1F" w:rsidR="003345B2" w:rsidRPr="007A3600" w:rsidRDefault="003345B2" w:rsidP="00AD3197">
      <w:r w:rsidRPr="007A3600">
        <w:t>This work helped to shape recent reform</w:t>
      </w:r>
      <w:r w:rsidRPr="007A3600" w:rsidDel="00530E81">
        <w:t xml:space="preserve"> </w:t>
      </w:r>
      <w:r w:rsidR="00530E81" w:rsidRPr="007A3600">
        <w:t xml:space="preserve">and </w:t>
      </w:r>
      <w:r w:rsidRPr="007A3600">
        <w:t>helps to ensure we build a strong and sustainable NDIS</w:t>
      </w:r>
      <w:r w:rsidR="00B43268" w:rsidRPr="007A3600">
        <w:t>.</w:t>
      </w:r>
    </w:p>
    <w:p w14:paraId="43CA4B57" w14:textId="2694385C" w:rsidR="003345B2" w:rsidRPr="007A3600" w:rsidRDefault="003345B2" w:rsidP="00AD3197">
      <w:r w:rsidRPr="007A3600">
        <w:t xml:space="preserve">Throughout these changes, one thing we continue to recognise is how impactful the NDIS can be. In the most recent NDIS quarterly report, 41% of participants aged 15 and over </w:t>
      </w:r>
      <w:r w:rsidR="000F28D3" w:rsidRPr="007A3600">
        <w:t>said their level of</w:t>
      </w:r>
      <w:r w:rsidRPr="007A3600">
        <w:t xml:space="preserve"> engagement in community and social activities </w:t>
      </w:r>
      <w:r w:rsidR="000F28D3" w:rsidRPr="007A3600">
        <w:t xml:space="preserve">had increased </w:t>
      </w:r>
      <w:r w:rsidRPr="007A3600">
        <w:t xml:space="preserve">after 2 years in the NDIS. Also, 81% of participants aged 15 and over </w:t>
      </w:r>
      <w:r w:rsidR="000F28D3" w:rsidRPr="007A3600">
        <w:t>said they had</w:t>
      </w:r>
      <w:r w:rsidRPr="007A3600">
        <w:t xml:space="preserve"> greater choice and control in their lives</w:t>
      </w:r>
      <w:r w:rsidR="003C67A0" w:rsidRPr="007A3600">
        <w:t xml:space="preserve"> –</w:t>
      </w:r>
      <w:r w:rsidRPr="007A3600">
        <w:t xml:space="preserve"> up from 67% at entry to the NDIS.</w:t>
      </w:r>
    </w:p>
    <w:p w14:paraId="42B917F4" w14:textId="2C49390D" w:rsidR="003345B2" w:rsidRPr="007A3600" w:rsidRDefault="003345B2" w:rsidP="00AD3197">
      <w:r w:rsidRPr="007A3600">
        <w:t>The</w:t>
      </w:r>
      <w:r w:rsidRPr="007A3600" w:rsidDel="003C67A0">
        <w:t xml:space="preserve"> </w:t>
      </w:r>
      <w:r w:rsidR="003C67A0" w:rsidRPr="007A3600">
        <w:t xml:space="preserve">NDIA </w:t>
      </w:r>
      <w:r w:rsidRPr="007A3600">
        <w:t>has been represented by 4 Commonwealth ministers in the reporting year. I would like to acknowledge and thank the Hon Bill Shorten and the Hon Amanda Rishworth MP for their service to the Scheme. In May we welcomed 2 new ministers</w:t>
      </w:r>
      <w:r w:rsidR="003C67A0" w:rsidRPr="007A3600">
        <w:t xml:space="preserve"> –</w:t>
      </w:r>
      <w:r w:rsidRPr="007A3600">
        <w:t xml:space="preserve"> the Hon Mark Butler MP and Senator the Hon Jenny McAllister. I look forward to ongoing collaboration and work with our new ministers as we continue to reform and guide the Scheme for our participants.</w:t>
      </w:r>
    </w:p>
    <w:p w14:paraId="51D8D331" w14:textId="57A9E626" w:rsidR="003345B2" w:rsidRPr="007A3600" w:rsidRDefault="003345B2" w:rsidP="00AD3197">
      <w:r w:rsidRPr="007A3600">
        <w:t xml:space="preserve">Finally, I would like to thank everyone who contributes to make sure our world-leading Scheme supports those who need it. </w:t>
      </w:r>
      <w:r w:rsidR="009E05C6" w:rsidRPr="007A3600">
        <w:t>I t</w:t>
      </w:r>
      <w:r w:rsidRPr="007A3600">
        <w:t>hank</w:t>
      </w:r>
      <w:r w:rsidRPr="007A3600" w:rsidDel="009E05C6">
        <w:t xml:space="preserve"> </w:t>
      </w:r>
      <w:r w:rsidRPr="007A3600">
        <w:t xml:space="preserve">my fellow Board members, Agency staff, providers, advocates, support organisations and the thousands of representative voices for their dedication and work to make our Scheme stronger. </w:t>
      </w:r>
    </w:p>
    <w:p w14:paraId="062AD9B1" w14:textId="59158DB4" w:rsidR="003345B2" w:rsidRPr="007A3600" w:rsidRDefault="00096484" w:rsidP="00AD3197">
      <w:r w:rsidRPr="007A3600">
        <w:t>And t</w:t>
      </w:r>
      <w:r w:rsidR="003345B2" w:rsidRPr="007A3600">
        <w:t>o our NDIS participants</w:t>
      </w:r>
      <w:r w:rsidR="008D4AF6" w:rsidRPr="007A3600">
        <w:t xml:space="preserve"> –</w:t>
      </w:r>
      <w:r w:rsidR="00734708" w:rsidRPr="007A3600" w:rsidDel="008D6320">
        <w:t xml:space="preserve"> </w:t>
      </w:r>
      <w:r w:rsidR="003345B2" w:rsidRPr="007A3600">
        <w:t>your support, passion, insights and commitment help us to create a better NDIS every day.</w:t>
      </w:r>
    </w:p>
    <w:p w14:paraId="34EE1B71" w14:textId="77777777" w:rsidR="003345B2" w:rsidRPr="007A3600" w:rsidRDefault="003345B2" w:rsidP="00AD3197">
      <w:r w:rsidRPr="007A3600">
        <w:t>I look forward to our continued collaborative efforts improving the outcomes for people with disability across Australia.</w:t>
      </w:r>
    </w:p>
    <w:p w14:paraId="2D9F841C" w14:textId="16101629" w:rsidR="003345B2" w:rsidRPr="007A3600" w:rsidRDefault="003345B2" w:rsidP="00AD3197">
      <w:r w:rsidRPr="007A3600">
        <w:t>Kurt Fearnley AO</w:t>
      </w:r>
    </w:p>
    <w:p w14:paraId="538EAA12" w14:textId="5F79A5E7" w:rsidR="00841B48" w:rsidRPr="007A3600" w:rsidRDefault="003345B2" w:rsidP="00AD3197">
      <w:r w:rsidRPr="007A3600">
        <w:t>NDIA Board Chair</w:t>
      </w:r>
    </w:p>
    <w:p w14:paraId="3336AFA1" w14:textId="765084E2" w:rsidR="00841B48" w:rsidRPr="007A3600" w:rsidRDefault="008D2535" w:rsidP="00AD3197">
      <w:pPr>
        <w:pStyle w:val="Heading3"/>
      </w:pPr>
      <w:bookmarkStart w:id="17" w:name="_Toc207017673"/>
      <w:bookmarkStart w:id="18" w:name="_Toc209695833"/>
      <w:r w:rsidRPr="007A3600">
        <w:lastRenderedPageBreak/>
        <w:t>1.</w:t>
      </w:r>
      <w:r w:rsidR="006640AB" w:rsidRPr="007A3600">
        <w:t>2</w:t>
      </w:r>
      <w:r w:rsidRPr="007A3600">
        <w:tab/>
        <w:t xml:space="preserve">A message from the </w:t>
      </w:r>
      <w:r w:rsidR="003C52B2" w:rsidRPr="007A3600">
        <w:t xml:space="preserve">acting </w:t>
      </w:r>
      <w:r w:rsidRPr="007A3600">
        <w:t>NDIA Chief Executive Officer</w:t>
      </w:r>
      <w:bookmarkEnd w:id="17"/>
      <w:bookmarkEnd w:id="18"/>
    </w:p>
    <w:p w14:paraId="718EE921" w14:textId="222A0759" w:rsidR="00930632" w:rsidRPr="007A3600" w:rsidRDefault="00930632" w:rsidP="00AD3197">
      <w:r w:rsidRPr="007A3600">
        <w:rPr>
          <w:noProof/>
        </w:rPr>
        <w:drawing>
          <wp:inline distT="0" distB="0" distL="0" distR="0" wp14:anchorId="41689841" wp14:editId="4A2B264F">
            <wp:extent cx="1324800" cy="1987200"/>
            <wp:effectExtent l="0" t="0" r="8890" b="0"/>
            <wp:docPr id="1746188042" name="Picture 2" descr="Mr Scott McNaugh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188042" name="Picture 2" descr="Mr Scott McNaughton"/>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324800" cy="1987200"/>
                    </a:xfrm>
                    <a:prstGeom prst="rect">
                      <a:avLst/>
                    </a:prstGeom>
                  </pic:spPr>
                </pic:pic>
              </a:graphicData>
            </a:graphic>
          </wp:inline>
        </w:drawing>
      </w:r>
    </w:p>
    <w:p w14:paraId="38039E8C" w14:textId="48A4598F" w:rsidR="00270E68" w:rsidRPr="007A3600" w:rsidRDefault="00856E39" w:rsidP="00AD3197">
      <w:r w:rsidRPr="007A3600">
        <w:t>It’s</w:t>
      </w:r>
      <w:r w:rsidR="00F237F4" w:rsidRPr="007A3600">
        <w:t xml:space="preserve"> a privilege </w:t>
      </w:r>
      <w:r w:rsidR="00270E68" w:rsidRPr="007A3600">
        <w:t xml:space="preserve">to </w:t>
      </w:r>
      <w:r w:rsidR="00A062E0" w:rsidRPr="007A3600">
        <w:t xml:space="preserve">be part of the NDIA’s senior leadership team to </w:t>
      </w:r>
      <w:r w:rsidR="00270E68" w:rsidRPr="007A3600">
        <w:t>deliver the NDIS, which provides more than 739,000 Australians with disability-related supports, enabling them to achieve positive outcomes and gain autonomy in their lives.</w:t>
      </w:r>
    </w:p>
    <w:p w14:paraId="7DE63E71" w14:textId="5529890F" w:rsidR="00270E68" w:rsidRPr="007A3600" w:rsidRDefault="00270E68" w:rsidP="00AD3197">
      <w:r w:rsidRPr="007A3600">
        <w:t xml:space="preserve">Throughout 12 months of </w:t>
      </w:r>
      <w:r w:rsidR="00A062E0" w:rsidRPr="007A3600">
        <w:t xml:space="preserve">legislative </w:t>
      </w:r>
      <w:r w:rsidRPr="007A3600">
        <w:t>reform and change, the NDIA has continued to focus on</w:t>
      </w:r>
      <w:r w:rsidR="00A062E0" w:rsidRPr="007A3600">
        <w:t xml:space="preserve"> improving participant outcomes and</w:t>
      </w:r>
      <w:r w:rsidRPr="007A3600">
        <w:t xml:space="preserve"> the sustainability of the NDIS.</w:t>
      </w:r>
    </w:p>
    <w:p w14:paraId="04F6703D" w14:textId="357BED80" w:rsidR="00270E68" w:rsidRPr="007A3600" w:rsidRDefault="00270E68" w:rsidP="00AD3197">
      <w:r w:rsidRPr="007A3600">
        <w:t xml:space="preserve">These changes are making the NDIS stronger, </w:t>
      </w:r>
      <w:r w:rsidR="00F6646C" w:rsidRPr="007A3600">
        <w:t xml:space="preserve">as </w:t>
      </w:r>
      <w:r w:rsidRPr="007A3600">
        <w:t xml:space="preserve">reflected in </w:t>
      </w:r>
      <w:r w:rsidR="00530E81" w:rsidRPr="007A3600">
        <w:t xml:space="preserve">the </w:t>
      </w:r>
      <w:r w:rsidR="00F6646C" w:rsidRPr="007A3600">
        <w:t>fact that</w:t>
      </w:r>
      <w:r w:rsidR="00530E81" w:rsidRPr="007A3600">
        <w:t xml:space="preserve"> </w:t>
      </w:r>
      <w:r w:rsidRPr="007A3600">
        <w:t>growth in NDIS costs</w:t>
      </w:r>
      <w:r w:rsidR="00707970" w:rsidRPr="007A3600">
        <w:t xml:space="preserve"> has continued to stabilise</w:t>
      </w:r>
      <w:r w:rsidRPr="007A3600">
        <w:t>. The NDIS remains on track to meet National Cabinet’s 8% growth target, with the year-on-year growth rate down to 10.8%.</w:t>
      </w:r>
    </w:p>
    <w:p w14:paraId="7D3C78F2" w14:textId="5B7D59A6" w:rsidR="00270E68" w:rsidRPr="007A3600" w:rsidRDefault="00270E68" w:rsidP="00AD3197">
      <w:r w:rsidRPr="007A3600">
        <w:t xml:space="preserve">Implementing </w:t>
      </w:r>
      <w:r w:rsidR="00484AE6" w:rsidRPr="007A3600">
        <w:t xml:space="preserve">legislative </w:t>
      </w:r>
      <w:r w:rsidRPr="007A3600">
        <w:t>reform has been a significant task for us</w:t>
      </w:r>
      <w:r w:rsidR="00B951A1" w:rsidRPr="007A3600">
        <w:t xml:space="preserve"> –</w:t>
      </w:r>
      <w:r w:rsidRPr="007A3600">
        <w:t xml:space="preserve"> one guided by the voices of participants.</w:t>
      </w:r>
    </w:p>
    <w:p w14:paraId="13F8E33D" w14:textId="7F86366D" w:rsidR="00270E68" w:rsidRPr="007A3600" w:rsidRDefault="00270E68" w:rsidP="00AD3197">
      <w:r w:rsidRPr="007A3600">
        <w:t>Already we have seen some of these changes come into effect</w:t>
      </w:r>
      <w:r w:rsidR="00B951A1" w:rsidRPr="007A3600">
        <w:t>. For example, we have a</w:t>
      </w:r>
      <w:r w:rsidRPr="007A3600">
        <w:t xml:space="preserve"> new definition of </w:t>
      </w:r>
      <w:r w:rsidR="00B951A1" w:rsidRPr="007A3600">
        <w:t>‘</w:t>
      </w:r>
      <w:r w:rsidRPr="007A3600">
        <w:t>NDIS supports</w:t>
      </w:r>
      <w:r w:rsidR="00B951A1" w:rsidRPr="007A3600">
        <w:t>’</w:t>
      </w:r>
      <w:r w:rsidRPr="007A3600">
        <w:t>, and supports lists and funding periods</w:t>
      </w:r>
      <w:r w:rsidR="005A5041" w:rsidRPr="007A3600">
        <w:t xml:space="preserve"> have been introduced</w:t>
      </w:r>
      <w:r w:rsidRPr="007A3600">
        <w:t>. These changes are designed to give participants clarity on what they can and can</w:t>
      </w:r>
      <w:r w:rsidR="005A5041" w:rsidRPr="007A3600">
        <w:t>no</w:t>
      </w:r>
      <w:r w:rsidRPr="007A3600">
        <w:t xml:space="preserve">t spend their NDIS funds on and help </w:t>
      </w:r>
      <w:r w:rsidR="005A5041" w:rsidRPr="007A3600">
        <w:t>them</w:t>
      </w:r>
      <w:r w:rsidRPr="007A3600">
        <w:t xml:space="preserve"> manage their budgets.</w:t>
      </w:r>
    </w:p>
    <w:p w14:paraId="4E32506F" w14:textId="72E52CE3" w:rsidR="00270E68" w:rsidRPr="007A3600" w:rsidRDefault="00270E68" w:rsidP="00AD3197">
      <w:r w:rsidRPr="007A3600">
        <w:t>We are continuing to</w:t>
      </w:r>
      <w:r w:rsidRPr="007A3600" w:rsidDel="0044704B">
        <w:t xml:space="preserve"> </w:t>
      </w:r>
      <w:r w:rsidRPr="007A3600">
        <w:t xml:space="preserve">improve participant experience in line with legislation. </w:t>
      </w:r>
      <w:r w:rsidR="003D683E" w:rsidRPr="007A3600">
        <w:t>For example, we are</w:t>
      </w:r>
      <w:r w:rsidRPr="007A3600">
        <w:t xml:space="preserve"> work</w:t>
      </w:r>
      <w:r w:rsidR="003D683E" w:rsidRPr="007A3600">
        <w:t>ing</w:t>
      </w:r>
      <w:r w:rsidRPr="007A3600">
        <w:t xml:space="preserve"> on our access and planning pathways to develop a fairer and more equal experience for all participants.</w:t>
      </w:r>
      <w:r w:rsidR="00E51C7F" w:rsidRPr="007A3600">
        <w:t xml:space="preserve"> We also continue to invest more resources in our frontline teams and our specialist pathways.</w:t>
      </w:r>
    </w:p>
    <w:p w14:paraId="7B4491C8" w14:textId="42768B93" w:rsidR="00270E68" w:rsidRPr="007A3600" w:rsidRDefault="00270E68" w:rsidP="00AD3197">
      <w:r w:rsidRPr="007A3600">
        <w:t xml:space="preserve">Our commitment to improving participant experience </w:t>
      </w:r>
      <w:r w:rsidR="003D683E" w:rsidRPr="007A3600">
        <w:t xml:space="preserve">goes </w:t>
      </w:r>
      <w:r w:rsidRPr="007A3600">
        <w:t xml:space="preserve">beyond the implementation of reform. We have reduced the time taken to close complaints, with 90% closed within 21 days in the last quarter of 2024–25 compared with 54% in quarter </w:t>
      </w:r>
      <w:r w:rsidR="00D873CF" w:rsidRPr="007A3600">
        <w:t>1</w:t>
      </w:r>
      <w:r w:rsidRPr="007A3600">
        <w:t>.</w:t>
      </w:r>
    </w:p>
    <w:p w14:paraId="10998F3C" w14:textId="35EA042B" w:rsidR="00270E68" w:rsidRPr="007A3600" w:rsidRDefault="00270E68" w:rsidP="00AD3197">
      <w:r w:rsidRPr="007A3600">
        <w:lastRenderedPageBreak/>
        <w:t>The</w:t>
      </w:r>
      <w:r w:rsidRPr="007A3600" w:rsidDel="00D873CF">
        <w:t xml:space="preserve"> </w:t>
      </w:r>
      <w:r w:rsidRPr="007A3600">
        <w:t>National Contact Centre</w:t>
      </w:r>
      <w:r w:rsidR="00D873CF" w:rsidRPr="007A3600">
        <w:t>’s performance</w:t>
      </w:r>
      <w:r w:rsidRPr="007A3600">
        <w:t xml:space="preserve"> also continued to improve, even while demand increased across all contact channels. The average speed of answer for calls improved this year, with customer satisfaction at 93%.</w:t>
      </w:r>
    </w:p>
    <w:p w14:paraId="6E18A1B9" w14:textId="77777777" w:rsidR="00270E68" w:rsidRPr="007A3600" w:rsidRDefault="00270E68" w:rsidP="00AD3197">
      <w:r w:rsidRPr="007A3600">
        <w:t>To ensure we improve the experience of all NDIS participants, including First Nations participants, in January we launched the NDIS First Nations Strategy 2025–30. The strategy is part of our commitment to making the NDIS more equitable and culturally safe for First Nations people with disability.</w:t>
      </w:r>
    </w:p>
    <w:p w14:paraId="42012780" w14:textId="7735B31D" w:rsidR="00270E68" w:rsidRPr="007A3600" w:rsidRDefault="00270E68" w:rsidP="00AD3197">
      <w:r w:rsidRPr="007A3600">
        <w:t xml:space="preserve">We are also strengthening support for participants in remote and very remote Australia, </w:t>
      </w:r>
      <w:r w:rsidR="005C3770" w:rsidRPr="007A3600">
        <w:t xml:space="preserve">using </w:t>
      </w:r>
      <w:r w:rsidRPr="007A3600">
        <w:t xml:space="preserve">a combination of place-based services and geographically tied remote servicing teams. These teams support </w:t>
      </w:r>
      <w:r w:rsidR="005C3770" w:rsidRPr="007A3600">
        <w:t xml:space="preserve">people </w:t>
      </w:r>
      <w:r w:rsidRPr="007A3600">
        <w:t>with disability and their communities by ensuring participants have access to supports regardless of where they live.</w:t>
      </w:r>
      <w:r w:rsidR="006F7586" w:rsidRPr="007A3600">
        <w:t xml:space="preserve"> We are also expanding the role of our Remote Community Connectors who provide a valuable connection between communities and the NDIS.</w:t>
      </w:r>
    </w:p>
    <w:p w14:paraId="4155258D" w14:textId="73E20109" w:rsidR="00270E68" w:rsidRPr="007A3600" w:rsidRDefault="00270E68" w:rsidP="00AD3197">
      <w:r w:rsidRPr="007A3600">
        <w:t>Our dedicated staff</w:t>
      </w:r>
      <w:r w:rsidR="006F7586" w:rsidRPr="007A3600">
        <w:t>,</w:t>
      </w:r>
      <w:r w:rsidRPr="007A3600">
        <w:t xml:space="preserve"> who deliver these supports and services to participants</w:t>
      </w:r>
      <w:r w:rsidR="00A81280" w:rsidRPr="007A3600">
        <w:t>,</w:t>
      </w:r>
      <w:r w:rsidRPr="007A3600">
        <w:t xml:space="preserve"> are the heart of the NDIA. </w:t>
      </w:r>
      <w:r w:rsidR="005C3770" w:rsidRPr="007A3600">
        <w:t>For that reason, NDIA leadership prioritises s</w:t>
      </w:r>
      <w:r w:rsidRPr="007A3600">
        <w:t xml:space="preserve">upport </w:t>
      </w:r>
      <w:r w:rsidR="005C3770" w:rsidRPr="007A3600">
        <w:t xml:space="preserve">for </w:t>
      </w:r>
      <w:r w:rsidRPr="007A3600">
        <w:t>the wellbeing of our staff and ensuring all staff have access to support systems, wellness checks and mental health first aid.</w:t>
      </w:r>
    </w:p>
    <w:p w14:paraId="7A8E7A12" w14:textId="565F65E1" w:rsidR="00270E68" w:rsidRPr="007A3600" w:rsidRDefault="00270E68" w:rsidP="00AD3197">
      <w:r w:rsidRPr="007A3600">
        <w:t>Following the release of the Review of Security and Safety at the NDIA by Mr Graham Ashton AM APM, and as part of our A</w:t>
      </w:r>
      <w:r w:rsidR="00E00861" w:rsidRPr="007A3600">
        <w:t xml:space="preserve">ustralian </w:t>
      </w:r>
      <w:r w:rsidRPr="007A3600">
        <w:t>P</w:t>
      </w:r>
      <w:r w:rsidR="00E00861" w:rsidRPr="007A3600">
        <w:t xml:space="preserve">ublic </w:t>
      </w:r>
      <w:r w:rsidRPr="007A3600">
        <w:t>S</w:t>
      </w:r>
      <w:r w:rsidR="00E00861" w:rsidRPr="007A3600">
        <w:t>ervice</w:t>
      </w:r>
      <w:r w:rsidRPr="007A3600">
        <w:t xml:space="preserve"> Employee Census Action Plan, work is now underway on a 3-year Safety, Wellbeing and Security Strategy.</w:t>
      </w:r>
    </w:p>
    <w:p w14:paraId="46EDFB4D" w14:textId="30126ABB" w:rsidR="00270E68" w:rsidRPr="007A3600" w:rsidRDefault="00270E68" w:rsidP="00AD3197">
      <w:r w:rsidRPr="007A3600">
        <w:t>I would like to acknowledge the efforts and contributions of the ministers for the N</w:t>
      </w:r>
      <w:r w:rsidR="00B71F7A" w:rsidRPr="007A3600">
        <w:t xml:space="preserve">ational </w:t>
      </w:r>
      <w:r w:rsidRPr="007A3600">
        <w:t>D</w:t>
      </w:r>
      <w:r w:rsidR="00B71F7A" w:rsidRPr="007A3600">
        <w:t xml:space="preserve">isability </w:t>
      </w:r>
      <w:r w:rsidRPr="007A3600">
        <w:t>I</w:t>
      </w:r>
      <w:r w:rsidR="00B71F7A" w:rsidRPr="007A3600">
        <w:t xml:space="preserve">nsurance </w:t>
      </w:r>
      <w:r w:rsidRPr="007A3600">
        <w:t>S</w:t>
      </w:r>
      <w:r w:rsidR="00B71F7A" w:rsidRPr="007A3600">
        <w:t>cheme</w:t>
      </w:r>
      <w:r w:rsidRPr="007A3600">
        <w:t xml:space="preserve">, the NDIA Board and members of the Independent Advisory </w:t>
      </w:r>
      <w:r w:rsidR="003D5A7F">
        <w:t>Council</w:t>
      </w:r>
      <w:r w:rsidR="006F7586" w:rsidRPr="007A3600">
        <w:t>, and our CEO, Ms Rebecca Falkingham</w:t>
      </w:r>
      <w:r w:rsidRPr="007A3600">
        <w:t>. Their wisdom, commitment and support have been integral to the improvement of the NDIS and the betterment of participant outcomes.</w:t>
      </w:r>
    </w:p>
    <w:p w14:paraId="32CE8F11" w14:textId="2C09EBD0" w:rsidR="00270E68" w:rsidRPr="007A3600" w:rsidRDefault="00270E68" w:rsidP="00AD3197">
      <w:r w:rsidRPr="007A3600">
        <w:t>I would also like to acknowledge NDIA staff</w:t>
      </w:r>
      <w:r w:rsidR="00A9358E" w:rsidRPr="007A3600">
        <w:t xml:space="preserve"> and our partners</w:t>
      </w:r>
      <w:r w:rsidRPr="007A3600">
        <w:t>, whose passion and dedication I witness every day. They are tireless in their commitment to delivering the NDIS and ensuring participants are supported. I extend my gratitude to them for their continued dedication.</w:t>
      </w:r>
    </w:p>
    <w:p w14:paraId="39534DB4" w14:textId="6F3F2A44" w:rsidR="00270E68" w:rsidRPr="007A3600" w:rsidRDefault="00270E68" w:rsidP="00AD3197">
      <w:r w:rsidRPr="007A3600">
        <w:t xml:space="preserve">As the NDIS and NDIA continue to undergo change and reform, we are committed to </w:t>
      </w:r>
      <w:r w:rsidR="00E00861" w:rsidRPr="007A3600">
        <w:t xml:space="preserve">making sure </w:t>
      </w:r>
      <w:r w:rsidRPr="007A3600">
        <w:t xml:space="preserve">participants </w:t>
      </w:r>
      <w:r w:rsidR="00E00861" w:rsidRPr="007A3600">
        <w:t>are</w:t>
      </w:r>
      <w:r w:rsidRPr="007A3600">
        <w:t xml:space="preserve"> an integral part of that change. </w:t>
      </w:r>
      <w:r w:rsidR="00A9358E" w:rsidRPr="007A3600">
        <w:t xml:space="preserve">The senior leadership team and </w:t>
      </w:r>
      <w:r w:rsidRPr="007A3600">
        <w:t>I look forward to working with people with disability and the disability community to continue making the NDIS stronger together.</w:t>
      </w:r>
    </w:p>
    <w:p w14:paraId="4BD8B3A7" w14:textId="5C23710D" w:rsidR="00270E68" w:rsidRPr="007A3600" w:rsidRDefault="00270E68" w:rsidP="00AD3197">
      <w:r w:rsidRPr="007A3600">
        <w:t>Scott McNaughton</w:t>
      </w:r>
    </w:p>
    <w:p w14:paraId="6568C483" w14:textId="6B7EDCF1" w:rsidR="00B17559" w:rsidRPr="007A3600" w:rsidRDefault="00270E68" w:rsidP="00AD3197">
      <w:r w:rsidRPr="007A3600">
        <w:t>Acting Chief Executive Officer</w:t>
      </w:r>
    </w:p>
    <w:p w14:paraId="71BE82BD" w14:textId="20B7B76C" w:rsidR="000B12D0" w:rsidRPr="007A3600" w:rsidRDefault="006640AB" w:rsidP="00AD3197">
      <w:pPr>
        <w:pStyle w:val="Heading3"/>
      </w:pPr>
      <w:bookmarkStart w:id="19" w:name="_2.11.3_The_National"/>
      <w:bookmarkStart w:id="20" w:name="_1.3_The_National"/>
      <w:bookmarkStart w:id="21" w:name="_Toc207017675"/>
      <w:bookmarkStart w:id="22" w:name="_Toc209695834"/>
      <w:bookmarkEnd w:id="16"/>
      <w:bookmarkEnd w:id="19"/>
      <w:bookmarkEnd w:id="20"/>
      <w:r w:rsidRPr="007A3600">
        <w:lastRenderedPageBreak/>
        <w:t>1.3</w:t>
      </w:r>
      <w:r w:rsidR="00CE2125" w:rsidRPr="007A3600">
        <w:tab/>
      </w:r>
      <w:r w:rsidR="000B12D0" w:rsidRPr="007A3600">
        <w:t>The National Disability Insurance Agency</w:t>
      </w:r>
      <w:bookmarkEnd w:id="21"/>
      <w:bookmarkEnd w:id="22"/>
    </w:p>
    <w:p w14:paraId="6D77D83A" w14:textId="7043BD35" w:rsidR="00017501" w:rsidRPr="007A3600" w:rsidRDefault="00AD5D86" w:rsidP="00AD3197">
      <w:pPr>
        <w:pStyle w:val="Heading4"/>
      </w:pPr>
      <w:bookmarkStart w:id="23" w:name="_Toc207017676"/>
      <w:r w:rsidRPr="007A3600">
        <w:t>Our purpose</w:t>
      </w:r>
      <w:bookmarkEnd w:id="23"/>
    </w:p>
    <w:p w14:paraId="6D715558" w14:textId="66200219" w:rsidR="00AD5D86" w:rsidRPr="007A3600" w:rsidRDefault="00C350BD" w:rsidP="00AD3197">
      <w:r w:rsidRPr="007A3600">
        <w:t>The NDIA’s purpose is described through our outcome statement, functions and programs.</w:t>
      </w:r>
    </w:p>
    <w:p w14:paraId="7FC0B435" w14:textId="71B99F24" w:rsidR="004E23C7" w:rsidRPr="007A3600" w:rsidRDefault="004E23C7" w:rsidP="00AD3197">
      <w:pPr>
        <w:pStyle w:val="Heading5"/>
      </w:pPr>
      <w:r w:rsidRPr="007A3600">
        <w:t>Agency outcome statement</w:t>
      </w:r>
    </w:p>
    <w:p w14:paraId="1ECE4EDD" w14:textId="7A329AF4" w:rsidR="004E23C7" w:rsidRPr="007A3600" w:rsidRDefault="00C4796B" w:rsidP="00AD3197">
      <w:r w:rsidRPr="007A3600">
        <w:t>Our outcome statement is to i</w:t>
      </w:r>
      <w:r w:rsidR="004E23C7" w:rsidRPr="007A3600">
        <w:t>mprove the independence, and the social and economic participation of eligible people with disability through the management of a financially sustainable National Disability Insurance Scheme with proper, efficient and effective use of resources.</w:t>
      </w:r>
    </w:p>
    <w:p w14:paraId="6BB446A1" w14:textId="3107ABCA" w:rsidR="004E23C7" w:rsidRPr="007A3600" w:rsidRDefault="004E23C7" w:rsidP="00AD3197">
      <w:r w:rsidRPr="007A3600">
        <w:t>The NDIS comprises:</w:t>
      </w:r>
    </w:p>
    <w:p w14:paraId="7E06803A" w14:textId="3241ACB0" w:rsidR="004E23C7" w:rsidRPr="007A3600" w:rsidRDefault="00F601C4" w:rsidP="00AD3197">
      <w:pPr>
        <w:pStyle w:val="ListParagraph"/>
        <w:numPr>
          <w:ilvl w:val="0"/>
          <w:numId w:val="11"/>
        </w:numPr>
        <w:ind w:left="714" w:hanging="357"/>
        <w:rPr>
          <w:rFonts w:eastAsia="Arial" w:cs="Arial"/>
          <w:color w:val="000000" w:themeColor="accent6"/>
        </w:rPr>
      </w:pPr>
      <w:r w:rsidRPr="007A3600">
        <w:rPr>
          <w:rFonts w:eastAsia="Arial" w:cs="Arial"/>
          <w:color w:val="000000" w:themeColor="accent6"/>
        </w:rPr>
        <w:t>f</w:t>
      </w:r>
      <w:r w:rsidR="004E23C7" w:rsidRPr="007A3600">
        <w:rPr>
          <w:rFonts w:eastAsia="Arial" w:cs="Arial"/>
          <w:color w:val="000000" w:themeColor="accent6"/>
        </w:rPr>
        <w:t>unding for NDIS participant plans for reasonable and necessary supports</w:t>
      </w:r>
    </w:p>
    <w:p w14:paraId="5A722715" w14:textId="1C8AAE5C" w:rsidR="004E23C7" w:rsidRPr="007A3600" w:rsidRDefault="00F601C4" w:rsidP="00AD3197">
      <w:pPr>
        <w:pStyle w:val="ListParagraph"/>
        <w:numPr>
          <w:ilvl w:val="0"/>
          <w:numId w:val="11"/>
        </w:numPr>
        <w:ind w:left="714" w:hanging="357"/>
        <w:rPr>
          <w:rFonts w:eastAsia="Arial" w:cs="Arial"/>
          <w:color w:val="000000" w:themeColor="accent6"/>
        </w:rPr>
      </w:pPr>
      <w:r w:rsidRPr="007A3600">
        <w:rPr>
          <w:rFonts w:eastAsia="Arial" w:cs="Arial"/>
          <w:color w:val="000000" w:themeColor="accent6"/>
        </w:rPr>
        <w:t>t</w:t>
      </w:r>
      <w:r w:rsidR="004E23C7" w:rsidRPr="007A3600">
        <w:rPr>
          <w:rFonts w:eastAsia="Arial" w:cs="Arial"/>
          <w:color w:val="000000" w:themeColor="accent6"/>
        </w:rPr>
        <w:t>he provision of general supports to participants and people with disability</w:t>
      </w:r>
    </w:p>
    <w:p w14:paraId="68522DC3" w14:textId="4952D553" w:rsidR="004E23C7" w:rsidRPr="007A3600" w:rsidRDefault="00F601C4" w:rsidP="00AD3197">
      <w:pPr>
        <w:pStyle w:val="ListParagraph"/>
        <w:numPr>
          <w:ilvl w:val="0"/>
          <w:numId w:val="11"/>
        </w:numPr>
        <w:ind w:left="714" w:hanging="357"/>
        <w:rPr>
          <w:rFonts w:eastAsia="Arial" w:cs="Arial"/>
          <w:color w:val="000000" w:themeColor="accent6"/>
        </w:rPr>
      </w:pPr>
      <w:r w:rsidRPr="007A3600">
        <w:rPr>
          <w:rFonts w:eastAsia="Arial" w:cs="Arial"/>
          <w:color w:val="000000" w:themeColor="accent6"/>
        </w:rPr>
        <w:t>f</w:t>
      </w:r>
      <w:r w:rsidR="004E23C7" w:rsidRPr="007A3600">
        <w:rPr>
          <w:rFonts w:eastAsia="Arial" w:cs="Arial"/>
          <w:color w:val="000000" w:themeColor="accent6"/>
        </w:rPr>
        <w:t>unding for services that assist people with disability to participate in economic and social life.</w:t>
      </w:r>
    </w:p>
    <w:p w14:paraId="33B28994" w14:textId="791B1EE9" w:rsidR="004E23C7" w:rsidRPr="007A3600" w:rsidRDefault="004E23C7" w:rsidP="00AD3197">
      <w:pPr>
        <w:pStyle w:val="Heading5"/>
      </w:pPr>
      <w:bookmarkStart w:id="24" w:name="_NDIA_functions"/>
      <w:bookmarkEnd w:id="24"/>
      <w:r w:rsidRPr="007A3600">
        <w:t>NDIA functions</w:t>
      </w:r>
    </w:p>
    <w:p w14:paraId="6354B048" w14:textId="76C867E9" w:rsidR="004E23C7" w:rsidRPr="007A3600" w:rsidRDefault="00AA7FB0" w:rsidP="00AD3197">
      <w:r w:rsidRPr="007A3600">
        <w:t>New NDIS laws came into effect on 3 October 2024</w:t>
      </w:r>
      <w:r w:rsidR="00684412" w:rsidRPr="007A3600">
        <w:t xml:space="preserve"> – see s</w:t>
      </w:r>
      <w:r w:rsidR="00163B6B" w:rsidRPr="007A3600">
        <w:t>ection 1.4, ‘</w:t>
      </w:r>
      <w:r w:rsidRPr="007A3600">
        <w:t>Enabling legislation</w:t>
      </w:r>
      <w:r w:rsidR="00163B6B" w:rsidRPr="007A3600">
        <w:t>’, in this report for more information about them</w:t>
      </w:r>
      <w:r w:rsidRPr="007A3600">
        <w:t>.</w:t>
      </w:r>
      <w:r w:rsidR="004E23C7" w:rsidRPr="007A3600">
        <w:t xml:space="preserve"> </w:t>
      </w:r>
      <w:r w:rsidR="00A30CF5" w:rsidRPr="007A3600">
        <w:t xml:space="preserve">The Corporate Plan 2025–26 </w:t>
      </w:r>
      <w:r w:rsidR="00163B6B" w:rsidRPr="007A3600">
        <w:t xml:space="preserve">describes </w:t>
      </w:r>
      <w:r w:rsidR="00A30CF5" w:rsidRPr="007A3600">
        <w:t xml:space="preserve">the </w:t>
      </w:r>
      <w:r w:rsidR="0079616B" w:rsidRPr="007A3600">
        <w:t>effect</w:t>
      </w:r>
      <w:r w:rsidR="00A30CF5" w:rsidRPr="007A3600">
        <w:t xml:space="preserve"> of </w:t>
      </w:r>
      <w:r w:rsidR="00AA71E7" w:rsidRPr="007A3600">
        <w:t>the</w:t>
      </w:r>
      <w:r w:rsidR="00A30CF5" w:rsidRPr="007A3600" w:rsidDel="0079616B">
        <w:t xml:space="preserve"> </w:t>
      </w:r>
      <w:r w:rsidR="00A30CF5" w:rsidRPr="007A3600">
        <w:t xml:space="preserve">changes, including the NDIA’s expanded role to </w:t>
      </w:r>
      <w:r w:rsidR="00B475EA" w:rsidRPr="007A3600">
        <w:t>better support people with permanent and significant disability, within a broader ecosystem of supports</w:t>
      </w:r>
      <w:r w:rsidR="00D35524" w:rsidRPr="007A3600">
        <w:t>.</w:t>
      </w:r>
    </w:p>
    <w:p w14:paraId="42FB98DE" w14:textId="026F77C2" w:rsidR="004E23C7" w:rsidRPr="007A3600" w:rsidRDefault="007B4C7D" w:rsidP="00AD3197">
      <w:r w:rsidRPr="007A3600">
        <w:t xml:space="preserve">Figure </w:t>
      </w:r>
      <w:r w:rsidR="008C0DF8" w:rsidRPr="007A3600">
        <w:t>1</w:t>
      </w:r>
      <w:r w:rsidRPr="007A3600">
        <w:t xml:space="preserve"> </w:t>
      </w:r>
      <w:r w:rsidR="00FD5841" w:rsidRPr="007A3600">
        <w:t xml:space="preserve">summarises </w:t>
      </w:r>
      <w:r w:rsidR="004E23C7" w:rsidRPr="007A3600">
        <w:t xml:space="preserve">the NDIA’s functions </w:t>
      </w:r>
      <w:r w:rsidR="00FE7683" w:rsidRPr="007A3600">
        <w:t xml:space="preserve">in </w:t>
      </w:r>
      <w:r w:rsidR="004E23C7" w:rsidRPr="007A3600">
        <w:t>2024–25</w:t>
      </w:r>
      <w:r w:rsidR="00FD5841" w:rsidRPr="007A3600">
        <w:t xml:space="preserve">. </w:t>
      </w:r>
      <w:r w:rsidR="00A147BB" w:rsidRPr="007A3600">
        <w:t xml:space="preserve">These functions correspond to the legislation that was in place </w:t>
      </w:r>
      <w:r w:rsidR="0079616B" w:rsidRPr="007A3600">
        <w:t xml:space="preserve">before the new laws </w:t>
      </w:r>
      <w:r w:rsidR="00E90CA7" w:rsidRPr="007A3600">
        <w:t>started</w:t>
      </w:r>
      <w:r w:rsidR="00A147BB" w:rsidRPr="007A3600">
        <w:t>.</w:t>
      </w:r>
    </w:p>
    <w:p w14:paraId="492446E7" w14:textId="341AEFB1" w:rsidR="004E23C7" w:rsidRPr="007A3600" w:rsidRDefault="004E23C7" w:rsidP="00AD3197">
      <w:pPr>
        <w:pStyle w:val="Caption"/>
        <w:rPr>
          <w:rFonts w:eastAsia="Arial" w:cs="Arial"/>
          <w:color w:val="6B2876" w:themeColor="accent5"/>
        </w:rPr>
      </w:pPr>
      <w:r w:rsidRPr="007A3600">
        <w:rPr>
          <w:rFonts w:eastAsia="Arial" w:cs="Arial"/>
          <w:color w:val="6B2876" w:themeColor="accent5"/>
        </w:rPr>
        <w:lastRenderedPageBreak/>
        <w:t xml:space="preserve">Figure </w:t>
      </w:r>
      <w:r w:rsidR="008C0DF8" w:rsidRPr="007A3600">
        <w:rPr>
          <w:rFonts w:eastAsia="Arial" w:cs="Arial"/>
          <w:color w:val="6B2876" w:themeColor="accent5"/>
        </w:rPr>
        <w:t>1</w:t>
      </w:r>
      <w:r w:rsidR="00FD5841" w:rsidRPr="007A3600">
        <w:rPr>
          <w:rFonts w:eastAsia="Arial" w:cs="Arial"/>
          <w:color w:val="6B2876" w:themeColor="accent5"/>
        </w:rPr>
        <w:t>:</w:t>
      </w:r>
      <w:r w:rsidRPr="007A3600">
        <w:rPr>
          <w:rFonts w:eastAsia="Arial" w:cs="Arial"/>
          <w:color w:val="6B2876" w:themeColor="accent5"/>
        </w:rPr>
        <w:t xml:space="preserve"> NDIA functions</w:t>
      </w:r>
      <w:r w:rsidR="00FD5841" w:rsidRPr="007A3600">
        <w:rPr>
          <w:rFonts w:eastAsia="Arial" w:cs="Arial"/>
          <w:color w:val="6B2876" w:themeColor="accent5"/>
        </w:rPr>
        <w:t xml:space="preserve"> (2024</w:t>
      </w:r>
      <w:r w:rsidR="00A81111" w:rsidRPr="007A3600">
        <w:rPr>
          <w:rFonts w:eastAsia="Arial" w:cs="Arial"/>
          <w:color w:val="6B2876" w:themeColor="accent5"/>
        </w:rPr>
        <w:t>–</w:t>
      </w:r>
      <w:r w:rsidR="00FD5841" w:rsidRPr="007A3600">
        <w:rPr>
          <w:rFonts w:eastAsia="Arial" w:cs="Arial"/>
          <w:color w:val="6B2876" w:themeColor="accent5"/>
        </w:rPr>
        <w:t>25)</w:t>
      </w:r>
    </w:p>
    <w:p w14:paraId="7643B4C2" w14:textId="1932B806" w:rsidR="004E23C7" w:rsidRPr="007A3600" w:rsidRDefault="004E23C7" w:rsidP="00AD3197">
      <w:r w:rsidRPr="007A3600">
        <w:rPr>
          <w:noProof/>
        </w:rPr>
        <w:drawing>
          <wp:inline distT="0" distB="0" distL="0" distR="0" wp14:anchorId="6FEF3400" wp14:editId="3BE667D0">
            <wp:extent cx="5765800" cy="4648397"/>
            <wp:effectExtent l="0" t="0" r="6350" b="0"/>
            <wp:docPr id="1656869713" name="drawing" descr="Function 1 - Deliver the NDIS to support the independence, and social and economic participation, of people with disability.&#10;Function 2 - Manage, and advise and report on, the financial sustainability of the NDIS.&#10;Function 3 - Develop and enhance the disability sector, including by facilitating innovation, research and contemporary best practice in the sector.&#10;Function 4 - Build community awareness of disabilities and the social contributors to disabilities.&#10;Function 5 - Collect, analyse and exchange data about disabilities and the supports (including early intervention supports) for people with disability.&#10;Function 6 - Undertake research relating to disabilities, the supports (including early intervention supports) for people with disability and the social contributors to disabilities., Pictu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869713" name="drawing" descr="Function 1 - Deliver the NDIS to support the independence, and social and economic participation, of people with disability.&#10;Function 2 - Manage, and advise and report on, the financial sustainability of the NDIS.&#10;Function 3 - Develop and enhance the disability sector, including by facilitating innovation, research and contemporary best practice in the sector.&#10;Function 4 - Build community awareness of disabilities and the social contributors to disabilities.&#10;Function 5 - Collect, analyse and exchange data about disabilities and the supports (including early intervention supports) for people with disability.&#10;Function 6 - Undertake research relating to disabilities, the supports (including early intervention supports) for people with disability and the social contributors to disabilities., Picture">
                      <a:extLst>
                        <a:ext uri="{C183D7F6-B498-43B3-948B-1728B52AA6E4}">
                          <adec:decorative xmlns:adec="http://schemas.microsoft.com/office/drawing/2017/decorative" val="0"/>
                        </a:ext>
                      </a:extLst>
                    </pic:cNvPr>
                    <pic:cNvPicPr/>
                  </pic:nvPicPr>
                  <pic:blipFill>
                    <a:blip r:embed="rId27">
                      <a:extLst>
                        <a:ext uri="{28A0092B-C50C-407E-A947-70E740481C1C}">
                          <a14:useLocalDpi xmlns:a14="http://schemas.microsoft.com/office/drawing/2010/main" val="0"/>
                        </a:ext>
                      </a:extLst>
                    </a:blip>
                    <a:stretch>
                      <a:fillRect/>
                    </a:stretch>
                  </pic:blipFill>
                  <pic:spPr>
                    <a:xfrm>
                      <a:off x="0" y="0"/>
                      <a:ext cx="5778407" cy="4658560"/>
                    </a:xfrm>
                    <a:prstGeom prst="rect">
                      <a:avLst/>
                    </a:prstGeom>
                  </pic:spPr>
                </pic:pic>
              </a:graphicData>
            </a:graphic>
          </wp:inline>
        </w:drawing>
      </w:r>
    </w:p>
    <w:p w14:paraId="1E7A69DE" w14:textId="4CF9CE6F" w:rsidR="004E23C7" w:rsidRPr="007A3600" w:rsidRDefault="004E23C7" w:rsidP="00AD3197">
      <w:pPr>
        <w:pStyle w:val="Heading4"/>
      </w:pPr>
      <w:bookmarkStart w:id="25" w:name="_Toc207017677"/>
      <w:r w:rsidRPr="007A3600">
        <w:t>Our programs</w:t>
      </w:r>
      <w:bookmarkEnd w:id="25"/>
    </w:p>
    <w:p w14:paraId="593C38FF" w14:textId="0951FD5C" w:rsidR="004E23C7" w:rsidRPr="007A3600" w:rsidRDefault="00FE7683" w:rsidP="00AD3197">
      <w:r w:rsidRPr="007A3600">
        <w:t xml:space="preserve">In </w:t>
      </w:r>
      <w:r w:rsidR="003C0FA5" w:rsidRPr="007A3600">
        <w:t xml:space="preserve">2024–25 </w:t>
      </w:r>
      <w:r w:rsidR="004E23C7" w:rsidRPr="007A3600">
        <w:t xml:space="preserve">the NDIA delivered 2 programs that contributed to the achievement of </w:t>
      </w:r>
      <w:r w:rsidR="00E90CA7" w:rsidRPr="007A3600">
        <w:t xml:space="preserve">our </w:t>
      </w:r>
      <w:r w:rsidR="004E23C7" w:rsidRPr="007A3600">
        <w:t>outcome</w:t>
      </w:r>
      <w:r w:rsidR="00E90CA7" w:rsidRPr="007A3600">
        <w:t xml:space="preserve"> statement</w:t>
      </w:r>
      <w:r w:rsidR="004E23C7" w:rsidRPr="007A3600">
        <w:t>, as outlined in the Portfolio Budget Statements 2024</w:t>
      </w:r>
      <w:r w:rsidR="00F04733" w:rsidRPr="007A3600">
        <w:t>–</w:t>
      </w:r>
      <w:r w:rsidR="004E23C7" w:rsidRPr="007A3600">
        <w:t>25.</w:t>
      </w:r>
    </w:p>
    <w:p w14:paraId="7663762F" w14:textId="77777777" w:rsidR="004E23C7" w:rsidRPr="007A3600" w:rsidRDefault="004E23C7" w:rsidP="00AD3197">
      <w:pPr>
        <w:pStyle w:val="Heading5"/>
      </w:pPr>
      <w:r w:rsidRPr="007A3600">
        <w:t>Program 1.1 Reasonable and necessary supports for participants</w:t>
      </w:r>
    </w:p>
    <w:p w14:paraId="60B9EA53" w14:textId="1B2A2D07" w:rsidR="004E23C7" w:rsidRPr="007A3600" w:rsidRDefault="004E23C7" w:rsidP="00AD3197">
      <w:r w:rsidRPr="007A3600">
        <w:t>The objective of this program is to provide funding for reasonable and necessary supports, including early intervention supports, to eligible people with disability ensuring participants have flexibility, choice and control to pursue their goals for improved independence and social and economic participation.</w:t>
      </w:r>
    </w:p>
    <w:p w14:paraId="575F58BA" w14:textId="77777777" w:rsidR="004E23C7" w:rsidRPr="007A3600" w:rsidRDefault="004E23C7" w:rsidP="00AD3197">
      <w:pPr>
        <w:pStyle w:val="Heading5"/>
      </w:pPr>
      <w:r w:rsidRPr="007A3600">
        <w:t>Program 1.2 NDIA and general supports</w:t>
      </w:r>
    </w:p>
    <w:p w14:paraId="7FDBCAF5" w14:textId="0BB9A5B7" w:rsidR="004E23C7" w:rsidRPr="007A3600" w:rsidRDefault="004E23C7" w:rsidP="00AD3197">
      <w:r w:rsidRPr="007A3600">
        <w:t>The objective of this program is to fulfill the functions of the NDIA</w:t>
      </w:r>
      <w:r w:rsidR="00FE7683" w:rsidRPr="007A3600">
        <w:t>,</w:t>
      </w:r>
      <w:r w:rsidRPr="007A3600">
        <w:t xml:space="preserve"> delivering a financially sustainable NDIS to Australians in line with the NDIS Act.</w:t>
      </w:r>
    </w:p>
    <w:p w14:paraId="2E060EB8" w14:textId="191A7039" w:rsidR="004E23C7" w:rsidRPr="007A3600" w:rsidRDefault="004E23C7" w:rsidP="00AD3197">
      <w:pPr>
        <w:pStyle w:val="Heading4"/>
      </w:pPr>
      <w:bookmarkStart w:id="26" w:name="_Toc207017678"/>
      <w:r w:rsidRPr="007A3600">
        <w:lastRenderedPageBreak/>
        <w:t>Our key activities</w:t>
      </w:r>
      <w:bookmarkEnd w:id="26"/>
    </w:p>
    <w:p w14:paraId="396F6A1B" w14:textId="60E401FB" w:rsidR="004E23C7" w:rsidRPr="007A3600" w:rsidRDefault="004E23C7" w:rsidP="00AD3197">
      <w:r w:rsidRPr="007A3600">
        <w:t>The NDIA achieved its purpose through 2 key activities.</w:t>
      </w:r>
    </w:p>
    <w:p w14:paraId="02466FAB" w14:textId="77777777" w:rsidR="004E23C7" w:rsidRPr="007A3600" w:rsidRDefault="004E23C7" w:rsidP="00AD3197">
      <w:pPr>
        <w:pStyle w:val="Heading5"/>
      </w:pPr>
      <w:r w:rsidRPr="007A3600">
        <w:t>Key activity 1</w:t>
      </w:r>
    </w:p>
    <w:p w14:paraId="6336AF23" w14:textId="77777777" w:rsidR="004E23C7" w:rsidRPr="007A3600" w:rsidRDefault="004E23C7" w:rsidP="00AD3197">
      <w:r w:rsidRPr="007A3600">
        <w:t>Improve participant experience and outcomes with a financially sustainable Scheme.</w:t>
      </w:r>
    </w:p>
    <w:p w14:paraId="43E9BE83" w14:textId="77777777" w:rsidR="004E23C7" w:rsidRPr="007A3600" w:rsidRDefault="004E23C7" w:rsidP="00AD3197">
      <w:pPr>
        <w:pStyle w:val="Heading5"/>
      </w:pPr>
      <w:r w:rsidRPr="007A3600">
        <w:t>Key activity 2</w:t>
      </w:r>
    </w:p>
    <w:p w14:paraId="0472A14C" w14:textId="793E8E8A" w:rsidR="004B4A34" w:rsidRPr="007A3600" w:rsidRDefault="004E23C7" w:rsidP="00AD3197">
      <w:r w:rsidRPr="007A3600">
        <w:t>Develop a high performing NDIA for participants.</w:t>
      </w:r>
    </w:p>
    <w:p w14:paraId="4470E27F" w14:textId="7FC49B1C" w:rsidR="00C81A3A" w:rsidRPr="007A3600" w:rsidRDefault="006640AB" w:rsidP="00AD3197">
      <w:pPr>
        <w:pStyle w:val="Heading3"/>
      </w:pPr>
      <w:bookmarkStart w:id="27" w:name="_Toc207017679"/>
      <w:bookmarkStart w:id="28" w:name="_Toc209695835"/>
      <w:r w:rsidRPr="007A3600">
        <w:t>1.4</w:t>
      </w:r>
      <w:r w:rsidR="0051263B" w:rsidRPr="007A3600">
        <w:tab/>
      </w:r>
      <w:r w:rsidR="00C81A3A" w:rsidRPr="007A3600">
        <w:t>The National Disability Insurance Scheme</w:t>
      </w:r>
      <w:bookmarkEnd w:id="27"/>
      <w:bookmarkEnd w:id="28"/>
    </w:p>
    <w:p w14:paraId="39ADFA7A" w14:textId="77777777" w:rsidR="00C81A3A" w:rsidRPr="007A3600" w:rsidRDefault="00C81A3A" w:rsidP="00AD3197">
      <w:r w:rsidRPr="007A3600">
        <w:t>The NDIS is based on the guiding principles that people with disability:</w:t>
      </w:r>
    </w:p>
    <w:p w14:paraId="626EFA14" w14:textId="77777777" w:rsidR="00C81A3A" w:rsidRPr="007A3600" w:rsidRDefault="00C81A3A" w:rsidP="00AD3197">
      <w:pPr>
        <w:pStyle w:val="Bullet1"/>
      </w:pPr>
      <w:r w:rsidRPr="007A3600">
        <w:t>have the same rights as all Australians to realise their potential for physical, social, emotional and intellectual development</w:t>
      </w:r>
    </w:p>
    <w:p w14:paraId="567CB059" w14:textId="77777777" w:rsidR="00C81A3A" w:rsidRPr="007A3600" w:rsidRDefault="00C81A3A" w:rsidP="00AD3197">
      <w:pPr>
        <w:pStyle w:val="Bullet1"/>
      </w:pPr>
      <w:r w:rsidRPr="007A3600">
        <w:t>are supported to participate in and contribute to social and economic life to the full extent of their ability.</w:t>
      </w:r>
    </w:p>
    <w:p w14:paraId="0886336E" w14:textId="77777777" w:rsidR="00C81A3A" w:rsidRPr="007A3600" w:rsidRDefault="00C81A3A" w:rsidP="00AD3197">
      <w:r w:rsidRPr="007A3600">
        <w:t>The NDIS provides funding to eligible people with disability. It aims to improve social and economic outcomes by supporting people with disability to access reasonable and necessary supports. The NDIS also helps connect people to mainstream and community services. We work closely with state and territory governments to assist people to access the supports they need.</w:t>
      </w:r>
    </w:p>
    <w:p w14:paraId="1F6FC86C" w14:textId="77777777" w:rsidR="00C81A3A" w:rsidRPr="007A3600" w:rsidRDefault="00C81A3A" w:rsidP="00AD3197">
      <w:pPr>
        <w:pStyle w:val="Heading4"/>
      </w:pPr>
      <w:bookmarkStart w:id="29" w:name="_Enabling_legislation"/>
      <w:bookmarkStart w:id="30" w:name="_Toc207017680"/>
      <w:bookmarkEnd w:id="29"/>
      <w:r w:rsidRPr="007A3600">
        <w:t>Enabling legislation</w:t>
      </w:r>
      <w:bookmarkEnd w:id="30"/>
    </w:p>
    <w:p w14:paraId="1E689953" w14:textId="0B5816F1" w:rsidR="00C81A3A" w:rsidRPr="007A3600" w:rsidRDefault="00C81A3A" w:rsidP="00AD3197">
      <w:r w:rsidRPr="007A3600">
        <w:t>The NDIS Act establishes the NDIS</w:t>
      </w:r>
      <w:r w:rsidR="00E90CA7" w:rsidRPr="007A3600">
        <w:t xml:space="preserve"> and</w:t>
      </w:r>
      <w:r w:rsidRPr="007A3600">
        <w:t xml:space="preserve">, in conjunction with other laws, </w:t>
      </w:r>
      <w:r w:rsidR="007E38E8" w:rsidRPr="007A3600">
        <w:t xml:space="preserve">it </w:t>
      </w:r>
      <w:r w:rsidRPr="007A3600">
        <w:t xml:space="preserve">gives effect to Australia’s obligations under the Convention on the Rights of Persons with Disabilities. The </w:t>
      </w:r>
      <w:r w:rsidR="00011ED5" w:rsidRPr="007A3600">
        <w:t xml:space="preserve">NDIS </w:t>
      </w:r>
      <w:r w:rsidRPr="007A3600">
        <w:t>Act’s objectives include:</w:t>
      </w:r>
    </w:p>
    <w:p w14:paraId="2DCEC092" w14:textId="77777777" w:rsidR="00C81A3A" w:rsidRPr="007A3600" w:rsidRDefault="00C81A3A" w:rsidP="00AD3197">
      <w:pPr>
        <w:pStyle w:val="Bullet1"/>
      </w:pPr>
      <w:r w:rsidRPr="007A3600">
        <w:t>supporting the independence and social and economic participation of people with disability</w:t>
      </w:r>
    </w:p>
    <w:p w14:paraId="6FBE7C73" w14:textId="77777777" w:rsidR="00C81A3A" w:rsidRPr="007A3600" w:rsidRDefault="00C81A3A" w:rsidP="00AD3197">
      <w:pPr>
        <w:pStyle w:val="Bullet1"/>
      </w:pPr>
      <w:r w:rsidRPr="007A3600">
        <w:t>providing reasonable and necessary supports, including early intervention supports, for participants in the NDIS</w:t>
      </w:r>
    </w:p>
    <w:p w14:paraId="79B938B1" w14:textId="77777777" w:rsidR="00C81A3A" w:rsidRPr="007A3600" w:rsidRDefault="00C81A3A" w:rsidP="00AD3197">
      <w:pPr>
        <w:pStyle w:val="Bullet1"/>
      </w:pPr>
      <w:r w:rsidRPr="007A3600">
        <w:t>enabling people with disability to exercise choice and control in the pursuit of their goals and the planning and delivery of their supports</w:t>
      </w:r>
    </w:p>
    <w:p w14:paraId="51C0D450" w14:textId="77777777" w:rsidR="00C81A3A" w:rsidRPr="007A3600" w:rsidRDefault="00C81A3A" w:rsidP="00AD3197">
      <w:pPr>
        <w:pStyle w:val="Bullet1"/>
      </w:pPr>
      <w:r w:rsidRPr="007A3600">
        <w:t>raising community awareness of the issues that affect the social and economic participation of people with disability and facilitate greater community inclusion of people with disability.</w:t>
      </w:r>
    </w:p>
    <w:p w14:paraId="7CFE93D5" w14:textId="7D624C17" w:rsidR="00955A96" w:rsidRPr="007A3600" w:rsidRDefault="00C81A3A" w:rsidP="00AD3197">
      <w:r w:rsidRPr="007A3600">
        <w:lastRenderedPageBreak/>
        <w:t xml:space="preserve">On 22 August 2024, the </w:t>
      </w:r>
      <w:r w:rsidR="00011ED5" w:rsidRPr="007A3600">
        <w:t xml:space="preserve">Australian Parliament passed the </w:t>
      </w:r>
      <w:r w:rsidRPr="007A3600">
        <w:t>National Disability Insurance Scheme Amendment (Getting the NDIS Back on Track No. 1) Bill 2024</w:t>
      </w:r>
      <w:r w:rsidR="00BC4491" w:rsidRPr="007A3600">
        <w:t>, a Bill amending the NDIS Act</w:t>
      </w:r>
      <w:r w:rsidRPr="007A3600">
        <w:t xml:space="preserve">. </w:t>
      </w:r>
      <w:r w:rsidR="004B1F34" w:rsidRPr="007A3600">
        <w:t xml:space="preserve">The </w:t>
      </w:r>
      <w:r w:rsidR="00BC4491" w:rsidRPr="007A3600">
        <w:t xml:space="preserve">amendment commenced </w:t>
      </w:r>
      <w:r w:rsidRPr="007A3600">
        <w:t>on 3 October 2024.</w:t>
      </w:r>
      <w:r w:rsidR="000C4F3C" w:rsidRPr="007A3600">
        <w:t xml:space="preserve"> These changes were made to address some of the key recommendations arising from the 2023 Independent Review into the NDIS. The Review focused on improving the experience of participants and restoring the original intent of the Scheme to support people with permanent and significant disability, within a broader ecosystem of supports.</w:t>
      </w:r>
    </w:p>
    <w:p w14:paraId="276FF804" w14:textId="35BEEA13" w:rsidR="00FD5617" w:rsidRPr="007A3600" w:rsidRDefault="000C4F3C" w:rsidP="00AD3197">
      <w:pPr>
        <w:rPr>
          <w:lang w:val="en-GB"/>
        </w:rPr>
      </w:pPr>
      <w:r w:rsidRPr="007A3600">
        <w:t xml:space="preserve">The </w:t>
      </w:r>
      <w:r w:rsidRPr="007A3600">
        <w:rPr>
          <w:lang w:val="en-GB"/>
        </w:rPr>
        <w:t>a</w:t>
      </w:r>
      <w:r w:rsidR="00FD5617" w:rsidRPr="007A3600">
        <w:rPr>
          <w:lang w:val="en-GB"/>
        </w:rPr>
        <w:t>mendments to the NDIS Act include</w:t>
      </w:r>
      <w:r w:rsidR="002E149F" w:rsidRPr="007A3600">
        <w:rPr>
          <w:lang w:val="en-GB"/>
        </w:rPr>
        <w:t>d</w:t>
      </w:r>
      <w:r w:rsidR="00FD5617" w:rsidRPr="007A3600">
        <w:rPr>
          <w:lang w:val="en-GB"/>
        </w:rPr>
        <w:t>:</w:t>
      </w:r>
    </w:p>
    <w:p w14:paraId="1E39DD78" w14:textId="586B183B" w:rsidR="001C07EF" w:rsidRPr="007A3600" w:rsidRDefault="001C07EF" w:rsidP="00AD3197">
      <w:pPr>
        <w:pStyle w:val="Bullet1"/>
      </w:pPr>
      <w:r w:rsidRPr="007A3600">
        <w:t>changes that support the introduction of a new framework for developing participant plans and the creation of a new early childhood pathway to better support children younger than 9 years old</w:t>
      </w:r>
    </w:p>
    <w:p w14:paraId="2CF20841" w14:textId="468774D8" w:rsidR="001C07EF" w:rsidRPr="007A3600" w:rsidRDefault="001C07EF" w:rsidP="00AD3197">
      <w:pPr>
        <w:pStyle w:val="Bullet1"/>
      </w:pPr>
      <w:r w:rsidRPr="007A3600">
        <w:t>introducing a definition of ‘NDIS supports’ that clarifies what NDIS funding can and cannot be used for</w:t>
      </w:r>
    </w:p>
    <w:p w14:paraId="5C338046" w14:textId="01113E20" w:rsidR="001C07EF" w:rsidRPr="007A3600" w:rsidRDefault="001C07EF" w:rsidP="00AD3197">
      <w:pPr>
        <w:pStyle w:val="Bullet1"/>
      </w:pPr>
      <w:r w:rsidRPr="007A3600">
        <w:t>changes that support participant spending by clarifying the amount of funds available in a plan, how long the funds need to last (funding periods) and how claims must be made</w:t>
      </w:r>
    </w:p>
    <w:p w14:paraId="3ECCF564" w14:textId="77777777" w:rsidR="001C07EF" w:rsidRPr="007A3600" w:rsidRDefault="001C07EF" w:rsidP="00AD3197">
      <w:pPr>
        <w:pStyle w:val="Bullet1"/>
      </w:pPr>
      <w:r w:rsidRPr="007A3600">
        <w:t>changes to the disability and early intervention requirements to clarify people should only access the NDIS if they need supports that are funded by the NDIS</w:t>
      </w:r>
    </w:p>
    <w:p w14:paraId="7BF662B5" w14:textId="3E19D801" w:rsidR="00955A96" w:rsidRPr="007A3600" w:rsidRDefault="001C07EF" w:rsidP="00AD3197">
      <w:pPr>
        <w:pStyle w:val="Bullet1"/>
      </w:pPr>
      <w:r w:rsidRPr="007A3600">
        <w:t>formalising the NDIA’s role in addressing Scheme sustainability through additional functions to support Scheme integrity.</w:t>
      </w:r>
    </w:p>
    <w:p w14:paraId="6C240FCB" w14:textId="5D9B5D06" w:rsidR="00C81A3A" w:rsidRPr="007A3600" w:rsidRDefault="004B1F34" w:rsidP="00AD3197">
      <w:pPr>
        <w:rPr>
          <w:rFonts w:eastAsia="Times New Roman"/>
          <w:lang w:eastAsia="ja-JP"/>
        </w:rPr>
      </w:pPr>
      <w:r w:rsidRPr="007A3600">
        <w:t>For more</w:t>
      </w:r>
      <w:r w:rsidR="00285994" w:rsidRPr="007A3600">
        <w:t xml:space="preserve"> information about </w:t>
      </w:r>
      <w:r w:rsidR="00146619" w:rsidRPr="007A3600">
        <w:t>these</w:t>
      </w:r>
      <w:r w:rsidRPr="007A3600">
        <w:t xml:space="preserve"> changes, see the</w:t>
      </w:r>
      <w:r w:rsidR="00285994" w:rsidRPr="007A3600" w:rsidDel="004B1F34">
        <w:t xml:space="preserve"> </w:t>
      </w:r>
      <w:r w:rsidR="00285994" w:rsidRPr="007A3600">
        <w:t>NDIS website</w:t>
      </w:r>
      <w:r w:rsidR="00021177" w:rsidRPr="007A3600">
        <w:t>:</w:t>
      </w:r>
      <w:r w:rsidR="00285994" w:rsidRPr="007A3600" w:rsidDel="00021177">
        <w:t xml:space="preserve"> </w:t>
      </w:r>
      <w:hyperlink r:id="rId28" w:history="1">
        <w:r w:rsidR="00285994" w:rsidRPr="007A3600">
          <w:rPr>
            <w:rStyle w:val="Hyperlink"/>
          </w:rPr>
          <w:t>Changes to NDIS legislation</w:t>
        </w:r>
      </w:hyperlink>
      <w:r w:rsidR="00285994" w:rsidRPr="007A3600">
        <w:t>.</w:t>
      </w:r>
    </w:p>
    <w:p w14:paraId="3CACD055" w14:textId="77777777" w:rsidR="00F079EF" w:rsidRPr="007A3600" w:rsidRDefault="00F079EF" w:rsidP="00AD3197">
      <w:pPr>
        <w:rPr>
          <w:rFonts w:eastAsia="Times New Roman"/>
          <w:lang w:eastAsia="ja-JP"/>
        </w:rPr>
        <w:sectPr w:rsidR="00F079EF" w:rsidRPr="007A3600" w:rsidSect="000F17C1">
          <w:headerReference w:type="even" r:id="rId29"/>
          <w:headerReference w:type="default" r:id="rId30"/>
          <w:footerReference w:type="default" r:id="rId31"/>
          <w:headerReference w:type="first" r:id="rId32"/>
          <w:footerReference w:type="first" r:id="rId33"/>
          <w:pgSz w:w="11906" w:h="16838" w:code="9"/>
          <w:pgMar w:top="142" w:right="1440" w:bottom="1701" w:left="1440" w:header="561" w:footer="374" w:gutter="0"/>
          <w:cols w:space="708"/>
          <w:titlePg/>
          <w:docGrid w:linePitch="360"/>
        </w:sectPr>
      </w:pPr>
    </w:p>
    <w:p w14:paraId="6FE8CEE8" w14:textId="37B833F5" w:rsidR="00017501" w:rsidRPr="007A3600" w:rsidRDefault="00017501" w:rsidP="00AD3197">
      <w:pPr>
        <w:pStyle w:val="Heading2"/>
      </w:pPr>
      <w:bookmarkStart w:id="31" w:name="_Section_2:_Annual"/>
      <w:bookmarkStart w:id="32" w:name="_Toc207017681"/>
      <w:bookmarkStart w:id="33" w:name="_Toc209695836"/>
      <w:bookmarkEnd w:id="31"/>
      <w:r w:rsidRPr="007A3600">
        <w:lastRenderedPageBreak/>
        <w:t xml:space="preserve">Section </w:t>
      </w:r>
      <w:r w:rsidR="00924091" w:rsidRPr="007A3600">
        <w:t>2</w:t>
      </w:r>
      <w:r w:rsidRPr="007A3600">
        <w:t xml:space="preserve">: </w:t>
      </w:r>
      <w:r w:rsidR="00BB140F" w:rsidRPr="007A3600">
        <w:t xml:space="preserve">Annual </w:t>
      </w:r>
      <w:r w:rsidR="00644E1F" w:rsidRPr="007A3600">
        <w:t>p</w:t>
      </w:r>
      <w:r w:rsidR="006E4F6F" w:rsidRPr="007A3600">
        <w:t>erformance statements</w:t>
      </w:r>
      <w:bookmarkEnd w:id="32"/>
      <w:bookmarkEnd w:id="33"/>
      <w:r w:rsidRPr="007A3600">
        <w:br w:type="page"/>
      </w:r>
    </w:p>
    <w:p w14:paraId="078662AA" w14:textId="714D3A8F" w:rsidR="00017501" w:rsidRPr="007A3600" w:rsidRDefault="00924091" w:rsidP="00AD3197">
      <w:pPr>
        <w:pStyle w:val="Heading3"/>
        <w:tabs>
          <w:tab w:val="left" w:pos="720"/>
          <w:tab w:val="left" w:pos="1440"/>
          <w:tab w:val="left" w:pos="2160"/>
          <w:tab w:val="left" w:pos="2880"/>
          <w:tab w:val="left" w:pos="3600"/>
          <w:tab w:val="left" w:pos="4320"/>
          <w:tab w:val="left" w:pos="5340"/>
        </w:tabs>
      </w:pPr>
      <w:bookmarkStart w:id="34" w:name="_Toc207017682"/>
      <w:bookmarkStart w:id="35" w:name="_Toc209695837"/>
      <w:r w:rsidRPr="007A3600">
        <w:lastRenderedPageBreak/>
        <w:t>2</w:t>
      </w:r>
      <w:r w:rsidR="00CE2125" w:rsidRPr="007A3600">
        <w:t>.1</w:t>
      </w:r>
      <w:r w:rsidR="00CE2125" w:rsidRPr="007A3600">
        <w:tab/>
      </w:r>
      <w:r w:rsidR="006E4F6F" w:rsidRPr="007A3600">
        <w:t>Statement of preparation</w:t>
      </w:r>
      <w:bookmarkEnd w:id="34"/>
      <w:bookmarkEnd w:id="35"/>
    </w:p>
    <w:p w14:paraId="0F838D52" w14:textId="58B4CE4D" w:rsidR="005F666C" w:rsidRPr="007A3600" w:rsidRDefault="005F666C" w:rsidP="00AD3197">
      <w:r w:rsidRPr="007A3600">
        <w:t xml:space="preserve">I, Kurt Fearnley, as the Chair of the National Disability Insurance Agency Board, the </w:t>
      </w:r>
      <w:r w:rsidR="00021177" w:rsidRPr="007A3600">
        <w:t>a</w:t>
      </w:r>
      <w:r w:rsidRPr="007A3600">
        <w:t xml:space="preserve">ccountable </w:t>
      </w:r>
      <w:r w:rsidR="00021177" w:rsidRPr="007A3600">
        <w:t>a</w:t>
      </w:r>
      <w:r w:rsidRPr="007A3600">
        <w:t xml:space="preserve">uthority of the National Disability Insurance Agency (NDIA), present the NDIA annual performance statements for the 2024–25 reporting period, as required under paragraph 39(1)(a) of the </w:t>
      </w:r>
      <w:r w:rsidRPr="007A3600">
        <w:rPr>
          <w:i/>
        </w:rPr>
        <w:t>Public Governance, Performance and Accountability Act 2013</w:t>
      </w:r>
      <w:r w:rsidRPr="007A3600">
        <w:t xml:space="preserve"> </w:t>
      </w:r>
      <w:r w:rsidR="00021177" w:rsidRPr="007A3600">
        <w:t xml:space="preserve">(Cth) </w:t>
      </w:r>
      <w:r w:rsidRPr="007A3600">
        <w:t>(PGPA Act).</w:t>
      </w:r>
    </w:p>
    <w:p w14:paraId="44D13EF5" w14:textId="2D6E41A7" w:rsidR="005F666C" w:rsidRPr="007A3600" w:rsidRDefault="005F666C" w:rsidP="00AD3197">
      <w:r w:rsidRPr="007A3600">
        <w:t>In the opinion of the Board, these annual performance statements accurately present the performance of the NDIA in the reporting period and comply with subsection 39(2) of the PGPA Act and section 16F of the Public Governance, Performance and Accountability Rule 2014.</w:t>
      </w:r>
    </w:p>
    <w:p w14:paraId="2E550540" w14:textId="5C7E1275" w:rsidR="00F4196B" w:rsidRPr="007A3600" w:rsidRDefault="008B403E" w:rsidP="00AD3197">
      <w:r w:rsidRPr="005F6042">
        <w:rPr>
          <w:noProof/>
        </w:rPr>
        <w:drawing>
          <wp:inline distT="0" distB="0" distL="0" distR="0" wp14:anchorId="6B96F4CF" wp14:editId="3F2E9644">
            <wp:extent cx="1348105" cy="1041400"/>
            <wp:effectExtent l="0" t="0" r="4445" b="6350"/>
            <wp:docPr id="345963836" name="Picture 1" descr="Board Chair's signature with his name and title:&#10;Kurt Fearnley AO&#10;NDIA Board Cha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963836" name="Picture 1" descr="Board Chair's signature with his name and title:&#10;Kurt Fearnley AO&#10;NDIA Board Chair"/>
                    <pic:cNvPicPr/>
                  </pic:nvPicPr>
                  <pic:blipFill rotWithShape="1">
                    <a:blip r:embed="rId22">
                      <a:extLst>
                        <a:ext uri="{28A0092B-C50C-407E-A947-70E740481C1C}">
                          <a14:useLocalDpi xmlns:a14="http://schemas.microsoft.com/office/drawing/2010/main" val="0"/>
                        </a:ext>
                      </a:extLst>
                    </a:blip>
                    <a:srcRect t="12924" b="13993"/>
                    <a:stretch>
                      <a:fillRect/>
                    </a:stretch>
                  </pic:blipFill>
                  <pic:spPr bwMode="auto">
                    <a:xfrm>
                      <a:off x="0" y="0"/>
                      <a:ext cx="1348105" cy="1041400"/>
                    </a:xfrm>
                    <a:prstGeom prst="rect">
                      <a:avLst/>
                    </a:prstGeom>
                    <a:ln>
                      <a:noFill/>
                    </a:ln>
                    <a:extLst>
                      <a:ext uri="{53640926-AAD7-44D8-BBD7-CCE9431645EC}">
                        <a14:shadowObscured xmlns:a14="http://schemas.microsoft.com/office/drawing/2010/main"/>
                      </a:ext>
                    </a:extLst>
                  </pic:spPr>
                </pic:pic>
              </a:graphicData>
            </a:graphic>
          </wp:inline>
        </w:drawing>
      </w:r>
    </w:p>
    <w:p w14:paraId="1F600589" w14:textId="770C568B" w:rsidR="00017501" w:rsidRPr="007A3600" w:rsidRDefault="00924091" w:rsidP="00AD3197">
      <w:pPr>
        <w:pStyle w:val="Heading3"/>
        <w:rPr>
          <w:lang w:eastAsia="ja-JP"/>
        </w:rPr>
      </w:pPr>
      <w:bookmarkStart w:id="36" w:name="_Toc207017683"/>
      <w:bookmarkStart w:id="37" w:name="_Toc209695838"/>
      <w:r w:rsidRPr="007A3600">
        <w:rPr>
          <w:lang w:eastAsia="ja-JP"/>
        </w:rPr>
        <w:t>2</w:t>
      </w:r>
      <w:r w:rsidR="006E4F6F" w:rsidRPr="007A3600">
        <w:rPr>
          <w:lang w:eastAsia="ja-JP"/>
        </w:rPr>
        <w:t>.2</w:t>
      </w:r>
      <w:r w:rsidR="006E4F6F" w:rsidRPr="007A3600">
        <w:rPr>
          <w:lang w:eastAsia="ja-JP"/>
        </w:rPr>
        <w:tab/>
        <w:t xml:space="preserve">Performance </w:t>
      </w:r>
      <w:bookmarkEnd w:id="36"/>
      <w:r w:rsidR="00CF7536" w:rsidRPr="007A3600">
        <w:rPr>
          <w:lang w:eastAsia="ja-JP"/>
        </w:rPr>
        <w:t>framework</w:t>
      </w:r>
      <w:bookmarkEnd w:id="37"/>
    </w:p>
    <w:p w14:paraId="3A432E50" w14:textId="18F19F83" w:rsidR="00D0070F" w:rsidRPr="007A3600" w:rsidRDefault="00D0070F" w:rsidP="00AD3197">
      <w:pPr>
        <w:rPr>
          <w:lang w:eastAsia="ja-JP"/>
        </w:rPr>
      </w:pPr>
      <w:r w:rsidRPr="007A3600">
        <w:rPr>
          <w:lang w:eastAsia="ja-JP"/>
        </w:rPr>
        <w:t>The NDIA conducts its performance planning and reporting in line with Commonwealth Performance Framework and NDIS Act</w:t>
      </w:r>
      <w:r w:rsidR="00250C86" w:rsidRPr="007A3600">
        <w:rPr>
          <w:lang w:eastAsia="ja-JP"/>
        </w:rPr>
        <w:t xml:space="preserve"> requirements</w:t>
      </w:r>
      <w:r w:rsidRPr="007A3600">
        <w:rPr>
          <w:lang w:eastAsia="ja-JP"/>
        </w:rPr>
        <w:t>.</w:t>
      </w:r>
    </w:p>
    <w:p w14:paraId="3E5493A5" w14:textId="77777777" w:rsidR="00D0070F" w:rsidRPr="007A3600" w:rsidRDefault="00D0070F" w:rsidP="00AD3197">
      <w:pPr>
        <w:rPr>
          <w:lang w:eastAsia="ja-JP"/>
        </w:rPr>
      </w:pPr>
      <w:r w:rsidRPr="007A3600">
        <w:rPr>
          <w:lang w:eastAsia="ja-JP"/>
        </w:rPr>
        <w:t>This involves developing the 3 key components of the Commonwealth Performance Framework:</w:t>
      </w:r>
    </w:p>
    <w:p w14:paraId="4DB0FFF3" w14:textId="103E5B3A" w:rsidR="00D0070F" w:rsidRPr="007A3600" w:rsidRDefault="00C0634C" w:rsidP="00AD3197">
      <w:pPr>
        <w:pStyle w:val="Bullet1"/>
        <w:rPr>
          <w:lang w:eastAsia="ja-JP"/>
        </w:rPr>
      </w:pPr>
      <w:r w:rsidRPr="007A3600">
        <w:rPr>
          <w:lang w:eastAsia="ja-JP"/>
        </w:rPr>
        <w:t>p</w:t>
      </w:r>
      <w:r w:rsidR="00D0070F" w:rsidRPr="007A3600">
        <w:rPr>
          <w:lang w:eastAsia="ja-JP"/>
        </w:rPr>
        <w:t xml:space="preserve">ortfolio </w:t>
      </w:r>
      <w:r w:rsidRPr="007A3600">
        <w:rPr>
          <w:lang w:eastAsia="ja-JP"/>
        </w:rPr>
        <w:t>b</w:t>
      </w:r>
      <w:r w:rsidR="00D0070F" w:rsidRPr="007A3600">
        <w:rPr>
          <w:lang w:eastAsia="ja-JP"/>
        </w:rPr>
        <w:t xml:space="preserve">udget </w:t>
      </w:r>
      <w:r w:rsidRPr="007A3600">
        <w:rPr>
          <w:lang w:eastAsia="ja-JP"/>
        </w:rPr>
        <w:t>s</w:t>
      </w:r>
      <w:r w:rsidR="00D0070F" w:rsidRPr="007A3600">
        <w:rPr>
          <w:lang w:eastAsia="ja-JP"/>
        </w:rPr>
        <w:t xml:space="preserve">tatements – </w:t>
      </w:r>
      <w:r w:rsidR="00C43CE9" w:rsidRPr="007A3600">
        <w:rPr>
          <w:lang w:eastAsia="ja-JP"/>
        </w:rPr>
        <w:t xml:space="preserve">which </w:t>
      </w:r>
      <w:r w:rsidR="00D0070F" w:rsidRPr="007A3600">
        <w:rPr>
          <w:lang w:eastAsia="ja-JP"/>
        </w:rPr>
        <w:t>outline the funding for the NDIA</w:t>
      </w:r>
    </w:p>
    <w:p w14:paraId="1A57F368" w14:textId="618147FC" w:rsidR="00D0070F" w:rsidRPr="007A3600" w:rsidRDefault="00C0634C" w:rsidP="00AD3197">
      <w:pPr>
        <w:pStyle w:val="Bullet1"/>
        <w:rPr>
          <w:lang w:eastAsia="ja-JP"/>
        </w:rPr>
      </w:pPr>
      <w:r w:rsidRPr="007A3600">
        <w:rPr>
          <w:lang w:eastAsia="ja-JP"/>
        </w:rPr>
        <w:t>c</w:t>
      </w:r>
      <w:r w:rsidR="00D0070F" w:rsidRPr="007A3600">
        <w:rPr>
          <w:lang w:eastAsia="ja-JP"/>
        </w:rPr>
        <w:t xml:space="preserve">orporate </w:t>
      </w:r>
      <w:r w:rsidRPr="007A3600">
        <w:rPr>
          <w:lang w:eastAsia="ja-JP"/>
        </w:rPr>
        <w:t>p</w:t>
      </w:r>
      <w:r w:rsidR="00D0070F" w:rsidRPr="007A3600">
        <w:rPr>
          <w:lang w:eastAsia="ja-JP"/>
        </w:rPr>
        <w:t xml:space="preserve">lan – </w:t>
      </w:r>
      <w:r w:rsidR="00C43CE9" w:rsidRPr="007A3600">
        <w:rPr>
          <w:lang w:eastAsia="ja-JP"/>
        </w:rPr>
        <w:t xml:space="preserve">which </w:t>
      </w:r>
      <w:r w:rsidR="00D0070F" w:rsidRPr="007A3600">
        <w:rPr>
          <w:lang w:eastAsia="ja-JP"/>
        </w:rPr>
        <w:t>sets the strategic direction and key activities to achieve the NDIA’s purposes</w:t>
      </w:r>
    </w:p>
    <w:p w14:paraId="3B21A65D" w14:textId="612810A7" w:rsidR="00D0070F" w:rsidRPr="007A3600" w:rsidRDefault="00C0634C" w:rsidP="00AD3197">
      <w:pPr>
        <w:pStyle w:val="Bullet1"/>
        <w:rPr>
          <w:lang w:eastAsia="ja-JP"/>
        </w:rPr>
      </w:pPr>
      <w:r w:rsidRPr="007A3600">
        <w:rPr>
          <w:lang w:eastAsia="ja-JP"/>
        </w:rPr>
        <w:t>a</w:t>
      </w:r>
      <w:r w:rsidR="00D0070F" w:rsidRPr="007A3600">
        <w:rPr>
          <w:lang w:eastAsia="ja-JP"/>
        </w:rPr>
        <w:t xml:space="preserve">nnual </w:t>
      </w:r>
      <w:r w:rsidRPr="007A3600">
        <w:rPr>
          <w:lang w:eastAsia="ja-JP"/>
        </w:rPr>
        <w:t>p</w:t>
      </w:r>
      <w:r w:rsidR="00D0070F" w:rsidRPr="007A3600">
        <w:rPr>
          <w:lang w:eastAsia="ja-JP"/>
        </w:rPr>
        <w:t xml:space="preserve">erformance </w:t>
      </w:r>
      <w:r w:rsidRPr="007A3600">
        <w:rPr>
          <w:lang w:eastAsia="ja-JP"/>
        </w:rPr>
        <w:t>s</w:t>
      </w:r>
      <w:r w:rsidR="00D0070F" w:rsidRPr="007A3600">
        <w:rPr>
          <w:lang w:eastAsia="ja-JP"/>
        </w:rPr>
        <w:t xml:space="preserve">tatements – </w:t>
      </w:r>
      <w:r w:rsidR="00C43CE9" w:rsidRPr="007A3600">
        <w:rPr>
          <w:lang w:eastAsia="ja-JP"/>
        </w:rPr>
        <w:t xml:space="preserve">which </w:t>
      </w:r>
      <w:r w:rsidR="00D0070F" w:rsidRPr="007A3600">
        <w:rPr>
          <w:lang w:eastAsia="ja-JP"/>
        </w:rPr>
        <w:t>assess the extent to which the NDIA has achieved its purposes.</w:t>
      </w:r>
    </w:p>
    <w:p w14:paraId="14F7FF80" w14:textId="6375EF55" w:rsidR="00D0070F" w:rsidRPr="007A3600" w:rsidRDefault="00D0070F" w:rsidP="00AD3197">
      <w:pPr>
        <w:rPr>
          <w:lang w:eastAsia="ja-JP"/>
        </w:rPr>
      </w:pPr>
      <w:r w:rsidRPr="007A3600">
        <w:rPr>
          <w:lang w:eastAsia="ja-JP"/>
        </w:rPr>
        <w:t xml:space="preserve">The Australian National Audit Office conducted an audit of NDIA’s annual performance statements </w:t>
      </w:r>
      <w:r w:rsidR="00C43CE9" w:rsidRPr="007A3600">
        <w:rPr>
          <w:lang w:eastAsia="ja-JP"/>
        </w:rPr>
        <w:t xml:space="preserve">for the </w:t>
      </w:r>
      <w:r w:rsidR="003F2919" w:rsidRPr="007A3600">
        <w:rPr>
          <w:lang w:eastAsia="ja-JP"/>
        </w:rPr>
        <w:t>2024–25</w:t>
      </w:r>
      <w:r w:rsidR="00C43CE9" w:rsidRPr="007A3600">
        <w:rPr>
          <w:lang w:eastAsia="ja-JP"/>
        </w:rPr>
        <w:t xml:space="preserve"> financial year</w:t>
      </w:r>
      <w:r w:rsidRPr="007A3600">
        <w:rPr>
          <w:lang w:eastAsia="ja-JP"/>
        </w:rPr>
        <w:t>.</w:t>
      </w:r>
    </w:p>
    <w:p w14:paraId="09119072" w14:textId="77777777" w:rsidR="00D0070F" w:rsidRPr="007A3600" w:rsidRDefault="00D0070F" w:rsidP="00AD3197">
      <w:pPr>
        <w:pStyle w:val="Heading3"/>
        <w:rPr>
          <w:lang w:eastAsia="ja-JP"/>
        </w:rPr>
      </w:pPr>
      <w:bookmarkStart w:id="38" w:name="_Toc209695839"/>
      <w:r w:rsidRPr="007A3600">
        <w:rPr>
          <w:lang w:eastAsia="ja-JP"/>
        </w:rPr>
        <w:t>2.3</w:t>
      </w:r>
      <w:r w:rsidRPr="007A3600">
        <w:rPr>
          <w:lang w:eastAsia="ja-JP"/>
        </w:rPr>
        <w:tab/>
        <w:t>The NDIA annual performance statements</w:t>
      </w:r>
      <w:bookmarkEnd w:id="38"/>
    </w:p>
    <w:p w14:paraId="01DF08B6" w14:textId="6A4BB087" w:rsidR="00D0070F" w:rsidRPr="007A3600" w:rsidRDefault="00D0070F" w:rsidP="00AD3197">
      <w:pPr>
        <w:rPr>
          <w:lang w:eastAsia="ja-JP"/>
        </w:rPr>
      </w:pPr>
      <w:r w:rsidRPr="007A3600">
        <w:rPr>
          <w:lang w:eastAsia="ja-JP"/>
        </w:rPr>
        <w:t xml:space="preserve">The annual performance statements follow the structure of the </w:t>
      </w:r>
      <w:r w:rsidR="00B94C12" w:rsidRPr="007A3600">
        <w:rPr>
          <w:lang w:eastAsia="ja-JP"/>
        </w:rPr>
        <w:t>NDIA Corporate Plan 2024–25</w:t>
      </w:r>
      <w:r w:rsidR="003F2919" w:rsidRPr="007A3600">
        <w:rPr>
          <w:lang w:eastAsia="ja-JP"/>
        </w:rPr>
        <w:t>. The corporate plan</w:t>
      </w:r>
      <w:r w:rsidRPr="007A3600">
        <w:rPr>
          <w:lang w:eastAsia="ja-JP"/>
        </w:rPr>
        <w:t xml:space="preserve"> describes our purpose</w:t>
      </w:r>
      <w:r w:rsidR="00106C7B" w:rsidRPr="007A3600">
        <w:rPr>
          <w:lang w:eastAsia="ja-JP"/>
        </w:rPr>
        <w:t xml:space="preserve"> and</w:t>
      </w:r>
      <w:r w:rsidRPr="007A3600">
        <w:rPr>
          <w:lang w:eastAsia="ja-JP"/>
        </w:rPr>
        <w:t xml:space="preserve"> </w:t>
      </w:r>
      <w:r w:rsidR="003F2919" w:rsidRPr="007A3600">
        <w:rPr>
          <w:lang w:eastAsia="ja-JP"/>
        </w:rPr>
        <w:t>gives</w:t>
      </w:r>
      <w:r w:rsidRPr="007A3600">
        <w:rPr>
          <w:lang w:eastAsia="ja-JP"/>
        </w:rPr>
        <w:t xml:space="preserve"> details on our outcome statement, functions, programs, key activities and performance measures. The annual performance statements measure our performance against </w:t>
      </w:r>
      <w:r w:rsidR="003F2919" w:rsidRPr="007A3600">
        <w:rPr>
          <w:lang w:eastAsia="ja-JP"/>
        </w:rPr>
        <w:t xml:space="preserve">2 </w:t>
      </w:r>
      <w:r w:rsidRPr="007A3600">
        <w:rPr>
          <w:lang w:eastAsia="ja-JP"/>
        </w:rPr>
        <w:t xml:space="preserve">key activities </w:t>
      </w:r>
      <w:r w:rsidR="003F2919" w:rsidRPr="007A3600">
        <w:rPr>
          <w:lang w:eastAsia="ja-JP"/>
        </w:rPr>
        <w:t xml:space="preserve">that </w:t>
      </w:r>
      <w:r w:rsidRPr="007A3600">
        <w:rPr>
          <w:lang w:eastAsia="ja-JP"/>
        </w:rPr>
        <w:t>help achieve the NDIA’s purpose:</w:t>
      </w:r>
    </w:p>
    <w:p w14:paraId="645DD06F" w14:textId="6229CFBF" w:rsidR="00D0070F" w:rsidRPr="007A3600" w:rsidRDefault="00D0070F" w:rsidP="00AD3197">
      <w:pPr>
        <w:pStyle w:val="Bullet1"/>
        <w:rPr>
          <w:lang w:eastAsia="ja-JP"/>
        </w:rPr>
      </w:pPr>
      <w:r w:rsidRPr="007A3600">
        <w:rPr>
          <w:lang w:eastAsia="ja-JP"/>
        </w:rPr>
        <w:lastRenderedPageBreak/>
        <w:t>Key activity 1 – Improve participant experience and outcomes with a financially sustainable Scheme.</w:t>
      </w:r>
    </w:p>
    <w:p w14:paraId="7E121381" w14:textId="45DDFB01" w:rsidR="00D0070F" w:rsidRPr="007A3600" w:rsidRDefault="00D0070F" w:rsidP="00AD3197">
      <w:pPr>
        <w:pStyle w:val="Bullet1"/>
        <w:rPr>
          <w:lang w:eastAsia="ja-JP"/>
        </w:rPr>
      </w:pPr>
      <w:r w:rsidRPr="007A3600">
        <w:rPr>
          <w:lang w:eastAsia="ja-JP"/>
        </w:rPr>
        <w:t>Key activity 2 – Develop a high performing NDIA for participants.</w:t>
      </w:r>
    </w:p>
    <w:p w14:paraId="05FED980" w14:textId="6209F8EC" w:rsidR="00B1301A" w:rsidRPr="007A3600" w:rsidRDefault="00E43C22" w:rsidP="00AD3197">
      <w:pPr>
        <w:rPr>
          <w:lang w:eastAsia="ja-JP"/>
        </w:rPr>
      </w:pPr>
      <w:r w:rsidRPr="007A3600">
        <w:rPr>
          <w:lang w:eastAsia="ja-JP"/>
        </w:rPr>
        <w:t>These activities are managed under 2 programs:</w:t>
      </w:r>
    </w:p>
    <w:p w14:paraId="44B81D82" w14:textId="3E22F3C7" w:rsidR="00D0070F" w:rsidRPr="007A3600" w:rsidRDefault="00D0070F" w:rsidP="00AD3197">
      <w:pPr>
        <w:pStyle w:val="Bullet1"/>
        <w:rPr>
          <w:lang w:eastAsia="ja-JP"/>
        </w:rPr>
      </w:pPr>
      <w:r w:rsidRPr="007A3600">
        <w:rPr>
          <w:lang w:eastAsia="ja-JP"/>
        </w:rPr>
        <w:t>Program 1.1 – Reasonable and necessary supports for participants.</w:t>
      </w:r>
    </w:p>
    <w:p w14:paraId="6650D898" w14:textId="30460FCE" w:rsidR="00D0070F" w:rsidRPr="007A3600" w:rsidRDefault="00D0070F" w:rsidP="00AD3197">
      <w:pPr>
        <w:pStyle w:val="Bullet1"/>
        <w:rPr>
          <w:lang w:eastAsia="ja-JP"/>
        </w:rPr>
      </w:pPr>
      <w:r w:rsidRPr="007A3600">
        <w:rPr>
          <w:lang w:eastAsia="ja-JP"/>
        </w:rPr>
        <w:t>Program 1.2 – NDIA and general supports.</w:t>
      </w:r>
    </w:p>
    <w:p w14:paraId="46922D4A" w14:textId="7F5D1141" w:rsidR="00D0070F" w:rsidRPr="007A3600" w:rsidRDefault="003F2919" w:rsidP="00AD3197">
      <w:pPr>
        <w:rPr>
          <w:lang w:eastAsia="ja-JP"/>
        </w:rPr>
      </w:pPr>
      <w:r w:rsidRPr="007A3600">
        <w:rPr>
          <w:lang w:eastAsia="ja-JP"/>
        </w:rPr>
        <w:t>At the start of 2024–25 t</w:t>
      </w:r>
      <w:r w:rsidR="00D0070F" w:rsidRPr="007A3600">
        <w:rPr>
          <w:lang w:eastAsia="ja-JP"/>
        </w:rPr>
        <w:t xml:space="preserve">he NDIA </w:t>
      </w:r>
      <w:r w:rsidRPr="007A3600">
        <w:rPr>
          <w:lang w:eastAsia="ja-JP"/>
        </w:rPr>
        <w:t>w</w:t>
      </w:r>
      <w:r w:rsidR="00D0070F" w:rsidRPr="007A3600">
        <w:rPr>
          <w:lang w:eastAsia="ja-JP"/>
        </w:rPr>
        <w:t xml:space="preserve">as part of Social Services </w:t>
      </w:r>
      <w:r w:rsidR="00F65369" w:rsidRPr="007A3600">
        <w:rPr>
          <w:lang w:eastAsia="ja-JP"/>
        </w:rPr>
        <w:t>p</w:t>
      </w:r>
      <w:r w:rsidR="00D0070F" w:rsidRPr="007A3600">
        <w:rPr>
          <w:lang w:eastAsia="ja-JP"/>
        </w:rPr>
        <w:t>ortfolio, operating under Outcome 3 Disability and Carers</w:t>
      </w:r>
      <w:r w:rsidR="00F65369" w:rsidRPr="007A3600">
        <w:rPr>
          <w:lang w:eastAsia="ja-JP"/>
        </w:rPr>
        <w:t>.</w:t>
      </w:r>
      <w:r w:rsidR="00D0070F" w:rsidRPr="007A3600">
        <w:rPr>
          <w:lang w:eastAsia="ja-JP"/>
        </w:rPr>
        <w:t xml:space="preserve"> </w:t>
      </w:r>
      <w:r w:rsidR="00F65369" w:rsidRPr="007A3600">
        <w:rPr>
          <w:lang w:eastAsia="ja-JP"/>
        </w:rPr>
        <w:t>Its</w:t>
      </w:r>
      <w:r w:rsidR="00D0070F" w:rsidRPr="007A3600">
        <w:rPr>
          <w:lang w:eastAsia="ja-JP"/>
        </w:rPr>
        <w:t xml:space="preserve"> objective </w:t>
      </w:r>
      <w:r w:rsidR="00F65369" w:rsidRPr="007A3600">
        <w:rPr>
          <w:lang w:eastAsia="ja-JP"/>
        </w:rPr>
        <w:t>was</w:t>
      </w:r>
      <w:r w:rsidR="00D0070F" w:rsidRPr="007A3600">
        <w:rPr>
          <w:lang w:eastAsia="ja-JP"/>
        </w:rPr>
        <w:t xml:space="preserve"> ‘Supporting the independence of, and economic participation by, people with disability and carers by providing targeted supports’.</w:t>
      </w:r>
    </w:p>
    <w:p w14:paraId="70E04333" w14:textId="0A6CD6FF" w:rsidR="00D0070F" w:rsidRPr="007A3600" w:rsidRDefault="00DD7D53" w:rsidP="00AD3197">
      <w:pPr>
        <w:rPr>
          <w:lang w:eastAsia="ja-JP"/>
        </w:rPr>
      </w:pPr>
      <w:r w:rsidRPr="007A3600">
        <w:rPr>
          <w:lang w:eastAsia="ja-JP"/>
        </w:rPr>
        <w:t xml:space="preserve">The </w:t>
      </w:r>
      <w:r w:rsidR="00D0070F" w:rsidRPr="007A3600">
        <w:rPr>
          <w:lang w:eastAsia="ja-JP"/>
        </w:rPr>
        <w:t xml:space="preserve">NDIA transferred to the Health, Disability and Ageing (DHDA) </w:t>
      </w:r>
      <w:r w:rsidR="009D04A2" w:rsidRPr="007A3600">
        <w:rPr>
          <w:lang w:eastAsia="ja-JP"/>
        </w:rPr>
        <w:t>p</w:t>
      </w:r>
      <w:r w:rsidR="00D0070F" w:rsidRPr="007A3600">
        <w:rPr>
          <w:lang w:eastAsia="ja-JP"/>
        </w:rPr>
        <w:t>ortfolio from 13</w:t>
      </w:r>
      <w:r w:rsidR="00195B4A" w:rsidRPr="007A3600">
        <w:rPr>
          <w:lang w:eastAsia="ja-JP"/>
        </w:rPr>
        <w:t> </w:t>
      </w:r>
      <w:r w:rsidR="00D0070F" w:rsidRPr="007A3600">
        <w:rPr>
          <w:lang w:eastAsia="ja-JP"/>
        </w:rPr>
        <w:t>May 2025.</w:t>
      </w:r>
    </w:p>
    <w:p w14:paraId="667EFB21" w14:textId="21F750FE" w:rsidR="00D0070F" w:rsidRPr="007A3600" w:rsidRDefault="00195B4A" w:rsidP="00AD3197">
      <w:pPr>
        <w:rPr>
          <w:lang w:eastAsia="ja-JP"/>
        </w:rPr>
      </w:pPr>
      <w:r w:rsidRPr="007A3600">
        <w:rPr>
          <w:lang w:eastAsia="ja-JP"/>
        </w:rPr>
        <w:t>T</w:t>
      </w:r>
      <w:r w:rsidR="00D0070F" w:rsidRPr="007A3600">
        <w:rPr>
          <w:lang w:eastAsia="ja-JP"/>
        </w:rPr>
        <w:t>o assess our performance in achieving our purpose</w:t>
      </w:r>
      <w:r w:rsidRPr="007A3600">
        <w:rPr>
          <w:lang w:eastAsia="ja-JP"/>
        </w:rPr>
        <w:t>, our performance measures need to be considered as a set</w:t>
      </w:r>
      <w:r w:rsidR="00D0070F" w:rsidRPr="007A3600">
        <w:rPr>
          <w:lang w:eastAsia="ja-JP"/>
        </w:rPr>
        <w:t xml:space="preserve">. The NDIA has several legislated functions, our most prominent being the delivery of the NDIS. </w:t>
      </w:r>
      <w:r w:rsidR="00EC1AE3" w:rsidRPr="007A3600">
        <w:rPr>
          <w:lang w:eastAsia="ja-JP"/>
        </w:rPr>
        <w:t>See section</w:t>
      </w:r>
      <w:r w:rsidR="00C43CE9" w:rsidRPr="007A3600">
        <w:rPr>
          <w:lang w:eastAsia="ja-JP"/>
        </w:rPr>
        <w:t xml:space="preserve"> </w:t>
      </w:r>
      <w:r w:rsidR="00EC1AE3" w:rsidRPr="007A3600">
        <w:rPr>
          <w:lang w:eastAsia="ja-JP"/>
        </w:rPr>
        <w:t>1</w:t>
      </w:r>
      <w:r w:rsidR="00CC64F2" w:rsidRPr="007A3600">
        <w:rPr>
          <w:lang w:eastAsia="ja-JP"/>
        </w:rPr>
        <w:t>.3</w:t>
      </w:r>
      <w:r w:rsidR="00EC1AE3" w:rsidRPr="007A3600">
        <w:rPr>
          <w:lang w:eastAsia="ja-JP"/>
        </w:rPr>
        <w:t>,</w:t>
      </w:r>
      <w:r w:rsidR="00D0070F" w:rsidRPr="007A3600">
        <w:rPr>
          <w:lang w:eastAsia="ja-JP"/>
        </w:rPr>
        <w:t xml:space="preserve"> </w:t>
      </w:r>
      <w:r w:rsidR="00EC1AE3" w:rsidRPr="007A3600">
        <w:rPr>
          <w:lang w:eastAsia="ja-JP"/>
        </w:rPr>
        <w:t>‘</w:t>
      </w:r>
      <w:r w:rsidR="00247DEE" w:rsidRPr="007A3600">
        <w:t>NDIA functions</w:t>
      </w:r>
      <w:r w:rsidR="00EC1AE3" w:rsidRPr="007A3600">
        <w:t>’, in this report</w:t>
      </w:r>
      <w:r w:rsidR="00D0070F" w:rsidRPr="007A3600">
        <w:rPr>
          <w:lang w:eastAsia="ja-JP"/>
        </w:rPr>
        <w:t xml:space="preserve"> for </w:t>
      </w:r>
      <w:r w:rsidR="00AD596B" w:rsidRPr="007A3600">
        <w:rPr>
          <w:lang w:eastAsia="ja-JP"/>
        </w:rPr>
        <w:t>more</w:t>
      </w:r>
      <w:r w:rsidR="00D0070F" w:rsidRPr="007A3600">
        <w:rPr>
          <w:lang w:eastAsia="ja-JP"/>
        </w:rPr>
        <w:t xml:space="preserve"> information. Our performance measures focus on </w:t>
      </w:r>
      <w:r w:rsidR="00C43CE9" w:rsidRPr="007A3600">
        <w:rPr>
          <w:lang w:eastAsia="ja-JP"/>
        </w:rPr>
        <w:t xml:space="preserve">these </w:t>
      </w:r>
      <w:r w:rsidR="00D0070F" w:rsidRPr="007A3600">
        <w:rPr>
          <w:lang w:eastAsia="ja-JP"/>
        </w:rPr>
        <w:t>function</w:t>
      </w:r>
      <w:r w:rsidR="00C43CE9" w:rsidRPr="007A3600">
        <w:rPr>
          <w:lang w:eastAsia="ja-JP"/>
        </w:rPr>
        <w:t>s</w:t>
      </w:r>
      <w:r w:rsidR="00D0070F" w:rsidRPr="007A3600">
        <w:rPr>
          <w:lang w:eastAsia="ja-JP"/>
        </w:rPr>
        <w:t xml:space="preserve">, as well as those functions that represented a significant or material proportion of our operations during </w:t>
      </w:r>
      <w:r w:rsidR="00AD596B" w:rsidRPr="007A3600">
        <w:rPr>
          <w:lang w:eastAsia="ja-JP"/>
        </w:rPr>
        <w:t>in 2024–25</w:t>
      </w:r>
      <w:r w:rsidR="00D0070F" w:rsidRPr="007A3600">
        <w:rPr>
          <w:lang w:eastAsia="ja-JP"/>
        </w:rPr>
        <w:t>.</w:t>
      </w:r>
    </w:p>
    <w:p w14:paraId="307507B7" w14:textId="673F38C0" w:rsidR="00D0070F" w:rsidRPr="007A3600" w:rsidRDefault="00D0070F" w:rsidP="00AD3197">
      <w:pPr>
        <w:pStyle w:val="Heading4"/>
        <w:rPr>
          <w:lang w:eastAsia="ja-JP"/>
        </w:rPr>
      </w:pPr>
      <w:r w:rsidRPr="007A3600">
        <w:rPr>
          <w:lang w:eastAsia="ja-JP"/>
        </w:rPr>
        <w:t>Key changes for 2024</w:t>
      </w:r>
      <w:r w:rsidR="00B66029" w:rsidRPr="007A3600">
        <w:rPr>
          <w:lang w:eastAsia="ja-JP"/>
        </w:rPr>
        <w:t>–</w:t>
      </w:r>
      <w:r w:rsidRPr="007A3600">
        <w:rPr>
          <w:lang w:eastAsia="ja-JP"/>
        </w:rPr>
        <w:t>25</w:t>
      </w:r>
    </w:p>
    <w:p w14:paraId="14B5D272" w14:textId="26A5DD7B" w:rsidR="00D0070F" w:rsidRPr="007A3600" w:rsidRDefault="00D0070F" w:rsidP="00AD3197">
      <w:pPr>
        <w:rPr>
          <w:lang w:eastAsia="ja-JP"/>
        </w:rPr>
      </w:pPr>
      <w:r w:rsidRPr="007A3600">
        <w:rPr>
          <w:lang w:eastAsia="ja-JP"/>
        </w:rPr>
        <w:t xml:space="preserve">In 2024–25, as outlined in </w:t>
      </w:r>
      <w:r w:rsidR="00D75E82" w:rsidRPr="007A3600">
        <w:rPr>
          <w:lang w:eastAsia="ja-JP"/>
        </w:rPr>
        <w:t xml:space="preserve">our </w:t>
      </w:r>
      <w:r w:rsidRPr="007A3600">
        <w:rPr>
          <w:lang w:eastAsia="ja-JP"/>
        </w:rPr>
        <w:t>corporate plan, the NDIA updated its strategic direction to reflect the successful implementation of the NDIS while ensuring it continue</w:t>
      </w:r>
      <w:r w:rsidR="00B12A6D" w:rsidRPr="007A3600">
        <w:rPr>
          <w:lang w:eastAsia="ja-JP"/>
        </w:rPr>
        <w:t>s</w:t>
      </w:r>
      <w:r w:rsidRPr="007A3600">
        <w:rPr>
          <w:lang w:eastAsia="ja-JP"/>
        </w:rPr>
        <w:t xml:space="preserve"> </w:t>
      </w:r>
      <w:r w:rsidR="00B12A6D" w:rsidRPr="007A3600">
        <w:rPr>
          <w:lang w:eastAsia="ja-JP"/>
        </w:rPr>
        <w:t xml:space="preserve">to </w:t>
      </w:r>
      <w:r w:rsidRPr="007A3600">
        <w:rPr>
          <w:lang w:eastAsia="ja-JP"/>
        </w:rPr>
        <w:t xml:space="preserve">align with </w:t>
      </w:r>
      <w:r w:rsidR="00B12A6D" w:rsidRPr="007A3600">
        <w:rPr>
          <w:lang w:eastAsia="ja-JP"/>
        </w:rPr>
        <w:t>NDIS Act</w:t>
      </w:r>
      <w:r w:rsidRPr="007A3600">
        <w:rPr>
          <w:lang w:eastAsia="ja-JP"/>
        </w:rPr>
        <w:t xml:space="preserve"> objectives. </w:t>
      </w:r>
      <w:r w:rsidR="00B12A6D" w:rsidRPr="007A3600">
        <w:rPr>
          <w:lang w:eastAsia="ja-JP"/>
        </w:rPr>
        <w:t xml:space="preserve">As part of this update, </w:t>
      </w:r>
      <w:r w:rsidR="00AA052B" w:rsidRPr="007A3600">
        <w:rPr>
          <w:lang w:eastAsia="ja-JP"/>
        </w:rPr>
        <w:t>w</w:t>
      </w:r>
      <w:r w:rsidR="00B12A6D" w:rsidRPr="007A3600">
        <w:rPr>
          <w:lang w:eastAsia="ja-JP"/>
        </w:rPr>
        <w:t>e</w:t>
      </w:r>
      <w:r w:rsidR="00AA052B" w:rsidRPr="007A3600">
        <w:rPr>
          <w:lang w:eastAsia="ja-JP"/>
        </w:rPr>
        <w:t xml:space="preserve"> revised </w:t>
      </w:r>
      <w:r w:rsidRPr="007A3600">
        <w:rPr>
          <w:lang w:eastAsia="ja-JP"/>
        </w:rPr>
        <w:t>the outcomes statement</w:t>
      </w:r>
      <w:r w:rsidR="00AA052B" w:rsidRPr="007A3600">
        <w:rPr>
          <w:lang w:eastAsia="ja-JP"/>
        </w:rPr>
        <w:t xml:space="preserve"> and</w:t>
      </w:r>
      <w:r w:rsidRPr="007A3600">
        <w:rPr>
          <w:lang w:eastAsia="ja-JP"/>
        </w:rPr>
        <w:t xml:space="preserve"> the objectives of the NDIA’s programs and review</w:t>
      </w:r>
      <w:r w:rsidR="00AA052B" w:rsidRPr="007A3600">
        <w:rPr>
          <w:lang w:eastAsia="ja-JP"/>
        </w:rPr>
        <w:t>ed</w:t>
      </w:r>
      <w:r w:rsidRPr="007A3600" w:rsidDel="00AA052B">
        <w:rPr>
          <w:lang w:eastAsia="ja-JP"/>
        </w:rPr>
        <w:t xml:space="preserve"> </w:t>
      </w:r>
      <w:r w:rsidRPr="007A3600">
        <w:rPr>
          <w:lang w:eastAsia="ja-JP"/>
        </w:rPr>
        <w:t>our key activities and performance measures</w:t>
      </w:r>
      <w:r w:rsidR="00C43CE9" w:rsidRPr="007A3600">
        <w:rPr>
          <w:lang w:eastAsia="ja-JP"/>
        </w:rPr>
        <w:t xml:space="preserve">. These updates are reflected in our </w:t>
      </w:r>
      <w:r w:rsidRPr="007A3600">
        <w:rPr>
          <w:lang w:eastAsia="ja-JP"/>
        </w:rPr>
        <w:t>Corporate Plan 2024–25.</w:t>
      </w:r>
    </w:p>
    <w:p w14:paraId="1E572686" w14:textId="1F117616" w:rsidR="00D0070F" w:rsidRPr="007A3600" w:rsidRDefault="006C6A01" w:rsidP="00AD3197">
      <w:pPr>
        <w:rPr>
          <w:lang w:eastAsia="ja-JP"/>
        </w:rPr>
      </w:pPr>
      <w:r w:rsidRPr="007A3600">
        <w:rPr>
          <w:lang w:eastAsia="ja-JP"/>
        </w:rPr>
        <w:t xml:space="preserve">After </w:t>
      </w:r>
      <w:r w:rsidR="00D0070F" w:rsidRPr="007A3600">
        <w:rPr>
          <w:lang w:eastAsia="ja-JP"/>
        </w:rPr>
        <w:t>the National Disability Insurance Scheme Amendment (Getting the NDIS Back on Track No.</w:t>
      </w:r>
      <w:r w:rsidRPr="007A3600">
        <w:rPr>
          <w:lang w:eastAsia="ja-JP"/>
        </w:rPr>
        <w:t xml:space="preserve"> </w:t>
      </w:r>
      <w:r w:rsidR="00D0070F" w:rsidRPr="007A3600">
        <w:rPr>
          <w:lang w:eastAsia="ja-JP"/>
        </w:rPr>
        <w:t>1) Bill</w:t>
      </w:r>
      <w:r w:rsidRPr="007A3600">
        <w:rPr>
          <w:lang w:eastAsia="ja-JP"/>
        </w:rPr>
        <w:t xml:space="preserve"> was passed</w:t>
      </w:r>
      <w:r w:rsidR="00D0070F" w:rsidRPr="007A3600">
        <w:rPr>
          <w:lang w:eastAsia="ja-JP"/>
        </w:rPr>
        <w:t>, new laws for the NDIS came into effect from 3</w:t>
      </w:r>
      <w:r w:rsidRPr="007A3600">
        <w:rPr>
          <w:lang w:eastAsia="ja-JP"/>
        </w:rPr>
        <w:t> </w:t>
      </w:r>
      <w:r w:rsidR="00D0070F" w:rsidRPr="007A3600">
        <w:rPr>
          <w:lang w:eastAsia="ja-JP"/>
        </w:rPr>
        <w:t>October 2024. These laws include</w:t>
      </w:r>
      <w:r w:rsidR="009B74A8" w:rsidRPr="007A3600">
        <w:rPr>
          <w:lang w:eastAsia="ja-JP"/>
        </w:rPr>
        <w:t>d</w:t>
      </w:r>
      <w:r w:rsidR="00D0070F" w:rsidRPr="007A3600">
        <w:rPr>
          <w:lang w:eastAsia="ja-JP"/>
        </w:rPr>
        <w:t xml:space="preserve"> </w:t>
      </w:r>
      <w:r w:rsidR="00416426" w:rsidRPr="007A3600">
        <w:rPr>
          <w:lang w:eastAsia="ja-JP"/>
        </w:rPr>
        <w:t>an</w:t>
      </w:r>
      <w:r w:rsidR="00D0070F" w:rsidRPr="007A3600">
        <w:rPr>
          <w:lang w:eastAsia="ja-JP"/>
        </w:rPr>
        <w:t xml:space="preserve"> updated function </w:t>
      </w:r>
      <w:r w:rsidR="00416426" w:rsidRPr="007A3600">
        <w:rPr>
          <w:lang w:eastAsia="ja-JP"/>
        </w:rPr>
        <w:t xml:space="preserve">for NDIA </w:t>
      </w:r>
      <w:r w:rsidR="00D0070F" w:rsidRPr="007A3600">
        <w:rPr>
          <w:lang w:eastAsia="ja-JP"/>
        </w:rPr>
        <w:t xml:space="preserve">‘to prevent, detect, investigate and respond to misuse or abuse of, or criminal activity involving, the National Disability Insurance Scheme’. </w:t>
      </w:r>
      <w:r w:rsidR="00557BF6" w:rsidRPr="007A3600">
        <w:rPr>
          <w:lang w:eastAsia="ja-JP"/>
        </w:rPr>
        <w:t xml:space="preserve">See section 6.3, ‘Ensuring the integrity of the NDIS’, in this report for more information about the NDIA’s activities to prevent fraud and support the integrity of the NDIS. </w:t>
      </w:r>
      <w:r w:rsidR="00416426" w:rsidRPr="007A3600">
        <w:rPr>
          <w:lang w:eastAsia="ja-JP"/>
        </w:rPr>
        <w:t>T</w:t>
      </w:r>
      <w:r w:rsidR="00D0070F" w:rsidRPr="007A3600">
        <w:rPr>
          <w:lang w:eastAsia="ja-JP"/>
        </w:rPr>
        <w:t>hese laws took effect after the NDI</w:t>
      </w:r>
      <w:r w:rsidR="00553326" w:rsidRPr="007A3600">
        <w:rPr>
          <w:lang w:eastAsia="ja-JP"/>
        </w:rPr>
        <w:t>A</w:t>
      </w:r>
      <w:r w:rsidR="00D0070F" w:rsidRPr="007A3600">
        <w:rPr>
          <w:lang w:eastAsia="ja-JP"/>
        </w:rPr>
        <w:t xml:space="preserve"> Corporate Plan 2024</w:t>
      </w:r>
      <w:r w:rsidR="00BF5581" w:rsidRPr="007A3600">
        <w:rPr>
          <w:lang w:eastAsia="ja-JP"/>
        </w:rPr>
        <w:t>–</w:t>
      </w:r>
      <w:r w:rsidR="00D0070F" w:rsidRPr="007A3600">
        <w:rPr>
          <w:lang w:eastAsia="ja-JP"/>
        </w:rPr>
        <w:t xml:space="preserve">25 was published, </w:t>
      </w:r>
      <w:r w:rsidR="006F5C10" w:rsidRPr="007A3600">
        <w:rPr>
          <w:lang w:eastAsia="ja-JP"/>
        </w:rPr>
        <w:t xml:space="preserve">so any </w:t>
      </w:r>
      <w:r w:rsidR="00D0070F" w:rsidRPr="007A3600">
        <w:rPr>
          <w:lang w:eastAsia="ja-JP"/>
        </w:rPr>
        <w:t>updates</w:t>
      </w:r>
      <w:r w:rsidR="006F5C10" w:rsidRPr="007A3600">
        <w:rPr>
          <w:lang w:eastAsia="ja-JP"/>
        </w:rPr>
        <w:t xml:space="preserve"> that are needed because of the changes </w:t>
      </w:r>
      <w:r w:rsidR="003C6B64" w:rsidRPr="007A3600">
        <w:rPr>
          <w:lang w:eastAsia="ja-JP"/>
        </w:rPr>
        <w:t>have been</w:t>
      </w:r>
      <w:r w:rsidR="006F5C10" w:rsidRPr="007A3600">
        <w:rPr>
          <w:lang w:eastAsia="ja-JP"/>
        </w:rPr>
        <w:t xml:space="preserve"> published </w:t>
      </w:r>
      <w:r w:rsidR="00D0070F" w:rsidRPr="007A3600">
        <w:rPr>
          <w:lang w:eastAsia="ja-JP"/>
        </w:rPr>
        <w:t xml:space="preserve">in the </w:t>
      </w:r>
      <w:r w:rsidR="00B0261E" w:rsidRPr="007A3600">
        <w:rPr>
          <w:lang w:eastAsia="ja-JP"/>
        </w:rPr>
        <w:t>2025–26</w:t>
      </w:r>
      <w:r w:rsidR="00D0070F" w:rsidRPr="007A3600">
        <w:rPr>
          <w:lang w:eastAsia="ja-JP"/>
        </w:rPr>
        <w:t xml:space="preserve"> </w:t>
      </w:r>
      <w:r w:rsidR="00B0261E" w:rsidRPr="007A3600">
        <w:rPr>
          <w:lang w:eastAsia="ja-JP"/>
        </w:rPr>
        <w:t>c</w:t>
      </w:r>
      <w:r w:rsidR="00D0070F" w:rsidRPr="007A3600">
        <w:rPr>
          <w:lang w:eastAsia="ja-JP"/>
        </w:rPr>
        <w:t xml:space="preserve">orporate </w:t>
      </w:r>
      <w:r w:rsidR="00B0261E" w:rsidRPr="007A3600">
        <w:rPr>
          <w:lang w:eastAsia="ja-JP"/>
        </w:rPr>
        <w:t>p</w:t>
      </w:r>
      <w:r w:rsidR="00D0070F" w:rsidRPr="007A3600">
        <w:rPr>
          <w:lang w:eastAsia="ja-JP"/>
        </w:rPr>
        <w:t xml:space="preserve">lan. </w:t>
      </w:r>
      <w:r w:rsidR="00557BF6" w:rsidRPr="007A3600">
        <w:rPr>
          <w:lang w:eastAsia="ja-JP"/>
        </w:rPr>
        <w:t>See</w:t>
      </w:r>
      <w:r w:rsidR="00557BF6" w:rsidRPr="007A3600">
        <w:rPr>
          <w:rFonts w:cs="Arial"/>
        </w:rPr>
        <w:t xml:space="preserve"> section 1.4 of this report for details on additional changes</w:t>
      </w:r>
      <w:r w:rsidR="008B58BA" w:rsidRPr="007A3600">
        <w:rPr>
          <w:rFonts w:cs="Arial"/>
        </w:rPr>
        <w:t xml:space="preserve"> to the NDIS Act</w:t>
      </w:r>
      <w:r w:rsidR="00557BF6" w:rsidRPr="007A3600">
        <w:rPr>
          <w:rFonts w:cs="Arial"/>
        </w:rPr>
        <w:t>.</w:t>
      </w:r>
    </w:p>
    <w:p w14:paraId="5951153E" w14:textId="77777777" w:rsidR="00D0070F" w:rsidRPr="007A3600" w:rsidRDefault="00D0070F" w:rsidP="00AD3197">
      <w:pPr>
        <w:pStyle w:val="Heading4"/>
        <w:rPr>
          <w:lang w:eastAsia="ja-JP"/>
        </w:rPr>
      </w:pPr>
      <w:r w:rsidRPr="007A3600">
        <w:rPr>
          <w:lang w:eastAsia="ja-JP"/>
        </w:rPr>
        <w:lastRenderedPageBreak/>
        <w:t>Changes to performance measure reporting</w:t>
      </w:r>
    </w:p>
    <w:p w14:paraId="16A8CF2E" w14:textId="76175BB6" w:rsidR="00D0070F" w:rsidRPr="007A3600" w:rsidRDefault="00D0070F" w:rsidP="00AD3197">
      <w:pPr>
        <w:rPr>
          <w:lang w:eastAsia="ja-JP"/>
        </w:rPr>
      </w:pPr>
      <w:r w:rsidRPr="007A3600">
        <w:rPr>
          <w:lang w:eastAsia="ja-JP"/>
        </w:rPr>
        <w:t xml:space="preserve">The </w:t>
      </w:r>
      <w:r w:rsidR="00BF5581" w:rsidRPr="007A3600">
        <w:rPr>
          <w:lang w:eastAsia="ja-JP"/>
        </w:rPr>
        <w:t xml:space="preserve">NDIA </w:t>
      </w:r>
      <w:r w:rsidRPr="007A3600">
        <w:rPr>
          <w:lang w:eastAsia="ja-JP"/>
        </w:rPr>
        <w:t>Corporate Plan 2024</w:t>
      </w:r>
      <w:r w:rsidR="00AD7FFB" w:rsidRPr="007A3600">
        <w:rPr>
          <w:lang w:eastAsia="ja-JP"/>
        </w:rPr>
        <w:t>–</w:t>
      </w:r>
      <w:r w:rsidRPr="007A3600">
        <w:rPr>
          <w:lang w:eastAsia="ja-JP"/>
        </w:rPr>
        <w:t xml:space="preserve">25 outlined changes to the reporting of performance measures. In reviewing our performance measures, we considered the link to our functions, outcome statement and program objectives. Information about </w:t>
      </w:r>
      <w:r w:rsidR="00AD7FFB" w:rsidRPr="007A3600">
        <w:rPr>
          <w:lang w:eastAsia="ja-JP"/>
        </w:rPr>
        <w:t xml:space="preserve">previous </w:t>
      </w:r>
      <w:r w:rsidRPr="007A3600">
        <w:rPr>
          <w:lang w:eastAsia="ja-JP"/>
        </w:rPr>
        <w:t>measures</w:t>
      </w:r>
      <w:r w:rsidR="00AD7FFB" w:rsidRPr="007A3600">
        <w:rPr>
          <w:lang w:eastAsia="ja-JP"/>
        </w:rPr>
        <w:t xml:space="preserve"> that are</w:t>
      </w:r>
      <w:r w:rsidRPr="007A3600">
        <w:rPr>
          <w:lang w:eastAsia="ja-JP"/>
        </w:rPr>
        <w:t xml:space="preserve"> referenced </w:t>
      </w:r>
      <w:r w:rsidR="00C3526F" w:rsidRPr="007A3600">
        <w:rPr>
          <w:lang w:eastAsia="ja-JP"/>
        </w:rPr>
        <w:t xml:space="preserve">in this annual report </w:t>
      </w:r>
      <w:r w:rsidRPr="007A3600">
        <w:rPr>
          <w:lang w:eastAsia="ja-JP"/>
        </w:rPr>
        <w:t>can be found in relevant sections of th</w:t>
      </w:r>
      <w:r w:rsidR="00C3526F" w:rsidRPr="007A3600">
        <w:rPr>
          <w:lang w:eastAsia="ja-JP"/>
        </w:rPr>
        <w:t>e</w:t>
      </w:r>
      <w:r w:rsidRPr="007A3600">
        <w:rPr>
          <w:lang w:eastAsia="ja-JP"/>
        </w:rPr>
        <w:t xml:space="preserve"> report</w:t>
      </w:r>
      <w:r w:rsidR="00C3526F" w:rsidRPr="007A3600">
        <w:rPr>
          <w:lang w:eastAsia="ja-JP"/>
        </w:rPr>
        <w:t xml:space="preserve"> and</w:t>
      </w:r>
      <w:r w:rsidRPr="007A3600">
        <w:rPr>
          <w:lang w:eastAsia="ja-JP"/>
        </w:rPr>
        <w:t xml:space="preserve"> in other NDIS </w:t>
      </w:r>
      <w:r w:rsidR="00A24BD7" w:rsidRPr="007A3600">
        <w:rPr>
          <w:lang w:eastAsia="ja-JP"/>
        </w:rPr>
        <w:t>publications.</w:t>
      </w:r>
    </w:p>
    <w:p w14:paraId="6520E183" w14:textId="77777777" w:rsidR="00D0070F" w:rsidRPr="007A3600" w:rsidRDefault="00D0070F" w:rsidP="00AD3197">
      <w:pPr>
        <w:pStyle w:val="Heading4"/>
        <w:rPr>
          <w:lang w:eastAsia="ja-JP"/>
        </w:rPr>
      </w:pPr>
      <w:r w:rsidRPr="007A3600">
        <w:rPr>
          <w:lang w:eastAsia="ja-JP"/>
        </w:rPr>
        <w:t>Publication of a revised corporate plan for 2024–25</w:t>
      </w:r>
    </w:p>
    <w:p w14:paraId="39785B92" w14:textId="38482284" w:rsidR="00D0070F" w:rsidRPr="007A3600" w:rsidRDefault="00D0070F" w:rsidP="00AD3197">
      <w:pPr>
        <w:rPr>
          <w:lang w:eastAsia="ja-JP"/>
        </w:rPr>
      </w:pPr>
      <w:r w:rsidRPr="007A3600">
        <w:rPr>
          <w:lang w:eastAsia="ja-JP"/>
        </w:rPr>
        <w:t>The NDIA released a revised corporate plan for 2024</w:t>
      </w:r>
      <w:r w:rsidR="00305013" w:rsidRPr="007A3600">
        <w:rPr>
          <w:lang w:eastAsia="ja-JP"/>
        </w:rPr>
        <w:t>–</w:t>
      </w:r>
      <w:r w:rsidRPr="007A3600">
        <w:rPr>
          <w:lang w:eastAsia="ja-JP"/>
        </w:rPr>
        <w:t xml:space="preserve">25, effective from 1 April 2025. </w:t>
      </w:r>
      <w:r w:rsidR="001352AD" w:rsidRPr="007A3600">
        <w:rPr>
          <w:lang w:eastAsia="ja-JP"/>
        </w:rPr>
        <w:t xml:space="preserve">The </w:t>
      </w:r>
      <w:r w:rsidR="00824845" w:rsidRPr="007A3600">
        <w:rPr>
          <w:lang w:eastAsia="ja-JP"/>
        </w:rPr>
        <w:t>revised</w:t>
      </w:r>
      <w:r w:rsidR="001352AD" w:rsidRPr="007A3600">
        <w:rPr>
          <w:lang w:eastAsia="ja-JP"/>
        </w:rPr>
        <w:t xml:space="preserve"> plan contains</w:t>
      </w:r>
      <w:r w:rsidRPr="007A3600">
        <w:rPr>
          <w:lang w:eastAsia="ja-JP"/>
        </w:rPr>
        <w:t xml:space="preserve"> changes to targets for 2 performance measures:</w:t>
      </w:r>
    </w:p>
    <w:p w14:paraId="595DC8FA" w14:textId="30021EB5" w:rsidR="00D0070F" w:rsidRPr="007A3600" w:rsidRDefault="00D0070F" w:rsidP="00AD3197">
      <w:pPr>
        <w:pStyle w:val="Bullet1"/>
        <w:rPr>
          <w:lang w:eastAsia="ja-JP"/>
        </w:rPr>
      </w:pPr>
      <w:r w:rsidRPr="007A3600">
        <w:rPr>
          <w:lang w:eastAsia="ja-JP"/>
        </w:rPr>
        <w:t>Performance measure 1.6 – Average payment per participant</w:t>
      </w:r>
    </w:p>
    <w:p w14:paraId="7DF40FF5" w14:textId="24724EEA" w:rsidR="00D0070F" w:rsidRPr="007A3600" w:rsidRDefault="00D0070F" w:rsidP="00AD3197">
      <w:pPr>
        <w:pStyle w:val="Bullet1"/>
        <w:rPr>
          <w:lang w:eastAsia="ja-JP"/>
        </w:rPr>
      </w:pPr>
      <w:r w:rsidRPr="007A3600">
        <w:rPr>
          <w:lang w:eastAsia="ja-JP"/>
        </w:rPr>
        <w:t>Performance measure 1.7 – Annualised Scheme growth rate</w:t>
      </w:r>
      <w:r w:rsidR="001352AD" w:rsidRPr="007A3600">
        <w:rPr>
          <w:lang w:eastAsia="ja-JP"/>
        </w:rPr>
        <w:t>.</w:t>
      </w:r>
    </w:p>
    <w:p w14:paraId="171534D9" w14:textId="0015480C" w:rsidR="00D0070F" w:rsidRPr="007A3600" w:rsidRDefault="00D0070F" w:rsidP="00AD3197">
      <w:pPr>
        <w:rPr>
          <w:lang w:eastAsia="ja-JP"/>
        </w:rPr>
      </w:pPr>
      <w:r w:rsidRPr="007A3600">
        <w:rPr>
          <w:lang w:eastAsia="ja-JP"/>
        </w:rPr>
        <w:t xml:space="preserve">These target changes were made based on projections from the 2023–24 Annual Financial Sustainability Report and the Mid–Year Economic and Fiscal Outlook. </w:t>
      </w:r>
      <w:r w:rsidR="001352AD" w:rsidRPr="007A3600">
        <w:rPr>
          <w:lang w:eastAsia="ja-JP"/>
        </w:rPr>
        <w:t xml:space="preserve">For more </w:t>
      </w:r>
      <w:r w:rsidRPr="007A3600">
        <w:rPr>
          <w:lang w:eastAsia="ja-JP"/>
        </w:rPr>
        <w:t>details</w:t>
      </w:r>
      <w:r w:rsidR="00470C87" w:rsidRPr="007A3600">
        <w:rPr>
          <w:lang w:eastAsia="ja-JP"/>
        </w:rPr>
        <w:t xml:space="preserve">, see section </w:t>
      </w:r>
      <w:r w:rsidR="00F35380" w:rsidRPr="007A3600">
        <w:rPr>
          <w:lang w:eastAsia="ja-JP"/>
        </w:rPr>
        <w:t xml:space="preserve">2.3, </w:t>
      </w:r>
      <w:r w:rsidR="00EA40D2" w:rsidRPr="007A3600">
        <w:rPr>
          <w:lang w:eastAsia="ja-JP"/>
        </w:rPr>
        <w:t>‘</w:t>
      </w:r>
      <w:r w:rsidR="00F35380" w:rsidRPr="007A3600">
        <w:rPr>
          <w:lang w:eastAsia="ja-JP"/>
        </w:rPr>
        <w:t>Performance measure 1.6</w:t>
      </w:r>
      <w:r w:rsidR="000B04F3" w:rsidRPr="007A3600">
        <w:rPr>
          <w:lang w:eastAsia="ja-JP"/>
        </w:rPr>
        <w:t xml:space="preserve"> – Average payment per participant</w:t>
      </w:r>
      <w:r w:rsidRPr="007A3600">
        <w:rPr>
          <w:lang w:eastAsia="ja-JP"/>
        </w:rPr>
        <w:t xml:space="preserve"> </w:t>
      </w:r>
      <w:r w:rsidR="000B04F3" w:rsidRPr="007A3600">
        <w:rPr>
          <w:lang w:eastAsia="ja-JP"/>
        </w:rPr>
        <w:t xml:space="preserve">and Performance measure 1.7 </w:t>
      </w:r>
      <w:r w:rsidR="00C819B0" w:rsidRPr="007A3600">
        <w:rPr>
          <w:lang w:eastAsia="ja-JP"/>
        </w:rPr>
        <w:t>–</w:t>
      </w:r>
      <w:r w:rsidR="000B04F3" w:rsidRPr="007A3600">
        <w:rPr>
          <w:lang w:eastAsia="ja-JP"/>
        </w:rPr>
        <w:t xml:space="preserve"> </w:t>
      </w:r>
      <w:r w:rsidR="00C819B0" w:rsidRPr="007A3600">
        <w:rPr>
          <w:lang w:eastAsia="ja-JP"/>
        </w:rPr>
        <w:t>Annualised Scheme growth rate’ in this report</w:t>
      </w:r>
      <w:r w:rsidRPr="007A3600">
        <w:rPr>
          <w:lang w:eastAsia="ja-JP"/>
        </w:rPr>
        <w:t>.</w:t>
      </w:r>
    </w:p>
    <w:p w14:paraId="239932A3" w14:textId="77777777" w:rsidR="00D0070F" w:rsidRPr="007A3600" w:rsidRDefault="00D0070F" w:rsidP="00AD3197">
      <w:pPr>
        <w:pStyle w:val="Heading4"/>
        <w:rPr>
          <w:lang w:eastAsia="ja-JP"/>
        </w:rPr>
      </w:pPr>
      <w:r w:rsidRPr="007A3600">
        <w:rPr>
          <w:lang w:eastAsia="ja-JP"/>
        </w:rPr>
        <w:t>Overall performance toward our outcome</w:t>
      </w:r>
    </w:p>
    <w:p w14:paraId="486D6269" w14:textId="77777777" w:rsidR="00A304F8" w:rsidRPr="007A3600" w:rsidRDefault="00A304F8" w:rsidP="00AD3197">
      <w:pPr>
        <w:rPr>
          <w:lang w:eastAsia="ja-JP"/>
        </w:rPr>
      </w:pPr>
      <w:r w:rsidRPr="007A3600">
        <w:rPr>
          <w:lang w:eastAsia="ja-JP"/>
        </w:rPr>
        <w:t>At 30 June 2025, the NDIS is supporting 739,414 participants.</w:t>
      </w:r>
    </w:p>
    <w:p w14:paraId="47386DD5" w14:textId="0020BC1E" w:rsidR="00D0070F" w:rsidRPr="007A3600" w:rsidRDefault="00C81DA9" w:rsidP="00AD3197">
      <w:pPr>
        <w:rPr>
          <w:lang w:eastAsia="ja-JP"/>
        </w:rPr>
      </w:pPr>
      <w:r w:rsidRPr="007A3600">
        <w:rPr>
          <w:lang w:eastAsia="ja-JP"/>
        </w:rPr>
        <w:t>O</w:t>
      </w:r>
      <w:r w:rsidR="00D0070F" w:rsidRPr="007A3600">
        <w:rPr>
          <w:lang w:eastAsia="ja-JP"/>
        </w:rPr>
        <w:t xml:space="preserve">f the 12 performance measures in the </w:t>
      </w:r>
      <w:r w:rsidR="00305013" w:rsidRPr="007A3600">
        <w:rPr>
          <w:lang w:eastAsia="ja-JP"/>
        </w:rPr>
        <w:t xml:space="preserve">NDIA </w:t>
      </w:r>
      <w:r w:rsidR="00D0070F" w:rsidRPr="007A3600">
        <w:rPr>
          <w:lang w:eastAsia="ja-JP"/>
        </w:rPr>
        <w:t xml:space="preserve">Corporate Plan 2024–25, </w:t>
      </w:r>
      <w:r w:rsidR="00860E98" w:rsidRPr="007A3600">
        <w:rPr>
          <w:lang w:eastAsia="ja-JP"/>
        </w:rPr>
        <w:t>we</w:t>
      </w:r>
      <w:r w:rsidR="00D0070F" w:rsidRPr="007A3600">
        <w:rPr>
          <w:lang w:eastAsia="ja-JP"/>
        </w:rPr>
        <w:t xml:space="preserve"> achieved 7 targets. </w:t>
      </w:r>
      <w:r w:rsidR="002A617B" w:rsidRPr="007A3600">
        <w:rPr>
          <w:lang w:eastAsia="ja-JP"/>
        </w:rPr>
        <w:t>Among those achieved are</w:t>
      </w:r>
      <w:r w:rsidR="00D0070F" w:rsidRPr="007A3600">
        <w:rPr>
          <w:lang w:eastAsia="ja-JP"/>
        </w:rPr>
        <w:t xml:space="preserve"> key sustainability measures </w:t>
      </w:r>
      <w:r w:rsidR="00860E98" w:rsidRPr="007A3600">
        <w:rPr>
          <w:lang w:eastAsia="ja-JP"/>
        </w:rPr>
        <w:t>including</w:t>
      </w:r>
      <w:r w:rsidR="00D0070F" w:rsidRPr="007A3600">
        <w:rPr>
          <w:lang w:eastAsia="ja-JP"/>
        </w:rPr>
        <w:t xml:space="preserve"> the annualised Scheme growth rate and average payment per participant</w:t>
      </w:r>
      <w:r w:rsidR="00C84694" w:rsidRPr="007A3600">
        <w:rPr>
          <w:lang w:eastAsia="ja-JP"/>
        </w:rPr>
        <w:t xml:space="preserve">, which </w:t>
      </w:r>
      <w:r w:rsidR="00D0070F" w:rsidRPr="007A3600">
        <w:rPr>
          <w:lang w:eastAsia="ja-JP"/>
        </w:rPr>
        <w:t>form part of the NDIA commitment to meeting the 8% growth target agreed by National Cabinet.</w:t>
      </w:r>
    </w:p>
    <w:p w14:paraId="5ADA5D51" w14:textId="65841E1C" w:rsidR="00D0070F" w:rsidRPr="007A3600" w:rsidRDefault="00D0070F" w:rsidP="00AD3197">
      <w:pPr>
        <w:rPr>
          <w:lang w:eastAsia="ja-JP"/>
        </w:rPr>
      </w:pPr>
      <w:r w:rsidRPr="007A3600">
        <w:rPr>
          <w:lang w:eastAsia="ja-JP"/>
        </w:rPr>
        <w:t>We</w:t>
      </w:r>
      <w:r w:rsidR="00DB20FB" w:rsidRPr="007A3600">
        <w:rPr>
          <w:lang w:eastAsia="ja-JP"/>
        </w:rPr>
        <w:t xml:space="preserve"> ha</w:t>
      </w:r>
      <w:r w:rsidRPr="007A3600">
        <w:rPr>
          <w:lang w:eastAsia="ja-JP"/>
        </w:rPr>
        <w:t>ve exceeded our target for the percentage of staff with disability</w:t>
      </w:r>
      <w:r w:rsidR="00DB20FB" w:rsidRPr="007A3600">
        <w:rPr>
          <w:lang w:eastAsia="ja-JP"/>
        </w:rPr>
        <w:t xml:space="preserve"> – this shows</w:t>
      </w:r>
      <w:r w:rsidRPr="007A3600">
        <w:rPr>
          <w:lang w:eastAsia="ja-JP"/>
        </w:rPr>
        <w:t xml:space="preserve"> our commitment to fostering an inclusive, supportive, and empowering workplace. </w:t>
      </w:r>
      <w:r w:rsidR="00424165" w:rsidRPr="007A3600">
        <w:rPr>
          <w:lang w:eastAsia="ja-JP"/>
        </w:rPr>
        <w:t xml:space="preserve">Our </w:t>
      </w:r>
      <w:r w:rsidRPr="007A3600">
        <w:rPr>
          <w:lang w:eastAsia="ja-JP"/>
        </w:rPr>
        <w:t xml:space="preserve">result </w:t>
      </w:r>
      <w:r w:rsidR="00424165" w:rsidRPr="007A3600">
        <w:rPr>
          <w:lang w:eastAsia="ja-JP"/>
        </w:rPr>
        <w:t xml:space="preserve">against this target </w:t>
      </w:r>
      <w:r w:rsidR="00FF61BC" w:rsidRPr="007A3600">
        <w:rPr>
          <w:lang w:eastAsia="ja-JP"/>
        </w:rPr>
        <w:t>is the result of</w:t>
      </w:r>
      <w:r w:rsidRPr="007A3600">
        <w:rPr>
          <w:lang w:eastAsia="ja-JP"/>
        </w:rPr>
        <w:t xml:space="preserve"> a range of initiatives </w:t>
      </w:r>
      <w:r w:rsidR="00FF61BC" w:rsidRPr="007A3600">
        <w:rPr>
          <w:lang w:eastAsia="ja-JP"/>
        </w:rPr>
        <w:t xml:space="preserve">we have put in place </w:t>
      </w:r>
      <w:r w:rsidRPr="007A3600">
        <w:rPr>
          <w:lang w:eastAsia="ja-JP"/>
        </w:rPr>
        <w:t xml:space="preserve">to attract, retain, and uplift staff with disability and neurodivergent staff, and </w:t>
      </w:r>
      <w:r w:rsidR="00FF61BC" w:rsidRPr="007A3600">
        <w:rPr>
          <w:lang w:eastAsia="ja-JP"/>
        </w:rPr>
        <w:t xml:space="preserve">to </w:t>
      </w:r>
      <w:r w:rsidRPr="007A3600">
        <w:rPr>
          <w:lang w:eastAsia="ja-JP"/>
        </w:rPr>
        <w:t xml:space="preserve">ensure participants are well supported by staff with lived experience. </w:t>
      </w:r>
      <w:r w:rsidR="003A46EB" w:rsidRPr="007A3600">
        <w:rPr>
          <w:lang w:eastAsia="ja-JP"/>
        </w:rPr>
        <w:t>We also achieved our</w:t>
      </w:r>
      <w:r w:rsidRPr="007A3600">
        <w:rPr>
          <w:lang w:eastAsia="ja-JP"/>
        </w:rPr>
        <w:t xml:space="preserve"> target for connecting participants to community and/or mainstream supports.</w:t>
      </w:r>
    </w:p>
    <w:p w14:paraId="063ADD92" w14:textId="00E3ACE4" w:rsidR="00D0070F" w:rsidRPr="007A3600" w:rsidRDefault="003A46EB" w:rsidP="00AD3197">
      <w:pPr>
        <w:rPr>
          <w:lang w:eastAsia="ja-JP"/>
        </w:rPr>
      </w:pPr>
      <w:r w:rsidRPr="007A3600">
        <w:rPr>
          <w:lang w:eastAsia="ja-JP"/>
        </w:rPr>
        <w:t>We have met k</w:t>
      </w:r>
      <w:r w:rsidR="00D0070F" w:rsidRPr="007A3600">
        <w:rPr>
          <w:lang w:eastAsia="ja-JP"/>
        </w:rPr>
        <w:t>ey operational measures</w:t>
      </w:r>
      <w:r w:rsidR="00383B19" w:rsidRPr="007A3600">
        <w:rPr>
          <w:lang w:eastAsia="ja-JP"/>
        </w:rPr>
        <w:t>,</w:t>
      </w:r>
      <w:r w:rsidR="00D0070F" w:rsidRPr="007A3600" w:rsidDel="00383B19">
        <w:rPr>
          <w:lang w:eastAsia="ja-JP"/>
        </w:rPr>
        <w:t xml:space="preserve"> </w:t>
      </w:r>
      <w:r w:rsidR="00D0070F" w:rsidRPr="007A3600">
        <w:rPr>
          <w:lang w:eastAsia="ja-JP"/>
        </w:rPr>
        <w:t>with payments being made within agreed timeframes and participant issues being resolved on the first call to the National Call Centre</w:t>
      </w:r>
      <w:r w:rsidR="00383B19" w:rsidRPr="007A3600">
        <w:rPr>
          <w:lang w:eastAsia="ja-JP"/>
        </w:rPr>
        <w:t xml:space="preserve"> (NCC)</w:t>
      </w:r>
      <w:r w:rsidR="00D0070F" w:rsidRPr="007A3600">
        <w:rPr>
          <w:lang w:eastAsia="ja-JP"/>
        </w:rPr>
        <w:t>.</w:t>
      </w:r>
    </w:p>
    <w:p w14:paraId="1B52E828" w14:textId="094D7A4C" w:rsidR="00D0070F" w:rsidRPr="007A3600" w:rsidRDefault="00D0070F" w:rsidP="00AD3197">
      <w:pPr>
        <w:rPr>
          <w:lang w:eastAsia="ja-JP"/>
        </w:rPr>
      </w:pPr>
      <w:r w:rsidRPr="007A3600">
        <w:rPr>
          <w:lang w:eastAsia="ja-JP"/>
        </w:rPr>
        <w:lastRenderedPageBreak/>
        <w:t xml:space="preserve">The NDIA also continued to provide quality insights into the Scheme experience </w:t>
      </w:r>
      <w:r w:rsidR="00383B19" w:rsidRPr="007A3600">
        <w:rPr>
          <w:lang w:eastAsia="ja-JP"/>
        </w:rPr>
        <w:t>in our</w:t>
      </w:r>
      <w:r w:rsidRPr="007A3600">
        <w:rPr>
          <w:lang w:eastAsia="ja-JP"/>
        </w:rPr>
        <w:t xml:space="preserve"> NDIS Quarterly Reports to Disability </w:t>
      </w:r>
      <w:r w:rsidR="00536513" w:rsidRPr="007A3600">
        <w:rPr>
          <w:lang w:eastAsia="ja-JP"/>
        </w:rPr>
        <w:t>Ministers,</w:t>
      </w:r>
      <w:r w:rsidR="00C0739B" w:rsidRPr="007A3600">
        <w:rPr>
          <w:lang w:eastAsia="ja-JP"/>
        </w:rPr>
        <w:t xml:space="preserve"> </w:t>
      </w:r>
      <w:r w:rsidR="0091240A" w:rsidRPr="007A3600">
        <w:rPr>
          <w:lang w:eastAsia="ja-JP"/>
        </w:rPr>
        <w:t xml:space="preserve">which were delivered </w:t>
      </w:r>
      <w:r w:rsidRPr="007A3600">
        <w:rPr>
          <w:lang w:eastAsia="ja-JP"/>
        </w:rPr>
        <w:t>within prescribed timeframes.</w:t>
      </w:r>
    </w:p>
    <w:p w14:paraId="56A11042" w14:textId="1A86B904" w:rsidR="00D0070F" w:rsidRPr="007A3600" w:rsidRDefault="00D0070F" w:rsidP="00AD3197">
      <w:pPr>
        <w:rPr>
          <w:lang w:eastAsia="ja-JP"/>
        </w:rPr>
      </w:pPr>
      <w:r w:rsidRPr="007A3600">
        <w:rPr>
          <w:lang w:eastAsia="ja-JP"/>
        </w:rPr>
        <w:t>The NDIA did not meet the target for 5 performance measures, including for participant employment</w:t>
      </w:r>
      <w:r w:rsidR="00A538A7" w:rsidRPr="007A3600">
        <w:rPr>
          <w:lang w:eastAsia="ja-JP"/>
        </w:rPr>
        <w:t>,</w:t>
      </w:r>
      <w:r w:rsidRPr="007A3600">
        <w:rPr>
          <w:lang w:eastAsia="ja-JP"/>
        </w:rPr>
        <w:t xml:space="preserve"> and </w:t>
      </w:r>
      <w:r w:rsidR="00C84694" w:rsidRPr="007A3600">
        <w:rPr>
          <w:lang w:eastAsia="ja-JP"/>
        </w:rPr>
        <w:t xml:space="preserve">participant </w:t>
      </w:r>
      <w:r w:rsidRPr="007A3600">
        <w:rPr>
          <w:lang w:eastAsia="ja-JP"/>
        </w:rPr>
        <w:t xml:space="preserve">social and community engagement rates. This includes the </w:t>
      </w:r>
      <w:r w:rsidR="00AF5CAD" w:rsidRPr="007A3600">
        <w:rPr>
          <w:lang w:eastAsia="ja-JP"/>
        </w:rPr>
        <w:t>NDIA</w:t>
      </w:r>
      <w:r w:rsidRPr="007A3600">
        <w:rPr>
          <w:lang w:eastAsia="ja-JP"/>
        </w:rPr>
        <w:t>’s Participant Service Guarantee</w:t>
      </w:r>
      <w:r w:rsidR="001C70FE">
        <w:rPr>
          <w:lang w:eastAsia="ja-JP"/>
        </w:rPr>
        <w:t xml:space="preserve"> (PSG)</w:t>
      </w:r>
      <w:r w:rsidRPr="007A3600">
        <w:rPr>
          <w:lang w:eastAsia="ja-JP"/>
        </w:rPr>
        <w:t xml:space="preserve">, where </w:t>
      </w:r>
      <w:r w:rsidR="00581F35" w:rsidRPr="007A3600">
        <w:rPr>
          <w:lang w:eastAsia="ja-JP"/>
        </w:rPr>
        <w:t>we</w:t>
      </w:r>
      <w:r w:rsidRPr="007A3600">
        <w:rPr>
          <w:lang w:eastAsia="ja-JP"/>
        </w:rPr>
        <w:t xml:space="preserve"> continue to implement a remediation plan to address PSG timeframes and improve both the participant experience and PSG performance. For the participant satisfaction measure </w:t>
      </w:r>
      <w:r w:rsidR="00426B65" w:rsidRPr="007A3600">
        <w:rPr>
          <w:lang w:eastAsia="ja-JP"/>
        </w:rPr>
        <w:t>we</w:t>
      </w:r>
      <w:r w:rsidRPr="007A3600">
        <w:rPr>
          <w:lang w:eastAsia="ja-JP"/>
        </w:rPr>
        <w:t xml:space="preserve"> </w:t>
      </w:r>
      <w:r w:rsidR="00DA79D0" w:rsidRPr="007A3600">
        <w:rPr>
          <w:lang w:eastAsia="ja-JP"/>
        </w:rPr>
        <w:t>improved staff guidance to enhance decision quality and timel</w:t>
      </w:r>
      <w:r w:rsidR="00F2233C" w:rsidRPr="007A3600">
        <w:rPr>
          <w:lang w:eastAsia="ja-JP"/>
        </w:rPr>
        <w:t>i</w:t>
      </w:r>
      <w:r w:rsidR="00DA79D0" w:rsidRPr="007A3600">
        <w:rPr>
          <w:lang w:eastAsia="ja-JP"/>
        </w:rPr>
        <w:t>ness</w:t>
      </w:r>
      <w:r w:rsidR="006F11CD" w:rsidRPr="007A3600">
        <w:rPr>
          <w:lang w:eastAsia="ja-JP"/>
        </w:rPr>
        <w:t>.</w:t>
      </w:r>
      <w:r w:rsidR="00DA79D0" w:rsidRPr="007A3600">
        <w:rPr>
          <w:lang w:eastAsia="ja-JP"/>
        </w:rPr>
        <w:t xml:space="preserve"> </w:t>
      </w:r>
    </w:p>
    <w:p w14:paraId="13643F51" w14:textId="77777777" w:rsidR="00D32FFA" w:rsidRPr="007A3600" w:rsidRDefault="00D32FFA" w:rsidP="00AD3197">
      <w:pPr>
        <w:rPr>
          <w:lang w:eastAsia="ja-JP"/>
        </w:rPr>
      </w:pPr>
      <w:r w:rsidRPr="007A3600">
        <w:rPr>
          <w:lang w:eastAsia="ja-JP"/>
        </w:rPr>
        <w:t>We are focused on supporting participants to exercise choice and control over implementing their plan. Participants can exercise choice and control through selecting their goals and providers to ensure they get the supports they need. This also ensures participants can take reasonable risks managing their plan.</w:t>
      </w:r>
    </w:p>
    <w:p w14:paraId="04BAEA43" w14:textId="432678AB" w:rsidR="00EF34EB" w:rsidRPr="007A3600" w:rsidRDefault="00EF34EB" w:rsidP="00AD3197">
      <w:pPr>
        <w:pStyle w:val="Caption"/>
        <w:rPr>
          <w:lang w:eastAsia="ja-JP"/>
        </w:rPr>
      </w:pPr>
      <w:r w:rsidRPr="007A3600">
        <w:rPr>
          <w:lang w:eastAsia="ja-JP"/>
        </w:rPr>
        <w:t xml:space="preserve">Figure </w:t>
      </w:r>
      <w:r w:rsidR="00CA6B2F" w:rsidRPr="007A3600">
        <w:rPr>
          <w:lang w:eastAsia="ja-JP"/>
        </w:rPr>
        <w:t>2</w:t>
      </w:r>
      <w:r w:rsidRPr="007A3600">
        <w:rPr>
          <w:lang w:eastAsia="ja-JP"/>
        </w:rPr>
        <w:t xml:space="preserve">: Performance measure target results </w:t>
      </w:r>
      <w:r w:rsidR="00411237" w:rsidRPr="007A3600">
        <w:rPr>
          <w:lang w:eastAsia="ja-JP"/>
        </w:rPr>
        <w:t>by program</w:t>
      </w:r>
    </w:p>
    <w:p w14:paraId="7BF9A9FC" w14:textId="0CD72A90" w:rsidR="00D0070F" w:rsidRPr="007A3600" w:rsidRDefault="00500475" w:rsidP="00AD3197">
      <w:pPr>
        <w:rPr>
          <w:lang w:eastAsia="ja-JP"/>
        </w:rPr>
      </w:pPr>
      <w:r w:rsidRPr="007A3600">
        <w:rPr>
          <w:rFonts w:eastAsia="Times New Roman"/>
          <w:noProof/>
          <w:lang w:eastAsia="ja-JP"/>
        </w:rPr>
        <w:drawing>
          <wp:inline distT="0" distB="0" distL="0" distR="0" wp14:anchorId="35888691" wp14:editId="713BD7D4">
            <wp:extent cx="5257800" cy="2171700"/>
            <wp:effectExtent l="19050" t="19050" r="19050" b="19050"/>
            <wp:docPr id="1375554558" name="Picture 6" descr="The performance measure target results by outcome for program 1.1 and program 1.2. For program 1.1, 3 performance measures have achieved their targets while 4 did not. For program 1.2, 4 performance measures have achieved target results while 1 did n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5554558" name="Picture 6" descr="The performance measure target results by outcome for program 1.1 and program 1.2. For program 1.1, 3 performance measures have achieved their targets while 4 did not. For program 1.2, 4 performance measures have achieved target results while 1 did not."/>
                    <pic:cNvPicPr>
                      <a:picLocks noChangeAspect="1" noChangeArrowheads="1"/>
                    </pic:cNvPicPr>
                  </pic:nvPicPr>
                  <pic:blipFill rotWithShape="1">
                    <a:blip r:embed="rId34">
                      <a:extLst>
                        <a:ext uri="{28A0092B-C50C-407E-A947-70E740481C1C}">
                          <a14:useLocalDpi xmlns:a14="http://schemas.microsoft.com/office/drawing/2010/main" val="0"/>
                        </a:ext>
                      </a:extLst>
                    </a:blip>
                    <a:srcRect t="18572"/>
                    <a:stretch>
                      <a:fillRect/>
                    </a:stretch>
                  </pic:blipFill>
                  <pic:spPr bwMode="auto">
                    <a:xfrm>
                      <a:off x="0" y="0"/>
                      <a:ext cx="5257800" cy="2171700"/>
                    </a:xfrm>
                    <a:prstGeom prst="rect">
                      <a:avLst/>
                    </a:prstGeom>
                    <a:noFill/>
                    <a:ln>
                      <a:solidFill>
                        <a:schemeClr val="accent1"/>
                      </a:solidFill>
                    </a:ln>
                    <a:extLst>
                      <a:ext uri="{53640926-AAD7-44D8-BBD7-CCE9431645EC}">
                        <a14:shadowObscured xmlns:a14="http://schemas.microsoft.com/office/drawing/2010/main"/>
                      </a:ext>
                    </a:extLst>
                  </pic:spPr>
                </pic:pic>
              </a:graphicData>
            </a:graphic>
          </wp:inline>
        </w:drawing>
      </w:r>
    </w:p>
    <w:p w14:paraId="33FB2BF9" w14:textId="77777777" w:rsidR="00D0070F" w:rsidRPr="007A3600" w:rsidRDefault="00D0070F" w:rsidP="00AD3197">
      <w:pPr>
        <w:pStyle w:val="Heading4"/>
        <w:rPr>
          <w:lang w:eastAsia="ja-JP"/>
        </w:rPr>
      </w:pPr>
      <w:r w:rsidRPr="007A3600">
        <w:rPr>
          <w:lang w:eastAsia="ja-JP"/>
        </w:rPr>
        <w:t>Program 1.1 performance statement</w:t>
      </w:r>
    </w:p>
    <w:p w14:paraId="45D2BA03" w14:textId="77777777" w:rsidR="00D0070F" w:rsidRPr="007A3600" w:rsidRDefault="00D0070F" w:rsidP="00AD3197">
      <w:pPr>
        <w:rPr>
          <w:lang w:eastAsia="ja-JP"/>
        </w:rPr>
      </w:pPr>
      <w:r w:rsidRPr="007A3600">
        <w:rPr>
          <w:lang w:eastAsia="ja-JP"/>
        </w:rPr>
        <w:t>The objective of this program is to provide funding for reasonable and necessary supports, including early intervention supports, to eligible people with disability ensuring participants have flexibility, choice and control to pursue their goals for improved independence and social and economic participation.</w:t>
      </w:r>
    </w:p>
    <w:p w14:paraId="4036D4AA" w14:textId="77777777" w:rsidR="00D0070F" w:rsidRPr="007A3600" w:rsidRDefault="00D0070F" w:rsidP="00AD3197">
      <w:pPr>
        <w:pStyle w:val="Heading5"/>
        <w:rPr>
          <w:lang w:eastAsia="ja-JP"/>
        </w:rPr>
      </w:pPr>
      <w:r w:rsidRPr="007A3600">
        <w:rPr>
          <w:lang w:eastAsia="ja-JP"/>
        </w:rPr>
        <w:t>Key activity 1</w:t>
      </w:r>
    </w:p>
    <w:p w14:paraId="128953DB" w14:textId="77777777" w:rsidR="00D0070F" w:rsidRPr="007A3600" w:rsidRDefault="00D0070F" w:rsidP="00AD3197">
      <w:pPr>
        <w:rPr>
          <w:lang w:eastAsia="ja-JP"/>
        </w:rPr>
      </w:pPr>
      <w:r w:rsidRPr="007A3600">
        <w:rPr>
          <w:lang w:eastAsia="ja-JP"/>
        </w:rPr>
        <w:t>Improve participant experience and outcomes with a financially sustainable Scheme.</w:t>
      </w:r>
    </w:p>
    <w:p w14:paraId="756A26B4" w14:textId="0E65D6D0" w:rsidR="00D0070F" w:rsidRPr="007A3600" w:rsidRDefault="001A5067" w:rsidP="00AD3197">
      <w:pPr>
        <w:rPr>
          <w:lang w:eastAsia="ja-JP"/>
        </w:rPr>
      </w:pPr>
      <w:r w:rsidRPr="007A3600">
        <w:rPr>
          <w:lang w:eastAsia="ja-JP"/>
        </w:rPr>
        <w:t>See s</w:t>
      </w:r>
      <w:r w:rsidR="00D0070F" w:rsidRPr="007A3600">
        <w:rPr>
          <w:lang w:eastAsia="ja-JP"/>
        </w:rPr>
        <w:t xml:space="preserve">ection 3 of the </w:t>
      </w:r>
      <w:r w:rsidR="00E9796C" w:rsidRPr="007A3600">
        <w:rPr>
          <w:lang w:eastAsia="ja-JP"/>
        </w:rPr>
        <w:t xml:space="preserve">NDIA </w:t>
      </w:r>
      <w:r w:rsidR="00D0070F" w:rsidRPr="007A3600">
        <w:rPr>
          <w:lang w:eastAsia="ja-JP"/>
        </w:rPr>
        <w:t xml:space="preserve">Corporate Plan 2024–25 </w:t>
      </w:r>
      <w:r w:rsidRPr="007A3600">
        <w:rPr>
          <w:lang w:eastAsia="ja-JP"/>
        </w:rPr>
        <w:t>for</w:t>
      </w:r>
      <w:r w:rsidR="00D0070F" w:rsidRPr="007A3600">
        <w:rPr>
          <w:lang w:eastAsia="ja-JP"/>
        </w:rPr>
        <w:t xml:space="preserve"> more detail about this key activity.</w:t>
      </w:r>
      <w:r w:rsidR="00885240" w:rsidRPr="007A3600">
        <w:rPr>
          <w:lang w:eastAsia="ja-JP"/>
        </w:rPr>
        <w:t xml:space="preserve"> </w:t>
      </w:r>
      <w:r w:rsidR="0013303A" w:rsidRPr="007A3600">
        <w:rPr>
          <w:lang w:val="en-GB" w:eastAsia="ja-JP"/>
        </w:rPr>
        <w:t>D</w:t>
      </w:r>
      <w:r w:rsidR="00581CA0" w:rsidRPr="007A3600">
        <w:rPr>
          <w:lang w:val="en-GB" w:eastAsia="ja-JP"/>
        </w:rPr>
        <w:t xml:space="preserve">etails </w:t>
      </w:r>
      <w:r w:rsidR="004A42F4" w:rsidRPr="007A3600">
        <w:rPr>
          <w:lang w:val="en-GB" w:eastAsia="ja-JP"/>
        </w:rPr>
        <w:t xml:space="preserve">are also included </w:t>
      </w:r>
      <w:r w:rsidR="00581CA0" w:rsidRPr="007A3600">
        <w:rPr>
          <w:lang w:val="en-GB" w:eastAsia="ja-JP"/>
        </w:rPr>
        <w:t xml:space="preserve">on the definition of NDIS financial sustainability. Risks, issues, and management recommendations are outlined in the NDIS Annual </w:t>
      </w:r>
      <w:r w:rsidR="00581CA0" w:rsidRPr="007A3600">
        <w:rPr>
          <w:lang w:val="en-GB" w:eastAsia="ja-JP"/>
        </w:rPr>
        <w:lastRenderedPageBreak/>
        <w:t>Financial Sustainability Report (AFSR)</w:t>
      </w:r>
      <w:r w:rsidR="0021731D" w:rsidRPr="007A3600">
        <w:rPr>
          <w:lang w:val="en-GB" w:eastAsia="ja-JP"/>
        </w:rPr>
        <w:t xml:space="preserve">, including </w:t>
      </w:r>
      <w:r w:rsidR="0021731D" w:rsidRPr="007A3600">
        <w:rPr>
          <w:lang w:eastAsia="ja-JP"/>
        </w:rPr>
        <w:t>a progress update on previous recommendations made by the Scheme Actuary and actions taken by the NDIA</w:t>
      </w:r>
      <w:r w:rsidR="00581CA0" w:rsidRPr="007A3600">
        <w:rPr>
          <w:lang w:val="en-GB" w:eastAsia="ja-JP"/>
        </w:rPr>
        <w:t>.</w:t>
      </w:r>
      <w:r w:rsidR="00D0070F" w:rsidRPr="007A3600">
        <w:rPr>
          <w:lang w:eastAsia="ja-JP"/>
        </w:rPr>
        <w:t xml:space="preserve"> </w:t>
      </w:r>
    </w:p>
    <w:p w14:paraId="045BBCCF" w14:textId="77777777" w:rsidR="00D0070F" w:rsidRPr="007A3600" w:rsidRDefault="00D0070F" w:rsidP="00AD3197">
      <w:pPr>
        <w:pStyle w:val="Heading5"/>
        <w:rPr>
          <w:lang w:eastAsia="ja-JP"/>
        </w:rPr>
      </w:pPr>
      <w:r w:rsidRPr="007A3600">
        <w:rPr>
          <w:lang w:eastAsia="ja-JP"/>
        </w:rPr>
        <w:t>Performance measure 1.1 – Participant employment rate</w:t>
      </w:r>
    </w:p>
    <w:tbl>
      <w:tblPr>
        <w:tblStyle w:val="NDISTable1"/>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F93B3B" w:rsidRPr="007A3600" w14:paraId="3DA406F1" w14:textId="77777777" w:rsidTr="00395E37">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tcPr>
          <w:p w14:paraId="0E452759" w14:textId="34BC8C9C" w:rsidR="001856F9" w:rsidRPr="007A3600" w:rsidRDefault="001856F9" w:rsidP="00AD3197">
            <w:pPr>
              <w:pStyle w:val="TableBody"/>
              <w:keepNext/>
              <w:spacing w:before="40" w:after="40"/>
              <w:rPr>
                <w:b/>
                <w:color w:val="000000"/>
                <w:szCs w:val="24"/>
                <w:lang w:val="en-GB"/>
              </w:rPr>
            </w:pPr>
            <w:r w:rsidRPr="007A3600">
              <w:rPr>
                <w:b/>
                <w:color w:val="000000"/>
                <w:szCs w:val="24"/>
                <w:lang w:val="en-GB"/>
              </w:rPr>
              <w:t xml:space="preserve">Performance </w:t>
            </w:r>
            <w:r w:rsidR="007E4578" w:rsidRPr="007A3600">
              <w:rPr>
                <w:b/>
                <w:color w:val="000000"/>
                <w:szCs w:val="24"/>
                <w:lang w:val="en-GB"/>
              </w:rPr>
              <w:t>m</w:t>
            </w:r>
            <w:r w:rsidRPr="007A3600">
              <w:rPr>
                <w:b/>
                <w:color w:val="000000"/>
                <w:szCs w:val="24"/>
                <w:lang w:val="en-GB"/>
              </w:rPr>
              <w:t>easure</w:t>
            </w:r>
          </w:p>
        </w:tc>
        <w:tc>
          <w:tcPr>
            <w:tcW w:w="1474" w:type="dxa"/>
            <w:shd w:val="clear" w:color="auto" w:fill="B7D98A"/>
          </w:tcPr>
          <w:p w14:paraId="0E03478B" w14:textId="7889E03D" w:rsidR="001856F9" w:rsidRPr="007A3600" w:rsidRDefault="001856F9" w:rsidP="00AD3197">
            <w:pPr>
              <w:pStyle w:val="TableBody"/>
              <w:keepNext/>
              <w:spacing w:before="40" w:after="40"/>
              <w:jc w:val="right"/>
              <w:rPr>
                <w:b/>
                <w:color w:val="000000"/>
                <w:szCs w:val="24"/>
                <w:lang w:val="en-GB"/>
              </w:rPr>
            </w:pPr>
            <w:r w:rsidRPr="007A3600">
              <w:rPr>
                <w:b/>
                <w:color w:val="000000"/>
                <w:szCs w:val="24"/>
                <w:lang w:val="en-GB"/>
              </w:rPr>
              <w:t>2024–25 target</w:t>
            </w:r>
          </w:p>
        </w:tc>
        <w:tc>
          <w:tcPr>
            <w:tcW w:w="1474" w:type="dxa"/>
            <w:shd w:val="clear" w:color="auto" w:fill="B7D98A"/>
          </w:tcPr>
          <w:p w14:paraId="2EDC5A8A" w14:textId="49CE3927" w:rsidR="001856F9" w:rsidRPr="007A3600" w:rsidRDefault="001856F9" w:rsidP="00AD3197">
            <w:pPr>
              <w:pStyle w:val="TableBody"/>
              <w:keepNext/>
              <w:spacing w:before="40" w:after="40"/>
              <w:jc w:val="right"/>
              <w:rPr>
                <w:b/>
                <w:color w:val="000000"/>
                <w:szCs w:val="24"/>
                <w:lang w:val="en-GB"/>
              </w:rPr>
            </w:pPr>
            <w:r w:rsidRPr="007A3600">
              <w:rPr>
                <w:b/>
                <w:color w:val="000000"/>
                <w:szCs w:val="24"/>
                <w:lang w:val="en-GB"/>
              </w:rPr>
              <w:t>2024–25 result</w:t>
            </w:r>
          </w:p>
        </w:tc>
        <w:tc>
          <w:tcPr>
            <w:tcW w:w="1474" w:type="dxa"/>
            <w:shd w:val="clear" w:color="auto" w:fill="B7D98A"/>
          </w:tcPr>
          <w:p w14:paraId="568A3F11" w14:textId="72491DA1" w:rsidR="001856F9" w:rsidRPr="007A3600" w:rsidRDefault="001856F9" w:rsidP="00AD3197">
            <w:pPr>
              <w:pStyle w:val="TableBody"/>
              <w:keepNext/>
              <w:spacing w:before="40" w:after="40"/>
              <w:jc w:val="right"/>
              <w:rPr>
                <w:b/>
                <w:color w:val="000000"/>
                <w:szCs w:val="24"/>
                <w:lang w:val="en-GB"/>
              </w:rPr>
            </w:pPr>
            <w:r w:rsidRPr="007A3600">
              <w:rPr>
                <w:b/>
                <w:color w:val="000000"/>
                <w:szCs w:val="24"/>
                <w:lang w:val="en-GB"/>
              </w:rPr>
              <w:t>2024–25 outcome</w:t>
            </w:r>
          </w:p>
        </w:tc>
        <w:tc>
          <w:tcPr>
            <w:tcW w:w="1474" w:type="dxa"/>
            <w:shd w:val="clear" w:color="auto" w:fill="B7D98A"/>
          </w:tcPr>
          <w:p w14:paraId="10A24E57" w14:textId="4EAE5117" w:rsidR="001856F9" w:rsidRPr="007A3600" w:rsidRDefault="001856F9" w:rsidP="00AD3197">
            <w:pPr>
              <w:pStyle w:val="TableBody"/>
              <w:keepNext/>
              <w:spacing w:before="40" w:after="40"/>
              <w:jc w:val="right"/>
              <w:rPr>
                <w:b/>
                <w:color w:val="000000"/>
                <w:szCs w:val="24"/>
                <w:lang w:val="en-GB"/>
              </w:rPr>
            </w:pPr>
            <w:r w:rsidRPr="007A3600">
              <w:rPr>
                <w:b/>
                <w:color w:val="000000"/>
                <w:szCs w:val="24"/>
                <w:lang w:val="en-GB"/>
              </w:rPr>
              <w:t>2023–24 result</w:t>
            </w:r>
          </w:p>
        </w:tc>
      </w:tr>
      <w:tr w:rsidR="00CF1A80" w:rsidRPr="007A3600" w14:paraId="43215C46" w14:textId="77777777" w:rsidTr="00395E37">
        <w:trPr>
          <w:cnfStyle w:val="000000100000" w:firstRow="0" w:lastRow="0" w:firstColumn="0" w:lastColumn="0" w:oddVBand="0" w:evenVBand="0" w:oddHBand="1" w:evenHBand="0" w:firstRowFirstColumn="0" w:firstRowLastColumn="0" w:lastRowFirstColumn="0" w:lastRowLastColumn="0"/>
          <w:trHeight w:val="510"/>
        </w:trPr>
        <w:tc>
          <w:tcPr>
            <w:tcW w:w="0" w:type="dxa"/>
            <w:shd w:val="clear" w:color="auto" w:fill="E5F1D4"/>
          </w:tcPr>
          <w:p w14:paraId="58AB3340" w14:textId="77777777" w:rsidR="001856F9" w:rsidRPr="007A3600" w:rsidRDefault="001856F9" w:rsidP="00AD3197">
            <w:pPr>
              <w:pStyle w:val="TableBody"/>
              <w:keepNext/>
              <w:spacing w:before="40" w:after="40"/>
              <w:rPr>
                <w:szCs w:val="24"/>
                <w:lang w:val="en-GB"/>
              </w:rPr>
            </w:pPr>
            <w:r w:rsidRPr="007A3600">
              <w:rPr>
                <w:szCs w:val="24"/>
              </w:rPr>
              <w:t>Participant employment rate</w:t>
            </w:r>
          </w:p>
        </w:tc>
        <w:tc>
          <w:tcPr>
            <w:tcW w:w="0" w:type="dxa"/>
            <w:shd w:val="clear" w:color="auto" w:fill="E5F1D4"/>
          </w:tcPr>
          <w:p w14:paraId="3ADA0713" w14:textId="77777777" w:rsidR="001856F9" w:rsidRPr="007A3600" w:rsidRDefault="001856F9" w:rsidP="00AD3197">
            <w:pPr>
              <w:pStyle w:val="TableBody"/>
              <w:keepNext/>
              <w:spacing w:before="40" w:after="40"/>
              <w:jc w:val="right"/>
              <w:rPr>
                <w:szCs w:val="24"/>
                <w:lang w:val="en-GB"/>
              </w:rPr>
            </w:pPr>
            <w:r w:rsidRPr="007A3600">
              <w:rPr>
                <w:szCs w:val="24"/>
                <w:lang w:val="en-GB"/>
              </w:rPr>
              <w:t>26%</w:t>
            </w:r>
          </w:p>
        </w:tc>
        <w:tc>
          <w:tcPr>
            <w:tcW w:w="0" w:type="dxa"/>
            <w:shd w:val="clear" w:color="auto" w:fill="E5F1D4"/>
          </w:tcPr>
          <w:p w14:paraId="594E4229" w14:textId="77777777" w:rsidR="001856F9" w:rsidRPr="007A3600" w:rsidRDefault="001856F9" w:rsidP="00AD3197">
            <w:pPr>
              <w:pStyle w:val="TableBody"/>
              <w:keepNext/>
              <w:spacing w:before="40" w:after="40"/>
              <w:jc w:val="right"/>
              <w:rPr>
                <w:szCs w:val="24"/>
                <w:lang w:val="en-GB"/>
              </w:rPr>
            </w:pPr>
            <w:r w:rsidRPr="007A3600">
              <w:rPr>
                <w:szCs w:val="24"/>
                <w:lang w:val="en-GB"/>
              </w:rPr>
              <w:t>22.4%</w:t>
            </w:r>
          </w:p>
        </w:tc>
        <w:tc>
          <w:tcPr>
            <w:tcW w:w="0" w:type="dxa"/>
            <w:shd w:val="clear" w:color="auto" w:fill="E5F1D4"/>
          </w:tcPr>
          <w:p w14:paraId="2A4D0C11" w14:textId="281F2545" w:rsidR="001856F9" w:rsidRPr="007A3600" w:rsidRDefault="001856F9" w:rsidP="00AD3197">
            <w:pPr>
              <w:pStyle w:val="TableBody"/>
              <w:keepNext/>
              <w:spacing w:before="40" w:after="40"/>
              <w:jc w:val="right"/>
              <w:rPr>
                <w:szCs w:val="24"/>
                <w:lang w:val="en-GB"/>
              </w:rPr>
            </w:pPr>
            <w:r w:rsidRPr="007A3600">
              <w:rPr>
                <w:szCs w:val="24"/>
                <w:lang w:val="en-GB"/>
              </w:rPr>
              <w:t xml:space="preserve">Not </w:t>
            </w:r>
            <w:r w:rsidR="00957285" w:rsidRPr="007A3600">
              <w:rPr>
                <w:szCs w:val="24"/>
                <w:lang w:val="en-GB"/>
              </w:rPr>
              <w:t>a</w:t>
            </w:r>
            <w:r w:rsidRPr="007A3600">
              <w:rPr>
                <w:szCs w:val="24"/>
                <w:lang w:val="en-GB"/>
              </w:rPr>
              <w:t>chieved</w:t>
            </w:r>
          </w:p>
        </w:tc>
        <w:tc>
          <w:tcPr>
            <w:tcW w:w="0" w:type="dxa"/>
            <w:shd w:val="clear" w:color="auto" w:fill="E5F1D4"/>
          </w:tcPr>
          <w:p w14:paraId="68D4B49A" w14:textId="77777777" w:rsidR="001856F9" w:rsidRPr="007A3600" w:rsidRDefault="001856F9" w:rsidP="00AD3197">
            <w:pPr>
              <w:pStyle w:val="TableBody"/>
              <w:keepNext/>
              <w:spacing w:before="40" w:after="40"/>
              <w:jc w:val="right"/>
              <w:rPr>
                <w:szCs w:val="24"/>
                <w:lang w:val="en-GB"/>
              </w:rPr>
            </w:pPr>
            <w:r w:rsidRPr="007A3600">
              <w:rPr>
                <w:szCs w:val="24"/>
                <w:lang w:val="en-GB"/>
              </w:rPr>
              <w:t>22.6%</w:t>
            </w:r>
          </w:p>
        </w:tc>
      </w:tr>
    </w:tbl>
    <w:p w14:paraId="55882E43" w14:textId="77777777" w:rsidR="00D0070F" w:rsidRPr="007A3600" w:rsidRDefault="00D0070F" w:rsidP="00AD3197">
      <w:pPr>
        <w:pStyle w:val="Heading6"/>
        <w:rPr>
          <w:lang w:eastAsia="ja-JP"/>
        </w:rPr>
      </w:pPr>
      <w:r w:rsidRPr="007A3600">
        <w:rPr>
          <w:lang w:eastAsia="ja-JP"/>
        </w:rPr>
        <w:t>Why we measure this</w:t>
      </w:r>
    </w:p>
    <w:p w14:paraId="646394DB" w14:textId="22642F3A" w:rsidR="00D0070F" w:rsidRPr="007A3600" w:rsidRDefault="00A635BD" w:rsidP="00AD3197">
      <w:pPr>
        <w:rPr>
          <w:lang w:eastAsia="ja-JP"/>
        </w:rPr>
      </w:pPr>
      <w:r w:rsidRPr="007A3600">
        <w:rPr>
          <w:lang w:eastAsia="ja-JP"/>
        </w:rPr>
        <w:t>This m</w:t>
      </w:r>
      <w:r w:rsidR="00D0070F" w:rsidRPr="007A3600">
        <w:rPr>
          <w:lang w:eastAsia="ja-JP"/>
        </w:rPr>
        <w:t xml:space="preserve">easures the effectiveness of the </w:t>
      </w:r>
      <w:r w:rsidRPr="007A3600">
        <w:rPr>
          <w:lang w:eastAsia="ja-JP"/>
        </w:rPr>
        <w:t>NDIS</w:t>
      </w:r>
      <w:r w:rsidR="00D0070F" w:rsidRPr="007A3600">
        <w:rPr>
          <w:lang w:eastAsia="ja-JP"/>
        </w:rPr>
        <w:t xml:space="preserve"> in supporting the independence, and social and economic participation, of people with disability.</w:t>
      </w:r>
    </w:p>
    <w:p w14:paraId="5B529190" w14:textId="77777777" w:rsidR="00D0070F" w:rsidRPr="007A3600" w:rsidRDefault="00D0070F" w:rsidP="00AD3197">
      <w:pPr>
        <w:pStyle w:val="Heading6"/>
        <w:rPr>
          <w:lang w:eastAsia="ja-JP"/>
        </w:rPr>
      </w:pPr>
      <w:r w:rsidRPr="007A3600">
        <w:rPr>
          <w:lang w:eastAsia="ja-JP"/>
        </w:rPr>
        <w:t>How we measure this</w:t>
      </w:r>
    </w:p>
    <w:p w14:paraId="09A732C2" w14:textId="10285808" w:rsidR="00D0070F" w:rsidRPr="007A3600" w:rsidRDefault="00D0070F" w:rsidP="00AD3197">
      <w:pPr>
        <w:rPr>
          <w:lang w:eastAsia="ja-JP"/>
        </w:rPr>
      </w:pPr>
      <w:r w:rsidRPr="007A3600">
        <w:rPr>
          <w:lang w:eastAsia="ja-JP"/>
        </w:rPr>
        <w:t xml:space="preserve">The participant employment rate is calculated as the number of participants aged 15 to 64 (working age) who responded ‘Yes’ to the question ‘Do you have a paid job?’ at their latest plan reassessment divided by the number of respondents. Responses from participants who have been in the Scheme for more than </w:t>
      </w:r>
      <w:r w:rsidR="00DE7ECE" w:rsidRPr="007A3600">
        <w:rPr>
          <w:lang w:eastAsia="ja-JP"/>
        </w:rPr>
        <w:t xml:space="preserve">2 </w:t>
      </w:r>
      <w:r w:rsidRPr="007A3600">
        <w:rPr>
          <w:lang w:eastAsia="ja-JP"/>
        </w:rPr>
        <w:t xml:space="preserve">years are included in the result. </w:t>
      </w:r>
      <w:r w:rsidR="00A635BD" w:rsidRPr="007A3600">
        <w:rPr>
          <w:lang w:eastAsia="ja-JP"/>
        </w:rPr>
        <w:t>Also</w:t>
      </w:r>
      <w:r w:rsidRPr="007A3600">
        <w:rPr>
          <w:lang w:eastAsia="ja-JP"/>
        </w:rPr>
        <w:t xml:space="preserve">, to enable longitudinal analysis, </w:t>
      </w:r>
      <w:r w:rsidR="00A635BD" w:rsidRPr="007A3600">
        <w:rPr>
          <w:lang w:eastAsia="ja-JP"/>
        </w:rPr>
        <w:t xml:space="preserve">we </w:t>
      </w:r>
      <w:r w:rsidRPr="007A3600">
        <w:rPr>
          <w:lang w:eastAsia="ja-JP"/>
        </w:rPr>
        <w:t>only</w:t>
      </w:r>
      <w:r w:rsidR="002E7B3E" w:rsidRPr="007A3600">
        <w:rPr>
          <w:lang w:eastAsia="ja-JP"/>
        </w:rPr>
        <w:t xml:space="preserve"> include</w:t>
      </w:r>
      <w:r w:rsidRPr="007A3600">
        <w:rPr>
          <w:lang w:eastAsia="ja-JP"/>
        </w:rPr>
        <w:t xml:space="preserve"> participant responses received within 9 to 15 months of a </w:t>
      </w:r>
      <w:r w:rsidR="00A635BD" w:rsidRPr="007A3600">
        <w:rPr>
          <w:lang w:eastAsia="ja-JP"/>
        </w:rPr>
        <w:t xml:space="preserve">previous </w:t>
      </w:r>
      <w:r w:rsidRPr="007A3600">
        <w:rPr>
          <w:lang w:eastAsia="ja-JP"/>
        </w:rPr>
        <w:t>reassessment and with a baseline result at Scheme entry. The source of the data is the NDIA’s Short Form Outcomes Framework questionnaires. For more details</w:t>
      </w:r>
      <w:r w:rsidR="00D95346" w:rsidRPr="007A3600">
        <w:rPr>
          <w:lang w:eastAsia="ja-JP"/>
        </w:rPr>
        <w:t>,</w:t>
      </w:r>
      <w:r w:rsidRPr="007A3600">
        <w:rPr>
          <w:lang w:eastAsia="ja-JP"/>
        </w:rPr>
        <w:t xml:space="preserve"> see</w:t>
      </w:r>
      <w:r w:rsidR="00D95346" w:rsidRPr="007A3600">
        <w:rPr>
          <w:lang w:eastAsia="ja-JP"/>
        </w:rPr>
        <w:t xml:space="preserve"> the </w:t>
      </w:r>
      <w:hyperlink r:id="rId35" w:history="1">
        <w:r w:rsidR="00D95346" w:rsidRPr="007A3600">
          <w:rPr>
            <w:rStyle w:val="Hyperlink"/>
            <w:lang w:eastAsia="ja-JP"/>
          </w:rPr>
          <w:t>NDIS website:</w:t>
        </w:r>
        <w:r w:rsidRPr="007A3600">
          <w:rPr>
            <w:rStyle w:val="Hyperlink"/>
            <w:lang w:eastAsia="ja-JP"/>
          </w:rPr>
          <w:t xml:space="preserve"> </w:t>
        </w:r>
        <w:r w:rsidR="00D95346" w:rsidRPr="007A3600">
          <w:rPr>
            <w:rStyle w:val="Hyperlink"/>
          </w:rPr>
          <w:t>Outcomes and goals</w:t>
        </w:r>
      </w:hyperlink>
      <w:r w:rsidRPr="007A3600">
        <w:rPr>
          <w:lang w:eastAsia="ja-JP"/>
        </w:rPr>
        <w:t>.</w:t>
      </w:r>
    </w:p>
    <w:p w14:paraId="6E52F01A" w14:textId="2299E82E" w:rsidR="00D0070F" w:rsidRPr="007A3600" w:rsidRDefault="00D95346" w:rsidP="00AD3197">
      <w:pPr>
        <w:rPr>
          <w:lang w:eastAsia="ja-JP"/>
        </w:rPr>
      </w:pPr>
      <w:r w:rsidRPr="007A3600">
        <w:rPr>
          <w:lang w:eastAsia="ja-JP"/>
        </w:rPr>
        <w:t xml:space="preserve">This year’s results </w:t>
      </w:r>
      <w:r w:rsidR="006C6EF3" w:rsidRPr="007A3600">
        <w:rPr>
          <w:lang w:eastAsia="ja-JP"/>
        </w:rPr>
        <w:t xml:space="preserve">only include </w:t>
      </w:r>
      <w:r w:rsidR="00D0070F" w:rsidRPr="007A3600">
        <w:rPr>
          <w:lang w:eastAsia="ja-JP"/>
        </w:rPr>
        <w:t xml:space="preserve">responses to the Short Form Outcomes Framework questionnaire </w:t>
      </w:r>
      <w:r w:rsidR="007A4243" w:rsidRPr="007A3600">
        <w:rPr>
          <w:lang w:eastAsia="ja-JP"/>
        </w:rPr>
        <w:t>completed</w:t>
      </w:r>
      <w:r w:rsidR="00D0070F" w:rsidRPr="007A3600">
        <w:rPr>
          <w:lang w:eastAsia="ja-JP"/>
        </w:rPr>
        <w:t xml:space="preserve"> during </w:t>
      </w:r>
      <w:r w:rsidR="00885240" w:rsidRPr="007A3600">
        <w:rPr>
          <w:lang w:eastAsia="ja-JP"/>
        </w:rPr>
        <w:t>2024</w:t>
      </w:r>
      <w:r w:rsidR="006C6EF3" w:rsidRPr="007A3600">
        <w:rPr>
          <w:lang w:eastAsia="ja-JP"/>
        </w:rPr>
        <w:t>–</w:t>
      </w:r>
      <w:r w:rsidR="00885240" w:rsidRPr="007A3600">
        <w:rPr>
          <w:lang w:eastAsia="ja-JP"/>
        </w:rPr>
        <w:t>25</w:t>
      </w:r>
      <w:r w:rsidR="00D0070F" w:rsidRPr="007A3600">
        <w:rPr>
          <w:lang w:eastAsia="ja-JP"/>
        </w:rPr>
        <w:t xml:space="preserve">. </w:t>
      </w:r>
      <w:r w:rsidR="00FD5C4C" w:rsidRPr="007A3600">
        <w:rPr>
          <w:lang w:eastAsia="ja-JP"/>
        </w:rPr>
        <w:t xml:space="preserve">In </w:t>
      </w:r>
      <w:r w:rsidR="00572E4D" w:rsidRPr="007A3600">
        <w:rPr>
          <w:lang w:eastAsia="ja-JP"/>
        </w:rPr>
        <w:t>2023–24 we included</w:t>
      </w:r>
      <w:r w:rsidR="00D0070F" w:rsidRPr="007A3600">
        <w:rPr>
          <w:lang w:eastAsia="ja-JP"/>
        </w:rPr>
        <w:t xml:space="preserve"> responses from the most recent Short Form Outcomes Framework questionnaire regardless of when they were completed. </w:t>
      </w:r>
      <w:r w:rsidR="00E22CD3" w:rsidRPr="007A3600">
        <w:rPr>
          <w:lang w:eastAsia="ja-JP"/>
        </w:rPr>
        <w:t>The</w:t>
      </w:r>
      <w:r w:rsidR="00CE0BC2" w:rsidRPr="007A3600">
        <w:rPr>
          <w:lang w:eastAsia="ja-JP"/>
        </w:rPr>
        <w:t>refore</w:t>
      </w:r>
      <w:r w:rsidR="00E56F31" w:rsidRPr="007A3600">
        <w:rPr>
          <w:lang w:eastAsia="ja-JP"/>
        </w:rPr>
        <w:t>,</w:t>
      </w:r>
      <w:r w:rsidR="00CE0BC2" w:rsidRPr="007A3600">
        <w:rPr>
          <w:lang w:eastAsia="ja-JP"/>
        </w:rPr>
        <w:t xml:space="preserve"> we have updated the</w:t>
      </w:r>
      <w:r w:rsidR="00D0070F" w:rsidRPr="007A3600">
        <w:rPr>
          <w:lang w:eastAsia="ja-JP"/>
        </w:rPr>
        <w:t xml:space="preserve"> 2023–24 result to reflect </w:t>
      </w:r>
      <w:r w:rsidR="00A27C25" w:rsidRPr="007A3600">
        <w:rPr>
          <w:lang w:eastAsia="ja-JP"/>
        </w:rPr>
        <w:t>our new approach</w:t>
      </w:r>
      <w:r w:rsidR="00D0070F" w:rsidRPr="007A3600">
        <w:rPr>
          <w:lang w:eastAsia="ja-JP"/>
        </w:rPr>
        <w:t xml:space="preserve">. The result reported in the 2023–24 Annual Report was 22.9% using </w:t>
      </w:r>
      <w:r w:rsidR="00F46C5E" w:rsidRPr="007A3600">
        <w:rPr>
          <w:lang w:eastAsia="ja-JP"/>
        </w:rPr>
        <w:t>that year’s approach</w:t>
      </w:r>
      <w:r w:rsidR="00D0070F" w:rsidRPr="007A3600">
        <w:rPr>
          <w:lang w:eastAsia="ja-JP"/>
        </w:rPr>
        <w:t>.</w:t>
      </w:r>
    </w:p>
    <w:p w14:paraId="7ED1F50D" w14:textId="2FEFFD32" w:rsidR="00D0070F" w:rsidRPr="007A3600" w:rsidRDefault="00F46C5E" w:rsidP="00AD3197">
      <w:pPr>
        <w:rPr>
          <w:lang w:eastAsia="ja-JP"/>
        </w:rPr>
      </w:pPr>
      <w:r w:rsidRPr="007A3600">
        <w:rPr>
          <w:lang w:eastAsia="ja-JP"/>
        </w:rPr>
        <w:t>In 2024–25 t</w:t>
      </w:r>
      <w:r w:rsidR="00D0070F" w:rsidRPr="007A3600">
        <w:rPr>
          <w:lang w:eastAsia="ja-JP"/>
        </w:rPr>
        <w:t xml:space="preserve">here were 21,113 responses compared </w:t>
      </w:r>
      <w:r w:rsidRPr="007A3600">
        <w:rPr>
          <w:lang w:eastAsia="ja-JP"/>
        </w:rPr>
        <w:t>with</w:t>
      </w:r>
      <w:r w:rsidR="00D0070F" w:rsidRPr="007A3600">
        <w:rPr>
          <w:lang w:eastAsia="ja-JP"/>
        </w:rPr>
        <w:t xml:space="preserve"> 37,606 responses </w:t>
      </w:r>
      <w:r w:rsidR="00885240" w:rsidRPr="007A3600">
        <w:rPr>
          <w:lang w:eastAsia="ja-JP"/>
        </w:rPr>
        <w:t xml:space="preserve">in </w:t>
      </w:r>
      <w:r w:rsidR="00D0070F" w:rsidRPr="007A3600">
        <w:rPr>
          <w:lang w:eastAsia="ja-JP"/>
        </w:rPr>
        <w:t>2023–24. There were 382,489 active participants aged 15 to 64 at 30 June 2025 (346,414 at 30 June 2024).</w:t>
      </w:r>
    </w:p>
    <w:p w14:paraId="57B2EB3B" w14:textId="77777777" w:rsidR="00D0070F" w:rsidRPr="007A3600" w:rsidRDefault="00D0070F" w:rsidP="00AD3197">
      <w:pPr>
        <w:pStyle w:val="Heading6"/>
        <w:rPr>
          <w:lang w:eastAsia="ja-JP"/>
        </w:rPr>
      </w:pPr>
      <w:r w:rsidRPr="007A3600">
        <w:rPr>
          <w:lang w:eastAsia="ja-JP"/>
        </w:rPr>
        <w:t>Analysis</w:t>
      </w:r>
    </w:p>
    <w:p w14:paraId="05F72BDA" w14:textId="3B68BA05" w:rsidR="00D0070F" w:rsidRPr="007A3600" w:rsidRDefault="00D0070F" w:rsidP="00AD3197">
      <w:pPr>
        <w:rPr>
          <w:lang w:eastAsia="ja-JP"/>
        </w:rPr>
      </w:pPr>
      <w:r w:rsidRPr="007A3600">
        <w:rPr>
          <w:lang w:eastAsia="ja-JP"/>
        </w:rPr>
        <w:t xml:space="preserve">The percentage of participants </w:t>
      </w:r>
      <w:r w:rsidR="000278D9" w:rsidRPr="007A3600">
        <w:rPr>
          <w:lang w:eastAsia="ja-JP"/>
        </w:rPr>
        <w:t xml:space="preserve">who have been in the NDIS for at least </w:t>
      </w:r>
      <w:r w:rsidR="00773783" w:rsidRPr="007A3600">
        <w:rPr>
          <w:lang w:eastAsia="ja-JP"/>
        </w:rPr>
        <w:t xml:space="preserve">2 </w:t>
      </w:r>
      <w:r w:rsidR="000278D9" w:rsidRPr="007A3600">
        <w:rPr>
          <w:lang w:eastAsia="ja-JP"/>
        </w:rPr>
        <w:t xml:space="preserve">years and who are </w:t>
      </w:r>
      <w:r w:rsidRPr="007A3600">
        <w:rPr>
          <w:lang w:eastAsia="ja-JP"/>
        </w:rPr>
        <w:t>in a paid job continue</w:t>
      </w:r>
      <w:r w:rsidR="00DC5339" w:rsidRPr="007A3600">
        <w:rPr>
          <w:lang w:eastAsia="ja-JP"/>
        </w:rPr>
        <w:t>d</w:t>
      </w:r>
      <w:r w:rsidRPr="007A3600">
        <w:rPr>
          <w:lang w:eastAsia="ja-JP"/>
        </w:rPr>
        <w:t xml:space="preserve"> to be relatively stable. However, </w:t>
      </w:r>
      <w:r w:rsidR="00773783" w:rsidRPr="007A3600">
        <w:rPr>
          <w:lang w:eastAsia="ja-JP"/>
        </w:rPr>
        <w:t xml:space="preserve">there are variations in </w:t>
      </w:r>
      <w:r w:rsidRPr="007A3600">
        <w:rPr>
          <w:lang w:eastAsia="ja-JP"/>
        </w:rPr>
        <w:t>the percentage</w:t>
      </w:r>
      <w:r w:rsidR="00773783" w:rsidRPr="007A3600">
        <w:rPr>
          <w:lang w:eastAsia="ja-JP"/>
        </w:rPr>
        <w:t xml:space="preserve"> of participants</w:t>
      </w:r>
      <w:r w:rsidRPr="007A3600">
        <w:rPr>
          <w:lang w:eastAsia="ja-JP"/>
        </w:rPr>
        <w:t xml:space="preserve"> in a paid job differs </w:t>
      </w:r>
      <w:r w:rsidR="00592B61" w:rsidRPr="007A3600">
        <w:rPr>
          <w:lang w:eastAsia="ja-JP"/>
        </w:rPr>
        <w:t xml:space="preserve">depending on </w:t>
      </w:r>
      <w:r w:rsidRPr="007A3600">
        <w:rPr>
          <w:lang w:eastAsia="ja-JP"/>
        </w:rPr>
        <w:t>age group and time in the NDIS.</w:t>
      </w:r>
    </w:p>
    <w:p w14:paraId="7659EF82" w14:textId="15DD2803" w:rsidR="00D0070F" w:rsidRPr="007A3600" w:rsidRDefault="00D0070F" w:rsidP="00AD3197">
      <w:pPr>
        <w:rPr>
          <w:lang w:eastAsia="ja-JP"/>
        </w:rPr>
      </w:pPr>
      <w:r w:rsidRPr="007A3600">
        <w:rPr>
          <w:lang w:eastAsia="ja-JP"/>
        </w:rPr>
        <w:lastRenderedPageBreak/>
        <w:t xml:space="preserve">In survey data, participants </w:t>
      </w:r>
      <w:r w:rsidR="00592B61" w:rsidRPr="007A3600">
        <w:rPr>
          <w:lang w:eastAsia="ja-JP"/>
        </w:rPr>
        <w:t>often</w:t>
      </w:r>
      <w:r w:rsidR="00094F4E" w:rsidRPr="007A3600">
        <w:rPr>
          <w:lang w:eastAsia="ja-JP"/>
        </w:rPr>
        <w:t xml:space="preserve"> </w:t>
      </w:r>
      <w:r w:rsidRPr="007A3600">
        <w:rPr>
          <w:lang w:eastAsia="ja-JP"/>
        </w:rPr>
        <w:t>report that the</w:t>
      </w:r>
      <w:r w:rsidR="00094F4E" w:rsidRPr="007A3600">
        <w:rPr>
          <w:lang w:eastAsia="ja-JP"/>
        </w:rPr>
        <w:t>ir</w:t>
      </w:r>
      <w:r w:rsidRPr="007A3600">
        <w:rPr>
          <w:lang w:eastAsia="ja-JP"/>
        </w:rPr>
        <w:t xml:space="preserve"> main reason for not having a paid job </w:t>
      </w:r>
      <w:r w:rsidR="00094F4E" w:rsidRPr="007A3600">
        <w:rPr>
          <w:lang w:eastAsia="ja-JP"/>
        </w:rPr>
        <w:t>has to do with</w:t>
      </w:r>
      <w:r w:rsidRPr="007A3600">
        <w:rPr>
          <w:lang w:eastAsia="ja-JP"/>
        </w:rPr>
        <w:t xml:space="preserve"> their disability or overall health. Other reasons included lack of confidence, difficulties with communication/language/comprehension, difficulties with the interview process, or living in a remote or low employment area. Participants are encouraged to </w:t>
      </w:r>
      <w:r w:rsidR="00094F4E" w:rsidRPr="007A3600">
        <w:rPr>
          <w:lang w:eastAsia="ja-JP"/>
        </w:rPr>
        <w:t>look at the</w:t>
      </w:r>
      <w:r w:rsidRPr="007A3600">
        <w:rPr>
          <w:lang w:eastAsia="ja-JP"/>
        </w:rPr>
        <w:t xml:space="preserve"> employment options available to them as their plan is developed and implemented. NDIA staff are trained to </w:t>
      </w:r>
      <w:r w:rsidR="00094F4E" w:rsidRPr="007A3600">
        <w:rPr>
          <w:lang w:eastAsia="ja-JP"/>
        </w:rPr>
        <w:t xml:space="preserve">assist in </w:t>
      </w:r>
      <w:r w:rsidRPr="007A3600">
        <w:rPr>
          <w:lang w:eastAsia="ja-JP"/>
        </w:rPr>
        <w:t xml:space="preserve">these conversations. The participant employment rate is also </w:t>
      </w:r>
      <w:r w:rsidR="00244D2D" w:rsidRPr="007A3600">
        <w:rPr>
          <w:lang w:eastAsia="ja-JP"/>
        </w:rPr>
        <w:t xml:space="preserve">affected </w:t>
      </w:r>
      <w:r w:rsidRPr="007A3600">
        <w:rPr>
          <w:lang w:eastAsia="ja-JP"/>
        </w:rPr>
        <w:t xml:space="preserve">by factors outside the control of the NDIA including the broader economic conditions in the employment market, prevailing business confidence, unemployment rates and the performance of </w:t>
      </w:r>
      <w:r w:rsidR="002B5A94" w:rsidRPr="007A3600">
        <w:rPr>
          <w:lang w:eastAsia="ja-JP"/>
        </w:rPr>
        <w:t>d</w:t>
      </w:r>
      <w:r w:rsidRPr="007A3600">
        <w:rPr>
          <w:lang w:eastAsia="ja-JP"/>
        </w:rPr>
        <w:t xml:space="preserve">isability </w:t>
      </w:r>
      <w:r w:rsidR="002B5A94" w:rsidRPr="007A3600">
        <w:rPr>
          <w:lang w:eastAsia="ja-JP"/>
        </w:rPr>
        <w:t>e</w:t>
      </w:r>
      <w:r w:rsidRPr="007A3600">
        <w:rPr>
          <w:lang w:eastAsia="ja-JP"/>
        </w:rPr>
        <w:t xml:space="preserve">mployment </w:t>
      </w:r>
      <w:r w:rsidR="002B5A94" w:rsidRPr="007A3600">
        <w:rPr>
          <w:lang w:eastAsia="ja-JP"/>
        </w:rPr>
        <w:t>p</w:t>
      </w:r>
      <w:r w:rsidRPr="007A3600">
        <w:rPr>
          <w:lang w:eastAsia="ja-JP"/>
        </w:rPr>
        <w:t>roviders.</w:t>
      </w:r>
    </w:p>
    <w:p w14:paraId="73463999" w14:textId="16B20B8F" w:rsidR="00D0070F" w:rsidRPr="007A3600" w:rsidRDefault="00244D2D" w:rsidP="00AD3197">
      <w:pPr>
        <w:rPr>
          <w:lang w:eastAsia="ja-JP"/>
        </w:rPr>
      </w:pPr>
      <w:r w:rsidRPr="007A3600">
        <w:rPr>
          <w:lang w:eastAsia="ja-JP"/>
        </w:rPr>
        <w:t xml:space="preserve">If </w:t>
      </w:r>
      <w:r w:rsidR="00D0070F" w:rsidRPr="007A3600">
        <w:rPr>
          <w:lang w:eastAsia="ja-JP"/>
        </w:rPr>
        <w:t xml:space="preserve">a participant has employment goals, NDIA staff will consider reasonable and necessary employment supports to help them achieve this. For example, participants leaving school are encouraged to consider School Leaver Employment Support where that </w:t>
      </w:r>
      <w:r w:rsidR="005977E2" w:rsidRPr="007A3600">
        <w:rPr>
          <w:lang w:eastAsia="ja-JP"/>
        </w:rPr>
        <w:t>is</w:t>
      </w:r>
      <w:r w:rsidR="00D0070F" w:rsidRPr="007A3600">
        <w:rPr>
          <w:lang w:eastAsia="ja-JP"/>
        </w:rPr>
        <w:t xml:space="preserve"> appropriate and align</w:t>
      </w:r>
      <w:r w:rsidR="005977E2" w:rsidRPr="007A3600">
        <w:rPr>
          <w:lang w:eastAsia="ja-JP"/>
        </w:rPr>
        <w:t>s</w:t>
      </w:r>
      <w:r w:rsidR="00D0070F" w:rsidRPr="007A3600">
        <w:rPr>
          <w:lang w:eastAsia="ja-JP"/>
        </w:rPr>
        <w:t xml:space="preserve"> with their goals. Other supports available </w:t>
      </w:r>
      <w:r w:rsidR="005977E2" w:rsidRPr="007A3600">
        <w:rPr>
          <w:lang w:eastAsia="ja-JP"/>
        </w:rPr>
        <w:t xml:space="preserve">to participants </w:t>
      </w:r>
      <w:r w:rsidR="00D0070F" w:rsidRPr="007A3600">
        <w:rPr>
          <w:lang w:eastAsia="ja-JP"/>
        </w:rPr>
        <w:t xml:space="preserve">include Employment Assistance and Employment Related Assessment and Counselling. </w:t>
      </w:r>
      <w:r w:rsidR="00BD141B" w:rsidRPr="007A3600">
        <w:rPr>
          <w:lang w:eastAsia="ja-JP"/>
        </w:rPr>
        <w:t>The NDIA also provides a range of</w:t>
      </w:r>
      <w:r w:rsidR="00D0070F" w:rsidRPr="007A3600">
        <w:rPr>
          <w:lang w:eastAsia="ja-JP"/>
        </w:rPr>
        <w:t xml:space="preserve"> publicly available </w:t>
      </w:r>
      <w:r w:rsidR="00355442" w:rsidRPr="007A3600">
        <w:rPr>
          <w:lang w:eastAsia="ja-JP"/>
        </w:rPr>
        <w:t xml:space="preserve">information on </w:t>
      </w:r>
      <w:r w:rsidR="00D0070F" w:rsidRPr="007A3600">
        <w:rPr>
          <w:lang w:eastAsia="ja-JP"/>
        </w:rPr>
        <w:t>the NDIA website</w:t>
      </w:r>
      <w:r w:rsidR="002E7B3E" w:rsidRPr="007A3600">
        <w:rPr>
          <w:lang w:eastAsia="ja-JP"/>
        </w:rPr>
        <w:t xml:space="preserve"> </w:t>
      </w:r>
      <w:r w:rsidR="00355442" w:rsidRPr="007A3600">
        <w:rPr>
          <w:lang w:eastAsia="ja-JP"/>
        </w:rPr>
        <w:t>under</w:t>
      </w:r>
      <w:r w:rsidR="00D0070F" w:rsidRPr="007A3600">
        <w:rPr>
          <w:lang w:eastAsia="ja-JP"/>
        </w:rPr>
        <w:t xml:space="preserve"> </w:t>
      </w:r>
      <w:hyperlink r:id="rId36" w:history="1">
        <w:r w:rsidR="004F3C4C" w:rsidRPr="007A3600">
          <w:rPr>
            <w:rStyle w:val="Hyperlink"/>
          </w:rPr>
          <w:t>Our Guidelines</w:t>
        </w:r>
      </w:hyperlink>
      <w:r w:rsidR="004F3C4C" w:rsidRPr="007A3600">
        <w:t xml:space="preserve"> </w:t>
      </w:r>
      <w:r w:rsidR="00487DDE" w:rsidRPr="007A3600">
        <w:t xml:space="preserve">– for example, we have information on </w:t>
      </w:r>
      <w:r w:rsidR="00893687" w:rsidRPr="007A3600">
        <w:t>Work and Study support</w:t>
      </w:r>
      <w:r w:rsidR="00A15947" w:rsidRPr="007A3600">
        <w:t xml:space="preserve"> and </w:t>
      </w:r>
      <w:r w:rsidR="00893687" w:rsidRPr="007A3600">
        <w:t>Building skills and getting a job</w:t>
      </w:r>
      <w:r w:rsidR="00D0070F" w:rsidRPr="007A3600">
        <w:rPr>
          <w:lang w:eastAsia="ja-JP"/>
        </w:rPr>
        <w:t>.</w:t>
      </w:r>
    </w:p>
    <w:p w14:paraId="5EAFD86C" w14:textId="540C2854" w:rsidR="00D0070F" w:rsidRPr="007A3600" w:rsidRDefault="00D0070F" w:rsidP="00AD3197">
      <w:pPr>
        <w:rPr>
          <w:lang w:eastAsia="ja-JP"/>
        </w:rPr>
      </w:pPr>
      <w:r w:rsidRPr="007A3600">
        <w:rPr>
          <w:lang w:eastAsia="ja-JP"/>
        </w:rPr>
        <w:t xml:space="preserve">The NDIA has in place the </w:t>
      </w:r>
      <w:hyperlink r:id="rId37" w:history="1">
        <w:r w:rsidR="00BD101C" w:rsidRPr="007A3600">
          <w:rPr>
            <w:rStyle w:val="Hyperlink"/>
          </w:rPr>
          <w:t>Participant Employment Strategy</w:t>
        </w:r>
      </w:hyperlink>
      <w:r w:rsidR="00BD101C" w:rsidRPr="007A3600">
        <w:t xml:space="preserve"> 2024–26</w:t>
      </w:r>
      <w:r w:rsidR="00487DDE" w:rsidRPr="007A3600">
        <w:rPr>
          <w:lang w:eastAsia="ja-JP"/>
        </w:rPr>
        <w:t>. This strategy</w:t>
      </w:r>
      <w:r w:rsidR="0016176D" w:rsidRPr="007A3600">
        <w:rPr>
          <w:lang w:eastAsia="ja-JP"/>
        </w:rPr>
        <w:t xml:space="preserve"> </w:t>
      </w:r>
      <w:r w:rsidR="00983F39" w:rsidRPr="007A3600">
        <w:rPr>
          <w:lang w:eastAsia="ja-JP"/>
        </w:rPr>
        <w:t>focuses</w:t>
      </w:r>
      <w:r w:rsidR="00983F39" w:rsidRPr="007A3600">
        <w:rPr>
          <w:lang w:val="en-GB" w:eastAsia="ja-JP"/>
        </w:rPr>
        <w:t xml:space="preserve"> on quality planning, efficient employment supports, employer engagement for NDIS participants, and creating an integrated ecosystem</w:t>
      </w:r>
      <w:r w:rsidR="00982D62" w:rsidRPr="007A3600">
        <w:rPr>
          <w:lang w:val="en-GB" w:eastAsia="ja-JP"/>
        </w:rPr>
        <w:t>.</w:t>
      </w:r>
    </w:p>
    <w:p w14:paraId="165DC8DF" w14:textId="391A4DC0" w:rsidR="00D0070F" w:rsidRPr="007A3600" w:rsidRDefault="00D0070F" w:rsidP="00AD3197">
      <w:pPr>
        <w:pStyle w:val="Heading5"/>
        <w:rPr>
          <w:lang w:eastAsia="ja-JP"/>
        </w:rPr>
      </w:pPr>
      <w:r w:rsidRPr="007A3600">
        <w:rPr>
          <w:lang w:eastAsia="ja-JP"/>
        </w:rPr>
        <w:t>Performance measure 1.2 – Participant social and community engagement rate</w:t>
      </w:r>
    </w:p>
    <w:tbl>
      <w:tblPr>
        <w:tblStyle w:val="NDISTable1"/>
        <w:tblW w:w="9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26718D" w:rsidRPr="007A3600" w14:paraId="5A00476B" w14:textId="77777777" w:rsidTr="00F34205">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tcPr>
          <w:p w14:paraId="3C2001F3" w14:textId="677C4F10" w:rsidR="006E4F25" w:rsidRPr="007A3600" w:rsidRDefault="006E4F25" w:rsidP="00AD3197">
            <w:pPr>
              <w:pStyle w:val="TableBody"/>
              <w:spacing w:before="40" w:after="40"/>
              <w:rPr>
                <w:b/>
                <w:color w:val="000000"/>
                <w:szCs w:val="24"/>
                <w:lang w:val="en-GB"/>
              </w:rPr>
            </w:pPr>
            <w:r w:rsidRPr="007A3600">
              <w:rPr>
                <w:b/>
                <w:color w:val="000000"/>
                <w:szCs w:val="24"/>
                <w:lang w:val="en-GB"/>
              </w:rPr>
              <w:t xml:space="preserve">Performance </w:t>
            </w:r>
            <w:r w:rsidR="007E4578" w:rsidRPr="007A3600">
              <w:rPr>
                <w:b/>
                <w:color w:val="000000"/>
                <w:szCs w:val="24"/>
                <w:lang w:val="en-GB"/>
              </w:rPr>
              <w:t>m</w:t>
            </w:r>
            <w:r w:rsidRPr="007A3600">
              <w:rPr>
                <w:b/>
                <w:color w:val="000000"/>
                <w:szCs w:val="24"/>
                <w:lang w:val="en-GB"/>
              </w:rPr>
              <w:t>easure</w:t>
            </w:r>
          </w:p>
        </w:tc>
        <w:tc>
          <w:tcPr>
            <w:tcW w:w="1474" w:type="dxa"/>
            <w:shd w:val="clear" w:color="auto" w:fill="B7D98A"/>
          </w:tcPr>
          <w:p w14:paraId="32F79CB2" w14:textId="3479C405" w:rsidR="006E4F25" w:rsidRPr="007A3600" w:rsidRDefault="006E4F25" w:rsidP="00AD3197">
            <w:pPr>
              <w:pStyle w:val="TableBody"/>
              <w:spacing w:before="40" w:after="40"/>
              <w:jc w:val="right"/>
              <w:rPr>
                <w:b/>
                <w:color w:val="000000"/>
                <w:szCs w:val="24"/>
                <w:lang w:val="en-GB"/>
              </w:rPr>
            </w:pPr>
            <w:r w:rsidRPr="007A3600">
              <w:rPr>
                <w:b/>
                <w:color w:val="000000"/>
                <w:szCs w:val="24"/>
                <w:lang w:val="en-GB"/>
              </w:rPr>
              <w:t>2024–25 target</w:t>
            </w:r>
          </w:p>
        </w:tc>
        <w:tc>
          <w:tcPr>
            <w:tcW w:w="1474" w:type="dxa"/>
            <w:shd w:val="clear" w:color="auto" w:fill="B7D98A"/>
          </w:tcPr>
          <w:p w14:paraId="60433533" w14:textId="47A8A863" w:rsidR="006E4F25" w:rsidRPr="007A3600" w:rsidRDefault="006E4F25" w:rsidP="00AD3197">
            <w:pPr>
              <w:pStyle w:val="TableBody"/>
              <w:spacing w:before="40" w:after="40"/>
              <w:jc w:val="right"/>
              <w:rPr>
                <w:b/>
                <w:color w:val="000000"/>
                <w:szCs w:val="24"/>
                <w:lang w:val="en-GB"/>
              </w:rPr>
            </w:pPr>
            <w:r w:rsidRPr="007A3600">
              <w:rPr>
                <w:b/>
                <w:color w:val="000000"/>
                <w:szCs w:val="24"/>
                <w:lang w:val="en-GB"/>
              </w:rPr>
              <w:t>2024–25 result</w:t>
            </w:r>
          </w:p>
        </w:tc>
        <w:tc>
          <w:tcPr>
            <w:tcW w:w="1474" w:type="dxa"/>
            <w:shd w:val="clear" w:color="auto" w:fill="B7D98A"/>
          </w:tcPr>
          <w:p w14:paraId="0D5CCBE2" w14:textId="2EC515BA" w:rsidR="006E4F25" w:rsidRPr="007A3600" w:rsidRDefault="006E4F25" w:rsidP="00AD3197">
            <w:pPr>
              <w:pStyle w:val="TableBody"/>
              <w:spacing w:before="40" w:after="40"/>
              <w:jc w:val="right"/>
              <w:rPr>
                <w:b/>
                <w:color w:val="000000"/>
                <w:szCs w:val="24"/>
                <w:lang w:val="en-GB"/>
              </w:rPr>
            </w:pPr>
            <w:r w:rsidRPr="007A3600">
              <w:rPr>
                <w:b/>
                <w:color w:val="000000"/>
                <w:szCs w:val="24"/>
                <w:lang w:val="en-GB"/>
              </w:rPr>
              <w:t>2024–25 outcome</w:t>
            </w:r>
          </w:p>
        </w:tc>
        <w:tc>
          <w:tcPr>
            <w:tcW w:w="1474" w:type="dxa"/>
            <w:shd w:val="clear" w:color="auto" w:fill="B7D98A"/>
          </w:tcPr>
          <w:p w14:paraId="3C065539" w14:textId="6597029A" w:rsidR="006E4F25" w:rsidRPr="007A3600" w:rsidRDefault="006E4F25" w:rsidP="00AD3197">
            <w:pPr>
              <w:pStyle w:val="TableBody"/>
              <w:spacing w:before="40" w:after="40"/>
              <w:jc w:val="right"/>
              <w:rPr>
                <w:b/>
                <w:color w:val="000000"/>
                <w:szCs w:val="24"/>
                <w:lang w:val="en-GB"/>
              </w:rPr>
            </w:pPr>
            <w:r w:rsidRPr="007A3600">
              <w:rPr>
                <w:b/>
                <w:color w:val="000000"/>
                <w:szCs w:val="24"/>
                <w:lang w:val="en-GB"/>
              </w:rPr>
              <w:t>2023–24 result</w:t>
            </w:r>
          </w:p>
        </w:tc>
      </w:tr>
      <w:tr w:rsidR="00CF1A80" w:rsidRPr="007A3600" w14:paraId="651E56DA" w14:textId="77777777" w:rsidTr="00B47E33">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E5F1D4"/>
          </w:tcPr>
          <w:p w14:paraId="57C0BA4C" w14:textId="77777777" w:rsidR="006E4F25" w:rsidRPr="007A3600" w:rsidRDefault="006E4F25" w:rsidP="00AD3197">
            <w:pPr>
              <w:pStyle w:val="TableBody"/>
              <w:spacing w:before="40" w:after="40"/>
              <w:rPr>
                <w:szCs w:val="24"/>
                <w:lang w:val="en-GB"/>
              </w:rPr>
            </w:pPr>
            <w:r w:rsidRPr="007A3600">
              <w:rPr>
                <w:szCs w:val="24"/>
              </w:rPr>
              <w:t>Participant social and community engagement rate</w:t>
            </w:r>
          </w:p>
        </w:tc>
        <w:tc>
          <w:tcPr>
            <w:tcW w:w="1474" w:type="dxa"/>
            <w:shd w:val="clear" w:color="auto" w:fill="E5F1D4"/>
          </w:tcPr>
          <w:p w14:paraId="17B7DB11" w14:textId="77777777" w:rsidR="006E4F25" w:rsidRPr="007A3600" w:rsidRDefault="006E4F25" w:rsidP="00AD3197">
            <w:pPr>
              <w:pStyle w:val="TableBody"/>
              <w:spacing w:before="40" w:after="40"/>
              <w:jc w:val="right"/>
              <w:rPr>
                <w:szCs w:val="24"/>
                <w:lang w:val="en-GB"/>
              </w:rPr>
            </w:pPr>
            <w:r w:rsidRPr="007A3600">
              <w:rPr>
                <w:szCs w:val="24"/>
              </w:rPr>
              <w:t>46%</w:t>
            </w:r>
          </w:p>
        </w:tc>
        <w:tc>
          <w:tcPr>
            <w:tcW w:w="1474" w:type="dxa"/>
            <w:shd w:val="clear" w:color="auto" w:fill="E5F1D4"/>
          </w:tcPr>
          <w:p w14:paraId="035BCC68" w14:textId="77777777" w:rsidR="006E4F25" w:rsidRPr="007A3600" w:rsidRDefault="006E4F25" w:rsidP="00AD3197">
            <w:pPr>
              <w:pStyle w:val="TableBody"/>
              <w:spacing w:before="40" w:after="40"/>
              <w:jc w:val="right"/>
              <w:rPr>
                <w:szCs w:val="24"/>
                <w:lang w:val="en-GB"/>
              </w:rPr>
            </w:pPr>
            <w:r w:rsidRPr="007A3600">
              <w:rPr>
                <w:szCs w:val="24"/>
                <w:lang w:val="en-GB"/>
              </w:rPr>
              <w:t>38.6%</w:t>
            </w:r>
          </w:p>
        </w:tc>
        <w:tc>
          <w:tcPr>
            <w:tcW w:w="1474" w:type="dxa"/>
            <w:shd w:val="clear" w:color="auto" w:fill="E5F1D4"/>
          </w:tcPr>
          <w:p w14:paraId="73BD7237" w14:textId="0EC830FA" w:rsidR="006E4F25" w:rsidRPr="007A3600" w:rsidRDefault="006E4F25" w:rsidP="00AD3197">
            <w:pPr>
              <w:pStyle w:val="TableBody"/>
              <w:spacing w:before="40" w:after="40"/>
              <w:jc w:val="right"/>
              <w:rPr>
                <w:szCs w:val="24"/>
                <w:lang w:val="en-GB"/>
              </w:rPr>
            </w:pPr>
            <w:r w:rsidRPr="007A3600">
              <w:rPr>
                <w:szCs w:val="24"/>
                <w:lang w:val="en-GB"/>
              </w:rPr>
              <w:t xml:space="preserve">Not </w:t>
            </w:r>
            <w:r w:rsidR="00957285" w:rsidRPr="007A3600">
              <w:rPr>
                <w:szCs w:val="24"/>
                <w:lang w:val="en-GB"/>
              </w:rPr>
              <w:t>a</w:t>
            </w:r>
            <w:r w:rsidRPr="007A3600">
              <w:rPr>
                <w:szCs w:val="24"/>
                <w:lang w:val="en-GB"/>
              </w:rPr>
              <w:t>chieved</w:t>
            </w:r>
          </w:p>
        </w:tc>
        <w:tc>
          <w:tcPr>
            <w:tcW w:w="1474" w:type="dxa"/>
            <w:shd w:val="clear" w:color="auto" w:fill="E5F1D4"/>
          </w:tcPr>
          <w:p w14:paraId="45D3B046" w14:textId="77777777" w:rsidR="006E4F25" w:rsidRPr="007A3600" w:rsidRDefault="006E4F25" w:rsidP="00AD3197">
            <w:pPr>
              <w:pStyle w:val="TableBody"/>
              <w:spacing w:before="40" w:after="40"/>
              <w:jc w:val="right"/>
              <w:rPr>
                <w:szCs w:val="24"/>
                <w:lang w:val="en-GB"/>
              </w:rPr>
            </w:pPr>
            <w:r w:rsidRPr="007A3600">
              <w:rPr>
                <w:szCs w:val="24"/>
                <w:lang w:val="en-GB"/>
              </w:rPr>
              <w:t>38.2%</w:t>
            </w:r>
          </w:p>
        </w:tc>
      </w:tr>
    </w:tbl>
    <w:p w14:paraId="3EB1EA85" w14:textId="77777777" w:rsidR="00D0070F" w:rsidRPr="007A3600" w:rsidRDefault="00D0070F" w:rsidP="00AD3197">
      <w:pPr>
        <w:pStyle w:val="Heading6"/>
        <w:rPr>
          <w:lang w:eastAsia="ja-JP"/>
        </w:rPr>
      </w:pPr>
      <w:r w:rsidRPr="007A3600">
        <w:rPr>
          <w:lang w:eastAsia="ja-JP"/>
        </w:rPr>
        <w:t>Why we measure this</w:t>
      </w:r>
    </w:p>
    <w:p w14:paraId="4A7ECA88" w14:textId="6049FE9B" w:rsidR="00724591" w:rsidRPr="007A3600" w:rsidRDefault="00724591" w:rsidP="00AD3197">
      <w:pPr>
        <w:rPr>
          <w:lang w:eastAsia="ja-JP"/>
        </w:rPr>
      </w:pPr>
      <w:r w:rsidRPr="007A3600">
        <w:rPr>
          <w:lang w:eastAsia="ja-JP"/>
        </w:rPr>
        <w:t>This measures the effectiveness of the NDIS in supporting the independence, and social and economic participation, of people with disability.</w:t>
      </w:r>
    </w:p>
    <w:p w14:paraId="7D2C918E" w14:textId="77777777" w:rsidR="00724591" w:rsidRPr="007A3600" w:rsidRDefault="00724591" w:rsidP="00AD3197">
      <w:pPr>
        <w:pStyle w:val="Heading6"/>
        <w:rPr>
          <w:lang w:eastAsia="ja-JP"/>
        </w:rPr>
      </w:pPr>
      <w:r w:rsidRPr="007A3600">
        <w:rPr>
          <w:lang w:eastAsia="ja-JP"/>
        </w:rPr>
        <w:t>How we measure this</w:t>
      </w:r>
    </w:p>
    <w:p w14:paraId="31D8DFBC" w14:textId="11B970DB" w:rsidR="00724591" w:rsidRPr="007A3600" w:rsidRDefault="00724591" w:rsidP="00AD3197">
      <w:pPr>
        <w:rPr>
          <w:lang w:eastAsia="ja-JP"/>
        </w:rPr>
      </w:pPr>
      <w:r w:rsidRPr="007A3600">
        <w:rPr>
          <w:lang w:eastAsia="ja-JP"/>
        </w:rPr>
        <w:t xml:space="preserve">The participant social and community engagement rate is calculated as the number of participants who responded ‘Yes’ to the question ‘Have you been actively involved in a community, cultural or religious group in the last 12 months?’ at their latest plan reassessment divided by the number of respondents. Responses from participants who have been in the NDIS for more than 2 years are included in the result. In </w:t>
      </w:r>
      <w:r w:rsidRPr="007A3600">
        <w:rPr>
          <w:lang w:eastAsia="ja-JP"/>
        </w:rPr>
        <w:lastRenderedPageBreak/>
        <w:t>addition</w:t>
      </w:r>
      <w:r w:rsidRPr="007A3600" w:rsidDel="00FB2ADE">
        <w:rPr>
          <w:lang w:eastAsia="ja-JP"/>
        </w:rPr>
        <w:t>,</w:t>
      </w:r>
      <w:r w:rsidRPr="007A3600">
        <w:rPr>
          <w:lang w:eastAsia="ja-JP"/>
        </w:rPr>
        <w:t xml:space="preserve"> and to enable longitudinal analysis, only participant responses received within 9 to 15 months of a previous reassessment and with a baseline result at entry to the NDIS were included. The source of the data is the NDIA’s Short Form Outcomes Framework questionnaire.</w:t>
      </w:r>
    </w:p>
    <w:p w14:paraId="6BA766CA" w14:textId="2058FB00" w:rsidR="00724591" w:rsidRPr="007A3600" w:rsidRDefault="00724591" w:rsidP="00AD3197">
      <w:pPr>
        <w:rPr>
          <w:lang w:eastAsia="ja-JP"/>
        </w:rPr>
      </w:pPr>
      <w:r w:rsidRPr="007A3600">
        <w:rPr>
          <w:lang w:eastAsia="ja-JP"/>
        </w:rPr>
        <w:t>This approach is different from the one used last year. In 2023-24 responses from the most recent Short Form Outcomes Framework questionnaire were included regardless of when they were completed. The 2023–24 result has been updated to reflect this. The result reported in the 2023–24 Annual Report was 41.2% under the 2023-24 approach.</w:t>
      </w:r>
    </w:p>
    <w:p w14:paraId="2F5765F1" w14:textId="1B5C6DEF" w:rsidR="00724591" w:rsidRPr="007A3600" w:rsidRDefault="00724591" w:rsidP="00AD3197">
      <w:pPr>
        <w:rPr>
          <w:lang w:eastAsia="ja-JP"/>
        </w:rPr>
      </w:pPr>
      <w:r w:rsidRPr="007A3600">
        <w:rPr>
          <w:lang w:eastAsia="ja-JP"/>
        </w:rPr>
        <w:t>There were 24,513 responses this financial year compared to 41,869 responses from 2023–24. There were 421,597 active participants aged above 15 at 30 June 2025 (379,790 at 30 June 2024).</w:t>
      </w:r>
    </w:p>
    <w:p w14:paraId="46EE9E59" w14:textId="77777777" w:rsidR="00724591" w:rsidRPr="007A3600" w:rsidRDefault="00724591" w:rsidP="00AD3197">
      <w:pPr>
        <w:pStyle w:val="Heading6"/>
        <w:rPr>
          <w:lang w:eastAsia="ja-JP"/>
        </w:rPr>
      </w:pPr>
      <w:r w:rsidRPr="007A3600">
        <w:rPr>
          <w:lang w:eastAsia="ja-JP"/>
        </w:rPr>
        <w:t>Analysis</w:t>
      </w:r>
    </w:p>
    <w:p w14:paraId="64D793C1" w14:textId="768AE0C7" w:rsidR="00724591" w:rsidRPr="007A3600" w:rsidRDefault="00724591" w:rsidP="00AD3197">
      <w:pPr>
        <w:rPr>
          <w:lang w:eastAsia="ja-JP"/>
        </w:rPr>
      </w:pPr>
      <w:r w:rsidRPr="007A3600">
        <w:rPr>
          <w:lang w:eastAsia="ja-JP"/>
        </w:rPr>
        <w:t xml:space="preserve">The NDIA’s performance against this measure has remained stable compared to last year. NDIS </w:t>
      </w:r>
      <w:proofErr w:type="gramStart"/>
      <w:r w:rsidRPr="007A3600">
        <w:rPr>
          <w:lang w:eastAsia="ja-JP"/>
        </w:rPr>
        <w:t>staff,</w:t>
      </w:r>
      <w:proofErr w:type="gramEnd"/>
      <w:r w:rsidRPr="007A3600">
        <w:rPr>
          <w:lang w:eastAsia="ja-JP"/>
        </w:rPr>
        <w:t xml:space="preserve"> local area coordination partners and early childhood partners all play a role in supporting participants to meet their social and community engagement goals. The NDIA also engages with support coordinators to make sure they are supporting participants to use both their NDIS supports and their mainstream supports and activities. The inclusion of people with disability in the community is a whole-of-government responsibility, and all levels of </w:t>
      </w:r>
      <w:r w:rsidR="00580720" w:rsidRPr="007A3600">
        <w:rPr>
          <w:lang w:eastAsia="ja-JP"/>
        </w:rPr>
        <w:t>government have</w:t>
      </w:r>
      <w:r w:rsidRPr="007A3600">
        <w:rPr>
          <w:lang w:eastAsia="ja-JP"/>
        </w:rPr>
        <w:t xml:space="preserve"> a shared obligation to facilitate accessibility.</w:t>
      </w:r>
    </w:p>
    <w:p w14:paraId="3D4C2CCE" w14:textId="77777777" w:rsidR="00724591" w:rsidRPr="007A3600" w:rsidRDefault="00724591" w:rsidP="00AD3197">
      <w:pPr>
        <w:rPr>
          <w:lang w:eastAsia="ja-JP"/>
        </w:rPr>
      </w:pPr>
      <w:r w:rsidRPr="007A3600">
        <w:rPr>
          <w:lang w:eastAsia="ja-JP"/>
        </w:rPr>
        <w:t>In early 2025 the NDIA updated staff guidance to address decision quality and timelessness. The revised approach included a broader definition of ‘performance’ that includes staff support, quality and productivity measures. These strategies were implemented with the aim of impacting decision making processes and participant experience, as well as supporting participants in their use of NDIS supports.</w:t>
      </w:r>
    </w:p>
    <w:p w14:paraId="6CDEAA61" w14:textId="77777777" w:rsidR="00D0070F" w:rsidRPr="007A3600" w:rsidRDefault="00D0070F" w:rsidP="00AD3197">
      <w:pPr>
        <w:pStyle w:val="Heading5"/>
        <w:rPr>
          <w:lang w:eastAsia="ja-JP"/>
        </w:rPr>
      </w:pPr>
      <w:r w:rsidRPr="007A3600">
        <w:rPr>
          <w:lang w:eastAsia="ja-JP"/>
        </w:rPr>
        <w:t>Performance measure 1.3 – Participant satisfaction</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395E37" w:rsidRPr="007A3600" w14:paraId="1B624C64" w14:textId="77777777" w:rsidTr="00B47E33">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tcPr>
          <w:p w14:paraId="4B1E985B" w14:textId="2BE5579B" w:rsidR="00303912" w:rsidRPr="007A3600" w:rsidRDefault="00303912" w:rsidP="00AD3197">
            <w:pPr>
              <w:pStyle w:val="TableBody"/>
              <w:spacing w:before="40" w:after="40"/>
              <w:rPr>
                <w:b/>
                <w:color w:val="000000"/>
                <w:szCs w:val="24"/>
                <w:lang w:val="en-GB"/>
              </w:rPr>
            </w:pPr>
            <w:r w:rsidRPr="007A3600">
              <w:rPr>
                <w:b/>
                <w:color w:val="000000"/>
                <w:szCs w:val="24"/>
                <w:lang w:val="en-GB"/>
              </w:rPr>
              <w:t xml:space="preserve">Performance </w:t>
            </w:r>
            <w:r w:rsidR="007E4578" w:rsidRPr="007A3600">
              <w:rPr>
                <w:b/>
                <w:color w:val="000000"/>
                <w:szCs w:val="24"/>
                <w:lang w:val="en-GB"/>
              </w:rPr>
              <w:t>m</w:t>
            </w:r>
            <w:r w:rsidRPr="007A3600">
              <w:rPr>
                <w:b/>
                <w:color w:val="000000"/>
                <w:szCs w:val="24"/>
                <w:lang w:val="en-GB"/>
              </w:rPr>
              <w:t>easure</w:t>
            </w:r>
          </w:p>
        </w:tc>
        <w:tc>
          <w:tcPr>
            <w:tcW w:w="1474" w:type="dxa"/>
            <w:shd w:val="clear" w:color="auto" w:fill="B7D98A"/>
          </w:tcPr>
          <w:p w14:paraId="6FC7C587" w14:textId="7B706128" w:rsidR="00303912" w:rsidRPr="007A3600" w:rsidRDefault="00303912" w:rsidP="00AD3197">
            <w:pPr>
              <w:pStyle w:val="TableBody"/>
              <w:spacing w:before="40" w:after="40"/>
              <w:jc w:val="right"/>
              <w:rPr>
                <w:b/>
                <w:color w:val="000000"/>
                <w:szCs w:val="24"/>
                <w:lang w:val="en-GB"/>
              </w:rPr>
            </w:pPr>
            <w:r w:rsidRPr="007A3600">
              <w:rPr>
                <w:b/>
                <w:color w:val="000000"/>
                <w:szCs w:val="24"/>
                <w:lang w:val="en-GB"/>
              </w:rPr>
              <w:t xml:space="preserve">2024–25 </w:t>
            </w:r>
            <w:r w:rsidR="007E4578" w:rsidRPr="007A3600">
              <w:rPr>
                <w:b/>
                <w:color w:val="000000"/>
                <w:szCs w:val="24"/>
                <w:lang w:val="en-GB"/>
              </w:rPr>
              <w:t>t</w:t>
            </w:r>
            <w:r w:rsidRPr="007A3600">
              <w:rPr>
                <w:b/>
                <w:color w:val="000000"/>
                <w:szCs w:val="24"/>
                <w:lang w:val="en-GB"/>
              </w:rPr>
              <w:t>arget</w:t>
            </w:r>
          </w:p>
        </w:tc>
        <w:tc>
          <w:tcPr>
            <w:tcW w:w="1474" w:type="dxa"/>
            <w:shd w:val="clear" w:color="auto" w:fill="B7D98A"/>
          </w:tcPr>
          <w:p w14:paraId="5DF1D084" w14:textId="055464C5" w:rsidR="00303912" w:rsidRPr="007A3600" w:rsidRDefault="00303912" w:rsidP="00AD3197">
            <w:pPr>
              <w:pStyle w:val="TableBody"/>
              <w:spacing w:before="40" w:after="40"/>
              <w:jc w:val="right"/>
              <w:rPr>
                <w:b/>
                <w:color w:val="000000"/>
                <w:szCs w:val="24"/>
                <w:lang w:val="en-GB"/>
              </w:rPr>
            </w:pPr>
            <w:r w:rsidRPr="007A3600">
              <w:rPr>
                <w:b/>
                <w:color w:val="000000"/>
                <w:szCs w:val="24"/>
                <w:lang w:val="en-GB"/>
              </w:rPr>
              <w:t xml:space="preserve">2024–25 </w:t>
            </w:r>
            <w:r w:rsidR="007E4578" w:rsidRPr="007A3600">
              <w:rPr>
                <w:b/>
                <w:color w:val="000000"/>
                <w:szCs w:val="24"/>
                <w:lang w:val="en-GB"/>
              </w:rPr>
              <w:t>r</w:t>
            </w:r>
            <w:r w:rsidRPr="007A3600">
              <w:rPr>
                <w:b/>
                <w:color w:val="000000"/>
                <w:szCs w:val="24"/>
                <w:lang w:val="en-GB"/>
              </w:rPr>
              <w:t>esult</w:t>
            </w:r>
          </w:p>
        </w:tc>
        <w:tc>
          <w:tcPr>
            <w:tcW w:w="1474" w:type="dxa"/>
            <w:shd w:val="clear" w:color="auto" w:fill="B7D98A"/>
          </w:tcPr>
          <w:p w14:paraId="20D93730" w14:textId="58A3BD23" w:rsidR="00303912" w:rsidRPr="007A3600" w:rsidRDefault="00303912" w:rsidP="00AD3197">
            <w:pPr>
              <w:pStyle w:val="TableBody"/>
              <w:spacing w:before="40" w:after="40"/>
              <w:jc w:val="right"/>
              <w:rPr>
                <w:b/>
                <w:color w:val="000000"/>
                <w:szCs w:val="24"/>
                <w:lang w:val="en-GB"/>
              </w:rPr>
            </w:pPr>
            <w:r w:rsidRPr="007A3600">
              <w:rPr>
                <w:b/>
                <w:color w:val="000000"/>
                <w:szCs w:val="24"/>
                <w:lang w:val="en-GB"/>
              </w:rPr>
              <w:t xml:space="preserve">2024–25 </w:t>
            </w:r>
            <w:r w:rsidR="007E4578" w:rsidRPr="007A3600">
              <w:rPr>
                <w:b/>
                <w:color w:val="000000"/>
                <w:szCs w:val="24"/>
                <w:lang w:val="en-GB"/>
              </w:rPr>
              <w:t>o</w:t>
            </w:r>
            <w:r w:rsidRPr="007A3600">
              <w:rPr>
                <w:b/>
                <w:color w:val="000000"/>
                <w:szCs w:val="24"/>
                <w:lang w:val="en-GB"/>
              </w:rPr>
              <w:t>utcome</w:t>
            </w:r>
          </w:p>
        </w:tc>
        <w:tc>
          <w:tcPr>
            <w:tcW w:w="1474" w:type="dxa"/>
            <w:shd w:val="clear" w:color="auto" w:fill="B7D98A"/>
          </w:tcPr>
          <w:p w14:paraId="4827011B" w14:textId="22C6E36F" w:rsidR="00303912" w:rsidRPr="007A3600" w:rsidRDefault="00303912" w:rsidP="00AD3197">
            <w:pPr>
              <w:pStyle w:val="TableBody"/>
              <w:spacing w:before="40" w:after="40"/>
              <w:jc w:val="right"/>
              <w:rPr>
                <w:b/>
                <w:color w:val="000000"/>
                <w:szCs w:val="24"/>
                <w:lang w:val="en-GB"/>
              </w:rPr>
            </w:pPr>
            <w:r w:rsidRPr="007A3600">
              <w:rPr>
                <w:b/>
                <w:color w:val="000000"/>
                <w:szCs w:val="24"/>
                <w:lang w:val="en-GB"/>
              </w:rPr>
              <w:t xml:space="preserve">2023–24 </w:t>
            </w:r>
            <w:r w:rsidR="007E4578" w:rsidRPr="007A3600">
              <w:rPr>
                <w:b/>
                <w:color w:val="000000"/>
                <w:szCs w:val="24"/>
                <w:lang w:val="en-GB"/>
              </w:rPr>
              <w:t>r</w:t>
            </w:r>
            <w:r w:rsidRPr="007A3600">
              <w:rPr>
                <w:b/>
                <w:color w:val="000000"/>
                <w:szCs w:val="24"/>
                <w:lang w:val="en-GB"/>
              </w:rPr>
              <w:t>esult</w:t>
            </w:r>
          </w:p>
        </w:tc>
      </w:tr>
      <w:tr w:rsidR="00CF1A80" w:rsidRPr="007A3600" w14:paraId="1759FE8A" w14:textId="77777777" w:rsidTr="00B47E33">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E5F1D4"/>
          </w:tcPr>
          <w:p w14:paraId="25195B2B" w14:textId="77777777" w:rsidR="00303912" w:rsidRPr="007A3600" w:rsidRDefault="00303912" w:rsidP="00AD3197">
            <w:pPr>
              <w:pStyle w:val="TableBody"/>
              <w:spacing w:before="40" w:after="40"/>
              <w:rPr>
                <w:szCs w:val="24"/>
                <w:lang w:val="en-GB"/>
              </w:rPr>
            </w:pPr>
            <w:r w:rsidRPr="007A3600">
              <w:rPr>
                <w:szCs w:val="24"/>
              </w:rPr>
              <w:t>Participant satisfaction</w:t>
            </w:r>
          </w:p>
        </w:tc>
        <w:tc>
          <w:tcPr>
            <w:tcW w:w="1474" w:type="dxa"/>
            <w:shd w:val="clear" w:color="auto" w:fill="E5F1D4"/>
          </w:tcPr>
          <w:p w14:paraId="58CB34FF" w14:textId="77777777" w:rsidR="00303912" w:rsidRPr="007A3600" w:rsidRDefault="00303912" w:rsidP="00AD3197">
            <w:pPr>
              <w:pStyle w:val="TableBody"/>
              <w:spacing w:before="40" w:after="40"/>
              <w:jc w:val="right"/>
              <w:rPr>
                <w:szCs w:val="24"/>
                <w:lang w:val="en-GB"/>
              </w:rPr>
            </w:pPr>
            <w:r w:rsidRPr="007A3600">
              <w:rPr>
                <w:szCs w:val="24"/>
              </w:rPr>
              <w:t>76%</w:t>
            </w:r>
          </w:p>
        </w:tc>
        <w:tc>
          <w:tcPr>
            <w:tcW w:w="1474" w:type="dxa"/>
            <w:shd w:val="clear" w:color="auto" w:fill="E5F1D4"/>
          </w:tcPr>
          <w:p w14:paraId="06BCF335" w14:textId="77777777" w:rsidR="00303912" w:rsidRPr="007A3600" w:rsidRDefault="00303912" w:rsidP="00AD3197">
            <w:pPr>
              <w:pStyle w:val="TableBody"/>
              <w:spacing w:before="40" w:after="40"/>
              <w:jc w:val="right"/>
              <w:rPr>
                <w:szCs w:val="24"/>
                <w:lang w:val="en-GB"/>
              </w:rPr>
            </w:pPr>
            <w:r w:rsidRPr="007A3600">
              <w:rPr>
                <w:szCs w:val="24"/>
                <w:lang w:val="en-GB"/>
              </w:rPr>
              <w:t>62.2%</w:t>
            </w:r>
          </w:p>
        </w:tc>
        <w:tc>
          <w:tcPr>
            <w:tcW w:w="1474" w:type="dxa"/>
            <w:shd w:val="clear" w:color="auto" w:fill="E5F1D4"/>
          </w:tcPr>
          <w:p w14:paraId="19CAE031" w14:textId="59C81F4F" w:rsidR="00303912" w:rsidRPr="007A3600" w:rsidRDefault="00303912" w:rsidP="00AD3197">
            <w:pPr>
              <w:pStyle w:val="TableBody"/>
              <w:spacing w:before="40" w:after="40"/>
              <w:jc w:val="right"/>
              <w:rPr>
                <w:szCs w:val="24"/>
                <w:lang w:val="en-GB"/>
              </w:rPr>
            </w:pPr>
            <w:r w:rsidRPr="007A3600">
              <w:rPr>
                <w:szCs w:val="24"/>
                <w:lang w:val="en-GB"/>
              </w:rPr>
              <w:t xml:space="preserve">Not </w:t>
            </w:r>
            <w:r w:rsidR="00093100" w:rsidRPr="007A3600">
              <w:rPr>
                <w:szCs w:val="24"/>
                <w:lang w:val="en-GB"/>
              </w:rPr>
              <w:t>a</w:t>
            </w:r>
            <w:r w:rsidRPr="007A3600">
              <w:rPr>
                <w:szCs w:val="24"/>
                <w:lang w:val="en-GB"/>
              </w:rPr>
              <w:t>chieved</w:t>
            </w:r>
          </w:p>
        </w:tc>
        <w:tc>
          <w:tcPr>
            <w:tcW w:w="1474" w:type="dxa"/>
            <w:shd w:val="clear" w:color="auto" w:fill="E5F1D4"/>
          </w:tcPr>
          <w:p w14:paraId="17078A86" w14:textId="77777777" w:rsidR="00303912" w:rsidRPr="007A3600" w:rsidRDefault="00303912" w:rsidP="00AD3197">
            <w:pPr>
              <w:pStyle w:val="TableBody"/>
              <w:spacing w:before="40" w:after="40"/>
              <w:jc w:val="right"/>
              <w:rPr>
                <w:szCs w:val="24"/>
                <w:lang w:val="en-GB"/>
              </w:rPr>
            </w:pPr>
            <w:r w:rsidRPr="007A3600">
              <w:rPr>
                <w:szCs w:val="24"/>
                <w:lang w:val="en-GB"/>
              </w:rPr>
              <w:t>68.5%</w:t>
            </w:r>
          </w:p>
        </w:tc>
      </w:tr>
    </w:tbl>
    <w:p w14:paraId="410D052F" w14:textId="77777777" w:rsidR="00D0070F" w:rsidRPr="007A3600" w:rsidRDefault="00D0070F" w:rsidP="00AD3197">
      <w:pPr>
        <w:pStyle w:val="Heading6"/>
        <w:rPr>
          <w:lang w:eastAsia="ja-JP"/>
        </w:rPr>
      </w:pPr>
      <w:r w:rsidRPr="007A3600">
        <w:rPr>
          <w:lang w:eastAsia="ja-JP"/>
        </w:rPr>
        <w:t>Why we measure this</w:t>
      </w:r>
    </w:p>
    <w:p w14:paraId="2B8CBFCE" w14:textId="5A4DA60D" w:rsidR="00E335B4" w:rsidRPr="007A3600" w:rsidRDefault="00E335B4" w:rsidP="00AD3197">
      <w:pPr>
        <w:rPr>
          <w:lang w:eastAsia="ja-JP"/>
        </w:rPr>
      </w:pPr>
      <w:r w:rsidRPr="007A3600">
        <w:rPr>
          <w:lang w:eastAsia="ja-JP"/>
        </w:rPr>
        <w:t xml:space="preserve">This measures the output of the NDIA </w:t>
      </w:r>
      <w:r w:rsidRPr="007A3600" w:rsidDel="00942779">
        <w:rPr>
          <w:lang w:eastAsia="ja-JP"/>
        </w:rPr>
        <w:t xml:space="preserve">in </w:t>
      </w:r>
      <w:r w:rsidRPr="007A3600">
        <w:rPr>
          <w:lang w:eastAsia="ja-JP"/>
        </w:rPr>
        <w:t>supporting the independence, and social and economic participation, of people with disability.</w:t>
      </w:r>
    </w:p>
    <w:p w14:paraId="51A7129C" w14:textId="77777777" w:rsidR="00E335B4" w:rsidRPr="007A3600" w:rsidRDefault="00E335B4" w:rsidP="00AD3197">
      <w:pPr>
        <w:pStyle w:val="Heading6"/>
        <w:rPr>
          <w:lang w:eastAsia="ja-JP"/>
        </w:rPr>
      </w:pPr>
      <w:r w:rsidRPr="007A3600">
        <w:rPr>
          <w:lang w:eastAsia="ja-JP"/>
        </w:rPr>
        <w:lastRenderedPageBreak/>
        <w:t>How we measure this</w:t>
      </w:r>
    </w:p>
    <w:p w14:paraId="2E23515F" w14:textId="7C2C7735" w:rsidR="00E335B4" w:rsidRPr="007A3600" w:rsidRDefault="00E335B4" w:rsidP="00AD3197">
      <w:pPr>
        <w:rPr>
          <w:lang w:eastAsia="ja-JP"/>
        </w:rPr>
      </w:pPr>
      <w:r w:rsidRPr="007A3600">
        <w:rPr>
          <w:lang w:eastAsia="ja-JP"/>
        </w:rPr>
        <w:t>The satisfaction survey is conducted every month by an independent provider, Australian Healthcare Associates. Satisfaction is measured by the percentage of ‘good’ and ‘very good’ responses to the question about a participant’s experience with the NDIS across the 4 stages (the Apply for NDIS process, the Plan Approval process, the Plan Implementation process, and the Plan Reassessment process). In 2024</w:t>
      </w:r>
      <w:r w:rsidR="005239A1">
        <w:rPr>
          <w:lang w:eastAsia="ja-JP"/>
        </w:rPr>
        <w:t>–</w:t>
      </w:r>
      <w:r w:rsidRPr="007A3600">
        <w:rPr>
          <w:lang w:eastAsia="ja-JP"/>
        </w:rPr>
        <w:t>25 there were 61,053 responses compared to 61,112 responses in 2023</w:t>
      </w:r>
      <w:r w:rsidR="005239A1">
        <w:rPr>
          <w:lang w:eastAsia="ja-JP"/>
        </w:rPr>
        <w:t>–</w:t>
      </w:r>
      <w:r w:rsidRPr="007A3600">
        <w:rPr>
          <w:lang w:eastAsia="ja-JP"/>
        </w:rPr>
        <w:t>24. Only responses from participants who have met access requirements are included in the measure.</w:t>
      </w:r>
    </w:p>
    <w:p w14:paraId="3942F3F0" w14:textId="77777777" w:rsidR="00E335B4" w:rsidRPr="007A3600" w:rsidRDefault="00E335B4" w:rsidP="00AD3197">
      <w:pPr>
        <w:pStyle w:val="Heading6"/>
        <w:rPr>
          <w:lang w:eastAsia="ja-JP"/>
        </w:rPr>
      </w:pPr>
      <w:r w:rsidRPr="007A3600">
        <w:rPr>
          <w:lang w:eastAsia="ja-JP"/>
        </w:rPr>
        <w:t>Analysis</w:t>
      </w:r>
    </w:p>
    <w:p w14:paraId="3432EB93" w14:textId="77777777" w:rsidR="00E335B4" w:rsidRPr="007A3600" w:rsidRDefault="00E335B4" w:rsidP="00AD3197">
      <w:pPr>
        <w:rPr>
          <w:lang w:eastAsia="ja-JP"/>
        </w:rPr>
      </w:pPr>
      <w:r w:rsidRPr="007A3600">
        <w:rPr>
          <w:lang w:eastAsia="ja-JP"/>
        </w:rPr>
        <w:t xml:space="preserve">Satisfaction rates were highest for the plan reassessment process (67%) compared to applying to the NDIS (58%), plan approval (54%), and plan implementation (61%). See section 3 of the </w:t>
      </w:r>
      <w:hyperlink r:id="rId38" w:history="1">
        <w:r w:rsidRPr="007A3600">
          <w:rPr>
            <w:rStyle w:val="Hyperlink"/>
          </w:rPr>
          <w:t>NDIS Quarterly Reports to Disability Ministers</w:t>
        </w:r>
      </w:hyperlink>
      <w:r w:rsidRPr="007A3600">
        <w:rPr>
          <w:lang w:eastAsia="ja-JP"/>
        </w:rPr>
        <w:t xml:space="preserve"> for previous years’ results. Participant satisfaction also improved over the year as internal workloads eased, and processes became more streamlined. </w:t>
      </w:r>
    </w:p>
    <w:p w14:paraId="67FEB649" w14:textId="5ADC8E09" w:rsidR="00E335B4" w:rsidRPr="007A3600" w:rsidRDefault="00E335B4" w:rsidP="00AD3197">
      <w:pPr>
        <w:rPr>
          <w:lang w:eastAsia="ja-JP"/>
        </w:rPr>
      </w:pPr>
      <w:r w:rsidRPr="007A3600">
        <w:rPr>
          <w:lang w:eastAsia="ja-JP"/>
        </w:rPr>
        <w:t xml:space="preserve">The NDIA is committed to ensuring participants have choice and control over their NDIS supports, and this is one factor likely to affect participant satisfaction. </w:t>
      </w:r>
      <w:r w:rsidR="0000713D" w:rsidRPr="007A3600">
        <w:rPr>
          <w:lang w:eastAsia="ja-JP"/>
        </w:rPr>
        <w:t>In 2024</w:t>
      </w:r>
      <w:r w:rsidR="00B25EBD">
        <w:rPr>
          <w:lang w:eastAsia="ja-JP"/>
        </w:rPr>
        <w:t>–</w:t>
      </w:r>
      <w:r w:rsidR="0000713D" w:rsidRPr="007A3600">
        <w:rPr>
          <w:lang w:eastAsia="ja-JP"/>
        </w:rPr>
        <w:t>25</w:t>
      </w:r>
      <w:r w:rsidRPr="007A3600">
        <w:rPr>
          <w:lang w:eastAsia="ja-JP"/>
        </w:rPr>
        <w:t xml:space="preserve"> the NDIA has continued its program of participant education and engagement – for example, it launched a new ‘Understanding the NDIS’ webinar series </w:t>
      </w:r>
      <w:r w:rsidR="006141A5">
        <w:rPr>
          <w:lang w:eastAsia="ja-JP"/>
        </w:rPr>
        <w:t>–</w:t>
      </w:r>
      <w:r w:rsidR="006141A5" w:rsidRPr="007A3600">
        <w:rPr>
          <w:lang w:eastAsia="ja-JP"/>
        </w:rPr>
        <w:t xml:space="preserve"> </w:t>
      </w:r>
      <w:r w:rsidRPr="007A3600">
        <w:rPr>
          <w:lang w:eastAsia="ja-JP"/>
        </w:rPr>
        <w:t xml:space="preserve">to help participants understand key aspects of the NDIS and different ways to use their plans. Webinars are released every month and the series has included webinars on pathways to post school life, exploring ways participants can use their funding to get and keep a job after school, and funding periods. Events are advertised on the </w:t>
      </w:r>
      <w:hyperlink r:id="rId39" w:history="1">
        <w:r w:rsidRPr="007A3600">
          <w:rPr>
            <w:rStyle w:val="Hyperlink"/>
          </w:rPr>
          <w:t>NDIS website</w:t>
        </w:r>
      </w:hyperlink>
      <w:r w:rsidRPr="007A3600">
        <w:t>.</w:t>
      </w:r>
      <w:r w:rsidRPr="007A3600">
        <w:rPr>
          <w:lang w:eastAsia="ja-JP"/>
        </w:rPr>
        <w:t xml:space="preserve"> In 2024–25, 62.2% of participants who completed the Short Form Outcomes Framework questionnaire responded positively when asked whether they had choice and control in selecting providers. Results are monitored and published in </w:t>
      </w:r>
      <w:hyperlink r:id="rId40" w:history="1">
        <w:r w:rsidRPr="007A3600">
          <w:rPr>
            <w:rStyle w:val="Hyperlink"/>
          </w:rPr>
          <w:t>Outcomes reports</w:t>
        </w:r>
      </w:hyperlink>
      <w:r w:rsidRPr="007A3600">
        <w:rPr>
          <w:lang w:eastAsia="ja-JP"/>
        </w:rPr>
        <w:t>.</w:t>
      </w:r>
    </w:p>
    <w:p w14:paraId="0D7612A1" w14:textId="45C3A0A1" w:rsidR="00E335B4" w:rsidRPr="007A3600" w:rsidDel="00BF194A" w:rsidRDefault="00E335B4" w:rsidP="00AD3197">
      <w:pPr>
        <w:rPr>
          <w:b/>
          <w:lang w:eastAsia="ja-JP"/>
        </w:rPr>
      </w:pPr>
      <w:r w:rsidRPr="007A3600">
        <w:rPr>
          <w:lang w:eastAsia="ja-JP"/>
        </w:rPr>
        <w:t xml:space="preserve">In October 2024, the NDIA announced legislation changes to give participants  greater clarity and </w:t>
      </w:r>
      <w:r w:rsidRPr="007A3600" w:rsidDel="00D262F6">
        <w:rPr>
          <w:lang w:eastAsia="ja-JP"/>
        </w:rPr>
        <w:t>flexibility</w:t>
      </w:r>
      <w:r w:rsidR="00D262F6" w:rsidRPr="007A3600">
        <w:rPr>
          <w:lang w:eastAsia="ja-JP"/>
        </w:rPr>
        <w:t>.</w:t>
      </w:r>
      <w:r w:rsidRPr="007A3600">
        <w:rPr>
          <w:lang w:eastAsia="ja-JP"/>
        </w:rPr>
        <w:t xml:space="preserve"> For example, there is now a new definition of ‘NDIS supports’. From 3 October 2024 NDIS funds can only be spent on NDIS supports or approved replacements for NDIS supports.</w:t>
      </w:r>
    </w:p>
    <w:p w14:paraId="0CD17B2C" w14:textId="362CE947" w:rsidR="00D0070F" w:rsidRPr="007A3600" w:rsidRDefault="00D0070F" w:rsidP="00AD3197">
      <w:pPr>
        <w:pStyle w:val="Heading5"/>
        <w:rPr>
          <w:lang w:eastAsia="ja-JP"/>
        </w:rPr>
      </w:pPr>
      <w:r w:rsidRPr="007A3600">
        <w:rPr>
          <w:lang w:eastAsia="ja-JP"/>
        </w:rPr>
        <w:lastRenderedPageBreak/>
        <w:t>Performance measure 1.4 – Participant satisfaction with progress toward their goals</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395E37" w:rsidRPr="007A3600" w14:paraId="7556B287" w14:textId="77777777" w:rsidTr="00B47E33">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tcPr>
          <w:p w14:paraId="7D009CC8" w14:textId="3B643B4D" w:rsidR="007E4578" w:rsidRPr="007A3600" w:rsidRDefault="007E4578" w:rsidP="00AD3197">
            <w:pPr>
              <w:pStyle w:val="TableBody"/>
              <w:spacing w:before="40" w:after="40"/>
              <w:rPr>
                <w:b/>
                <w:color w:val="000000"/>
                <w:szCs w:val="24"/>
                <w:lang w:val="en-GB"/>
              </w:rPr>
            </w:pPr>
            <w:r w:rsidRPr="007A3600">
              <w:rPr>
                <w:b/>
                <w:color w:val="000000"/>
                <w:szCs w:val="24"/>
                <w:lang w:val="en-GB"/>
              </w:rPr>
              <w:t>Performance measure</w:t>
            </w:r>
          </w:p>
        </w:tc>
        <w:tc>
          <w:tcPr>
            <w:tcW w:w="1474" w:type="dxa"/>
            <w:shd w:val="clear" w:color="auto" w:fill="B7D98A"/>
          </w:tcPr>
          <w:p w14:paraId="1B8BA7B5" w14:textId="54A0130F" w:rsidR="007E4578" w:rsidRPr="007A3600" w:rsidRDefault="007E4578" w:rsidP="00AD3197">
            <w:pPr>
              <w:pStyle w:val="TableBody"/>
              <w:spacing w:before="40" w:after="40"/>
              <w:jc w:val="right"/>
              <w:rPr>
                <w:b/>
                <w:color w:val="000000"/>
                <w:szCs w:val="24"/>
                <w:lang w:val="en-GB"/>
              </w:rPr>
            </w:pPr>
            <w:r w:rsidRPr="007A3600">
              <w:rPr>
                <w:b/>
                <w:color w:val="000000"/>
                <w:szCs w:val="24"/>
                <w:lang w:val="en-GB"/>
              </w:rPr>
              <w:t>2024–25 target</w:t>
            </w:r>
          </w:p>
        </w:tc>
        <w:tc>
          <w:tcPr>
            <w:tcW w:w="1474" w:type="dxa"/>
            <w:shd w:val="clear" w:color="auto" w:fill="B7D98A"/>
          </w:tcPr>
          <w:p w14:paraId="57AD98C1" w14:textId="7D3323B2" w:rsidR="007E4578" w:rsidRPr="007A3600" w:rsidRDefault="007E4578" w:rsidP="00AD3197">
            <w:pPr>
              <w:pStyle w:val="TableBody"/>
              <w:spacing w:before="40" w:after="40"/>
              <w:jc w:val="right"/>
              <w:rPr>
                <w:b/>
                <w:color w:val="000000"/>
                <w:szCs w:val="24"/>
                <w:lang w:val="en-GB"/>
              </w:rPr>
            </w:pPr>
            <w:r w:rsidRPr="007A3600">
              <w:rPr>
                <w:b/>
                <w:color w:val="000000"/>
                <w:szCs w:val="24"/>
                <w:lang w:val="en-GB"/>
              </w:rPr>
              <w:t>2024–25 result</w:t>
            </w:r>
          </w:p>
        </w:tc>
        <w:tc>
          <w:tcPr>
            <w:tcW w:w="1474" w:type="dxa"/>
            <w:shd w:val="clear" w:color="auto" w:fill="B7D98A"/>
          </w:tcPr>
          <w:p w14:paraId="39CA0153" w14:textId="038256FD" w:rsidR="007E4578" w:rsidRPr="007A3600" w:rsidRDefault="007E4578" w:rsidP="00AD3197">
            <w:pPr>
              <w:pStyle w:val="TableBody"/>
              <w:spacing w:before="40" w:after="40"/>
              <w:jc w:val="right"/>
              <w:rPr>
                <w:b/>
                <w:color w:val="000000"/>
                <w:szCs w:val="24"/>
                <w:lang w:val="en-GB"/>
              </w:rPr>
            </w:pPr>
            <w:r w:rsidRPr="007A3600">
              <w:rPr>
                <w:b/>
                <w:color w:val="000000"/>
                <w:szCs w:val="24"/>
                <w:lang w:val="en-GB"/>
              </w:rPr>
              <w:t>2024–25 outcome</w:t>
            </w:r>
          </w:p>
        </w:tc>
        <w:tc>
          <w:tcPr>
            <w:tcW w:w="1474" w:type="dxa"/>
            <w:shd w:val="clear" w:color="auto" w:fill="B7D98A"/>
          </w:tcPr>
          <w:p w14:paraId="15A1A57F" w14:textId="23ABE1A2" w:rsidR="007E4578" w:rsidRPr="007A3600" w:rsidRDefault="007E4578" w:rsidP="00AD3197">
            <w:pPr>
              <w:pStyle w:val="TableBody"/>
              <w:spacing w:before="40" w:after="40"/>
              <w:jc w:val="right"/>
              <w:rPr>
                <w:b/>
                <w:color w:val="000000"/>
                <w:szCs w:val="24"/>
                <w:lang w:val="en-GB"/>
              </w:rPr>
            </w:pPr>
            <w:r w:rsidRPr="007A3600">
              <w:rPr>
                <w:b/>
                <w:color w:val="000000"/>
                <w:szCs w:val="24"/>
                <w:lang w:val="en-GB"/>
              </w:rPr>
              <w:t>2023–24 result</w:t>
            </w:r>
          </w:p>
        </w:tc>
      </w:tr>
      <w:tr w:rsidR="00CF1A80" w:rsidRPr="007A3600" w14:paraId="59257705" w14:textId="77777777" w:rsidTr="00B47E33">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E5F1D4"/>
          </w:tcPr>
          <w:p w14:paraId="1A0BEA7E" w14:textId="77777777" w:rsidR="007E4578" w:rsidRPr="007A3600" w:rsidRDefault="007E4578" w:rsidP="00AD3197">
            <w:pPr>
              <w:pStyle w:val="TableBody"/>
              <w:spacing w:before="40" w:after="40"/>
              <w:rPr>
                <w:szCs w:val="24"/>
                <w:lang w:val="en-GB"/>
              </w:rPr>
            </w:pPr>
            <w:r w:rsidRPr="007A3600">
              <w:rPr>
                <w:szCs w:val="24"/>
                <w:lang w:val="en-GB"/>
              </w:rPr>
              <w:t>Participant satisfaction with progress toward their goals</w:t>
            </w:r>
          </w:p>
        </w:tc>
        <w:tc>
          <w:tcPr>
            <w:tcW w:w="1474" w:type="dxa"/>
            <w:shd w:val="clear" w:color="auto" w:fill="E5F1D4"/>
          </w:tcPr>
          <w:p w14:paraId="562FAA94" w14:textId="77777777" w:rsidR="007E4578" w:rsidRPr="007A3600" w:rsidRDefault="007E4578" w:rsidP="00AD3197">
            <w:pPr>
              <w:pStyle w:val="TableBody"/>
              <w:spacing w:before="40" w:after="40"/>
              <w:jc w:val="right"/>
              <w:rPr>
                <w:szCs w:val="24"/>
                <w:lang w:val="en-GB"/>
              </w:rPr>
            </w:pPr>
            <w:r w:rsidRPr="007A3600">
              <w:rPr>
                <w:szCs w:val="24"/>
              </w:rPr>
              <w:t>70%</w:t>
            </w:r>
          </w:p>
        </w:tc>
        <w:tc>
          <w:tcPr>
            <w:tcW w:w="1474" w:type="dxa"/>
            <w:shd w:val="clear" w:color="auto" w:fill="E5F1D4"/>
          </w:tcPr>
          <w:p w14:paraId="7DAFE28D" w14:textId="77777777" w:rsidR="007E4578" w:rsidRPr="007A3600" w:rsidRDefault="007E4578" w:rsidP="00AD3197">
            <w:pPr>
              <w:pStyle w:val="TableBody"/>
              <w:spacing w:before="40" w:after="40"/>
              <w:jc w:val="right"/>
              <w:rPr>
                <w:szCs w:val="24"/>
                <w:lang w:val="en-GB"/>
              </w:rPr>
            </w:pPr>
            <w:r w:rsidRPr="007A3600">
              <w:rPr>
                <w:szCs w:val="24"/>
                <w:lang w:val="en-GB"/>
              </w:rPr>
              <w:t>62.8%</w:t>
            </w:r>
          </w:p>
        </w:tc>
        <w:tc>
          <w:tcPr>
            <w:tcW w:w="1474" w:type="dxa"/>
            <w:shd w:val="clear" w:color="auto" w:fill="E5F1D4"/>
          </w:tcPr>
          <w:p w14:paraId="5F9345EA" w14:textId="7B1A485A" w:rsidR="007E4578" w:rsidRPr="007A3600" w:rsidRDefault="007E4578" w:rsidP="00AD3197">
            <w:pPr>
              <w:pStyle w:val="TableBody"/>
              <w:spacing w:before="40" w:after="40"/>
              <w:jc w:val="right"/>
              <w:rPr>
                <w:szCs w:val="24"/>
                <w:lang w:val="en-GB"/>
              </w:rPr>
            </w:pPr>
            <w:r w:rsidRPr="007A3600">
              <w:rPr>
                <w:szCs w:val="24"/>
                <w:lang w:val="en-GB"/>
              </w:rPr>
              <w:t xml:space="preserve">Not </w:t>
            </w:r>
            <w:r w:rsidR="00093100" w:rsidRPr="007A3600">
              <w:rPr>
                <w:szCs w:val="24"/>
                <w:lang w:val="en-GB"/>
              </w:rPr>
              <w:t>a</w:t>
            </w:r>
            <w:r w:rsidRPr="007A3600">
              <w:rPr>
                <w:szCs w:val="24"/>
                <w:lang w:val="en-GB"/>
              </w:rPr>
              <w:t>chieved</w:t>
            </w:r>
          </w:p>
        </w:tc>
        <w:tc>
          <w:tcPr>
            <w:tcW w:w="1474" w:type="dxa"/>
            <w:shd w:val="clear" w:color="auto" w:fill="E5F1D4"/>
          </w:tcPr>
          <w:p w14:paraId="2FEE043D" w14:textId="77777777" w:rsidR="007E4578" w:rsidRPr="007A3600" w:rsidRDefault="007E4578" w:rsidP="00AD3197">
            <w:pPr>
              <w:pStyle w:val="TableBody"/>
              <w:spacing w:before="40" w:after="40"/>
              <w:jc w:val="right"/>
              <w:rPr>
                <w:szCs w:val="24"/>
                <w:lang w:val="en-GB"/>
              </w:rPr>
            </w:pPr>
            <w:r w:rsidRPr="007A3600">
              <w:rPr>
                <w:szCs w:val="24"/>
                <w:lang w:val="en-GB"/>
              </w:rPr>
              <w:t>66.6%</w:t>
            </w:r>
          </w:p>
        </w:tc>
      </w:tr>
    </w:tbl>
    <w:p w14:paraId="0F9D5AD6" w14:textId="77777777" w:rsidR="00D0070F" w:rsidRPr="007A3600" w:rsidRDefault="00D0070F" w:rsidP="00AD3197">
      <w:pPr>
        <w:pStyle w:val="Heading6"/>
        <w:rPr>
          <w:lang w:eastAsia="ja-JP"/>
        </w:rPr>
      </w:pPr>
      <w:r w:rsidRPr="007A3600">
        <w:rPr>
          <w:lang w:eastAsia="ja-JP"/>
        </w:rPr>
        <w:t>Why we measure this</w:t>
      </w:r>
    </w:p>
    <w:p w14:paraId="22B28D79" w14:textId="2EE59E3F" w:rsidR="007C0EF1" w:rsidRPr="007A3600" w:rsidRDefault="007C0EF1" w:rsidP="00AD3197">
      <w:pPr>
        <w:rPr>
          <w:lang w:eastAsia="ja-JP"/>
        </w:rPr>
      </w:pPr>
      <w:r w:rsidRPr="007A3600">
        <w:rPr>
          <w:lang w:eastAsia="ja-JP"/>
        </w:rPr>
        <w:t>This measures the output (quality) of the NDIA in delivering the Scheme in supporting the independence, and social and economic participation, of people with disability.</w:t>
      </w:r>
    </w:p>
    <w:p w14:paraId="36EA2A9B" w14:textId="77777777" w:rsidR="007C0EF1" w:rsidRPr="007A3600" w:rsidRDefault="007C0EF1" w:rsidP="00AD3197">
      <w:pPr>
        <w:pStyle w:val="Heading6"/>
        <w:rPr>
          <w:lang w:eastAsia="ja-JP"/>
        </w:rPr>
      </w:pPr>
      <w:r w:rsidRPr="007A3600">
        <w:rPr>
          <w:lang w:eastAsia="ja-JP"/>
        </w:rPr>
        <w:t>How we measure this</w:t>
      </w:r>
    </w:p>
    <w:p w14:paraId="537FB516" w14:textId="59482CC0" w:rsidR="007C0EF1" w:rsidRPr="007A3600" w:rsidRDefault="007C0EF1" w:rsidP="00AD3197">
      <w:pPr>
        <w:rPr>
          <w:lang w:eastAsia="ja-JP"/>
        </w:rPr>
      </w:pPr>
      <w:r w:rsidRPr="007A3600">
        <w:rPr>
          <w:lang w:eastAsia="ja-JP"/>
        </w:rPr>
        <w:t xml:space="preserve">The satisfaction survey is conducted every month by an independent provider, Australian Healthcare Associates. We measure satisfaction by taking the total number of ‘completely’ or ‘mostly’ responses to the survey question ‘To what extent is your NDIS plan helping you to meet your goals?’ and dividing that total by the total number of responses received. We only include responses from participants who have met access requirements to the NDIS. This approach is different to the one </w:t>
      </w:r>
      <w:r w:rsidR="00BF662B" w:rsidRPr="007A3600">
        <w:rPr>
          <w:lang w:eastAsia="ja-JP"/>
        </w:rPr>
        <w:t>used in</w:t>
      </w:r>
      <w:r w:rsidRPr="007A3600">
        <w:rPr>
          <w:lang w:eastAsia="ja-JP"/>
        </w:rPr>
        <w:t xml:space="preserve"> 2023</w:t>
      </w:r>
      <w:r w:rsidR="00B32904">
        <w:rPr>
          <w:lang w:eastAsia="ja-JP"/>
        </w:rPr>
        <w:t>–</w:t>
      </w:r>
      <w:r w:rsidRPr="007A3600">
        <w:rPr>
          <w:lang w:eastAsia="ja-JP"/>
        </w:rPr>
        <w:t>24, where the scaled average of the positive responses was used. We have updated the 2023–24 result using this new approach. The result reported in the 2023–24 Annual Report was 68.5% under the 2023</w:t>
      </w:r>
      <w:r w:rsidR="00B32904">
        <w:rPr>
          <w:lang w:eastAsia="ja-JP"/>
        </w:rPr>
        <w:t>–</w:t>
      </w:r>
      <w:r w:rsidRPr="007A3600">
        <w:rPr>
          <w:lang w:eastAsia="ja-JP"/>
        </w:rPr>
        <w:t>24 approach.</w:t>
      </w:r>
    </w:p>
    <w:p w14:paraId="277E5BEB" w14:textId="39F4B047" w:rsidR="007C0EF1" w:rsidRPr="007A3600" w:rsidRDefault="007C0EF1" w:rsidP="00AD3197">
      <w:pPr>
        <w:rPr>
          <w:lang w:eastAsia="ja-JP"/>
        </w:rPr>
      </w:pPr>
      <w:r w:rsidRPr="007A3600">
        <w:rPr>
          <w:lang w:eastAsia="ja-JP"/>
        </w:rPr>
        <w:t>There were 31,432 responses this financial year compared to 18,541 responses from the previous year, noting only responses from December 2023 to June 2024 were included in the reported 2023–24 result.</w:t>
      </w:r>
    </w:p>
    <w:p w14:paraId="35990802" w14:textId="77777777" w:rsidR="007C0EF1" w:rsidRPr="007A3600" w:rsidRDefault="007C0EF1" w:rsidP="00AD3197">
      <w:pPr>
        <w:pStyle w:val="Heading6"/>
        <w:rPr>
          <w:lang w:eastAsia="ja-JP"/>
        </w:rPr>
      </w:pPr>
      <w:r w:rsidRPr="007A3600">
        <w:rPr>
          <w:lang w:eastAsia="ja-JP"/>
        </w:rPr>
        <w:t>Analysis</w:t>
      </w:r>
    </w:p>
    <w:p w14:paraId="4AD51310" w14:textId="7B1B6204" w:rsidR="007C0EF1" w:rsidRPr="007A3600" w:rsidRDefault="007C0EF1" w:rsidP="00AD3197">
      <w:pPr>
        <w:rPr>
          <w:lang w:eastAsia="ja-JP"/>
        </w:rPr>
      </w:pPr>
      <w:r w:rsidRPr="007A3600">
        <w:rPr>
          <w:lang w:eastAsia="ja-JP"/>
        </w:rPr>
        <w:t xml:space="preserve">The NDIA places the participant at the centre of everything we do, and we ensure that participants’ personalised plans and budgets are in line with their goals and aspirations. During the planning process all participants are encouraged to consider their goals. NDIA delegates use the participants’ goals in making decisions about the participants’ reasonable and necessary supports. This is supported by publicly available documents on the NDIS website: </w:t>
      </w:r>
      <w:hyperlink r:id="rId41" w:history="1">
        <w:r w:rsidRPr="007A3600">
          <w:rPr>
            <w:rStyle w:val="Hyperlink"/>
          </w:rPr>
          <w:t>Our Guidelines</w:t>
        </w:r>
      </w:hyperlink>
      <w:r w:rsidRPr="007A3600">
        <w:t xml:space="preserve"> and </w:t>
      </w:r>
      <w:hyperlink r:id="rId42" w:history="1">
        <w:r w:rsidRPr="007A3600">
          <w:rPr>
            <w:rStyle w:val="Hyperlink"/>
          </w:rPr>
          <w:t>Reasonable and necessary supports</w:t>
        </w:r>
      </w:hyperlink>
      <w:r w:rsidRPr="007A3600">
        <w:rPr>
          <w:lang w:eastAsia="ja-JP"/>
        </w:rPr>
        <w:t>.</w:t>
      </w:r>
    </w:p>
    <w:p w14:paraId="4F399CE5" w14:textId="77777777" w:rsidR="007C0EF1" w:rsidRPr="007A3600" w:rsidRDefault="007C0EF1" w:rsidP="00AD3197">
      <w:pPr>
        <w:rPr>
          <w:lang w:eastAsia="ja-JP"/>
        </w:rPr>
      </w:pPr>
      <w:r w:rsidRPr="007A3600">
        <w:rPr>
          <w:lang w:eastAsia="ja-JP"/>
        </w:rPr>
        <w:t xml:space="preserve">Scheme reforms that have recently been introduced affect how participants can use their plans and what they can spend their funding on. As with general participant satisfaction, these changes may have affected this measure. The NDIA acknowledges that the implementation of the reforms has led to uncertainty for some </w:t>
      </w:r>
      <w:r w:rsidRPr="007A3600">
        <w:rPr>
          <w:lang w:eastAsia="ja-JP"/>
        </w:rPr>
        <w:lastRenderedPageBreak/>
        <w:t>participants, and it is likely this has contributed to the lower result for this performance measure.</w:t>
      </w:r>
    </w:p>
    <w:p w14:paraId="6E8DDB29" w14:textId="7C1F8523" w:rsidR="007C0EF1" w:rsidRPr="007A3600" w:rsidRDefault="007C0EF1" w:rsidP="00AD3197">
      <w:pPr>
        <w:rPr>
          <w:lang w:eastAsia="ja-JP"/>
        </w:rPr>
      </w:pPr>
      <w:r w:rsidRPr="007A3600">
        <w:rPr>
          <w:lang w:eastAsia="ja-JP"/>
        </w:rPr>
        <w:t>The NDIA is continuing to engage with plan managers and support coordinators to reinforce their understanding of how they can support participants to make the best use of their funding.</w:t>
      </w:r>
    </w:p>
    <w:p w14:paraId="531D98AC" w14:textId="6201CE98" w:rsidR="00D0070F" w:rsidRPr="007A3600" w:rsidRDefault="00D0070F" w:rsidP="00AD3197">
      <w:pPr>
        <w:pStyle w:val="Heading5"/>
        <w:rPr>
          <w:lang w:eastAsia="ja-JP"/>
        </w:rPr>
      </w:pPr>
      <w:r w:rsidRPr="007A3600">
        <w:rPr>
          <w:lang w:eastAsia="ja-JP"/>
        </w:rPr>
        <w:t xml:space="preserve">Performance measure 1.5 </w:t>
      </w:r>
      <w:r w:rsidR="002B2990" w:rsidRPr="007A3600">
        <w:rPr>
          <w:lang w:eastAsia="ja-JP"/>
        </w:rPr>
        <w:t>–</w:t>
      </w:r>
      <w:r w:rsidRPr="007A3600">
        <w:rPr>
          <w:lang w:eastAsia="ja-JP"/>
        </w:rPr>
        <w:t xml:space="preserve"> Participants with </w:t>
      </w:r>
      <w:r w:rsidR="002B2990" w:rsidRPr="007A3600">
        <w:rPr>
          <w:lang w:eastAsia="ja-JP"/>
        </w:rPr>
        <w:t>c</w:t>
      </w:r>
      <w:r w:rsidRPr="007A3600">
        <w:rPr>
          <w:lang w:eastAsia="ja-JP"/>
        </w:rPr>
        <w:t xml:space="preserve">ommunity and/or </w:t>
      </w:r>
      <w:r w:rsidR="002B2990" w:rsidRPr="007A3600">
        <w:rPr>
          <w:lang w:eastAsia="ja-JP"/>
        </w:rPr>
        <w:t>m</w:t>
      </w:r>
      <w:r w:rsidRPr="007A3600">
        <w:rPr>
          <w:lang w:eastAsia="ja-JP"/>
        </w:rPr>
        <w:t>ainstream supports in their plans</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EA17FB" w:rsidRPr="007A3600" w14:paraId="064A5432" w14:textId="77777777" w:rsidTr="00B47E33">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hideMark/>
          </w:tcPr>
          <w:p w14:paraId="379F24FF" w14:textId="028A0B94" w:rsidR="00205DF7" w:rsidRPr="007A3600" w:rsidRDefault="00205DF7" w:rsidP="00AD3197">
            <w:pPr>
              <w:spacing w:before="40" w:after="40" w:line="288" w:lineRule="auto"/>
              <w:rPr>
                <w:rFonts w:eastAsia="MS Mincho"/>
                <w:b/>
                <w:color w:val="000000"/>
                <w:lang w:val="en-GB"/>
              </w:rPr>
            </w:pPr>
            <w:r w:rsidRPr="007A3600">
              <w:rPr>
                <w:rFonts w:eastAsia="MS Mincho"/>
                <w:b/>
                <w:color w:val="000000"/>
                <w:lang w:val="en-GB"/>
              </w:rPr>
              <w:t>Performance measure</w:t>
            </w:r>
          </w:p>
        </w:tc>
        <w:tc>
          <w:tcPr>
            <w:tcW w:w="1474" w:type="dxa"/>
            <w:shd w:val="clear" w:color="auto" w:fill="B7D98A"/>
            <w:hideMark/>
          </w:tcPr>
          <w:p w14:paraId="6F5B163D" w14:textId="224EC9C4" w:rsidR="00205DF7" w:rsidRPr="007A3600" w:rsidRDefault="00205DF7" w:rsidP="00AD3197">
            <w:pPr>
              <w:spacing w:before="40" w:after="40" w:line="288" w:lineRule="auto"/>
              <w:jc w:val="right"/>
              <w:rPr>
                <w:rFonts w:eastAsia="MS Mincho"/>
                <w:b/>
                <w:color w:val="000000"/>
                <w:lang w:val="en-GB"/>
              </w:rPr>
            </w:pPr>
            <w:r w:rsidRPr="007A3600">
              <w:rPr>
                <w:rFonts w:eastAsia="MS Mincho"/>
                <w:b/>
                <w:color w:val="000000"/>
                <w:lang w:val="en-GB"/>
              </w:rPr>
              <w:t>2024–25 target</w:t>
            </w:r>
          </w:p>
        </w:tc>
        <w:tc>
          <w:tcPr>
            <w:tcW w:w="1474" w:type="dxa"/>
            <w:shd w:val="clear" w:color="auto" w:fill="B7D98A"/>
            <w:hideMark/>
          </w:tcPr>
          <w:p w14:paraId="14710691" w14:textId="4EA902D7" w:rsidR="00205DF7" w:rsidRPr="007A3600" w:rsidRDefault="00205DF7" w:rsidP="00AD3197">
            <w:pPr>
              <w:spacing w:before="40" w:after="40" w:line="288" w:lineRule="auto"/>
              <w:jc w:val="right"/>
              <w:rPr>
                <w:rFonts w:eastAsia="MS Mincho"/>
                <w:b/>
                <w:color w:val="000000"/>
                <w:lang w:val="en-GB"/>
              </w:rPr>
            </w:pPr>
            <w:r w:rsidRPr="007A3600">
              <w:rPr>
                <w:rFonts w:eastAsia="MS Mincho"/>
                <w:b/>
                <w:color w:val="000000"/>
                <w:lang w:val="en-GB"/>
              </w:rPr>
              <w:t>2024–25 result</w:t>
            </w:r>
          </w:p>
        </w:tc>
        <w:tc>
          <w:tcPr>
            <w:tcW w:w="1474" w:type="dxa"/>
            <w:shd w:val="clear" w:color="auto" w:fill="B7D98A"/>
            <w:hideMark/>
          </w:tcPr>
          <w:p w14:paraId="4F15AB70" w14:textId="33E681B5" w:rsidR="00205DF7" w:rsidRPr="007A3600" w:rsidRDefault="00205DF7" w:rsidP="00AD3197">
            <w:pPr>
              <w:spacing w:before="40" w:after="40" w:line="288" w:lineRule="auto"/>
              <w:jc w:val="right"/>
              <w:rPr>
                <w:rFonts w:eastAsia="MS Mincho"/>
                <w:b/>
                <w:color w:val="000000"/>
                <w:lang w:val="en-GB"/>
              </w:rPr>
            </w:pPr>
            <w:r w:rsidRPr="007A3600">
              <w:rPr>
                <w:rFonts w:eastAsia="MS Mincho"/>
                <w:b/>
                <w:color w:val="000000"/>
                <w:lang w:val="en-GB"/>
              </w:rPr>
              <w:t>2024–25 outcome</w:t>
            </w:r>
          </w:p>
        </w:tc>
        <w:tc>
          <w:tcPr>
            <w:tcW w:w="1474" w:type="dxa"/>
            <w:shd w:val="clear" w:color="auto" w:fill="B7D98A"/>
            <w:hideMark/>
          </w:tcPr>
          <w:p w14:paraId="0D5EBB76" w14:textId="0FD804EF" w:rsidR="00205DF7" w:rsidRPr="007A3600" w:rsidRDefault="00205DF7" w:rsidP="00AD3197">
            <w:pPr>
              <w:spacing w:before="40" w:after="40" w:line="288" w:lineRule="auto"/>
              <w:jc w:val="right"/>
              <w:rPr>
                <w:rFonts w:eastAsia="MS Mincho"/>
                <w:b/>
                <w:color w:val="000000"/>
                <w:lang w:val="en-GB"/>
              </w:rPr>
            </w:pPr>
            <w:r w:rsidRPr="007A3600">
              <w:rPr>
                <w:rFonts w:eastAsia="MS Mincho"/>
                <w:b/>
                <w:color w:val="000000"/>
                <w:lang w:val="en-GB"/>
              </w:rPr>
              <w:t>2023–24 result</w:t>
            </w:r>
          </w:p>
        </w:tc>
      </w:tr>
      <w:tr w:rsidR="00CF1A80" w:rsidRPr="007A3600" w14:paraId="448BB9CD" w14:textId="77777777" w:rsidTr="00B47E33">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E5F1D4"/>
            <w:hideMark/>
          </w:tcPr>
          <w:p w14:paraId="6C8CA9B9" w14:textId="7A3C057B" w:rsidR="00205DF7" w:rsidRPr="007A3600" w:rsidRDefault="00205DF7" w:rsidP="00AD3197">
            <w:pPr>
              <w:spacing w:before="40" w:after="40" w:line="288" w:lineRule="auto"/>
              <w:rPr>
                <w:rFonts w:eastAsia="MS Mincho" w:cs="Arial"/>
                <w:lang w:val="en-GB"/>
              </w:rPr>
            </w:pPr>
            <w:r w:rsidRPr="007A3600">
              <w:rPr>
                <w:rFonts w:eastAsia="MS Mincho" w:cs="Arial"/>
                <w:lang w:val="en-GB"/>
              </w:rPr>
              <w:t>Participants with community and/or mainstream supports in their plans</w:t>
            </w:r>
          </w:p>
        </w:tc>
        <w:tc>
          <w:tcPr>
            <w:tcW w:w="1474" w:type="dxa"/>
            <w:shd w:val="clear" w:color="auto" w:fill="E5F1D4"/>
            <w:hideMark/>
          </w:tcPr>
          <w:p w14:paraId="6B581ACF" w14:textId="77777777" w:rsidR="00205DF7" w:rsidRPr="007A3600" w:rsidRDefault="00205DF7" w:rsidP="00AD3197">
            <w:pPr>
              <w:spacing w:before="40" w:after="40" w:line="288" w:lineRule="auto"/>
              <w:jc w:val="right"/>
              <w:rPr>
                <w:rFonts w:eastAsia="MS Mincho" w:cs="Arial"/>
                <w:lang w:val="en-GB"/>
              </w:rPr>
            </w:pPr>
            <w:r w:rsidRPr="007A3600">
              <w:rPr>
                <w:rFonts w:eastAsia="MS Mincho" w:cs="Arial"/>
              </w:rPr>
              <w:t>&gt;90%</w:t>
            </w:r>
          </w:p>
        </w:tc>
        <w:tc>
          <w:tcPr>
            <w:tcW w:w="1474" w:type="dxa"/>
            <w:shd w:val="clear" w:color="auto" w:fill="E5F1D4"/>
            <w:hideMark/>
          </w:tcPr>
          <w:p w14:paraId="2E097A1A" w14:textId="77777777" w:rsidR="00205DF7" w:rsidRPr="007A3600" w:rsidRDefault="00205DF7" w:rsidP="00AD3197">
            <w:pPr>
              <w:spacing w:before="40" w:after="40" w:line="288" w:lineRule="auto"/>
              <w:jc w:val="right"/>
              <w:rPr>
                <w:rFonts w:eastAsia="MS Mincho" w:cs="Arial"/>
                <w:lang w:val="en-GB"/>
              </w:rPr>
            </w:pPr>
            <w:r w:rsidRPr="007A3600">
              <w:rPr>
                <w:rFonts w:eastAsia="MS Mincho" w:cs="Arial"/>
                <w:lang w:val="en-GB"/>
              </w:rPr>
              <w:t>96.5%</w:t>
            </w:r>
          </w:p>
        </w:tc>
        <w:tc>
          <w:tcPr>
            <w:tcW w:w="1474" w:type="dxa"/>
            <w:shd w:val="clear" w:color="auto" w:fill="E5F1D4"/>
            <w:hideMark/>
          </w:tcPr>
          <w:p w14:paraId="3C9DF782" w14:textId="77777777" w:rsidR="00205DF7" w:rsidRPr="007A3600" w:rsidRDefault="00205DF7" w:rsidP="00AD3197">
            <w:pPr>
              <w:spacing w:before="40" w:after="40" w:line="288" w:lineRule="auto"/>
              <w:jc w:val="right"/>
              <w:rPr>
                <w:rFonts w:eastAsia="MS Mincho" w:cs="Arial"/>
                <w:lang w:val="en-GB"/>
              </w:rPr>
            </w:pPr>
            <w:r w:rsidRPr="007A3600">
              <w:rPr>
                <w:rFonts w:eastAsia="MS Mincho" w:cs="Arial"/>
                <w:lang w:val="en-GB"/>
              </w:rPr>
              <w:t>Achieved</w:t>
            </w:r>
          </w:p>
        </w:tc>
        <w:tc>
          <w:tcPr>
            <w:tcW w:w="1474" w:type="dxa"/>
            <w:shd w:val="clear" w:color="auto" w:fill="E5F1D4"/>
            <w:hideMark/>
          </w:tcPr>
          <w:p w14:paraId="132D1BAF" w14:textId="6D420124" w:rsidR="00205DF7" w:rsidRPr="007A3600" w:rsidRDefault="00205DF7" w:rsidP="00AD3197">
            <w:pPr>
              <w:spacing w:before="40" w:after="40" w:line="288" w:lineRule="auto"/>
              <w:jc w:val="right"/>
              <w:rPr>
                <w:rFonts w:eastAsia="MS Mincho" w:cs="Arial"/>
                <w:lang w:val="en-GB"/>
              </w:rPr>
            </w:pPr>
            <w:r w:rsidRPr="007A3600">
              <w:rPr>
                <w:rFonts w:eastAsia="MS Mincho" w:cs="Arial"/>
                <w:lang w:val="en-GB"/>
              </w:rPr>
              <w:t>N/A</w:t>
            </w:r>
          </w:p>
        </w:tc>
      </w:tr>
    </w:tbl>
    <w:p w14:paraId="7E3C07C3" w14:textId="77777777" w:rsidR="00D0070F" w:rsidRPr="007A3600" w:rsidRDefault="00D0070F" w:rsidP="00AD3197">
      <w:pPr>
        <w:pStyle w:val="Heading6"/>
        <w:rPr>
          <w:lang w:eastAsia="ja-JP"/>
        </w:rPr>
      </w:pPr>
      <w:r w:rsidRPr="007A3600">
        <w:rPr>
          <w:lang w:eastAsia="ja-JP"/>
        </w:rPr>
        <w:t>Why we measure this</w:t>
      </w:r>
    </w:p>
    <w:p w14:paraId="6D790F2F" w14:textId="77777777" w:rsidR="007748C5" w:rsidRPr="007A3600" w:rsidRDefault="007748C5" w:rsidP="00AD3197">
      <w:pPr>
        <w:rPr>
          <w:lang w:eastAsia="ja-JP"/>
        </w:rPr>
      </w:pPr>
      <w:r w:rsidRPr="007A3600">
        <w:rPr>
          <w:lang w:eastAsia="ja-JP"/>
        </w:rPr>
        <w:t>This measures the output (quality) of the NDIA’s work in delivering the NDIS to support the independence, and social and economic participation, of people with disability.</w:t>
      </w:r>
    </w:p>
    <w:p w14:paraId="58487E93" w14:textId="77777777" w:rsidR="007748C5" w:rsidRPr="007A3600" w:rsidRDefault="007748C5" w:rsidP="00AD3197">
      <w:pPr>
        <w:rPr>
          <w:lang w:eastAsia="ja-JP"/>
        </w:rPr>
      </w:pPr>
      <w:r w:rsidRPr="007A3600">
        <w:rPr>
          <w:lang w:eastAsia="ja-JP"/>
        </w:rPr>
        <w:t>This measure assists the NDIA to ensure that participants are supported in connecting to community and mainstream supports and it can give advice to people with disability about accessing these supports. The measure supports the overall sustainability of the NDIS and ensures we are actively monitoring whether there are community and mainstream supports in place, and we are not limiting our pathway to funded supports.</w:t>
      </w:r>
    </w:p>
    <w:p w14:paraId="39CC38CE" w14:textId="77777777" w:rsidR="007748C5" w:rsidRPr="007A3600" w:rsidRDefault="007748C5" w:rsidP="00AD3197">
      <w:pPr>
        <w:pStyle w:val="Heading6"/>
        <w:rPr>
          <w:lang w:eastAsia="ja-JP"/>
        </w:rPr>
      </w:pPr>
      <w:r w:rsidRPr="007A3600">
        <w:rPr>
          <w:lang w:eastAsia="ja-JP"/>
        </w:rPr>
        <w:t>How we measure this</w:t>
      </w:r>
    </w:p>
    <w:p w14:paraId="7F0FA50D" w14:textId="111FF317" w:rsidR="007748C5" w:rsidRPr="007A3600" w:rsidRDefault="007748C5" w:rsidP="00AD3197">
      <w:pPr>
        <w:rPr>
          <w:lang w:eastAsia="ja-JP"/>
        </w:rPr>
      </w:pPr>
      <w:r w:rsidRPr="007A3600">
        <w:rPr>
          <w:lang w:eastAsia="ja-JP"/>
        </w:rPr>
        <w:t>We calculate our result by taking the number of active participants who have had a check-in, community connections or early supports case in 2024</w:t>
      </w:r>
      <w:r w:rsidR="00580A77">
        <w:rPr>
          <w:lang w:eastAsia="ja-JP"/>
        </w:rPr>
        <w:t>–</w:t>
      </w:r>
      <w:r w:rsidRPr="007A3600">
        <w:rPr>
          <w:lang w:eastAsia="ja-JP"/>
        </w:rPr>
        <w:t>25 and who have said they access mainstream and/or community supports (272,636), and dividing  that figure by the number of active participants who have had a check-in, community connections or early supports case in 2024</w:t>
      </w:r>
      <w:r w:rsidR="00580A77">
        <w:rPr>
          <w:lang w:eastAsia="ja-JP"/>
        </w:rPr>
        <w:t>–</w:t>
      </w:r>
      <w:r w:rsidRPr="007A3600">
        <w:rPr>
          <w:lang w:eastAsia="ja-JP"/>
        </w:rPr>
        <w:t>25 (282,455).</w:t>
      </w:r>
    </w:p>
    <w:p w14:paraId="28C15B6C" w14:textId="77777777" w:rsidR="007748C5" w:rsidRPr="007A3600" w:rsidRDefault="007748C5" w:rsidP="00AD3197">
      <w:pPr>
        <w:pStyle w:val="Heading6"/>
        <w:rPr>
          <w:lang w:eastAsia="ja-JP"/>
        </w:rPr>
      </w:pPr>
      <w:r w:rsidRPr="007A3600">
        <w:rPr>
          <w:lang w:eastAsia="ja-JP"/>
        </w:rPr>
        <w:t>Analysis</w:t>
      </w:r>
    </w:p>
    <w:p w14:paraId="1CDCF622" w14:textId="6F8A1E17" w:rsidR="007748C5" w:rsidRPr="007A3600" w:rsidRDefault="007748C5" w:rsidP="00AD3197">
      <w:pPr>
        <w:rPr>
          <w:lang w:eastAsia="ja-JP"/>
        </w:rPr>
      </w:pPr>
      <w:r w:rsidRPr="007A3600">
        <w:rPr>
          <w:lang w:eastAsia="ja-JP"/>
        </w:rPr>
        <w:t>Community and mainstream supports are available to everyone and are provided outside of the NDIS. Mainstream supports are provided by government services like health care, education, and transport. Community supports are provided by community organisations like clubs, charities, and religious groups.</w:t>
      </w:r>
    </w:p>
    <w:p w14:paraId="04148811" w14:textId="7BEBDC31" w:rsidR="0001123F" w:rsidRPr="007A3600" w:rsidRDefault="0001123F" w:rsidP="00AD3197">
      <w:pPr>
        <w:rPr>
          <w:lang w:eastAsia="ja-JP"/>
        </w:rPr>
      </w:pPr>
      <w:r w:rsidRPr="007A3600">
        <w:rPr>
          <w:lang w:eastAsia="ja-JP"/>
        </w:rPr>
        <w:lastRenderedPageBreak/>
        <w:t>The result is based on the number of participants who have been connected to community and mainstream supports and who have also had contact with the NDIA as part of an early supports case, community connections case or check-in case. It should be noted that it was not necessarily the NDIA who made the connection. We include contacts at all parts of the participant pathway where a participant has an opportunity to provide an update on their informal, community and mainstream supports.</w:t>
      </w:r>
    </w:p>
    <w:p w14:paraId="3C56BA0F" w14:textId="77777777" w:rsidR="00D947FF" w:rsidRPr="007A3600" w:rsidRDefault="00D947FF" w:rsidP="00AD3197">
      <w:pPr>
        <w:rPr>
          <w:lang w:eastAsia="ja-JP"/>
        </w:rPr>
      </w:pPr>
      <w:r w:rsidRPr="007A3600">
        <w:rPr>
          <w:lang w:val="en-US"/>
        </w:rPr>
        <w:t xml:space="preserve">All NDIA and partner staff are required to understand how to discuss informal, community and mainstream supports, and update these supports during </w:t>
      </w:r>
      <w:proofErr w:type="gramStart"/>
      <w:r w:rsidRPr="007A3600">
        <w:rPr>
          <w:lang w:val="en-US"/>
        </w:rPr>
        <w:t>a check</w:t>
      </w:r>
      <w:proofErr w:type="gramEnd"/>
      <w:r w:rsidRPr="007A3600">
        <w:rPr>
          <w:lang w:val="en-US"/>
        </w:rPr>
        <w:t xml:space="preserve">-in. </w:t>
      </w:r>
      <w:r w:rsidRPr="007A3600">
        <w:t>Partner organisations are monitored contractually under the Partner Performance Management Framework. This includes monitoring of connections, which tracks the percentage of participants and people with disability, developmental concerns and delays, requests that result in a successful connection to community and other government services in the last 12 months. The current target for this measure is 70%, with partners achieving a national average result of a 93.7% success rate.</w:t>
      </w:r>
    </w:p>
    <w:p w14:paraId="69673605" w14:textId="32C93790" w:rsidR="00D0070F" w:rsidRPr="007A3600" w:rsidRDefault="00D0070F" w:rsidP="00AD3197">
      <w:pPr>
        <w:pStyle w:val="Heading5"/>
      </w:pPr>
      <w:r w:rsidRPr="007A3600">
        <w:t>Performance measure 1.6 – Average payment per participant</w:t>
      </w:r>
      <w:r w:rsidR="006F108D" w:rsidRPr="007A3600">
        <w:t xml:space="preserve"> and </w:t>
      </w:r>
      <w:r w:rsidRPr="007A3600">
        <w:t>Performance measure 1.7 – Annualised Scheme growth rate</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26718D" w:rsidRPr="007A3600" w14:paraId="26212D6C" w14:textId="77777777" w:rsidTr="00F34205">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B7D98A"/>
          </w:tcPr>
          <w:p w14:paraId="09246406" w14:textId="3B701DA9" w:rsidR="00C875CE" w:rsidRPr="007A3600" w:rsidRDefault="00C875CE" w:rsidP="00AD3197">
            <w:pPr>
              <w:pStyle w:val="TableBody"/>
              <w:spacing w:before="40" w:after="40"/>
              <w:rPr>
                <w:b/>
                <w:color w:val="000000"/>
                <w:szCs w:val="24"/>
                <w:lang w:val="en-GB"/>
              </w:rPr>
            </w:pPr>
            <w:r w:rsidRPr="007A3600">
              <w:rPr>
                <w:b/>
                <w:color w:val="000000"/>
                <w:szCs w:val="24"/>
                <w:lang w:val="en-GB"/>
              </w:rPr>
              <w:t>Performance measure</w:t>
            </w:r>
          </w:p>
        </w:tc>
        <w:tc>
          <w:tcPr>
            <w:tcW w:w="1474" w:type="dxa"/>
            <w:shd w:val="clear" w:color="auto" w:fill="B7D98A"/>
          </w:tcPr>
          <w:p w14:paraId="541DE50A" w14:textId="2B7A3BCB" w:rsidR="00C875CE" w:rsidRPr="007A3600" w:rsidRDefault="00C875CE" w:rsidP="00AD3197">
            <w:pPr>
              <w:pStyle w:val="TableBody"/>
              <w:spacing w:before="40" w:after="40"/>
              <w:jc w:val="right"/>
              <w:rPr>
                <w:b/>
                <w:color w:val="000000"/>
                <w:szCs w:val="24"/>
                <w:lang w:val="en-GB"/>
              </w:rPr>
            </w:pPr>
            <w:r w:rsidRPr="007A3600">
              <w:rPr>
                <w:b/>
                <w:color w:val="000000"/>
                <w:szCs w:val="24"/>
                <w:lang w:val="en-GB"/>
              </w:rPr>
              <w:t xml:space="preserve">2024–25 </w:t>
            </w:r>
            <w:r w:rsidR="00CE28C3" w:rsidRPr="007A3600">
              <w:rPr>
                <w:b/>
                <w:color w:val="000000"/>
                <w:szCs w:val="24"/>
                <w:lang w:val="en-GB"/>
              </w:rPr>
              <w:t>t</w:t>
            </w:r>
            <w:r w:rsidRPr="007A3600">
              <w:rPr>
                <w:b/>
                <w:color w:val="000000"/>
                <w:szCs w:val="24"/>
                <w:lang w:val="en-GB"/>
              </w:rPr>
              <w:t>arget</w:t>
            </w:r>
          </w:p>
        </w:tc>
        <w:tc>
          <w:tcPr>
            <w:tcW w:w="1474" w:type="dxa"/>
            <w:shd w:val="clear" w:color="auto" w:fill="B7D98A"/>
          </w:tcPr>
          <w:p w14:paraId="19E88694" w14:textId="48F48EF2" w:rsidR="00C875CE" w:rsidRPr="007A3600" w:rsidRDefault="00C875CE" w:rsidP="00AD3197">
            <w:pPr>
              <w:pStyle w:val="TableBody"/>
              <w:spacing w:before="40" w:after="40"/>
              <w:jc w:val="right"/>
              <w:rPr>
                <w:b/>
                <w:color w:val="000000"/>
                <w:szCs w:val="24"/>
                <w:lang w:val="en-GB"/>
              </w:rPr>
            </w:pPr>
            <w:r w:rsidRPr="007A3600">
              <w:rPr>
                <w:b/>
                <w:color w:val="000000"/>
                <w:szCs w:val="24"/>
              </w:rPr>
              <w:t xml:space="preserve">2024–25 </w:t>
            </w:r>
            <w:r w:rsidR="00CE28C3" w:rsidRPr="007A3600">
              <w:rPr>
                <w:b/>
                <w:color w:val="000000"/>
                <w:szCs w:val="24"/>
              </w:rPr>
              <w:t>r</w:t>
            </w:r>
            <w:r w:rsidRPr="007A3600">
              <w:rPr>
                <w:b/>
                <w:color w:val="000000"/>
                <w:szCs w:val="24"/>
              </w:rPr>
              <w:t xml:space="preserve">esult </w:t>
            </w:r>
          </w:p>
        </w:tc>
        <w:tc>
          <w:tcPr>
            <w:tcW w:w="1474" w:type="dxa"/>
            <w:shd w:val="clear" w:color="auto" w:fill="B7D98A"/>
          </w:tcPr>
          <w:p w14:paraId="087F9C5C" w14:textId="0A996246" w:rsidR="00C875CE" w:rsidRPr="007A3600" w:rsidRDefault="00C875CE" w:rsidP="00AD3197">
            <w:pPr>
              <w:pStyle w:val="TableBody"/>
              <w:spacing w:before="40" w:after="40"/>
              <w:jc w:val="right"/>
              <w:rPr>
                <w:b/>
                <w:color w:val="000000"/>
                <w:szCs w:val="24"/>
                <w:lang w:val="en-GB"/>
              </w:rPr>
            </w:pPr>
            <w:r w:rsidRPr="007A3600">
              <w:rPr>
                <w:b/>
                <w:color w:val="000000"/>
                <w:szCs w:val="24"/>
                <w:lang w:val="en-GB"/>
              </w:rPr>
              <w:t xml:space="preserve">2024–25 </w:t>
            </w:r>
            <w:r w:rsidR="00CE28C3" w:rsidRPr="007A3600">
              <w:rPr>
                <w:b/>
                <w:color w:val="000000"/>
                <w:szCs w:val="24"/>
                <w:lang w:val="en-GB"/>
              </w:rPr>
              <w:t>o</w:t>
            </w:r>
            <w:r w:rsidRPr="007A3600">
              <w:rPr>
                <w:b/>
                <w:color w:val="000000"/>
                <w:szCs w:val="24"/>
                <w:lang w:val="en-GB"/>
              </w:rPr>
              <w:t>utcome</w:t>
            </w:r>
          </w:p>
        </w:tc>
        <w:tc>
          <w:tcPr>
            <w:tcW w:w="1474" w:type="dxa"/>
            <w:shd w:val="clear" w:color="auto" w:fill="B7D98A"/>
          </w:tcPr>
          <w:p w14:paraId="229E1891" w14:textId="14471824" w:rsidR="00C875CE" w:rsidRPr="007A3600" w:rsidRDefault="00C875CE" w:rsidP="00AD3197">
            <w:pPr>
              <w:pStyle w:val="TableBody"/>
              <w:spacing w:before="40" w:after="40"/>
              <w:jc w:val="right"/>
              <w:rPr>
                <w:b/>
                <w:color w:val="000000"/>
                <w:szCs w:val="24"/>
                <w:lang w:val="en-GB"/>
              </w:rPr>
            </w:pPr>
            <w:r w:rsidRPr="007A3600">
              <w:rPr>
                <w:b/>
                <w:color w:val="000000"/>
                <w:szCs w:val="24"/>
                <w:lang w:val="en-GB"/>
              </w:rPr>
              <w:t xml:space="preserve">2023–24 </w:t>
            </w:r>
            <w:r w:rsidR="00CE28C3" w:rsidRPr="007A3600">
              <w:rPr>
                <w:b/>
                <w:color w:val="000000"/>
                <w:szCs w:val="24"/>
                <w:lang w:val="en-GB"/>
              </w:rPr>
              <w:t>r</w:t>
            </w:r>
            <w:r w:rsidRPr="007A3600">
              <w:rPr>
                <w:b/>
                <w:color w:val="000000"/>
                <w:szCs w:val="24"/>
                <w:lang w:val="en-GB"/>
              </w:rPr>
              <w:t>esult</w:t>
            </w:r>
          </w:p>
        </w:tc>
      </w:tr>
      <w:tr w:rsidR="00CF1A80" w:rsidRPr="007A3600" w14:paraId="7A981941" w14:textId="77777777" w:rsidTr="00B47E33">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E5F1D4"/>
          </w:tcPr>
          <w:p w14:paraId="61D84B4B" w14:textId="77777777" w:rsidR="00C875CE" w:rsidRPr="007A3600" w:rsidRDefault="00C875CE" w:rsidP="00AD3197">
            <w:pPr>
              <w:pStyle w:val="TableBody"/>
              <w:spacing w:before="40" w:after="40"/>
              <w:rPr>
                <w:szCs w:val="24"/>
                <w:lang w:val="en-GB"/>
              </w:rPr>
            </w:pPr>
            <w:r w:rsidRPr="007A3600">
              <w:rPr>
                <w:szCs w:val="24"/>
                <w:lang w:val="en-GB"/>
              </w:rPr>
              <w:t>Average payment per participant</w:t>
            </w:r>
          </w:p>
        </w:tc>
        <w:tc>
          <w:tcPr>
            <w:tcW w:w="1474" w:type="dxa"/>
            <w:shd w:val="clear" w:color="auto" w:fill="E5F1D4"/>
          </w:tcPr>
          <w:p w14:paraId="41CD6BE4" w14:textId="77777777" w:rsidR="00C875CE" w:rsidRPr="007A3600" w:rsidRDefault="00C875CE" w:rsidP="00AD3197">
            <w:pPr>
              <w:pStyle w:val="TableBody"/>
              <w:spacing w:before="40" w:after="40"/>
              <w:jc w:val="right"/>
              <w:rPr>
                <w:szCs w:val="24"/>
                <w:lang w:val="en-GB"/>
              </w:rPr>
            </w:pPr>
            <w:r w:rsidRPr="007A3600">
              <w:rPr>
                <w:szCs w:val="24"/>
                <w:lang w:val="en-US"/>
              </w:rPr>
              <w:t>$67,200</w:t>
            </w:r>
          </w:p>
        </w:tc>
        <w:tc>
          <w:tcPr>
            <w:tcW w:w="1474" w:type="dxa"/>
            <w:shd w:val="clear" w:color="auto" w:fill="E5F1D4"/>
          </w:tcPr>
          <w:p w14:paraId="00B0D609" w14:textId="77777777" w:rsidR="00C875CE" w:rsidRPr="007A3600" w:rsidRDefault="00C875CE" w:rsidP="00AD3197">
            <w:pPr>
              <w:pStyle w:val="TableBody"/>
              <w:spacing w:before="40" w:after="40"/>
              <w:jc w:val="right"/>
              <w:rPr>
                <w:szCs w:val="24"/>
                <w:lang w:val="en-GB"/>
              </w:rPr>
            </w:pPr>
            <w:r w:rsidRPr="007A3600">
              <w:rPr>
                <w:szCs w:val="24"/>
                <w:lang w:val="en-GB"/>
              </w:rPr>
              <w:t>$65,800</w:t>
            </w:r>
          </w:p>
        </w:tc>
        <w:tc>
          <w:tcPr>
            <w:tcW w:w="1474" w:type="dxa"/>
            <w:shd w:val="clear" w:color="auto" w:fill="E5F1D4"/>
          </w:tcPr>
          <w:p w14:paraId="46524509" w14:textId="60322DC5" w:rsidR="00C875CE" w:rsidRPr="007A3600" w:rsidRDefault="00C875CE" w:rsidP="00AD3197">
            <w:pPr>
              <w:pStyle w:val="TableBody"/>
              <w:spacing w:before="40" w:after="40"/>
              <w:jc w:val="right"/>
              <w:rPr>
                <w:szCs w:val="24"/>
                <w:lang w:val="en-GB"/>
              </w:rPr>
            </w:pPr>
            <w:r w:rsidRPr="007A3600">
              <w:rPr>
                <w:szCs w:val="24"/>
                <w:lang w:val="en-GB"/>
              </w:rPr>
              <w:t>Achieved</w:t>
            </w:r>
          </w:p>
        </w:tc>
        <w:tc>
          <w:tcPr>
            <w:tcW w:w="1474" w:type="dxa"/>
            <w:shd w:val="clear" w:color="auto" w:fill="E5F1D4"/>
          </w:tcPr>
          <w:p w14:paraId="5D2F4C89" w14:textId="77777777" w:rsidR="00C875CE" w:rsidRPr="007A3600" w:rsidRDefault="00C875CE" w:rsidP="00AD3197">
            <w:pPr>
              <w:pStyle w:val="TableBody"/>
              <w:spacing w:before="40" w:after="40"/>
              <w:jc w:val="right"/>
              <w:rPr>
                <w:szCs w:val="24"/>
                <w:lang w:val="en-GB"/>
              </w:rPr>
            </w:pPr>
            <w:r w:rsidRPr="007A3600">
              <w:rPr>
                <w:szCs w:val="24"/>
                <w:lang w:val="en-US"/>
              </w:rPr>
              <w:t>$64,400</w:t>
            </w:r>
          </w:p>
        </w:tc>
      </w:tr>
      <w:tr w:rsidR="00CF1A80" w:rsidRPr="007A3600" w14:paraId="13A9A2BD" w14:textId="77777777" w:rsidTr="00B47E33">
        <w:trPr>
          <w:trHeight w:val="510"/>
        </w:trPr>
        <w:tc>
          <w:tcPr>
            <w:tcW w:w="3175" w:type="dxa"/>
            <w:shd w:val="clear" w:color="auto" w:fill="E5F1D4"/>
          </w:tcPr>
          <w:p w14:paraId="380DCBA0" w14:textId="77777777" w:rsidR="00C875CE" w:rsidRPr="007A3600" w:rsidRDefault="00C875CE" w:rsidP="00AD3197">
            <w:pPr>
              <w:spacing w:before="40" w:after="40"/>
              <w:rPr>
                <w:rFonts w:eastAsia="MS Mincho" w:cs="Arial"/>
                <w:lang w:val="en-GB"/>
              </w:rPr>
            </w:pPr>
            <w:r w:rsidRPr="007A3600">
              <w:rPr>
                <w:rFonts w:eastAsia="MS Mincho" w:cs="Arial"/>
              </w:rPr>
              <w:t>Annualised Scheme growth rate</w:t>
            </w:r>
          </w:p>
        </w:tc>
        <w:tc>
          <w:tcPr>
            <w:tcW w:w="1474" w:type="dxa"/>
            <w:shd w:val="clear" w:color="auto" w:fill="E5F1D4"/>
          </w:tcPr>
          <w:p w14:paraId="04497A18" w14:textId="77777777" w:rsidR="00C875CE" w:rsidRPr="007A3600" w:rsidRDefault="00C875CE" w:rsidP="00AD3197">
            <w:pPr>
              <w:spacing w:before="40" w:after="40"/>
              <w:jc w:val="right"/>
              <w:rPr>
                <w:rFonts w:eastAsia="MS Mincho" w:cs="Arial"/>
                <w:lang w:val="en-GB"/>
              </w:rPr>
            </w:pPr>
            <w:r w:rsidRPr="007A3600">
              <w:rPr>
                <w:rFonts w:eastAsia="MS Mincho" w:cs="Arial"/>
                <w:lang w:val="en-GB"/>
              </w:rPr>
              <w:t>12.0%</w:t>
            </w:r>
          </w:p>
        </w:tc>
        <w:tc>
          <w:tcPr>
            <w:tcW w:w="1474" w:type="dxa"/>
            <w:shd w:val="clear" w:color="auto" w:fill="E5F1D4"/>
          </w:tcPr>
          <w:p w14:paraId="11DD8A57" w14:textId="77777777" w:rsidR="00C875CE" w:rsidRPr="007A3600" w:rsidRDefault="00C875CE" w:rsidP="00AD3197">
            <w:pPr>
              <w:spacing w:before="40" w:after="40"/>
              <w:jc w:val="right"/>
              <w:rPr>
                <w:rFonts w:eastAsia="MS Mincho" w:cs="Arial"/>
                <w:lang w:val="en-GB"/>
              </w:rPr>
            </w:pPr>
            <w:r w:rsidRPr="007A3600">
              <w:rPr>
                <w:lang w:val="en-GB"/>
              </w:rPr>
              <w:t>10.8%</w:t>
            </w:r>
          </w:p>
        </w:tc>
        <w:tc>
          <w:tcPr>
            <w:tcW w:w="1474" w:type="dxa"/>
            <w:shd w:val="clear" w:color="auto" w:fill="E5F1D4"/>
          </w:tcPr>
          <w:p w14:paraId="550B0F1B" w14:textId="6B797866" w:rsidR="00C875CE" w:rsidRPr="007A3600" w:rsidRDefault="00C875CE" w:rsidP="00AD3197">
            <w:pPr>
              <w:pStyle w:val="TableBody"/>
              <w:spacing w:before="40" w:after="40"/>
              <w:jc w:val="right"/>
              <w:rPr>
                <w:szCs w:val="24"/>
                <w:lang w:val="en-GB"/>
              </w:rPr>
            </w:pPr>
            <w:r w:rsidRPr="007A3600">
              <w:rPr>
                <w:szCs w:val="24"/>
                <w:lang w:val="en-GB"/>
              </w:rPr>
              <w:t>Achieved</w:t>
            </w:r>
          </w:p>
        </w:tc>
        <w:tc>
          <w:tcPr>
            <w:tcW w:w="1474" w:type="dxa"/>
            <w:shd w:val="clear" w:color="auto" w:fill="E5F1D4"/>
          </w:tcPr>
          <w:p w14:paraId="244F5CD8" w14:textId="77777777" w:rsidR="00C875CE" w:rsidRPr="007A3600" w:rsidRDefault="00C875CE" w:rsidP="00AD3197">
            <w:pPr>
              <w:spacing w:before="40" w:after="40"/>
              <w:jc w:val="right"/>
              <w:rPr>
                <w:rFonts w:eastAsia="MS Mincho" w:cs="Arial"/>
                <w:lang w:val="en-GB"/>
              </w:rPr>
            </w:pPr>
            <w:r w:rsidRPr="007A3600">
              <w:rPr>
                <w:rFonts w:eastAsia="Aptos" w:cs="Arial"/>
                <w:lang w:val="en-US"/>
              </w:rPr>
              <w:t>18.9%</w:t>
            </w:r>
          </w:p>
        </w:tc>
      </w:tr>
    </w:tbl>
    <w:p w14:paraId="3CB6B4A5" w14:textId="77777777" w:rsidR="00D0070F" w:rsidRPr="007A3600" w:rsidRDefault="00D0070F" w:rsidP="00AD3197">
      <w:pPr>
        <w:pStyle w:val="Heading6"/>
        <w:rPr>
          <w:lang w:eastAsia="ja-JP"/>
        </w:rPr>
      </w:pPr>
      <w:r w:rsidRPr="007A3600">
        <w:rPr>
          <w:lang w:eastAsia="ja-JP"/>
        </w:rPr>
        <w:t>Why we measure this</w:t>
      </w:r>
    </w:p>
    <w:p w14:paraId="74737175" w14:textId="77777777" w:rsidR="00F23DE7" w:rsidRPr="007A3600" w:rsidRDefault="00F23DE7" w:rsidP="00AD3197">
      <w:pPr>
        <w:rPr>
          <w:lang w:eastAsia="ja-JP"/>
        </w:rPr>
      </w:pPr>
      <w:r w:rsidRPr="007A3600">
        <w:rPr>
          <w:lang w:eastAsia="ja-JP"/>
        </w:rPr>
        <w:t>The combination of participant outcome measures (participant employment rate, participant social and community engagement rate, participant satisfaction with progress toward their goals), Scheme growth rate and the average payment measure, allows us to measure the NDIA’s efficiency in delivering and managing the NDIS and supporting the independence, and social and economic participation, of people with disability. When the NDIS is growing at a sustainable rate and meeting Government expectations, and participants are provided with adequate supports to meet their goals and outcomes, then the NDIS is being managed efficiently and will be sustainable over the long term.</w:t>
      </w:r>
    </w:p>
    <w:p w14:paraId="65BE280B" w14:textId="77777777" w:rsidR="00F23DE7" w:rsidRPr="007A3600" w:rsidRDefault="00F23DE7" w:rsidP="00AD3197">
      <w:pPr>
        <w:pStyle w:val="Heading6"/>
        <w:rPr>
          <w:lang w:eastAsia="ja-JP"/>
        </w:rPr>
      </w:pPr>
      <w:r w:rsidRPr="007A3600">
        <w:rPr>
          <w:lang w:eastAsia="ja-JP"/>
        </w:rPr>
        <w:t>How we measure this</w:t>
      </w:r>
    </w:p>
    <w:p w14:paraId="4B131133" w14:textId="44FA0E60" w:rsidR="00F23DE7" w:rsidRPr="007A3600" w:rsidRDefault="00F23DE7" w:rsidP="00AD3197">
      <w:pPr>
        <w:rPr>
          <w:lang w:eastAsia="ja-JP"/>
        </w:rPr>
      </w:pPr>
      <w:r w:rsidRPr="007A3600">
        <w:rPr>
          <w:lang w:eastAsia="ja-JP"/>
        </w:rPr>
        <w:t xml:space="preserve">Average payments per participant are based on Scheme expenses (on a cash basis) divided by the average participant exposure over the financial year. Participant exposure is the average number of participants who were active during the financial </w:t>
      </w:r>
      <w:r w:rsidRPr="007A3600">
        <w:rPr>
          <w:lang w:eastAsia="ja-JP"/>
        </w:rPr>
        <w:lastRenderedPageBreak/>
        <w:t>year. This figure takes account of when participants entered and left the NDIS over the year.</w:t>
      </w:r>
    </w:p>
    <w:p w14:paraId="382891F1" w14:textId="1BAE7259" w:rsidR="00F23DE7" w:rsidRPr="007A3600" w:rsidRDefault="00F23DE7" w:rsidP="00AD3197">
      <w:pPr>
        <w:rPr>
          <w:lang w:eastAsia="ja-JP"/>
        </w:rPr>
      </w:pPr>
      <w:r w:rsidRPr="007A3600">
        <w:rPr>
          <w:lang w:eastAsia="ja-JP"/>
        </w:rPr>
        <w:t>The annualised Scheme growth rate is calculated as the Scheme expenses in the current financial year divided by the Scheme expenses in the previous financial year minus 1. The Scheme expenses include total participant plan expenses for the year</w:t>
      </w:r>
      <w:r w:rsidR="00522E6E" w:rsidRPr="007A3600">
        <w:rPr>
          <w:lang w:eastAsia="ja-JP"/>
        </w:rPr>
        <w:t xml:space="preserve"> </w:t>
      </w:r>
      <w:r w:rsidR="003B19FE">
        <w:rPr>
          <w:lang w:eastAsia="ja-JP"/>
        </w:rPr>
        <w:t>–</w:t>
      </w:r>
      <w:r w:rsidR="00522E6E" w:rsidRPr="007A3600">
        <w:rPr>
          <w:lang w:eastAsia="ja-JP"/>
        </w:rPr>
        <w:t xml:space="preserve"> </w:t>
      </w:r>
      <w:r w:rsidRPr="007A3600">
        <w:rPr>
          <w:lang w:eastAsia="ja-JP"/>
        </w:rPr>
        <w:t xml:space="preserve">that is, note 1.1G in the financial statements </w:t>
      </w:r>
      <w:r w:rsidR="000B15EB">
        <w:rPr>
          <w:lang w:eastAsia="ja-JP"/>
        </w:rPr>
        <w:t>–</w:t>
      </w:r>
      <w:r w:rsidRPr="007A3600">
        <w:rPr>
          <w:lang w:eastAsia="ja-JP"/>
        </w:rPr>
        <w:t xml:space="preserve"> reported on an accrual basis.</w:t>
      </w:r>
    </w:p>
    <w:p w14:paraId="0773A418" w14:textId="77777777" w:rsidR="00F23DE7" w:rsidRPr="007A3600" w:rsidRDefault="00F23DE7" w:rsidP="00AD3197">
      <w:pPr>
        <w:rPr>
          <w:lang w:eastAsia="ja-JP"/>
        </w:rPr>
      </w:pPr>
      <w:r w:rsidRPr="007A3600">
        <w:rPr>
          <w:lang w:eastAsia="ja-JP"/>
        </w:rPr>
        <w:t>The targets for the above 2 measures are determined from the baseline projection in the 2023–24 AFSR. This projection provides a target cashflow projection that also acts as a benchmark for actual scheme performance. The baseline cashflow projection is the Scheme Actuary’s best estimate on the evidence available of the long-term cost trajectory of the NDIS.</w:t>
      </w:r>
    </w:p>
    <w:p w14:paraId="7A6AE284" w14:textId="23C7E24B" w:rsidR="00F23DE7" w:rsidRPr="007A3600" w:rsidRDefault="00F23DE7" w:rsidP="00AD3197">
      <w:pPr>
        <w:rPr>
          <w:lang w:eastAsia="ja-JP"/>
        </w:rPr>
      </w:pPr>
      <w:r w:rsidRPr="007A3600">
        <w:rPr>
          <w:lang w:eastAsia="ja-JP"/>
        </w:rPr>
        <w:t xml:space="preserve">Since the publication of the NDIA Corporate Plan 2024–25 in August 2024, the targets for 2024–25 were updated for the above 2 measures to bring the targets in line with the projections in the 2023–24 AFSR. These projections are based on data and experience up to 30 June 2024 and use the most up-to-date assumptions on Scheme reforms at the start of the financial year. </w:t>
      </w:r>
    </w:p>
    <w:p w14:paraId="454DF789" w14:textId="77777777" w:rsidR="00F23DE7" w:rsidRPr="007A3600" w:rsidRDefault="00F23DE7" w:rsidP="00AD3197">
      <w:pPr>
        <w:pStyle w:val="Heading6"/>
        <w:rPr>
          <w:lang w:eastAsia="ja-JP"/>
        </w:rPr>
      </w:pPr>
      <w:r w:rsidRPr="007A3600">
        <w:rPr>
          <w:lang w:eastAsia="ja-JP"/>
        </w:rPr>
        <w:t>Analysis</w:t>
      </w:r>
    </w:p>
    <w:p w14:paraId="751850D0" w14:textId="226B3877" w:rsidR="00F23DE7" w:rsidRPr="007A3600" w:rsidRDefault="00F23DE7" w:rsidP="00AD3197">
      <w:pPr>
        <w:rPr>
          <w:lang w:eastAsia="ja-JP"/>
        </w:rPr>
      </w:pPr>
      <w:r w:rsidRPr="007A3600">
        <w:rPr>
          <w:lang w:eastAsia="ja-JP"/>
        </w:rPr>
        <w:t>The NDIS must be managed efficiently in line with Government expectations and must be sustainable in the long term. To achieve this, the future growth of the NDIS must be controlled. The downwards cost growth trend in 2024–25 shows that the NDIA is on track to achieve National Cabinet’s target of reducing annual cost growth to 8% by 1 July 2026. Both the Scheme growth rate and the average payments are within the targets set for 2024–25. Payments to participants are affected by many factors, including:</w:t>
      </w:r>
    </w:p>
    <w:p w14:paraId="40E142CF" w14:textId="77777777" w:rsidR="00F23DE7" w:rsidRPr="007A3600" w:rsidRDefault="00F23DE7" w:rsidP="00AD3197">
      <w:pPr>
        <w:pStyle w:val="Bullet1"/>
        <w:rPr>
          <w:lang w:eastAsia="ja-JP"/>
        </w:rPr>
      </w:pPr>
      <w:r w:rsidRPr="007A3600">
        <w:rPr>
          <w:lang w:eastAsia="ja-JP"/>
        </w:rPr>
        <w:t>prices for disability supports</w:t>
      </w:r>
    </w:p>
    <w:p w14:paraId="1CCCD3CC" w14:textId="77777777" w:rsidR="00F23DE7" w:rsidRPr="007A3600" w:rsidRDefault="00F23DE7" w:rsidP="00AD3197">
      <w:pPr>
        <w:pStyle w:val="Bullet1"/>
        <w:rPr>
          <w:lang w:eastAsia="ja-JP"/>
        </w:rPr>
      </w:pPr>
      <w:r w:rsidRPr="007A3600">
        <w:rPr>
          <w:lang w:eastAsia="ja-JP"/>
        </w:rPr>
        <w:t>rates of plan use</w:t>
      </w:r>
    </w:p>
    <w:p w14:paraId="78E5EF5B" w14:textId="77777777" w:rsidR="00F23DE7" w:rsidRPr="007A3600" w:rsidRDefault="00F23DE7" w:rsidP="00AD3197">
      <w:pPr>
        <w:pStyle w:val="Bullet1"/>
        <w:rPr>
          <w:lang w:eastAsia="ja-JP"/>
        </w:rPr>
      </w:pPr>
      <w:r w:rsidRPr="007A3600">
        <w:rPr>
          <w:lang w:eastAsia="ja-JP"/>
        </w:rPr>
        <w:t>the mix of participants in the NDIS</w:t>
      </w:r>
    </w:p>
    <w:p w14:paraId="281C6361" w14:textId="77777777" w:rsidR="00F23DE7" w:rsidRPr="007A3600" w:rsidRDefault="00F23DE7" w:rsidP="00AD3197">
      <w:pPr>
        <w:pStyle w:val="Bullet1"/>
        <w:rPr>
          <w:lang w:eastAsia="ja-JP"/>
        </w:rPr>
      </w:pPr>
      <w:r w:rsidRPr="007A3600">
        <w:rPr>
          <w:lang w:eastAsia="ja-JP"/>
        </w:rPr>
        <w:t>Scheme reform and legislation changes</w:t>
      </w:r>
    </w:p>
    <w:p w14:paraId="641D5AAD" w14:textId="77777777" w:rsidR="00F23DE7" w:rsidRPr="007A3600" w:rsidRDefault="00F23DE7" w:rsidP="00AD3197">
      <w:pPr>
        <w:pStyle w:val="Bullet1"/>
        <w:rPr>
          <w:lang w:eastAsia="ja-JP"/>
        </w:rPr>
      </w:pPr>
      <w:r w:rsidRPr="007A3600">
        <w:rPr>
          <w:lang w:eastAsia="ja-JP"/>
        </w:rPr>
        <w:t>integrity and anti-fraud activities</w:t>
      </w:r>
    </w:p>
    <w:p w14:paraId="552C81E7" w14:textId="77777777" w:rsidR="00F23DE7" w:rsidRPr="007A3600" w:rsidRDefault="00F23DE7" w:rsidP="00AD3197">
      <w:pPr>
        <w:pStyle w:val="Bullet1"/>
        <w:rPr>
          <w:lang w:eastAsia="ja-JP"/>
        </w:rPr>
      </w:pPr>
      <w:r w:rsidRPr="007A3600">
        <w:rPr>
          <w:lang w:eastAsia="ja-JP"/>
        </w:rPr>
        <w:t>provider behaviour</w:t>
      </w:r>
    </w:p>
    <w:p w14:paraId="278059B4" w14:textId="0314F650" w:rsidR="00F23DE7" w:rsidRPr="007A3600" w:rsidRDefault="00F23DE7" w:rsidP="00AD3197">
      <w:pPr>
        <w:pStyle w:val="Bullet1"/>
        <w:rPr>
          <w:lang w:eastAsia="ja-JP"/>
        </w:rPr>
      </w:pPr>
      <w:r w:rsidRPr="007A3600">
        <w:rPr>
          <w:lang w:eastAsia="ja-JP"/>
        </w:rPr>
        <w:t>availability of providers.</w:t>
      </w:r>
    </w:p>
    <w:p w14:paraId="74157726" w14:textId="0C2B7A34" w:rsidR="00D13206" w:rsidRPr="007A3600" w:rsidRDefault="00D13206" w:rsidP="00AD3197">
      <w:pPr>
        <w:rPr>
          <w:lang w:eastAsia="ja-JP"/>
        </w:rPr>
      </w:pPr>
      <w:r w:rsidRPr="007A3600">
        <w:rPr>
          <w:lang w:eastAsia="ja-JP"/>
        </w:rPr>
        <w:t xml:space="preserve">Reforms enabled by the Australian Government’s 2024 Getting the NDIS Back on Track legislation came into effect on 3 October 2024. The reforms are helping to moderate Scheme growth, backed by significant Government investment in the Agency’s capabilities and workforce and to ensure the Scheme meets its original intent of providing effective support to participants. Investment in Scheme integrity </w:t>
      </w:r>
      <w:r w:rsidRPr="007A3600">
        <w:rPr>
          <w:lang w:eastAsia="ja-JP"/>
        </w:rPr>
        <w:lastRenderedPageBreak/>
        <w:t>and anti-fraud activities also increasingly contribute to the Scheme’s performance and sustainability, and ensure NDIS funding is redirected to high-quality providers</w:t>
      </w:r>
      <w:r w:rsidR="00FF7506" w:rsidRPr="007A3600">
        <w:rPr>
          <w:lang w:eastAsia="ja-JP"/>
        </w:rPr>
        <w:t>.</w:t>
      </w:r>
    </w:p>
    <w:p w14:paraId="3A0BD3E3" w14:textId="77777777" w:rsidR="00D0070F" w:rsidRPr="007A3600" w:rsidRDefault="00D0070F" w:rsidP="00AD3197">
      <w:pPr>
        <w:pStyle w:val="Heading4"/>
        <w:rPr>
          <w:lang w:eastAsia="ja-JP"/>
        </w:rPr>
      </w:pPr>
      <w:r w:rsidRPr="007A3600">
        <w:rPr>
          <w:lang w:eastAsia="ja-JP"/>
        </w:rPr>
        <w:t>Program 1.2 performance statement</w:t>
      </w:r>
    </w:p>
    <w:p w14:paraId="72CC81EE" w14:textId="7DBA26DA" w:rsidR="00D0070F" w:rsidRPr="007A3600" w:rsidRDefault="00D0070F" w:rsidP="00AD3197">
      <w:pPr>
        <w:rPr>
          <w:lang w:eastAsia="ja-JP"/>
        </w:rPr>
      </w:pPr>
      <w:r w:rsidRPr="007A3600">
        <w:rPr>
          <w:lang w:eastAsia="ja-JP"/>
        </w:rPr>
        <w:t xml:space="preserve">The objective of </w:t>
      </w:r>
      <w:r w:rsidR="007D770A" w:rsidRPr="007A3600">
        <w:rPr>
          <w:lang w:eastAsia="ja-JP"/>
        </w:rPr>
        <w:t>P</w:t>
      </w:r>
      <w:r w:rsidRPr="007A3600">
        <w:rPr>
          <w:lang w:eastAsia="ja-JP"/>
        </w:rPr>
        <w:t>rogram</w:t>
      </w:r>
      <w:r w:rsidR="007D770A" w:rsidRPr="007A3600">
        <w:rPr>
          <w:lang w:eastAsia="ja-JP"/>
        </w:rPr>
        <w:t xml:space="preserve"> 1.2</w:t>
      </w:r>
      <w:r w:rsidRPr="007A3600">
        <w:rPr>
          <w:lang w:eastAsia="ja-JP"/>
        </w:rPr>
        <w:t xml:space="preserve"> is to fulfill the functions of the NDIA delivering a financially sustainable NDIS to Australians in line with the NDIS Act.</w:t>
      </w:r>
    </w:p>
    <w:p w14:paraId="2AA178D4" w14:textId="77777777" w:rsidR="00D0070F" w:rsidRPr="007A3600" w:rsidRDefault="00D0070F" w:rsidP="00AD3197">
      <w:pPr>
        <w:pStyle w:val="Heading5"/>
        <w:rPr>
          <w:lang w:eastAsia="ja-JP"/>
        </w:rPr>
      </w:pPr>
      <w:r w:rsidRPr="007A3600">
        <w:rPr>
          <w:lang w:eastAsia="ja-JP"/>
        </w:rPr>
        <w:t>Key activity 2</w:t>
      </w:r>
    </w:p>
    <w:p w14:paraId="0FA5301D" w14:textId="77777777" w:rsidR="00D0070F" w:rsidRPr="007A3600" w:rsidRDefault="00D0070F" w:rsidP="00AD3197">
      <w:pPr>
        <w:rPr>
          <w:lang w:eastAsia="ja-JP"/>
        </w:rPr>
      </w:pPr>
      <w:r w:rsidRPr="007A3600">
        <w:rPr>
          <w:lang w:eastAsia="ja-JP"/>
        </w:rPr>
        <w:t>Develop a high performing NDIA for participants.</w:t>
      </w:r>
    </w:p>
    <w:p w14:paraId="4F338CDF" w14:textId="3C649868" w:rsidR="00D0070F" w:rsidRPr="007A3600" w:rsidRDefault="00984185" w:rsidP="00AD3197">
      <w:pPr>
        <w:rPr>
          <w:lang w:eastAsia="ja-JP"/>
        </w:rPr>
      </w:pPr>
      <w:r w:rsidRPr="007A3600">
        <w:rPr>
          <w:lang w:eastAsia="ja-JP"/>
        </w:rPr>
        <w:t>See s</w:t>
      </w:r>
      <w:r w:rsidR="00D0070F" w:rsidRPr="007A3600">
        <w:rPr>
          <w:lang w:eastAsia="ja-JP"/>
        </w:rPr>
        <w:t xml:space="preserve">ection 3 of the Corporate Plan 2024–25 </w:t>
      </w:r>
      <w:r w:rsidRPr="007A3600">
        <w:rPr>
          <w:lang w:eastAsia="ja-JP"/>
        </w:rPr>
        <w:t xml:space="preserve">for </w:t>
      </w:r>
      <w:r w:rsidR="00D0070F" w:rsidRPr="007A3600">
        <w:rPr>
          <w:lang w:eastAsia="ja-JP"/>
        </w:rPr>
        <w:t>more detail about this key activity.</w:t>
      </w:r>
    </w:p>
    <w:p w14:paraId="175FE429" w14:textId="77777777" w:rsidR="00D0070F" w:rsidRPr="007A3600" w:rsidRDefault="00D0070F" w:rsidP="00AD3197">
      <w:pPr>
        <w:pStyle w:val="Heading5"/>
        <w:rPr>
          <w:lang w:eastAsia="ja-JP"/>
        </w:rPr>
      </w:pPr>
      <w:r w:rsidRPr="007A3600">
        <w:rPr>
          <w:lang w:eastAsia="ja-JP"/>
        </w:rPr>
        <w:t>Performance measure 2.1 – Staff with disability</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CF1A80" w:rsidRPr="007A3600" w14:paraId="35273618" w14:textId="77777777" w:rsidTr="00F93319">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57BCC7"/>
          </w:tcPr>
          <w:p w14:paraId="32DFE796" w14:textId="07B92537" w:rsidR="00A92BC5" w:rsidRPr="007A3600" w:rsidRDefault="00A92BC5" w:rsidP="00AD3197">
            <w:pPr>
              <w:spacing w:before="40" w:after="40"/>
              <w:rPr>
                <w:rFonts w:eastAsia="MS Mincho"/>
                <w:b/>
                <w:color w:val="000000"/>
                <w:lang w:val="en-GB"/>
              </w:rPr>
            </w:pPr>
            <w:r w:rsidRPr="007A3600">
              <w:rPr>
                <w:rFonts w:eastAsia="MS Mincho"/>
                <w:b/>
                <w:color w:val="000000"/>
                <w:lang w:val="en-GB"/>
              </w:rPr>
              <w:t>Performance measure</w:t>
            </w:r>
          </w:p>
        </w:tc>
        <w:tc>
          <w:tcPr>
            <w:tcW w:w="1474" w:type="dxa"/>
            <w:shd w:val="clear" w:color="auto" w:fill="57BCC7"/>
          </w:tcPr>
          <w:p w14:paraId="52C43F55" w14:textId="66F5CDC8" w:rsidR="00A92BC5" w:rsidRPr="007A3600" w:rsidRDefault="00A92BC5" w:rsidP="00AD3197">
            <w:pPr>
              <w:spacing w:before="40" w:after="40"/>
              <w:jc w:val="right"/>
              <w:rPr>
                <w:rFonts w:eastAsia="MS Mincho"/>
                <w:b/>
                <w:color w:val="000000"/>
                <w:lang w:val="en-GB"/>
              </w:rPr>
            </w:pPr>
            <w:r w:rsidRPr="007A3600">
              <w:rPr>
                <w:rFonts w:eastAsia="MS Mincho"/>
                <w:b/>
                <w:color w:val="000000"/>
              </w:rPr>
              <w:t>2024–25 target</w:t>
            </w:r>
          </w:p>
        </w:tc>
        <w:tc>
          <w:tcPr>
            <w:tcW w:w="1474" w:type="dxa"/>
            <w:shd w:val="clear" w:color="auto" w:fill="57BCC7"/>
          </w:tcPr>
          <w:p w14:paraId="4DBE718D" w14:textId="0CAA0797" w:rsidR="00A92BC5" w:rsidRPr="007A3600" w:rsidRDefault="00A92BC5" w:rsidP="00AD3197">
            <w:pPr>
              <w:spacing w:before="40" w:after="40"/>
              <w:jc w:val="right"/>
              <w:rPr>
                <w:rFonts w:eastAsia="MS Mincho"/>
                <w:b/>
                <w:color w:val="000000"/>
                <w:lang w:val="en-GB"/>
              </w:rPr>
            </w:pPr>
            <w:r w:rsidRPr="007A3600">
              <w:rPr>
                <w:rFonts w:eastAsia="MS Mincho"/>
                <w:b/>
                <w:color w:val="000000"/>
              </w:rPr>
              <w:t>2024–25 result</w:t>
            </w:r>
          </w:p>
        </w:tc>
        <w:tc>
          <w:tcPr>
            <w:tcW w:w="1474" w:type="dxa"/>
            <w:shd w:val="clear" w:color="auto" w:fill="57BCC7"/>
          </w:tcPr>
          <w:p w14:paraId="1E17079D" w14:textId="68CC3DA2" w:rsidR="00A92BC5" w:rsidRPr="007A3600" w:rsidRDefault="00A92BC5" w:rsidP="00AD3197">
            <w:pPr>
              <w:spacing w:before="40" w:after="40"/>
              <w:jc w:val="right"/>
              <w:rPr>
                <w:rFonts w:eastAsia="MS Mincho"/>
                <w:b/>
                <w:color w:val="000000"/>
                <w:lang w:val="en-GB"/>
              </w:rPr>
            </w:pPr>
            <w:r w:rsidRPr="007A3600">
              <w:rPr>
                <w:rFonts w:eastAsia="MS Mincho"/>
                <w:b/>
                <w:color w:val="000000"/>
              </w:rPr>
              <w:t>2024–25 outcome</w:t>
            </w:r>
          </w:p>
        </w:tc>
        <w:tc>
          <w:tcPr>
            <w:tcW w:w="1474" w:type="dxa"/>
            <w:shd w:val="clear" w:color="auto" w:fill="57BCC7"/>
          </w:tcPr>
          <w:p w14:paraId="748BE042" w14:textId="11583F7D" w:rsidR="00A92BC5" w:rsidRPr="007A3600" w:rsidRDefault="00A92BC5" w:rsidP="00AD3197">
            <w:pPr>
              <w:spacing w:before="40" w:after="40"/>
              <w:jc w:val="right"/>
              <w:rPr>
                <w:rFonts w:eastAsia="MS Mincho"/>
                <w:b/>
                <w:color w:val="000000"/>
                <w:lang w:val="en-GB"/>
              </w:rPr>
            </w:pPr>
            <w:r w:rsidRPr="007A3600">
              <w:rPr>
                <w:rFonts w:eastAsia="MS Mincho"/>
                <w:b/>
                <w:color w:val="000000"/>
              </w:rPr>
              <w:t>2023–24 result</w:t>
            </w:r>
          </w:p>
        </w:tc>
      </w:tr>
      <w:tr w:rsidR="00CF1A80" w:rsidRPr="007A3600" w14:paraId="3D1D369B" w14:textId="77777777" w:rsidTr="00F93319">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C5E4E8"/>
          </w:tcPr>
          <w:p w14:paraId="3C5302C6" w14:textId="01886512" w:rsidR="00A92BC5" w:rsidRPr="007A3600" w:rsidRDefault="00A92BC5" w:rsidP="00AD3197">
            <w:pPr>
              <w:spacing w:before="40" w:after="40"/>
              <w:rPr>
                <w:rFonts w:eastAsia="MS Mincho" w:cs="Arial"/>
                <w:lang w:val="en-GB"/>
              </w:rPr>
            </w:pPr>
            <w:r w:rsidRPr="007A3600">
              <w:rPr>
                <w:rFonts w:eastAsia="MS Mincho" w:cs="Arial"/>
                <w:lang w:val="en-GB"/>
              </w:rPr>
              <w:t>Staff with disability</w:t>
            </w:r>
          </w:p>
        </w:tc>
        <w:tc>
          <w:tcPr>
            <w:tcW w:w="1474" w:type="dxa"/>
            <w:shd w:val="clear" w:color="auto" w:fill="C5E4E8"/>
          </w:tcPr>
          <w:p w14:paraId="579E276A" w14:textId="77777777" w:rsidR="00A92BC5" w:rsidRPr="007A3600" w:rsidRDefault="00A92BC5" w:rsidP="00AD3197">
            <w:pPr>
              <w:spacing w:before="40" w:after="40"/>
              <w:jc w:val="right"/>
              <w:rPr>
                <w:rFonts w:eastAsia="MS Mincho" w:cs="Arial"/>
                <w:lang w:val="en-GB"/>
              </w:rPr>
            </w:pPr>
            <w:r w:rsidRPr="007A3600">
              <w:rPr>
                <w:rFonts w:eastAsia="MS Mincho" w:cs="Arial"/>
                <w:lang w:val="en-GB"/>
              </w:rPr>
              <w:t>20%</w:t>
            </w:r>
          </w:p>
        </w:tc>
        <w:tc>
          <w:tcPr>
            <w:tcW w:w="1474" w:type="dxa"/>
            <w:shd w:val="clear" w:color="auto" w:fill="C5E4E8"/>
          </w:tcPr>
          <w:p w14:paraId="695B0444" w14:textId="77777777" w:rsidR="00A92BC5" w:rsidRPr="007A3600" w:rsidRDefault="00A92BC5" w:rsidP="00AD3197">
            <w:pPr>
              <w:spacing w:before="40" w:after="40"/>
              <w:jc w:val="right"/>
              <w:rPr>
                <w:rFonts w:eastAsia="MS Mincho" w:cs="Arial"/>
                <w:lang w:val="en-GB"/>
              </w:rPr>
            </w:pPr>
            <w:r w:rsidRPr="007A3600">
              <w:rPr>
                <w:rFonts w:eastAsia="MS Mincho" w:cs="Arial"/>
                <w:lang w:val="en-GB"/>
              </w:rPr>
              <w:t>23.4%</w:t>
            </w:r>
          </w:p>
        </w:tc>
        <w:tc>
          <w:tcPr>
            <w:tcW w:w="1474" w:type="dxa"/>
            <w:shd w:val="clear" w:color="auto" w:fill="C5E4E8"/>
          </w:tcPr>
          <w:p w14:paraId="63BFA115" w14:textId="77777777" w:rsidR="00A92BC5" w:rsidRPr="007A3600" w:rsidRDefault="00A92BC5" w:rsidP="00AD3197">
            <w:pPr>
              <w:spacing w:before="40" w:after="40"/>
              <w:jc w:val="right"/>
              <w:rPr>
                <w:rFonts w:eastAsia="MS Mincho" w:cs="Arial"/>
                <w:lang w:val="en-GB"/>
              </w:rPr>
            </w:pPr>
            <w:r w:rsidRPr="007A3600">
              <w:rPr>
                <w:rFonts w:eastAsia="MS Mincho" w:cs="Arial"/>
                <w:lang w:val="en-GB"/>
              </w:rPr>
              <w:t>Achieved</w:t>
            </w:r>
          </w:p>
        </w:tc>
        <w:tc>
          <w:tcPr>
            <w:tcW w:w="1474" w:type="dxa"/>
            <w:shd w:val="clear" w:color="auto" w:fill="C5E4E8"/>
          </w:tcPr>
          <w:p w14:paraId="4993908C" w14:textId="77777777" w:rsidR="00A92BC5" w:rsidRPr="007A3600" w:rsidRDefault="00A92BC5" w:rsidP="00AD3197">
            <w:pPr>
              <w:spacing w:before="40" w:after="40"/>
              <w:jc w:val="right"/>
              <w:rPr>
                <w:rFonts w:eastAsia="MS Mincho" w:cs="Arial"/>
                <w:lang w:val="en-GB"/>
              </w:rPr>
            </w:pPr>
            <w:r w:rsidRPr="007A3600">
              <w:rPr>
                <w:rFonts w:eastAsia="MS Mincho" w:cs="Arial"/>
                <w:lang w:val="en-GB"/>
              </w:rPr>
              <w:t>21.6%</w:t>
            </w:r>
          </w:p>
        </w:tc>
      </w:tr>
    </w:tbl>
    <w:p w14:paraId="6318454E" w14:textId="77777777" w:rsidR="00D0070F" w:rsidRPr="007A3600" w:rsidRDefault="00D0070F" w:rsidP="00AD3197">
      <w:pPr>
        <w:pStyle w:val="Heading6"/>
        <w:rPr>
          <w:lang w:eastAsia="ja-JP"/>
        </w:rPr>
      </w:pPr>
      <w:r w:rsidRPr="007A3600">
        <w:rPr>
          <w:lang w:eastAsia="ja-JP"/>
        </w:rPr>
        <w:t>Why we measure this</w:t>
      </w:r>
    </w:p>
    <w:p w14:paraId="28A9FB5E" w14:textId="77777777" w:rsidR="00671FAA" w:rsidRPr="007A3600" w:rsidRDefault="00671FAA" w:rsidP="00AD3197">
      <w:pPr>
        <w:rPr>
          <w:lang w:eastAsia="ja-JP"/>
        </w:rPr>
      </w:pPr>
      <w:r w:rsidRPr="007A3600">
        <w:rPr>
          <w:lang w:eastAsia="ja-JP"/>
        </w:rPr>
        <w:t>This measures the effectiveness of management actions in improving inclusion and diversity and supports the effectiveness of NDIA interactions with participants. The lived experience that our staff with disability bring to the NDIA is vital in helping us to connect, understand, empathise, communicate with, and provide quality services to participants, their families and carers.</w:t>
      </w:r>
    </w:p>
    <w:p w14:paraId="1C1D1E3E" w14:textId="77777777" w:rsidR="00671FAA" w:rsidRPr="007A3600" w:rsidRDefault="00671FAA" w:rsidP="00AD3197">
      <w:pPr>
        <w:pStyle w:val="Heading6"/>
        <w:rPr>
          <w:lang w:eastAsia="ja-JP"/>
        </w:rPr>
      </w:pPr>
      <w:r w:rsidRPr="007A3600">
        <w:rPr>
          <w:lang w:eastAsia="ja-JP"/>
        </w:rPr>
        <w:t>How we measure this</w:t>
      </w:r>
    </w:p>
    <w:p w14:paraId="241DF9E1" w14:textId="77777777" w:rsidR="00671FAA" w:rsidRPr="007A3600" w:rsidRDefault="00671FAA" w:rsidP="00AD3197">
      <w:pPr>
        <w:rPr>
          <w:lang w:eastAsia="ja-JP"/>
        </w:rPr>
      </w:pPr>
      <w:r w:rsidRPr="007A3600">
        <w:rPr>
          <w:lang w:eastAsia="ja-JP"/>
        </w:rPr>
        <w:t>This data comes from the annual Australian Public Service Employee Census. The result is the percentage of survey respondents that are NDIA staff (both Australian Public Service (APS) employees and labour hire workers) who identify as having a disability. The 2023–24 result has been updated using the new calculation method (includes labour hire workers). For comparison, the 2023–24 result published in the NDIA Annual Report 2023–24 was 23.2%, compared to 21.6% on the new basis. Both versions of the result achieved and surpassed the 2023–24 target of 19%.</w:t>
      </w:r>
    </w:p>
    <w:p w14:paraId="2D07FFE9" w14:textId="77777777" w:rsidR="00671FAA" w:rsidRPr="007A3600" w:rsidRDefault="00671FAA" w:rsidP="00AD3197">
      <w:pPr>
        <w:pStyle w:val="Heading6"/>
        <w:rPr>
          <w:lang w:eastAsia="ja-JP"/>
        </w:rPr>
      </w:pPr>
      <w:r w:rsidRPr="007A3600">
        <w:rPr>
          <w:lang w:eastAsia="ja-JP"/>
        </w:rPr>
        <w:t>Analysis</w:t>
      </w:r>
    </w:p>
    <w:p w14:paraId="26F158F3" w14:textId="77777777" w:rsidR="00671FAA" w:rsidRPr="007A3600" w:rsidRDefault="00671FAA" w:rsidP="00AD3197">
      <w:pPr>
        <w:rPr>
          <w:lang w:eastAsia="ja-JP"/>
        </w:rPr>
      </w:pPr>
      <w:r w:rsidRPr="007A3600">
        <w:rPr>
          <w:lang w:eastAsia="ja-JP"/>
        </w:rPr>
        <w:t>The NDIA is committed to fostering an inclusive, supportive and empowering workplace. We achieve this through initiatives that are designed to attract, retain and uplift staff with disability and neurodivergent staff.</w:t>
      </w:r>
    </w:p>
    <w:p w14:paraId="555DBD2B" w14:textId="604AA329" w:rsidR="00AD22B2" w:rsidRPr="007A3600" w:rsidRDefault="00AD22B2" w:rsidP="00AD3197">
      <w:pPr>
        <w:rPr>
          <w:lang w:eastAsia="ja-JP"/>
        </w:rPr>
      </w:pPr>
      <w:r w:rsidRPr="007A3600">
        <w:rPr>
          <w:lang w:eastAsia="ja-JP"/>
        </w:rPr>
        <w:lastRenderedPageBreak/>
        <w:t>Key initiatives from the 2024</w:t>
      </w:r>
      <w:r w:rsidR="00744695">
        <w:rPr>
          <w:lang w:eastAsia="ja-JP"/>
        </w:rPr>
        <w:t>–</w:t>
      </w:r>
      <w:r w:rsidRPr="007A3600">
        <w:rPr>
          <w:lang w:eastAsia="ja-JP"/>
        </w:rPr>
        <w:t xml:space="preserve">25 period include the Hidden Disability Sunflower Program, which promotes awareness of non-visible disability, and enhanced processes to promote inclusive and accessible recruitment. </w:t>
      </w:r>
    </w:p>
    <w:p w14:paraId="71A2975E" w14:textId="5050C504" w:rsidR="00942055" w:rsidRPr="007A3600" w:rsidRDefault="00942055" w:rsidP="00AD3197">
      <w:pPr>
        <w:rPr>
          <w:lang w:eastAsia="ja-JP"/>
        </w:rPr>
      </w:pPr>
      <w:r w:rsidRPr="007A3600">
        <w:t>Through their lived experience, staff with disability have first-hand knowledge of the barriers participants face and their unique needs. Many of our staff with disability are participants in the Scheme themselves. Representation drives better policy and service design through a person-centred approach and decisions that reflect real life challenges.</w:t>
      </w:r>
    </w:p>
    <w:p w14:paraId="74A38C8D" w14:textId="76E42589" w:rsidR="00D0070F" w:rsidRPr="007A3600" w:rsidRDefault="00D0070F" w:rsidP="00AD3197">
      <w:pPr>
        <w:pStyle w:val="Heading5"/>
        <w:rPr>
          <w:lang w:eastAsia="ja-JP"/>
        </w:rPr>
      </w:pPr>
      <w:r w:rsidRPr="007A3600">
        <w:rPr>
          <w:lang w:eastAsia="ja-JP"/>
        </w:rPr>
        <w:t>Performance measure 2.2 – Payments made within agreed timeframes</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CF1A80" w:rsidRPr="007A3600" w14:paraId="5EA607E2" w14:textId="77777777" w:rsidTr="00F93319">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57BCC7"/>
            <w:hideMark/>
          </w:tcPr>
          <w:p w14:paraId="231C64C1" w14:textId="1BCAC116" w:rsidR="00151415" w:rsidRPr="007A3600" w:rsidRDefault="00151415" w:rsidP="00AD3197">
            <w:pPr>
              <w:spacing w:before="40" w:after="40"/>
              <w:rPr>
                <w:rFonts w:eastAsia="MS Mincho" w:cs="Arial"/>
                <w:b/>
                <w:color w:val="000000"/>
                <w:lang w:val="en-GB"/>
              </w:rPr>
            </w:pPr>
            <w:r w:rsidRPr="007A3600">
              <w:rPr>
                <w:rFonts w:eastAsia="MS Mincho" w:cs="Arial"/>
                <w:b/>
                <w:color w:val="000000"/>
                <w:lang w:val="en-GB"/>
              </w:rPr>
              <w:t>Performance measure</w:t>
            </w:r>
          </w:p>
        </w:tc>
        <w:tc>
          <w:tcPr>
            <w:tcW w:w="1474" w:type="dxa"/>
            <w:shd w:val="clear" w:color="auto" w:fill="57BCC7"/>
            <w:hideMark/>
          </w:tcPr>
          <w:p w14:paraId="135210D0" w14:textId="53A4A02D" w:rsidR="00151415" w:rsidRPr="007A3600" w:rsidRDefault="00151415" w:rsidP="00AD3197">
            <w:pPr>
              <w:spacing w:before="40" w:after="40"/>
              <w:jc w:val="right"/>
              <w:rPr>
                <w:rFonts w:eastAsia="MS Mincho" w:cs="Arial"/>
                <w:b/>
                <w:color w:val="000000"/>
                <w:lang w:val="en-GB"/>
              </w:rPr>
            </w:pPr>
            <w:r w:rsidRPr="007A3600">
              <w:rPr>
                <w:rFonts w:eastAsia="MS Mincho" w:cs="Arial"/>
                <w:b/>
                <w:color w:val="000000"/>
              </w:rPr>
              <w:t>2024–25 target</w:t>
            </w:r>
          </w:p>
        </w:tc>
        <w:tc>
          <w:tcPr>
            <w:tcW w:w="1474" w:type="dxa"/>
            <w:shd w:val="clear" w:color="auto" w:fill="57BCC7"/>
            <w:hideMark/>
          </w:tcPr>
          <w:p w14:paraId="4E5BC717" w14:textId="70FE5147" w:rsidR="00151415" w:rsidRPr="007A3600" w:rsidRDefault="00151415" w:rsidP="00AD3197">
            <w:pPr>
              <w:spacing w:before="40" w:after="40"/>
              <w:jc w:val="right"/>
              <w:rPr>
                <w:rFonts w:eastAsia="MS Mincho" w:cs="Arial"/>
                <w:b/>
                <w:color w:val="000000"/>
                <w:lang w:val="en-GB"/>
              </w:rPr>
            </w:pPr>
            <w:r w:rsidRPr="007A3600">
              <w:rPr>
                <w:rFonts w:eastAsia="MS Mincho" w:cs="Arial"/>
                <w:b/>
                <w:color w:val="000000"/>
              </w:rPr>
              <w:t>2024–25 result</w:t>
            </w:r>
          </w:p>
        </w:tc>
        <w:tc>
          <w:tcPr>
            <w:tcW w:w="1474" w:type="dxa"/>
            <w:shd w:val="clear" w:color="auto" w:fill="57BCC7"/>
            <w:hideMark/>
          </w:tcPr>
          <w:p w14:paraId="31F19ACB" w14:textId="5C78E3C3" w:rsidR="00151415" w:rsidRPr="007A3600" w:rsidRDefault="00151415" w:rsidP="00AD3197">
            <w:pPr>
              <w:spacing w:before="40" w:after="40"/>
              <w:jc w:val="right"/>
              <w:rPr>
                <w:rFonts w:eastAsia="MS Mincho" w:cs="Arial"/>
                <w:b/>
                <w:color w:val="000000"/>
                <w:lang w:val="en-GB"/>
              </w:rPr>
            </w:pPr>
            <w:r w:rsidRPr="007A3600">
              <w:rPr>
                <w:rFonts w:eastAsia="MS Mincho" w:cs="Arial"/>
                <w:b/>
                <w:color w:val="000000"/>
              </w:rPr>
              <w:t>2024–25 outcome</w:t>
            </w:r>
          </w:p>
        </w:tc>
        <w:tc>
          <w:tcPr>
            <w:tcW w:w="1474" w:type="dxa"/>
            <w:shd w:val="clear" w:color="auto" w:fill="57BCC7"/>
            <w:hideMark/>
          </w:tcPr>
          <w:p w14:paraId="1CCC24A1" w14:textId="7331A0A0" w:rsidR="00151415" w:rsidRPr="007A3600" w:rsidRDefault="00151415" w:rsidP="00AD3197">
            <w:pPr>
              <w:spacing w:before="40" w:after="40"/>
              <w:jc w:val="right"/>
              <w:rPr>
                <w:rFonts w:eastAsia="MS Mincho" w:cs="Arial"/>
                <w:b/>
                <w:color w:val="000000"/>
                <w:lang w:val="en-GB"/>
              </w:rPr>
            </w:pPr>
            <w:r w:rsidRPr="007A3600">
              <w:rPr>
                <w:rFonts w:eastAsia="MS Mincho" w:cs="Arial"/>
                <w:b/>
                <w:color w:val="000000"/>
              </w:rPr>
              <w:t>2023–24 result</w:t>
            </w:r>
          </w:p>
        </w:tc>
      </w:tr>
      <w:tr w:rsidR="00CF1A80" w:rsidRPr="007A3600" w14:paraId="5E5A212A" w14:textId="77777777" w:rsidTr="00F93319">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C5E4E8"/>
            <w:hideMark/>
          </w:tcPr>
          <w:p w14:paraId="22894950" w14:textId="77777777" w:rsidR="00151415" w:rsidRPr="007A3600" w:rsidRDefault="00151415" w:rsidP="00AD3197">
            <w:pPr>
              <w:spacing w:before="40" w:after="40"/>
              <w:rPr>
                <w:rFonts w:eastAsia="MS Mincho" w:cs="Arial"/>
                <w:color w:val="000000"/>
                <w:lang w:val="en-GB"/>
              </w:rPr>
            </w:pPr>
            <w:r w:rsidRPr="007A3600">
              <w:rPr>
                <w:rFonts w:eastAsia="MS Mincho" w:cs="Arial"/>
                <w:color w:val="000000"/>
                <w:lang w:val="en-GB"/>
              </w:rPr>
              <w:t>Payments made within agreed timeframes</w:t>
            </w:r>
          </w:p>
        </w:tc>
        <w:tc>
          <w:tcPr>
            <w:tcW w:w="1474" w:type="dxa"/>
            <w:shd w:val="clear" w:color="auto" w:fill="C5E4E8"/>
            <w:hideMark/>
          </w:tcPr>
          <w:p w14:paraId="07CE3E3C" w14:textId="77777777" w:rsidR="00151415" w:rsidRPr="007A3600" w:rsidRDefault="00151415" w:rsidP="00AD3197">
            <w:pPr>
              <w:spacing w:before="40" w:after="40"/>
              <w:jc w:val="right"/>
              <w:rPr>
                <w:rFonts w:eastAsia="MS Mincho" w:cs="Arial"/>
                <w:color w:val="000000"/>
                <w:lang w:val="en-GB"/>
              </w:rPr>
            </w:pPr>
            <w:r w:rsidRPr="007A3600">
              <w:rPr>
                <w:rFonts w:eastAsia="MS Mincho" w:cs="Arial"/>
                <w:color w:val="000000"/>
              </w:rPr>
              <w:t>&gt;90%</w:t>
            </w:r>
          </w:p>
        </w:tc>
        <w:tc>
          <w:tcPr>
            <w:tcW w:w="1474" w:type="dxa"/>
            <w:shd w:val="clear" w:color="auto" w:fill="C5E4E8"/>
            <w:hideMark/>
          </w:tcPr>
          <w:p w14:paraId="0E3631CE" w14:textId="77777777" w:rsidR="00151415" w:rsidRPr="007A3600" w:rsidRDefault="00151415" w:rsidP="00AD3197">
            <w:pPr>
              <w:spacing w:before="40" w:after="40"/>
              <w:jc w:val="right"/>
              <w:rPr>
                <w:rFonts w:eastAsia="MS Mincho" w:cs="Arial"/>
                <w:color w:val="000000"/>
                <w:lang w:val="en-GB"/>
              </w:rPr>
            </w:pPr>
            <w:r w:rsidRPr="007A3600">
              <w:rPr>
                <w:rFonts w:eastAsia="MS Mincho" w:cs="Arial"/>
                <w:color w:val="000000"/>
                <w:lang w:val="en-GB"/>
              </w:rPr>
              <w:t>99.0%</w:t>
            </w:r>
          </w:p>
        </w:tc>
        <w:tc>
          <w:tcPr>
            <w:tcW w:w="1474" w:type="dxa"/>
            <w:shd w:val="clear" w:color="auto" w:fill="C5E4E8"/>
            <w:hideMark/>
          </w:tcPr>
          <w:p w14:paraId="5021738B" w14:textId="77777777" w:rsidR="00151415" w:rsidRPr="007A3600" w:rsidRDefault="00151415" w:rsidP="00AD3197">
            <w:pPr>
              <w:spacing w:before="40" w:after="40"/>
              <w:jc w:val="right"/>
              <w:rPr>
                <w:rFonts w:eastAsia="MS Mincho" w:cs="Arial"/>
                <w:color w:val="000000"/>
              </w:rPr>
            </w:pPr>
            <w:r w:rsidRPr="007A3600">
              <w:rPr>
                <w:rFonts w:eastAsia="MS Mincho" w:cs="Arial"/>
                <w:color w:val="000000"/>
              </w:rPr>
              <w:t xml:space="preserve">Achieved </w:t>
            </w:r>
          </w:p>
        </w:tc>
        <w:tc>
          <w:tcPr>
            <w:tcW w:w="1474" w:type="dxa"/>
            <w:shd w:val="clear" w:color="auto" w:fill="C5E4E8"/>
            <w:hideMark/>
          </w:tcPr>
          <w:p w14:paraId="2E5A6ED1" w14:textId="77777777" w:rsidR="00151415" w:rsidRPr="007A3600" w:rsidRDefault="00151415" w:rsidP="00AD3197">
            <w:pPr>
              <w:spacing w:before="40" w:after="40"/>
              <w:jc w:val="right"/>
              <w:rPr>
                <w:rFonts w:eastAsia="MS Mincho" w:cs="Arial"/>
                <w:color w:val="000000"/>
              </w:rPr>
            </w:pPr>
            <w:r w:rsidRPr="007A3600">
              <w:rPr>
                <w:rFonts w:eastAsia="MS Mincho" w:cs="Arial"/>
                <w:color w:val="000000"/>
              </w:rPr>
              <w:t>99.5% </w:t>
            </w:r>
          </w:p>
        </w:tc>
      </w:tr>
    </w:tbl>
    <w:p w14:paraId="19C20406" w14:textId="77777777" w:rsidR="00D0070F" w:rsidRPr="007A3600" w:rsidRDefault="00D0070F" w:rsidP="00AD3197">
      <w:pPr>
        <w:pStyle w:val="Heading6"/>
        <w:rPr>
          <w:lang w:eastAsia="ja-JP"/>
        </w:rPr>
      </w:pPr>
      <w:r w:rsidRPr="007A3600">
        <w:rPr>
          <w:lang w:eastAsia="ja-JP"/>
        </w:rPr>
        <w:t>Why we measure this</w:t>
      </w:r>
    </w:p>
    <w:p w14:paraId="4321287B" w14:textId="40B8DFE5" w:rsidR="00D94865" w:rsidRPr="007A3600" w:rsidRDefault="00D94865" w:rsidP="00AD3197">
      <w:pPr>
        <w:rPr>
          <w:lang w:eastAsia="ja-JP"/>
        </w:rPr>
      </w:pPr>
      <w:r w:rsidRPr="007A3600">
        <w:rPr>
          <w:lang w:eastAsia="ja-JP"/>
        </w:rPr>
        <w:t>This measures the output of payable NDIS claims paid from the NDIA to participants, nominees and providers within the agreed timeframes of 3 business days.</w:t>
      </w:r>
    </w:p>
    <w:p w14:paraId="6A1AC967" w14:textId="77777777" w:rsidR="00D94865" w:rsidRPr="007A3600" w:rsidRDefault="00D94865" w:rsidP="00AD3197">
      <w:pPr>
        <w:pStyle w:val="Heading6"/>
        <w:rPr>
          <w:lang w:eastAsia="ja-JP"/>
        </w:rPr>
      </w:pPr>
      <w:r w:rsidRPr="007A3600">
        <w:rPr>
          <w:lang w:eastAsia="ja-JP"/>
        </w:rPr>
        <w:t>How we measure this</w:t>
      </w:r>
    </w:p>
    <w:p w14:paraId="20AD62A4" w14:textId="42F52B36" w:rsidR="00D94865" w:rsidRPr="007A3600" w:rsidRDefault="00D94865" w:rsidP="00AD3197">
      <w:pPr>
        <w:rPr>
          <w:lang w:eastAsia="ja-JP"/>
        </w:rPr>
      </w:pPr>
      <w:r w:rsidRPr="007A3600">
        <w:rPr>
          <w:lang w:eastAsia="ja-JP"/>
        </w:rPr>
        <w:t>The result is the percentage of payable claims that are paid within 3 business days, in line with our payment terms.</w:t>
      </w:r>
    </w:p>
    <w:p w14:paraId="36ADE879" w14:textId="77777777" w:rsidR="00D94865" w:rsidRPr="007A3600" w:rsidRDefault="00D94865" w:rsidP="00AD3197">
      <w:pPr>
        <w:pStyle w:val="Heading6"/>
        <w:rPr>
          <w:lang w:eastAsia="ja-JP"/>
        </w:rPr>
      </w:pPr>
      <w:r w:rsidRPr="007A3600">
        <w:rPr>
          <w:lang w:eastAsia="ja-JP"/>
        </w:rPr>
        <w:t>Analysis</w:t>
      </w:r>
    </w:p>
    <w:p w14:paraId="0DF8D338" w14:textId="2B22E596" w:rsidR="00D94865" w:rsidRPr="007A3600" w:rsidRDefault="00D94865" w:rsidP="00AD3197">
      <w:pPr>
        <w:pStyle w:val="Bullet1"/>
        <w:numPr>
          <w:ilvl w:val="0"/>
          <w:numId w:val="0"/>
        </w:numPr>
      </w:pPr>
      <w:r w:rsidRPr="007A3600">
        <w:rPr>
          <w:rFonts w:cs="Arial"/>
        </w:rPr>
        <w:t xml:space="preserve">The NDIA successfully exceeded its target by ensuring </w:t>
      </w:r>
      <w:r w:rsidR="00C535EB" w:rsidRPr="007A3600">
        <w:rPr>
          <w:rFonts w:cs="Arial"/>
        </w:rPr>
        <w:t>99% of</w:t>
      </w:r>
      <w:r w:rsidRPr="007A3600">
        <w:rPr>
          <w:rFonts w:cs="Arial"/>
        </w:rPr>
        <w:t xml:space="preserve"> payments were made </w:t>
      </w:r>
      <w:r w:rsidRPr="007A3600">
        <w:t>within the agreed timeframe of 3 business days.</w:t>
      </w:r>
    </w:p>
    <w:p w14:paraId="32AE5693" w14:textId="26F147C7" w:rsidR="00D0070F" w:rsidRPr="007A3600" w:rsidRDefault="00D0070F" w:rsidP="00AD3197">
      <w:pPr>
        <w:pStyle w:val="Heading5"/>
        <w:rPr>
          <w:lang w:eastAsia="ja-JP"/>
        </w:rPr>
      </w:pPr>
      <w:r w:rsidRPr="007A3600">
        <w:rPr>
          <w:lang w:eastAsia="ja-JP"/>
        </w:rPr>
        <w:t xml:space="preserve">Performance measure 2.3 – Participant Service Guarantee </w:t>
      </w:r>
      <w:r w:rsidR="00EA31DA" w:rsidRPr="007A3600">
        <w:rPr>
          <w:lang w:eastAsia="ja-JP"/>
        </w:rPr>
        <w:t>t</w:t>
      </w:r>
      <w:r w:rsidRPr="007A3600">
        <w:rPr>
          <w:lang w:eastAsia="ja-JP"/>
        </w:rPr>
        <w:t>imeframes met 95% of the time</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26718D" w:rsidRPr="007A3600" w14:paraId="1AC70BD3" w14:textId="77777777" w:rsidTr="00581EB2">
        <w:trPr>
          <w:cnfStyle w:val="100000000000" w:firstRow="1" w:lastRow="0" w:firstColumn="0" w:lastColumn="0" w:oddVBand="0" w:evenVBand="0" w:oddHBand="0" w:evenHBand="0" w:firstRowFirstColumn="0" w:firstRowLastColumn="0" w:lastRowFirstColumn="0" w:lastRowLastColumn="0"/>
          <w:trHeight w:val="510"/>
        </w:trPr>
        <w:tc>
          <w:tcPr>
            <w:tcW w:w="3175" w:type="dxa"/>
            <w:shd w:val="clear" w:color="auto" w:fill="57BCC7"/>
          </w:tcPr>
          <w:p w14:paraId="60D310FC" w14:textId="533B4F99" w:rsidR="008365BC" w:rsidRPr="007A3600" w:rsidRDefault="008365BC" w:rsidP="00AD3197">
            <w:pPr>
              <w:pStyle w:val="TableBody"/>
              <w:spacing w:before="40" w:after="40"/>
              <w:rPr>
                <w:b/>
                <w:color w:val="000000"/>
                <w:szCs w:val="24"/>
                <w:lang w:val="en-GB"/>
              </w:rPr>
            </w:pPr>
            <w:r w:rsidRPr="007A3600">
              <w:rPr>
                <w:b/>
                <w:color w:val="000000"/>
                <w:szCs w:val="24"/>
                <w:lang w:val="en-GB"/>
              </w:rPr>
              <w:t>Performance measure</w:t>
            </w:r>
          </w:p>
        </w:tc>
        <w:tc>
          <w:tcPr>
            <w:tcW w:w="1474" w:type="dxa"/>
            <w:shd w:val="clear" w:color="auto" w:fill="57BCC7"/>
          </w:tcPr>
          <w:p w14:paraId="1C3F6B37" w14:textId="5BA1265C" w:rsidR="008365BC" w:rsidRPr="007A3600" w:rsidRDefault="008365BC" w:rsidP="00AD3197">
            <w:pPr>
              <w:pStyle w:val="TableBody"/>
              <w:spacing w:before="40" w:after="40"/>
              <w:jc w:val="right"/>
              <w:rPr>
                <w:b/>
                <w:color w:val="000000"/>
                <w:szCs w:val="24"/>
                <w:lang w:val="en-GB"/>
              </w:rPr>
            </w:pPr>
            <w:r w:rsidRPr="007A3600">
              <w:rPr>
                <w:b/>
                <w:color w:val="000000"/>
                <w:szCs w:val="24"/>
              </w:rPr>
              <w:t>2024–25 target</w:t>
            </w:r>
          </w:p>
        </w:tc>
        <w:tc>
          <w:tcPr>
            <w:tcW w:w="1474" w:type="dxa"/>
            <w:shd w:val="clear" w:color="auto" w:fill="57BCC7"/>
          </w:tcPr>
          <w:p w14:paraId="4800E463" w14:textId="2FCF6361" w:rsidR="008365BC" w:rsidRPr="007A3600" w:rsidRDefault="008365BC" w:rsidP="00AD3197">
            <w:pPr>
              <w:pStyle w:val="TableBody"/>
              <w:spacing w:before="40" w:after="40"/>
              <w:jc w:val="right"/>
              <w:rPr>
                <w:b/>
                <w:color w:val="000000"/>
                <w:szCs w:val="24"/>
                <w:lang w:val="en-GB"/>
              </w:rPr>
            </w:pPr>
            <w:r w:rsidRPr="007A3600">
              <w:rPr>
                <w:b/>
                <w:color w:val="000000"/>
                <w:szCs w:val="24"/>
                <w:lang w:val="en-GB"/>
              </w:rPr>
              <w:t>2024–25 result</w:t>
            </w:r>
          </w:p>
        </w:tc>
        <w:tc>
          <w:tcPr>
            <w:tcW w:w="1474" w:type="dxa"/>
            <w:shd w:val="clear" w:color="auto" w:fill="57BCC7"/>
          </w:tcPr>
          <w:p w14:paraId="654687C6" w14:textId="0610F4EB" w:rsidR="008365BC" w:rsidRPr="007A3600" w:rsidRDefault="008365BC" w:rsidP="00AD3197">
            <w:pPr>
              <w:pStyle w:val="TableBody"/>
              <w:spacing w:before="40" w:after="40"/>
              <w:jc w:val="right"/>
              <w:rPr>
                <w:b/>
                <w:color w:val="000000"/>
                <w:szCs w:val="24"/>
                <w:lang w:val="en-GB"/>
              </w:rPr>
            </w:pPr>
            <w:r w:rsidRPr="007A3600">
              <w:rPr>
                <w:b/>
                <w:color w:val="000000"/>
                <w:szCs w:val="24"/>
                <w:lang w:val="en-GB"/>
              </w:rPr>
              <w:t>2024–25 outcome</w:t>
            </w:r>
          </w:p>
        </w:tc>
        <w:tc>
          <w:tcPr>
            <w:tcW w:w="1474" w:type="dxa"/>
            <w:shd w:val="clear" w:color="auto" w:fill="57BCC7"/>
          </w:tcPr>
          <w:p w14:paraId="5DD3A0A7" w14:textId="6B4F11CE" w:rsidR="008365BC" w:rsidRPr="007A3600" w:rsidRDefault="008365BC" w:rsidP="00AD3197">
            <w:pPr>
              <w:pStyle w:val="TableBody"/>
              <w:spacing w:before="40" w:after="40"/>
              <w:jc w:val="right"/>
              <w:rPr>
                <w:b/>
                <w:color w:val="000000"/>
                <w:szCs w:val="24"/>
                <w:lang w:val="en-GB"/>
              </w:rPr>
            </w:pPr>
            <w:r w:rsidRPr="007A3600">
              <w:rPr>
                <w:b/>
                <w:color w:val="000000"/>
                <w:szCs w:val="24"/>
              </w:rPr>
              <w:t>2023–24 result</w:t>
            </w:r>
          </w:p>
        </w:tc>
      </w:tr>
      <w:tr w:rsidR="00CF1A80" w:rsidRPr="007A3600" w14:paraId="6E730C56" w14:textId="77777777" w:rsidTr="00581EB2">
        <w:trPr>
          <w:cnfStyle w:val="000000100000" w:firstRow="0" w:lastRow="0" w:firstColumn="0" w:lastColumn="0" w:oddVBand="0" w:evenVBand="0" w:oddHBand="1" w:evenHBand="0" w:firstRowFirstColumn="0" w:firstRowLastColumn="0" w:lastRowFirstColumn="0" w:lastRowLastColumn="0"/>
          <w:trHeight w:val="510"/>
        </w:trPr>
        <w:tc>
          <w:tcPr>
            <w:tcW w:w="3175" w:type="dxa"/>
            <w:shd w:val="clear" w:color="auto" w:fill="C5E4E8"/>
          </w:tcPr>
          <w:p w14:paraId="611D595E" w14:textId="115B547B" w:rsidR="008365BC" w:rsidRPr="007A3600" w:rsidRDefault="008365BC" w:rsidP="00AD3197">
            <w:pPr>
              <w:pStyle w:val="TableBody"/>
              <w:spacing w:before="40" w:after="40"/>
              <w:rPr>
                <w:color w:val="000000"/>
                <w:szCs w:val="24"/>
                <w:lang w:val="en-GB"/>
              </w:rPr>
            </w:pPr>
            <w:r w:rsidRPr="007A3600">
              <w:rPr>
                <w:color w:val="000000"/>
                <w:szCs w:val="24"/>
                <w:lang w:val="en-GB"/>
              </w:rPr>
              <w:t>Participant Service Guarantee timeframes met 95% of the time (%)</w:t>
            </w:r>
          </w:p>
        </w:tc>
        <w:tc>
          <w:tcPr>
            <w:tcW w:w="1474" w:type="dxa"/>
            <w:shd w:val="clear" w:color="auto" w:fill="C5E4E8"/>
          </w:tcPr>
          <w:p w14:paraId="3DFA626F" w14:textId="77777777" w:rsidR="008365BC" w:rsidRPr="007A3600" w:rsidRDefault="008365BC" w:rsidP="00AD3197">
            <w:pPr>
              <w:pStyle w:val="TableBody"/>
              <w:spacing w:before="40" w:after="40"/>
              <w:jc w:val="right"/>
              <w:rPr>
                <w:color w:val="000000"/>
                <w:szCs w:val="24"/>
                <w:lang w:val="en-GB"/>
              </w:rPr>
            </w:pPr>
            <w:r w:rsidRPr="007A3600">
              <w:rPr>
                <w:color w:val="000000"/>
                <w:szCs w:val="24"/>
                <w:lang w:val="en-GB"/>
              </w:rPr>
              <w:t>80%</w:t>
            </w:r>
          </w:p>
        </w:tc>
        <w:tc>
          <w:tcPr>
            <w:tcW w:w="1474" w:type="dxa"/>
            <w:shd w:val="clear" w:color="auto" w:fill="C5E4E8"/>
          </w:tcPr>
          <w:p w14:paraId="499F1CC2" w14:textId="77777777" w:rsidR="008365BC" w:rsidRPr="007A3600" w:rsidRDefault="008365BC" w:rsidP="00AD3197">
            <w:pPr>
              <w:pStyle w:val="TableBody"/>
              <w:spacing w:before="40" w:after="40"/>
              <w:jc w:val="right"/>
              <w:rPr>
                <w:color w:val="000000"/>
                <w:szCs w:val="24"/>
                <w:lang w:val="en-GB"/>
              </w:rPr>
            </w:pPr>
            <w:r w:rsidRPr="007A3600">
              <w:rPr>
                <w:color w:val="000000"/>
                <w:szCs w:val="24"/>
                <w:lang w:val="en-GB"/>
              </w:rPr>
              <w:t>10.0%</w:t>
            </w:r>
          </w:p>
        </w:tc>
        <w:tc>
          <w:tcPr>
            <w:tcW w:w="1474" w:type="dxa"/>
            <w:shd w:val="clear" w:color="auto" w:fill="C5E4E8"/>
          </w:tcPr>
          <w:p w14:paraId="781F0F8C" w14:textId="44873205" w:rsidR="008365BC" w:rsidRPr="007A3600" w:rsidRDefault="008365BC" w:rsidP="00AD3197">
            <w:pPr>
              <w:pStyle w:val="TableBody"/>
              <w:spacing w:before="40" w:after="40"/>
              <w:jc w:val="right"/>
              <w:rPr>
                <w:color w:val="000000"/>
                <w:szCs w:val="24"/>
                <w:lang w:val="en-GB"/>
              </w:rPr>
            </w:pPr>
            <w:r w:rsidRPr="007A3600">
              <w:rPr>
                <w:color w:val="000000"/>
                <w:szCs w:val="24"/>
                <w:lang w:val="en-GB"/>
              </w:rPr>
              <w:t>Not</w:t>
            </w:r>
            <w:r w:rsidR="006D6ADF" w:rsidRPr="007A3600">
              <w:rPr>
                <w:color w:val="000000"/>
                <w:szCs w:val="24"/>
                <w:lang w:val="en-GB"/>
              </w:rPr>
              <w:t xml:space="preserve"> a</w:t>
            </w:r>
            <w:r w:rsidRPr="007A3600">
              <w:rPr>
                <w:color w:val="000000"/>
                <w:szCs w:val="24"/>
                <w:lang w:val="en-GB"/>
              </w:rPr>
              <w:t>chieved</w:t>
            </w:r>
          </w:p>
        </w:tc>
        <w:tc>
          <w:tcPr>
            <w:tcW w:w="1474" w:type="dxa"/>
            <w:shd w:val="clear" w:color="auto" w:fill="C5E4E8"/>
          </w:tcPr>
          <w:p w14:paraId="5AA45C3A" w14:textId="77777777" w:rsidR="008365BC" w:rsidRPr="007A3600" w:rsidRDefault="008365BC" w:rsidP="00AD3197">
            <w:pPr>
              <w:pStyle w:val="TableBody"/>
              <w:spacing w:before="40" w:after="40"/>
              <w:jc w:val="right"/>
              <w:rPr>
                <w:color w:val="000000"/>
                <w:szCs w:val="24"/>
                <w:lang w:val="en-GB"/>
              </w:rPr>
            </w:pPr>
            <w:r w:rsidRPr="007A3600">
              <w:rPr>
                <w:color w:val="000000"/>
                <w:szCs w:val="24"/>
                <w:lang w:val="en-GB"/>
              </w:rPr>
              <w:t>32.9%</w:t>
            </w:r>
          </w:p>
        </w:tc>
      </w:tr>
    </w:tbl>
    <w:p w14:paraId="69B4D395" w14:textId="77777777" w:rsidR="00D0070F" w:rsidRPr="007A3600" w:rsidRDefault="00D0070F" w:rsidP="00AD3197">
      <w:pPr>
        <w:pStyle w:val="Heading6"/>
        <w:rPr>
          <w:lang w:eastAsia="ja-JP"/>
        </w:rPr>
      </w:pPr>
      <w:r w:rsidRPr="007A3600">
        <w:rPr>
          <w:lang w:eastAsia="ja-JP"/>
        </w:rPr>
        <w:t>Why we measure this</w:t>
      </w:r>
    </w:p>
    <w:p w14:paraId="5925DE7C" w14:textId="13CD377B" w:rsidR="00C20796" w:rsidRPr="007A3600" w:rsidRDefault="00C20796" w:rsidP="00AD3197">
      <w:pPr>
        <w:rPr>
          <w:lang w:eastAsia="ja-JP"/>
        </w:rPr>
      </w:pPr>
      <w:r w:rsidRPr="007A3600">
        <w:rPr>
          <w:lang w:eastAsia="ja-JP"/>
        </w:rPr>
        <w:t>This measures the NDIA’s output (timeliness and quality) to meet legislated PSG timeframes and the implementation of the Participant Service Improvement Plan.</w:t>
      </w:r>
    </w:p>
    <w:p w14:paraId="1CD50F58" w14:textId="77777777" w:rsidR="00C20796" w:rsidRPr="007A3600" w:rsidRDefault="00C20796" w:rsidP="00AD3197">
      <w:pPr>
        <w:pStyle w:val="Heading6"/>
        <w:rPr>
          <w:lang w:eastAsia="ja-JP"/>
        </w:rPr>
      </w:pPr>
      <w:r w:rsidRPr="007A3600">
        <w:rPr>
          <w:lang w:eastAsia="ja-JP"/>
        </w:rPr>
        <w:lastRenderedPageBreak/>
        <w:t>How we measure this</w:t>
      </w:r>
    </w:p>
    <w:p w14:paraId="34BA63B5" w14:textId="59B71F2D" w:rsidR="00C20796" w:rsidRPr="007A3600" w:rsidRDefault="00C20796" w:rsidP="00AD3197">
      <w:pPr>
        <w:rPr>
          <w:lang w:eastAsia="ja-JP"/>
        </w:rPr>
      </w:pPr>
      <w:r w:rsidRPr="007A3600">
        <w:rPr>
          <w:lang w:eastAsia="ja-JP"/>
        </w:rPr>
        <w:t xml:space="preserve">An individual PSG measure is considered to have been met overall if 95% or more of the tasks being measured meet the PSG timeframe as specified in legislation or the commitment. PSG metrics and their respective service level agreement targets are defined on the </w:t>
      </w:r>
      <w:hyperlink r:id="rId43" w:history="1">
        <w:r w:rsidRPr="007A3600">
          <w:rPr>
            <w:rStyle w:val="Hyperlink"/>
          </w:rPr>
          <w:t>NDIS website</w:t>
        </w:r>
      </w:hyperlink>
      <w:r w:rsidRPr="007A3600">
        <w:rPr>
          <w:lang w:eastAsia="ja-JP"/>
        </w:rPr>
        <w:t>. Performance against PSG measures is also reported in the Quarterly Report to Disability Ministers.</w:t>
      </w:r>
    </w:p>
    <w:p w14:paraId="5117BE29" w14:textId="77777777" w:rsidR="00586847" w:rsidRPr="007A3600" w:rsidRDefault="00C20796" w:rsidP="00AD3197">
      <w:pPr>
        <w:rPr>
          <w:lang w:eastAsia="ja-JP"/>
        </w:rPr>
      </w:pPr>
      <w:r w:rsidRPr="007A3600">
        <w:rPr>
          <w:lang w:eastAsia="ja-JP"/>
        </w:rPr>
        <w:t>The measure is then calculated as the proportion of reportable PSGs where 95% or more of the tasks being measured met the service guarantee timeframe. A PSG timeframe is available for reporting if it meets operational thresholds for data viability. There were 10 reportable PSGs in 2024–25.</w:t>
      </w:r>
    </w:p>
    <w:p w14:paraId="3ACF6DE3" w14:textId="071B09F3" w:rsidR="00690885" w:rsidRPr="007A3600" w:rsidRDefault="00283B85" w:rsidP="00AD3197">
      <w:pPr>
        <w:rPr>
          <w:lang w:eastAsia="ja-JP"/>
        </w:rPr>
      </w:pPr>
      <w:r w:rsidRPr="007A3600">
        <w:rPr>
          <w:lang w:eastAsia="ja-JP"/>
        </w:rPr>
        <w:t>Due to limitations with the Agency’s ICT systems, only 10 out of the 20 PSG measures are currently reported. Work is underway to report against all 20 measures. Once completed, the Agency expects the overall performance result to improve considerably.</w:t>
      </w:r>
    </w:p>
    <w:p w14:paraId="08C26655" w14:textId="77777777" w:rsidR="00690885" w:rsidRPr="007A3600" w:rsidRDefault="00690885" w:rsidP="00AD3197">
      <w:pPr>
        <w:rPr>
          <w:lang w:eastAsia="ja-JP"/>
        </w:rPr>
        <w:sectPr w:rsidR="00690885" w:rsidRPr="007A3600" w:rsidSect="000F17C1">
          <w:headerReference w:type="default" r:id="rId44"/>
          <w:footerReference w:type="default" r:id="rId45"/>
          <w:headerReference w:type="first" r:id="rId46"/>
          <w:footerReference w:type="first" r:id="rId47"/>
          <w:pgSz w:w="11906" w:h="16838" w:code="9"/>
          <w:pgMar w:top="142" w:right="1440" w:bottom="1701" w:left="1440" w:header="561" w:footer="374" w:gutter="0"/>
          <w:cols w:space="708"/>
          <w:titlePg/>
          <w:docGrid w:linePitch="360"/>
        </w:sectPr>
      </w:pPr>
    </w:p>
    <w:p w14:paraId="6D8FEE31" w14:textId="42F44DA9" w:rsidR="00C20796" w:rsidRPr="007A3600" w:rsidRDefault="00033CA8" w:rsidP="00AD3197">
      <w:pPr>
        <w:pStyle w:val="Caption"/>
        <w:rPr>
          <w:lang w:eastAsia="ja-JP"/>
        </w:rPr>
      </w:pPr>
      <w:r w:rsidRPr="007A3600">
        <w:rPr>
          <w:lang w:eastAsia="ja-JP"/>
        </w:rPr>
        <w:lastRenderedPageBreak/>
        <w:t>Reportable PSGs in 2024–25</w:t>
      </w:r>
    </w:p>
    <w:tbl>
      <w:tblPr>
        <w:tblStyle w:val="NDISTable1"/>
        <w:tblW w:w="13266" w:type="dxa"/>
        <w:tblLayout w:type="fixed"/>
        <w:tblCellMar>
          <w:left w:w="57" w:type="dxa"/>
          <w:right w:w="57" w:type="dxa"/>
        </w:tblCellMar>
        <w:tblLook w:val="0420" w:firstRow="1" w:lastRow="0" w:firstColumn="0" w:lastColumn="0" w:noHBand="0" w:noVBand="1"/>
      </w:tblPr>
      <w:tblGrid>
        <w:gridCol w:w="679"/>
        <w:gridCol w:w="1757"/>
        <w:gridCol w:w="4139"/>
        <w:gridCol w:w="1247"/>
        <w:gridCol w:w="1361"/>
        <w:gridCol w:w="1361"/>
        <w:gridCol w:w="1361"/>
        <w:gridCol w:w="1361"/>
      </w:tblGrid>
      <w:tr w:rsidR="00B407C5" w:rsidRPr="007A3600" w14:paraId="572F46EE" w14:textId="77777777" w:rsidTr="005845E2">
        <w:trPr>
          <w:cnfStyle w:val="100000000000" w:firstRow="1" w:lastRow="0" w:firstColumn="0" w:lastColumn="0" w:oddVBand="0" w:evenVBand="0" w:oddHBand="0" w:evenHBand="0" w:firstRowFirstColumn="0" w:firstRowLastColumn="0" w:lastRowFirstColumn="0" w:lastRowLastColumn="0"/>
          <w:trHeight w:val="300"/>
        </w:trPr>
        <w:tc>
          <w:tcPr>
            <w:tcW w:w="679" w:type="dxa"/>
            <w:hideMark/>
          </w:tcPr>
          <w:p w14:paraId="4A1F2B36" w14:textId="77777777" w:rsidR="0029157E" w:rsidRPr="007A3600" w:rsidRDefault="0029157E" w:rsidP="00AD3197">
            <w:pPr>
              <w:rPr>
                <w:lang w:eastAsia="ja-JP"/>
              </w:rPr>
            </w:pPr>
            <w:r w:rsidRPr="007A3600">
              <w:rPr>
                <w:lang w:eastAsia="ja-JP"/>
              </w:rPr>
              <w:t>PSG</w:t>
            </w:r>
          </w:p>
        </w:tc>
        <w:tc>
          <w:tcPr>
            <w:tcW w:w="1757" w:type="dxa"/>
          </w:tcPr>
          <w:p w14:paraId="28C9975A" w14:textId="77777777" w:rsidR="0029157E" w:rsidRPr="007A3600" w:rsidRDefault="0029157E" w:rsidP="00AD3197">
            <w:pPr>
              <w:rPr>
                <w:lang w:eastAsia="ja-JP"/>
              </w:rPr>
            </w:pPr>
            <w:r w:rsidRPr="007A3600">
              <w:rPr>
                <w:lang w:eastAsia="ja-JP"/>
              </w:rPr>
              <w:t>Service type</w:t>
            </w:r>
          </w:p>
        </w:tc>
        <w:tc>
          <w:tcPr>
            <w:tcW w:w="4139" w:type="dxa"/>
            <w:hideMark/>
          </w:tcPr>
          <w:p w14:paraId="58C01E47" w14:textId="70EADC90" w:rsidR="0029157E" w:rsidRPr="007A3600" w:rsidRDefault="0029157E" w:rsidP="00AD3197">
            <w:pPr>
              <w:rPr>
                <w:lang w:eastAsia="ja-JP"/>
              </w:rPr>
            </w:pPr>
            <w:r w:rsidRPr="007A3600">
              <w:rPr>
                <w:lang w:eastAsia="ja-JP"/>
              </w:rPr>
              <w:t>Description</w:t>
            </w:r>
            <w:r w:rsidR="00033CA8" w:rsidRPr="007A3600">
              <w:rPr>
                <w:lang w:eastAsia="ja-JP"/>
              </w:rPr>
              <w:t xml:space="preserve"> </w:t>
            </w:r>
            <w:r w:rsidRPr="007A3600">
              <w:rPr>
                <w:lang w:eastAsia="ja-JP"/>
              </w:rPr>
              <w:t>of the service being guaranteed</w:t>
            </w:r>
          </w:p>
        </w:tc>
        <w:tc>
          <w:tcPr>
            <w:tcW w:w="1247" w:type="dxa"/>
            <w:hideMark/>
          </w:tcPr>
          <w:p w14:paraId="5D5667AD" w14:textId="77777777" w:rsidR="0029157E" w:rsidRPr="007A3600" w:rsidRDefault="0029157E" w:rsidP="00AD3197">
            <w:pPr>
              <w:rPr>
                <w:lang w:eastAsia="ja-JP"/>
              </w:rPr>
            </w:pPr>
            <w:r w:rsidRPr="007A3600">
              <w:rPr>
                <w:lang w:eastAsia="ja-JP"/>
              </w:rPr>
              <w:t>Service guarantee</w:t>
            </w:r>
          </w:p>
        </w:tc>
        <w:tc>
          <w:tcPr>
            <w:tcW w:w="1361" w:type="dxa"/>
          </w:tcPr>
          <w:p w14:paraId="56D4488A" w14:textId="1B958215" w:rsidR="0029157E" w:rsidRPr="007A3600" w:rsidRDefault="0029157E" w:rsidP="00AD3197">
            <w:pPr>
              <w:jc w:val="right"/>
              <w:rPr>
                <w:lang w:eastAsia="ja-JP"/>
              </w:rPr>
            </w:pPr>
            <w:r w:rsidRPr="007A3600">
              <w:rPr>
                <w:lang w:eastAsia="ja-JP"/>
              </w:rPr>
              <w:t>2024–25 Q</w:t>
            </w:r>
            <w:r w:rsidR="00545D91" w:rsidRPr="007A3600">
              <w:rPr>
                <w:lang w:eastAsia="ja-JP"/>
              </w:rPr>
              <w:t xml:space="preserve">uarter </w:t>
            </w:r>
            <w:r w:rsidRPr="007A3600">
              <w:rPr>
                <w:lang w:eastAsia="ja-JP"/>
              </w:rPr>
              <w:t>1</w:t>
            </w:r>
          </w:p>
        </w:tc>
        <w:tc>
          <w:tcPr>
            <w:tcW w:w="1361" w:type="dxa"/>
          </w:tcPr>
          <w:p w14:paraId="28EFB72B" w14:textId="1298BF24" w:rsidR="0029157E" w:rsidRPr="007A3600" w:rsidRDefault="0029157E" w:rsidP="00AD3197">
            <w:pPr>
              <w:jc w:val="right"/>
              <w:rPr>
                <w:lang w:eastAsia="ja-JP"/>
              </w:rPr>
            </w:pPr>
            <w:r w:rsidRPr="007A3600">
              <w:rPr>
                <w:lang w:eastAsia="ja-JP"/>
              </w:rPr>
              <w:t>2024–25 Q</w:t>
            </w:r>
            <w:r w:rsidR="00545D91" w:rsidRPr="007A3600">
              <w:rPr>
                <w:lang w:eastAsia="ja-JP"/>
              </w:rPr>
              <w:t xml:space="preserve">uarter </w:t>
            </w:r>
            <w:r w:rsidRPr="007A3600">
              <w:rPr>
                <w:lang w:eastAsia="ja-JP"/>
              </w:rPr>
              <w:t>2</w:t>
            </w:r>
          </w:p>
        </w:tc>
        <w:tc>
          <w:tcPr>
            <w:tcW w:w="1361" w:type="dxa"/>
          </w:tcPr>
          <w:p w14:paraId="0F52A8B8" w14:textId="1EFDDCFE" w:rsidR="0029157E" w:rsidRPr="007A3600" w:rsidRDefault="0029157E" w:rsidP="00AD3197">
            <w:pPr>
              <w:jc w:val="right"/>
              <w:rPr>
                <w:lang w:eastAsia="ja-JP"/>
              </w:rPr>
            </w:pPr>
            <w:r w:rsidRPr="007A3600">
              <w:rPr>
                <w:lang w:eastAsia="ja-JP"/>
              </w:rPr>
              <w:t>2024–25 Q</w:t>
            </w:r>
            <w:r w:rsidR="00545D91" w:rsidRPr="007A3600">
              <w:rPr>
                <w:lang w:eastAsia="ja-JP"/>
              </w:rPr>
              <w:t xml:space="preserve">uarter </w:t>
            </w:r>
            <w:r w:rsidRPr="007A3600">
              <w:rPr>
                <w:lang w:eastAsia="ja-JP"/>
              </w:rPr>
              <w:t>3</w:t>
            </w:r>
          </w:p>
        </w:tc>
        <w:tc>
          <w:tcPr>
            <w:tcW w:w="1361" w:type="dxa"/>
          </w:tcPr>
          <w:p w14:paraId="711F41E1" w14:textId="1D1E7D21" w:rsidR="0029157E" w:rsidRPr="007A3600" w:rsidRDefault="0029157E" w:rsidP="00AD3197">
            <w:pPr>
              <w:jc w:val="right"/>
              <w:rPr>
                <w:lang w:eastAsia="ja-JP"/>
              </w:rPr>
            </w:pPr>
            <w:r w:rsidRPr="007A3600">
              <w:rPr>
                <w:lang w:eastAsia="ja-JP"/>
              </w:rPr>
              <w:t xml:space="preserve">2024–25 </w:t>
            </w:r>
            <w:r w:rsidR="00545D91" w:rsidRPr="007A3600">
              <w:rPr>
                <w:lang w:eastAsia="ja-JP"/>
              </w:rPr>
              <w:t xml:space="preserve">Quarter </w:t>
            </w:r>
            <w:r w:rsidRPr="007A3600">
              <w:rPr>
                <w:lang w:eastAsia="ja-JP"/>
              </w:rPr>
              <w:t>4</w:t>
            </w:r>
          </w:p>
        </w:tc>
      </w:tr>
      <w:tr w:rsidR="00B407C5" w:rsidRPr="007A3600" w14:paraId="2D368974" w14:textId="77777777" w:rsidTr="005845E2">
        <w:trPr>
          <w:cnfStyle w:val="000000100000" w:firstRow="0" w:lastRow="0" w:firstColumn="0" w:lastColumn="0" w:oddVBand="0" w:evenVBand="0" w:oddHBand="1" w:evenHBand="0" w:firstRowFirstColumn="0" w:firstRowLastColumn="0" w:lastRowFirstColumn="0" w:lastRowLastColumn="0"/>
          <w:trHeight w:val="300"/>
        </w:trPr>
        <w:tc>
          <w:tcPr>
            <w:tcW w:w="679" w:type="dxa"/>
          </w:tcPr>
          <w:p w14:paraId="4BC0EB68" w14:textId="190B3390" w:rsidR="0029157E" w:rsidRPr="007A3600" w:rsidRDefault="0029157E" w:rsidP="00AD3197">
            <w:pPr>
              <w:rPr>
                <w:lang w:eastAsia="ja-JP"/>
              </w:rPr>
            </w:pPr>
            <w:r w:rsidRPr="007A3600">
              <w:rPr>
                <w:lang w:eastAsia="ja-JP"/>
              </w:rPr>
              <w:t>2</w:t>
            </w:r>
          </w:p>
        </w:tc>
        <w:tc>
          <w:tcPr>
            <w:tcW w:w="1757" w:type="dxa"/>
          </w:tcPr>
          <w:p w14:paraId="4313D18B" w14:textId="77777777" w:rsidR="0029157E" w:rsidRPr="007A3600" w:rsidRDefault="0029157E" w:rsidP="00AD3197">
            <w:pPr>
              <w:rPr>
                <w:lang w:eastAsia="ja-JP"/>
              </w:rPr>
            </w:pPr>
            <w:r w:rsidRPr="007A3600">
              <w:rPr>
                <w:lang w:eastAsia="ja-JP"/>
              </w:rPr>
              <w:t>Access</w:t>
            </w:r>
          </w:p>
        </w:tc>
        <w:tc>
          <w:tcPr>
            <w:tcW w:w="4139" w:type="dxa"/>
          </w:tcPr>
          <w:p w14:paraId="6A5A9663" w14:textId="1AE37306" w:rsidR="0029157E" w:rsidRPr="007A3600" w:rsidRDefault="0029157E" w:rsidP="00AD3197">
            <w:pPr>
              <w:rPr>
                <w:lang w:eastAsia="ja-JP"/>
              </w:rPr>
            </w:pPr>
            <w:r w:rsidRPr="007A3600">
              <w:rPr>
                <w:lang w:eastAsia="ja-JP"/>
              </w:rPr>
              <w:t>Make an access decision, or request for more information, after an access request has been received</w:t>
            </w:r>
          </w:p>
        </w:tc>
        <w:tc>
          <w:tcPr>
            <w:tcW w:w="1247" w:type="dxa"/>
          </w:tcPr>
          <w:p w14:paraId="30484C73" w14:textId="021D63A9" w:rsidR="0029157E" w:rsidRPr="007A3600" w:rsidRDefault="0029157E" w:rsidP="00AD3197">
            <w:pPr>
              <w:rPr>
                <w:lang w:eastAsia="ja-JP"/>
              </w:rPr>
            </w:pPr>
            <w:r w:rsidRPr="007A3600">
              <w:rPr>
                <w:lang w:eastAsia="ja-JP"/>
              </w:rPr>
              <w:t>21</w:t>
            </w:r>
            <w:r w:rsidR="009F7A19" w:rsidRPr="007A3600">
              <w:rPr>
                <w:lang w:eastAsia="ja-JP"/>
              </w:rPr>
              <w:t xml:space="preserve"> </w:t>
            </w:r>
            <w:r w:rsidRPr="007A3600">
              <w:rPr>
                <w:lang w:eastAsia="ja-JP"/>
              </w:rPr>
              <w:t>days</w:t>
            </w:r>
          </w:p>
        </w:tc>
        <w:tc>
          <w:tcPr>
            <w:tcW w:w="1361" w:type="dxa"/>
          </w:tcPr>
          <w:p w14:paraId="60A9B49D" w14:textId="77777777" w:rsidR="0029157E" w:rsidRPr="007A3600" w:rsidRDefault="0029157E" w:rsidP="00AD3197">
            <w:pPr>
              <w:jc w:val="right"/>
              <w:rPr>
                <w:lang w:eastAsia="ja-JP"/>
              </w:rPr>
            </w:pPr>
            <w:r w:rsidRPr="007A3600">
              <w:rPr>
                <w:lang w:eastAsia="ja-JP"/>
              </w:rPr>
              <w:t>19.4%</w:t>
            </w:r>
          </w:p>
        </w:tc>
        <w:tc>
          <w:tcPr>
            <w:tcW w:w="1361" w:type="dxa"/>
          </w:tcPr>
          <w:p w14:paraId="6982C6E5" w14:textId="77777777" w:rsidR="0029157E" w:rsidRPr="007A3600" w:rsidRDefault="0029157E" w:rsidP="00AD3197">
            <w:pPr>
              <w:jc w:val="right"/>
              <w:rPr>
                <w:lang w:eastAsia="ja-JP"/>
              </w:rPr>
            </w:pPr>
            <w:r w:rsidRPr="007A3600">
              <w:rPr>
                <w:lang w:eastAsia="ja-JP"/>
              </w:rPr>
              <w:t>14.6%</w:t>
            </w:r>
          </w:p>
        </w:tc>
        <w:tc>
          <w:tcPr>
            <w:tcW w:w="1361" w:type="dxa"/>
          </w:tcPr>
          <w:p w14:paraId="5915338E" w14:textId="77777777" w:rsidR="0029157E" w:rsidRPr="007A3600" w:rsidRDefault="0029157E" w:rsidP="00AD3197">
            <w:pPr>
              <w:jc w:val="right"/>
              <w:rPr>
                <w:lang w:eastAsia="ja-JP"/>
              </w:rPr>
            </w:pPr>
            <w:r w:rsidRPr="007A3600">
              <w:rPr>
                <w:lang w:eastAsia="ja-JP"/>
              </w:rPr>
              <w:t>9.4%</w:t>
            </w:r>
          </w:p>
        </w:tc>
        <w:tc>
          <w:tcPr>
            <w:tcW w:w="1361" w:type="dxa"/>
          </w:tcPr>
          <w:p w14:paraId="1D67ABCD" w14:textId="77777777" w:rsidR="0029157E" w:rsidRPr="007A3600" w:rsidRDefault="0029157E" w:rsidP="00AD3197">
            <w:pPr>
              <w:jc w:val="right"/>
              <w:rPr>
                <w:lang w:eastAsia="ja-JP"/>
              </w:rPr>
            </w:pPr>
            <w:r w:rsidRPr="007A3600">
              <w:rPr>
                <w:lang w:eastAsia="ja-JP"/>
              </w:rPr>
              <w:t>47.2%</w:t>
            </w:r>
          </w:p>
        </w:tc>
      </w:tr>
      <w:tr w:rsidR="00033CA8" w:rsidRPr="007A3600" w14:paraId="27665331" w14:textId="77777777" w:rsidTr="005845E2">
        <w:trPr>
          <w:trHeight w:val="300"/>
        </w:trPr>
        <w:tc>
          <w:tcPr>
            <w:tcW w:w="679" w:type="dxa"/>
            <w:hideMark/>
          </w:tcPr>
          <w:p w14:paraId="2043E08A" w14:textId="31225B08" w:rsidR="0029157E" w:rsidRPr="007A3600" w:rsidRDefault="0029157E" w:rsidP="00AD3197">
            <w:pPr>
              <w:rPr>
                <w:lang w:eastAsia="ja-JP"/>
              </w:rPr>
            </w:pPr>
            <w:r w:rsidRPr="007A3600">
              <w:rPr>
                <w:lang w:eastAsia="ja-JP"/>
              </w:rPr>
              <w:t>4</w:t>
            </w:r>
          </w:p>
        </w:tc>
        <w:tc>
          <w:tcPr>
            <w:tcW w:w="1757" w:type="dxa"/>
          </w:tcPr>
          <w:p w14:paraId="6709C6DA" w14:textId="77777777" w:rsidR="0029157E" w:rsidRPr="007A3600" w:rsidRDefault="0029157E" w:rsidP="00AD3197">
            <w:pPr>
              <w:rPr>
                <w:lang w:eastAsia="ja-JP"/>
              </w:rPr>
            </w:pPr>
            <w:r w:rsidRPr="007A3600">
              <w:rPr>
                <w:lang w:eastAsia="ja-JP"/>
              </w:rPr>
              <w:t>Access</w:t>
            </w:r>
          </w:p>
        </w:tc>
        <w:tc>
          <w:tcPr>
            <w:tcW w:w="4139" w:type="dxa"/>
            <w:hideMark/>
          </w:tcPr>
          <w:p w14:paraId="7D1E864A" w14:textId="15D08E41" w:rsidR="0029157E" w:rsidRPr="007A3600" w:rsidRDefault="0029157E" w:rsidP="00AD3197">
            <w:pPr>
              <w:rPr>
                <w:lang w:eastAsia="ja-JP"/>
              </w:rPr>
            </w:pPr>
            <w:r w:rsidRPr="007A3600">
              <w:rPr>
                <w:lang w:eastAsia="ja-JP"/>
              </w:rPr>
              <w:t>Make an access decision, or request for additional information, after more information has been provided</w:t>
            </w:r>
          </w:p>
        </w:tc>
        <w:tc>
          <w:tcPr>
            <w:tcW w:w="1247" w:type="dxa"/>
            <w:hideMark/>
          </w:tcPr>
          <w:p w14:paraId="1712B0B5" w14:textId="5694FD5B" w:rsidR="0029157E" w:rsidRPr="007A3600" w:rsidRDefault="0029157E" w:rsidP="00AD3197">
            <w:pPr>
              <w:rPr>
                <w:lang w:eastAsia="ja-JP"/>
              </w:rPr>
            </w:pPr>
            <w:r w:rsidRPr="007A3600">
              <w:rPr>
                <w:lang w:eastAsia="ja-JP"/>
              </w:rPr>
              <w:t>14 days</w:t>
            </w:r>
          </w:p>
        </w:tc>
        <w:tc>
          <w:tcPr>
            <w:tcW w:w="1361" w:type="dxa"/>
          </w:tcPr>
          <w:p w14:paraId="4311D1EA" w14:textId="77777777" w:rsidR="0029157E" w:rsidRPr="007A3600" w:rsidRDefault="0029157E" w:rsidP="00AD3197">
            <w:pPr>
              <w:jc w:val="right"/>
              <w:rPr>
                <w:lang w:eastAsia="ja-JP"/>
              </w:rPr>
            </w:pPr>
            <w:r w:rsidRPr="007A3600">
              <w:rPr>
                <w:lang w:eastAsia="ja-JP"/>
              </w:rPr>
              <w:t>26.0%</w:t>
            </w:r>
          </w:p>
        </w:tc>
        <w:tc>
          <w:tcPr>
            <w:tcW w:w="1361" w:type="dxa"/>
          </w:tcPr>
          <w:p w14:paraId="1DAEE6C3" w14:textId="77777777" w:rsidR="0029157E" w:rsidRPr="007A3600" w:rsidRDefault="0029157E" w:rsidP="00AD3197">
            <w:pPr>
              <w:jc w:val="right"/>
              <w:rPr>
                <w:lang w:eastAsia="ja-JP"/>
              </w:rPr>
            </w:pPr>
            <w:r w:rsidRPr="007A3600">
              <w:rPr>
                <w:lang w:eastAsia="ja-JP"/>
              </w:rPr>
              <w:t>25.8%</w:t>
            </w:r>
          </w:p>
        </w:tc>
        <w:tc>
          <w:tcPr>
            <w:tcW w:w="1361" w:type="dxa"/>
          </w:tcPr>
          <w:p w14:paraId="59D777C4" w14:textId="77777777" w:rsidR="0029157E" w:rsidRPr="007A3600" w:rsidRDefault="0029157E" w:rsidP="00AD3197">
            <w:pPr>
              <w:jc w:val="right"/>
              <w:rPr>
                <w:lang w:eastAsia="ja-JP"/>
              </w:rPr>
            </w:pPr>
            <w:r w:rsidRPr="007A3600">
              <w:rPr>
                <w:lang w:eastAsia="ja-JP"/>
              </w:rPr>
              <w:t>13.3%</w:t>
            </w:r>
          </w:p>
        </w:tc>
        <w:tc>
          <w:tcPr>
            <w:tcW w:w="1361" w:type="dxa"/>
          </w:tcPr>
          <w:p w14:paraId="3A1A8B7F" w14:textId="77777777" w:rsidR="0029157E" w:rsidRPr="007A3600" w:rsidRDefault="0029157E" w:rsidP="00AD3197">
            <w:pPr>
              <w:jc w:val="right"/>
              <w:rPr>
                <w:lang w:eastAsia="ja-JP"/>
              </w:rPr>
            </w:pPr>
            <w:r w:rsidRPr="007A3600">
              <w:rPr>
                <w:lang w:eastAsia="ja-JP"/>
              </w:rPr>
              <w:t>45.9%</w:t>
            </w:r>
          </w:p>
        </w:tc>
      </w:tr>
      <w:tr w:rsidR="00B407C5" w:rsidRPr="007A3600" w14:paraId="7EF32744" w14:textId="77777777" w:rsidTr="005845E2">
        <w:trPr>
          <w:cnfStyle w:val="000000100000" w:firstRow="0" w:lastRow="0" w:firstColumn="0" w:lastColumn="0" w:oddVBand="0" w:evenVBand="0" w:oddHBand="1" w:evenHBand="0" w:firstRowFirstColumn="0" w:firstRowLastColumn="0" w:lastRowFirstColumn="0" w:lastRowLastColumn="0"/>
          <w:trHeight w:val="300"/>
        </w:trPr>
        <w:tc>
          <w:tcPr>
            <w:tcW w:w="679" w:type="dxa"/>
          </w:tcPr>
          <w:p w14:paraId="1B92404A" w14:textId="0AC9B676" w:rsidR="0029157E" w:rsidRPr="007A3600" w:rsidRDefault="0029157E" w:rsidP="00AD3197">
            <w:pPr>
              <w:rPr>
                <w:lang w:eastAsia="ja-JP"/>
              </w:rPr>
            </w:pPr>
            <w:r w:rsidRPr="007A3600">
              <w:rPr>
                <w:lang w:eastAsia="ja-JP"/>
              </w:rPr>
              <w:t>6</w:t>
            </w:r>
          </w:p>
        </w:tc>
        <w:tc>
          <w:tcPr>
            <w:tcW w:w="1757" w:type="dxa"/>
          </w:tcPr>
          <w:p w14:paraId="54B92748" w14:textId="77777777" w:rsidR="0029157E" w:rsidRPr="007A3600" w:rsidRDefault="0029157E" w:rsidP="00AD3197">
            <w:pPr>
              <w:rPr>
                <w:lang w:eastAsia="ja-JP"/>
              </w:rPr>
            </w:pPr>
            <w:r w:rsidRPr="007A3600">
              <w:rPr>
                <w:lang w:eastAsia="ja-JP"/>
              </w:rPr>
              <w:t>Planning</w:t>
            </w:r>
          </w:p>
        </w:tc>
        <w:tc>
          <w:tcPr>
            <w:tcW w:w="4139" w:type="dxa"/>
          </w:tcPr>
          <w:p w14:paraId="5E24CB2C" w14:textId="77777777" w:rsidR="0029157E" w:rsidRPr="007A3600" w:rsidRDefault="0029157E" w:rsidP="00AD3197">
            <w:pPr>
              <w:rPr>
                <w:lang w:eastAsia="ja-JP"/>
              </w:rPr>
            </w:pPr>
            <w:r w:rsidRPr="007A3600">
              <w:rPr>
                <w:lang w:eastAsia="ja-JP"/>
              </w:rPr>
              <w:t>Approve a participant's plan, after an access decision has been made (excludes those ECEI that have received initial supports)</w:t>
            </w:r>
          </w:p>
        </w:tc>
        <w:tc>
          <w:tcPr>
            <w:tcW w:w="1247" w:type="dxa"/>
          </w:tcPr>
          <w:p w14:paraId="449344E7" w14:textId="268D86FB" w:rsidR="0029157E" w:rsidRPr="007A3600" w:rsidRDefault="0029157E" w:rsidP="00AD3197">
            <w:pPr>
              <w:rPr>
                <w:lang w:eastAsia="ja-JP"/>
              </w:rPr>
            </w:pPr>
            <w:r w:rsidRPr="007A3600">
              <w:rPr>
                <w:lang w:eastAsia="ja-JP"/>
              </w:rPr>
              <w:t>56 days</w:t>
            </w:r>
          </w:p>
        </w:tc>
        <w:tc>
          <w:tcPr>
            <w:tcW w:w="1361" w:type="dxa"/>
          </w:tcPr>
          <w:p w14:paraId="60C73DAA" w14:textId="77777777" w:rsidR="0029157E" w:rsidRPr="007A3600" w:rsidRDefault="0029157E" w:rsidP="00AD3197">
            <w:pPr>
              <w:jc w:val="right"/>
              <w:rPr>
                <w:lang w:eastAsia="ja-JP"/>
              </w:rPr>
            </w:pPr>
            <w:r w:rsidRPr="007A3600">
              <w:rPr>
                <w:lang w:eastAsia="ja-JP"/>
              </w:rPr>
              <w:t>48.9%</w:t>
            </w:r>
          </w:p>
        </w:tc>
        <w:tc>
          <w:tcPr>
            <w:tcW w:w="1361" w:type="dxa"/>
          </w:tcPr>
          <w:p w14:paraId="5695843D" w14:textId="77777777" w:rsidR="0029157E" w:rsidRPr="007A3600" w:rsidRDefault="0029157E" w:rsidP="00AD3197">
            <w:pPr>
              <w:jc w:val="right"/>
              <w:rPr>
                <w:lang w:eastAsia="ja-JP"/>
              </w:rPr>
            </w:pPr>
            <w:r w:rsidRPr="007A3600">
              <w:rPr>
                <w:lang w:eastAsia="ja-JP"/>
              </w:rPr>
              <w:t>80.8%</w:t>
            </w:r>
          </w:p>
        </w:tc>
        <w:tc>
          <w:tcPr>
            <w:tcW w:w="1361" w:type="dxa"/>
          </w:tcPr>
          <w:p w14:paraId="40FEFE10" w14:textId="77777777" w:rsidR="0029157E" w:rsidRPr="007A3600" w:rsidRDefault="0029157E" w:rsidP="00AD3197">
            <w:pPr>
              <w:jc w:val="right"/>
              <w:rPr>
                <w:lang w:eastAsia="ja-JP"/>
              </w:rPr>
            </w:pPr>
            <w:r w:rsidRPr="007A3600">
              <w:rPr>
                <w:lang w:eastAsia="ja-JP"/>
              </w:rPr>
              <w:t>86.1%</w:t>
            </w:r>
          </w:p>
        </w:tc>
        <w:tc>
          <w:tcPr>
            <w:tcW w:w="1361" w:type="dxa"/>
          </w:tcPr>
          <w:p w14:paraId="116586DB" w14:textId="77777777" w:rsidR="0029157E" w:rsidRPr="007A3600" w:rsidRDefault="0029157E" w:rsidP="00AD3197">
            <w:pPr>
              <w:jc w:val="right"/>
              <w:rPr>
                <w:lang w:eastAsia="ja-JP"/>
              </w:rPr>
            </w:pPr>
            <w:r w:rsidRPr="007A3600">
              <w:rPr>
                <w:lang w:eastAsia="ja-JP"/>
              </w:rPr>
              <w:t>93.9%</w:t>
            </w:r>
          </w:p>
        </w:tc>
      </w:tr>
      <w:tr w:rsidR="00033CA8" w:rsidRPr="007A3600" w14:paraId="5791DE5A" w14:textId="77777777" w:rsidTr="005845E2">
        <w:trPr>
          <w:trHeight w:val="300"/>
        </w:trPr>
        <w:tc>
          <w:tcPr>
            <w:tcW w:w="679" w:type="dxa"/>
            <w:hideMark/>
          </w:tcPr>
          <w:p w14:paraId="5136663F" w14:textId="48E11950" w:rsidR="0029157E" w:rsidRPr="007A3600" w:rsidRDefault="0029157E" w:rsidP="00AD3197">
            <w:pPr>
              <w:rPr>
                <w:lang w:eastAsia="ja-JP"/>
              </w:rPr>
            </w:pPr>
            <w:r w:rsidRPr="007A3600">
              <w:rPr>
                <w:lang w:eastAsia="ja-JP"/>
              </w:rPr>
              <w:t>7</w:t>
            </w:r>
          </w:p>
        </w:tc>
        <w:tc>
          <w:tcPr>
            <w:tcW w:w="1757" w:type="dxa"/>
          </w:tcPr>
          <w:p w14:paraId="2EFD532F" w14:textId="77777777" w:rsidR="0029157E" w:rsidRPr="007A3600" w:rsidRDefault="0029157E" w:rsidP="00AD3197">
            <w:pPr>
              <w:rPr>
                <w:lang w:eastAsia="ja-JP"/>
              </w:rPr>
            </w:pPr>
            <w:r w:rsidRPr="007A3600">
              <w:rPr>
                <w:lang w:eastAsia="ja-JP"/>
              </w:rPr>
              <w:t>Planning</w:t>
            </w:r>
          </w:p>
        </w:tc>
        <w:tc>
          <w:tcPr>
            <w:tcW w:w="4139" w:type="dxa"/>
            <w:hideMark/>
          </w:tcPr>
          <w:p w14:paraId="476CF2D0" w14:textId="77777777" w:rsidR="0029157E" w:rsidRPr="007A3600" w:rsidRDefault="0029157E" w:rsidP="00AD3197">
            <w:pPr>
              <w:rPr>
                <w:lang w:eastAsia="ja-JP"/>
              </w:rPr>
            </w:pPr>
            <w:r w:rsidRPr="007A3600">
              <w:rPr>
                <w:lang w:eastAsia="ja-JP"/>
              </w:rPr>
              <w:t>Approve a plan for ECEI participants, after an access decision has been made</w:t>
            </w:r>
          </w:p>
        </w:tc>
        <w:tc>
          <w:tcPr>
            <w:tcW w:w="1247" w:type="dxa"/>
            <w:hideMark/>
          </w:tcPr>
          <w:p w14:paraId="39ABED01" w14:textId="62DB56B2" w:rsidR="0029157E" w:rsidRPr="007A3600" w:rsidRDefault="0029157E" w:rsidP="00AD3197">
            <w:pPr>
              <w:rPr>
                <w:lang w:eastAsia="ja-JP"/>
              </w:rPr>
            </w:pPr>
            <w:r w:rsidRPr="007A3600">
              <w:rPr>
                <w:lang w:eastAsia="ja-JP"/>
              </w:rPr>
              <w:t>56 days</w:t>
            </w:r>
          </w:p>
        </w:tc>
        <w:tc>
          <w:tcPr>
            <w:tcW w:w="1361" w:type="dxa"/>
          </w:tcPr>
          <w:p w14:paraId="13B0183B" w14:textId="77777777" w:rsidR="0029157E" w:rsidRPr="007A3600" w:rsidRDefault="0029157E" w:rsidP="00AD3197">
            <w:pPr>
              <w:jc w:val="right"/>
              <w:rPr>
                <w:lang w:eastAsia="ja-JP"/>
              </w:rPr>
            </w:pPr>
            <w:r w:rsidRPr="007A3600">
              <w:rPr>
                <w:lang w:eastAsia="ja-JP"/>
              </w:rPr>
              <w:t>98.2%</w:t>
            </w:r>
          </w:p>
        </w:tc>
        <w:tc>
          <w:tcPr>
            <w:tcW w:w="1361" w:type="dxa"/>
          </w:tcPr>
          <w:p w14:paraId="659E533E" w14:textId="77777777" w:rsidR="0029157E" w:rsidRPr="007A3600" w:rsidRDefault="0029157E" w:rsidP="00AD3197">
            <w:pPr>
              <w:jc w:val="right"/>
              <w:rPr>
                <w:lang w:eastAsia="ja-JP"/>
              </w:rPr>
            </w:pPr>
            <w:r w:rsidRPr="007A3600">
              <w:rPr>
                <w:lang w:eastAsia="ja-JP"/>
              </w:rPr>
              <w:t>99.5%</w:t>
            </w:r>
          </w:p>
        </w:tc>
        <w:tc>
          <w:tcPr>
            <w:tcW w:w="1361" w:type="dxa"/>
          </w:tcPr>
          <w:p w14:paraId="05EC5A21" w14:textId="77777777" w:rsidR="0029157E" w:rsidRPr="007A3600" w:rsidRDefault="0029157E" w:rsidP="00AD3197">
            <w:pPr>
              <w:jc w:val="right"/>
              <w:rPr>
                <w:lang w:eastAsia="ja-JP"/>
              </w:rPr>
            </w:pPr>
            <w:r w:rsidRPr="007A3600">
              <w:rPr>
                <w:lang w:eastAsia="ja-JP"/>
              </w:rPr>
              <w:t>99.5%</w:t>
            </w:r>
          </w:p>
        </w:tc>
        <w:tc>
          <w:tcPr>
            <w:tcW w:w="1361" w:type="dxa"/>
          </w:tcPr>
          <w:p w14:paraId="574A46FB" w14:textId="77777777" w:rsidR="0029157E" w:rsidRPr="007A3600" w:rsidRDefault="0029157E" w:rsidP="00AD3197">
            <w:pPr>
              <w:jc w:val="right"/>
              <w:rPr>
                <w:lang w:eastAsia="ja-JP"/>
              </w:rPr>
            </w:pPr>
            <w:r w:rsidRPr="007A3600">
              <w:rPr>
                <w:lang w:eastAsia="ja-JP"/>
              </w:rPr>
              <w:t>99.5%</w:t>
            </w:r>
          </w:p>
        </w:tc>
      </w:tr>
      <w:tr w:rsidR="00B407C5" w:rsidRPr="007A3600" w14:paraId="59B5BC91" w14:textId="77777777" w:rsidTr="005845E2">
        <w:trPr>
          <w:cnfStyle w:val="000000100000" w:firstRow="0" w:lastRow="0" w:firstColumn="0" w:lastColumn="0" w:oddVBand="0" w:evenVBand="0" w:oddHBand="1" w:evenHBand="0" w:firstRowFirstColumn="0" w:firstRowLastColumn="0" w:lastRowFirstColumn="0" w:lastRowLastColumn="0"/>
          <w:trHeight w:val="300"/>
        </w:trPr>
        <w:tc>
          <w:tcPr>
            <w:tcW w:w="679" w:type="dxa"/>
            <w:hideMark/>
          </w:tcPr>
          <w:p w14:paraId="120C145D" w14:textId="4A923CFD" w:rsidR="0029157E" w:rsidRPr="007A3600" w:rsidRDefault="0029157E" w:rsidP="00AD3197">
            <w:pPr>
              <w:rPr>
                <w:lang w:eastAsia="ja-JP"/>
              </w:rPr>
            </w:pPr>
            <w:r w:rsidRPr="007A3600">
              <w:rPr>
                <w:lang w:eastAsia="ja-JP"/>
              </w:rPr>
              <w:t>8</w:t>
            </w:r>
          </w:p>
        </w:tc>
        <w:tc>
          <w:tcPr>
            <w:tcW w:w="1757" w:type="dxa"/>
          </w:tcPr>
          <w:p w14:paraId="7475FC50" w14:textId="77777777" w:rsidR="0029157E" w:rsidRPr="007A3600" w:rsidRDefault="0029157E" w:rsidP="00AD3197">
            <w:pPr>
              <w:rPr>
                <w:lang w:eastAsia="ja-JP"/>
              </w:rPr>
            </w:pPr>
            <w:r w:rsidRPr="007A3600">
              <w:rPr>
                <w:lang w:eastAsia="ja-JP"/>
              </w:rPr>
              <w:t>Implementation</w:t>
            </w:r>
          </w:p>
        </w:tc>
        <w:tc>
          <w:tcPr>
            <w:tcW w:w="4139" w:type="dxa"/>
            <w:hideMark/>
          </w:tcPr>
          <w:p w14:paraId="6D5D82AB" w14:textId="03537199" w:rsidR="0029157E" w:rsidRPr="007A3600" w:rsidRDefault="0029157E" w:rsidP="00AD3197">
            <w:pPr>
              <w:rPr>
                <w:lang w:eastAsia="ja-JP"/>
              </w:rPr>
            </w:pPr>
            <w:r w:rsidRPr="007A3600">
              <w:rPr>
                <w:lang w:eastAsia="ja-JP"/>
              </w:rPr>
              <w:t>Offer to hold a plan implementation meeting, after the plan is approved</w:t>
            </w:r>
          </w:p>
        </w:tc>
        <w:tc>
          <w:tcPr>
            <w:tcW w:w="1247" w:type="dxa"/>
            <w:hideMark/>
          </w:tcPr>
          <w:p w14:paraId="376AD2D5" w14:textId="23B211A0" w:rsidR="0029157E" w:rsidRPr="007A3600" w:rsidRDefault="0029157E" w:rsidP="00AD3197">
            <w:pPr>
              <w:rPr>
                <w:lang w:eastAsia="ja-JP"/>
              </w:rPr>
            </w:pPr>
            <w:r w:rsidRPr="007A3600">
              <w:rPr>
                <w:lang w:eastAsia="ja-JP"/>
              </w:rPr>
              <w:t>7 days</w:t>
            </w:r>
          </w:p>
        </w:tc>
        <w:tc>
          <w:tcPr>
            <w:tcW w:w="1361" w:type="dxa"/>
          </w:tcPr>
          <w:p w14:paraId="182700D6" w14:textId="77777777" w:rsidR="0029157E" w:rsidRPr="007A3600" w:rsidRDefault="0029157E" w:rsidP="00AD3197">
            <w:pPr>
              <w:jc w:val="right"/>
              <w:rPr>
                <w:lang w:eastAsia="ja-JP"/>
              </w:rPr>
            </w:pPr>
            <w:r w:rsidRPr="007A3600">
              <w:rPr>
                <w:lang w:eastAsia="ja-JP"/>
              </w:rPr>
              <w:t>82.8%</w:t>
            </w:r>
          </w:p>
        </w:tc>
        <w:tc>
          <w:tcPr>
            <w:tcW w:w="1361" w:type="dxa"/>
          </w:tcPr>
          <w:p w14:paraId="2B57C1D9" w14:textId="77777777" w:rsidR="0029157E" w:rsidRPr="007A3600" w:rsidRDefault="0029157E" w:rsidP="00AD3197">
            <w:pPr>
              <w:jc w:val="right"/>
              <w:rPr>
                <w:lang w:eastAsia="ja-JP"/>
              </w:rPr>
            </w:pPr>
            <w:r w:rsidRPr="007A3600">
              <w:rPr>
                <w:lang w:eastAsia="ja-JP"/>
              </w:rPr>
              <w:t>82.8%</w:t>
            </w:r>
          </w:p>
        </w:tc>
        <w:tc>
          <w:tcPr>
            <w:tcW w:w="1361" w:type="dxa"/>
          </w:tcPr>
          <w:p w14:paraId="60B46CD5" w14:textId="77777777" w:rsidR="0029157E" w:rsidRPr="007A3600" w:rsidRDefault="0029157E" w:rsidP="00AD3197">
            <w:pPr>
              <w:jc w:val="right"/>
              <w:rPr>
                <w:lang w:eastAsia="ja-JP"/>
              </w:rPr>
            </w:pPr>
            <w:r w:rsidRPr="007A3600">
              <w:rPr>
                <w:lang w:eastAsia="ja-JP"/>
              </w:rPr>
              <w:t>83.5%</w:t>
            </w:r>
          </w:p>
        </w:tc>
        <w:tc>
          <w:tcPr>
            <w:tcW w:w="1361" w:type="dxa"/>
          </w:tcPr>
          <w:p w14:paraId="04C020C4" w14:textId="77777777" w:rsidR="0029157E" w:rsidRPr="007A3600" w:rsidRDefault="0029157E" w:rsidP="00AD3197">
            <w:pPr>
              <w:jc w:val="right"/>
              <w:rPr>
                <w:lang w:eastAsia="ja-JP"/>
              </w:rPr>
            </w:pPr>
            <w:r w:rsidRPr="007A3600">
              <w:rPr>
                <w:lang w:eastAsia="ja-JP"/>
              </w:rPr>
              <w:t>83.1%</w:t>
            </w:r>
          </w:p>
        </w:tc>
      </w:tr>
      <w:tr w:rsidR="00033CA8" w:rsidRPr="007A3600" w14:paraId="493D6965" w14:textId="77777777" w:rsidTr="005845E2">
        <w:trPr>
          <w:trHeight w:val="300"/>
        </w:trPr>
        <w:tc>
          <w:tcPr>
            <w:tcW w:w="679" w:type="dxa"/>
            <w:hideMark/>
          </w:tcPr>
          <w:p w14:paraId="2C0FFDD0" w14:textId="63DE3657" w:rsidR="0029157E" w:rsidRPr="007A3600" w:rsidRDefault="0029157E" w:rsidP="00AD3197">
            <w:pPr>
              <w:rPr>
                <w:lang w:eastAsia="ja-JP"/>
              </w:rPr>
            </w:pPr>
            <w:r w:rsidRPr="007A3600">
              <w:rPr>
                <w:lang w:eastAsia="ja-JP"/>
              </w:rPr>
              <w:t>11</w:t>
            </w:r>
          </w:p>
        </w:tc>
        <w:tc>
          <w:tcPr>
            <w:tcW w:w="1757" w:type="dxa"/>
          </w:tcPr>
          <w:p w14:paraId="7C88E70E" w14:textId="77777777" w:rsidR="0029157E" w:rsidRPr="007A3600" w:rsidRDefault="0029157E" w:rsidP="00AD3197">
            <w:pPr>
              <w:rPr>
                <w:lang w:eastAsia="ja-JP"/>
              </w:rPr>
            </w:pPr>
            <w:r w:rsidRPr="007A3600">
              <w:rPr>
                <w:lang w:eastAsia="ja-JP"/>
              </w:rPr>
              <w:t>Plan reassessment</w:t>
            </w:r>
          </w:p>
        </w:tc>
        <w:tc>
          <w:tcPr>
            <w:tcW w:w="4139" w:type="dxa"/>
            <w:hideMark/>
          </w:tcPr>
          <w:p w14:paraId="2B1503C4" w14:textId="0E09A426" w:rsidR="0029157E" w:rsidRPr="007A3600" w:rsidRDefault="0029157E" w:rsidP="00AD3197">
            <w:pPr>
              <w:rPr>
                <w:lang w:eastAsia="ja-JP"/>
              </w:rPr>
            </w:pPr>
            <w:r w:rsidRPr="007A3600">
              <w:rPr>
                <w:lang w:eastAsia="ja-JP"/>
              </w:rPr>
              <w:t xml:space="preserve">Commence facilitating a scheduled plan </w:t>
            </w:r>
            <w:r w:rsidR="001248D0">
              <w:rPr>
                <w:lang w:eastAsia="ja-JP"/>
              </w:rPr>
              <w:t>r</w:t>
            </w:r>
            <w:r w:rsidRPr="007A3600">
              <w:rPr>
                <w:lang w:eastAsia="ja-JP"/>
              </w:rPr>
              <w:t>eassessment, prior to the scheduled reassessment date</w:t>
            </w:r>
          </w:p>
        </w:tc>
        <w:tc>
          <w:tcPr>
            <w:tcW w:w="1247" w:type="dxa"/>
            <w:hideMark/>
          </w:tcPr>
          <w:p w14:paraId="603E3D75" w14:textId="2FB2D2C4" w:rsidR="0029157E" w:rsidRPr="007A3600" w:rsidRDefault="0029157E" w:rsidP="00AD3197">
            <w:pPr>
              <w:rPr>
                <w:lang w:eastAsia="ja-JP"/>
              </w:rPr>
            </w:pPr>
            <w:r w:rsidRPr="007A3600">
              <w:rPr>
                <w:lang w:eastAsia="ja-JP"/>
              </w:rPr>
              <w:t>56 days</w:t>
            </w:r>
          </w:p>
        </w:tc>
        <w:tc>
          <w:tcPr>
            <w:tcW w:w="1361" w:type="dxa"/>
          </w:tcPr>
          <w:p w14:paraId="4EC8A7BD" w14:textId="77777777" w:rsidR="0029157E" w:rsidRPr="007A3600" w:rsidRDefault="0029157E" w:rsidP="00AD3197">
            <w:pPr>
              <w:jc w:val="right"/>
              <w:rPr>
                <w:lang w:eastAsia="ja-JP"/>
              </w:rPr>
            </w:pPr>
            <w:r w:rsidRPr="007A3600">
              <w:rPr>
                <w:lang w:eastAsia="ja-JP"/>
              </w:rPr>
              <w:t>59.5%</w:t>
            </w:r>
          </w:p>
        </w:tc>
        <w:tc>
          <w:tcPr>
            <w:tcW w:w="1361" w:type="dxa"/>
          </w:tcPr>
          <w:p w14:paraId="02D7EFA1" w14:textId="77777777" w:rsidR="0029157E" w:rsidRPr="007A3600" w:rsidRDefault="0029157E" w:rsidP="00AD3197">
            <w:pPr>
              <w:jc w:val="right"/>
              <w:rPr>
                <w:lang w:eastAsia="ja-JP"/>
              </w:rPr>
            </w:pPr>
            <w:r w:rsidRPr="007A3600">
              <w:rPr>
                <w:lang w:eastAsia="ja-JP"/>
              </w:rPr>
              <w:t>50.6%</w:t>
            </w:r>
          </w:p>
        </w:tc>
        <w:tc>
          <w:tcPr>
            <w:tcW w:w="1361" w:type="dxa"/>
          </w:tcPr>
          <w:p w14:paraId="3110B188" w14:textId="77777777" w:rsidR="0029157E" w:rsidRPr="007A3600" w:rsidRDefault="0029157E" w:rsidP="00AD3197">
            <w:pPr>
              <w:jc w:val="right"/>
              <w:rPr>
                <w:lang w:eastAsia="ja-JP"/>
              </w:rPr>
            </w:pPr>
            <w:r w:rsidRPr="007A3600">
              <w:rPr>
                <w:lang w:eastAsia="ja-JP"/>
              </w:rPr>
              <w:t>64.4%</w:t>
            </w:r>
          </w:p>
        </w:tc>
        <w:tc>
          <w:tcPr>
            <w:tcW w:w="1361" w:type="dxa"/>
          </w:tcPr>
          <w:p w14:paraId="6877712B" w14:textId="77777777" w:rsidR="0029157E" w:rsidRPr="007A3600" w:rsidRDefault="0029157E" w:rsidP="00AD3197">
            <w:pPr>
              <w:jc w:val="right"/>
              <w:rPr>
                <w:lang w:eastAsia="ja-JP"/>
              </w:rPr>
            </w:pPr>
            <w:r w:rsidRPr="007A3600">
              <w:rPr>
                <w:lang w:eastAsia="ja-JP"/>
              </w:rPr>
              <w:t>62.4%</w:t>
            </w:r>
          </w:p>
        </w:tc>
      </w:tr>
      <w:tr w:rsidR="00B407C5" w:rsidRPr="007A3600" w14:paraId="713519BC" w14:textId="77777777" w:rsidTr="005845E2">
        <w:trPr>
          <w:cnfStyle w:val="000000100000" w:firstRow="0" w:lastRow="0" w:firstColumn="0" w:lastColumn="0" w:oddVBand="0" w:evenVBand="0" w:oddHBand="1" w:evenHBand="0" w:firstRowFirstColumn="0" w:firstRowLastColumn="0" w:lastRowFirstColumn="0" w:lastRowLastColumn="0"/>
          <w:trHeight w:val="300"/>
        </w:trPr>
        <w:tc>
          <w:tcPr>
            <w:tcW w:w="679" w:type="dxa"/>
            <w:hideMark/>
          </w:tcPr>
          <w:p w14:paraId="54011B4F" w14:textId="62DE7621" w:rsidR="0029157E" w:rsidRPr="007A3600" w:rsidRDefault="0029157E" w:rsidP="00AD3197">
            <w:pPr>
              <w:rPr>
                <w:lang w:eastAsia="ja-JP"/>
              </w:rPr>
            </w:pPr>
            <w:r w:rsidRPr="007A3600">
              <w:rPr>
                <w:lang w:eastAsia="ja-JP"/>
              </w:rPr>
              <w:lastRenderedPageBreak/>
              <w:t>12</w:t>
            </w:r>
          </w:p>
        </w:tc>
        <w:tc>
          <w:tcPr>
            <w:tcW w:w="1757" w:type="dxa"/>
          </w:tcPr>
          <w:p w14:paraId="49819AD0" w14:textId="77777777" w:rsidR="0029157E" w:rsidRPr="007A3600" w:rsidRDefault="0029157E" w:rsidP="00AD3197">
            <w:pPr>
              <w:rPr>
                <w:lang w:eastAsia="ja-JP"/>
              </w:rPr>
            </w:pPr>
            <w:r w:rsidRPr="007A3600">
              <w:rPr>
                <w:lang w:eastAsia="ja-JP"/>
              </w:rPr>
              <w:t>Plan reassessment</w:t>
            </w:r>
          </w:p>
        </w:tc>
        <w:tc>
          <w:tcPr>
            <w:tcW w:w="4139" w:type="dxa"/>
          </w:tcPr>
          <w:p w14:paraId="0C1CF3BC" w14:textId="77777777" w:rsidR="0029157E" w:rsidRPr="007A3600" w:rsidRDefault="0029157E" w:rsidP="00AD3197">
            <w:pPr>
              <w:rPr>
                <w:lang w:eastAsia="ja-JP"/>
              </w:rPr>
            </w:pPr>
            <w:r w:rsidRPr="007A3600">
              <w:rPr>
                <w:lang w:eastAsia="ja-JP"/>
              </w:rPr>
              <w:t>Decide whether to undertake a Participant Requested Plan Reassessment, after the request is received</w:t>
            </w:r>
          </w:p>
        </w:tc>
        <w:tc>
          <w:tcPr>
            <w:tcW w:w="1247" w:type="dxa"/>
          </w:tcPr>
          <w:p w14:paraId="4DBF226D" w14:textId="0ECF6B7E" w:rsidR="0029157E" w:rsidRPr="007A3600" w:rsidRDefault="0029157E" w:rsidP="00AD3197">
            <w:pPr>
              <w:rPr>
                <w:lang w:eastAsia="ja-JP"/>
              </w:rPr>
            </w:pPr>
            <w:r w:rsidRPr="007A3600">
              <w:rPr>
                <w:lang w:eastAsia="ja-JP"/>
              </w:rPr>
              <w:t>21 days</w:t>
            </w:r>
          </w:p>
        </w:tc>
        <w:tc>
          <w:tcPr>
            <w:tcW w:w="1361" w:type="dxa"/>
          </w:tcPr>
          <w:p w14:paraId="3898931A" w14:textId="77777777" w:rsidR="0029157E" w:rsidRPr="007A3600" w:rsidRDefault="0029157E" w:rsidP="00AD3197">
            <w:pPr>
              <w:jc w:val="right"/>
              <w:rPr>
                <w:lang w:eastAsia="ja-JP"/>
              </w:rPr>
            </w:pPr>
            <w:r w:rsidRPr="007A3600">
              <w:rPr>
                <w:lang w:eastAsia="ja-JP"/>
              </w:rPr>
              <w:t>29.3%</w:t>
            </w:r>
          </w:p>
        </w:tc>
        <w:tc>
          <w:tcPr>
            <w:tcW w:w="1361" w:type="dxa"/>
          </w:tcPr>
          <w:p w14:paraId="50502EAD" w14:textId="77777777" w:rsidR="0029157E" w:rsidRPr="007A3600" w:rsidRDefault="0029157E" w:rsidP="00AD3197">
            <w:pPr>
              <w:jc w:val="right"/>
              <w:rPr>
                <w:lang w:eastAsia="ja-JP"/>
              </w:rPr>
            </w:pPr>
            <w:r w:rsidRPr="007A3600">
              <w:rPr>
                <w:lang w:eastAsia="ja-JP"/>
              </w:rPr>
              <w:t>23.3%</w:t>
            </w:r>
          </w:p>
        </w:tc>
        <w:tc>
          <w:tcPr>
            <w:tcW w:w="1361" w:type="dxa"/>
          </w:tcPr>
          <w:p w14:paraId="2F1B81B5" w14:textId="77777777" w:rsidR="0029157E" w:rsidRPr="007A3600" w:rsidRDefault="0029157E" w:rsidP="00AD3197">
            <w:pPr>
              <w:jc w:val="right"/>
              <w:rPr>
                <w:lang w:eastAsia="ja-JP"/>
              </w:rPr>
            </w:pPr>
            <w:r w:rsidRPr="007A3600">
              <w:rPr>
                <w:lang w:eastAsia="ja-JP"/>
              </w:rPr>
              <w:t>22.1%</w:t>
            </w:r>
          </w:p>
        </w:tc>
        <w:tc>
          <w:tcPr>
            <w:tcW w:w="1361" w:type="dxa"/>
          </w:tcPr>
          <w:p w14:paraId="4D4BD4F2" w14:textId="77777777" w:rsidR="0029157E" w:rsidRPr="007A3600" w:rsidRDefault="0029157E" w:rsidP="00AD3197">
            <w:pPr>
              <w:jc w:val="right"/>
              <w:rPr>
                <w:lang w:eastAsia="ja-JP"/>
              </w:rPr>
            </w:pPr>
            <w:r w:rsidRPr="007A3600">
              <w:rPr>
                <w:lang w:eastAsia="ja-JP"/>
              </w:rPr>
              <w:t>26.3%</w:t>
            </w:r>
          </w:p>
        </w:tc>
      </w:tr>
      <w:tr w:rsidR="00033CA8" w:rsidRPr="007A3600" w14:paraId="0C569DF9" w14:textId="77777777" w:rsidTr="005845E2">
        <w:trPr>
          <w:trHeight w:val="300"/>
        </w:trPr>
        <w:tc>
          <w:tcPr>
            <w:tcW w:w="679" w:type="dxa"/>
            <w:hideMark/>
          </w:tcPr>
          <w:p w14:paraId="1D2928A0" w14:textId="00B1BF60" w:rsidR="0029157E" w:rsidRPr="007A3600" w:rsidRDefault="0029157E" w:rsidP="00AD3197">
            <w:pPr>
              <w:rPr>
                <w:lang w:eastAsia="ja-JP"/>
              </w:rPr>
            </w:pPr>
            <w:r w:rsidRPr="007A3600">
              <w:rPr>
                <w:lang w:eastAsia="ja-JP"/>
              </w:rPr>
              <w:t>13</w:t>
            </w:r>
          </w:p>
        </w:tc>
        <w:tc>
          <w:tcPr>
            <w:tcW w:w="1757" w:type="dxa"/>
          </w:tcPr>
          <w:p w14:paraId="4F08482F" w14:textId="77777777" w:rsidR="0029157E" w:rsidRPr="007A3600" w:rsidRDefault="0029157E" w:rsidP="00AD3197">
            <w:pPr>
              <w:rPr>
                <w:lang w:eastAsia="ja-JP"/>
              </w:rPr>
            </w:pPr>
            <w:r w:rsidRPr="007A3600">
              <w:rPr>
                <w:lang w:eastAsia="ja-JP"/>
              </w:rPr>
              <w:t>Plan reassessment</w:t>
            </w:r>
          </w:p>
        </w:tc>
        <w:tc>
          <w:tcPr>
            <w:tcW w:w="4139" w:type="dxa"/>
          </w:tcPr>
          <w:p w14:paraId="0BC6068C" w14:textId="77777777" w:rsidR="0029157E" w:rsidRPr="007A3600" w:rsidRDefault="0029157E" w:rsidP="00AD3197">
            <w:pPr>
              <w:rPr>
                <w:lang w:eastAsia="ja-JP"/>
              </w:rPr>
            </w:pPr>
            <w:r w:rsidRPr="007A3600">
              <w:rPr>
                <w:lang w:eastAsia="ja-JP"/>
              </w:rPr>
              <w:t>Complete a Participant Requested Reassessment, after the decision to accept the request was made</w:t>
            </w:r>
          </w:p>
        </w:tc>
        <w:tc>
          <w:tcPr>
            <w:tcW w:w="1247" w:type="dxa"/>
          </w:tcPr>
          <w:p w14:paraId="46F5E9AC" w14:textId="6B1C9E87" w:rsidR="0029157E" w:rsidRPr="007A3600" w:rsidRDefault="0029157E" w:rsidP="00AD3197">
            <w:pPr>
              <w:rPr>
                <w:lang w:eastAsia="ja-JP"/>
              </w:rPr>
            </w:pPr>
            <w:r w:rsidRPr="007A3600">
              <w:rPr>
                <w:lang w:eastAsia="ja-JP"/>
              </w:rPr>
              <w:t>28 days</w:t>
            </w:r>
          </w:p>
        </w:tc>
        <w:tc>
          <w:tcPr>
            <w:tcW w:w="1361" w:type="dxa"/>
          </w:tcPr>
          <w:p w14:paraId="631249E4" w14:textId="77777777" w:rsidR="0029157E" w:rsidRPr="007A3600" w:rsidRDefault="0029157E" w:rsidP="00AD3197">
            <w:pPr>
              <w:jc w:val="right"/>
              <w:rPr>
                <w:lang w:eastAsia="ja-JP"/>
              </w:rPr>
            </w:pPr>
            <w:r w:rsidRPr="007A3600">
              <w:rPr>
                <w:lang w:eastAsia="ja-JP"/>
              </w:rPr>
              <w:t>89.2%</w:t>
            </w:r>
          </w:p>
        </w:tc>
        <w:tc>
          <w:tcPr>
            <w:tcW w:w="1361" w:type="dxa"/>
          </w:tcPr>
          <w:p w14:paraId="4FA9AAEF" w14:textId="77777777" w:rsidR="0029157E" w:rsidRPr="007A3600" w:rsidRDefault="0029157E" w:rsidP="00AD3197">
            <w:pPr>
              <w:jc w:val="right"/>
              <w:rPr>
                <w:lang w:eastAsia="ja-JP"/>
              </w:rPr>
            </w:pPr>
            <w:r w:rsidRPr="007A3600">
              <w:rPr>
                <w:lang w:eastAsia="ja-JP"/>
              </w:rPr>
              <w:t>90.0%</w:t>
            </w:r>
          </w:p>
        </w:tc>
        <w:tc>
          <w:tcPr>
            <w:tcW w:w="1361" w:type="dxa"/>
          </w:tcPr>
          <w:p w14:paraId="3B0F7D5F" w14:textId="77777777" w:rsidR="0029157E" w:rsidRPr="007A3600" w:rsidRDefault="0029157E" w:rsidP="00AD3197">
            <w:pPr>
              <w:jc w:val="right"/>
              <w:rPr>
                <w:lang w:eastAsia="ja-JP"/>
              </w:rPr>
            </w:pPr>
            <w:r w:rsidRPr="007A3600">
              <w:rPr>
                <w:lang w:eastAsia="ja-JP"/>
              </w:rPr>
              <w:t>83.9%</w:t>
            </w:r>
          </w:p>
        </w:tc>
        <w:tc>
          <w:tcPr>
            <w:tcW w:w="1361" w:type="dxa"/>
          </w:tcPr>
          <w:p w14:paraId="5C498A97" w14:textId="77777777" w:rsidR="0029157E" w:rsidRPr="007A3600" w:rsidRDefault="0029157E" w:rsidP="00AD3197">
            <w:pPr>
              <w:jc w:val="right"/>
              <w:rPr>
                <w:lang w:eastAsia="ja-JP"/>
              </w:rPr>
            </w:pPr>
            <w:r w:rsidRPr="007A3600">
              <w:rPr>
                <w:lang w:eastAsia="ja-JP"/>
              </w:rPr>
              <w:t>81.1%</w:t>
            </w:r>
          </w:p>
        </w:tc>
      </w:tr>
      <w:tr w:rsidR="00B407C5" w:rsidRPr="007A3600" w14:paraId="699C4AB7" w14:textId="77777777" w:rsidTr="005845E2">
        <w:trPr>
          <w:cnfStyle w:val="000000100000" w:firstRow="0" w:lastRow="0" w:firstColumn="0" w:lastColumn="0" w:oddVBand="0" w:evenVBand="0" w:oddHBand="1" w:evenHBand="0" w:firstRowFirstColumn="0" w:firstRowLastColumn="0" w:lastRowFirstColumn="0" w:lastRowLastColumn="0"/>
          <w:trHeight w:val="300"/>
        </w:trPr>
        <w:tc>
          <w:tcPr>
            <w:tcW w:w="679" w:type="dxa"/>
            <w:hideMark/>
          </w:tcPr>
          <w:p w14:paraId="71F70822" w14:textId="1C51CE3D" w:rsidR="0029157E" w:rsidRPr="007A3600" w:rsidRDefault="0029157E" w:rsidP="00AD3197">
            <w:pPr>
              <w:rPr>
                <w:lang w:eastAsia="ja-JP"/>
              </w:rPr>
            </w:pPr>
            <w:r w:rsidRPr="007A3600">
              <w:rPr>
                <w:lang w:eastAsia="ja-JP"/>
              </w:rPr>
              <w:t>14</w:t>
            </w:r>
          </w:p>
        </w:tc>
        <w:tc>
          <w:tcPr>
            <w:tcW w:w="1757" w:type="dxa"/>
          </w:tcPr>
          <w:p w14:paraId="2D0006C6" w14:textId="77777777" w:rsidR="0029157E" w:rsidRPr="007A3600" w:rsidRDefault="0029157E" w:rsidP="00AD3197">
            <w:pPr>
              <w:rPr>
                <w:lang w:eastAsia="ja-JP"/>
              </w:rPr>
            </w:pPr>
            <w:r w:rsidRPr="007A3600">
              <w:rPr>
                <w:lang w:eastAsia="ja-JP"/>
              </w:rPr>
              <w:t>Plan variations</w:t>
            </w:r>
          </w:p>
        </w:tc>
        <w:tc>
          <w:tcPr>
            <w:tcW w:w="4139" w:type="dxa"/>
            <w:hideMark/>
          </w:tcPr>
          <w:p w14:paraId="7510AEAC" w14:textId="77777777" w:rsidR="0029157E" w:rsidRPr="007A3600" w:rsidRDefault="0029157E" w:rsidP="00AD3197">
            <w:pPr>
              <w:rPr>
                <w:lang w:eastAsia="ja-JP"/>
              </w:rPr>
            </w:pPr>
            <w:r w:rsidRPr="007A3600">
              <w:rPr>
                <w:lang w:eastAsia="ja-JP"/>
              </w:rPr>
              <w:t>Amend a plan, after the receipt of information that triggers the plan amendment process</w:t>
            </w:r>
          </w:p>
        </w:tc>
        <w:tc>
          <w:tcPr>
            <w:tcW w:w="1247" w:type="dxa"/>
            <w:hideMark/>
          </w:tcPr>
          <w:p w14:paraId="1C09E709" w14:textId="18ED219A" w:rsidR="0029157E" w:rsidRPr="007A3600" w:rsidRDefault="0029157E" w:rsidP="00AD3197">
            <w:pPr>
              <w:rPr>
                <w:lang w:eastAsia="ja-JP"/>
              </w:rPr>
            </w:pPr>
            <w:r w:rsidRPr="007A3600">
              <w:rPr>
                <w:lang w:eastAsia="ja-JP"/>
              </w:rPr>
              <w:t>28 days</w:t>
            </w:r>
          </w:p>
        </w:tc>
        <w:tc>
          <w:tcPr>
            <w:tcW w:w="1361" w:type="dxa"/>
          </w:tcPr>
          <w:p w14:paraId="42F10322" w14:textId="77777777" w:rsidR="0029157E" w:rsidRPr="007A3600" w:rsidRDefault="0029157E" w:rsidP="00AD3197">
            <w:pPr>
              <w:jc w:val="right"/>
              <w:rPr>
                <w:lang w:eastAsia="ja-JP"/>
              </w:rPr>
            </w:pPr>
            <w:r w:rsidRPr="007A3600">
              <w:rPr>
                <w:lang w:eastAsia="ja-JP"/>
              </w:rPr>
              <w:t>51.7%</w:t>
            </w:r>
          </w:p>
        </w:tc>
        <w:tc>
          <w:tcPr>
            <w:tcW w:w="1361" w:type="dxa"/>
          </w:tcPr>
          <w:p w14:paraId="33121867" w14:textId="77777777" w:rsidR="0029157E" w:rsidRPr="007A3600" w:rsidRDefault="0029157E" w:rsidP="00AD3197">
            <w:pPr>
              <w:jc w:val="right"/>
              <w:rPr>
                <w:lang w:eastAsia="ja-JP"/>
              </w:rPr>
            </w:pPr>
            <w:r w:rsidRPr="007A3600">
              <w:rPr>
                <w:lang w:eastAsia="ja-JP"/>
              </w:rPr>
              <w:t>43.2%</w:t>
            </w:r>
          </w:p>
        </w:tc>
        <w:tc>
          <w:tcPr>
            <w:tcW w:w="1361" w:type="dxa"/>
          </w:tcPr>
          <w:p w14:paraId="583EF438" w14:textId="77777777" w:rsidR="0029157E" w:rsidRPr="007A3600" w:rsidRDefault="0029157E" w:rsidP="00AD3197">
            <w:pPr>
              <w:jc w:val="right"/>
              <w:rPr>
                <w:lang w:eastAsia="ja-JP"/>
              </w:rPr>
            </w:pPr>
            <w:r w:rsidRPr="007A3600">
              <w:rPr>
                <w:lang w:eastAsia="ja-JP"/>
              </w:rPr>
              <w:t>39.0%</w:t>
            </w:r>
          </w:p>
        </w:tc>
        <w:tc>
          <w:tcPr>
            <w:tcW w:w="1361" w:type="dxa"/>
          </w:tcPr>
          <w:p w14:paraId="022BE928" w14:textId="77777777" w:rsidR="0029157E" w:rsidRPr="007A3600" w:rsidRDefault="0029157E" w:rsidP="00AD3197">
            <w:pPr>
              <w:jc w:val="right"/>
              <w:rPr>
                <w:lang w:eastAsia="ja-JP"/>
              </w:rPr>
            </w:pPr>
            <w:r w:rsidRPr="007A3600">
              <w:rPr>
                <w:lang w:eastAsia="ja-JP"/>
              </w:rPr>
              <w:t>44.7%</w:t>
            </w:r>
          </w:p>
        </w:tc>
      </w:tr>
      <w:tr w:rsidR="00033CA8" w:rsidRPr="007A3600" w14:paraId="5717A4FC" w14:textId="77777777" w:rsidTr="005845E2">
        <w:trPr>
          <w:trHeight w:val="300"/>
        </w:trPr>
        <w:tc>
          <w:tcPr>
            <w:tcW w:w="679" w:type="dxa"/>
            <w:hideMark/>
          </w:tcPr>
          <w:p w14:paraId="2BEB4E9D" w14:textId="01B1C9D7" w:rsidR="0029157E" w:rsidRPr="007A3600" w:rsidRDefault="0029157E" w:rsidP="00AD3197">
            <w:pPr>
              <w:rPr>
                <w:lang w:eastAsia="ja-JP"/>
              </w:rPr>
            </w:pPr>
            <w:r w:rsidRPr="007A3600">
              <w:rPr>
                <w:lang w:eastAsia="ja-JP"/>
              </w:rPr>
              <w:t>17</w:t>
            </w:r>
          </w:p>
        </w:tc>
        <w:tc>
          <w:tcPr>
            <w:tcW w:w="1757" w:type="dxa"/>
          </w:tcPr>
          <w:p w14:paraId="7D339860" w14:textId="77777777" w:rsidR="0029157E" w:rsidRPr="007A3600" w:rsidRDefault="0029157E" w:rsidP="00AD3197">
            <w:pPr>
              <w:rPr>
                <w:lang w:eastAsia="ja-JP"/>
              </w:rPr>
            </w:pPr>
            <w:r w:rsidRPr="007A3600">
              <w:rPr>
                <w:lang w:eastAsia="ja-JP"/>
              </w:rPr>
              <w:t>Reviewable decisions</w:t>
            </w:r>
          </w:p>
        </w:tc>
        <w:tc>
          <w:tcPr>
            <w:tcW w:w="4139" w:type="dxa"/>
            <w:hideMark/>
          </w:tcPr>
          <w:p w14:paraId="3F6995AF" w14:textId="02A59574" w:rsidR="0029157E" w:rsidRPr="007A3600" w:rsidRDefault="0029157E" w:rsidP="00AD3197">
            <w:pPr>
              <w:rPr>
                <w:lang w:eastAsia="ja-JP"/>
              </w:rPr>
            </w:pPr>
            <w:r w:rsidRPr="007A3600">
              <w:rPr>
                <w:lang w:eastAsia="ja-JP"/>
              </w:rPr>
              <w:t>Complete an internal Review of a Reviewable Decision, after a request is received</w:t>
            </w:r>
          </w:p>
        </w:tc>
        <w:tc>
          <w:tcPr>
            <w:tcW w:w="1247" w:type="dxa"/>
            <w:hideMark/>
          </w:tcPr>
          <w:p w14:paraId="50A02953" w14:textId="3BF0388D" w:rsidR="0029157E" w:rsidRPr="007A3600" w:rsidRDefault="0029157E" w:rsidP="00AD3197">
            <w:pPr>
              <w:rPr>
                <w:lang w:eastAsia="ja-JP"/>
              </w:rPr>
            </w:pPr>
            <w:r w:rsidRPr="007A3600">
              <w:rPr>
                <w:lang w:eastAsia="ja-JP"/>
              </w:rPr>
              <w:t>60 days</w:t>
            </w:r>
          </w:p>
        </w:tc>
        <w:tc>
          <w:tcPr>
            <w:tcW w:w="1361" w:type="dxa"/>
          </w:tcPr>
          <w:p w14:paraId="2B5E2B52" w14:textId="77777777" w:rsidR="0029157E" w:rsidRPr="007A3600" w:rsidRDefault="0029157E" w:rsidP="00AD3197">
            <w:pPr>
              <w:jc w:val="right"/>
              <w:rPr>
                <w:lang w:eastAsia="ja-JP"/>
              </w:rPr>
            </w:pPr>
            <w:r w:rsidRPr="007A3600">
              <w:rPr>
                <w:lang w:eastAsia="ja-JP"/>
              </w:rPr>
              <w:t>58.6%</w:t>
            </w:r>
          </w:p>
        </w:tc>
        <w:tc>
          <w:tcPr>
            <w:tcW w:w="1361" w:type="dxa"/>
          </w:tcPr>
          <w:p w14:paraId="56B0BE48" w14:textId="77777777" w:rsidR="0029157E" w:rsidRPr="007A3600" w:rsidRDefault="0029157E" w:rsidP="00AD3197">
            <w:pPr>
              <w:jc w:val="right"/>
              <w:rPr>
                <w:lang w:eastAsia="ja-JP"/>
              </w:rPr>
            </w:pPr>
            <w:r w:rsidRPr="007A3600">
              <w:rPr>
                <w:lang w:eastAsia="ja-JP"/>
              </w:rPr>
              <w:t>65.8%</w:t>
            </w:r>
          </w:p>
        </w:tc>
        <w:tc>
          <w:tcPr>
            <w:tcW w:w="1361" w:type="dxa"/>
          </w:tcPr>
          <w:p w14:paraId="5580B3A9" w14:textId="77777777" w:rsidR="0029157E" w:rsidRPr="007A3600" w:rsidRDefault="0029157E" w:rsidP="00AD3197">
            <w:pPr>
              <w:jc w:val="right"/>
              <w:rPr>
                <w:lang w:eastAsia="ja-JP"/>
              </w:rPr>
            </w:pPr>
            <w:r w:rsidRPr="007A3600">
              <w:rPr>
                <w:lang w:eastAsia="ja-JP"/>
              </w:rPr>
              <w:t>48.7%</w:t>
            </w:r>
          </w:p>
        </w:tc>
        <w:tc>
          <w:tcPr>
            <w:tcW w:w="1361" w:type="dxa"/>
          </w:tcPr>
          <w:p w14:paraId="45793CA0" w14:textId="77777777" w:rsidR="0029157E" w:rsidRPr="007A3600" w:rsidRDefault="0029157E" w:rsidP="00AD3197">
            <w:pPr>
              <w:jc w:val="right"/>
              <w:rPr>
                <w:lang w:eastAsia="ja-JP"/>
              </w:rPr>
            </w:pPr>
            <w:r w:rsidRPr="007A3600">
              <w:rPr>
                <w:lang w:eastAsia="ja-JP"/>
              </w:rPr>
              <w:t>72.5%</w:t>
            </w:r>
          </w:p>
        </w:tc>
      </w:tr>
    </w:tbl>
    <w:p w14:paraId="25A4EB67" w14:textId="77777777" w:rsidR="003825AA" w:rsidRPr="007A3600" w:rsidRDefault="003825AA" w:rsidP="00AD3197">
      <w:pPr>
        <w:rPr>
          <w:lang w:eastAsia="ja-JP"/>
        </w:rPr>
      </w:pPr>
    </w:p>
    <w:p w14:paraId="11D9D074" w14:textId="77777777" w:rsidR="00586847" w:rsidRPr="007A3600" w:rsidRDefault="00586847" w:rsidP="00AD3197">
      <w:pPr>
        <w:pStyle w:val="Heading6"/>
        <w:spacing w:before="240"/>
        <w:rPr>
          <w:lang w:eastAsia="ja-JP"/>
        </w:rPr>
        <w:sectPr w:rsidR="00586847" w:rsidRPr="007A3600" w:rsidSect="005845E2">
          <w:footerReference w:type="default" r:id="rId48"/>
          <w:headerReference w:type="first" r:id="rId49"/>
          <w:footerReference w:type="first" r:id="rId50"/>
          <w:pgSz w:w="16838" w:h="11906" w:orient="landscape" w:code="9"/>
          <w:pgMar w:top="1440" w:right="1954" w:bottom="1440" w:left="1701" w:header="561" w:footer="374" w:gutter="0"/>
          <w:cols w:space="708"/>
          <w:titlePg/>
          <w:docGrid w:linePitch="360"/>
        </w:sectPr>
      </w:pPr>
    </w:p>
    <w:p w14:paraId="6AF096BD" w14:textId="77777777" w:rsidR="00C20796" w:rsidRPr="007A3600" w:rsidRDefault="00C20796" w:rsidP="00AD3197">
      <w:pPr>
        <w:pStyle w:val="Heading6"/>
        <w:spacing w:before="240"/>
        <w:rPr>
          <w:lang w:eastAsia="ja-JP"/>
        </w:rPr>
      </w:pPr>
      <w:r w:rsidRPr="007A3600">
        <w:rPr>
          <w:lang w:eastAsia="ja-JP"/>
        </w:rPr>
        <w:lastRenderedPageBreak/>
        <w:t>Analysis</w:t>
      </w:r>
    </w:p>
    <w:p w14:paraId="10604531" w14:textId="77777777" w:rsidR="00C20796" w:rsidRPr="007A3600" w:rsidRDefault="00C20796" w:rsidP="00AD3197">
      <w:pPr>
        <w:rPr>
          <w:lang w:eastAsia="ja-JP"/>
        </w:rPr>
      </w:pPr>
      <w:r w:rsidRPr="007A3600">
        <w:rPr>
          <w:lang w:eastAsia="ja-JP"/>
        </w:rPr>
        <w:t>During 2024–25 there was a significant increase in the number of requests for changes to participant plans from service providers, particularly support coordinators. This meant we had an increased volume of plan change requests. A significant number of these requests were made without appropriate evidence to support a change to the plan.</w:t>
      </w:r>
    </w:p>
    <w:p w14:paraId="584B1E60" w14:textId="77777777" w:rsidR="00C20796" w:rsidRPr="007A3600" w:rsidRDefault="00C20796" w:rsidP="00AD3197">
      <w:pPr>
        <w:rPr>
          <w:lang w:eastAsia="ja-JP"/>
        </w:rPr>
      </w:pPr>
      <w:r w:rsidRPr="007A3600">
        <w:rPr>
          <w:lang w:eastAsia="ja-JP"/>
        </w:rPr>
        <w:t>In response, the NDIA conducted an external communications campaign to remind service providers of their obligations when making these requests – for example, they must provide supporting evidence and ensure the requests are being made with the full knowledge and consent of the participant.</w:t>
      </w:r>
    </w:p>
    <w:p w14:paraId="54D91DD8" w14:textId="77777777" w:rsidR="00C20796" w:rsidRPr="007A3600" w:rsidRDefault="00C20796" w:rsidP="00AD3197">
      <w:pPr>
        <w:rPr>
          <w:lang w:eastAsia="ja-JP"/>
        </w:rPr>
      </w:pPr>
      <w:r w:rsidRPr="007A3600">
        <w:rPr>
          <w:lang w:eastAsia="ja-JP"/>
        </w:rPr>
        <w:t>PSG results for 2024–25 reflect the NDIA’s focus on completing the most important work for participants – making access decisions, approving first plans and processing plan change request for participants with changes to their circumstances.</w:t>
      </w:r>
    </w:p>
    <w:p w14:paraId="505E0B8B" w14:textId="777688A1" w:rsidR="001F13F2" w:rsidRPr="007A3600" w:rsidRDefault="00943CAF" w:rsidP="00AD3197">
      <w:pPr>
        <w:rPr>
          <w:lang w:eastAsia="ja-JP"/>
        </w:rPr>
      </w:pPr>
      <w:r w:rsidRPr="007A3600">
        <w:rPr>
          <w:lang w:eastAsia="ja-JP"/>
        </w:rPr>
        <w:t>As work to resolve backlogs continues and wait times reduce, the Agency is confident performance against key PSG measures will continue to improve.</w:t>
      </w:r>
    </w:p>
    <w:p w14:paraId="4496028E" w14:textId="3641AD91" w:rsidR="00D0070F" w:rsidRPr="007A3600" w:rsidRDefault="00D0070F" w:rsidP="00AD3197">
      <w:pPr>
        <w:pStyle w:val="Heading5"/>
        <w:rPr>
          <w:lang w:eastAsia="ja-JP"/>
        </w:rPr>
      </w:pPr>
      <w:r w:rsidRPr="007A3600">
        <w:rPr>
          <w:lang w:eastAsia="ja-JP"/>
        </w:rPr>
        <w:t>Performance measure 2.4 – Resolution on first call to National Contact Centre</w:t>
      </w:r>
    </w:p>
    <w:tbl>
      <w:tblPr>
        <w:tblStyle w:val="NDISTable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3175"/>
        <w:gridCol w:w="1474"/>
        <w:gridCol w:w="1474"/>
        <w:gridCol w:w="1474"/>
        <w:gridCol w:w="1474"/>
      </w:tblGrid>
      <w:tr w:rsidR="00CF1A80" w:rsidRPr="007A3600" w14:paraId="1E9A13EC" w14:textId="77777777" w:rsidTr="00581EB2">
        <w:trPr>
          <w:cnfStyle w:val="100000000000" w:firstRow="1" w:lastRow="0" w:firstColumn="0" w:lastColumn="0" w:oddVBand="0" w:evenVBand="0" w:oddHBand="0" w:evenHBand="0" w:firstRowFirstColumn="0" w:firstRowLastColumn="0" w:lastRowFirstColumn="0" w:lastRowLastColumn="0"/>
          <w:trHeight w:val="783"/>
        </w:trPr>
        <w:tc>
          <w:tcPr>
            <w:tcW w:w="3175" w:type="dxa"/>
            <w:shd w:val="clear" w:color="auto" w:fill="57BCC7"/>
            <w:hideMark/>
          </w:tcPr>
          <w:p w14:paraId="2F509680" w14:textId="28A8A756" w:rsidR="00114CBA" w:rsidRPr="007A3600" w:rsidRDefault="00114CBA" w:rsidP="00AD3197">
            <w:pPr>
              <w:spacing w:before="40" w:after="40" w:line="288" w:lineRule="auto"/>
              <w:rPr>
                <w:rFonts w:eastAsia="MS Mincho" w:cs="Arial"/>
                <w:b/>
                <w:color w:val="000000"/>
                <w:lang w:val="en-GB"/>
              </w:rPr>
            </w:pPr>
            <w:r w:rsidRPr="007A3600">
              <w:rPr>
                <w:rFonts w:eastAsia="MS Mincho" w:cs="Arial"/>
                <w:b/>
                <w:color w:val="000000"/>
                <w:lang w:val="en-GB"/>
              </w:rPr>
              <w:t>Performance measure</w:t>
            </w:r>
          </w:p>
        </w:tc>
        <w:tc>
          <w:tcPr>
            <w:tcW w:w="1474" w:type="dxa"/>
            <w:shd w:val="clear" w:color="auto" w:fill="57BCC7"/>
            <w:hideMark/>
          </w:tcPr>
          <w:p w14:paraId="41AA6FA3" w14:textId="4A148E81" w:rsidR="00114CBA" w:rsidRPr="007A3600" w:rsidRDefault="00114CBA" w:rsidP="00AD3197">
            <w:pPr>
              <w:spacing w:before="40" w:after="40" w:line="288" w:lineRule="auto"/>
              <w:jc w:val="right"/>
              <w:rPr>
                <w:rFonts w:eastAsia="MS Mincho" w:cs="Arial"/>
                <w:b/>
                <w:color w:val="000000"/>
                <w:lang w:val="en-GB"/>
              </w:rPr>
            </w:pPr>
            <w:r w:rsidRPr="007A3600">
              <w:rPr>
                <w:rFonts w:eastAsia="MS Mincho" w:cs="Arial"/>
                <w:b/>
                <w:color w:val="000000"/>
              </w:rPr>
              <w:t>2024–25 target</w:t>
            </w:r>
          </w:p>
        </w:tc>
        <w:tc>
          <w:tcPr>
            <w:tcW w:w="1474" w:type="dxa"/>
            <w:shd w:val="clear" w:color="auto" w:fill="57BCC7"/>
            <w:hideMark/>
          </w:tcPr>
          <w:p w14:paraId="42899077" w14:textId="06C85201" w:rsidR="00114CBA" w:rsidRPr="007A3600" w:rsidRDefault="00114CBA" w:rsidP="00AD3197">
            <w:pPr>
              <w:spacing w:before="40" w:after="40" w:line="288" w:lineRule="auto"/>
              <w:jc w:val="right"/>
              <w:rPr>
                <w:rFonts w:eastAsia="MS Mincho" w:cs="Arial"/>
                <w:b/>
                <w:color w:val="000000"/>
                <w:lang w:val="en-GB"/>
              </w:rPr>
            </w:pPr>
            <w:r w:rsidRPr="007A3600">
              <w:rPr>
                <w:rFonts w:eastAsia="MS Mincho" w:cs="Arial"/>
                <w:b/>
                <w:color w:val="000000"/>
              </w:rPr>
              <w:t>2024–25 result</w:t>
            </w:r>
          </w:p>
        </w:tc>
        <w:tc>
          <w:tcPr>
            <w:tcW w:w="1474" w:type="dxa"/>
            <w:shd w:val="clear" w:color="auto" w:fill="57BCC7"/>
            <w:hideMark/>
          </w:tcPr>
          <w:p w14:paraId="3277ED50" w14:textId="3DAC5798" w:rsidR="00114CBA" w:rsidRPr="007A3600" w:rsidRDefault="00114CBA" w:rsidP="00AD3197">
            <w:pPr>
              <w:spacing w:before="40" w:after="40" w:line="288" w:lineRule="auto"/>
              <w:jc w:val="right"/>
              <w:rPr>
                <w:rFonts w:eastAsia="MS Mincho" w:cs="Arial"/>
                <w:b/>
                <w:color w:val="000000"/>
                <w:lang w:val="en-GB"/>
              </w:rPr>
            </w:pPr>
            <w:r w:rsidRPr="007A3600">
              <w:rPr>
                <w:rFonts w:eastAsia="MS Mincho" w:cs="Arial"/>
                <w:b/>
                <w:color w:val="000000"/>
              </w:rPr>
              <w:t>2024–25 outcome</w:t>
            </w:r>
          </w:p>
        </w:tc>
        <w:tc>
          <w:tcPr>
            <w:tcW w:w="1474" w:type="dxa"/>
            <w:shd w:val="clear" w:color="auto" w:fill="57BCC7"/>
            <w:hideMark/>
          </w:tcPr>
          <w:p w14:paraId="3DD7E5DD" w14:textId="5485A532" w:rsidR="00114CBA" w:rsidRPr="007A3600" w:rsidRDefault="00114CBA" w:rsidP="00AD3197">
            <w:pPr>
              <w:spacing w:before="40" w:after="40" w:line="288" w:lineRule="auto"/>
              <w:jc w:val="right"/>
              <w:rPr>
                <w:rFonts w:eastAsia="MS Mincho" w:cs="Arial"/>
                <w:b/>
                <w:color w:val="000000"/>
                <w:lang w:val="en-GB"/>
              </w:rPr>
            </w:pPr>
            <w:r w:rsidRPr="007A3600">
              <w:rPr>
                <w:rFonts w:eastAsia="MS Mincho" w:cs="Arial"/>
                <w:b/>
                <w:color w:val="000000"/>
              </w:rPr>
              <w:t>2023–24 result</w:t>
            </w:r>
          </w:p>
        </w:tc>
      </w:tr>
      <w:tr w:rsidR="00673CBA" w:rsidRPr="007A3600" w14:paraId="37FAA0AA" w14:textId="77777777" w:rsidTr="00581EB2">
        <w:trPr>
          <w:cnfStyle w:val="000000100000" w:firstRow="0" w:lastRow="0" w:firstColumn="0" w:lastColumn="0" w:oddVBand="0" w:evenVBand="0" w:oddHBand="1" w:evenHBand="0" w:firstRowFirstColumn="0" w:firstRowLastColumn="0" w:lastRowFirstColumn="0" w:lastRowLastColumn="0"/>
          <w:trHeight w:val="595"/>
        </w:trPr>
        <w:tc>
          <w:tcPr>
            <w:tcW w:w="3175" w:type="dxa"/>
            <w:shd w:val="clear" w:color="auto" w:fill="C5E4E8"/>
            <w:hideMark/>
          </w:tcPr>
          <w:p w14:paraId="17FB06E6" w14:textId="77777777" w:rsidR="00114CBA" w:rsidRPr="007A3600" w:rsidRDefault="00114CBA" w:rsidP="00AD3197">
            <w:pPr>
              <w:spacing w:before="40" w:after="40" w:line="288" w:lineRule="auto"/>
              <w:rPr>
                <w:rFonts w:eastAsia="MS Mincho" w:cs="Arial"/>
                <w:color w:val="000000"/>
                <w:lang w:val="en-GB"/>
              </w:rPr>
            </w:pPr>
            <w:r w:rsidRPr="007A3600">
              <w:rPr>
                <w:rFonts w:eastAsia="Aptos"/>
                <w:color w:val="000000"/>
                <w:lang w:val="en-US"/>
              </w:rPr>
              <w:t>Resolution on first call to National Contact Centre</w:t>
            </w:r>
          </w:p>
        </w:tc>
        <w:tc>
          <w:tcPr>
            <w:tcW w:w="1474" w:type="dxa"/>
            <w:shd w:val="clear" w:color="auto" w:fill="C5E4E8"/>
          </w:tcPr>
          <w:p w14:paraId="144467F2" w14:textId="77777777" w:rsidR="00114CBA" w:rsidRPr="007A3600" w:rsidRDefault="00114CBA" w:rsidP="00AD3197">
            <w:pPr>
              <w:spacing w:before="40" w:after="40" w:line="288" w:lineRule="auto"/>
              <w:jc w:val="right"/>
              <w:rPr>
                <w:color w:val="000000"/>
                <w:lang w:val="en-GB"/>
              </w:rPr>
            </w:pPr>
            <w:r w:rsidRPr="007A3600">
              <w:rPr>
                <w:rFonts w:eastAsia="Aptos"/>
                <w:color w:val="000000"/>
                <w:lang w:val="en-US"/>
              </w:rPr>
              <w:t>80%</w:t>
            </w:r>
          </w:p>
        </w:tc>
        <w:tc>
          <w:tcPr>
            <w:tcW w:w="1474" w:type="dxa"/>
            <w:shd w:val="clear" w:color="auto" w:fill="C5E4E8"/>
            <w:hideMark/>
          </w:tcPr>
          <w:p w14:paraId="1F545FD8" w14:textId="77777777" w:rsidR="00114CBA" w:rsidRPr="007A3600" w:rsidRDefault="00114CBA" w:rsidP="00AD3197">
            <w:pPr>
              <w:spacing w:before="40" w:after="40" w:line="288" w:lineRule="auto"/>
              <w:jc w:val="right"/>
              <w:rPr>
                <w:rFonts w:eastAsia="Aptos"/>
                <w:color w:val="000000"/>
                <w:lang w:val="en-US"/>
              </w:rPr>
            </w:pPr>
            <w:r w:rsidRPr="007A3600">
              <w:rPr>
                <w:rFonts w:eastAsia="Aptos"/>
                <w:color w:val="000000"/>
                <w:lang w:val="en-US"/>
              </w:rPr>
              <w:t>84.8%</w:t>
            </w:r>
          </w:p>
        </w:tc>
        <w:tc>
          <w:tcPr>
            <w:tcW w:w="1474" w:type="dxa"/>
            <w:shd w:val="clear" w:color="auto" w:fill="C5E4E8"/>
            <w:hideMark/>
          </w:tcPr>
          <w:p w14:paraId="02EDAC67" w14:textId="77777777" w:rsidR="00114CBA" w:rsidRPr="007A3600" w:rsidRDefault="00114CBA" w:rsidP="00AD3197">
            <w:pPr>
              <w:spacing w:before="40" w:after="40" w:line="288" w:lineRule="auto"/>
              <w:jc w:val="right"/>
              <w:rPr>
                <w:rFonts w:eastAsia="Aptos"/>
                <w:color w:val="000000"/>
                <w:lang w:val="en-US"/>
              </w:rPr>
            </w:pPr>
            <w:r w:rsidRPr="007A3600">
              <w:rPr>
                <w:rFonts w:eastAsia="Aptos"/>
                <w:color w:val="000000"/>
                <w:lang w:val="en-US"/>
              </w:rPr>
              <w:t xml:space="preserve">Achieved </w:t>
            </w:r>
          </w:p>
        </w:tc>
        <w:tc>
          <w:tcPr>
            <w:tcW w:w="1474" w:type="dxa"/>
            <w:shd w:val="clear" w:color="auto" w:fill="C5E4E8"/>
            <w:hideMark/>
          </w:tcPr>
          <w:p w14:paraId="72FB911B" w14:textId="063366F5" w:rsidR="00114CBA" w:rsidRPr="007A3600" w:rsidRDefault="009D2E73" w:rsidP="00AD3197">
            <w:pPr>
              <w:spacing w:before="40" w:after="40" w:line="288" w:lineRule="auto"/>
              <w:jc w:val="right"/>
              <w:rPr>
                <w:rFonts w:eastAsia="MS Mincho" w:cs="Arial"/>
                <w:color w:val="000000"/>
                <w:lang w:val="en-GB"/>
              </w:rPr>
            </w:pPr>
            <w:r w:rsidRPr="007A3600">
              <w:rPr>
                <w:rFonts w:eastAsia="Aptos"/>
                <w:color w:val="000000"/>
                <w:lang w:val="en-US"/>
              </w:rPr>
              <w:t>N/A</w:t>
            </w:r>
          </w:p>
        </w:tc>
      </w:tr>
    </w:tbl>
    <w:p w14:paraId="7AC426EB" w14:textId="77777777" w:rsidR="00D0070F" w:rsidRPr="007A3600" w:rsidRDefault="00D0070F" w:rsidP="00AD3197">
      <w:pPr>
        <w:pStyle w:val="Heading6"/>
        <w:rPr>
          <w:lang w:eastAsia="ja-JP"/>
        </w:rPr>
      </w:pPr>
      <w:r w:rsidRPr="007A3600">
        <w:rPr>
          <w:lang w:eastAsia="ja-JP"/>
        </w:rPr>
        <w:t>Why we measure this</w:t>
      </w:r>
    </w:p>
    <w:p w14:paraId="5215F59D" w14:textId="4A59042B" w:rsidR="00CB6E70" w:rsidRPr="007A3600" w:rsidRDefault="00CB6E70" w:rsidP="00AD3197">
      <w:pPr>
        <w:rPr>
          <w:lang w:eastAsia="ja-JP"/>
        </w:rPr>
      </w:pPr>
      <w:r w:rsidRPr="007A3600">
        <w:rPr>
          <w:lang w:eastAsia="ja-JP"/>
        </w:rPr>
        <w:t>This measures the output (quality) of the NDIA’s interaction with participants. The Participant Service Charter says we will respond to each person’s needs and situation.</w:t>
      </w:r>
    </w:p>
    <w:p w14:paraId="2F7C65C6" w14:textId="77777777" w:rsidR="00CB6E70" w:rsidRPr="007A3600" w:rsidRDefault="00CB6E70" w:rsidP="00AD3197">
      <w:pPr>
        <w:pStyle w:val="Heading6"/>
        <w:rPr>
          <w:lang w:eastAsia="ja-JP"/>
        </w:rPr>
      </w:pPr>
      <w:r w:rsidRPr="007A3600">
        <w:rPr>
          <w:lang w:eastAsia="ja-JP"/>
        </w:rPr>
        <w:t>How we measure this</w:t>
      </w:r>
    </w:p>
    <w:p w14:paraId="52591952" w14:textId="5401B499" w:rsidR="00CB6E70" w:rsidRPr="007A3600" w:rsidRDefault="00CB6E70" w:rsidP="00AD3197">
      <w:pPr>
        <w:rPr>
          <w:lang w:eastAsia="ja-JP"/>
        </w:rPr>
      </w:pPr>
      <w:r w:rsidRPr="007A3600">
        <w:rPr>
          <w:lang w:eastAsia="ja-JP"/>
        </w:rPr>
        <w:t>This measure is based on post-call survey results from people who phone the NCC. It calculates the number of respondents who answered ‘Yes’ to the question ‘Did the person you speak to complete your enquiry today?’ then divides this figure by the number of total completed surveys. The measurement excludes partially completed surveys and callers terminating their call mid-survey.</w:t>
      </w:r>
    </w:p>
    <w:p w14:paraId="3F2D4810" w14:textId="07A7B4FF" w:rsidR="00CB6E70" w:rsidRPr="007A3600" w:rsidRDefault="00CB6E70" w:rsidP="00AD3197">
      <w:pPr>
        <w:pStyle w:val="Heading6"/>
        <w:rPr>
          <w:lang w:eastAsia="ja-JP"/>
        </w:rPr>
      </w:pPr>
      <w:r w:rsidRPr="007A3600">
        <w:rPr>
          <w:lang w:eastAsia="ja-JP"/>
        </w:rPr>
        <w:t>Analysis</w:t>
      </w:r>
    </w:p>
    <w:p w14:paraId="74418D40" w14:textId="6C656D58" w:rsidR="00CB6E70" w:rsidRPr="007A3600" w:rsidRDefault="00CB6E70" w:rsidP="00AD3197">
      <w:pPr>
        <w:widowControl w:val="0"/>
        <w:rPr>
          <w:lang w:eastAsia="ja-JP"/>
        </w:rPr>
      </w:pPr>
      <w:r w:rsidRPr="007A3600">
        <w:rPr>
          <w:lang w:eastAsia="ja-JP"/>
        </w:rPr>
        <w:t xml:space="preserve">In 2024–25 the NCC exceeded its target, and answered 1,521,843 calls and received 90,584 completed surveys (6% response rate). In the surveys, 84.8% said </w:t>
      </w:r>
      <w:r w:rsidRPr="007A3600">
        <w:rPr>
          <w:lang w:eastAsia="ja-JP"/>
        </w:rPr>
        <w:lastRenderedPageBreak/>
        <w:t>their enquiry was resolved.</w:t>
      </w:r>
    </w:p>
    <w:p w14:paraId="11D4B675" w14:textId="33EDF5D2" w:rsidR="00CB6E70" w:rsidRPr="007A3600" w:rsidRDefault="00CB6E70" w:rsidP="00AD3197">
      <w:pPr>
        <w:rPr>
          <w:lang w:eastAsia="ja-JP"/>
        </w:rPr>
      </w:pPr>
      <w:r w:rsidRPr="007A3600">
        <w:rPr>
          <w:lang w:eastAsia="ja-JP"/>
        </w:rPr>
        <w:t>The results reflect the NCC’s ongoing work to expand its First Contact Resolution program. The program aims</w:t>
      </w:r>
      <w:r w:rsidR="00477B79" w:rsidRPr="007A3600">
        <w:rPr>
          <w:lang w:eastAsia="ja-JP"/>
        </w:rPr>
        <w:t xml:space="preserve"> </w:t>
      </w:r>
      <w:r w:rsidRPr="007A3600">
        <w:rPr>
          <w:lang w:eastAsia="ja-JP"/>
        </w:rPr>
        <w:t>to increase the proportion of enquiries resolved at the first point of contact and reduce referrals to other areas of the NDIA.</w:t>
      </w:r>
    </w:p>
    <w:p w14:paraId="308D3486" w14:textId="77777777" w:rsidR="00D0070F" w:rsidRPr="007A3600" w:rsidRDefault="00D0070F" w:rsidP="00AD3197">
      <w:pPr>
        <w:pStyle w:val="Heading5"/>
        <w:rPr>
          <w:lang w:eastAsia="ja-JP"/>
        </w:rPr>
      </w:pPr>
      <w:r w:rsidRPr="007A3600">
        <w:rPr>
          <w:lang w:eastAsia="ja-JP"/>
        </w:rPr>
        <w:t>Performance measure 2.5 – Disclosure of NDIS Quarterly Reports to Disability Ministers within prescribed timeframes</w:t>
      </w:r>
    </w:p>
    <w:tbl>
      <w:tblPr>
        <w:tblStyle w:val="NDISTable1"/>
        <w:tblW w:w="90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20" w:firstRow="1" w:lastRow="0" w:firstColumn="0" w:lastColumn="0" w:noHBand="0" w:noVBand="1"/>
      </w:tblPr>
      <w:tblGrid>
        <w:gridCol w:w="2721"/>
        <w:gridCol w:w="2381"/>
        <w:gridCol w:w="1474"/>
        <w:gridCol w:w="1247"/>
        <w:gridCol w:w="1247"/>
      </w:tblGrid>
      <w:tr w:rsidR="00581EB2" w:rsidRPr="007A3600" w14:paraId="52860991" w14:textId="77777777" w:rsidTr="00F34205">
        <w:trPr>
          <w:cnfStyle w:val="100000000000" w:firstRow="1" w:lastRow="0" w:firstColumn="0" w:lastColumn="0" w:oddVBand="0" w:evenVBand="0" w:oddHBand="0" w:evenHBand="0" w:firstRowFirstColumn="0" w:firstRowLastColumn="0" w:lastRowFirstColumn="0" w:lastRowLastColumn="0"/>
        </w:trPr>
        <w:tc>
          <w:tcPr>
            <w:tcW w:w="2721" w:type="dxa"/>
            <w:shd w:val="clear" w:color="auto" w:fill="57BCC7"/>
            <w:hideMark/>
          </w:tcPr>
          <w:p w14:paraId="510509EB" w14:textId="617A2882" w:rsidR="009E274E" w:rsidRPr="007A3600" w:rsidRDefault="009E274E" w:rsidP="00AD3197">
            <w:pPr>
              <w:spacing w:before="40" w:after="40" w:line="288" w:lineRule="auto"/>
              <w:rPr>
                <w:rFonts w:eastAsia="MS Mincho" w:cs="Arial"/>
                <w:b/>
                <w:color w:val="000000"/>
                <w:lang w:val="en-GB"/>
              </w:rPr>
            </w:pPr>
            <w:r w:rsidRPr="007A3600">
              <w:rPr>
                <w:rFonts w:eastAsia="MS Mincho" w:cs="Arial"/>
                <w:b/>
                <w:color w:val="000000"/>
                <w:lang w:val="en-GB"/>
              </w:rPr>
              <w:t xml:space="preserve">Performance </w:t>
            </w:r>
            <w:r w:rsidR="00B75305" w:rsidRPr="007A3600">
              <w:rPr>
                <w:rFonts w:eastAsia="MS Mincho" w:cs="Arial"/>
                <w:b/>
                <w:color w:val="000000"/>
                <w:lang w:val="en-GB"/>
              </w:rPr>
              <w:t>m</w:t>
            </w:r>
            <w:r w:rsidRPr="007A3600">
              <w:rPr>
                <w:rFonts w:eastAsia="MS Mincho" w:cs="Arial"/>
                <w:b/>
                <w:color w:val="000000"/>
                <w:lang w:val="en-GB"/>
              </w:rPr>
              <w:t>easure</w:t>
            </w:r>
          </w:p>
        </w:tc>
        <w:tc>
          <w:tcPr>
            <w:tcW w:w="2381" w:type="dxa"/>
            <w:shd w:val="clear" w:color="auto" w:fill="57BCC7"/>
            <w:hideMark/>
          </w:tcPr>
          <w:p w14:paraId="495A5C0E" w14:textId="539E3E2F" w:rsidR="009E274E" w:rsidRPr="007A3600" w:rsidRDefault="009E274E" w:rsidP="00AD3197">
            <w:pPr>
              <w:spacing w:before="40" w:after="40" w:line="288" w:lineRule="auto"/>
              <w:rPr>
                <w:rFonts w:eastAsia="MS Mincho" w:cs="Arial"/>
                <w:b/>
                <w:color w:val="000000"/>
                <w:lang w:val="en-GB"/>
              </w:rPr>
            </w:pPr>
            <w:r w:rsidRPr="007A3600">
              <w:rPr>
                <w:rFonts w:eastAsia="MS Mincho" w:cs="Arial"/>
                <w:b/>
                <w:color w:val="000000"/>
              </w:rPr>
              <w:t xml:space="preserve">2024–25 </w:t>
            </w:r>
            <w:r w:rsidR="00B75305" w:rsidRPr="007A3600">
              <w:rPr>
                <w:rFonts w:eastAsia="MS Mincho" w:cs="Arial"/>
                <w:b/>
                <w:color w:val="000000"/>
              </w:rPr>
              <w:t>t</w:t>
            </w:r>
            <w:r w:rsidRPr="007A3600">
              <w:rPr>
                <w:rFonts w:eastAsia="MS Mincho" w:cs="Arial"/>
                <w:b/>
                <w:color w:val="000000"/>
              </w:rPr>
              <w:t>arget</w:t>
            </w:r>
          </w:p>
        </w:tc>
        <w:tc>
          <w:tcPr>
            <w:tcW w:w="1474" w:type="dxa"/>
            <w:shd w:val="clear" w:color="auto" w:fill="57BCC7"/>
            <w:hideMark/>
          </w:tcPr>
          <w:p w14:paraId="2A8A5D34" w14:textId="2112D285" w:rsidR="009E274E" w:rsidRPr="007A3600" w:rsidRDefault="009E274E" w:rsidP="00AD3197">
            <w:pPr>
              <w:spacing w:before="40" w:after="40" w:line="288" w:lineRule="auto"/>
              <w:jc w:val="right"/>
              <w:rPr>
                <w:rFonts w:eastAsia="MS Mincho" w:cs="Arial"/>
                <w:b/>
                <w:color w:val="000000"/>
                <w:lang w:val="en-GB"/>
              </w:rPr>
            </w:pPr>
            <w:r w:rsidRPr="007A3600">
              <w:rPr>
                <w:rFonts w:eastAsia="MS Mincho" w:cs="Arial"/>
                <w:b/>
                <w:color w:val="000000"/>
              </w:rPr>
              <w:t xml:space="preserve">2024–25 </w:t>
            </w:r>
            <w:r w:rsidR="00B75305" w:rsidRPr="007A3600">
              <w:rPr>
                <w:rFonts w:eastAsia="MS Mincho" w:cs="Arial"/>
                <w:b/>
                <w:color w:val="000000"/>
              </w:rPr>
              <w:t>r</w:t>
            </w:r>
            <w:r w:rsidRPr="007A3600">
              <w:rPr>
                <w:rFonts w:eastAsia="MS Mincho" w:cs="Arial"/>
                <w:b/>
                <w:color w:val="000000"/>
              </w:rPr>
              <w:t>esult</w:t>
            </w:r>
          </w:p>
        </w:tc>
        <w:tc>
          <w:tcPr>
            <w:tcW w:w="1247" w:type="dxa"/>
            <w:shd w:val="clear" w:color="auto" w:fill="57BCC7"/>
            <w:hideMark/>
          </w:tcPr>
          <w:p w14:paraId="19265EBF" w14:textId="5B857C58" w:rsidR="009E274E" w:rsidRPr="007A3600" w:rsidRDefault="009E274E" w:rsidP="00AD3197">
            <w:pPr>
              <w:spacing w:before="40" w:after="40" w:line="288" w:lineRule="auto"/>
              <w:jc w:val="right"/>
              <w:rPr>
                <w:rFonts w:eastAsia="MS Mincho" w:cs="Arial"/>
                <w:b/>
                <w:color w:val="000000"/>
                <w:lang w:val="en-GB"/>
              </w:rPr>
            </w:pPr>
            <w:r w:rsidRPr="007A3600">
              <w:rPr>
                <w:rFonts w:eastAsia="MS Mincho" w:cs="Arial"/>
                <w:b/>
                <w:color w:val="000000"/>
              </w:rPr>
              <w:t xml:space="preserve">2024–25 </w:t>
            </w:r>
            <w:r w:rsidR="00B75305" w:rsidRPr="007A3600">
              <w:rPr>
                <w:rFonts w:eastAsia="MS Mincho" w:cs="Arial"/>
                <w:b/>
                <w:color w:val="000000"/>
              </w:rPr>
              <w:t>o</w:t>
            </w:r>
            <w:r w:rsidRPr="007A3600">
              <w:rPr>
                <w:rFonts w:eastAsia="MS Mincho" w:cs="Arial"/>
                <w:b/>
                <w:color w:val="000000"/>
              </w:rPr>
              <w:t>utcome</w:t>
            </w:r>
          </w:p>
        </w:tc>
        <w:tc>
          <w:tcPr>
            <w:tcW w:w="1247" w:type="dxa"/>
            <w:shd w:val="clear" w:color="auto" w:fill="57BCC7"/>
            <w:hideMark/>
          </w:tcPr>
          <w:p w14:paraId="700D8A78" w14:textId="3F5120DA" w:rsidR="009E274E" w:rsidRPr="007A3600" w:rsidRDefault="009E274E" w:rsidP="00AD3197">
            <w:pPr>
              <w:spacing w:before="40" w:after="40" w:line="288" w:lineRule="auto"/>
              <w:jc w:val="right"/>
              <w:rPr>
                <w:rFonts w:eastAsia="MS Mincho" w:cs="Arial"/>
                <w:b/>
                <w:color w:val="000000"/>
                <w:lang w:val="en-GB"/>
              </w:rPr>
            </w:pPr>
            <w:r w:rsidRPr="007A3600">
              <w:rPr>
                <w:rFonts w:eastAsia="MS Mincho" w:cs="Arial"/>
                <w:b/>
                <w:color w:val="000000"/>
              </w:rPr>
              <w:t xml:space="preserve">2023–24 </w:t>
            </w:r>
            <w:r w:rsidR="00B75305" w:rsidRPr="007A3600">
              <w:rPr>
                <w:rFonts w:eastAsia="MS Mincho" w:cs="Arial"/>
                <w:b/>
                <w:color w:val="000000"/>
              </w:rPr>
              <w:t>r</w:t>
            </w:r>
            <w:r w:rsidRPr="007A3600">
              <w:rPr>
                <w:rFonts w:eastAsia="MS Mincho" w:cs="Arial"/>
                <w:b/>
                <w:color w:val="000000"/>
              </w:rPr>
              <w:t>esult</w:t>
            </w:r>
          </w:p>
        </w:tc>
      </w:tr>
      <w:tr w:rsidR="002D42F8" w:rsidRPr="007A3600" w14:paraId="36A14A5F" w14:textId="77777777" w:rsidTr="002D42F8">
        <w:trPr>
          <w:cnfStyle w:val="000000100000" w:firstRow="0" w:lastRow="0" w:firstColumn="0" w:lastColumn="0" w:oddVBand="0" w:evenVBand="0" w:oddHBand="1" w:evenHBand="0" w:firstRowFirstColumn="0" w:firstRowLastColumn="0" w:lastRowFirstColumn="0" w:lastRowLastColumn="0"/>
        </w:trPr>
        <w:tc>
          <w:tcPr>
            <w:tcW w:w="2721" w:type="dxa"/>
            <w:shd w:val="clear" w:color="auto" w:fill="C5E4E8"/>
            <w:hideMark/>
          </w:tcPr>
          <w:p w14:paraId="7B29CFC5" w14:textId="77777777" w:rsidR="009E274E" w:rsidRPr="007A3600" w:rsidRDefault="009E274E" w:rsidP="00AD3197">
            <w:pPr>
              <w:spacing w:before="40" w:after="40" w:line="288" w:lineRule="auto"/>
              <w:rPr>
                <w:rFonts w:eastAsia="MS Mincho" w:cs="Arial"/>
                <w:color w:val="000000"/>
                <w:lang w:val="en-GB"/>
              </w:rPr>
            </w:pPr>
            <w:r w:rsidRPr="007A3600">
              <w:rPr>
                <w:rFonts w:eastAsia="MS Mincho" w:cs="Arial"/>
                <w:color w:val="000000"/>
                <w:lang w:val="en-GB"/>
              </w:rPr>
              <w:t>Disclosure of NDIS Quarterly Reports to Disability Ministers within prescribed timeframes</w:t>
            </w:r>
          </w:p>
        </w:tc>
        <w:tc>
          <w:tcPr>
            <w:tcW w:w="2381" w:type="dxa"/>
            <w:shd w:val="clear" w:color="auto" w:fill="C5E4E8"/>
            <w:hideMark/>
          </w:tcPr>
          <w:p w14:paraId="0E14BF71" w14:textId="11308BAC" w:rsidR="009E274E" w:rsidRPr="007A3600" w:rsidRDefault="009E274E" w:rsidP="00AD3197">
            <w:pPr>
              <w:spacing w:before="40" w:after="40" w:line="288" w:lineRule="auto"/>
              <w:rPr>
                <w:rFonts w:eastAsia="MS Mincho" w:cs="Arial"/>
                <w:color w:val="000000"/>
                <w:lang w:val="en-GB"/>
              </w:rPr>
            </w:pPr>
            <w:r w:rsidRPr="007A3600">
              <w:rPr>
                <w:rFonts w:eastAsia="MS Mincho" w:cs="Arial"/>
                <w:color w:val="000000"/>
              </w:rPr>
              <w:t>All quarterly reports provided to the Ministerial Council within legislative timeframes</w:t>
            </w:r>
          </w:p>
        </w:tc>
        <w:tc>
          <w:tcPr>
            <w:tcW w:w="1474" w:type="dxa"/>
            <w:shd w:val="clear" w:color="auto" w:fill="C5E4E8"/>
            <w:hideMark/>
          </w:tcPr>
          <w:p w14:paraId="4D0103BA" w14:textId="77777777" w:rsidR="009E274E" w:rsidRPr="007A3600" w:rsidRDefault="009E274E" w:rsidP="00AD3197">
            <w:pPr>
              <w:spacing w:before="40" w:after="40" w:line="288" w:lineRule="auto"/>
              <w:jc w:val="right"/>
              <w:rPr>
                <w:rFonts w:eastAsia="MS Mincho" w:cs="Arial"/>
                <w:color w:val="000000"/>
                <w:lang w:val="en-GB"/>
              </w:rPr>
            </w:pPr>
            <w:r w:rsidRPr="007A3600">
              <w:rPr>
                <w:rFonts w:eastAsia="MS Mincho" w:cs="Arial"/>
                <w:color w:val="000000"/>
                <w:lang w:val="en-GB"/>
              </w:rPr>
              <w:t>4 of 4 reports delivered on time</w:t>
            </w:r>
          </w:p>
        </w:tc>
        <w:tc>
          <w:tcPr>
            <w:tcW w:w="1247" w:type="dxa"/>
            <w:shd w:val="clear" w:color="auto" w:fill="C5E4E8"/>
            <w:hideMark/>
          </w:tcPr>
          <w:p w14:paraId="3AF8E0D2" w14:textId="77777777" w:rsidR="009E274E" w:rsidRPr="007A3600" w:rsidRDefault="009E274E" w:rsidP="00AD3197">
            <w:pPr>
              <w:spacing w:before="40" w:after="40" w:line="288" w:lineRule="auto"/>
              <w:jc w:val="right"/>
              <w:rPr>
                <w:rFonts w:eastAsia="MS Mincho" w:cs="Arial"/>
                <w:color w:val="000000"/>
                <w:lang w:val="en-GB"/>
              </w:rPr>
            </w:pPr>
            <w:r w:rsidRPr="007A3600">
              <w:rPr>
                <w:rFonts w:eastAsia="MS Mincho" w:cs="Arial"/>
                <w:color w:val="000000"/>
                <w:lang w:val="en-GB"/>
              </w:rPr>
              <w:t>Achieved</w:t>
            </w:r>
          </w:p>
        </w:tc>
        <w:tc>
          <w:tcPr>
            <w:tcW w:w="1247" w:type="dxa"/>
            <w:shd w:val="clear" w:color="auto" w:fill="C5E4E8"/>
            <w:hideMark/>
          </w:tcPr>
          <w:p w14:paraId="78D5A17E" w14:textId="77777777" w:rsidR="009E274E" w:rsidRPr="007A3600" w:rsidRDefault="009E274E" w:rsidP="00AD3197">
            <w:pPr>
              <w:spacing w:before="40" w:after="40" w:line="288" w:lineRule="auto"/>
              <w:jc w:val="right"/>
              <w:rPr>
                <w:rFonts w:eastAsia="MS Mincho" w:cs="Arial"/>
                <w:color w:val="000000"/>
                <w:lang w:val="en-GB"/>
              </w:rPr>
            </w:pPr>
            <w:r w:rsidRPr="007A3600">
              <w:rPr>
                <w:rFonts w:eastAsia="MS Mincho" w:cs="Arial"/>
                <w:color w:val="000000"/>
                <w:lang w:val="en-GB"/>
              </w:rPr>
              <w:t>4 of 4</w:t>
            </w:r>
          </w:p>
        </w:tc>
      </w:tr>
    </w:tbl>
    <w:p w14:paraId="283ED2C5" w14:textId="77777777" w:rsidR="00D0070F" w:rsidRPr="007A3600" w:rsidRDefault="00D0070F" w:rsidP="00AD3197">
      <w:pPr>
        <w:pStyle w:val="Heading6"/>
        <w:rPr>
          <w:lang w:eastAsia="ja-JP"/>
        </w:rPr>
      </w:pPr>
      <w:r w:rsidRPr="007A3600">
        <w:rPr>
          <w:lang w:eastAsia="ja-JP"/>
        </w:rPr>
        <w:t>Why we measure this</w:t>
      </w:r>
    </w:p>
    <w:p w14:paraId="732AB8A7" w14:textId="77777777" w:rsidR="00334988" w:rsidRPr="007A3600" w:rsidRDefault="00334988" w:rsidP="00AD3197">
      <w:pPr>
        <w:rPr>
          <w:lang w:eastAsia="ja-JP"/>
        </w:rPr>
      </w:pPr>
      <w:r w:rsidRPr="007A3600">
        <w:rPr>
          <w:lang w:eastAsia="ja-JP"/>
        </w:rPr>
        <w:t>This measures the output (timeliness and quality) of activities related to the NDIA managing, advising and reporting on, the operations and the financial sustainability of the NDIS. Section 174 of the NDIS Act requires Board members to prepare a report on the operations of the NDIA for each period of 3 months starting on 1 July,  1 October, 1 January and 1 April. The reports are given to the Ministerial Council within 42 days after the end of the period to which the report relates. The reports are produced to provide transparency on the information (including statistics) and analysis that relates to participants and funding or provision of supports by the NDIA, as well as information about matters prescribed under NDIS rules (section 174(3) of the NDIS Act).</w:t>
      </w:r>
    </w:p>
    <w:p w14:paraId="48FACCAA" w14:textId="77777777" w:rsidR="00334988" w:rsidRPr="007A3600" w:rsidRDefault="00334988" w:rsidP="00AD3197">
      <w:pPr>
        <w:pStyle w:val="Heading6"/>
        <w:rPr>
          <w:lang w:eastAsia="ja-JP"/>
        </w:rPr>
      </w:pPr>
      <w:r w:rsidRPr="007A3600">
        <w:rPr>
          <w:lang w:eastAsia="ja-JP"/>
        </w:rPr>
        <w:t>How we measure this</w:t>
      </w:r>
    </w:p>
    <w:p w14:paraId="588A621C" w14:textId="77777777" w:rsidR="00334988" w:rsidRPr="007A3600" w:rsidRDefault="00334988" w:rsidP="00AD3197">
      <w:pPr>
        <w:rPr>
          <w:lang w:eastAsia="ja-JP"/>
        </w:rPr>
      </w:pPr>
      <w:r w:rsidRPr="007A3600">
        <w:rPr>
          <w:lang w:eastAsia="ja-JP"/>
        </w:rPr>
        <w:t>We achieve this performance measure if quarterly reports are provided to the Ministerial Council within the legislated timeframe. The measure includes NDIA activity that falls within the financial year 1 July to 30 June.</w:t>
      </w:r>
    </w:p>
    <w:p w14:paraId="4FE2A988" w14:textId="77777777" w:rsidR="00334988" w:rsidRPr="007A3600" w:rsidRDefault="00334988" w:rsidP="00AD3197">
      <w:pPr>
        <w:pStyle w:val="Heading6"/>
        <w:rPr>
          <w:lang w:eastAsia="ja-JP"/>
        </w:rPr>
      </w:pPr>
      <w:r w:rsidRPr="007A3600">
        <w:rPr>
          <w:lang w:eastAsia="ja-JP"/>
        </w:rPr>
        <w:t>Analysis</w:t>
      </w:r>
    </w:p>
    <w:p w14:paraId="633D9536" w14:textId="13258F76" w:rsidR="006E4F6F" w:rsidRPr="007A3600" w:rsidRDefault="00334988" w:rsidP="00AD3197">
      <w:pPr>
        <w:rPr>
          <w:lang w:eastAsia="ja-JP"/>
        </w:rPr>
      </w:pPr>
      <w:r w:rsidRPr="007A3600">
        <w:rPr>
          <w:lang w:eastAsia="ja-JP"/>
        </w:rPr>
        <w:t xml:space="preserve">The 2024–25 result includes the delivery of quarterly reports for quarter 4 of 2023–24, quarter 1 of 2024–25, quarter 2 of 2024–25 and quarter 3 of 2024–25. All 4 reports were delivered within the legislated timeframe under section 36(2) of the </w:t>
      </w:r>
      <w:r w:rsidRPr="007A3600">
        <w:rPr>
          <w:i/>
          <w:lang w:eastAsia="ja-JP"/>
        </w:rPr>
        <w:t>Acts Interpretation Act 1901</w:t>
      </w:r>
      <w:r w:rsidRPr="007A3600">
        <w:rPr>
          <w:lang w:eastAsia="ja-JP"/>
        </w:rPr>
        <w:t xml:space="preserve"> and are published on the </w:t>
      </w:r>
      <w:hyperlink r:id="rId51" w:history="1">
        <w:r w:rsidRPr="007A3600">
          <w:rPr>
            <w:rStyle w:val="Hyperlink"/>
          </w:rPr>
          <w:t>NDIS website</w:t>
        </w:r>
      </w:hyperlink>
      <w:r w:rsidRPr="007A3600">
        <w:rPr>
          <w:lang w:eastAsia="ja-JP"/>
        </w:rPr>
        <w:t>.</w:t>
      </w:r>
    </w:p>
    <w:p w14:paraId="0E65A4C7" w14:textId="16BD470D" w:rsidR="006E4F6F" w:rsidRPr="007A3600" w:rsidRDefault="006E4F6F" w:rsidP="00AD3197">
      <w:pPr>
        <w:rPr>
          <w:rFonts w:eastAsia="Times New Roman"/>
          <w:lang w:eastAsia="ja-JP"/>
        </w:rPr>
        <w:sectPr w:rsidR="006E4F6F" w:rsidRPr="007A3600" w:rsidSect="000F17C1">
          <w:footerReference w:type="default" r:id="rId52"/>
          <w:headerReference w:type="first" r:id="rId53"/>
          <w:footerReference w:type="first" r:id="rId54"/>
          <w:pgSz w:w="11906" w:h="16838" w:code="9"/>
          <w:pgMar w:top="142" w:right="1440" w:bottom="1701" w:left="1440" w:header="561" w:footer="374" w:gutter="0"/>
          <w:cols w:space="708"/>
          <w:titlePg/>
          <w:docGrid w:linePitch="360"/>
        </w:sectPr>
      </w:pPr>
    </w:p>
    <w:p w14:paraId="0FFD8B85" w14:textId="27AEA21C" w:rsidR="00786EC7" w:rsidRPr="007A3600" w:rsidRDefault="002F0B0E" w:rsidP="00AD3197">
      <w:pPr>
        <w:pStyle w:val="Heading2"/>
        <w:sectPr w:rsidR="00786EC7" w:rsidRPr="007A3600" w:rsidSect="000F17C1">
          <w:headerReference w:type="even" r:id="rId55"/>
          <w:headerReference w:type="default" r:id="rId56"/>
          <w:headerReference w:type="first" r:id="rId57"/>
          <w:footerReference w:type="first" r:id="rId58"/>
          <w:pgSz w:w="11906" w:h="16838" w:code="9"/>
          <w:pgMar w:top="142" w:right="1440" w:bottom="1701" w:left="1440" w:header="561" w:footer="374" w:gutter="0"/>
          <w:cols w:space="708"/>
          <w:titlePg/>
          <w:docGrid w:linePitch="360"/>
        </w:sectPr>
      </w:pPr>
      <w:bookmarkStart w:id="39" w:name="_Section_3:_Financial"/>
      <w:bookmarkStart w:id="40" w:name="_Toc207017687"/>
      <w:bookmarkStart w:id="41" w:name="_Toc209695840"/>
      <w:bookmarkEnd w:id="39"/>
      <w:r w:rsidRPr="007A3600">
        <w:lastRenderedPageBreak/>
        <w:t xml:space="preserve">Section </w:t>
      </w:r>
      <w:r w:rsidR="009112AF" w:rsidRPr="007A3600">
        <w:t>3</w:t>
      </w:r>
      <w:r w:rsidRPr="007A3600">
        <w:t xml:space="preserve">: Financial </w:t>
      </w:r>
      <w:r w:rsidR="00967D6D" w:rsidRPr="007A3600">
        <w:t xml:space="preserve">sustainability </w:t>
      </w:r>
      <w:r w:rsidRPr="007A3600">
        <w:t>statements</w:t>
      </w:r>
      <w:bookmarkEnd w:id="40"/>
      <w:bookmarkEnd w:id="41"/>
    </w:p>
    <w:p w14:paraId="6540D27C" w14:textId="37FC6443" w:rsidR="004F423B" w:rsidRPr="007A3600" w:rsidRDefault="004F423B" w:rsidP="00AD3197">
      <w:pPr>
        <w:pStyle w:val="Heading3"/>
      </w:pPr>
      <w:bookmarkStart w:id="42" w:name="_Toc206740796"/>
      <w:bookmarkStart w:id="43" w:name="_Toc207720014"/>
      <w:bookmarkStart w:id="44" w:name="_Toc209695841"/>
      <w:bookmarkStart w:id="45" w:name="_Toc207017688"/>
      <w:r w:rsidRPr="007A3600">
        <w:lastRenderedPageBreak/>
        <w:t>3.1</w:t>
      </w:r>
      <w:r w:rsidRPr="007A3600">
        <w:tab/>
      </w:r>
      <w:bookmarkEnd w:id="42"/>
      <w:r w:rsidRPr="007A3600">
        <w:t>Introduction</w:t>
      </w:r>
      <w:bookmarkEnd w:id="43"/>
      <w:bookmarkEnd w:id="44"/>
    </w:p>
    <w:p w14:paraId="02D7C268" w14:textId="425FFAAD" w:rsidR="004F423B" w:rsidRPr="007A3600" w:rsidRDefault="004F423B" w:rsidP="00AD3197">
      <w:pPr>
        <w:rPr>
          <w:lang w:val="en-GB"/>
        </w:rPr>
      </w:pPr>
      <w:r w:rsidRPr="007A3600">
        <w:rPr>
          <w:lang w:val="en-GB"/>
        </w:rPr>
        <w:t xml:space="preserve">Under section 180B of the </w:t>
      </w:r>
      <w:r w:rsidRPr="007A3600">
        <w:rPr>
          <w:i/>
          <w:iCs/>
          <w:lang w:val="en-GB"/>
        </w:rPr>
        <w:t xml:space="preserve">National Disability Insurance Scheme Act </w:t>
      </w:r>
      <w:r w:rsidRPr="007A3600">
        <w:rPr>
          <w:lang w:val="en-GB"/>
        </w:rPr>
        <w:t>2023 (Cth) (NDIS Act), the Scheme Actuary must provide an annual financial sustainability report (AFSR) and an assessment of the financial sustainability of the NDIS. The AFSR is produced using data at 30 June each year.</w:t>
      </w:r>
    </w:p>
    <w:p w14:paraId="2A49BDB7" w14:textId="39DBDA9C" w:rsidR="004F423B" w:rsidRPr="007A3600" w:rsidRDefault="004F423B" w:rsidP="00AD3197">
      <w:pPr>
        <w:rPr>
          <w:lang w:val="en-GB"/>
        </w:rPr>
      </w:pPr>
      <w:r w:rsidRPr="007A3600">
        <w:rPr>
          <w:lang w:val="en-GB"/>
        </w:rPr>
        <w:t>The 2024</w:t>
      </w:r>
      <w:r w:rsidR="00540BD9" w:rsidRPr="007A3600">
        <w:rPr>
          <w:lang w:val="en-GB"/>
        </w:rPr>
        <w:t>–</w:t>
      </w:r>
      <w:r w:rsidRPr="007A3600">
        <w:rPr>
          <w:lang w:val="en-GB"/>
        </w:rPr>
        <w:t>25 AFSR uses data to 30 June 2025 to project future Scheme expenses. The results in this report are referred to as the ‘June 2025 projections’.</w:t>
      </w:r>
    </w:p>
    <w:p w14:paraId="69FFD638" w14:textId="38C3CE4D" w:rsidR="004F423B" w:rsidRPr="007A3600" w:rsidRDefault="004F423B" w:rsidP="00AD3197">
      <w:pPr>
        <w:rPr>
          <w:lang w:val="en-GB"/>
        </w:rPr>
      </w:pPr>
      <w:r w:rsidRPr="007A3600">
        <w:rPr>
          <w:lang w:val="en-GB"/>
        </w:rPr>
        <w:t>The 2023</w:t>
      </w:r>
      <w:r w:rsidR="00540BD9" w:rsidRPr="007A3600">
        <w:rPr>
          <w:lang w:val="en-GB"/>
        </w:rPr>
        <w:t>–</w:t>
      </w:r>
      <w:r w:rsidRPr="007A3600">
        <w:rPr>
          <w:lang w:val="en-GB"/>
        </w:rPr>
        <w:t>24 AFSR</w:t>
      </w:r>
      <w:r w:rsidRPr="007A3600">
        <w:rPr>
          <w:rStyle w:val="FootnoteReference"/>
          <w:rFonts w:eastAsia="FSMePro"/>
        </w:rPr>
        <w:footnoteReference w:id="2"/>
      </w:r>
      <w:r w:rsidRPr="007A3600">
        <w:rPr>
          <w:lang w:val="en-GB"/>
        </w:rPr>
        <w:t xml:space="preserve"> (referred to as the ‘previous review’), was based on data to 30 June 2024. The results in the previous review are referred to as ‘June 2024 projections’.</w:t>
      </w:r>
    </w:p>
    <w:p w14:paraId="16CA10CA" w14:textId="3C7CA502" w:rsidR="004F423B" w:rsidRPr="007A3600" w:rsidRDefault="00911CEC" w:rsidP="00AD3197">
      <w:pPr>
        <w:pStyle w:val="Heading3"/>
      </w:pPr>
      <w:bookmarkStart w:id="46" w:name="_Toc207017689"/>
      <w:bookmarkStart w:id="47" w:name="_Toc207720015"/>
      <w:bookmarkStart w:id="48" w:name="_Toc206740797"/>
      <w:bookmarkStart w:id="49" w:name="_Toc209695842"/>
      <w:r w:rsidRPr="007A3600">
        <w:t>3</w:t>
      </w:r>
      <w:r w:rsidR="004F423B" w:rsidRPr="007A3600">
        <w:t>.2</w:t>
      </w:r>
      <w:r w:rsidR="004F423B" w:rsidRPr="007A3600">
        <w:tab/>
      </w:r>
      <w:bookmarkEnd w:id="46"/>
      <w:r w:rsidR="004F423B" w:rsidRPr="007A3600">
        <w:t>Scheme reforms</w:t>
      </w:r>
      <w:bookmarkEnd w:id="47"/>
      <w:bookmarkEnd w:id="48"/>
      <w:r w:rsidR="004F423B" w:rsidRPr="007A3600">
        <w:t xml:space="preserve"> update since previous review</w:t>
      </w:r>
      <w:bookmarkEnd w:id="49"/>
    </w:p>
    <w:p w14:paraId="60F2E52E" w14:textId="45FE78E6" w:rsidR="004F423B" w:rsidRPr="007A3600" w:rsidRDefault="004F423B" w:rsidP="00AD3197">
      <w:pPr>
        <w:rPr>
          <w:lang w:val="en-GB"/>
        </w:rPr>
      </w:pPr>
      <w:bookmarkStart w:id="50" w:name="_Hlk207119364"/>
      <w:r w:rsidRPr="007A3600">
        <w:rPr>
          <w:lang w:val="en-GB"/>
        </w:rPr>
        <w:t>In April 2023, the National Cabinet set a target to reduce annual growth in Scheme expenses to 8% from financial year 2026</w:t>
      </w:r>
      <w:r w:rsidR="003C60AF" w:rsidRPr="007A3600">
        <w:rPr>
          <w:lang w:val="en-GB"/>
        </w:rPr>
        <w:t>–</w:t>
      </w:r>
      <w:r w:rsidRPr="007A3600">
        <w:rPr>
          <w:lang w:val="en-GB"/>
        </w:rPr>
        <w:t xml:space="preserve">27, moderating thereafter. The </w:t>
      </w:r>
      <w:r w:rsidR="00D270F6" w:rsidRPr="007A3600">
        <w:t>Minister for Disability and the National Disability Insurance Scheme</w:t>
      </w:r>
      <w:r w:rsidRPr="007A3600">
        <w:rPr>
          <w:lang w:val="en-GB"/>
        </w:rPr>
        <w:t xml:space="preserve"> announced, in August 2025, the Commonwealth’s intention to further reduce Scheme growth within the medium term</w:t>
      </w:r>
      <w:r w:rsidRPr="007A3600">
        <w:t xml:space="preserve"> to </w:t>
      </w:r>
      <w:r w:rsidRPr="007A3600">
        <w:rPr>
          <w:lang w:val="en-GB"/>
        </w:rPr>
        <w:t>5</w:t>
      </w:r>
      <w:r w:rsidR="00540BD9" w:rsidRPr="007A3600">
        <w:rPr>
          <w:lang w:val="en-GB"/>
        </w:rPr>
        <w:t>–</w:t>
      </w:r>
      <w:r w:rsidRPr="007A3600">
        <w:rPr>
          <w:lang w:val="en-GB"/>
        </w:rPr>
        <w:t>6% per annum.</w:t>
      </w:r>
    </w:p>
    <w:p w14:paraId="614F00B5" w14:textId="77777777" w:rsidR="004F423B" w:rsidRPr="007A3600" w:rsidRDefault="004F423B" w:rsidP="00AD3197">
      <w:pPr>
        <w:rPr>
          <w:lang w:val="en-GB"/>
        </w:rPr>
      </w:pPr>
      <w:r w:rsidRPr="007A3600">
        <w:rPr>
          <w:lang w:val="en-GB"/>
        </w:rPr>
        <w:t>In the past two financial years the Government has invested significantly in the NDIA’s workforce and introduced changes to legislation</w:t>
      </w:r>
      <w:r w:rsidRPr="007A3600">
        <w:rPr>
          <w:vertAlign w:val="superscript"/>
        </w:rPr>
        <w:footnoteReference w:id="3"/>
      </w:r>
      <w:r w:rsidRPr="007A3600">
        <w:rPr>
          <w:lang w:val="en-GB"/>
        </w:rPr>
        <w:t xml:space="preserve"> to improve outcomes for people with disability and help ensure the sustainability of the NDIS. </w:t>
      </w:r>
    </w:p>
    <w:p w14:paraId="2EDB0848" w14:textId="77777777" w:rsidR="004F423B" w:rsidRPr="007A3600" w:rsidRDefault="004F423B" w:rsidP="00AD3197">
      <w:pPr>
        <w:rPr>
          <w:lang w:val="en-GB"/>
        </w:rPr>
      </w:pPr>
      <w:r w:rsidRPr="007A3600">
        <w:rPr>
          <w:lang w:val="en-GB"/>
        </w:rPr>
        <w:t>The NDIA engages extensively with people with disability to co-design Scheme reforms. Recent activities have focused on improving early intervention pathways, participant planning processes and participant safety, as well as improving the approach to assessments and budgeting.</w:t>
      </w:r>
    </w:p>
    <w:p w14:paraId="23D9748B" w14:textId="77777777" w:rsidR="004F423B" w:rsidRPr="007A3600" w:rsidRDefault="004F423B" w:rsidP="00AD3197">
      <w:pPr>
        <w:rPr>
          <w:lang w:val="en-GB"/>
        </w:rPr>
      </w:pPr>
      <w:r w:rsidRPr="007A3600">
        <w:rPr>
          <w:lang w:val="en-GB"/>
        </w:rPr>
        <w:t>The NDIA’s integrity and anti-fraud activities are also contributing to the sustainability of the NDIS</w:t>
      </w:r>
      <w:bookmarkEnd w:id="50"/>
      <w:r w:rsidRPr="007A3600">
        <w:rPr>
          <w:lang w:val="en-GB"/>
        </w:rPr>
        <w:t>.</w:t>
      </w:r>
    </w:p>
    <w:p w14:paraId="6858CFC9" w14:textId="14D3202F" w:rsidR="004F423B" w:rsidRPr="007A3600" w:rsidRDefault="004F423B" w:rsidP="00AD3197">
      <w:pPr>
        <w:rPr>
          <w:lang w:val="en-GB"/>
        </w:rPr>
      </w:pPr>
      <w:r w:rsidRPr="007A3600">
        <w:rPr>
          <w:lang w:val="en-GB"/>
        </w:rPr>
        <w:t>The June 2024 projections included estimated future savings related to anticipated future Scheme reform activities, covering:</w:t>
      </w:r>
    </w:p>
    <w:p w14:paraId="32284350" w14:textId="77777777" w:rsidR="004F423B" w:rsidRPr="007A3600" w:rsidRDefault="004F423B" w:rsidP="00AD3197">
      <w:pPr>
        <w:pStyle w:val="Bullet1"/>
        <w:rPr>
          <w:lang w:val="en-GB"/>
        </w:rPr>
      </w:pPr>
      <w:bookmarkStart w:id="51" w:name="_Hlk207119880"/>
      <w:r w:rsidRPr="007A3600">
        <w:rPr>
          <w:b/>
          <w:bCs/>
          <w:lang w:val="en-GB"/>
        </w:rPr>
        <w:lastRenderedPageBreak/>
        <w:t>Legislation changes</w:t>
      </w:r>
      <w:r w:rsidRPr="007A3600">
        <w:rPr>
          <w:lang w:val="en-GB"/>
        </w:rPr>
        <w:t xml:space="preserve"> enabling measures to reduce intra-plan inflation by establishing total funding amounts, funding components and funding periods; and introducing assessment and budgeting reforms that establish a new planning framework informed by a support needs assessment.</w:t>
      </w:r>
    </w:p>
    <w:p w14:paraId="4DAB201D" w14:textId="77777777" w:rsidR="004F423B" w:rsidRPr="007A3600" w:rsidRDefault="004F423B" w:rsidP="00AD3197">
      <w:pPr>
        <w:pStyle w:val="Bullet1"/>
        <w:rPr>
          <w:lang w:val="en-GB"/>
        </w:rPr>
      </w:pPr>
      <w:r w:rsidRPr="007A3600">
        <w:rPr>
          <w:b/>
          <w:bCs/>
          <w:lang w:val="en-GB"/>
        </w:rPr>
        <w:t>Integrity and fraud</w:t>
      </w:r>
      <w:r w:rsidRPr="007A3600">
        <w:rPr>
          <w:lang w:val="en-GB"/>
        </w:rPr>
        <w:t xml:space="preserve"> improvements through the Crack Down on Fraud program (CDoF)</w:t>
      </w:r>
      <w:r w:rsidRPr="007A3600">
        <w:rPr>
          <w:rFonts w:cs="Arial"/>
          <w:vertAlign w:val="superscript"/>
        </w:rPr>
        <w:footnoteReference w:id="4"/>
      </w:r>
      <w:r w:rsidRPr="007A3600">
        <w:rPr>
          <w:lang w:val="en-GB"/>
        </w:rPr>
        <w:t xml:space="preserve"> that will see technology enhancements to prevent and reduce fraud and non-compliant behaviour.</w:t>
      </w:r>
    </w:p>
    <w:p w14:paraId="38FBE063" w14:textId="77777777" w:rsidR="004F423B" w:rsidRPr="007A3600" w:rsidRDefault="004F423B" w:rsidP="00AD3197">
      <w:pPr>
        <w:pStyle w:val="Bullet1"/>
        <w:rPr>
          <w:lang w:val="en-GB"/>
        </w:rPr>
      </w:pPr>
      <w:r w:rsidRPr="007A3600">
        <w:rPr>
          <w:b/>
          <w:bCs/>
          <w:lang w:val="en-GB"/>
        </w:rPr>
        <w:t>Foundational supports,</w:t>
      </w:r>
      <w:r w:rsidRPr="007A3600">
        <w:rPr>
          <w:lang w:val="en-GB"/>
        </w:rPr>
        <w:t xml:space="preserve"> </w:t>
      </w:r>
      <w:r w:rsidRPr="007A3600">
        <w:t xml:space="preserve">a National Cabinet commitment to develop and implement foundational supports provided </w:t>
      </w:r>
      <w:r w:rsidRPr="007A3600">
        <w:rPr>
          <w:lang w:val="en-GB"/>
        </w:rPr>
        <w:t>outside the NDIS. The aim is to improve support for individuals who are not NDIS participants</w:t>
      </w:r>
      <w:r w:rsidRPr="007A3600">
        <w:t xml:space="preserve">, </w:t>
      </w:r>
      <w:r w:rsidRPr="007A3600">
        <w:rPr>
          <w:lang w:val="en-GB"/>
        </w:rPr>
        <w:t>including children with early intervention needs.</w:t>
      </w:r>
    </w:p>
    <w:p w14:paraId="31DC065D" w14:textId="77777777" w:rsidR="004F423B" w:rsidRPr="007A3600" w:rsidRDefault="004F423B" w:rsidP="00AD3197">
      <w:pPr>
        <w:rPr>
          <w:lang w:val="en-GB"/>
        </w:rPr>
      </w:pPr>
      <w:bookmarkStart w:id="52" w:name="_Hlk207120290"/>
      <w:bookmarkEnd w:id="51"/>
      <w:r w:rsidRPr="007A3600">
        <w:rPr>
          <w:lang w:val="en-GB"/>
        </w:rPr>
        <w:t>Since the previous review, amendments to the NDIS Act took effect from 3 October 2024. As a result of these changes, the following Scheme reform activities have occurred or are in progress:</w:t>
      </w:r>
    </w:p>
    <w:p w14:paraId="60ECF3CD" w14:textId="51479351" w:rsidR="004F423B" w:rsidRPr="007A3600" w:rsidRDefault="004F423B" w:rsidP="00AD3197">
      <w:pPr>
        <w:pStyle w:val="Bullet1"/>
      </w:pPr>
      <w:r w:rsidRPr="007A3600">
        <w:t>Introduced a list of NDIS supports to clarify what supports participants can spend their funds on (October 2024)</w:t>
      </w:r>
      <w:r w:rsidR="00017149" w:rsidRPr="007A3600">
        <w:t>.</w:t>
      </w:r>
    </w:p>
    <w:p w14:paraId="7D51ED64" w14:textId="41EB5CEC" w:rsidR="004F423B" w:rsidRPr="007A3600" w:rsidRDefault="004F423B" w:rsidP="00AD3197">
      <w:pPr>
        <w:pStyle w:val="Bullet1"/>
      </w:pPr>
      <w:r w:rsidRPr="007A3600">
        <w:t>Introduced ‘funding periods’ to help participants spend within their plan budgets (May 2025)</w:t>
      </w:r>
      <w:r w:rsidR="00017149" w:rsidRPr="007A3600">
        <w:t>.</w:t>
      </w:r>
    </w:p>
    <w:p w14:paraId="4B0D0113" w14:textId="77777777" w:rsidR="004F423B" w:rsidRPr="007A3600" w:rsidRDefault="004F423B" w:rsidP="00AD3197">
      <w:pPr>
        <w:pStyle w:val="Bullet1"/>
      </w:pPr>
      <w:r w:rsidRPr="007A3600">
        <w:t>Commenced development of a new planning framework that will introduce a supports needs assessment and flexible budgets.</w:t>
      </w:r>
    </w:p>
    <w:p w14:paraId="4CEF1789" w14:textId="77777777" w:rsidR="004F423B" w:rsidRPr="007A3600" w:rsidRDefault="004F423B" w:rsidP="00AD3197">
      <w:pPr>
        <w:rPr>
          <w:lang w:val="en-GB"/>
        </w:rPr>
      </w:pPr>
      <w:r w:rsidRPr="007A3600">
        <w:rPr>
          <w:lang w:val="en-GB"/>
        </w:rPr>
        <w:t>The CDoF program has increased its workforce to enhance fraud detection and ensure the integrity of payments. The CDoF program complements the work of the Fraud Fusion Taskforce.</w:t>
      </w:r>
    </w:p>
    <w:p w14:paraId="0B66B040" w14:textId="2B7F75D3" w:rsidR="004F423B" w:rsidRPr="007A3600" w:rsidRDefault="004F423B" w:rsidP="00AD3197">
      <w:r w:rsidRPr="007A3600">
        <w:rPr>
          <w:lang w:val="en-GB"/>
        </w:rPr>
        <w:t>In August 2025, the Minister for Disability and the N</w:t>
      </w:r>
      <w:r w:rsidR="00FF0566">
        <w:rPr>
          <w:lang w:val="en-GB"/>
        </w:rPr>
        <w:t xml:space="preserve">ational </w:t>
      </w:r>
      <w:r w:rsidRPr="007A3600">
        <w:rPr>
          <w:lang w:val="en-GB"/>
        </w:rPr>
        <w:t>D</w:t>
      </w:r>
      <w:r w:rsidR="00FF0566">
        <w:rPr>
          <w:lang w:val="en-GB"/>
        </w:rPr>
        <w:t xml:space="preserve">isability </w:t>
      </w:r>
      <w:r w:rsidRPr="007A3600">
        <w:rPr>
          <w:lang w:val="en-GB"/>
        </w:rPr>
        <w:t>I</w:t>
      </w:r>
      <w:r w:rsidR="00FF0566">
        <w:rPr>
          <w:lang w:val="en-GB"/>
        </w:rPr>
        <w:t xml:space="preserve">nsurance </w:t>
      </w:r>
      <w:r w:rsidRPr="007A3600">
        <w:rPr>
          <w:lang w:val="en-GB"/>
        </w:rPr>
        <w:t>S</w:t>
      </w:r>
      <w:r w:rsidR="00FF0566">
        <w:rPr>
          <w:lang w:val="en-GB"/>
        </w:rPr>
        <w:t>cheme</w:t>
      </w:r>
      <w:r w:rsidRPr="007A3600">
        <w:rPr>
          <w:lang w:val="en-GB"/>
        </w:rPr>
        <w:t xml:space="preserve"> announced plans to establish a new program called ‘Thriving Kids’ to be introduced in 2026</w:t>
      </w:r>
      <w:r w:rsidR="003C60AF" w:rsidRPr="007A3600">
        <w:rPr>
          <w:lang w:val="en-GB"/>
        </w:rPr>
        <w:t>–</w:t>
      </w:r>
      <w:r w:rsidRPr="007A3600">
        <w:rPr>
          <w:lang w:val="en-GB"/>
        </w:rPr>
        <w:t>27. Thriving Kids is an important aspect of Scheme reforms, with a key focus to provide supports for children aged 8 or under with mild to moderate developmental delay and autism outside the NDIS.</w:t>
      </w:r>
    </w:p>
    <w:bookmarkEnd w:id="52"/>
    <w:p w14:paraId="7D8433AE" w14:textId="77777777" w:rsidR="004F423B" w:rsidRPr="007A3600" w:rsidRDefault="004F423B" w:rsidP="00AD3197">
      <w:pPr>
        <w:pStyle w:val="Heading4"/>
        <w:rPr>
          <w:lang w:val="en-GB"/>
        </w:rPr>
      </w:pPr>
      <w:r w:rsidRPr="007A3600">
        <w:rPr>
          <w:lang w:val="en-GB"/>
        </w:rPr>
        <w:t>Impact of Scheme reforms on June 2025 projections</w:t>
      </w:r>
    </w:p>
    <w:p w14:paraId="53BF8F66" w14:textId="704F4A46" w:rsidR="004F423B" w:rsidRPr="007A3600" w:rsidRDefault="004F423B" w:rsidP="00AD3197">
      <w:bookmarkStart w:id="53" w:name="_Hlk207120518"/>
      <w:r w:rsidRPr="007A3600">
        <w:t>Reforms are at various stages of implementation. Some reform activities have partly or fully emerged in Scheme experience over 2024</w:t>
      </w:r>
      <w:r w:rsidR="003C60AF" w:rsidRPr="007A3600">
        <w:t>–</w:t>
      </w:r>
      <w:r w:rsidRPr="007A3600">
        <w:t xml:space="preserve">25 and are implicitly incorporated in the June 2025 projections. </w:t>
      </w:r>
    </w:p>
    <w:p w14:paraId="76ED1930" w14:textId="77777777" w:rsidR="004F423B" w:rsidRPr="007A3600" w:rsidRDefault="004F423B" w:rsidP="00AD3197">
      <w:r w:rsidRPr="007A3600">
        <w:lastRenderedPageBreak/>
        <w:t>Other reform activities, or programs, are either in the process of being implemented, or under development and expected to impact Scheme experience in future years. These are explicitly allowed for in assumptions regarding future Scheme experience.</w:t>
      </w:r>
    </w:p>
    <w:p w14:paraId="00EC3E2D" w14:textId="169BE42C" w:rsidR="004F423B" w:rsidRPr="007A3600" w:rsidRDefault="004F423B" w:rsidP="00AD3197">
      <w:pPr>
        <w:rPr>
          <w:lang w:val="en-GB"/>
        </w:rPr>
      </w:pPr>
      <w:r w:rsidRPr="007A3600">
        <w:t>As the design of the Thriving Kids program is not yet finalised, assumptions regarding Foundational Supports in the June 2025 projections are consistent with those in the June 2024 projections, with commencement from 1 July 2026 rather than 1 July 2025 as was assumed in the June 2024 projections. Future projections will reflect assumptions regarding Thriving Kids at the point agreement is reached in relation to policy settings.</w:t>
      </w:r>
    </w:p>
    <w:p w14:paraId="021A0205" w14:textId="43BC9CE5" w:rsidR="004F423B" w:rsidRPr="007A3600" w:rsidRDefault="00F11F56" w:rsidP="00AD3197">
      <w:pPr>
        <w:pStyle w:val="Heading3"/>
      </w:pPr>
      <w:bookmarkStart w:id="54" w:name="_Toc206740798"/>
      <w:bookmarkStart w:id="55" w:name="_Toc207720016"/>
      <w:bookmarkStart w:id="56" w:name="_Toc207017693"/>
      <w:bookmarkStart w:id="57" w:name="_Toc209695843"/>
      <w:bookmarkEnd w:id="53"/>
      <w:r w:rsidRPr="007A3600">
        <w:t>3</w:t>
      </w:r>
      <w:r w:rsidR="004F423B" w:rsidRPr="007A3600">
        <w:t>.3</w:t>
      </w:r>
      <w:r w:rsidR="004F423B" w:rsidRPr="007A3600">
        <w:tab/>
      </w:r>
      <w:bookmarkStart w:id="58" w:name="_Toc169592969"/>
      <w:bookmarkStart w:id="59" w:name="_Toc174354194"/>
      <w:bookmarkStart w:id="60" w:name="_Toc175316898"/>
      <w:bookmarkStart w:id="61" w:name="_Toc176786389"/>
      <w:bookmarkStart w:id="62" w:name="_Toc177474305"/>
      <w:r w:rsidR="004F423B" w:rsidRPr="007A3600">
        <w:t>June 2025 projection of Scheme expenses</w:t>
      </w:r>
      <w:bookmarkEnd w:id="54"/>
      <w:bookmarkEnd w:id="55"/>
      <w:bookmarkEnd w:id="56"/>
      <w:bookmarkEnd w:id="57"/>
      <w:bookmarkEnd w:id="58"/>
      <w:bookmarkEnd w:id="59"/>
      <w:bookmarkEnd w:id="60"/>
      <w:bookmarkEnd w:id="61"/>
      <w:bookmarkEnd w:id="62"/>
    </w:p>
    <w:p w14:paraId="3ACC19BD" w14:textId="769921DE" w:rsidR="004F423B" w:rsidRPr="007A3600" w:rsidRDefault="004F423B" w:rsidP="00AD3197">
      <w:pPr>
        <w:rPr>
          <w:lang w:val="en-GB"/>
        </w:rPr>
      </w:pPr>
      <w:r w:rsidRPr="007A3600">
        <w:rPr>
          <w:lang w:val="en-GB"/>
        </w:rPr>
        <w:t>Projected Scheme expenses on an accrual basis are $50.7 billion in 2025–26, increasing to $62.5 billion in 2028–29</w:t>
      </w:r>
      <w:r w:rsidRPr="007A3600">
        <w:rPr>
          <w:rFonts w:cs="Arial"/>
          <w:vertAlign w:val="superscript"/>
          <w:lang w:val="en-GB"/>
        </w:rPr>
        <w:footnoteReference w:id="5"/>
      </w:r>
      <w:r w:rsidRPr="007A3600">
        <w:rPr>
          <w:lang w:val="en-GB"/>
        </w:rPr>
        <w:t xml:space="preserve">, with a total of $225.3 billion over the four years to June 2029 as shown in </w:t>
      </w:r>
      <w:r w:rsidR="00312702" w:rsidRPr="007A3600">
        <w:rPr>
          <w:lang w:val="en-GB"/>
        </w:rPr>
        <w:t>t</w:t>
      </w:r>
      <w:r w:rsidRPr="007A3600">
        <w:rPr>
          <w:lang w:val="en-GB"/>
        </w:rPr>
        <w:t>able 1. The June 2025 projections are $1.2 billion lower than for the same four-year period than in the June 2024 projections.</w:t>
      </w:r>
    </w:p>
    <w:p w14:paraId="4304352C" w14:textId="77777777" w:rsidR="004F423B" w:rsidRPr="007A3600" w:rsidRDefault="004F423B" w:rsidP="00AD3197">
      <w:pPr>
        <w:rPr>
          <w:lang w:val="en-GB"/>
        </w:rPr>
      </w:pPr>
      <w:r w:rsidRPr="007A3600">
        <w:rPr>
          <w:lang w:val="en-GB"/>
        </w:rPr>
        <w:t>The June 2025 projections of Scheme expenses incorporate revisions to assumptions and changes in future expectations since the June 2024 projections. This includes updates to the estimated future savings due to Scheme reforms and impacts of changes to operational processes and measures.</w:t>
      </w:r>
    </w:p>
    <w:p w14:paraId="1378AB7C" w14:textId="77777777" w:rsidR="004F423B" w:rsidRPr="007A3600" w:rsidRDefault="004F423B" w:rsidP="00AD3197">
      <w:pPr>
        <w:pStyle w:val="Caption"/>
      </w:pPr>
      <w:r w:rsidRPr="007A3600">
        <w:t>Table 1: Comparison with June 2024 projections</w:t>
      </w:r>
    </w:p>
    <w:tbl>
      <w:tblPr>
        <w:tblStyle w:val="NDISTable2"/>
        <w:tblW w:w="9072" w:type="dxa"/>
        <w:tblCellMar>
          <w:left w:w="28" w:type="dxa"/>
          <w:right w:w="28" w:type="dxa"/>
        </w:tblCellMar>
        <w:tblLook w:val="06A0" w:firstRow="1" w:lastRow="0" w:firstColumn="1" w:lastColumn="0" w:noHBand="1" w:noVBand="1"/>
      </w:tblPr>
      <w:tblGrid>
        <w:gridCol w:w="3402"/>
        <w:gridCol w:w="1134"/>
        <w:gridCol w:w="1134"/>
        <w:gridCol w:w="1134"/>
        <w:gridCol w:w="1134"/>
        <w:gridCol w:w="1134"/>
      </w:tblGrid>
      <w:tr w:rsidR="004F423B" w:rsidRPr="007A3600" w14:paraId="2A85C354" w14:textId="77777777" w:rsidTr="0054636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B2876" w:themeColor="text1"/>
              <w:left w:val="single" w:sz="4" w:space="0" w:color="6B2876" w:themeColor="text1"/>
            </w:tcBorders>
            <w:hideMark/>
          </w:tcPr>
          <w:p w14:paraId="17576700" w14:textId="77777777" w:rsidR="004F423B" w:rsidRPr="007A3600" w:rsidRDefault="004F423B" w:rsidP="00AD3197">
            <w:pPr>
              <w:spacing w:line="268" w:lineRule="auto"/>
            </w:pPr>
            <w:bookmarkStart w:id="63" w:name="_Hlk207120928"/>
            <w:r w:rsidRPr="007A3600">
              <w:rPr>
                <w:lang w:val="en-GB"/>
              </w:rPr>
              <w:t>Scheme expenses ($m accrual basis)</w:t>
            </w:r>
          </w:p>
        </w:tc>
        <w:tc>
          <w:tcPr>
            <w:tcW w:w="1134" w:type="dxa"/>
            <w:tcBorders>
              <w:top w:val="single" w:sz="4" w:space="0" w:color="6B2876" w:themeColor="text1"/>
              <w:bottom w:val="single" w:sz="4" w:space="0" w:color="6B2876" w:themeColor="text1"/>
            </w:tcBorders>
            <w:hideMark/>
          </w:tcPr>
          <w:p w14:paraId="0F173243"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2025–26 </w:t>
            </w:r>
          </w:p>
        </w:tc>
        <w:tc>
          <w:tcPr>
            <w:tcW w:w="1134" w:type="dxa"/>
            <w:tcBorders>
              <w:top w:val="single" w:sz="4" w:space="0" w:color="6B2876" w:themeColor="text1"/>
              <w:bottom w:val="single" w:sz="4" w:space="0" w:color="6B2876" w:themeColor="text1"/>
            </w:tcBorders>
            <w:hideMark/>
          </w:tcPr>
          <w:p w14:paraId="07EFDDDB"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2026–27 </w:t>
            </w:r>
          </w:p>
        </w:tc>
        <w:tc>
          <w:tcPr>
            <w:tcW w:w="1134" w:type="dxa"/>
            <w:tcBorders>
              <w:top w:val="single" w:sz="4" w:space="0" w:color="6B2876" w:themeColor="text1"/>
              <w:bottom w:val="single" w:sz="4" w:space="0" w:color="6B2876" w:themeColor="text1"/>
            </w:tcBorders>
            <w:hideMark/>
          </w:tcPr>
          <w:p w14:paraId="181EBFCD"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2027–28</w:t>
            </w:r>
          </w:p>
        </w:tc>
        <w:tc>
          <w:tcPr>
            <w:tcW w:w="1134" w:type="dxa"/>
            <w:tcBorders>
              <w:top w:val="single" w:sz="4" w:space="0" w:color="6B2876" w:themeColor="text1"/>
              <w:bottom w:val="single" w:sz="4" w:space="0" w:color="6B2876" w:themeColor="text1"/>
            </w:tcBorders>
            <w:hideMark/>
          </w:tcPr>
          <w:p w14:paraId="6EB0D983"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2028–29</w:t>
            </w:r>
          </w:p>
        </w:tc>
        <w:tc>
          <w:tcPr>
            <w:tcW w:w="1134" w:type="dxa"/>
            <w:tcBorders>
              <w:top w:val="single" w:sz="4" w:space="0" w:color="6B2876" w:themeColor="text1"/>
              <w:bottom w:val="single" w:sz="4" w:space="0" w:color="6B2876" w:themeColor="text1"/>
              <w:right w:val="single" w:sz="4" w:space="0" w:color="6B2876" w:themeColor="text1"/>
            </w:tcBorders>
            <w:hideMark/>
          </w:tcPr>
          <w:p w14:paraId="11955FB8"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Total </w:t>
            </w:r>
            <w:r w:rsidRPr="007A3600">
              <w:rPr>
                <w:lang w:val="en-GB"/>
              </w:rPr>
              <w:br/>
              <w:t xml:space="preserve">2025–29 </w:t>
            </w:r>
          </w:p>
        </w:tc>
      </w:tr>
      <w:tr w:rsidR="004F423B" w:rsidRPr="007A3600" w14:paraId="646A5F2D" w14:textId="77777777" w:rsidTr="0054636F">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hideMark/>
          </w:tcPr>
          <w:p w14:paraId="68A32ACE" w14:textId="77777777" w:rsidR="004F423B" w:rsidRPr="007A3600" w:rsidRDefault="004F423B" w:rsidP="00AD3197">
            <w:pPr>
              <w:spacing w:line="268" w:lineRule="auto"/>
              <w:rPr>
                <w:b/>
                <w:bCs/>
              </w:rPr>
            </w:pPr>
            <w:r w:rsidRPr="007A3600">
              <w:rPr>
                <w:b/>
                <w:bCs/>
                <w:lang w:val="en-GB"/>
              </w:rPr>
              <w:t>June 2025 projections (a)</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56AE1101"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50,705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6ECF29FA"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53,958</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1C8A5B20"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58,126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02D6A57C"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62,461</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hideMark/>
          </w:tcPr>
          <w:p w14:paraId="7F9724C4"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rPr>
                <w:lang w:val="en-GB"/>
              </w:rPr>
              <w:t>225,250</w:t>
            </w:r>
          </w:p>
        </w:tc>
      </w:tr>
      <w:tr w:rsidR="004F423B" w:rsidRPr="007A3600" w14:paraId="3BA2CB45" w14:textId="77777777" w:rsidTr="0054636F">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shd w:val="clear" w:color="auto" w:fill="ECD4F0"/>
            <w:hideMark/>
          </w:tcPr>
          <w:p w14:paraId="5FD2285F" w14:textId="77777777" w:rsidR="004F423B" w:rsidRPr="007A3600" w:rsidRDefault="004F423B" w:rsidP="00AD3197">
            <w:pPr>
              <w:spacing w:line="268" w:lineRule="auto"/>
              <w:rPr>
                <w:b/>
                <w:bCs/>
              </w:rPr>
            </w:pPr>
            <w:r w:rsidRPr="007A3600">
              <w:rPr>
                <w:b/>
                <w:bCs/>
                <w:lang w:val="en-GB"/>
              </w:rPr>
              <w:t>June 2024 projections (b)</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1C63BB5A"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rPr>
                <w:lang w:val="en-GB"/>
              </w:rPr>
              <w:t>50,789</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39172252"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rPr>
                <w:lang w:val="en-GB"/>
              </w:rPr>
              <w:t>54,215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478C6739"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rPr>
                <w:lang w:val="en-GB"/>
              </w:rPr>
              <w:t>58,390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7060E1D3"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63,062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4FC45FFA"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226,455</w:t>
            </w:r>
          </w:p>
        </w:tc>
      </w:tr>
      <w:tr w:rsidR="004F423B" w:rsidRPr="007A3600" w14:paraId="12E1E141" w14:textId="77777777" w:rsidTr="0054636F">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shd w:val="clear" w:color="auto" w:fill="E0E0E0" w:themeFill="background1" w:themeFillShade="E6"/>
            <w:hideMark/>
          </w:tcPr>
          <w:p w14:paraId="6F5CDA8C" w14:textId="77777777" w:rsidR="004F423B" w:rsidRPr="007A3600" w:rsidRDefault="004F423B" w:rsidP="00AD3197">
            <w:pPr>
              <w:spacing w:line="268" w:lineRule="auto"/>
              <w:rPr>
                <w:b/>
                <w:bCs/>
              </w:rPr>
            </w:pPr>
            <w:r w:rsidRPr="007A3600">
              <w:rPr>
                <w:b/>
                <w:bCs/>
                <w:lang w:val="en-GB"/>
              </w:rPr>
              <w:t>Difference (a - b)</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58392DCF"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-84</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249F4F45"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-256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0EB0C138"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-264</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2DF128D5"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-601</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17B842A8"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rPr>
                <w:lang w:val="en-GB"/>
              </w:rPr>
              <w:t>-1,205</w:t>
            </w:r>
          </w:p>
        </w:tc>
      </w:tr>
      <w:tr w:rsidR="004F423B" w:rsidRPr="007A3600" w14:paraId="17C6667A" w14:textId="77777777" w:rsidTr="0054636F">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7E8B3341" w14:textId="77777777" w:rsidR="004F423B" w:rsidRPr="007A3600" w:rsidRDefault="004F423B" w:rsidP="00AD3197">
            <w:pPr>
              <w:spacing w:line="268" w:lineRule="auto"/>
              <w:rPr>
                <w:b/>
                <w:bCs/>
              </w:rPr>
            </w:pPr>
            <w:r w:rsidRPr="007A3600">
              <w:rPr>
                <w:b/>
                <w:bCs/>
                <w:lang w:val="en-GB"/>
              </w:rPr>
              <w:t>Difference (%) (a/b - 1)</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3D3A511B"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-0.2%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01464278"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-0.5%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7F7097E8"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-0.5%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1D80A6D5"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-1.0%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hideMark/>
          </w:tcPr>
          <w:p w14:paraId="6B8CE8A8"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-0.5%</w:t>
            </w:r>
          </w:p>
        </w:tc>
      </w:tr>
    </w:tbl>
    <w:bookmarkEnd w:id="63"/>
    <w:p w14:paraId="31560A19" w14:textId="77777777" w:rsidR="004F423B" w:rsidRPr="007A3600" w:rsidRDefault="004F423B" w:rsidP="00AD3197">
      <w:pPr>
        <w:pStyle w:val="Tablenotes"/>
      </w:pPr>
      <w:r w:rsidRPr="007A3600">
        <w:t>Note: Values have been rounded to the nearest whole number; differences are calculated from unrounded metrics.</w:t>
      </w:r>
    </w:p>
    <w:p w14:paraId="4CCE2843" w14:textId="77777777" w:rsidR="004F423B" w:rsidRPr="007A3600" w:rsidRDefault="004F423B" w:rsidP="00AD3197">
      <w:pPr>
        <w:pStyle w:val="Heading4"/>
        <w:spacing w:before="240"/>
      </w:pPr>
      <w:bookmarkStart w:id="64" w:name="_Toc207017694"/>
      <w:r w:rsidRPr="007A3600">
        <w:lastRenderedPageBreak/>
        <w:t xml:space="preserve">Key changes to projected Scheme expenses since </w:t>
      </w:r>
      <w:bookmarkEnd w:id="64"/>
      <w:r w:rsidRPr="007A3600">
        <w:t>previous review</w:t>
      </w:r>
    </w:p>
    <w:p w14:paraId="1BEB819C" w14:textId="11B6D146" w:rsidR="004F423B" w:rsidRPr="007A3600" w:rsidRDefault="004F423B" w:rsidP="00AD3197">
      <w:pPr>
        <w:rPr>
          <w:lang w:val="en-GB"/>
        </w:rPr>
      </w:pPr>
      <w:r w:rsidRPr="007A3600">
        <w:rPr>
          <w:lang w:val="en-GB"/>
        </w:rPr>
        <w:t xml:space="preserve">Table </w:t>
      </w:r>
      <w:r w:rsidR="00F11F56" w:rsidRPr="007A3600">
        <w:rPr>
          <w:lang w:val="en-GB"/>
        </w:rPr>
        <w:t>2</w:t>
      </w:r>
      <w:r w:rsidRPr="007A3600">
        <w:rPr>
          <w:lang w:val="en-GB"/>
        </w:rPr>
        <w:t xml:space="preserve"> shows the changes in projected Scheme expenses relative to the June 2024 projections. Changes result from </w:t>
      </w:r>
      <w:bookmarkStart w:id="65" w:name="_Hlk207121328"/>
      <w:r w:rsidRPr="007A3600">
        <w:rPr>
          <w:lang w:val="en-GB"/>
        </w:rPr>
        <w:t>updates for actual experience to 30 June 2025 and revisions to assumptions about future experience, including allowance for impacts of operational measures and Scheme reforms.</w:t>
      </w:r>
      <w:bookmarkEnd w:id="65"/>
    </w:p>
    <w:p w14:paraId="34D80D66" w14:textId="77777777" w:rsidR="004F423B" w:rsidRPr="007A3600" w:rsidRDefault="004F423B" w:rsidP="00AD3197">
      <w:pPr>
        <w:rPr>
          <w:lang w:val="en-GB"/>
        </w:rPr>
      </w:pPr>
      <w:bookmarkStart w:id="66" w:name="_Hlk207121378"/>
      <w:r w:rsidRPr="007A3600">
        <w:rPr>
          <w:lang w:val="en-GB"/>
        </w:rPr>
        <w:t xml:space="preserve">Updates for actual experience, for the 12 months ending 30 June 2025, have reduced projected Scheme expenses by $1.1 billion (0.5%) for the four years to 30 June 2029. Participant experience (higher numbers of participants and the mix of participants at 30 June 2025) increased Scheme projections over the four-year forward estimate period by $2.1 billion. Lower average payments per participant over the 12 months ending 30 June 2025 reduced Scheme projections by $3.2 billion. </w:t>
      </w:r>
    </w:p>
    <w:p w14:paraId="5F86BFB8" w14:textId="77777777" w:rsidR="004F423B" w:rsidRPr="007A3600" w:rsidRDefault="004F423B" w:rsidP="00AD3197">
      <w:pPr>
        <w:rPr>
          <w:lang w:val="en-GB"/>
        </w:rPr>
      </w:pPr>
      <w:r w:rsidRPr="007A3600">
        <w:rPr>
          <w:lang w:val="en-GB"/>
        </w:rPr>
        <w:t>Compared to the June 2024 projections, key assumptions in the June 2025 projection include:</w:t>
      </w:r>
    </w:p>
    <w:p w14:paraId="4F75E27D" w14:textId="09967C10" w:rsidR="004F423B" w:rsidRPr="007A3600" w:rsidRDefault="007515DB" w:rsidP="00AD3197">
      <w:pPr>
        <w:pStyle w:val="Bullet1"/>
      </w:pPr>
      <w:r w:rsidRPr="007A3600">
        <w:t>h</w:t>
      </w:r>
      <w:r w:rsidR="004F423B" w:rsidRPr="007A3600">
        <w:t>igher rates of participants leaving the Scheme, mostly children aged 0</w:t>
      </w:r>
      <w:r w:rsidR="00496912" w:rsidRPr="007A3600">
        <w:t>–</w:t>
      </w:r>
      <w:r w:rsidR="004F423B" w:rsidRPr="007A3600">
        <w:t>8 who entered via the early intervention pathway</w:t>
      </w:r>
    </w:p>
    <w:p w14:paraId="787EBDC8" w14:textId="52D4EFDB" w:rsidR="004F423B" w:rsidRPr="007A3600" w:rsidRDefault="007515DB" w:rsidP="00AD3197">
      <w:pPr>
        <w:pStyle w:val="Bullet1"/>
      </w:pPr>
      <w:r w:rsidRPr="007A3600">
        <w:t>l</w:t>
      </w:r>
      <w:r w:rsidR="004F423B" w:rsidRPr="007A3600">
        <w:t>ower rates of new entrants for some disability types</w:t>
      </w:r>
    </w:p>
    <w:p w14:paraId="3143A2D5" w14:textId="5056251F" w:rsidR="004F423B" w:rsidRPr="007A3600" w:rsidRDefault="007515DB" w:rsidP="00AD3197">
      <w:pPr>
        <w:pStyle w:val="Bullet1"/>
      </w:pPr>
      <w:r w:rsidRPr="007A3600">
        <w:t>a</w:t>
      </w:r>
      <w:r w:rsidR="004F423B" w:rsidRPr="007A3600">
        <w:t xml:space="preserve"> decrease in future assumed prices for supports, reflecting the outcome of the 2024</w:t>
      </w:r>
      <w:r w:rsidR="00F4591C" w:rsidRPr="007A3600">
        <w:t>–</w:t>
      </w:r>
      <w:r w:rsidR="004F423B" w:rsidRPr="007A3600">
        <w:t>25 Annual Pricing Review as well as lower future changes to prices</w:t>
      </w:r>
    </w:p>
    <w:p w14:paraId="0ACAA4EB" w14:textId="54E8BCB3" w:rsidR="004F423B" w:rsidRPr="007A3600" w:rsidRDefault="007515DB" w:rsidP="00AD3197">
      <w:pPr>
        <w:pStyle w:val="Bullet1"/>
      </w:pPr>
      <w:r w:rsidRPr="007A3600">
        <w:t>r</w:t>
      </w:r>
      <w:r w:rsidR="004F423B" w:rsidRPr="007A3600">
        <w:t>evised assumptions regarding growth in participant plans and rates of utilisation due to operational measures and Scheme reforms.</w:t>
      </w:r>
    </w:p>
    <w:p w14:paraId="1B256F30" w14:textId="77777777" w:rsidR="004F423B" w:rsidRPr="007A3600" w:rsidRDefault="004F423B" w:rsidP="00AD3197">
      <w:pPr>
        <w:rPr>
          <w:lang w:val="en-GB"/>
        </w:rPr>
      </w:pPr>
      <w:r w:rsidRPr="007A3600">
        <w:rPr>
          <w:lang w:val="en-GB"/>
        </w:rPr>
        <w:t>Revisions made to assumptions about future experience, including the estimated impacts of operational measures and Scheme reforms (before allowing for changes in assumed timelines for implementation), have reduced projected Scheme expenses by $7.8 billion (3.4%) for the four years to 30 June 2029. Of this total:</w:t>
      </w:r>
    </w:p>
    <w:p w14:paraId="06275789" w14:textId="665FDDAF" w:rsidR="004F423B" w:rsidRPr="007A3600" w:rsidRDefault="00727B15" w:rsidP="00AD3197">
      <w:pPr>
        <w:pStyle w:val="Bullet1"/>
      </w:pPr>
      <w:r w:rsidRPr="007A3600">
        <w:t>p</w:t>
      </w:r>
      <w:r w:rsidR="004F423B" w:rsidRPr="007A3600">
        <w:t>articipant related assumptions account for a reduction of $2.5 billion</w:t>
      </w:r>
    </w:p>
    <w:p w14:paraId="2E55E71B" w14:textId="48B562DF" w:rsidR="004F423B" w:rsidRPr="007A3600" w:rsidRDefault="00727B15" w:rsidP="00AD3197">
      <w:pPr>
        <w:pStyle w:val="Bullet1"/>
      </w:pPr>
      <w:r w:rsidRPr="007A3600">
        <w:t>r</w:t>
      </w:r>
      <w:r w:rsidR="004F423B" w:rsidRPr="007A3600">
        <w:t>eductions in future assumed prices for supports account for a reduction of $2.0 billion</w:t>
      </w:r>
    </w:p>
    <w:p w14:paraId="308FC376" w14:textId="182B1AF2" w:rsidR="004F423B" w:rsidRPr="007A3600" w:rsidRDefault="00727B15" w:rsidP="00AD3197">
      <w:pPr>
        <w:pStyle w:val="Bullet1"/>
      </w:pPr>
      <w:r w:rsidRPr="007A3600">
        <w:t>o</w:t>
      </w:r>
      <w:r w:rsidR="004F423B" w:rsidRPr="007A3600">
        <w:t>ther factors related to additional growth in Scheme payments account for a further reduction of $3.2 billion.</w:t>
      </w:r>
      <w:bookmarkEnd w:id="66"/>
    </w:p>
    <w:p w14:paraId="164A58BE" w14:textId="77777777" w:rsidR="004F423B" w:rsidRPr="007A3600" w:rsidRDefault="004F423B" w:rsidP="00AD3197">
      <w:pPr>
        <w:rPr>
          <w:lang w:val="en-GB"/>
        </w:rPr>
      </w:pPr>
      <w:bookmarkStart w:id="67" w:name="_Hlk207122007"/>
      <w:r w:rsidRPr="007A3600">
        <w:rPr>
          <w:lang w:val="en-GB"/>
        </w:rPr>
        <w:t>Changes to the assumed commencement dates for the foundational supports and the new planning framework, and changes to the period of transition to the new planning framework have increased Scheme projections by $7.7 billion over the four year forward estimate period.</w:t>
      </w:r>
    </w:p>
    <w:p w14:paraId="3D3B2074" w14:textId="77777777" w:rsidR="004F423B" w:rsidRPr="007A3600" w:rsidRDefault="004F423B" w:rsidP="00AD3197">
      <w:pPr>
        <w:pStyle w:val="Bullet1"/>
      </w:pPr>
      <w:r w:rsidRPr="007A3600">
        <w:t>Foundational supports are expected to commence from 1 July 2026 rather than 1 July 2025 as was assumed in the June 2024 projections.</w:t>
      </w:r>
    </w:p>
    <w:p w14:paraId="2058DB28" w14:textId="77777777" w:rsidR="004F423B" w:rsidRPr="007A3600" w:rsidRDefault="004F423B" w:rsidP="00AD3197">
      <w:pPr>
        <w:pStyle w:val="Bullet1"/>
      </w:pPr>
      <w:r w:rsidRPr="007A3600">
        <w:lastRenderedPageBreak/>
        <w:t>The new planning framework is expected to commence from 1 July 2026 rather than 1 July 2025 as was assumed in the June 2024 projections, and will be phased in over 4.5 years rather than three years as was assumed in the June 2024 projections.</w:t>
      </w:r>
    </w:p>
    <w:bookmarkEnd w:id="67"/>
    <w:p w14:paraId="0BDC5F48" w14:textId="77777777" w:rsidR="004F423B" w:rsidRPr="007A3600" w:rsidRDefault="004F423B" w:rsidP="00AD3197">
      <w:pPr>
        <w:pStyle w:val="Caption"/>
        <w:spacing w:before="240"/>
      </w:pPr>
      <w:r w:rsidRPr="007A3600">
        <w:t>Table 2: Movements in projected Scheme expenses relative to June 2024 projections</w:t>
      </w:r>
    </w:p>
    <w:tbl>
      <w:tblPr>
        <w:tblStyle w:val="NDISTable2"/>
        <w:tblW w:w="9072" w:type="dxa"/>
        <w:tblCellMar>
          <w:left w:w="28" w:type="dxa"/>
          <w:right w:w="28" w:type="dxa"/>
        </w:tblCellMar>
        <w:tblLook w:val="0620" w:firstRow="1" w:lastRow="0" w:firstColumn="0" w:lastColumn="0" w:noHBand="1" w:noVBand="1"/>
      </w:tblPr>
      <w:tblGrid>
        <w:gridCol w:w="3402"/>
        <w:gridCol w:w="1134"/>
        <w:gridCol w:w="1134"/>
        <w:gridCol w:w="1134"/>
        <w:gridCol w:w="1134"/>
        <w:gridCol w:w="1134"/>
      </w:tblGrid>
      <w:tr w:rsidR="004F423B" w:rsidRPr="007A3600" w14:paraId="12CE0582" w14:textId="77777777" w:rsidTr="00CB7593">
        <w:trPr>
          <w:cnfStyle w:val="100000000000" w:firstRow="1" w:lastRow="0" w:firstColumn="0" w:lastColumn="0" w:oddVBand="0" w:evenVBand="0" w:oddHBand="0" w:evenHBand="0" w:firstRowFirstColumn="0" w:firstRowLastColumn="0" w:lastRowFirstColumn="0" w:lastRowLastColumn="0"/>
        </w:trPr>
        <w:tc>
          <w:tcPr>
            <w:tcW w:w="3402" w:type="dxa"/>
            <w:tcBorders>
              <w:top w:val="single" w:sz="4" w:space="0" w:color="6B2876" w:themeColor="text1"/>
              <w:left w:val="single" w:sz="4" w:space="0" w:color="6B2876" w:themeColor="text1"/>
              <w:bottom w:val="single" w:sz="4" w:space="0" w:color="6B2876" w:themeColor="text1"/>
            </w:tcBorders>
            <w:hideMark/>
          </w:tcPr>
          <w:p w14:paraId="20400727" w14:textId="77777777" w:rsidR="004F423B" w:rsidRPr="007A3600" w:rsidRDefault="004F423B" w:rsidP="00AD3197">
            <w:pPr>
              <w:spacing w:line="268" w:lineRule="auto"/>
            </w:pPr>
            <w:bookmarkStart w:id="68" w:name="_Hlk207122137"/>
            <w:r w:rsidRPr="007A3600">
              <w:rPr>
                <w:szCs w:val="21"/>
                <w:lang w:val="en-GB"/>
              </w:rPr>
              <w:t>Scheme expenses ($m accrual basis)</w:t>
            </w:r>
          </w:p>
        </w:tc>
        <w:tc>
          <w:tcPr>
            <w:tcW w:w="1134" w:type="dxa"/>
            <w:tcBorders>
              <w:top w:val="single" w:sz="4" w:space="0" w:color="6B2876" w:themeColor="text1"/>
              <w:bottom w:val="single" w:sz="4" w:space="0" w:color="6B2876" w:themeColor="text1"/>
            </w:tcBorders>
            <w:hideMark/>
          </w:tcPr>
          <w:p w14:paraId="535F2D45" w14:textId="77777777" w:rsidR="004F423B" w:rsidRPr="007A3600" w:rsidRDefault="004F423B" w:rsidP="00AD3197">
            <w:pPr>
              <w:spacing w:line="268" w:lineRule="auto"/>
              <w:jc w:val="right"/>
            </w:pPr>
            <w:r w:rsidRPr="007A3600">
              <w:rPr>
                <w:rFonts w:eastAsia="Times New Roman"/>
                <w:szCs w:val="21"/>
                <w:lang w:val="en-GB"/>
              </w:rPr>
              <w:t>2025</w:t>
            </w:r>
            <w:r w:rsidRPr="007A3600">
              <w:rPr>
                <w:lang w:val="en-GB"/>
              </w:rPr>
              <w:t>–</w:t>
            </w:r>
            <w:r w:rsidRPr="007A3600">
              <w:rPr>
                <w:rFonts w:eastAsia="Times New Roman"/>
                <w:szCs w:val="21"/>
                <w:lang w:val="en-GB"/>
              </w:rPr>
              <w:t xml:space="preserve">26 </w:t>
            </w:r>
          </w:p>
        </w:tc>
        <w:tc>
          <w:tcPr>
            <w:tcW w:w="1134" w:type="dxa"/>
            <w:tcBorders>
              <w:top w:val="single" w:sz="4" w:space="0" w:color="6B2876" w:themeColor="text1"/>
              <w:bottom w:val="single" w:sz="4" w:space="0" w:color="6B2876" w:themeColor="text1"/>
            </w:tcBorders>
            <w:hideMark/>
          </w:tcPr>
          <w:p w14:paraId="0558A290" w14:textId="77777777" w:rsidR="004F423B" w:rsidRPr="007A3600" w:rsidRDefault="004F423B" w:rsidP="00AD3197">
            <w:pPr>
              <w:spacing w:line="268" w:lineRule="auto"/>
              <w:jc w:val="right"/>
            </w:pPr>
            <w:r w:rsidRPr="007A3600">
              <w:rPr>
                <w:rFonts w:eastAsia="Times New Roman"/>
                <w:szCs w:val="21"/>
                <w:lang w:val="en-GB"/>
              </w:rPr>
              <w:t>2026</w:t>
            </w:r>
            <w:r w:rsidRPr="007A3600">
              <w:rPr>
                <w:lang w:val="en-GB"/>
              </w:rPr>
              <w:t>–</w:t>
            </w:r>
            <w:r w:rsidRPr="007A3600">
              <w:rPr>
                <w:rFonts w:eastAsia="Times New Roman"/>
                <w:szCs w:val="21"/>
                <w:lang w:val="en-GB"/>
              </w:rPr>
              <w:t xml:space="preserve">27 </w:t>
            </w:r>
          </w:p>
        </w:tc>
        <w:tc>
          <w:tcPr>
            <w:tcW w:w="1134" w:type="dxa"/>
            <w:tcBorders>
              <w:top w:val="single" w:sz="4" w:space="0" w:color="6B2876" w:themeColor="text1"/>
              <w:bottom w:val="single" w:sz="4" w:space="0" w:color="6B2876" w:themeColor="text1"/>
            </w:tcBorders>
            <w:hideMark/>
          </w:tcPr>
          <w:p w14:paraId="34611068" w14:textId="77777777" w:rsidR="004F423B" w:rsidRPr="007A3600" w:rsidRDefault="004F423B" w:rsidP="00AD3197">
            <w:pPr>
              <w:spacing w:line="268" w:lineRule="auto"/>
              <w:jc w:val="right"/>
            </w:pPr>
            <w:r w:rsidRPr="007A3600">
              <w:rPr>
                <w:rFonts w:eastAsia="Times New Roman"/>
                <w:szCs w:val="21"/>
                <w:lang w:val="en-GB"/>
              </w:rPr>
              <w:t>2027</w:t>
            </w:r>
            <w:r w:rsidRPr="007A3600">
              <w:rPr>
                <w:lang w:val="en-GB"/>
              </w:rPr>
              <w:t>–</w:t>
            </w:r>
            <w:r w:rsidRPr="007A3600">
              <w:rPr>
                <w:rFonts w:eastAsia="Times New Roman"/>
                <w:szCs w:val="21"/>
                <w:lang w:val="en-GB"/>
              </w:rPr>
              <w:t xml:space="preserve">28 </w:t>
            </w:r>
          </w:p>
        </w:tc>
        <w:tc>
          <w:tcPr>
            <w:tcW w:w="1134" w:type="dxa"/>
            <w:tcBorders>
              <w:top w:val="single" w:sz="4" w:space="0" w:color="6B2876" w:themeColor="text1"/>
              <w:bottom w:val="single" w:sz="4" w:space="0" w:color="6B2876" w:themeColor="text1"/>
            </w:tcBorders>
            <w:hideMark/>
          </w:tcPr>
          <w:p w14:paraId="0ABF3210" w14:textId="77777777" w:rsidR="004F423B" w:rsidRPr="007A3600" w:rsidRDefault="004F423B" w:rsidP="00AD3197">
            <w:pPr>
              <w:spacing w:line="268" w:lineRule="auto"/>
              <w:jc w:val="right"/>
            </w:pPr>
            <w:r w:rsidRPr="007A3600">
              <w:rPr>
                <w:rFonts w:eastAsia="Times New Roman"/>
                <w:szCs w:val="21"/>
                <w:lang w:val="en-GB"/>
              </w:rPr>
              <w:t>2028</w:t>
            </w:r>
            <w:r w:rsidRPr="007A3600">
              <w:rPr>
                <w:lang w:val="en-GB"/>
              </w:rPr>
              <w:t>–</w:t>
            </w:r>
            <w:r w:rsidRPr="007A3600">
              <w:rPr>
                <w:rFonts w:eastAsia="Times New Roman"/>
                <w:szCs w:val="21"/>
                <w:lang w:val="en-GB"/>
              </w:rPr>
              <w:t xml:space="preserve">29 </w:t>
            </w:r>
          </w:p>
        </w:tc>
        <w:tc>
          <w:tcPr>
            <w:tcW w:w="1134" w:type="dxa"/>
            <w:tcBorders>
              <w:top w:val="single" w:sz="4" w:space="0" w:color="6B2876" w:themeColor="text1"/>
              <w:bottom w:val="single" w:sz="4" w:space="0" w:color="6B2876" w:themeColor="text1"/>
              <w:right w:val="single" w:sz="4" w:space="0" w:color="6B2876" w:themeColor="text1"/>
            </w:tcBorders>
            <w:hideMark/>
          </w:tcPr>
          <w:p w14:paraId="63F03FD7" w14:textId="77777777" w:rsidR="004F423B" w:rsidRPr="007A3600" w:rsidRDefault="004F423B" w:rsidP="00AD3197">
            <w:pPr>
              <w:spacing w:line="268" w:lineRule="auto"/>
              <w:jc w:val="right"/>
            </w:pPr>
            <w:r w:rsidRPr="007A3600">
              <w:rPr>
                <w:rFonts w:eastAsia="Times New Roman"/>
                <w:szCs w:val="21"/>
                <w:lang w:val="en-GB"/>
              </w:rPr>
              <w:t xml:space="preserve">Total </w:t>
            </w:r>
            <w:r w:rsidRPr="007A3600">
              <w:rPr>
                <w:rFonts w:eastAsia="Times New Roman"/>
                <w:szCs w:val="21"/>
                <w:lang w:val="en-GB"/>
              </w:rPr>
              <w:br/>
              <w:t>2025</w:t>
            </w:r>
            <w:r w:rsidRPr="007A3600">
              <w:rPr>
                <w:lang w:val="en-GB"/>
              </w:rPr>
              <w:t>–</w:t>
            </w:r>
            <w:r w:rsidRPr="007A3600">
              <w:rPr>
                <w:rFonts w:eastAsia="Times New Roman"/>
                <w:szCs w:val="21"/>
                <w:lang w:val="en-GB"/>
              </w:rPr>
              <w:t xml:space="preserve">29 </w:t>
            </w:r>
          </w:p>
        </w:tc>
      </w:tr>
      <w:tr w:rsidR="004F423B" w:rsidRPr="007A3600" w14:paraId="7AF43B69"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vAlign w:val="center"/>
            <w:hideMark/>
          </w:tcPr>
          <w:p w14:paraId="04B5FD02" w14:textId="77777777" w:rsidR="004F423B" w:rsidRPr="007A3600" w:rsidRDefault="004F423B" w:rsidP="00AD3197">
            <w:pPr>
              <w:spacing w:line="268" w:lineRule="auto"/>
            </w:pPr>
            <w:r w:rsidRPr="007A3600">
              <w:rPr>
                <w:rFonts w:eastAsia="Times New Roman"/>
                <w:b/>
                <w:bCs/>
                <w:color w:val="000000"/>
                <w:szCs w:val="21"/>
                <w:lang w:val="en-GB"/>
              </w:rPr>
              <w:t>June 2024 projections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54B7F2B8" w14:textId="77777777" w:rsidR="004F423B" w:rsidRPr="007A3600" w:rsidRDefault="004F423B" w:rsidP="00AD3197">
            <w:pPr>
              <w:spacing w:line="268" w:lineRule="auto"/>
              <w:jc w:val="right"/>
            </w:pPr>
            <w:r w:rsidRPr="007A3600">
              <w:rPr>
                <w:b/>
                <w:bCs/>
                <w:lang w:val="en-GB"/>
              </w:rPr>
              <w:t>50,789</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2FE75124" w14:textId="77777777" w:rsidR="004F423B" w:rsidRPr="007A3600" w:rsidRDefault="004F423B" w:rsidP="00AD3197">
            <w:pPr>
              <w:spacing w:line="268" w:lineRule="auto"/>
              <w:jc w:val="right"/>
            </w:pPr>
            <w:r w:rsidRPr="007A3600">
              <w:rPr>
                <w:b/>
                <w:bCs/>
                <w:lang w:val="en-GB"/>
              </w:rPr>
              <w:t>54,215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582092D1" w14:textId="77777777" w:rsidR="004F423B" w:rsidRPr="007A3600" w:rsidRDefault="004F423B" w:rsidP="00AD3197">
            <w:pPr>
              <w:spacing w:line="268" w:lineRule="auto"/>
              <w:jc w:val="right"/>
            </w:pPr>
            <w:r w:rsidRPr="007A3600">
              <w:rPr>
                <w:b/>
                <w:bCs/>
                <w:lang w:val="en-GB"/>
              </w:rPr>
              <w:t>58,390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74AD335D" w14:textId="77777777" w:rsidR="004F423B" w:rsidRPr="007A3600" w:rsidRDefault="004F423B" w:rsidP="00AD3197">
            <w:pPr>
              <w:spacing w:line="268" w:lineRule="auto"/>
              <w:jc w:val="right"/>
            </w:pPr>
            <w:r w:rsidRPr="007A3600">
              <w:rPr>
                <w:b/>
                <w:bCs/>
              </w:rPr>
              <w:t>63,062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CD4F0"/>
            <w:hideMark/>
          </w:tcPr>
          <w:p w14:paraId="33987604" w14:textId="77777777" w:rsidR="004F423B" w:rsidRPr="007A3600" w:rsidRDefault="004F423B" w:rsidP="00AD3197">
            <w:pPr>
              <w:spacing w:line="268" w:lineRule="auto"/>
              <w:jc w:val="right"/>
            </w:pPr>
            <w:r w:rsidRPr="007A3600">
              <w:rPr>
                <w:b/>
                <w:bCs/>
              </w:rPr>
              <w:t>226,455</w:t>
            </w:r>
          </w:p>
        </w:tc>
      </w:tr>
      <w:tr w:rsidR="004F423B" w:rsidRPr="007A3600" w14:paraId="707C45D2"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069821AF" w14:textId="77777777" w:rsidR="004F423B" w:rsidRPr="007A3600" w:rsidRDefault="004F423B" w:rsidP="00AD3197">
            <w:pPr>
              <w:spacing w:line="268" w:lineRule="auto"/>
            </w:pPr>
            <w:r w:rsidRPr="007A3600">
              <w:rPr>
                <w:rFonts w:eastAsia="Times New Roman"/>
                <w:color w:val="000000"/>
                <w:szCs w:val="21"/>
                <w:lang w:val="en-GB"/>
              </w:rPr>
              <w:t>Participant experience to June 2025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1550F7D7" w14:textId="77777777" w:rsidR="004F423B" w:rsidRPr="007A3600" w:rsidRDefault="004F423B" w:rsidP="00AD3197">
            <w:pPr>
              <w:spacing w:line="268" w:lineRule="auto"/>
              <w:jc w:val="right"/>
            </w:pPr>
            <w:r w:rsidRPr="007A3600">
              <w:t>437</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E40AE99" w14:textId="77777777" w:rsidR="004F423B" w:rsidRPr="007A3600" w:rsidRDefault="004F423B" w:rsidP="00AD3197">
            <w:pPr>
              <w:spacing w:line="268" w:lineRule="auto"/>
              <w:jc w:val="right"/>
            </w:pPr>
            <w:r w:rsidRPr="007A3600">
              <w:t>525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27705F6" w14:textId="77777777" w:rsidR="004F423B" w:rsidRPr="007A3600" w:rsidRDefault="004F423B" w:rsidP="00AD3197">
            <w:pPr>
              <w:spacing w:line="268" w:lineRule="auto"/>
              <w:jc w:val="right"/>
            </w:pPr>
            <w:r w:rsidRPr="007A3600">
              <w:t>543</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B2C9B29" w14:textId="77777777" w:rsidR="004F423B" w:rsidRPr="007A3600" w:rsidRDefault="004F423B" w:rsidP="00AD3197">
            <w:pPr>
              <w:spacing w:line="268" w:lineRule="auto"/>
              <w:jc w:val="right"/>
            </w:pPr>
            <w:r w:rsidRPr="007A3600">
              <w:t>567</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9496A35" w14:textId="77777777" w:rsidR="004F423B" w:rsidRPr="007A3600" w:rsidRDefault="004F423B" w:rsidP="00AD3197">
            <w:pPr>
              <w:spacing w:line="268" w:lineRule="auto"/>
              <w:jc w:val="right"/>
            </w:pPr>
            <w:r w:rsidRPr="007A3600">
              <w:t>2,072</w:t>
            </w:r>
          </w:p>
        </w:tc>
      </w:tr>
      <w:tr w:rsidR="004F423B" w:rsidRPr="007A3600" w14:paraId="2B62A5BE"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6A8F8FEF" w14:textId="77777777" w:rsidR="004F423B" w:rsidRPr="007A3600" w:rsidRDefault="004F423B" w:rsidP="00AD3197">
            <w:pPr>
              <w:spacing w:line="268" w:lineRule="auto"/>
            </w:pPr>
            <w:r w:rsidRPr="007A3600">
              <w:rPr>
                <w:rFonts w:eastAsia="Times New Roman"/>
                <w:color w:val="000000"/>
                <w:szCs w:val="21"/>
                <w:lang w:val="en-GB"/>
              </w:rPr>
              <w:t>Payment per participant experience to June 2025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2091AD67" w14:textId="77777777" w:rsidR="004F423B" w:rsidRPr="007A3600" w:rsidRDefault="004F423B" w:rsidP="00AD3197">
            <w:pPr>
              <w:spacing w:line="268" w:lineRule="auto"/>
              <w:jc w:val="right"/>
            </w:pPr>
            <w:r w:rsidRPr="007A3600">
              <w:t>-717</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0FB5F946" w14:textId="77777777" w:rsidR="004F423B" w:rsidRPr="007A3600" w:rsidRDefault="004F423B" w:rsidP="00AD3197">
            <w:pPr>
              <w:spacing w:line="268" w:lineRule="auto"/>
              <w:jc w:val="right"/>
            </w:pPr>
            <w:r w:rsidRPr="007A3600">
              <w:t>-765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328B664" w14:textId="77777777" w:rsidR="004F423B" w:rsidRPr="007A3600" w:rsidRDefault="004F423B" w:rsidP="00AD3197">
            <w:pPr>
              <w:spacing w:line="268" w:lineRule="auto"/>
              <w:jc w:val="right"/>
            </w:pPr>
            <w:r w:rsidRPr="007A3600">
              <w:t>-824</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BE9EA80" w14:textId="77777777" w:rsidR="004F423B" w:rsidRPr="007A3600" w:rsidRDefault="004F423B" w:rsidP="00AD3197">
            <w:pPr>
              <w:spacing w:line="268" w:lineRule="auto"/>
              <w:jc w:val="right"/>
            </w:pPr>
            <w:r w:rsidRPr="007A3600">
              <w:t>-890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7D617FA" w14:textId="77777777" w:rsidR="004F423B" w:rsidRPr="007A3600" w:rsidRDefault="004F423B" w:rsidP="00AD3197">
            <w:pPr>
              <w:spacing w:line="268" w:lineRule="auto"/>
              <w:jc w:val="right"/>
            </w:pPr>
            <w:r w:rsidRPr="007A3600">
              <w:t>-3,197</w:t>
            </w:r>
          </w:p>
        </w:tc>
      </w:tr>
      <w:tr w:rsidR="004F423B" w:rsidRPr="007A3600" w14:paraId="0C2F3A99"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027D2E4A" w14:textId="77777777" w:rsidR="004F423B" w:rsidRPr="007A3600" w:rsidRDefault="004F423B" w:rsidP="00AD3197">
            <w:pPr>
              <w:spacing w:line="268" w:lineRule="auto"/>
            </w:pPr>
            <w:r w:rsidRPr="007A3600">
              <w:rPr>
                <w:rFonts w:eastAsia="Times New Roman"/>
                <w:b/>
                <w:bCs/>
                <w:color w:val="000000"/>
                <w:szCs w:val="21"/>
                <w:lang w:val="en-GB"/>
              </w:rPr>
              <w:t>Updates for experience</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17656C35" w14:textId="77777777" w:rsidR="004F423B" w:rsidRPr="007A3600" w:rsidRDefault="004F423B" w:rsidP="00AD3197">
            <w:pPr>
              <w:spacing w:line="268" w:lineRule="auto"/>
              <w:jc w:val="right"/>
            </w:pPr>
            <w:r w:rsidRPr="007A3600">
              <w:rPr>
                <w:b/>
                <w:bCs/>
              </w:rPr>
              <w:t>-280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28F4DDE3" w14:textId="77777777" w:rsidR="004F423B" w:rsidRPr="007A3600" w:rsidRDefault="004F423B" w:rsidP="00AD3197">
            <w:pPr>
              <w:spacing w:line="268" w:lineRule="auto"/>
              <w:jc w:val="right"/>
            </w:pPr>
            <w:r w:rsidRPr="007A3600">
              <w:rPr>
                <w:b/>
                <w:bCs/>
              </w:rPr>
              <w:t>-240</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54F11386" w14:textId="77777777" w:rsidR="004F423B" w:rsidRPr="007A3600" w:rsidRDefault="004F423B" w:rsidP="00AD3197">
            <w:pPr>
              <w:spacing w:line="268" w:lineRule="auto"/>
              <w:jc w:val="right"/>
            </w:pPr>
            <w:r w:rsidRPr="007A3600">
              <w:rPr>
                <w:b/>
                <w:bCs/>
              </w:rPr>
              <w:t>-281</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3F86CF26" w14:textId="77777777" w:rsidR="004F423B" w:rsidRPr="007A3600" w:rsidRDefault="004F423B" w:rsidP="00AD3197">
            <w:pPr>
              <w:spacing w:line="268" w:lineRule="auto"/>
              <w:jc w:val="right"/>
            </w:pPr>
            <w:r w:rsidRPr="007A3600">
              <w:rPr>
                <w:b/>
                <w:bCs/>
              </w:rPr>
              <w:t>-323</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31C5CBFB" w14:textId="77777777" w:rsidR="004F423B" w:rsidRPr="007A3600" w:rsidRDefault="004F423B" w:rsidP="00AD3197">
            <w:pPr>
              <w:spacing w:line="268" w:lineRule="auto"/>
              <w:jc w:val="right"/>
            </w:pPr>
            <w:r w:rsidRPr="007A3600">
              <w:rPr>
                <w:b/>
                <w:bCs/>
              </w:rPr>
              <w:t>-1,125</w:t>
            </w:r>
          </w:p>
        </w:tc>
      </w:tr>
      <w:tr w:rsidR="004F423B" w:rsidRPr="007A3600" w14:paraId="4A83FA69"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0AE7ADF7" w14:textId="77777777" w:rsidR="004F423B" w:rsidRPr="007A3600" w:rsidRDefault="004F423B" w:rsidP="00AD3197">
            <w:pPr>
              <w:spacing w:line="268" w:lineRule="auto"/>
            </w:pPr>
            <w:r w:rsidRPr="007A3600">
              <w:rPr>
                <w:rFonts w:eastAsia="Times New Roman"/>
                <w:color w:val="000000"/>
                <w:szCs w:val="21"/>
                <w:lang w:val="en-GB"/>
              </w:rPr>
              <w:t>Participant assumption updates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509A0EA" w14:textId="77777777" w:rsidR="004F423B" w:rsidRPr="007A3600" w:rsidRDefault="004F423B" w:rsidP="00AD3197">
            <w:pPr>
              <w:spacing w:line="268" w:lineRule="auto"/>
              <w:jc w:val="right"/>
            </w:pPr>
            <w:r w:rsidRPr="007A3600">
              <w:t>-204</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0D6F1617" w14:textId="77777777" w:rsidR="004F423B" w:rsidRPr="007A3600" w:rsidRDefault="004F423B" w:rsidP="00AD3197">
            <w:pPr>
              <w:spacing w:line="268" w:lineRule="auto"/>
              <w:jc w:val="right"/>
            </w:pPr>
            <w:r w:rsidRPr="007A3600">
              <w:t>-536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9AF252D" w14:textId="77777777" w:rsidR="004F423B" w:rsidRPr="007A3600" w:rsidRDefault="004F423B" w:rsidP="00AD3197">
            <w:pPr>
              <w:spacing w:line="268" w:lineRule="auto"/>
              <w:jc w:val="right"/>
            </w:pPr>
            <w:r w:rsidRPr="007A3600">
              <w:t>-812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4F3231B9" w14:textId="77777777" w:rsidR="004F423B" w:rsidRPr="007A3600" w:rsidRDefault="004F423B" w:rsidP="00AD3197">
            <w:pPr>
              <w:spacing w:line="268" w:lineRule="auto"/>
              <w:jc w:val="right"/>
            </w:pPr>
            <w:r w:rsidRPr="007A3600">
              <w:t>-992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3AA6225" w14:textId="77777777" w:rsidR="004F423B" w:rsidRPr="007A3600" w:rsidRDefault="004F423B" w:rsidP="00AD3197">
            <w:pPr>
              <w:spacing w:line="268" w:lineRule="auto"/>
              <w:jc w:val="right"/>
            </w:pPr>
            <w:r w:rsidRPr="007A3600">
              <w:t>-2,543</w:t>
            </w:r>
          </w:p>
        </w:tc>
      </w:tr>
      <w:tr w:rsidR="004F423B" w:rsidRPr="007A3600" w14:paraId="4F906E4F"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442A673C" w14:textId="77777777" w:rsidR="004F423B" w:rsidRPr="007A3600" w:rsidRDefault="004F423B" w:rsidP="00AD3197">
            <w:pPr>
              <w:spacing w:line="268" w:lineRule="auto"/>
            </w:pPr>
            <w:r w:rsidRPr="007A3600">
              <w:rPr>
                <w:rFonts w:eastAsia="Times New Roman"/>
                <w:color w:val="000000"/>
                <w:szCs w:val="21"/>
                <w:lang w:val="en-GB"/>
              </w:rPr>
              <w:t>Pricing assumption updates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29C74183" w14:textId="77777777" w:rsidR="004F423B" w:rsidRPr="007A3600" w:rsidRDefault="004F423B" w:rsidP="00AD3197">
            <w:pPr>
              <w:spacing w:line="268" w:lineRule="auto"/>
              <w:jc w:val="right"/>
            </w:pPr>
            <w:r w:rsidRPr="007A3600">
              <w:t>-413</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C291AD3" w14:textId="77777777" w:rsidR="004F423B" w:rsidRPr="007A3600" w:rsidRDefault="004F423B" w:rsidP="00AD3197">
            <w:pPr>
              <w:spacing w:line="268" w:lineRule="auto"/>
              <w:jc w:val="right"/>
            </w:pPr>
            <w:r w:rsidRPr="007A3600">
              <w:t>-432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2FF7017F" w14:textId="77777777" w:rsidR="004F423B" w:rsidRPr="007A3600" w:rsidRDefault="004F423B" w:rsidP="00AD3197">
            <w:pPr>
              <w:spacing w:line="268" w:lineRule="auto"/>
              <w:jc w:val="right"/>
            </w:pPr>
            <w:r w:rsidRPr="007A3600">
              <w:t>-566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2012DBE" w14:textId="77777777" w:rsidR="004F423B" w:rsidRPr="007A3600" w:rsidRDefault="004F423B" w:rsidP="00AD3197">
            <w:pPr>
              <w:spacing w:line="268" w:lineRule="auto"/>
              <w:jc w:val="right"/>
            </w:pPr>
            <w:r w:rsidRPr="007A3600">
              <w:t>-606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244AC3C" w14:textId="77777777" w:rsidR="004F423B" w:rsidRPr="007A3600" w:rsidRDefault="004F423B" w:rsidP="00AD3197">
            <w:pPr>
              <w:spacing w:line="268" w:lineRule="auto"/>
              <w:jc w:val="right"/>
            </w:pPr>
            <w:r w:rsidRPr="007A3600">
              <w:t>-2,017</w:t>
            </w:r>
          </w:p>
        </w:tc>
      </w:tr>
      <w:tr w:rsidR="004F423B" w:rsidRPr="007A3600" w14:paraId="413C1E2A"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72E4B7EB" w14:textId="77777777" w:rsidR="004F423B" w:rsidRPr="007A3600" w:rsidRDefault="004F423B" w:rsidP="00AD3197">
            <w:pPr>
              <w:spacing w:line="268" w:lineRule="auto"/>
            </w:pPr>
            <w:r w:rsidRPr="007A3600">
              <w:rPr>
                <w:rFonts w:eastAsia="Times New Roman"/>
                <w:color w:val="000000"/>
                <w:szCs w:val="21"/>
                <w:lang w:val="en-GB"/>
              </w:rPr>
              <w:t>Delayed implementation of future reforms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4B70AFCD" w14:textId="77777777" w:rsidR="004F423B" w:rsidRPr="007A3600" w:rsidRDefault="004F423B" w:rsidP="00AD3197">
            <w:pPr>
              <w:spacing w:line="268" w:lineRule="auto"/>
              <w:jc w:val="right"/>
            </w:pPr>
            <w:r w:rsidRPr="007A3600">
              <w:t>1,115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D152802" w14:textId="77777777" w:rsidR="004F423B" w:rsidRPr="007A3600" w:rsidRDefault="004F423B" w:rsidP="00AD3197">
            <w:pPr>
              <w:spacing w:line="268" w:lineRule="auto"/>
              <w:jc w:val="right"/>
            </w:pPr>
            <w:r w:rsidRPr="007A3600">
              <w:t>2,656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6FACBB13" w14:textId="77777777" w:rsidR="004F423B" w:rsidRPr="007A3600" w:rsidRDefault="004F423B" w:rsidP="00AD3197">
            <w:pPr>
              <w:spacing w:line="268" w:lineRule="auto"/>
              <w:jc w:val="right"/>
            </w:pPr>
            <w:r w:rsidRPr="007A3600">
              <w:t>2,035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5091CCC0" w14:textId="77777777" w:rsidR="004F423B" w:rsidRPr="007A3600" w:rsidRDefault="004F423B" w:rsidP="00AD3197">
            <w:pPr>
              <w:spacing w:line="268" w:lineRule="auto"/>
              <w:jc w:val="right"/>
            </w:pPr>
            <w:r w:rsidRPr="007A3600">
              <w:t>1,922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0468BD8B" w14:textId="77777777" w:rsidR="004F423B" w:rsidRPr="007A3600" w:rsidRDefault="004F423B" w:rsidP="00AD3197">
            <w:pPr>
              <w:spacing w:line="268" w:lineRule="auto"/>
              <w:jc w:val="right"/>
            </w:pPr>
            <w:r w:rsidRPr="007A3600">
              <w:t>7,728</w:t>
            </w:r>
          </w:p>
        </w:tc>
      </w:tr>
      <w:tr w:rsidR="004F423B" w:rsidRPr="007A3600" w14:paraId="0C1E7D49"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F7EEF7"/>
            <w:vAlign w:val="center"/>
            <w:hideMark/>
          </w:tcPr>
          <w:p w14:paraId="3A5E1297" w14:textId="77777777" w:rsidR="004F423B" w:rsidRPr="007A3600" w:rsidRDefault="004F423B" w:rsidP="00AD3197">
            <w:pPr>
              <w:spacing w:line="268" w:lineRule="auto"/>
            </w:pPr>
            <w:r w:rsidRPr="007A3600">
              <w:rPr>
                <w:rFonts w:eastAsia="Times New Roman"/>
                <w:color w:val="000000"/>
                <w:szCs w:val="21"/>
                <w:lang w:val="en-GB"/>
              </w:rPr>
              <w:t>Other changes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45FC02D2" w14:textId="77777777" w:rsidR="004F423B" w:rsidRPr="007A3600" w:rsidRDefault="004F423B" w:rsidP="00AD3197">
            <w:pPr>
              <w:spacing w:line="268" w:lineRule="auto"/>
              <w:jc w:val="right"/>
            </w:pPr>
            <w:r w:rsidRPr="007A3600">
              <w:t>-302</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0051591" w14:textId="77777777" w:rsidR="004F423B" w:rsidRPr="007A3600" w:rsidRDefault="004F423B" w:rsidP="00AD3197">
            <w:pPr>
              <w:spacing w:line="268" w:lineRule="auto"/>
              <w:jc w:val="right"/>
            </w:pPr>
            <w:r w:rsidRPr="007A3600">
              <w:t>-1,704</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0E194F5E" w14:textId="77777777" w:rsidR="004F423B" w:rsidRPr="007A3600" w:rsidRDefault="004F423B" w:rsidP="00AD3197">
            <w:pPr>
              <w:spacing w:line="268" w:lineRule="auto"/>
              <w:jc w:val="right"/>
            </w:pPr>
            <w:r w:rsidRPr="007A3600">
              <w:t>-639</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C068E01" w14:textId="77777777" w:rsidR="004F423B" w:rsidRPr="007A3600" w:rsidRDefault="004F423B" w:rsidP="00AD3197">
            <w:pPr>
              <w:spacing w:line="268" w:lineRule="auto"/>
              <w:jc w:val="right"/>
            </w:pPr>
            <w:r w:rsidRPr="007A3600">
              <w:t>-603</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2282B9CC" w14:textId="77777777" w:rsidR="004F423B" w:rsidRPr="007A3600" w:rsidRDefault="004F423B" w:rsidP="00AD3197">
            <w:pPr>
              <w:spacing w:line="268" w:lineRule="auto"/>
              <w:jc w:val="right"/>
            </w:pPr>
            <w:r w:rsidRPr="007A3600">
              <w:t>-3,248</w:t>
            </w:r>
          </w:p>
        </w:tc>
      </w:tr>
      <w:tr w:rsidR="004F423B" w:rsidRPr="007A3600" w14:paraId="0DBF40D6"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08B91983" w14:textId="77777777" w:rsidR="004F423B" w:rsidRPr="007A3600" w:rsidRDefault="004F423B" w:rsidP="00AD3197">
            <w:pPr>
              <w:spacing w:line="268" w:lineRule="auto"/>
            </w:pPr>
            <w:r w:rsidRPr="007A3600">
              <w:rPr>
                <w:rFonts w:eastAsia="Times New Roman"/>
                <w:b/>
                <w:bCs/>
                <w:color w:val="000000"/>
                <w:szCs w:val="21"/>
                <w:lang w:val="en-GB"/>
              </w:rPr>
              <w:t>Updates for assumptions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40146EB6" w14:textId="77777777" w:rsidR="004F423B" w:rsidRPr="007A3600" w:rsidRDefault="004F423B" w:rsidP="00AD3197">
            <w:pPr>
              <w:spacing w:line="268" w:lineRule="auto"/>
              <w:jc w:val="right"/>
            </w:pPr>
            <w:r w:rsidRPr="007A3600">
              <w:rPr>
                <w:b/>
                <w:bCs/>
              </w:rPr>
              <w:t>196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6AE817D4" w14:textId="77777777" w:rsidR="004F423B" w:rsidRPr="007A3600" w:rsidRDefault="004F423B" w:rsidP="00AD3197">
            <w:pPr>
              <w:spacing w:line="268" w:lineRule="auto"/>
              <w:jc w:val="right"/>
            </w:pPr>
            <w:r w:rsidRPr="007A3600">
              <w:rPr>
                <w:b/>
                <w:bCs/>
              </w:rPr>
              <w:t>-16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64E70671" w14:textId="77777777" w:rsidR="004F423B" w:rsidRPr="007A3600" w:rsidRDefault="004F423B" w:rsidP="00AD3197">
            <w:pPr>
              <w:spacing w:line="268" w:lineRule="auto"/>
              <w:jc w:val="right"/>
            </w:pPr>
            <w:r w:rsidRPr="007A3600">
              <w:rPr>
                <w:b/>
                <w:bCs/>
              </w:rPr>
              <w:t>18</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0DEF0295" w14:textId="77777777" w:rsidR="004F423B" w:rsidRPr="007A3600" w:rsidRDefault="004F423B" w:rsidP="00AD3197">
            <w:pPr>
              <w:spacing w:line="268" w:lineRule="auto"/>
              <w:jc w:val="right"/>
            </w:pPr>
            <w:r w:rsidRPr="007A3600">
              <w:rPr>
                <w:b/>
                <w:bCs/>
              </w:rPr>
              <w:t>-278</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0E0E0" w:themeFill="background1" w:themeFillShade="E6"/>
            <w:vAlign w:val="center"/>
            <w:hideMark/>
          </w:tcPr>
          <w:p w14:paraId="2542C654" w14:textId="77777777" w:rsidR="004F423B" w:rsidRPr="007A3600" w:rsidRDefault="004F423B" w:rsidP="00AD3197">
            <w:pPr>
              <w:spacing w:line="268" w:lineRule="auto"/>
              <w:jc w:val="right"/>
            </w:pPr>
            <w:r w:rsidRPr="007A3600">
              <w:rPr>
                <w:b/>
                <w:bCs/>
              </w:rPr>
              <w:t>-80</w:t>
            </w:r>
          </w:p>
        </w:tc>
      </w:tr>
      <w:tr w:rsidR="004F423B" w:rsidRPr="007A3600" w14:paraId="49C1B389" w14:textId="77777777" w:rsidTr="00CB7593">
        <w:tc>
          <w:tcPr>
            <w:tcW w:w="3402"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7D270DAE" w14:textId="77777777" w:rsidR="004F423B" w:rsidRPr="007A3600" w:rsidRDefault="004F423B" w:rsidP="00AD3197">
            <w:pPr>
              <w:spacing w:line="268" w:lineRule="auto"/>
              <w:rPr>
                <w:rFonts w:eastAsia="Times New Roman"/>
                <w:b/>
                <w:bCs/>
                <w:color w:val="000000"/>
                <w:szCs w:val="21"/>
                <w:lang w:val="en-GB"/>
              </w:rPr>
            </w:pPr>
            <w:r w:rsidRPr="007A3600">
              <w:rPr>
                <w:rFonts w:eastAsia="Times New Roman"/>
                <w:b/>
                <w:bCs/>
                <w:color w:val="000000"/>
                <w:szCs w:val="21"/>
                <w:lang w:val="en-GB"/>
              </w:rPr>
              <w:t>June 2025 projections</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5E44D866" w14:textId="77777777" w:rsidR="004F423B" w:rsidRPr="007A3600" w:rsidRDefault="004F423B" w:rsidP="00AD3197">
            <w:pPr>
              <w:spacing w:line="268" w:lineRule="auto"/>
              <w:jc w:val="right"/>
            </w:pPr>
            <w:r w:rsidRPr="007A3600">
              <w:rPr>
                <w:b/>
                <w:bCs/>
              </w:rPr>
              <w:t>50,705</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122EBB91" w14:textId="77777777" w:rsidR="004F423B" w:rsidRPr="007A3600" w:rsidRDefault="004F423B" w:rsidP="00AD3197">
            <w:pPr>
              <w:spacing w:line="268" w:lineRule="auto"/>
              <w:jc w:val="right"/>
            </w:pPr>
            <w:r w:rsidRPr="007A3600">
              <w:rPr>
                <w:b/>
                <w:bCs/>
              </w:rPr>
              <w:t>53,958</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25DE5C7B" w14:textId="77777777" w:rsidR="004F423B" w:rsidRPr="007A3600" w:rsidRDefault="004F423B" w:rsidP="00AD3197">
            <w:pPr>
              <w:spacing w:line="268" w:lineRule="auto"/>
              <w:jc w:val="right"/>
            </w:pPr>
            <w:r w:rsidRPr="007A3600">
              <w:rPr>
                <w:b/>
                <w:bCs/>
              </w:rPr>
              <w:t>58,126</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5E8E9401" w14:textId="77777777" w:rsidR="004F423B" w:rsidRPr="007A3600" w:rsidRDefault="004F423B" w:rsidP="00AD3197">
            <w:pPr>
              <w:spacing w:line="268" w:lineRule="auto"/>
              <w:jc w:val="right"/>
            </w:pPr>
            <w:r w:rsidRPr="007A3600">
              <w:rPr>
                <w:b/>
                <w:bCs/>
              </w:rPr>
              <w:t>62,461</w:t>
            </w:r>
          </w:p>
        </w:tc>
        <w:tc>
          <w:tcPr>
            <w:tcW w:w="1134"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1ED0C27B" w14:textId="77777777" w:rsidR="004F423B" w:rsidRPr="007A3600" w:rsidRDefault="004F423B" w:rsidP="00AD3197">
            <w:pPr>
              <w:spacing w:line="268" w:lineRule="auto"/>
              <w:jc w:val="right"/>
            </w:pPr>
            <w:r w:rsidRPr="007A3600">
              <w:rPr>
                <w:b/>
                <w:bCs/>
              </w:rPr>
              <w:t>225,250</w:t>
            </w:r>
          </w:p>
        </w:tc>
      </w:tr>
    </w:tbl>
    <w:bookmarkEnd w:id="68"/>
    <w:p w14:paraId="27117A38" w14:textId="77777777" w:rsidR="004F423B" w:rsidRPr="007A3600" w:rsidRDefault="004F423B" w:rsidP="00AD3197">
      <w:pPr>
        <w:pStyle w:val="Tablenotes"/>
      </w:pPr>
      <w:r w:rsidRPr="007A3600">
        <w:t>Note: Values have been rounded to the nearest whole number; differences are calculated from unrounded metrics.</w:t>
      </w:r>
    </w:p>
    <w:p w14:paraId="648A7BF3" w14:textId="77777777" w:rsidR="004F423B" w:rsidRPr="007A3600" w:rsidRDefault="004F423B" w:rsidP="00AD3197">
      <w:pPr>
        <w:pStyle w:val="Heading4"/>
        <w:spacing w:before="240"/>
      </w:pPr>
      <w:r w:rsidRPr="007A3600">
        <w:t>Scheme growth</w:t>
      </w:r>
    </w:p>
    <w:p w14:paraId="2FC20FAA" w14:textId="739CC2E3" w:rsidR="004F423B" w:rsidRPr="007A3600" w:rsidRDefault="004F423B" w:rsidP="00AD3197">
      <w:pPr>
        <w:spacing w:before="240"/>
      </w:pPr>
      <w:r w:rsidRPr="007A3600">
        <w:rPr>
          <w:lang w:val="en-GB"/>
        </w:rPr>
        <w:t>Table 3 shows the year-on-year growth in projected Scheme expenses over the four years to 30 June 2029. Growth is expected to reduce from 9.4% in 2025</w:t>
      </w:r>
      <w:r w:rsidR="00F4591C" w:rsidRPr="007A3600">
        <w:rPr>
          <w:lang w:val="en-GB"/>
        </w:rPr>
        <w:t>–</w:t>
      </w:r>
      <w:r w:rsidRPr="007A3600">
        <w:rPr>
          <w:lang w:val="en-GB"/>
        </w:rPr>
        <w:t>26 to rates below 8% from 2026</w:t>
      </w:r>
      <w:r w:rsidR="00F4591C" w:rsidRPr="007A3600">
        <w:rPr>
          <w:lang w:val="en-GB"/>
        </w:rPr>
        <w:t>–</w:t>
      </w:r>
      <w:r w:rsidRPr="007A3600">
        <w:rPr>
          <w:lang w:val="en-GB"/>
        </w:rPr>
        <w:t>27 onwards, consistent with</w:t>
      </w:r>
      <w:bookmarkStart w:id="69" w:name="_Hlk207123056"/>
      <w:r w:rsidRPr="007A3600">
        <w:rPr>
          <w:lang w:val="en-GB"/>
        </w:rPr>
        <w:t xml:space="preserve"> the commitment made by National Cabinet in April 2023.</w:t>
      </w:r>
      <w:bookmarkEnd w:id="69"/>
    </w:p>
    <w:p w14:paraId="42DFC64C" w14:textId="77777777" w:rsidR="004F423B" w:rsidRPr="007A3600" w:rsidRDefault="004F423B" w:rsidP="00AD3197">
      <w:pPr>
        <w:pStyle w:val="Caption"/>
        <w:tabs>
          <w:tab w:val="left" w:pos="7572"/>
        </w:tabs>
      </w:pPr>
      <w:r w:rsidRPr="007A3600">
        <w:lastRenderedPageBreak/>
        <w:t>Table 3: Annual growth in projected Scheme expenses</w:t>
      </w:r>
    </w:p>
    <w:tbl>
      <w:tblPr>
        <w:tblStyle w:val="NDISTable2"/>
        <w:tblW w:w="8846" w:type="dxa"/>
        <w:tblCellMar>
          <w:left w:w="28" w:type="dxa"/>
          <w:right w:w="28" w:type="dxa"/>
        </w:tblCellMar>
        <w:tblLook w:val="06A0" w:firstRow="1" w:lastRow="0" w:firstColumn="1" w:lastColumn="0" w:noHBand="1" w:noVBand="1"/>
      </w:tblPr>
      <w:tblGrid>
        <w:gridCol w:w="3402"/>
        <w:gridCol w:w="1361"/>
        <w:gridCol w:w="1361"/>
        <w:gridCol w:w="1361"/>
        <w:gridCol w:w="1361"/>
      </w:tblGrid>
      <w:tr w:rsidR="004F423B" w:rsidRPr="007A3600" w14:paraId="3233BC92" w14:textId="77777777" w:rsidTr="0019777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Borders>
              <w:top w:val="single" w:sz="4" w:space="0" w:color="6B2876" w:themeColor="text1"/>
              <w:left w:val="single" w:sz="4" w:space="0" w:color="6B2876" w:themeColor="text1"/>
            </w:tcBorders>
            <w:vAlign w:val="center"/>
            <w:hideMark/>
          </w:tcPr>
          <w:p w14:paraId="1DC72DC6" w14:textId="77777777" w:rsidR="004F423B" w:rsidRPr="007A3600" w:rsidRDefault="004F423B" w:rsidP="00AD3197">
            <w:pPr>
              <w:spacing w:line="268" w:lineRule="auto"/>
            </w:pPr>
            <w:bookmarkStart w:id="70" w:name="_Hlk207122984"/>
            <w:r w:rsidRPr="007A3600">
              <w:rPr>
                <w:lang w:val="en-GB"/>
              </w:rPr>
              <w:t>Growth component (%)</w:t>
            </w:r>
          </w:p>
        </w:tc>
        <w:tc>
          <w:tcPr>
            <w:tcW w:w="1361" w:type="dxa"/>
            <w:tcBorders>
              <w:top w:val="single" w:sz="4" w:space="0" w:color="6B2876" w:themeColor="text1"/>
              <w:bottom w:val="single" w:sz="4" w:space="0" w:color="6B2876" w:themeColor="text1"/>
            </w:tcBorders>
            <w:vAlign w:val="center"/>
            <w:hideMark/>
          </w:tcPr>
          <w:p w14:paraId="7D33C870"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2025–26 </w:t>
            </w:r>
          </w:p>
        </w:tc>
        <w:tc>
          <w:tcPr>
            <w:tcW w:w="1361" w:type="dxa"/>
            <w:tcBorders>
              <w:top w:val="single" w:sz="4" w:space="0" w:color="6B2876" w:themeColor="text1"/>
              <w:bottom w:val="single" w:sz="4" w:space="0" w:color="6B2876" w:themeColor="text1"/>
            </w:tcBorders>
            <w:vAlign w:val="center"/>
            <w:hideMark/>
          </w:tcPr>
          <w:p w14:paraId="469D63C7"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2026–27 </w:t>
            </w:r>
          </w:p>
        </w:tc>
        <w:tc>
          <w:tcPr>
            <w:tcW w:w="1361" w:type="dxa"/>
            <w:tcBorders>
              <w:top w:val="single" w:sz="4" w:space="0" w:color="6B2876" w:themeColor="text1"/>
              <w:bottom w:val="single" w:sz="4" w:space="0" w:color="6B2876" w:themeColor="text1"/>
            </w:tcBorders>
            <w:vAlign w:val="center"/>
            <w:hideMark/>
          </w:tcPr>
          <w:p w14:paraId="1F09A322"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2027–28 </w:t>
            </w:r>
          </w:p>
        </w:tc>
        <w:tc>
          <w:tcPr>
            <w:tcW w:w="1361" w:type="dxa"/>
            <w:tcBorders>
              <w:top w:val="single" w:sz="4" w:space="0" w:color="6B2876" w:themeColor="text1"/>
              <w:bottom w:val="single" w:sz="4" w:space="0" w:color="6B2876" w:themeColor="text1"/>
              <w:right w:val="single" w:sz="4" w:space="0" w:color="6B2876" w:themeColor="text1"/>
            </w:tcBorders>
            <w:vAlign w:val="center"/>
            <w:hideMark/>
          </w:tcPr>
          <w:p w14:paraId="4FC42106" w14:textId="77777777" w:rsidR="004F423B" w:rsidRPr="007A3600" w:rsidRDefault="004F423B" w:rsidP="00AD3197">
            <w:pPr>
              <w:spacing w:line="268" w:lineRule="auto"/>
              <w:jc w:val="right"/>
              <w:cnfStyle w:val="100000000000" w:firstRow="1" w:lastRow="0" w:firstColumn="0" w:lastColumn="0" w:oddVBand="0" w:evenVBand="0" w:oddHBand="0" w:evenHBand="0" w:firstRowFirstColumn="0" w:firstRowLastColumn="0" w:lastRowFirstColumn="0" w:lastRowLastColumn="0"/>
            </w:pPr>
            <w:r w:rsidRPr="007A3600">
              <w:rPr>
                <w:lang w:val="en-GB"/>
              </w:rPr>
              <w:t xml:space="preserve">2028–29 </w:t>
            </w:r>
          </w:p>
        </w:tc>
      </w:tr>
      <w:tr w:rsidR="00320EF6" w:rsidRPr="007A3600" w14:paraId="461DE097" w14:textId="77777777" w:rsidTr="00197772">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vAlign w:val="center"/>
            <w:hideMark/>
          </w:tcPr>
          <w:p w14:paraId="05D5FB45" w14:textId="77777777" w:rsidR="004F423B" w:rsidRPr="007A3600" w:rsidRDefault="004F423B" w:rsidP="00AD3197">
            <w:pPr>
              <w:spacing w:line="268" w:lineRule="auto"/>
            </w:pPr>
            <w:r w:rsidRPr="007A3600">
              <w:rPr>
                <w:lang w:val="en-GB"/>
              </w:rPr>
              <w:t>Participant impacts</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D152B74"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2.0%</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030F37C"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1.7%</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60F996B7"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1.4%</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6217CCEF"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1.4%</w:t>
            </w:r>
          </w:p>
        </w:tc>
      </w:tr>
      <w:tr w:rsidR="00320EF6" w:rsidRPr="007A3600" w14:paraId="6B3AAA9C" w14:textId="77777777" w:rsidTr="00197772">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vAlign w:val="center"/>
            <w:hideMark/>
          </w:tcPr>
          <w:p w14:paraId="033DCCB0" w14:textId="77777777" w:rsidR="004F423B" w:rsidRPr="007A3600" w:rsidRDefault="004F423B" w:rsidP="00AD3197">
            <w:pPr>
              <w:spacing w:line="268" w:lineRule="auto"/>
            </w:pPr>
            <w:r w:rsidRPr="007A3600">
              <w:rPr>
                <w:lang w:val="en-GB"/>
              </w:rPr>
              <w:t>Pricing impacts</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74E22884"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3.0%</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23395315"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3.7%</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6935123C"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3.5%</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4097E2F"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3.5%</w:t>
            </w:r>
          </w:p>
        </w:tc>
      </w:tr>
      <w:tr w:rsidR="00320EF6" w:rsidRPr="007A3600" w14:paraId="33EC8738" w14:textId="77777777" w:rsidTr="00197772">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right w:val="single" w:sz="4" w:space="0" w:color="6B2876" w:themeColor="text1"/>
            </w:tcBorders>
            <w:vAlign w:val="center"/>
            <w:hideMark/>
          </w:tcPr>
          <w:p w14:paraId="44B02532" w14:textId="77777777" w:rsidR="004F423B" w:rsidRPr="007A3600" w:rsidRDefault="004F423B" w:rsidP="00AD3197">
            <w:pPr>
              <w:spacing w:line="268" w:lineRule="auto"/>
            </w:pPr>
            <w:r w:rsidRPr="007A3600">
              <w:rPr>
                <w:lang w:val="en-GB"/>
              </w:rPr>
              <w:t>Real growth in payments</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48FD930"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4.4%</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0D8BE11B"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1.0%</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4A47740B"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2.8%</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vAlign w:val="center"/>
            <w:hideMark/>
          </w:tcPr>
          <w:p w14:paraId="323B9C6B"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pPr>
            <w:r w:rsidRPr="007A3600">
              <w:t>2.6%</w:t>
            </w:r>
          </w:p>
        </w:tc>
      </w:tr>
      <w:tr w:rsidR="00320EF6" w:rsidRPr="007A3600" w14:paraId="0A53C894" w14:textId="77777777" w:rsidTr="00197772">
        <w:tc>
          <w:tcPr>
            <w:cnfStyle w:val="001000000000" w:firstRow="0" w:lastRow="0" w:firstColumn="1" w:lastColumn="0" w:oddVBand="0" w:evenVBand="0" w:oddHBand="0" w:evenHBand="0" w:firstRowFirstColumn="0" w:firstRowLastColumn="0" w:lastRowFirstColumn="0" w:lastRowLastColumn="0"/>
            <w:tcW w:w="3402" w:type="dxa"/>
            <w:tcBorders>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140C3ABA" w14:textId="77777777" w:rsidR="004F423B" w:rsidRPr="007A3600" w:rsidRDefault="004F423B" w:rsidP="00AD3197">
            <w:pPr>
              <w:spacing w:line="268" w:lineRule="auto"/>
              <w:rPr>
                <w:b/>
                <w:bCs/>
              </w:rPr>
            </w:pPr>
            <w:r w:rsidRPr="007A3600">
              <w:rPr>
                <w:b/>
                <w:bCs/>
                <w:lang w:val="en-GB"/>
              </w:rPr>
              <w:t>Total growth</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34359AB5"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rPr>
                <w:b/>
                <w:bCs/>
              </w:rPr>
            </w:pPr>
            <w:r w:rsidRPr="007A3600">
              <w:rPr>
                <w:b/>
                <w:bCs/>
              </w:rPr>
              <w:t>9.4%</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077CE0E2"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rPr>
                <w:b/>
                <w:bCs/>
              </w:rPr>
            </w:pPr>
            <w:r w:rsidRPr="007A3600">
              <w:rPr>
                <w:b/>
                <w:bCs/>
              </w:rPr>
              <w:t>6.4%</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5CCBEA62"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rPr>
                <w:b/>
                <w:bCs/>
              </w:rPr>
            </w:pPr>
            <w:r w:rsidRPr="007A3600">
              <w:rPr>
                <w:b/>
                <w:bCs/>
              </w:rPr>
              <w:t>7.7%</w:t>
            </w:r>
          </w:p>
        </w:tc>
        <w:tc>
          <w:tcPr>
            <w:tcW w:w="1361" w:type="dxa"/>
            <w:tcBorders>
              <w:top w:val="single" w:sz="4" w:space="0" w:color="6B2876" w:themeColor="text1"/>
              <w:left w:val="single" w:sz="4" w:space="0" w:color="6B2876" w:themeColor="text1"/>
              <w:bottom w:val="single" w:sz="4" w:space="0" w:color="6B2876" w:themeColor="text1"/>
              <w:right w:val="single" w:sz="4" w:space="0" w:color="6B2876" w:themeColor="text1"/>
            </w:tcBorders>
            <w:shd w:val="clear" w:color="auto" w:fill="E8CAED"/>
            <w:vAlign w:val="center"/>
            <w:hideMark/>
          </w:tcPr>
          <w:p w14:paraId="15EB98DB" w14:textId="77777777" w:rsidR="004F423B" w:rsidRPr="007A3600" w:rsidRDefault="004F423B" w:rsidP="00AD3197">
            <w:pPr>
              <w:spacing w:line="268" w:lineRule="auto"/>
              <w:jc w:val="right"/>
              <w:cnfStyle w:val="000000000000" w:firstRow="0" w:lastRow="0" w:firstColumn="0" w:lastColumn="0" w:oddVBand="0" w:evenVBand="0" w:oddHBand="0" w:evenHBand="0" w:firstRowFirstColumn="0" w:firstRowLastColumn="0" w:lastRowFirstColumn="0" w:lastRowLastColumn="0"/>
              <w:rPr>
                <w:b/>
                <w:bCs/>
              </w:rPr>
            </w:pPr>
            <w:r w:rsidRPr="007A3600">
              <w:rPr>
                <w:b/>
                <w:bCs/>
              </w:rPr>
              <w:t>7.5%</w:t>
            </w:r>
          </w:p>
        </w:tc>
      </w:tr>
    </w:tbl>
    <w:bookmarkEnd w:id="70"/>
    <w:p w14:paraId="4B428006" w14:textId="68C3FBFA" w:rsidR="004F423B" w:rsidRPr="007A3600" w:rsidRDefault="004F423B" w:rsidP="00AD3197">
      <w:pPr>
        <w:keepLines/>
        <w:widowControl w:val="0"/>
        <w:spacing w:before="240"/>
        <w:rPr>
          <w:lang w:val="en-GB"/>
        </w:rPr>
      </w:pPr>
      <w:r w:rsidRPr="007A3600">
        <w:rPr>
          <w:lang w:val="en-GB"/>
        </w:rPr>
        <w:t xml:space="preserve">The June 2025 projections assume higher rates of growth in Scheme expenditure than the medium-term target announced by the Minister for Disability and </w:t>
      </w:r>
      <w:r w:rsidR="00583D15">
        <w:rPr>
          <w:lang w:val="en-GB"/>
        </w:rPr>
        <w:t xml:space="preserve">the </w:t>
      </w:r>
      <w:r w:rsidRPr="007A3600">
        <w:rPr>
          <w:lang w:val="en-GB"/>
        </w:rPr>
        <w:t>N</w:t>
      </w:r>
      <w:r w:rsidR="00A07964">
        <w:rPr>
          <w:lang w:val="en-GB"/>
        </w:rPr>
        <w:t xml:space="preserve">ational </w:t>
      </w:r>
      <w:r w:rsidRPr="007A3600">
        <w:rPr>
          <w:lang w:val="en-GB"/>
        </w:rPr>
        <w:t>D</w:t>
      </w:r>
      <w:r w:rsidR="00A07964">
        <w:rPr>
          <w:lang w:val="en-GB"/>
        </w:rPr>
        <w:t xml:space="preserve">isability </w:t>
      </w:r>
      <w:r w:rsidRPr="007A3600">
        <w:rPr>
          <w:lang w:val="en-GB"/>
        </w:rPr>
        <w:t>I</w:t>
      </w:r>
      <w:r w:rsidR="00A07964">
        <w:rPr>
          <w:lang w:val="en-GB"/>
        </w:rPr>
        <w:t xml:space="preserve">nsurance </w:t>
      </w:r>
      <w:r w:rsidRPr="007A3600">
        <w:rPr>
          <w:lang w:val="en-GB"/>
        </w:rPr>
        <w:t>S</w:t>
      </w:r>
      <w:r w:rsidR="00A07964">
        <w:rPr>
          <w:lang w:val="en-GB"/>
        </w:rPr>
        <w:t>cheme</w:t>
      </w:r>
      <w:r w:rsidRPr="007A3600">
        <w:rPr>
          <w:lang w:val="en-GB"/>
        </w:rPr>
        <w:t xml:space="preserve"> of</w:t>
      </w:r>
      <w:r w:rsidR="00A42537" w:rsidRPr="007A3600">
        <w:rPr>
          <w:lang w:val="en-GB"/>
        </w:rPr>
        <w:t xml:space="preserve"> </w:t>
      </w:r>
      <w:r w:rsidRPr="007A3600">
        <w:rPr>
          <w:lang w:val="en-GB"/>
        </w:rPr>
        <w:t>5</w:t>
      </w:r>
      <w:r w:rsidR="00E83B27" w:rsidRPr="007A3600">
        <w:rPr>
          <w:lang w:val="en-GB"/>
        </w:rPr>
        <w:noBreakHyphen/>
      </w:r>
      <w:r w:rsidRPr="007A3600">
        <w:rPr>
          <w:lang w:val="en-GB"/>
        </w:rPr>
        <w:t>6%</w:t>
      </w:r>
      <w:r w:rsidR="00AB0875" w:rsidRPr="007A3600">
        <w:rPr>
          <w:lang w:val="en-GB"/>
        </w:rPr>
        <w:t xml:space="preserve"> </w:t>
      </w:r>
      <w:r w:rsidRPr="007A3600">
        <w:rPr>
          <w:lang w:val="en-GB"/>
        </w:rPr>
        <w:t>per annum. To achieve this target further reforms will be needed. Growth in Scheme expenditure of 6% per annum from 1 July 2030 onwards would reduce Scheme expenses by $6 billion in 2034</w:t>
      </w:r>
      <w:r w:rsidR="00F4591C" w:rsidRPr="007A3600">
        <w:rPr>
          <w:lang w:val="en-GB"/>
        </w:rPr>
        <w:t>–</w:t>
      </w:r>
      <w:r w:rsidRPr="007A3600">
        <w:rPr>
          <w:lang w:val="en-GB"/>
        </w:rPr>
        <w:t>35 relative to the June 2025 projections.</w:t>
      </w:r>
    </w:p>
    <w:p w14:paraId="5136511A" w14:textId="77777777" w:rsidR="004F423B" w:rsidRPr="007A3600" w:rsidRDefault="004F423B" w:rsidP="00AD3197">
      <w:pPr>
        <w:rPr>
          <w:lang w:val="en-GB"/>
        </w:rPr>
      </w:pPr>
      <w:r w:rsidRPr="007A3600">
        <w:rPr>
          <w:lang w:val="en-GB"/>
        </w:rPr>
        <w:t>The June 2025 projections assume NDIA resourcing remains sufficient to continue administering the Scheme at the same time as effectively implementing reforms. If this does not occur, NDIS expenses would be expected to be higher than those shown at this review. In the 2025–26 Budget, NDIA operating expenses reduce by 38% in 2026–27.</w:t>
      </w:r>
    </w:p>
    <w:p w14:paraId="127332C9" w14:textId="77777777" w:rsidR="000448B7" w:rsidRPr="007A3600" w:rsidRDefault="004F423B" w:rsidP="00AD3197">
      <w:pPr>
        <w:rPr>
          <w:lang w:val="en-GB"/>
        </w:rPr>
        <w:sectPr w:rsidR="000448B7" w:rsidRPr="007A3600" w:rsidSect="000F17C1">
          <w:headerReference w:type="first" r:id="rId59"/>
          <w:footerReference w:type="first" r:id="rId60"/>
          <w:pgSz w:w="11906" w:h="16838" w:code="9"/>
          <w:pgMar w:top="142" w:right="1440" w:bottom="1701" w:left="1440" w:header="561" w:footer="374" w:gutter="0"/>
          <w:cols w:space="708"/>
          <w:titlePg/>
          <w:docGrid w:linePitch="360"/>
        </w:sectPr>
      </w:pPr>
      <w:r w:rsidRPr="007A3600">
        <w:rPr>
          <w:lang w:val="en-GB"/>
        </w:rPr>
        <w:t>More discussion on recent NDIS experience, the June 2025 projection results and the assumptions underlying the projections is in the 2024–25 AFSR.</w:t>
      </w:r>
    </w:p>
    <w:p w14:paraId="2BD23401" w14:textId="37DB559A" w:rsidR="004F423B" w:rsidRPr="007A3600" w:rsidRDefault="000448B7" w:rsidP="00AD3197">
      <w:pPr>
        <w:pStyle w:val="Heading3"/>
      </w:pPr>
      <w:bookmarkStart w:id="71" w:name="_3.4_Letter_from"/>
      <w:bookmarkStart w:id="72" w:name="_Toc209695844"/>
      <w:bookmarkEnd w:id="71"/>
      <w:r w:rsidRPr="007A3600">
        <w:lastRenderedPageBreak/>
        <w:t>3.4</w:t>
      </w:r>
      <w:r w:rsidRPr="007A3600">
        <w:tab/>
      </w:r>
      <w:r w:rsidR="00452D86" w:rsidRPr="007A3600">
        <w:t>Letter from independent actuary</w:t>
      </w:r>
      <w:bookmarkEnd w:id="72"/>
    </w:p>
    <w:p w14:paraId="7DF2C27E" w14:textId="65721503" w:rsidR="00452D86" w:rsidRPr="007A3600" w:rsidRDefault="00E80C01" w:rsidP="00AD3197">
      <w:r w:rsidRPr="007A3600">
        <w:rPr>
          <w:noProof/>
        </w:rPr>
        <w:drawing>
          <wp:inline distT="0" distB="0" distL="0" distR="0" wp14:anchorId="649D07C7" wp14:editId="42817509">
            <wp:extent cx="5736449" cy="8113395"/>
            <wp:effectExtent l="19050" t="19050" r="17145" b="20955"/>
            <wp:docPr id="1237236121" name="Picture 1" descr="A letter from the Australian Government Actuary confirming the review of the June 2025 financial sustainability re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236121" name="Picture 1" descr="A letter from the Australian Government Actuary confirming the review of the June 2025 financial sustainability report."/>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742694" cy="8122227"/>
                    </a:xfrm>
                    <a:prstGeom prst="rect">
                      <a:avLst/>
                    </a:prstGeom>
                    <a:ln>
                      <a:solidFill>
                        <a:srgbClr val="000000"/>
                      </a:solidFill>
                    </a:ln>
                  </pic:spPr>
                </pic:pic>
              </a:graphicData>
            </a:graphic>
          </wp:inline>
        </w:drawing>
      </w:r>
    </w:p>
    <w:p w14:paraId="53E24A0D" w14:textId="55069415" w:rsidR="00786EC7" w:rsidRPr="007A3600" w:rsidRDefault="00786EC7" w:rsidP="00AD3197">
      <w:pPr>
        <w:pStyle w:val="Heading3"/>
        <w:sectPr w:rsidR="00786EC7" w:rsidRPr="007A3600" w:rsidSect="000F17C1">
          <w:pgSz w:w="11906" w:h="16838" w:code="9"/>
          <w:pgMar w:top="142" w:right="1440" w:bottom="1701" w:left="1440" w:header="561" w:footer="374" w:gutter="0"/>
          <w:cols w:space="708"/>
          <w:titlePg/>
          <w:docGrid w:linePitch="360"/>
        </w:sectPr>
      </w:pPr>
    </w:p>
    <w:p w14:paraId="672B6602" w14:textId="1FC68FF4" w:rsidR="00017501" w:rsidRPr="007A3600" w:rsidRDefault="00017501" w:rsidP="00AD3197">
      <w:pPr>
        <w:pStyle w:val="Heading2"/>
      </w:pPr>
      <w:bookmarkStart w:id="73" w:name="_Section_4:_Management"/>
      <w:bookmarkStart w:id="74" w:name="_Toc207017696"/>
      <w:bookmarkStart w:id="75" w:name="_Toc209695845"/>
      <w:bookmarkEnd w:id="45"/>
      <w:bookmarkEnd w:id="73"/>
      <w:r w:rsidRPr="007A3600">
        <w:lastRenderedPageBreak/>
        <w:t xml:space="preserve">Section </w:t>
      </w:r>
      <w:r w:rsidR="009112AF" w:rsidRPr="007A3600">
        <w:t>4</w:t>
      </w:r>
      <w:r w:rsidRPr="007A3600">
        <w:t xml:space="preserve">: </w:t>
      </w:r>
      <w:r w:rsidR="00CB5B64" w:rsidRPr="007A3600">
        <w:t>Management and accountability</w:t>
      </w:r>
      <w:bookmarkEnd w:id="74"/>
      <w:bookmarkEnd w:id="75"/>
    </w:p>
    <w:p w14:paraId="6B0A0C01" w14:textId="77777777" w:rsidR="0073735A" w:rsidRPr="007A3600" w:rsidRDefault="0073735A" w:rsidP="00AD3197">
      <w:pPr>
        <w:pStyle w:val="Heading1"/>
        <w:rPr>
          <w:b w:val="0"/>
        </w:rPr>
        <w:sectPr w:rsidR="0073735A" w:rsidRPr="007A3600" w:rsidSect="000F17C1">
          <w:headerReference w:type="even" r:id="rId62"/>
          <w:headerReference w:type="default" r:id="rId63"/>
          <w:headerReference w:type="first" r:id="rId64"/>
          <w:footerReference w:type="first" r:id="rId65"/>
          <w:pgSz w:w="11906" w:h="16838" w:code="9"/>
          <w:pgMar w:top="142" w:right="1440" w:bottom="1701" w:left="1440" w:header="561" w:footer="374" w:gutter="0"/>
          <w:cols w:space="708"/>
          <w:titlePg/>
          <w:docGrid w:linePitch="360"/>
        </w:sectPr>
      </w:pPr>
    </w:p>
    <w:p w14:paraId="372A813D" w14:textId="35F980DA" w:rsidR="00017501" w:rsidRPr="007A3600" w:rsidRDefault="009112AF" w:rsidP="00AD3197">
      <w:pPr>
        <w:pStyle w:val="Heading3"/>
      </w:pPr>
      <w:bookmarkStart w:id="76" w:name="_Toc207017697"/>
      <w:bookmarkStart w:id="77" w:name="_Toc209695846"/>
      <w:r w:rsidRPr="007A3600">
        <w:lastRenderedPageBreak/>
        <w:t>4</w:t>
      </w:r>
      <w:r w:rsidR="00CE2125" w:rsidRPr="007A3600">
        <w:t>.1</w:t>
      </w:r>
      <w:r w:rsidR="00CE2125" w:rsidRPr="007A3600">
        <w:tab/>
      </w:r>
      <w:r w:rsidR="00CB5B64" w:rsidRPr="007A3600">
        <w:t>Governance</w:t>
      </w:r>
      <w:bookmarkEnd w:id="76"/>
      <w:bookmarkEnd w:id="77"/>
    </w:p>
    <w:p w14:paraId="158D7644" w14:textId="77777777" w:rsidR="003B2584" w:rsidRPr="007A3600" w:rsidRDefault="003B2584" w:rsidP="00AD3197">
      <w:r w:rsidRPr="007A3600">
        <w:t>The governance model for the NDIA is described in the NDIS Act and outlined below.</w:t>
      </w:r>
    </w:p>
    <w:p w14:paraId="6EFEBA3C" w14:textId="0F9AFFE4" w:rsidR="003B2584" w:rsidRPr="007A3600" w:rsidRDefault="003B2584" w:rsidP="00AD3197">
      <w:pPr>
        <w:pStyle w:val="Caption"/>
      </w:pPr>
      <w:r w:rsidRPr="007A3600">
        <w:t xml:space="preserve">Figure </w:t>
      </w:r>
      <w:r w:rsidR="003B095A" w:rsidRPr="007A3600">
        <w:t>3</w:t>
      </w:r>
      <w:r w:rsidRPr="007A3600">
        <w:t>: NDIA governance</w:t>
      </w:r>
    </w:p>
    <w:p w14:paraId="3D3B7E18" w14:textId="5F14C350" w:rsidR="003B2584" w:rsidRPr="007A3600" w:rsidRDefault="005158CF" w:rsidP="00AD3197">
      <w:pPr>
        <w:jc w:val="center"/>
        <w:rPr>
          <w:rFonts w:eastAsia="Arial" w:cs="Arial"/>
          <w:color w:val="000000" w:themeColor="accent6"/>
        </w:rPr>
      </w:pPr>
      <w:r w:rsidRPr="007A3600">
        <w:rPr>
          <w:rFonts w:eastAsia="Arial" w:cs="Arial"/>
          <w:noProof/>
          <w:color w:val="000000" w:themeColor="accent6"/>
        </w:rPr>
        <w:drawing>
          <wp:inline distT="0" distB="0" distL="0" distR="0" wp14:anchorId="3A95BAB7" wp14:editId="0975D165">
            <wp:extent cx="5384866" cy="2857500"/>
            <wp:effectExtent l="0" t="0" r="6350" b="0"/>
            <wp:docPr id="930644260" name="Picture 1" descr="The Agency governance model. This is in 3 layers. At the top there is Federal Parliament (Commonwealth Ministers) and the Ministerial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644260" name="Picture 1" descr="The Agency governance model. This is in 3 layers. At the top there is Federal Parliament (Commonwealth Ministers) and the Ministerial Council."/>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5391059" cy="2860786"/>
                    </a:xfrm>
                    <a:prstGeom prst="rect">
                      <a:avLst/>
                    </a:prstGeom>
                    <a:noFill/>
                  </pic:spPr>
                </pic:pic>
              </a:graphicData>
            </a:graphic>
          </wp:inline>
        </w:drawing>
      </w:r>
    </w:p>
    <w:p w14:paraId="4867DDDA" w14:textId="42A1EBC7" w:rsidR="00CB5B64" w:rsidRPr="007A3600" w:rsidRDefault="009A2D96" w:rsidP="00AD3197">
      <w:pPr>
        <w:pStyle w:val="Heading4"/>
      </w:pPr>
      <w:bookmarkStart w:id="78" w:name="_Responsible_Minister"/>
      <w:bookmarkStart w:id="79" w:name="_Toc207017698"/>
      <w:bookmarkStart w:id="80" w:name="_Hlk207033410"/>
      <w:bookmarkEnd w:id="78"/>
      <w:r w:rsidRPr="007A3600">
        <w:t xml:space="preserve">Responsible </w:t>
      </w:r>
      <w:bookmarkEnd w:id="79"/>
      <w:r w:rsidR="003037A3" w:rsidRPr="007A3600">
        <w:t>m</w:t>
      </w:r>
      <w:r w:rsidRPr="007A3600">
        <w:t>inister</w:t>
      </w:r>
    </w:p>
    <w:p w14:paraId="1D3AF0C5" w14:textId="30DB15DA" w:rsidR="00403ED8" w:rsidRPr="007A3600" w:rsidRDefault="00403ED8" w:rsidP="00AD3197">
      <w:r w:rsidRPr="007A3600">
        <w:t xml:space="preserve">There were 4 responsible ministers </w:t>
      </w:r>
      <w:r w:rsidR="009D42E3" w:rsidRPr="007A3600">
        <w:t xml:space="preserve">and one assistant minister </w:t>
      </w:r>
      <w:r w:rsidRPr="007A3600">
        <w:t>for the NDIA during 2024–25:</w:t>
      </w:r>
    </w:p>
    <w:p w14:paraId="30FE37CF" w14:textId="36321AE5" w:rsidR="000B37DA" w:rsidRPr="007A3600" w:rsidRDefault="00D739C8" w:rsidP="00AD3197">
      <w:pPr>
        <w:pStyle w:val="Bullet1"/>
      </w:pPr>
      <w:r w:rsidRPr="007A3600">
        <w:t>t</w:t>
      </w:r>
      <w:r w:rsidR="000B37DA" w:rsidRPr="007A3600">
        <w:t>he Hon Bill Shorten MP, Minister for the National Disability Insurance Scheme: 1 July 2024 – 20 January 2025</w:t>
      </w:r>
    </w:p>
    <w:p w14:paraId="23AFBD7E" w14:textId="3B3E9769" w:rsidR="000B37DA" w:rsidRPr="007A3600" w:rsidRDefault="00D739C8" w:rsidP="00AD3197">
      <w:pPr>
        <w:pStyle w:val="Bullet1"/>
      </w:pPr>
      <w:r w:rsidRPr="007A3600">
        <w:t>t</w:t>
      </w:r>
      <w:r w:rsidR="000B37DA" w:rsidRPr="007A3600">
        <w:t>he Hon Amanda Rishworth MP, Minister for the National Disability Insurance Scheme: 20 January – 13 May 2025</w:t>
      </w:r>
    </w:p>
    <w:p w14:paraId="7F9DF2AC" w14:textId="464D5EED" w:rsidR="009D42E3" w:rsidRPr="007A3600" w:rsidRDefault="00AF2EC6" w:rsidP="00AD3197">
      <w:pPr>
        <w:pStyle w:val="Bullet1"/>
      </w:pPr>
      <w:r w:rsidRPr="007A3600">
        <w:t>the Hon Dr Anne Aly MP, Assistant Minister for the National Disability Insurance Scheme: 20 January – 13 May 2025</w:t>
      </w:r>
    </w:p>
    <w:p w14:paraId="28056015" w14:textId="6B437746" w:rsidR="000B37DA" w:rsidRPr="007A3600" w:rsidRDefault="00D739C8" w:rsidP="00AD3197">
      <w:pPr>
        <w:pStyle w:val="Bullet1"/>
      </w:pPr>
      <w:r w:rsidRPr="007A3600">
        <w:t>t</w:t>
      </w:r>
      <w:r w:rsidR="000B37DA" w:rsidRPr="007A3600">
        <w:t>he Hon Mark Butler MP, Minister for Disability and the National Disability Insurance Scheme from 13 May 2025</w:t>
      </w:r>
    </w:p>
    <w:p w14:paraId="60EA470D" w14:textId="328BAA27" w:rsidR="000B37DA" w:rsidRPr="007A3600" w:rsidRDefault="000B37DA" w:rsidP="00AD3197">
      <w:pPr>
        <w:pStyle w:val="Bullet1"/>
      </w:pPr>
      <w:r w:rsidRPr="007A3600">
        <w:t>Senator the Hon Jenny McAllister, Minister for the National Disability Insurance Scheme from 13 May 2025</w:t>
      </w:r>
      <w:r w:rsidR="00C11ADA" w:rsidRPr="007A3600">
        <w:t>.</w:t>
      </w:r>
    </w:p>
    <w:p w14:paraId="3A64B03F" w14:textId="0ADC809D" w:rsidR="009A2D96" w:rsidRPr="007A3600" w:rsidRDefault="007164EB" w:rsidP="00AD3197">
      <w:r w:rsidRPr="007A3600">
        <w:t xml:space="preserve">The Minister for the </w:t>
      </w:r>
      <w:r w:rsidR="00FE7683" w:rsidRPr="007A3600">
        <w:t>N</w:t>
      </w:r>
      <w:r w:rsidR="0073603D" w:rsidRPr="007A3600">
        <w:t xml:space="preserve">ational </w:t>
      </w:r>
      <w:r w:rsidR="00FE7683" w:rsidRPr="007A3600">
        <w:t>D</w:t>
      </w:r>
      <w:r w:rsidR="0073603D" w:rsidRPr="007A3600">
        <w:t xml:space="preserve">isability </w:t>
      </w:r>
      <w:r w:rsidR="00FE7683" w:rsidRPr="007A3600">
        <w:t>I</w:t>
      </w:r>
      <w:r w:rsidR="0073603D" w:rsidRPr="007A3600">
        <w:t xml:space="preserve">nsurance </w:t>
      </w:r>
      <w:r w:rsidR="00FE7683" w:rsidRPr="007A3600">
        <w:t>S</w:t>
      </w:r>
      <w:r w:rsidR="0073603D" w:rsidRPr="007A3600">
        <w:t>cheme</w:t>
      </w:r>
      <w:r w:rsidR="00FE7683" w:rsidRPr="007A3600">
        <w:t xml:space="preserve"> </w:t>
      </w:r>
      <w:r w:rsidRPr="007A3600">
        <w:t>is responsible for administering the NDIS Act</w:t>
      </w:r>
      <w:r w:rsidR="00FD5841" w:rsidRPr="007A3600">
        <w:t>.</w:t>
      </w:r>
      <w:r w:rsidRPr="007A3600">
        <w:t xml:space="preserve"> </w:t>
      </w:r>
      <w:r w:rsidR="00FD5841" w:rsidRPr="007A3600">
        <w:t>W</w:t>
      </w:r>
      <w:r w:rsidRPr="007A3600">
        <w:t xml:space="preserve">ith the agreement of states and territories, </w:t>
      </w:r>
      <w:r w:rsidR="00FD5841" w:rsidRPr="007A3600">
        <w:t xml:space="preserve">the Minister </w:t>
      </w:r>
      <w:r w:rsidRPr="007A3600">
        <w:t>exercises statutory powers, including the power to make delegated legislation in the form of NDIS Rules and to direct the NDIA.</w:t>
      </w:r>
      <w:bookmarkEnd w:id="80"/>
    </w:p>
    <w:p w14:paraId="44E19687" w14:textId="120B0AA7" w:rsidR="009A2D96" w:rsidRPr="007A3600" w:rsidRDefault="009A2D96" w:rsidP="00AD3197">
      <w:pPr>
        <w:pStyle w:val="Heading4"/>
      </w:pPr>
      <w:bookmarkStart w:id="81" w:name="_Ministerial_directions_and"/>
      <w:bookmarkStart w:id="82" w:name="_Toc207017699"/>
      <w:bookmarkEnd w:id="81"/>
      <w:r w:rsidRPr="007A3600">
        <w:lastRenderedPageBreak/>
        <w:t>Ministerial directions and government policy orders</w:t>
      </w:r>
      <w:bookmarkEnd w:id="82"/>
    </w:p>
    <w:p w14:paraId="2A6C5E78" w14:textId="6EFDFC1D" w:rsidR="009A2D96" w:rsidRPr="007A3600" w:rsidRDefault="00953EE8" w:rsidP="00AD3197">
      <w:r w:rsidRPr="007A3600">
        <w:t>The NDIA did not receive any government policy orders or ministerial directions</w:t>
      </w:r>
      <w:r w:rsidR="00D97E6C" w:rsidRPr="007A3600">
        <w:t xml:space="preserve"> in 2024</w:t>
      </w:r>
      <w:r w:rsidR="002917A9" w:rsidRPr="007A3600">
        <w:t>–</w:t>
      </w:r>
      <w:r w:rsidR="00D97E6C" w:rsidRPr="007A3600">
        <w:t>25</w:t>
      </w:r>
      <w:r w:rsidRPr="007A3600">
        <w:t>.</w:t>
      </w:r>
    </w:p>
    <w:p w14:paraId="4C3B3C86" w14:textId="4CA4734C" w:rsidR="009A2D96" w:rsidRPr="007A3600" w:rsidRDefault="009A2D96" w:rsidP="00AD3197">
      <w:pPr>
        <w:pStyle w:val="Heading4"/>
      </w:pPr>
      <w:bookmarkStart w:id="83" w:name="_Toc207017700"/>
      <w:r w:rsidRPr="007A3600">
        <w:t>Disability Reform Ministerial Council</w:t>
      </w:r>
      <w:bookmarkEnd w:id="83"/>
    </w:p>
    <w:p w14:paraId="7F95E512" w14:textId="054B21E4" w:rsidR="00340AD1" w:rsidRPr="007A3600" w:rsidRDefault="00340AD1" w:rsidP="00AD3197">
      <w:pPr>
        <w:spacing w:line="276" w:lineRule="auto"/>
        <w:rPr>
          <w:rFonts w:cs="Arial"/>
        </w:rPr>
      </w:pPr>
      <w:r w:rsidRPr="007A3600">
        <w:rPr>
          <w:rFonts w:cs="Arial"/>
        </w:rPr>
        <w:t>Commonwealth and state and territory ministers with responsibility for disability policy meet regularly through the Disability Reform Ministerial Council (DRMC). The DRMC discusses ways to improve and implement policy through Australia’s Disability Strategy and the NDIS.</w:t>
      </w:r>
    </w:p>
    <w:p w14:paraId="7D34BB8E" w14:textId="2E5FDE01" w:rsidR="009A2D96" w:rsidRPr="007A3600" w:rsidRDefault="00340AD1" w:rsidP="00AD3197">
      <w:r w:rsidRPr="007A3600">
        <w:rPr>
          <w:rFonts w:cs="Arial"/>
        </w:rPr>
        <w:t>The DRMC is the ‘Ministerial Council’ for the purposes of the NDIS Act and reports to National Cabinet.</w:t>
      </w:r>
    </w:p>
    <w:p w14:paraId="22E3CF76" w14:textId="2FF82862" w:rsidR="009A2D96" w:rsidRPr="007A3600" w:rsidRDefault="009112AF" w:rsidP="00AD3197">
      <w:pPr>
        <w:pStyle w:val="Heading3"/>
      </w:pPr>
      <w:bookmarkStart w:id="84" w:name="_Toc207017701"/>
      <w:bookmarkStart w:id="85" w:name="_Toc209695847"/>
      <w:r w:rsidRPr="007A3600">
        <w:t>4</w:t>
      </w:r>
      <w:r w:rsidR="009A2D96" w:rsidRPr="007A3600">
        <w:t>.2</w:t>
      </w:r>
      <w:r w:rsidR="009A2D96" w:rsidRPr="007A3600">
        <w:tab/>
        <w:t>NDIA Board</w:t>
      </w:r>
      <w:bookmarkEnd w:id="84"/>
      <w:bookmarkEnd w:id="85"/>
    </w:p>
    <w:p w14:paraId="3C845B6C" w14:textId="45CA0BBD" w:rsidR="005407C2" w:rsidRPr="007A3600" w:rsidRDefault="005407C2" w:rsidP="00AD3197">
      <w:r w:rsidRPr="007A3600">
        <w:t xml:space="preserve">The NDIA is overseen by the NDIA </w:t>
      </w:r>
      <w:r w:rsidR="002C4D28" w:rsidRPr="007A3600">
        <w:t xml:space="preserve">Board </w:t>
      </w:r>
      <w:r w:rsidR="001B7EFF" w:rsidRPr="007A3600">
        <w:t xml:space="preserve">– </w:t>
      </w:r>
      <w:r w:rsidR="002C4D28" w:rsidRPr="007A3600">
        <w:t>the</w:t>
      </w:r>
      <w:r w:rsidRPr="007A3600">
        <w:t xml:space="preserve"> accountable authority under the </w:t>
      </w:r>
      <w:r w:rsidR="00FD5841" w:rsidRPr="007A3600">
        <w:rPr>
          <w:i/>
          <w:iCs/>
        </w:rPr>
        <w:t>Public Governance, Performance and Accountability Act 2013</w:t>
      </w:r>
      <w:r w:rsidR="00FD5841" w:rsidRPr="007A3600">
        <w:t xml:space="preserve"> (Cth) (</w:t>
      </w:r>
      <w:r w:rsidRPr="007A3600">
        <w:t>PGPA Act</w:t>
      </w:r>
      <w:r w:rsidR="00FD5841" w:rsidRPr="007A3600">
        <w:t>)</w:t>
      </w:r>
      <w:r w:rsidR="00341E68" w:rsidRPr="007A3600">
        <w:t>.</w:t>
      </w:r>
      <w:r w:rsidRPr="007A3600">
        <w:t xml:space="preserve"> Table </w:t>
      </w:r>
      <w:r w:rsidR="002A12FD" w:rsidRPr="007A3600">
        <w:t>10</w:t>
      </w:r>
      <w:r w:rsidRPr="007A3600">
        <w:t xml:space="preserve"> </w:t>
      </w:r>
      <w:r w:rsidR="005E2FFB" w:rsidRPr="007A3600">
        <w:t xml:space="preserve">in appendix </w:t>
      </w:r>
      <w:r w:rsidR="007E7ADF" w:rsidRPr="007A3600">
        <w:t>8</w:t>
      </w:r>
      <w:r w:rsidR="005E2FFB" w:rsidRPr="007A3600">
        <w:t>.1</w:t>
      </w:r>
      <w:r w:rsidR="00BF2D12" w:rsidRPr="007A3600">
        <w:t xml:space="preserve"> </w:t>
      </w:r>
      <w:r w:rsidR="00341E68" w:rsidRPr="007A3600">
        <w:t xml:space="preserve">provides </w:t>
      </w:r>
      <w:r w:rsidRPr="007A3600">
        <w:t xml:space="preserve">details of </w:t>
      </w:r>
      <w:r w:rsidR="00341E68" w:rsidRPr="007A3600">
        <w:t xml:space="preserve">the </w:t>
      </w:r>
      <w:r w:rsidRPr="007A3600">
        <w:t>accountable authority.</w:t>
      </w:r>
    </w:p>
    <w:p w14:paraId="3CB42290" w14:textId="2B19372E" w:rsidR="005407C2" w:rsidRPr="007A3600" w:rsidRDefault="005407C2" w:rsidP="00AD3197">
      <w:r w:rsidRPr="007A3600">
        <w:t>Under section 124 of the NDIS Act, the Board:</w:t>
      </w:r>
    </w:p>
    <w:p w14:paraId="659ED077" w14:textId="080E058B" w:rsidR="005407C2" w:rsidRPr="007A3600" w:rsidRDefault="005407C2" w:rsidP="00AD3197">
      <w:pPr>
        <w:pStyle w:val="Bullet1"/>
      </w:pPr>
      <w:r w:rsidRPr="007A3600">
        <w:t>ensure</w:t>
      </w:r>
      <w:r w:rsidR="00CB7BD1" w:rsidRPr="007A3600">
        <w:t>s</w:t>
      </w:r>
      <w:r w:rsidRPr="007A3600">
        <w:t xml:space="preserve"> the proper, efficient and effective performance of the NDIA’s functions</w:t>
      </w:r>
    </w:p>
    <w:p w14:paraId="18B0637D" w14:textId="3F99DE5A" w:rsidR="005407C2" w:rsidRPr="007A3600" w:rsidRDefault="005407C2" w:rsidP="00AD3197">
      <w:pPr>
        <w:pStyle w:val="Bullet1"/>
      </w:pPr>
      <w:r w:rsidRPr="007A3600">
        <w:t>determine</w:t>
      </w:r>
      <w:r w:rsidR="00CB7BD1" w:rsidRPr="007A3600">
        <w:t>s</w:t>
      </w:r>
      <w:r w:rsidRPr="007A3600">
        <w:t xml:space="preserve"> objectives, strategies and policies to be followed by the NDIA</w:t>
      </w:r>
    </w:p>
    <w:p w14:paraId="41E5685C" w14:textId="0166BB6D" w:rsidR="005407C2" w:rsidRPr="007A3600" w:rsidRDefault="005407C2" w:rsidP="00AD3197">
      <w:pPr>
        <w:pStyle w:val="Bullet1"/>
      </w:pPr>
      <w:r w:rsidRPr="007A3600">
        <w:t>carr</w:t>
      </w:r>
      <w:r w:rsidR="00CB7BD1" w:rsidRPr="007A3600">
        <w:t>ies</w:t>
      </w:r>
      <w:r w:rsidRPr="007A3600">
        <w:t xml:space="preserve"> out any other functions conferred on it by or under the NDIS Act, regulations or instruments made under the NDIS Act, or any other law of the Commonwealth.</w:t>
      </w:r>
    </w:p>
    <w:p w14:paraId="18E162DF" w14:textId="0AB8EAC8" w:rsidR="005407C2" w:rsidRPr="007A3600" w:rsidRDefault="005407C2" w:rsidP="00AD3197">
      <w:r w:rsidRPr="007A3600">
        <w:t>Board members are appointed by the responsible minister in consultation with the Disability Ministers of each state and territory. In 2024–25</w:t>
      </w:r>
      <w:r w:rsidR="00FE7683" w:rsidRPr="007A3600">
        <w:t xml:space="preserve"> the Minister for the N</w:t>
      </w:r>
      <w:r w:rsidR="002F5E52" w:rsidRPr="007A3600">
        <w:t xml:space="preserve">ational </w:t>
      </w:r>
      <w:r w:rsidR="00FE7683" w:rsidRPr="007A3600">
        <w:t>D</w:t>
      </w:r>
      <w:r w:rsidR="002F5E52" w:rsidRPr="007A3600">
        <w:t xml:space="preserve">isability </w:t>
      </w:r>
      <w:r w:rsidR="00FE7683" w:rsidRPr="007A3600">
        <w:t>I</w:t>
      </w:r>
      <w:r w:rsidR="002F5E52" w:rsidRPr="007A3600">
        <w:t xml:space="preserve">nsurance </w:t>
      </w:r>
      <w:r w:rsidR="00FE7683" w:rsidRPr="007A3600">
        <w:t>S</w:t>
      </w:r>
      <w:r w:rsidR="002F5E52" w:rsidRPr="007A3600">
        <w:t>cheme</w:t>
      </w:r>
      <w:r w:rsidR="00FE7683" w:rsidRPr="007A3600">
        <w:t xml:space="preserve"> made</w:t>
      </w:r>
      <w:r w:rsidRPr="007A3600">
        <w:t xml:space="preserve"> </w:t>
      </w:r>
      <w:r w:rsidR="00FE7683" w:rsidRPr="007A3600">
        <w:t xml:space="preserve">2 </w:t>
      </w:r>
      <w:r w:rsidRPr="007A3600">
        <w:t>Board appointments.</w:t>
      </w:r>
    </w:p>
    <w:p w14:paraId="199AC980" w14:textId="1BCEA27E" w:rsidR="005407C2" w:rsidRPr="007A3600" w:rsidRDefault="005407C2" w:rsidP="00AD3197">
      <w:r w:rsidRPr="007A3600">
        <w:t>The Board undertakes an annual review of its functions and committees as part of its commitment to best</w:t>
      </w:r>
      <w:r w:rsidR="00CB7BD1" w:rsidRPr="007A3600">
        <w:t>-</w:t>
      </w:r>
      <w:r w:rsidRPr="007A3600">
        <w:t xml:space="preserve">practice corporate governance. </w:t>
      </w:r>
      <w:r w:rsidR="00FE7683" w:rsidRPr="007A3600">
        <w:t>For example, it reviews</w:t>
      </w:r>
      <w:r w:rsidRPr="007A3600">
        <w:t>:</w:t>
      </w:r>
    </w:p>
    <w:p w14:paraId="6230E7B9" w14:textId="67A42EFD" w:rsidR="005407C2" w:rsidRPr="007A3600" w:rsidRDefault="005407C2" w:rsidP="00AD3197">
      <w:pPr>
        <w:pStyle w:val="Bullet1"/>
      </w:pPr>
      <w:r w:rsidRPr="007A3600">
        <w:t xml:space="preserve">Board committee charters to ensure the </w:t>
      </w:r>
      <w:r w:rsidR="00FE7683" w:rsidRPr="007A3600">
        <w:t xml:space="preserve">committees’ </w:t>
      </w:r>
      <w:r w:rsidRPr="007A3600">
        <w:t>focus and work uphold the Board’s responsibility as the accountability authority of the NDIA</w:t>
      </w:r>
    </w:p>
    <w:p w14:paraId="09369534" w14:textId="20AB8331" w:rsidR="005407C2" w:rsidRPr="007A3600" w:rsidRDefault="005407C2" w:rsidP="00AD3197">
      <w:pPr>
        <w:pStyle w:val="Bullet1"/>
      </w:pPr>
      <w:r w:rsidRPr="007A3600">
        <w:t>committee membership to ensure members have appropriate qualifications, knowledge, skills and experience to assist each committee to perform its functions.</w:t>
      </w:r>
    </w:p>
    <w:p w14:paraId="3B1DED55" w14:textId="3C94C6F9" w:rsidR="000D7423" w:rsidRPr="007A3600" w:rsidRDefault="005407C2" w:rsidP="00AD3197">
      <w:r w:rsidRPr="007A3600">
        <w:lastRenderedPageBreak/>
        <w:t>The Board receives advice from the Independent Advisory Council</w:t>
      </w:r>
      <w:r w:rsidR="00CB7BD1" w:rsidRPr="007A3600">
        <w:t xml:space="preserve"> (IAC)</w:t>
      </w:r>
      <w:r w:rsidRPr="007A3600">
        <w:t>, the Executive Team and the Scheme Actuary, in accordance with the functions and duties outlined in the NDIS Act.</w:t>
      </w:r>
    </w:p>
    <w:p w14:paraId="06101F6A" w14:textId="5BE80126" w:rsidR="009A2D96" w:rsidRPr="007A3600" w:rsidRDefault="009A2D96" w:rsidP="00AD3197">
      <w:pPr>
        <w:pStyle w:val="Heading4"/>
      </w:pPr>
      <w:bookmarkStart w:id="86" w:name="_Toc207017702"/>
      <w:r w:rsidRPr="007A3600">
        <w:t xml:space="preserve">NDIA Board </w:t>
      </w:r>
      <w:r w:rsidR="000D7423" w:rsidRPr="007A3600">
        <w:t>members</w:t>
      </w:r>
      <w:bookmarkEnd w:id="86"/>
    </w:p>
    <w:p w14:paraId="5C149470" w14:textId="77777777" w:rsidR="00620955" w:rsidRPr="007A3600" w:rsidRDefault="00620955" w:rsidP="00AD3197">
      <w:pPr>
        <w:pStyle w:val="Heading5"/>
      </w:pPr>
      <w:r w:rsidRPr="007A3600">
        <w:t>Mr Kurt Fearnley AO</w:t>
      </w:r>
    </w:p>
    <w:p w14:paraId="1C8F79A3" w14:textId="769D9E31" w:rsidR="00620955" w:rsidRPr="007A3600" w:rsidRDefault="00620955" w:rsidP="00AD3197">
      <w:r w:rsidRPr="007A3600">
        <w:rPr>
          <w:noProof/>
        </w:rPr>
        <w:drawing>
          <wp:inline distT="0" distB="0" distL="0" distR="0" wp14:anchorId="63D76951" wp14:editId="5AE8B38F">
            <wp:extent cx="1358900" cy="1987550"/>
            <wp:effectExtent l="0" t="0" r="0" b="0"/>
            <wp:docPr id="1405019254" name="Picture 26" descr="Mr Kurt Fearnley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019254" name="Picture 26" descr="Mr Kurt Fearnley AO"/>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8900" cy="1987550"/>
                    </a:xfrm>
                    <a:prstGeom prst="rect">
                      <a:avLst/>
                    </a:prstGeom>
                    <a:noFill/>
                    <a:ln>
                      <a:noFill/>
                    </a:ln>
                  </pic:spPr>
                </pic:pic>
              </a:graphicData>
            </a:graphic>
          </wp:inline>
        </w:drawing>
      </w:r>
    </w:p>
    <w:p w14:paraId="473A19BD" w14:textId="500B9F3E" w:rsidR="00620955" w:rsidRPr="007A3600" w:rsidRDefault="0043542B" w:rsidP="00AD3197">
      <w:r w:rsidRPr="007A3600">
        <w:t>Mr Kurt Fearnley AO is an experienced government and non-government director and five-time Australian Paralympian.</w:t>
      </w:r>
    </w:p>
    <w:p w14:paraId="1AFA31FE" w14:textId="3170BA29" w:rsidR="00620955" w:rsidRPr="007A3600" w:rsidRDefault="0039778E" w:rsidP="00AD3197">
      <w:r w:rsidRPr="007A3600">
        <w:t>He is a current Board Director of the Brisbane 2032 Olympic and Paralympic Organising Committee and a member of the TAFE NSW Commission Advisory Board.</w:t>
      </w:r>
    </w:p>
    <w:p w14:paraId="0B5C97F2" w14:textId="77FD9AEE" w:rsidR="00620955" w:rsidRPr="007A3600" w:rsidRDefault="00620955" w:rsidP="00AD3197">
      <w:r w:rsidRPr="007A3600">
        <w:t xml:space="preserve">Previously, Kurt has held positions on various </w:t>
      </w:r>
      <w:r w:rsidR="007248AA" w:rsidRPr="007A3600">
        <w:t>b</w:t>
      </w:r>
      <w:r w:rsidRPr="007A3600">
        <w:t>oards, including the Australian Sports Commission, Paralympics Australia, Life Without Barriers, and Australian Volunteers International.</w:t>
      </w:r>
    </w:p>
    <w:p w14:paraId="7A3DDB01" w14:textId="5E355462" w:rsidR="00620955" w:rsidRPr="007A3600" w:rsidRDefault="00620955" w:rsidP="00AD3197">
      <w:r w:rsidRPr="007A3600">
        <w:t>Kurt was a member of the inaugural NDIS Independent Advisory Council and Vice Chair of the International Paralympic Committee Athletes’ Council. In addition to being Co-Captain of the Australian Paralympic Team at the Rio 2016 Paralympics, Kurt carried out several roles for the Gold Coast 2018 Commonwealth Games Organising Committee.</w:t>
      </w:r>
    </w:p>
    <w:p w14:paraId="3207A921" w14:textId="3EF311DD" w:rsidR="00620955" w:rsidRPr="007A3600" w:rsidRDefault="00620955" w:rsidP="00AD3197">
      <w:r w:rsidRPr="007A3600">
        <w:t>Kurt is a high-school teacher, television presenter, podcaster and broadcaster, and former professional wheelchair athlete.</w:t>
      </w:r>
    </w:p>
    <w:p w14:paraId="6AF022E3" w14:textId="75A613B7" w:rsidR="00620955" w:rsidRPr="007A3600" w:rsidRDefault="00620955" w:rsidP="00AD3197">
      <w:r w:rsidRPr="007A3600">
        <w:t xml:space="preserve">In 2018 Kurt was </w:t>
      </w:r>
      <w:r w:rsidR="00A528BA" w:rsidRPr="007A3600">
        <w:t xml:space="preserve">made an </w:t>
      </w:r>
      <w:r w:rsidRPr="007A3600">
        <w:t xml:space="preserve">Officer of the Order of Australia in the General Division for distinguished service to people with a disability, as a supporter of and fundraiser for </w:t>
      </w:r>
      <w:r w:rsidR="007248AA" w:rsidRPr="007A3600">
        <w:t>I</w:t>
      </w:r>
      <w:r w:rsidRPr="007A3600">
        <w:t>ndigenous athletics and charitable organisations, and as a Paralympic athlete.</w:t>
      </w:r>
    </w:p>
    <w:p w14:paraId="19775EBF" w14:textId="7F4F3808" w:rsidR="00620955" w:rsidRPr="007A3600" w:rsidRDefault="00620955" w:rsidP="00AD3197">
      <w:r w:rsidRPr="007A3600">
        <w:lastRenderedPageBreak/>
        <w:t xml:space="preserve">Kurt was awarded the </w:t>
      </w:r>
      <w:r w:rsidR="00CB7BD1" w:rsidRPr="007A3600">
        <w:t xml:space="preserve">New South Wales </w:t>
      </w:r>
      <w:r w:rsidRPr="007A3600">
        <w:t>Australian of the Year for 2019 and received an Honorary Doctorate from Griffith University for his contribution to sport and disability advocacy.</w:t>
      </w:r>
    </w:p>
    <w:p w14:paraId="137A77AB" w14:textId="17222BE2" w:rsidR="00620955" w:rsidRPr="007A3600" w:rsidRDefault="00620955" w:rsidP="00AD3197">
      <w:r w:rsidRPr="007A3600">
        <w:t xml:space="preserve">Qualifications: Bachelor of Education and Bachelor of Human Movement (Charles Sturt University) </w:t>
      </w:r>
      <w:r w:rsidR="00A528BA" w:rsidRPr="007A3600">
        <w:t xml:space="preserve">and </w:t>
      </w:r>
      <w:r w:rsidRPr="007A3600">
        <w:t>Honorary Doctorate (Griffith University).</w:t>
      </w:r>
    </w:p>
    <w:p w14:paraId="5C4D8A06" w14:textId="5780BF7D" w:rsidR="00620955" w:rsidRPr="007A3600" w:rsidRDefault="00A54DF3" w:rsidP="00AD3197">
      <w:r w:rsidRPr="007A3600">
        <w:t>Member of</w:t>
      </w:r>
      <w:r w:rsidR="00620955" w:rsidRPr="007A3600">
        <w:t>: NDIA Board</w:t>
      </w:r>
      <w:r w:rsidR="00F82DEC" w:rsidRPr="007A3600">
        <w:t xml:space="preserve"> (Chair)</w:t>
      </w:r>
      <w:r w:rsidR="007248AA" w:rsidRPr="007A3600">
        <w:t>;</w:t>
      </w:r>
      <w:r w:rsidR="00620955" w:rsidRPr="007A3600">
        <w:t xml:space="preserve"> Sustainability Committee</w:t>
      </w:r>
      <w:r w:rsidR="007248AA" w:rsidRPr="007A3600">
        <w:t>;</w:t>
      </w:r>
      <w:r w:rsidR="00620955" w:rsidRPr="007A3600">
        <w:t xml:space="preserve"> and People and Outcomes Committee (formerly Strategic Direction and Participant Outcomes Committee).</w:t>
      </w:r>
    </w:p>
    <w:p w14:paraId="627B18C9" w14:textId="77777777" w:rsidR="000A2CA4" w:rsidRPr="007A3600" w:rsidRDefault="000A2CA4" w:rsidP="00AD3197">
      <w:pPr>
        <w:pStyle w:val="Heading5"/>
      </w:pPr>
      <w:r w:rsidRPr="007A3600">
        <w:t>Mr Mark Darras</w:t>
      </w:r>
    </w:p>
    <w:p w14:paraId="2772B728" w14:textId="77777777" w:rsidR="000A2CA4" w:rsidRPr="007A3600" w:rsidRDefault="000A2CA4" w:rsidP="00AD3197">
      <w:r w:rsidRPr="007A3600">
        <w:rPr>
          <w:noProof/>
        </w:rPr>
        <w:drawing>
          <wp:inline distT="0" distB="0" distL="0" distR="0" wp14:anchorId="4CB2285D" wp14:editId="3C70D4B1">
            <wp:extent cx="1314450" cy="1930400"/>
            <wp:effectExtent l="0" t="0" r="0" b="0"/>
            <wp:docPr id="1589487462" name="Picture 16" descr="Mr Mark Darr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9487462" name="Picture 16" descr="Mr Mark Darras"/>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14450" cy="1930400"/>
                    </a:xfrm>
                    <a:prstGeom prst="rect">
                      <a:avLst/>
                    </a:prstGeom>
                    <a:noFill/>
                    <a:ln>
                      <a:noFill/>
                    </a:ln>
                  </pic:spPr>
                </pic:pic>
              </a:graphicData>
            </a:graphic>
          </wp:inline>
        </w:drawing>
      </w:r>
    </w:p>
    <w:p w14:paraId="76E92EBA" w14:textId="77777777" w:rsidR="000A2CA4" w:rsidRPr="007A3600" w:rsidRDefault="000A2CA4" w:rsidP="00AD3197">
      <w:r w:rsidRPr="007A3600">
        <w:t>Mr Mark Darras is a former corporate lawyer and adviser (Ashurst Lawyers) and an experienced company director, having served as a director and in leadership roles on boards including Australia Post and Australia Post Superannuation, Southern Rural Water Board, John Holland Engineering and John Holland Queensland, and the South Australian Forestry Corporation.</w:t>
      </w:r>
    </w:p>
    <w:p w14:paraId="6AB2946C" w14:textId="77777777" w:rsidR="000A2CA4" w:rsidRPr="007A3600" w:rsidRDefault="000A2CA4" w:rsidP="00AD3197">
      <w:r w:rsidRPr="007A3600">
        <w:t>Mark was formerly the Chairman of the Australian Government’s Telecommunications Universal Services Management Agency and has served as a Member of the Australian Takeovers Panel. At present, Mark is Acting Chairman and a Commissioner of the Essential Services Commission of South Australia.</w:t>
      </w:r>
    </w:p>
    <w:p w14:paraId="5FF4E101" w14:textId="77777777" w:rsidR="000A2CA4" w:rsidRPr="007A3600" w:rsidRDefault="000A2CA4" w:rsidP="00AD3197">
      <w:pPr>
        <w:rPr>
          <w:rFonts w:eastAsia="Arial" w:cs="Arial"/>
        </w:rPr>
      </w:pPr>
      <w:r w:rsidRPr="007A3600">
        <w:rPr>
          <w:rFonts w:eastAsia="Arial" w:cs="Arial"/>
        </w:rPr>
        <w:t>Before his appointment to the NDIA, Mark was the Independent Chair of the New South Wales Government’s Advisory Board for Strategic Release. As a lawyer, Mark specialised in corporate advisory. He commenced his working life as an industrial officer in a trade union.</w:t>
      </w:r>
    </w:p>
    <w:p w14:paraId="5068C12C" w14:textId="77777777" w:rsidR="000A2CA4" w:rsidRPr="007A3600" w:rsidRDefault="000A2CA4" w:rsidP="00AD3197">
      <w:r w:rsidRPr="007A3600" w:rsidDel="00970E96">
        <w:t>Mark</w:t>
      </w:r>
      <w:r w:rsidRPr="007A3600">
        <w:t xml:space="preserve"> is from South Australia’s Riverland area and was schooled in Renmark.</w:t>
      </w:r>
    </w:p>
    <w:p w14:paraId="5DC79EB5" w14:textId="77777777" w:rsidR="000A2CA4" w:rsidRPr="007A3600" w:rsidRDefault="000A2CA4" w:rsidP="00AD3197">
      <w:r w:rsidRPr="007A3600">
        <w:t>Qualifications: Bachelor of Arts and Bachelor of Laws (University of Tasmania), Master of Laws (Australian National University) and Bachelor of Education (University of South Australia).</w:t>
      </w:r>
    </w:p>
    <w:p w14:paraId="4E206AE8" w14:textId="1DDE58E0" w:rsidR="000A2CA4" w:rsidRPr="007A3600" w:rsidRDefault="009C4D32" w:rsidP="00AD3197">
      <w:r w:rsidRPr="007A3600">
        <w:lastRenderedPageBreak/>
        <w:t>Member of</w:t>
      </w:r>
      <w:r w:rsidR="000A2CA4" w:rsidRPr="007A3600">
        <w:t>: NDIA Board; and Audit and Risk Committee.</w:t>
      </w:r>
    </w:p>
    <w:p w14:paraId="6D41FB63" w14:textId="77777777" w:rsidR="000A2CA4" w:rsidRPr="007A3600" w:rsidRDefault="000A2CA4" w:rsidP="00AD3197">
      <w:pPr>
        <w:pStyle w:val="Heading5"/>
      </w:pPr>
      <w:r w:rsidRPr="007A3600">
        <w:t>Ms Maryanne Diamond AO</w:t>
      </w:r>
    </w:p>
    <w:p w14:paraId="1755F549" w14:textId="77777777" w:rsidR="000A2CA4" w:rsidRPr="007A3600" w:rsidRDefault="000A2CA4" w:rsidP="00AD3197">
      <w:r w:rsidRPr="007A3600">
        <w:rPr>
          <w:noProof/>
        </w:rPr>
        <w:drawing>
          <wp:inline distT="0" distB="0" distL="0" distR="0" wp14:anchorId="1A306B64" wp14:editId="2C45BA1E">
            <wp:extent cx="1314450" cy="1949450"/>
            <wp:effectExtent l="0" t="0" r="0" b="0"/>
            <wp:docPr id="549493791" name="Picture 19" descr="Ms Maryanne Diamond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493791" name="Picture 19" descr="Ms Maryanne Diamond AO"/>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14450" cy="1949450"/>
                    </a:xfrm>
                    <a:prstGeom prst="rect">
                      <a:avLst/>
                    </a:prstGeom>
                    <a:noFill/>
                    <a:ln>
                      <a:noFill/>
                    </a:ln>
                  </pic:spPr>
                </pic:pic>
              </a:graphicData>
            </a:graphic>
          </wp:inline>
        </w:drawing>
      </w:r>
    </w:p>
    <w:p w14:paraId="57AFAFC9" w14:textId="77777777" w:rsidR="000A2CA4" w:rsidRPr="007A3600" w:rsidRDefault="000A2CA4" w:rsidP="00AD3197">
      <w:r w:rsidRPr="007A3600">
        <w:t>Ms Maryanne Diamond AO has lived with disability all her life and has extensive experience leading organisations in Australia, including being Executive Officer of Blind Citizens Australia and inaugural CEO of the Australian Federation of Disability Organisations.</w:t>
      </w:r>
    </w:p>
    <w:p w14:paraId="09F789B0" w14:textId="77777777" w:rsidR="000A2CA4" w:rsidRPr="007A3600" w:rsidRDefault="000A2CA4" w:rsidP="00AD3197">
      <w:r w:rsidRPr="007A3600">
        <w:t>Maryanne has been employed in the information technology industry, the disability sector and in government, including 5 years as a senior executive at the NDIA.</w:t>
      </w:r>
    </w:p>
    <w:p w14:paraId="7869EC57" w14:textId="77777777" w:rsidR="000A2CA4" w:rsidRPr="007A3600" w:rsidRDefault="000A2CA4" w:rsidP="00AD3197">
      <w:r w:rsidRPr="007A3600">
        <w:t>At the international level, Maryanne was President of the World Blind Union from 2008 to 2012 and Chair of the International Disability Alliance from 2014 to 2016.</w:t>
      </w:r>
    </w:p>
    <w:p w14:paraId="129CC9C8" w14:textId="77777777" w:rsidR="000A2CA4" w:rsidRPr="007A3600" w:rsidRDefault="000A2CA4" w:rsidP="00AD3197">
      <w:r w:rsidRPr="007A3600">
        <w:t>In 2014 Maryanne was made an Officer of the Order of Australia for distinguished service to people who are blind or have low vision, as well as her international leadership roles and advocacy for best-practice employment opportunities.</w:t>
      </w:r>
    </w:p>
    <w:p w14:paraId="23F5C105" w14:textId="7AF8067B" w:rsidR="000A2CA4" w:rsidRPr="007A3600" w:rsidRDefault="000A2CA4" w:rsidP="00AD3197">
      <w:r w:rsidRPr="007A3600">
        <w:t xml:space="preserve">Qualifications: Bachelor of Science (Monash University), Graduate Diploma Information Technology (Caulfield Institute of Technology) and Graduate of the </w:t>
      </w:r>
      <w:r w:rsidR="008D09A2" w:rsidRPr="007A3600">
        <w:t>Australian Institute of Company Directors (</w:t>
      </w:r>
      <w:r w:rsidRPr="007A3600">
        <w:t>AICD</w:t>
      </w:r>
      <w:r w:rsidR="008D09A2" w:rsidRPr="007A3600">
        <w:t>)</w:t>
      </w:r>
      <w:r w:rsidRPr="007A3600">
        <w:t>.</w:t>
      </w:r>
    </w:p>
    <w:p w14:paraId="25FA9B9C" w14:textId="5AE6E81E" w:rsidR="000A2CA4" w:rsidRPr="007A3600" w:rsidRDefault="009C4D32" w:rsidP="00AD3197">
      <w:r w:rsidRPr="007A3600">
        <w:t>Member of</w:t>
      </w:r>
      <w:r w:rsidR="000A2CA4" w:rsidRPr="007A3600">
        <w:t>: NDIA Board; Sustainability Committee; and Audit and Risk Committee</w:t>
      </w:r>
      <w:r w:rsidRPr="007A3600">
        <w:t xml:space="preserve"> (Deputy Chair)</w:t>
      </w:r>
      <w:r w:rsidR="000A2CA4" w:rsidRPr="007A3600">
        <w:t>.</w:t>
      </w:r>
    </w:p>
    <w:p w14:paraId="773B591F" w14:textId="77777777" w:rsidR="000A2CA4" w:rsidRPr="007A3600" w:rsidRDefault="000A2CA4" w:rsidP="00AD3197">
      <w:pPr>
        <w:pStyle w:val="Heading5"/>
      </w:pPr>
      <w:r w:rsidRPr="007A3600">
        <w:lastRenderedPageBreak/>
        <w:t>Dr Richard Fejo</w:t>
      </w:r>
    </w:p>
    <w:p w14:paraId="3AD6DFCA" w14:textId="77777777" w:rsidR="000A2CA4" w:rsidRPr="007A3600" w:rsidRDefault="000A2CA4" w:rsidP="00AD3197">
      <w:r w:rsidRPr="007A3600">
        <w:rPr>
          <w:noProof/>
        </w:rPr>
        <w:drawing>
          <wp:inline distT="0" distB="0" distL="0" distR="0" wp14:anchorId="38D1E52A" wp14:editId="54A8940D">
            <wp:extent cx="1435100" cy="1835150"/>
            <wp:effectExtent l="0" t="0" r="0" b="0"/>
            <wp:docPr id="1268682722" name="Picture 17" descr="Dr Richard F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682722" name="Picture 17" descr="Dr Richard Fejo"/>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435100" cy="1835150"/>
                    </a:xfrm>
                    <a:prstGeom prst="rect">
                      <a:avLst/>
                    </a:prstGeom>
                    <a:noFill/>
                    <a:ln>
                      <a:noFill/>
                    </a:ln>
                  </pic:spPr>
                </pic:pic>
              </a:graphicData>
            </a:graphic>
          </wp:inline>
        </w:drawing>
      </w:r>
    </w:p>
    <w:p w14:paraId="60542704" w14:textId="77777777" w:rsidR="000A2CA4" w:rsidRPr="007A3600" w:rsidRDefault="000A2CA4" w:rsidP="00AD3197">
      <w:r w:rsidRPr="007A3600">
        <w:t>Dr Richard Fejo, better known as Richie, is a Larrakia man of direct male descent, through his father, grandfather and great-grandfather.</w:t>
      </w:r>
    </w:p>
    <w:p w14:paraId="1769AE1B" w14:textId="77777777" w:rsidR="000A2CA4" w:rsidRPr="007A3600" w:rsidRDefault="000A2CA4" w:rsidP="00AD3197">
      <w:r w:rsidRPr="007A3600">
        <w:t>Richie has devoted his life to improving education and health outcomes for First Nations people within urban, rural and remote communities.</w:t>
      </w:r>
    </w:p>
    <w:p w14:paraId="4C48F9A1" w14:textId="77777777" w:rsidR="000A2CA4" w:rsidRPr="007A3600" w:rsidRDefault="000A2CA4" w:rsidP="00AD3197">
      <w:r w:rsidRPr="007A3600">
        <w:t>Richie previously sat on the City of Darwin’s International Relations Committee and became a committee member of the Northern Territory branch of the AICD.</w:t>
      </w:r>
    </w:p>
    <w:p w14:paraId="269D7BB1" w14:textId="77777777" w:rsidR="000A2CA4" w:rsidRPr="007A3600" w:rsidRDefault="000A2CA4" w:rsidP="00AD3197">
      <w:r w:rsidRPr="007A3600">
        <w:t>In 2022 Richie was awarded an honorary doctorate by Flinders University in recognition of his contribution to education and Indigenous health. Richie is the Senior Elder on campus at Flinders University.</w:t>
      </w:r>
    </w:p>
    <w:p w14:paraId="029F05DA" w14:textId="77777777" w:rsidR="000A2CA4" w:rsidRPr="007A3600" w:rsidRDefault="000A2CA4" w:rsidP="00AD3197">
      <w:r w:rsidRPr="007A3600">
        <w:t>In addition to his service to the community, Richie is a talented comedian and singer–songwriter, performing regularly around town and nurturing the next generation of comics.</w:t>
      </w:r>
    </w:p>
    <w:p w14:paraId="29B039CA" w14:textId="77777777" w:rsidR="000A2CA4" w:rsidRPr="007A3600" w:rsidRDefault="000A2CA4" w:rsidP="00AD3197">
      <w:r w:rsidRPr="007A3600">
        <w:t>Qualifications: Honorary Doctorate (Flinders University).</w:t>
      </w:r>
    </w:p>
    <w:p w14:paraId="68A5B9B3" w14:textId="41B8F964" w:rsidR="000A2CA4" w:rsidRPr="007A3600" w:rsidRDefault="009C4D32" w:rsidP="00AD3197">
      <w:r w:rsidRPr="007A3600">
        <w:t>Member of</w:t>
      </w:r>
      <w:r w:rsidR="000A2CA4" w:rsidRPr="007A3600">
        <w:t>: NDIA Board; and People and Outcomes Committee (formerly Strategic Direction and Participant Outcomes Committee).</w:t>
      </w:r>
    </w:p>
    <w:p w14:paraId="7307C2FA" w14:textId="209E4111" w:rsidR="000A2CA4" w:rsidRPr="007A3600" w:rsidRDefault="00BC1AF2" w:rsidP="00AD3197">
      <w:pPr>
        <w:pStyle w:val="Heading5"/>
      </w:pPr>
      <w:r w:rsidRPr="007A3600">
        <w:lastRenderedPageBreak/>
        <w:t xml:space="preserve">Dr </w:t>
      </w:r>
      <w:r w:rsidR="000A2CA4" w:rsidRPr="007A3600">
        <w:t>Rhonda Galbally AC</w:t>
      </w:r>
    </w:p>
    <w:p w14:paraId="0BCFD680" w14:textId="77777777" w:rsidR="000A2CA4" w:rsidRPr="007A3600" w:rsidRDefault="000A2CA4" w:rsidP="00AD3197">
      <w:pPr>
        <w:keepNext/>
      </w:pPr>
      <w:r w:rsidRPr="007A3600">
        <w:rPr>
          <w:noProof/>
        </w:rPr>
        <w:drawing>
          <wp:inline distT="0" distB="0" distL="0" distR="0" wp14:anchorId="653D0A4F" wp14:editId="60C4C430">
            <wp:extent cx="1647280" cy="1695600"/>
            <wp:effectExtent l="0" t="0" r="0" b="0"/>
            <wp:docPr id="3226592" name="Picture 14" descr="Dr Rhonda Galbally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26592" name="Picture 14" descr="Dr Rhonda Galbally AC"/>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47280" cy="1695600"/>
                    </a:xfrm>
                    <a:prstGeom prst="rect">
                      <a:avLst/>
                    </a:prstGeom>
                    <a:noFill/>
                    <a:ln>
                      <a:noFill/>
                    </a:ln>
                  </pic:spPr>
                </pic:pic>
              </a:graphicData>
            </a:graphic>
          </wp:inline>
        </w:drawing>
      </w:r>
    </w:p>
    <w:p w14:paraId="3F64B2B5" w14:textId="77777777" w:rsidR="000A2CA4" w:rsidRPr="007A3600" w:rsidRDefault="000A2CA4" w:rsidP="00AD3197">
      <w:r w:rsidRPr="007A3600">
        <w:t>Dr Rhonda Galbally AC has been a CEO, chair and board member for over 30 years across business, the not-for-profit sector, the public sector and philanthropy.</w:t>
      </w:r>
    </w:p>
    <w:p w14:paraId="1528AB2A" w14:textId="77777777" w:rsidR="000A2CA4" w:rsidRPr="007A3600" w:rsidRDefault="000A2CA4" w:rsidP="00AD3197">
      <w:r w:rsidRPr="007A3600">
        <w:t>As a woman with a lifelong disability, Dr Galbally first began focusing on disability rights and policy in the early 1980s while working at the Victorian Council for Social Services.</w:t>
      </w:r>
    </w:p>
    <w:p w14:paraId="543B22D4" w14:textId="77777777" w:rsidR="000A2CA4" w:rsidRPr="007A3600" w:rsidRDefault="000A2CA4" w:rsidP="00AD3197">
      <w:r w:rsidRPr="007A3600">
        <w:t>She was appointed as the founding CEO of a number of organisations, including the Australian Commission for the Future, the Australian International Health Institute, the Australian National Preventative Health Agency and Our Community Pty Ltd.</w:t>
      </w:r>
    </w:p>
    <w:p w14:paraId="7BB3FE2C" w14:textId="77777777" w:rsidR="000A2CA4" w:rsidRPr="007A3600" w:rsidRDefault="000A2CA4" w:rsidP="00AD3197">
      <w:r w:rsidRPr="007A3600">
        <w:t>Dr Galbally was a member of the expert 4-person panel that developed the Victorian Charter of Human Rights and Responsibilities and went on to chair the Australian Government’s National People with Disability and Carers’ Council. She has previously served on the NDIA Board and as Principal Member of the IAC.</w:t>
      </w:r>
    </w:p>
    <w:p w14:paraId="432AD20C" w14:textId="77777777" w:rsidR="000A2CA4" w:rsidRPr="007A3600" w:rsidRDefault="000A2CA4" w:rsidP="00AD3197">
      <w:r w:rsidRPr="007A3600">
        <w:t>Dr Galbally’s career spans many decades and positions at the highest levels, but she considers the development of the National Disability and Carer Alliance to be a highlight. The alliance brought together people with disabilities, families and carers with services to campaign for the NDIS by developing the ‘Every Australian Counts’</w:t>
      </w:r>
      <w:r w:rsidRPr="007A3600">
        <w:rPr>
          <w:i/>
          <w:iCs/>
        </w:rPr>
        <w:t xml:space="preserve"> </w:t>
      </w:r>
      <w:r w:rsidRPr="007A3600">
        <w:t>campaign.</w:t>
      </w:r>
    </w:p>
    <w:p w14:paraId="5CC8FE22" w14:textId="77777777" w:rsidR="000A2CA4" w:rsidRPr="007A3600" w:rsidRDefault="000A2CA4" w:rsidP="00AD3197">
      <w:r w:rsidRPr="007A3600">
        <w:t>Dr Galbally was made a Companion of the Order of Australia in 1990 and was awarded a Centenary Medal in 2003.</w:t>
      </w:r>
    </w:p>
    <w:p w14:paraId="25CA4E26" w14:textId="77777777" w:rsidR="000A2CA4" w:rsidRPr="007A3600" w:rsidRDefault="000A2CA4" w:rsidP="00AD3197">
      <w:r w:rsidRPr="007A3600">
        <w:t>Qualifications: Bachelor of Economics (Monash University), Diploma of Education (Monash University), Doctor of Science, honoris causa (RMIT) and Doctor of Social Science degree, honoris causa (RMIT).</w:t>
      </w:r>
    </w:p>
    <w:p w14:paraId="5D24BB94" w14:textId="0A8E4A56" w:rsidR="000A2CA4" w:rsidRPr="007A3600" w:rsidRDefault="009C4D32" w:rsidP="00AD3197">
      <w:r w:rsidRPr="007A3600">
        <w:t>Member of</w:t>
      </w:r>
      <w:r w:rsidR="000A2CA4" w:rsidRPr="007A3600">
        <w:t>: NDIA Board; and People and Outcomes Committee (formerly Strategic Direction and Participant Outcomes Committee).</w:t>
      </w:r>
    </w:p>
    <w:p w14:paraId="779F335B" w14:textId="77777777" w:rsidR="000A2CA4" w:rsidRPr="007A3600" w:rsidRDefault="000A2CA4" w:rsidP="00AD3197">
      <w:pPr>
        <w:pStyle w:val="Heading5"/>
      </w:pPr>
      <w:r w:rsidRPr="007A3600">
        <w:lastRenderedPageBreak/>
        <w:t>Dr Graeme Innes AM</w:t>
      </w:r>
    </w:p>
    <w:p w14:paraId="31822192" w14:textId="77777777" w:rsidR="000A2CA4" w:rsidRPr="007A3600" w:rsidRDefault="000A2CA4" w:rsidP="00AD3197">
      <w:r w:rsidRPr="007A3600">
        <w:rPr>
          <w:noProof/>
        </w:rPr>
        <w:drawing>
          <wp:inline distT="0" distB="0" distL="0" distR="0" wp14:anchorId="73D26CEF" wp14:editId="1E707FF9">
            <wp:extent cx="1390650" cy="1987550"/>
            <wp:effectExtent l="0" t="0" r="0" b="0"/>
            <wp:docPr id="1391090149" name="Picture 20" descr="Dr Graeme Innes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090149" name="Picture 20" descr="Dr Graeme Innes AM"/>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90650" cy="1987550"/>
                    </a:xfrm>
                    <a:prstGeom prst="rect">
                      <a:avLst/>
                    </a:prstGeom>
                    <a:noFill/>
                    <a:ln>
                      <a:noFill/>
                    </a:ln>
                  </pic:spPr>
                </pic:pic>
              </a:graphicData>
            </a:graphic>
          </wp:inline>
        </w:drawing>
      </w:r>
    </w:p>
    <w:p w14:paraId="684EAD16" w14:textId="77777777" w:rsidR="000A2CA4" w:rsidRPr="007A3600" w:rsidRDefault="000A2CA4" w:rsidP="00AD3197">
      <w:r w:rsidRPr="007A3600">
        <w:t>Dr Graeme Innes AM is a lawyer, author and company director and was Australia's Disability Discrimination Commissioner for 9 years.</w:t>
      </w:r>
    </w:p>
    <w:p w14:paraId="2D531709" w14:textId="77777777" w:rsidR="000A2CA4" w:rsidRPr="007A3600" w:rsidRDefault="000A2CA4" w:rsidP="00AD3197">
      <w:r w:rsidRPr="007A3600">
        <w:t>Dr Innes has been a human rights practitioner for more than 40 years, with a focus on issues relating to disability, race and human rights.</w:t>
      </w:r>
    </w:p>
    <w:p w14:paraId="67A77947" w14:textId="77777777" w:rsidR="000A2CA4" w:rsidRPr="007A3600" w:rsidRDefault="000A2CA4" w:rsidP="00AD3197">
      <w:r w:rsidRPr="007A3600">
        <w:t>Dr Innes led the merger of 4 blindness agencies to form Vision Australia and chaired the board of that agency. He is Chancellor of Central Queensland University and a Director of the State Insurance Regulatory Authority, regulating workers’ compensation and motor vehicle accident insurance in New South Wales.</w:t>
      </w:r>
    </w:p>
    <w:p w14:paraId="1EE47DCC" w14:textId="77777777" w:rsidR="000A2CA4" w:rsidRPr="007A3600" w:rsidRDefault="000A2CA4" w:rsidP="00AD3197">
      <w:r w:rsidRPr="007A3600">
        <w:t>On the international stage, Dr Innes was a member of the Australian delegation that participated in negotiating the UN Convention on the Rights of People with Disabilities.</w:t>
      </w:r>
    </w:p>
    <w:p w14:paraId="3EBACF41" w14:textId="77777777" w:rsidR="000A2CA4" w:rsidRPr="007A3600" w:rsidRDefault="000A2CA4" w:rsidP="00AD3197">
      <w:r w:rsidRPr="007A3600">
        <w:t xml:space="preserve">In 1995 Dr Innes was made a Member of the Order of Australia for his work on the development of the </w:t>
      </w:r>
      <w:r w:rsidRPr="007A3600">
        <w:rPr>
          <w:i/>
          <w:iCs/>
        </w:rPr>
        <w:t>Disability Discrimination Act 1992</w:t>
      </w:r>
      <w:r w:rsidRPr="007A3600">
        <w:t xml:space="preserve"> (Cth) and in 2003 was a finalist for Australian of the Year. His autobiography, </w:t>
      </w:r>
      <w:r w:rsidRPr="007A3600">
        <w:rPr>
          <w:i/>
          <w:iCs/>
        </w:rPr>
        <w:t>Finding a way</w:t>
      </w:r>
      <w:r w:rsidRPr="007A3600">
        <w:t>, achieved popular acclaim in 2016.</w:t>
      </w:r>
    </w:p>
    <w:p w14:paraId="1FADC9C8" w14:textId="77777777" w:rsidR="000A2CA4" w:rsidRPr="007A3600" w:rsidRDefault="000A2CA4" w:rsidP="00AD3197">
      <w:pPr>
        <w:rPr>
          <w:lang w:eastAsia="en-US"/>
        </w:rPr>
      </w:pPr>
      <w:r w:rsidRPr="007A3600">
        <w:t xml:space="preserve">Qualifications: </w:t>
      </w:r>
      <w:r w:rsidRPr="007A3600">
        <w:rPr>
          <w:lang w:eastAsia="en-US"/>
        </w:rPr>
        <w:t>Bachelor of Laws (Sydney University), Honorary Doctorates (University of Canberra, RMIT University, University of NSW, Edith Cowan University) and Fellow of the AICD.</w:t>
      </w:r>
    </w:p>
    <w:p w14:paraId="6922B6F9" w14:textId="3F3F41DC" w:rsidR="000A2CA4" w:rsidRPr="007A3600" w:rsidRDefault="009C4D32" w:rsidP="00AD3197">
      <w:r w:rsidRPr="007A3600">
        <w:t>Member of</w:t>
      </w:r>
      <w:r w:rsidR="000A2CA4" w:rsidRPr="007A3600">
        <w:t>: NDIA Board; and Chair</w:t>
      </w:r>
      <w:r w:rsidR="008D09A2" w:rsidRPr="007A3600">
        <w:t>,</w:t>
      </w:r>
      <w:r w:rsidR="000A2CA4" w:rsidRPr="007A3600">
        <w:t xml:space="preserve"> Audit and Risk Committee.</w:t>
      </w:r>
    </w:p>
    <w:p w14:paraId="6FBCAD50" w14:textId="77777777" w:rsidR="000A2CA4" w:rsidRPr="007A3600" w:rsidRDefault="000A2CA4" w:rsidP="00AD3197">
      <w:pPr>
        <w:pStyle w:val="Heading5"/>
      </w:pPr>
      <w:r w:rsidRPr="007A3600">
        <w:lastRenderedPageBreak/>
        <w:t>Mrs Joan McKenna Kerr</w:t>
      </w:r>
    </w:p>
    <w:p w14:paraId="3451C4BC" w14:textId="77777777" w:rsidR="000A2CA4" w:rsidRPr="007A3600" w:rsidRDefault="000A2CA4" w:rsidP="00AD3197">
      <w:r w:rsidRPr="007A3600">
        <w:rPr>
          <w:noProof/>
        </w:rPr>
        <w:drawing>
          <wp:inline distT="0" distB="0" distL="0" distR="0" wp14:anchorId="271357EB" wp14:editId="5F7E5750">
            <wp:extent cx="1377950" cy="1644650"/>
            <wp:effectExtent l="0" t="0" r="0" b="0"/>
            <wp:docPr id="877627765" name="Picture 18" descr="Mrs Joan McKenna Ker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27765" name="Picture 18" descr="Mrs Joan McKenna Kerr"/>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77950" cy="1644650"/>
                    </a:xfrm>
                    <a:prstGeom prst="rect">
                      <a:avLst/>
                    </a:prstGeom>
                    <a:noFill/>
                    <a:ln>
                      <a:noFill/>
                    </a:ln>
                  </pic:spPr>
                </pic:pic>
              </a:graphicData>
            </a:graphic>
          </wp:inline>
        </w:drawing>
      </w:r>
    </w:p>
    <w:p w14:paraId="3FF51EB6" w14:textId="77777777" w:rsidR="000A2CA4" w:rsidRPr="007A3600" w:rsidRDefault="000A2CA4" w:rsidP="00AD3197">
      <w:r w:rsidRPr="007A3600">
        <w:t>Mrs Joan McKenna Kerr is an experienced CEO in the field of disability with significant experience as a board director. She was a member of the Expert Advisory Group on the development and establishment of the NDIS and was a member of the inaugural NDIS IAC.</w:t>
      </w:r>
    </w:p>
    <w:p w14:paraId="39A811B8" w14:textId="77777777" w:rsidR="000A2CA4" w:rsidRPr="007A3600" w:rsidRDefault="000A2CA4" w:rsidP="00AD3197">
      <w:r w:rsidRPr="007A3600">
        <w:t>Joan has also chaired and served on numerous working parties tasked with disability sector reform and sustainability, including as Co-Chair of the NDIS Working Party on Eligibility and Assessment.</w:t>
      </w:r>
    </w:p>
    <w:p w14:paraId="7FBCA55E" w14:textId="77777777" w:rsidR="000A2CA4" w:rsidRPr="007A3600" w:rsidRDefault="000A2CA4" w:rsidP="00AD3197">
      <w:r w:rsidRPr="007A3600">
        <w:t>Joan is a member of the AICD and is a former President of National Disability Services and the former National Chair of the Australian Advisory Board on Autism.</w:t>
      </w:r>
    </w:p>
    <w:p w14:paraId="03210C13" w14:textId="77777777" w:rsidR="000A2CA4" w:rsidRPr="007A3600" w:rsidRDefault="000A2CA4" w:rsidP="00AD3197">
      <w:r w:rsidRPr="007A3600">
        <w:t>For the last decade, Joan has been involved in the Sister-State initiative between the Western Australian Government and East Java, Indonesia, assisting in the development of disability services in 5 regional government areas of East Java. In 2017 she was awarded the Asia Pacific Autism Award for a lifetime of service to people with autism and their families.</w:t>
      </w:r>
    </w:p>
    <w:p w14:paraId="25D8F15F" w14:textId="77777777" w:rsidR="000A2CA4" w:rsidRPr="007A3600" w:rsidRDefault="000A2CA4" w:rsidP="00AD3197">
      <w:r w:rsidRPr="007A3600">
        <w:t>Qualifications:  Bachelor of Arts, Moderatorship in Sociology (Trinity College, Dublin).</w:t>
      </w:r>
    </w:p>
    <w:p w14:paraId="0EB09366" w14:textId="66BF087F" w:rsidR="000A2CA4" w:rsidRPr="007A3600" w:rsidRDefault="009C4D32" w:rsidP="00AD3197">
      <w:r w:rsidRPr="007A3600">
        <w:t>Member of</w:t>
      </w:r>
      <w:r w:rsidR="000A2CA4" w:rsidRPr="007A3600">
        <w:t>: NDIA Board; and People and Outcomes Committee (formerly Strategic Direction and Participant Outcomes Committee).</w:t>
      </w:r>
    </w:p>
    <w:p w14:paraId="00933E44" w14:textId="77777777" w:rsidR="000A2CA4" w:rsidRPr="007A3600" w:rsidRDefault="000A2CA4" w:rsidP="00AD3197">
      <w:pPr>
        <w:pStyle w:val="Heading5"/>
      </w:pPr>
      <w:r w:rsidRPr="007A3600">
        <w:lastRenderedPageBreak/>
        <w:t>Dr Denis Napthine AO</w:t>
      </w:r>
    </w:p>
    <w:p w14:paraId="2BC86443" w14:textId="77777777" w:rsidR="000A2CA4" w:rsidRPr="007A3600" w:rsidRDefault="000A2CA4" w:rsidP="00AD3197">
      <w:pPr>
        <w:keepNext/>
      </w:pPr>
      <w:r w:rsidRPr="007A3600">
        <w:rPr>
          <w:noProof/>
        </w:rPr>
        <w:drawing>
          <wp:inline distT="0" distB="0" distL="0" distR="0" wp14:anchorId="56F75572" wp14:editId="476A9A73">
            <wp:extent cx="1282700" cy="1701800"/>
            <wp:effectExtent l="0" t="0" r="0" b="0"/>
            <wp:docPr id="636056318" name="Picture 21" descr="Dr Denis Napthine 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056318" name="Picture 21" descr="Dr Denis Napthine AO"/>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282700" cy="1701800"/>
                    </a:xfrm>
                    <a:prstGeom prst="rect">
                      <a:avLst/>
                    </a:prstGeom>
                    <a:noFill/>
                    <a:ln>
                      <a:noFill/>
                    </a:ln>
                  </pic:spPr>
                </pic:pic>
              </a:graphicData>
            </a:graphic>
          </wp:inline>
        </w:drawing>
      </w:r>
    </w:p>
    <w:p w14:paraId="41BB229A" w14:textId="77777777" w:rsidR="000A2CA4" w:rsidRPr="007A3600" w:rsidRDefault="000A2CA4" w:rsidP="00AD3197">
      <w:r w:rsidRPr="007A3600">
        <w:t>Dr Denis Napthine AO has held various senior positions in government and was the 47th Premier of Victoria.</w:t>
      </w:r>
    </w:p>
    <w:p w14:paraId="432B3F21" w14:textId="77777777" w:rsidR="000A2CA4" w:rsidRPr="007A3600" w:rsidRDefault="000A2CA4" w:rsidP="00AD3197">
      <w:r w:rsidRPr="007A3600">
        <w:t>As the Premier, Denis led the Victorian Government to sign the NDIS Agreement with the then Prime Minister, the Hon Julia Gillard MP, in 2013. Denis has a long history of active involvement in local and regional services for people with disabilities and their families and carers, including serving as Victoria’s Minister for Youth and Community Services, which included Disability Services.</w:t>
      </w:r>
    </w:p>
    <w:p w14:paraId="6D21BA97" w14:textId="77777777" w:rsidR="000A2CA4" w:rsidRPr="007A3600" w:rsidRDefault="000A2CA4" w:rsidP="00AD3197">
      <w:r w:rsidRPr="007A3600">
        <w:t>In 2020 Denis was made an Officer of the Order of Australia for distinguished service to the people and parliament of Victoria, particularly as Premier; to veterinary science; and to the community.</w:t>
      </w:r>
    </w:p>
    <w:p w14:paraId="42001862" w14:textId="77777777" w:rsidR="000A2CA4" w:rsidRPr="007A3600" w:rsidRDefault="000A2CA4" w:rsidP="00AD3197">
      <w:r w:rsidRPr="007A3600">
        <w:t>Qualifications: Bachelor of Veterinary Science and Master of Veterinary Science, Epidemiology and Preventive Medicine (University of Melbourne) and MBA (Deakin University).</w:t>
      </w:r>
    </w:p>
    <w:p w14:paraId="18B4463D" w14:textId="667723E9" w:rsidR="000A2CA4" w:rsidRPr="007A3600" w:rsidRDefault="00EF54CE" w:rsidP="00AD3197">
      <w:pPr>
        <w:spacing w:before="100" w:after="100"/>
      </w:pPr>
      <w:r w:rsidRPr="007A3600">
        <w:t>Member of</w:t>
      </w:r>
      <w:r w:rsidR="000A2CA4" w:rsidRPr="007A3600">
        <w:t>: NDIA Board; and Audit and Risk Committee. </w:t>
      </w:r>
    </w:p>
    <w:p w14:paraId="0E0A1653" w14:textId="77777777" w:rsidR="00FC2B2A" w:rsidRPr="007A3600" w:rsidRDefault="00FC2B2A" w:rsidP="00AD3197">
      <w:pPr>
        <w:pStyle w:val="Heading5"/>
      </w:pPr>
      <w:r w:rsidRPr="007A3600">
        <w:lastRenderedPageBreak/>
        <w:t>Ms Estelle Pearson</w:t>
      </w:r>
    </w:p>
    <w:p w14:paraId="25B4FD25" w14:textId="799D8010" w:rsidR="00620955" w:rsidRPr="007A3600" w:rsidRDefault="00620955" w:rsidP="00AD3197">
      <w:pPr>
        <w:keepNext/>
      </w:pPr>
      <w:r w:rsidRPr="007A3600">
        <w:rPr>
          <w:noProof/>
        </w:rPr>
        <w:drawing>
          <wp:inline distT="0" distB="0" distL="0" distR="0" wp14:anchorId="6F6D3932" wp14:editId="20790C24">
            <wp:extent cx="1206500" cy="1962150"/>
            <wp:effectExtent l="0" t="0" r="0" b="0"/>
            <wp:docPr id="1943955360" name="Picture 25" descr="Ms Estelle Pear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955360" name="Picture 25" descr="Ms Estelle Pearson"/>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206500" cy="1962150"/>
                    </a:xfrm>
                    <a:prstGeom prst="rect">
                      <a:avLst/>
                    </a:prstGeom>
                    <a:noFill/>
                    <a:ln>
                      <a:noFill/>
                    </a:ln>
                  </pic:spPr>
                </pic:pic>
              </a:graphicData>
            </a:graphic>
          </wp:inline>
        </w:drawing>
      </w:r>
    </w:p>
    <w:p w14:paraId="26047039" w14:textId="5FAA061B" w:rsidR="00620955" w:rsidRPr="007A3600" w:rsidRDefault="00620955" w:rsidP="00AD3197">
      <w:r w:rsidRPr="007A3600">
        <w:t>Ms Estelle Pearson has extensive experience in the insurance and injury compensation sector</w:t>
      </w:r>
      <w:r w:rsidR="007248AA" w:rsidRPr="007A3600">
        <w:t>,</w:t>
      </w:r>
      <w:r w:rsidRPr="007A3600">
        <w:t xml:space="preserve"> having worked as an actuary and consultant in the sector since 1989. She is currently a Director of Finity Consulting Pty Limited and was previously on the Council of the Actuaries Institute, including a term as President in 2015.</w:t>
      </w:r>
    </w:p>
    <w:p w14:paraId="1351F71A" w14:textId="062185E8" w:rsidR="00620955" w:rsidRPr="007A3600" w:rsidRDefault="00620955" w:rsidP="00AD3197">
      <w:r w:rsidRPr="007A3600">
        <w:t>Qualifications: B</w:t>
      </w:r>
      <w:r w:rsidR="00C268E8" w:rsidRPr="007A3600">
        <w:t xml:space="preserve">achelor of </w:t>
      </w:r>
      <w:r w:rsidRPr="007A3600">
        <w:t>A</w:t>
      </w:r>
      <w:r w:rsidR="00C268E8" w:rsidRPr="007A3600">
        <w:t>rts</w:t>
      </w:r>
      <w:r w:rsidRPr="007A3600">
        <w:t xml:space="preserve"> (Hon</w:t>
      </w:r>
      <w:r w:rsidR="00C268E8" w:rsidRPr="007A3600">
        <w:t>our</w:t>
      </w:r>
      <w:r w:rsidRPr="007A3600">
        <w:t>s) Mathematics (University of Oxford) and F</w:t>
      </w:r>
      <w:r w:rsidR="00B37A6D" w:rsidRPr="007A3600">
        <w:t xml:space="preserve">ellow of </w:t>
      </w:r>
      <w:r w:rsidRPr="007A3600">
        <w:t>I</w:t>
      </w:r>
      <w:r w:rsidR="00B37A6D" w:rsidRPr="007A3600">
        <w:t xml:space="preserve">nstitute of </w:t>
      </w:r>
      <w:r w:rsidRPr="007A3600">
        <w:t>A</w:t>
      </w:r>
      <w:r w:rsidR="00B37A6D" w:rsidRPr="007A3600">
        <w:t xml:space="preserve">ctuaries </w:t>
      </w:r>
      <w:r w:rsidRPr="007A3600">
        <w:t>A</w:t>
      </w:r>
      <w:r w:rsidR="00B37A6D" w:rsidRPr="007A3600">
        <w:t>ustralia</w:t>
      </w:r>
      <w:r w:rsidRPr="007A3600">
        <w:t>.</w:t>
      </w:r>
    </w:p>
    <w:p w14:paraId="4A81635B" w14:textId="2EF27E3A" w:rsidR="00620955" w:rsidRPr="007A3600" w:rsidRDefault="00EF54CE" w:rsidP="00AD3197">
      <w:r w:rsidRPr="007A3600">
        <w:t>Member of</w:t>
      </w:r>
      <w:r w:rsidR="00620955" w:rsidRPr="007A3600">
        <w:t>: NDIA Board</w:t>
      </w:r>
      <w:r w:rsidR="007248AA" w:rsidRPr="007A3600">
        <w:t>;</w:t>
      </w:r>
      <w:r w:rsidR="00620955" w:rsidRPr="007A3600">
        <w:t xml:space="preserve"> </w:t>
      </w:r>
      <w:r w:rsidR="007248AA" w:rsidRPr="007A3600">
        <w:t xml:space="preserve">and </w:t>
      </w:r>
      <w:r w:rsidR="00620955" w:rsidRPr="007A3600">
        <w:t>Sustainability Committee</w:t>
      </w:r>
      <w:r w:rsidRPr="007A3600">
        <w:t xml:space="preserve"> (Chair)</w:t>
      </w:r>
      <w:r w:rsidR="00620955" w:rsidRPr="007A3600">
        <w:t>.</w:t>
      </w:r>
    </w:p>
    <w:p w14:paraId="55C81A0A" w14:textId="77777777" w:rsidR="00027E02" w:rsidRPr="007A3600" w:rsidRDefault="00027E02" w:rsidP="00AD3197">
      <w:pPr>
        <w:pStyle w:val="Heading5"/>
      </w:pPr>
      <w:r w:rsidRPr="007A3600">
        <w:t>Ms Leah van Poppel</w:t>
      </w:r>
    </w:p>
    <w:p w14:paraId="789BE4F2" w14:textId="77777777" w:rsidR="00027E02" w:rsidRPr="007A3600" w:rsidRDefault="00027E02" w:rsidP="00AD3197">
      <w:r w:rsidRPr="007A3600">
        <w:rPr>
          <w:noProof/>
        </w:rPr>
        <w:drawing>
          <wp:inline distT="0" distB="0" distL="0" distR="0" wp14:anchorId="2F0A1A51" wp14:editId="28505858">
            <wp:extent cx="1282700" cy="1892300"/>
            <wp:effectExtent l="0" t="0" r="0" b="0"/>
            <wp:docPr id="2032450241" name="Picture 23" descr="Ms Leah van Popp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450241" name="Picture 23" descr="Ms Leah van Poppel"/>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282700" cy="1892300"/>
                    </a:xfrm>
                    <a:prstGeom prst="rect">
                      <a:avLst/>
                    </a:prstGeom>
                    <a:noFill/>
                    <a:ln>
                      <a:noFill/>
                    </a:ln>
                  </pic:spPr>
                </pic:pic>
              </a:graphicData>
            </a:graphic>
          </wp:inline>
        </w:drawing>
      </w:r>
    </w:p>
    <w:p w14:paraId="0FAB06A9" w14:textId="77777777" w:rsidR="00027E02" w:rsidRPr="007A3600" w:rsidRDefault="00027E02" w:rsidP="00AD3197">
      <w:r w:rsidRPr="007A3600">
        <w:t>Ms Leah van Poppel is the Principal Member of the NDIS IAC and Chair of the Victorian NDIS Community Advisory Council.</w:t>
      </w:r>
    </w:p>
    <w:p w14:paraId="2F2B46DB" w14:textId="77777777" w:rsidR="00027E02" w:rsidRPr="007A3600" w:rsidRDefault="00027E02" w:rsidP="00AD3197">
      <w:r w:rsidRPr="007A3600">
        <w:t>A highly respected leader and disability rights advocate, Ms van Poppel was Chief Executive Officer (CEO) of Women with Disabilities Victoria from 2018 to 2021 and worked to empower marginalised women in the community through education and mentoring, as well as research, policy advice and government advocacy.</w:t>
      </w:r>
    </w:p>
    <w:p w14:paraId="2A4A01A6" w14:textId="77777777" w:rsidR="00027E02" w:rsidRPr="007A3600" w:rsidRDefault="00027E02" w:rsidP="00AD3197">
      <w:r w:rsidRPr="007A3600">
        <w:lastRenderedPageBreak/>
        <w:t>Ms van Poppel has been the CEO of Blind Citizens Australia, Manager at Youth Disability Advocacy Service and NDIS Readiness Project Officer at Australian Federation of Disability Organisations.</w:t>
      </w:r>
    </w:p>
    <w:p w14:paraId="742DF8B8" w14:textId="77777777" w:rsidR="00027E02" w:rsidRPr="007A3600" w:rsidRDefault="00027E02" w:rsidP="00AD3197">
      <w:r w:rsidRPr="007A3600">
        <w:t>Qualifications: Bachelor of Arts (Macquarie University).</w:t>
      </w:r>
    </w:p>
    <w:p w14:paraId="22ABAC9F" w14:textId="0D430D64" w:rsidR="00027E02" w:rsidRPr="007A3600" w:rsidRDefault="00746CA3" w:rsidP="00AD3197">
      <w:pPr>
        <w:spacing w:before="100" w:after="100"/>
      </w:pPr>
      <w:r w:rsidRPr="007A3600">
        <w:t>Member of</w:t>
      </w:r>
      <w:r w:rsidR="00027E02" w:rsidRPr="007A3600">
        <w:t>: NDIA Board; Principal Member, IAC; Sustainability Committee; and People and Outcomes Committee (formerly Strategic Direction and Participant Outcomes Committee).</w:t>
      </w:r>
    </w:p>
    <w:p w14:paraId="66DBA4D6" w14:textId="36D9A533" w:rsidR="00E649D6" w:rsidRPr="007A3600" w:rsidRDefault="00E96CB7" w:rsidP="00AD3197">
      <w:pPr>
        <w:pStyle w:val="Heading5"/>
      </w:pPr>
      <w:r w:rsidRPr="007A3600">
        <w:t xml:space="preserve">Dr </w:t>
      </w:r>
      <w:r w:rsidR="00E649D6" w:rsidRPr="007A3600">
        <w:t>Ian Watt AC</w:t>
      </w:r>
    </w:p>
    <w:p w14:paraId="134F83A1" w14:textId="77777777" w:rsidR="00E649D6" w:rsidRPr="007A3600" w:rsidRDefault="00E649D6" w:rsidP="00AD3197">
      <w:r w:rsidRPr="007A3600">
        <w:rPr>
          <w:noProof/>
        </w:rPr>
        <w:drawing>
          <wp:inline distT="0" distB="0" distL="0" distR="0" wp14:anchorId="2455666B" wp14:editId="0FCA1249">
            <wp:extent cx="1318202" cy="1695450"/>
            <wp:effectExtent l="0" t="0" r="0" b="0"/>
            <wp:docPr id="1556498935" name="Picture 15" descr="Dr Ian Watt 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498935" name="Picture 15" descr="Dr Ian Watt AC"/>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24275" cy="1703261"/>
                    </a:xfrm>
                    <a:prstGeom prst="rect">
                      <a:avLst/>
                    </a:prstGeom>
                    <a:noFill/>
                    <a:ln>
                      <a:noFill/>
                    </a:ln>
                  </pic:spPr>
                </pic:pic>
              </a:graphicData>
            </a:graphic>
          </wp:inline>
        </w:drawing>
      </w:r>
    </w:p>
    <w:p w14:paraId="6C7981D1" w14:textId="77777777" w:rsidR="00E649D6" w:rsidRPr="007A3600" w:rsidRDefault="00E649D6" w:rsidP="00AD3197">
      <w:r w:rsidRPr="007A3600">
        <w:t xml:space="preserve">Dr Ian J Watt AC has had a long career as one of Australia’s most distinguished public servants, with nearly 20 years at the highest levels of the public service. His most recent and most senior appointment was as Secretary of the Department of the Prime Minister and Cabinet and head of the Australian Public Service (APS) </w:t>
      </w:r>
      <w:r w:rsidRPr="007A3600">
        <w:rPr>
          <w:rFonts w:ascii="Symbol" w:eastAsia="Symbol" w:hAnsi="Symbol" w:cs="Symbol"/>
        </w:rPr>
        <w:t>-</w:t>
      </w:r>
      <w:r w:rsidRPr="007A3600">
        <w:t xml:space="preserve"> a position he held from late 2011 until the end of 2014. Between 2001 and 2011 he was secretary of the departments of Defence; Finance; and Communications, Information Technology, and the Arts.</w:t>
      </w:r>
    </w:p>
    <w:p w14:paraId="0C760FF6" w14:textId="54B9A16C" w:rsidR="00E649D6" w:rsidRPr="007A3600" w:rsidRDefault="00E649D6" w:rsidP="00AD3197">
      <w:r w:rsidRPr="007A3600">
        <w:t xml:space="preserve">Dr Watt is currently Chair of </w:t>
      </w:r>
      <w:r w:rsidR="00805F43" w:rsidRPr="007A3600">
        <w:t xml:space="preserve">Australian Davos Connection Advisory Council </w:t>
      </w:r>
      <w:r w:rsidRPr="007A3600">
        <w:t>and is the former Chair of BAE Systems Australia, the International Centre for Democratic Partnerships, the Australian Governance and Ethical Index Fund Advisory Board, and the Smart Infrastructure Facility at the University of Wollongong. He currently serves on the boards of Smartgroup Corporation Ltd and O’Connell Street Associates Pty Ltd and is also a Member of the Melbourne School of Government Advisory Board at the University of Melbourne, a Fellow of ANZSOG and the Institute of Public Administration Australia, and Senior Adviser to Flagstaff Partners.</w:t>
      </w:r>
    </w:p>
    <w:p w14:paraId="284F0C89" w14:textId="77777777" w:rsidR="00E649D6" w:rsidRPr="007A3600" w:rsidRDefault="00E649D6" w:rsidP="00AD3197">
      <w:r w:rsidRPr="007A3600">
        <w:t>Dr Watt was made a Companion of the Order of Australia in 2016.</w:t>
      </w:r>
    </w:p>
    <w:p w14:paraId="7BA0B823" w14:textId="77777777" w:rsidR="00E649D6" w:rsidRPr="007A3600" w:rsidRDefault="00E649D6" w:rsidP="00AD3197">
      <w:pPr>
        <w:rPr>
          <w:rFonts w:eastAsia="Calibri" w:cs="Arial"/>
          <w:lang w:eastAsia="en-US"/>
        </w:rPr>
      </w:pPr>
      <w:r w:rsidRPr="007A3600">
        <w:t xml:space="preserve">Qualifications: </w:t>
      </w:r>
      <w:r w:rsidRPr="007A3600">
        <w:rPr>
          <w:rFonts w:eastAsia="Calibri" w:cs="Arial"/>
          <w:lang w:eastAsia="en-US"/>
        </w:rPr>
        <w:t xml:space="preserve">Bachelor of Commerce (Honours) (Melbourne University), Masters and Doctorate (La Trobe University), </w:t>
      </w:r>
      <w:r w:rsidRPr="007A3600">
        <w:t xml:space="preserve">Honorary Doctorates of Letters (University of Technology Sydney and University of Wollongong), </w:t>
      </w:r>
      <w:r w:rsidRPr="007A3600">
        <w:rPr>
          <w:rFonts w:eastAsia="Calibri" w:cs="Arial"/>
          <w:lang w:eastAsia="en-US"/>
        </w:rPr>
        <w:t>Advanced Management Program (Harvard Business School).</w:t>
      </w:r>
    </w:p>
    <w:p w14:paraId="5FC504C8" w14:textId="53B39ACC" w:rsidR="00E649D6" w:rsidRPr="007A3600" w:rsidRDefault="00746CA3" w:rsidP="00AD3197">
      <w:pPr>
        <w:rPr>
          <w:rFonts w:eastAsia="Calibri" w:cs="Arial"/>
          <w:lang w:eastAsia="en-US"/>
        </w:rPr>
      </w:pPr>
      <w:r w:rsidRPr="007A3600">
        <w:lastRenderedPageBreak/>
        <w:t>Member of</w:t>
      </w:r>
      <w:r w:rsidR="00E649D6" w:rsidRPr="007A3600">
        <w:t>: NDIA Board; and Audit and Risk Committee.</w:t>
      </w:r>
    </w:p>
    <w:p w14:paraId="4243BEE7" w14:textId="77777777" w:rsidR="002A23BA" w:rsidRPr="007A3600" w:rsidRDefault="002A23BA" w:rsidP="00AD3197">
      <w:pPr>
        <w:pStyle w:val="Heading5"/>
      </w:pPr>
      <w:r w:rsidRPr="007A3600">
        <w:t>Ms Meredith Allan</w:t>
      </w:r>
    </w:p>
    <w:p w14:paraId="57A4E42C" w14:textId="77777777" w:rsidR="00620955" w:rsidRPr="007A3600" w:rsidRDefault="00620955" w:rsidP="00AD3197">
      <w:r w:rsidRPr="007A3600">
        <w:rPr>
          <w:noProof/>
        </w:rPr>
        <w:drawing>
          <wp:inline distT="0" distB="0" distL="0" distR="0" wp14:anchorId="227E96E7" wp14:editId="0A856F76">
            <wp:extent cx="1466850" cy="1905000"/>
            <wp:effectExtent l="0" t="0" r="0" b="0"/>
            <wp:docPr id="1741881796" name="Picture 22" descr="Ms Meredith Al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881796" name="Picture 22" descr="Ms Meredith Allan"/>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1466850" cy="1905000"/>
                    </a:xfrm>
                    <a:prstGeom prst="rect">
                      <a:avLst/>
                    </a:prstGeom>
                    <a:noFill/>
                    <a:ln>
                      <a:noFill/>
                    </a:ln>
                  </pic:spPr>
                </pic:pic>
              </a:graphicData>
            </a:graphic>
          </wp:inline>
        </w:drawing>
      </w:r>
      <w:r w:rsidRPr="007A3600">
        <w:t> </w:t>
      </w:r>
    </w:p>
    <w:p w14:paraId="00039C57" w14:textId="58600B29" w:rsidR="00620955" w:rsidRPr="007A3600" w:rsidRDefault="00620955" w:rsidP="00AD3197">
      <w:r w:rsidRPr="007A3600">
        <w:t>Ms Meredith Allan is a former President of the International Society of Alternative and Augmentative Communication</w:t>
      </w:r>
      <w:r w:rsidR="007248AA" w:rsidRPr="007A3600">
        <w:t xml:space="preserve"> </w:t>
      </w:r>
      <w:r w:rsidR="0093381A" w:rsidRPr="007A3600">
        <w:t>–</w:t>
      </w:r>
      <w:r w:rsidR="007248AA" w:rsidRPr="007A3600">
        <w:t xml:space="preserve"> </w:t>
      </w:r>
      <w:r w:rsidRPr="007A3600">
        <w:t xml:space="preserve">an organisation </w:t>
      </w:r>
      <w:r w:rsidR="007248AA" w:rsidRPr="007A3600">
        <w:t xml:space="preserve">that </w:t>
      </w:r>
      <w:r w:rsidRPr="007A3600">
        <w:t>work</w:t>
      </w:r>
      <w:r w:rsidR="007248AA" w:rsidRPr="007A3600">
        <w:t>s</w:t>
      </w:r>
      <w:r w:rsidRPr="007A3600">
        <w:t xml:space="preserve"> to improve the lives of children and adults with complex communication needs. Meredith was the first President to speak using alternative and augmentative communication.</w:t>
      </w:r>
    </w:p>
    <w:p w14:paraId="25917346" w14:textId="77777777" w:rsidR="00620955" w:rsidRPr="007A3600" w:rsidRDefault="00620955" w:rsidP="00AD3197">
      <w:r w:rsidRPr="007A3600">
        <w:t>Since retiring from a 30-year career in the public service, Ms Allan continues working as a communication assessor for Scope and a casual lecturer at Deakin University.</w:t>
      </w:r>
    </w:p>
    <w:p w14:paraId="58000AB6" w14:textId="1B8D45C9" w:rsidR="00620955" w:rsidRPr="007A3600" w:rsidRDefault="00620955" w:rsidP="00AD3197">
      <w:r w:rsidRPr="007A3600">
        <w:t>Ms Allan completed her term on 31 December 2024.</w:t>
      </w:r>
    </w:p>
    <w:p w14:paraId="14A7DE52" w14:textId="77777777" w:rsidR="00620955" w:rsidRPr="007A3600" w:rsidRDefault="00620955" w:rsidP="00AD3197">
      <w:r w:rsidRPr="007A3600">
        <w:t>Qualifications: Bachelor of Economics and Bachelor of Arts (Monash University).</w:t>
      </w:r>
    </w:p>
    <w:p w14:paraId="0708A4B1" w14:textId="08D9BCFF" w:rsidR="00620955" w:rsidRPr="007A3600" w:rsidRDefault="00746CA3" w:rsidP="00AD3197">
      <w:pPr>
        <w:spacing w:before="100" w:after="100"/>
      </w:pPr>
      <w:r w:rsidRPr="007A3600">
        <w:t>Member of</w:t>
      </w:r>
      <w:r w:rsidR="00620955" w:rsidRPr="007A3600">
        <w:t>: NDIA Board</w:t>
      </w:r>
      <w:r w:rsidR="007248AA" w:rsidRPr="007A3600">
        <w:t>;</w:t>
      </w:r>
      <w:r w:rsidR="00620955" w:rsidRPr="007A3600">
        <w:t xml:space="preserve"> and Audit and Risk Committee.</w:t>
      </w:r>
    </w:p>
    <w:p w14:paraId="564C70EE" w14:textId="77777777" w:rsidR="00E649D6" w:rsidRPr="007A3600" w:rsidRDefault="00E649D6" w:rsidP="00AD3197">
      <w:pPr>
        <w:pStyle w:val="Heading5"/>
      </w:pPr>
      <w:r w:rsidRPr="007A3600">
        <w:t>Dr Peta Seaton AM</w:t>
      </w:r>
    </w:p>
    <w:p w14:paraId="4D952E28" w14:textId="77777777" w:rsidR="00E649D6" w:rsidRPr="007A3600" w:rsidRDefault="00E649D6" w:rsidP="00AD3197">
      <w:r w:rsidRPr="007A3600">
        <w:rPr>
          <w:noProof/>
        </w:rPr>
        <w:drawing>
          <wp:inline distT="0" distB="0" distL="0" distR="0" wp14:anchorId="396CAE66" wp14:editId="03864FB1">
            <wp:extent cx="1352550" cy="1930400"/>
            <wp:effectExtent l="0" t="0" r="0" b="0"/>
            <wp:docPr id="1103362767" name="Picture 24" descr="Dr Peta Seaton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362767" name="Picture 24" descr="Dr Peta Seaton AM"/>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352550" cy="1930400"/>
                    </a:xfrm>
                    <a:prstGeom prst="rect">
                      <a:avLst/>
                    </a:prstGeom>
                    <a:noFill/>
                    <a:ln>
                      <a:noFill/>
                    </a:ln>
                  </pic:spPr>
                </pic:pic>
              </a:graphicData>
            </a:graphic>
          </wp:inline>
        </w:drawing>
      </w:r>
    </w:p>
    <w:p w14:paraId="6F188A3F" w14:textId="77777777" w:rsidR="00E649D6" w:rsidRPr="007A3600" w:rsidRDefault="00E649D6" w:rsidP="00AD3197">
      <w:r w:rsidRPr="007A3600">
        <w:t xml:space="preserve">Dr Peta Seaton AM is an experienced non-executive director, including in former board roles as Chair of Hearing Australia, Chair of Near Eastern Archaeology Foundation (University of Sydney); and Deputy Chair of the Bradman Foundation, </w:t>
      </w:r>
      <w:r w:rsidRPr="007A3600">
        <w:lastRenderedPageBreak/>
        <w:t>Nepean Blue Mountains Local Health District, Menzies Research Centre, BDCU Alliance Bank, and CARE Australia.</w:t>
      </w:r>
    </w:p>
    <w:p w14:paraId="1B7C8B4D" w14:textId="77777777" w:rsidR="00E649D6" w:rsidRPr="007A3600" w:rsidRDefault="00E649D6" w:rsidP="00AD3197">
      <w:r w:rsidRPr="007A3600">
        <w:t>A former New South Wales parliamentarian and frontbencher, Dr Seaton served as Director of Transition and Director of Strategic Priorities in the New South Wales Premier’s Office from 2011 to 2014.</w:t>
      </w:r>
    </w:p>
    <w:p w14:paraId="13F8B88E" w14:textId="77777777" w:rsidR="00E649D6" w:rsidRPr="007A3600" w:rsidRDefault="00E649D6" w:rsidP="00AD3197">
      <w:r w:rsidRPr="007A3600">
        <w:t>In 2017 Dr Seaton was made a Member of the Order of Australia and an honorary associate at the University of Sydney (Archaeology).</w:t>
      </w:r>
    </w:p>
    <w:p w14:paraId="47CCE02D" w14:textId="77777777" w:rsidR="00E649D6" w:rsidRPr="007A3600" w:rsidRDefault="00E649D6" w:rsidP="00AD3197">
      <w:r w:rsidRPr="007A3600">
        <w:t>Dr Seaton completed her term on the NDIA Board on 31 December 2024.</w:t>
      </w:r>
    </w:p>
    <w:p w14:paraId="19C0E7DB" w14:textId="6B40FFE4" w:rsidR="00E649D6" w:rsidRPr="007A3600" w:rsidRDefault="00E649D6" w:rsidP="00AD3197">
      <w:r w:rsidRPr="007A3600">
        <w:t>Qualifications: Bachelor of Arts (Honours), Doctor of Philosophy (University of Sydney) and Graduate of the AICD.</w:t>
      </w:r>
    </w:p>
    <w:p w14:paraId="188B774E" w14:textId="1298C9EE" w:rsidR="00E649D6" w:rsidRPr="007A3600" w:rsidRDefault="00746CA3" w:rsidP="00AD3197">
      <w:pPr>
        <w:spacing w:before="100" w:after="100"/>
      </w:pPr>
      <w:r w:rsidRPr="007A3600">
        <w:t>Member of</w:t>
      </w:r>
      <w:r w:rsidR="00E649D6" w:rsidRPr="007A3600">
        <w:t xml:space="preserve">: NDIA Board; Sustainability Committee; and People and Outcomes Committee </w:t>
      </w:r>
      <w:r w:rsidRPr="007A3600">
        <w:t xml:space="preserve">(Chair) </w:t>
      </w:r>
      <w:r w:rsidR="00E649D6" w:rsidRPr="007A3600">
        <w:t>(formerly Strategic Direction and Participant Outcomes Committee).</w:t>
      </w:r>
    </w:p>
    <w:p w14:paraId="5CA7E473" w14:textId="668823CC" w:rsidR="000D7423" w:rsidRPr="007A3600" w:rsidRDefault="009112AF" w:rsidP="00AD3197">
      <w:pPr>
        <w:pStyle w:val="Heading3"/>
      </w:pPr>
      <w:bookmarkStart w:id="87" w:name="_5.3_Board_committees"/>
      <w:bookmarkStart w:id="88" w:name="_4.3_Board_committees"/>
      <w:bookmarkStart w:id="89" w:name="_Toc207017703"/>
      <w:bookmarkStart w:id="90" w:name="_Toc209695848"/>
      <w:bookmarkEnd w:id="87"/>
      <w:bookmarkEnd w:id="88"/>
      <w:r w:rsidRPr="007A3600">
        <w:lastRenderedPageBreak/>
        <w:t>4</w:t>
      </w:r>
      <w:r w:rsidR="000D7423" w:rsidRPr="007A3600">
        <w:t>.3</w:t>
      </w:r>
      <w:r w:rsidR="000D7423" w:rsidRPr="007A3600">
        <w:tab/>
        <w:t>Board committees</w:t>
      </w:r>
      <w:bookmarkEnd w:id="89"/>
      <w:bookmarkEnd w:id="90"/>
    </w:p>
    <w:p w14:paraId="1C3A211B" w14:textId="719B62ED" w:rsidR="000828F4" w:rsidRPr="007A3600" w:rsidRDefault="000828F4" w:rsidP="00AD3197">
      <w:pPr>
        <w:pStyle w:val="Caption"/>
      </w:pPr>
      <w:r w:rsidRPr="007A3600">
        <w:t xml:space="preserve">Table </w:t>
      </w:r>
      <w:r w:rsidR="004701CB" w:rsidRPr="007A3600">
        <w:t>4</w:t>
      </w:r>
      <w:r w:rsidRPr="007A3600">
        <w:t>: Board committees and members as at 30 June 2025</w:t>
      </w:r>
    </w:p>
    <w:tbl>
      <w:tblPr>
        <w:tblStyle w:val="NDISTable1"/>
        <w:tblW w:w="9014" w:type="dxa"/>
        <w:tblLayout w:type="fixed"/>
        <w:tblCellMar>
          <w:left w:w="57" w:type="dxa"/>
          <w:right w:w="57" w:type="dxa"/>
        </w:tblCellMar>
        <w:tblLook w:val="0420" w:firstRow="1" w:lastRow="0" w:firstColumn="0" w:lastColumn="0" w:noHBand="0" w:noVBand="1"/>
      </w:tblPr>
      <w:tblGrid>
        <w:gridCol w:w="2324"/>
        <w:gridCol w:w="4139"/>
        <w:gridCol w:w="2551"/>
      </w:tblGrid>
      <w:tr w:rsidR="00B407C5" w:rsidRPr="007A3600" w14:paraId="5585C4C0" w14:textId="77777777" w:rsidTr="00F84EEB">
        <w:trPr>
          <w:cnfStyle w:val="100000000000" w:firstRow="1" w:lastRow="0" w:firstColumn="0" w:lastColumn="0" w:oddVBand="0" w:evenVBand="0" w:oddHBand="0" w:evenHBand="0" w:firstRowFirstColumn="0" w:firstRowLastColumn="0" w:lastRowFirstColumn="0" w:lastRowLastColumn="0"/>
        </w:trPr>
        <w:tc>
          <w:tcPr>
            <w:tcW w:w="2324" w:type="dxa"/>
          </w:tcPr>
          <w:p w14:paraId="7D14BDB4" w14:textId="77777777" w:rsidR="000828F4" w:rsidRPr="007A3600" w:rsidRDefault="000828F4" w:rsidP="00AD3197">
            <w:pPr>
              <w:pStyle w:val="TableBody"/>
            </w:pPr>
            <w:r w:rsidRPr="007A3600">
              <w:t>Committee</w:t>
            </w:r>
          </w:p>
        </w:tc>
        <w:tc>
          <w:tcPr>
            <w:tcW w:w="4139" w:type="dxa"/>
          </w:tcPr>
          <w:p w14:paraId="1FBEABBD" w14:textId="77777777" w:rsidR="000828F4" w:rsidRPr="007A3600" w:rsidRDefault="000828F4" w:rsidP="00AD3197">
            <w:pPr>
              <w:pStyle w:val="TableBody"/>
            </w:pPr>
            <w:r w:rsidRPr="007A3600">
              <w:t>Role</w:t>
            </w:r>
          </w:p>
        </w:tc>
        <w:tc>
          <w:tcPr>
            <w:tcW w:w="2551" w:type="dxa"/>
          </w:tcPr>
          <w:p w14:paraId="70CF232F" w14:textId="77777777" w:rsidR="000828F4" w:rsidRPr="007A3600" w:rsidRDefault="000828F4" w:rsidP="00AD3197">
            <w:pPr>
              <w:pStyle w:val="TableBody"/>
            </w:pPr>
            <w:r w:rsidRPr="007A3600">
              <w:t>Members</w:t>
            </w:r>
          </w:p>
        </w:tc>
      </w:tr>
      <w:tr w:rsidR="00F84EEB" w:rsidRPr="007A3600" w14:paraId="32CE3ED7" w14:textId="77777777" w:rsidTr="00F84EEB">
        <w:trPr>
          <w:cnfStyle w:val="000000100000" w:firstRow="0" w:lastRow="0" w:firstColumn="0" w:lastColumn="0" w:oddVBand="0" w:evenVBand="0" w:oddHBand="1" w:evenHBand="0" w:firstRowFirstColumn="0" w:firstRowLastColumn="0" w:lastRowFirstColumn="0" w:lastRowLastColumn="0"/>
        </w:trPr>
        <w:tc>
          <w:tcPr>
            <w:tcW w:w="2324" w:type="dxa"/>
          </w:tcPr>
          <w:p w14:paraId="07D9CB33" w14:textId="421C3B48" w:rsidR="00256DD4" w:rsidRPr="007A3600" w:rsidRDefault="00256DD4" w:rsidP="00AD3197">
            <w:pPr>
              <w:pStyle w:val="TableBody"/>
            </w:pPr>
            <w:r w:rsidRPr="007A3600">
              <w:t>Audit and Risk</w:t>
            </w:r>
          </w:p>
        </w:tc>
        <w:tc>
          <w:tcPr>
            <w:tcW w:w="4139" w:type="dxa"/>
          </w:tcPr>
          <w:p w14:paraId="39727549" w14:textId="2E7DC032" w:rsidR="00256DD4" w:rsidRPr="007A3600" w:rsidRDefault="00256DD4" w:rsidP="00AD3197">
            <w:pPr>
              <w:pStyle w:val="TableBody"/>
            </w:pPr>
            <w:r w:rsidRPr="007A3600">
              <w:t>Provides independent advice and assurance to the Board, as the NDIA’s accountable authority, in accordance with the:</w:t>
            </w:r>
          </w:p>
          <w:p w14:paraId="770A369A" w14:textId="29430593" w:rsidR="00256DD4" w:rsidRPr="007A3600" w:rsidRDefault="00256DD4" w:rsidP="00AD3197">
            <w:pPr>
              <w:pStyle w:val="Tablebullet"/>
            </w:pPr>
            <w:r w:rsidRPr="007A3600">
              <w:t>PGPA Act</w:t>
            </w:r>
          </w:p>
          <w:p w14:paraId="5DDD9DEA" w14:textId="0B398FDA" w:rsidR="00256DD4" w:rsidRPr="007A3600" w:rsidRDefault="00256DD4" w:rsidP="00AD3197">
            <w:pPr>
              <w:pStyle w:val="Tablebullet"/>
            </w:pPr>
            <w:r w:rsidRPr="007A3600">
              <w:t>PGPA Rule</w:t>
            </w:r>
          </w:p>
          <w:p w14:paraId="1A001079" w14:textId="3A50618E" w:rsidR="00256DD4" w:rsidRPr="007A3600" w:rsidRDefault="00256DD4" w:rsidP="00AD3197">
            <w:pPr>
              <w:pStyle w:val="Tablebullet"/>
            </w:pPr>
            <w:r w:rsidRPr="007A3600">
              <w:t>NDIS Act</w:t>
            </w:r>
          </w:p>
          <w:p w14:paraId="0F84AC1B" w14:textId="38BB69BD" w:rsidR="00256DD4" w:rsidRPr="007A3600" w:rsidRDefault="00256DD4" w:rsidP="00AD3197">
            <w:pPr>
              <w:pStyle w:val="Tablebullet"/>
            </w:pPr>
            <w:r w:rsidRPr="007A3600">
              <w:t>National Disability Insurance Scheme – Risk Management Rules 2013.</w:t>
            </w:r>
          </w:p>
          <w:p w14:paraId="6FCB397C" w14:textId="624721D3" w:rsidR="00256DD4" w:rsidRPr="007A3600" w:rsidRDefault="00256DD4" w:rsidP="00AD3197">
            <w:pPr>
              <w:pStyle w:val="TableBody"/>
            </w:pPr>
            <w:r w:rsidRPr="007A3600">
              <w:t>The committee also reviews and provides advice to the Board on the appropriateness of the NDIA’s:</w:t>
            </w:r>
          </w:p>
          <w:p w14:paraId="6269344B" w14:textId="08D459BF" w:rsidR="00256DD4" w:rsidRPr="007A3600" w:rsidRDefault="00256DD4" w:rsidP="00AD3197">
            <w:pPr>
              <w:pStyle w:val="Tablebullet"/>
            </w:pPr>
            <w:r w:rsidRPr="007A3600">
              <w:t>financial reporting</w:t>
            </w:r>
          </w:p>
          <w:p w14:paraId="790810F6" w14:textId="55839EF2" w:rsidR="00256DD4" w:rsidRPr="007A3600" w:rsidRDefault="00256DD4" w:rsidP="00AD3197">
            <w:pPr>
              <w:pStyle w:val="Tablebullet"/>
            </w:pPr>
            <w:r w:rsidRPr="007A3600">
              <w:t>performance reporting</w:t>
            </w:r>
          </w:p>
          <w:p w14:paraId="457FA6E7" w14:textId="35758A59" w:rsidR="00256DD4" w:rsidRPr="007A3600" w:rsidRDefault="00256DD4" w:rsidP="00AD3197">
            <w:pPr>
              <w:pStyle w:val="Tablebullet"/>
            </w:pPr>
            <w:r w:rsidRPr="007A3600">
              <w:t>systems of risk oversight and management, including for fraud, legal, safety and security risk</w:t>
            </w:r>
          </w:p>
          <w:p w14:paraId="4D32B75F" w14:textId="79494967" w:rsidR="00256DD4" w:rsidRPr="007A3600" w:rsidRDefault="00256DD4" w:rsidP="00AD3197">
            <w:pPr>
              <w:pStyle w:val="Tablebullet"/>
            </w:pPr>
            <w:r w:rsidRPr="007A3600">
              <w:t>systems of internal control.</w:t>
            </w:r>
          </w:p>
          <w:p w14:paraId="49552803" w14:textId="600173CB" w:rsidR="00A26539" w:rsidRPr="007A3600" w:rsidRDefault="00256DD4" w:rsidP="00AD3197">
            <w:pPr>
              <w:pStyle w:val="TableBody"/>
            </w:pPr>
            <w:r w:rsidRPr="007A3600">
              <w:t>The Australian National Audit Office attends Audit and Risk Committee meetings as the NDIA’s external auditor</w:t>
            </w:r>
            <w:r w:rsidR="000E3CEC" w:rsidRPr="007A3600">
              <w:t>.</w:t>
            </w:r>
          </w:p>
        </w:tc>
        <w:tc>
          <w:tcPr>
            <w:tcW w:w="2551" w:type="dxa"/>
          </w:tcPr>
          <w:p w14:paraId="64F7493B" w14:textId="0B91E2CA" w:rsidR="00256DD4" w:rsidRPr="007A3600" w:rsidRDefault="00256DD4" w:rsidP="00AD3197">
            <w:pPr>
              <w:pStyle w:val="TableBody"/>
            </w:pPr>
            <w:r w:rsidRPr="007A3600">
              <w:t>Dr Graeme Innes AM (Chair)</w:t>
            </w:r>
          </w:p>
          <w:p w14:paraId="7DC15391" w14:textId="77777777" w:rsidR="00256DD4" w:rsidRPr="007A3600" w:rsidRDefault="00256DD4" w:rsidP="00AD3197">
            <w:pPr>
              <w:pStyle w:val="TableBody"/>
            </w:pPr>
            <w:r w:rsidRPr="007A3600">
              <w:t>Ms Maryanne Diamond AO (Deputy Chair)</w:t>
            </w:r>
          </w:p>
          <w:p w14:paraId="7CAFDA88" w14:textId="76B62849" w:rsidR="00256DD4" w:rsidRPr="007A3600" w:rsidRDefault="00256DD4" w:rsidP="00AD3197">
            <w:pPr>
              <w:pStyle w:val="TableBody"/>
            </w:pPr>
            <w:r w:rsidRPr="007A3600">
              <w:t>Mr Mark Darras</w:t>
            </w:r>
          </w:p>
          <w:p w14:paraId="015F932A" w14:textId="45346E9B" w:rsidR="00256DD4" w:rsidRPr="007A3600" w:rsidRDefault="00256DD4" w:rsidP="00AD3197">
            <w:pPr>
              <w:pStyle w:val="TableBody"/>
            </w:pPr>
            <w:r w:rsidRPr="007A3600">
              <w:t>Dr Denis Napthine AO</w:t>
            </w:r>
          </w:p>
          <w:p w14:paraId="62ECD5AD" w14:textId="119A02E4" w:rsidR="00256DD4" w:rsidRPr="007A3600" w:rsidRDefault="00256DD4" w:rsidP="00AD3197">
            <w:pPr>
              <w:pStyle w:val="TableBody"/>
            </w:pPr>
            <w:r w:rsidRPr="007A3600">
              <w:t>Dr Ian Watt AC (term started 19 September 2024)</w:t>
            </w:r>
          </w:p>
        </w:tc>
      </w:tr>
      <w:tr w:rsidR="00F84EEB" w:rsidRPr="007A3600" w14:paraId="5ABE7A67" w14:textId="77777777" w:rsidTr="00F84EEB">
        <w:tc>
          <w:tcPr>
            <w:tcW w:w="2324" w:type="dxa"/>
          </w:tcPr>
          <w:p w14:paraId="2D4D94A6" w14:textId="40B73361" w:rsidR="008270F9" w:rsidRPr="007A3600" w:rsidRDefault="008270F9" w:rsidP="00AD3197">
            <w:pPr>
              <w:pStyle w:val="TableBody"/>
            </w:pPr>
            <w:r w:rsidRPr="007A3600">
              <w:t>Sustainability</w:t>
            </w:r>
          </w:p>
        </w:tc>
        <w:tc>
          <w:tcPr>
            <w:tcW w:w="4139" w:type="dxa"/>
          </w:tcPr>
          <w:p w14:paraId="144C7647" w14:textId="2F7E3E49" w:rsidR="00A26539" w:rsidRPr="007A3600" w:rsidRDefault="008270F9" w:rsidP="00AD3197">
            <w:pPr>
              <w:pStyle w:val="TableBody"/>
            </w:pPr>
            <w:r w:rsidRPr="007A3600">
              <w:t>Provides advice on assessing, monitoring, reporting on and managing the financial sustainability of the NDIS.</w:t>
            </w:r>
          </w:p>
        </w:tc>
        <w:tc>
          <w:tcPr>
            <w:tcW w:w="2551" w:type="dxa"/>
          </w:tcPr>
          <w:p w14:paraId="33CAB19A" w14:textId="07841457" w:rsidR="008270F9" w:rsidRPr="007A3600" w:rsidRDefault="008270F9" w:rsidP="00AD3197">
            <w:pPr>
              <w:pStyle w:val="TableBody"/>
            </w:pPr>
            <w:r w:rsidRPr="007A3600">
              <w:t>Ms Estelle Pearson (Chair)</w:t>
            </w:r>
          </w:p>
          <w:p w14:paraId="020C4282" w14:textId="710D13E3" w:rsidR="008270F9" w:rsidRPr="007A3600" w:rsidRDefault="008270F9" w:rsidP="00AD3197">
            <w:pPr>
              <w:pStyle w:val="TableBody"/>
            </w:pPr>
            <w:r w:rsidRPr="007A3600">
              <w:t>Mr Kurt Fearnley AO</w:t>
            </w:r>
          </w:p>
          <w:p w14:paraId="229C8CEC" w14:textId="77777777" w:rsidR="001926FF" w:rsidRPr="007A3600" w:rsidRDefault="001926FF" w:rsidP="00AD3197">
            <w:pPr>
              <w:pStyle w:val="TableBody"/>
            </w:pPr>
            <w:r w:rsidRPr="007A3600">
              <w:t>Ms Maryanne Diamond AO</w:t>
            </w:r>
          </w:p>
          <w:p w14:paraId="546250B1" w14:textId="6D3EF50A" w:rsidR="008270F9" w:rsidRPr="007A3600" w:rsidRDefault="008270F9" w:rsidP="00AD3197">
            <w:pPr>
              <w:pStyle w:val="TableBody"/>
            </w:pPr>
            <w:r w:rsidRPr="007A3600">
              <w:t>Ms Leah van Poppel</w:t>
            </w:r>
          </w:p>
        </w:tc>
      </w:tr>
      <w:tr w:rsidR="00F84EEB" w:rsidRPr="007A3600" w14:paraId="1454E7B3" w14:textId="77777777" w:rsidTr="00F84EEB">
        <w:trPr>
          <w:cnfStyle w:val="000000100000" w:firstRow="0" w:lastRow="0" w:firstColumn="0" w:lastColumn="0" w:oddVBand="0" w:evenVBand="0" w:oddHBand="1" w:evenHBand="0" w:firstRowFirstColumn="0" w:firstRowLastColumn="0" w:lastRowFirstColumn="0" w:lastRowLastColumn="0"/>
        </w:trPr>
        <w:tc>
          <w:tcPr>
            <w:tcW w:w="2324" w:type="dxa"/>
          </w:tcPr>
          <w:p w14:paraId="1D19662A" w14:textId="098BB9FF" w:rsidR="008270F9" w:rsidRPr="007A3600" w:rsidRDefault="008270F9" w:rsidP="00AD3197">
            <w:pPr>
              <w:pStyle w:val="TableBody"/>
            </w:pPr>
            <w:r w:rsidRPr="007A3600">
              <w:lastRenderedPageBreak/>
              <w:t>People and Outcomes Committee (formerly Strategic Direction and Participant Outcomes Committee)</w:t>
            </w:r>
          </w:p>
        </w:tc>
        <w:tc>
          <w:tcPr>
            <w:tcW w:w="4139" w:type="dxa"/>
          </w:tcPr>
          <w:p w14:paraId="72710936" w14:textId="46DB716F" w:rsidR="008270F9" w:rsidRPr="007A3600" w:rsidRDefault="008270F9" w:rsidP="00AD3197">
            <w:pPr>
              <w:pStyle w:val="TableBody"/>
            </w:pPr>
            <w:r w:rsidRPr="007A3600">
              <w:t xml:space="preserve">Supports the Board to determine the objectives, strategies and policies to be followed by the </w:t>
            </w:r>
            <w:r w:rsidR="008947E5" w:rsidRPr="007A3600">
              <w:t>NDIA</w:t>
            </w:r>
            <w:r w:rsidRPr="007A3600">
              <w:t xml:space="preserve">, with a dedicated focus on people, including staff and participants, the culture the </w:t>
            </w:r>
            <w:r w:rsidR="008947E5" w:rsidRPr="007A3600">
              <w:t xml:space="preserve">NDIA </w:t>
            </w:r>
            <w:r w:rsidR="003E5A64" w:rsidRPr="007A3600">
              <w:t>leads,</w:t>
            </w:r>
            <w:r w:rsidRPr="007A3600">
              <w:t xml:space="preserve"> and the outcomes delivered for people in the </w:t>
            </w:r>
            <w:r w:rsidR="008947E5" w:rsidRPr="007A3600">
              <w:t xml:space="preserve">NDIA </w:t>
            </w:r>
            <w:r w:rsidRPr="007A3600">
              <w:t xml:space="preserve">and by the </w:t>
            </w:r>
            <w:r w:rsidR="008947E5" w:rsidRPr="007A3600">
              <w:t>NDIS</w:t>
            </w:r>
            <w:r w:rsidRPr="007A3600">
              <w:t>.</w:t>
            </w:r>
          </w:p>
        </w:tc>
        <w:tc>
          <w:tcPr>
            <w:tcW w:w="2551" w:type="dxa"/>
          </w:tcPr>
          <w:p w14:paraId="7039066F" w14:textId="5D4B0A62" w:rsidR="008270F9" w:rsidRPr="007A3600" w:rsidRDefault="008270F9" w:rsidP="00AD3197">
            <w:pPr>
              <w:pStyle w:val="TableBody"/>
            </w:pPr>
            <w:r w:rsidRPr="007A3600">
              <w:t>Mr Kurt Fearnley AO (</w:t>
            </w:r>
            <w:r w:rsidR="00C22F2E" w:rsidRPr="007A3600">
              <w:t>i</w:t>
            </w:r>
            <w:r w:rsidRPr="007A3600">
              <w:t>nterim Chair from 6</w:t>
            </w:r>
            <w:r w:rsidR="00393771" w:rsidRPr="007A3600">
              <w:t xml:space="preserve"> </w:t>
            </w:r>
            <w:r w:rsidRPr="007A3600">
              <w:t>February 2025)</w:t>
            </w:r>
          </w:p>
          <w:p w14:paraId="67A2136E" w14:textId="77777777" w:rsidR="004B20A5" w:rsidRPr="007A3600" w:rsidRDefault="004B20A5" w:rsidP="00AD3197">
            <w:pPr>
              <w:pStyle w:val="TableBody"/>
            </w:pPr>
            <w:r w:rsidRPr="007A3600">
              <w:t>Dr Richard Fejo</w:t>
            </w:r>
          </w:p>
          <w:p w14:paraId="39DA7EA3" w14:textId="77777777" w:rsidR="004B20A5" w:rsidRPr="007A3600" w:rsidRDefault="004B20A5" w:rsidP="00AD3197">
            <w:pPr>
              <w:pStyle w:val="TableBody"/>
            </w:pPr>
            <w:r w:rsidRPr="007A3600">
              <w:t>Ms Joan McKenna Kerr</w:t>
            </w:r>
          </w:p>
          <w:p w14:paraId="56B8D4F2" w14:textId="77777777" w:rsidR="008270F9" w:rsidRPr="007A3600" w:rsidRDefault="008270F9" w:rsidP="00AD3197">
            <w:pPr>
              <w:pStyle w:val="TableBody"/>
            </w:pPr>
            <w:r w:rsidRPr="007A3600">
              <w:t>Ms Leah van Poppel</w:t>
            </w:r>
          </w:p>
          <w:p w14:paraId="757B400B" w14:textId="28D2B531" w:rsidR="008270F9" w:rsidRPr="007A3600" w:rsidRDefault="008270F9" w:rsidP="00AD3197">
            <w:pPr>
              <w:pStyle w:val="TableBody"/>
            </w:pPr>
            <w:r w:rsidRPr="007A3600">
              <w:t xml:space="preserve">Dr Rhonda Galbally </w:t>
            </w:r>
            <w:r w:rsidR="00C22F2E" w:rsidRPr="007A3600">
              <w:t xml:space="preserve">AC </w:t>
            </w:r>
            <w:r w:rsidRPr="007A3600">
              <w:t>(term started 8 May 2025)</w:t>
            </w:r>
          </w:p>
        </w:tc>
      </w:tr>
    </w:tbl>
    <w:p w14:paraId="586AB508" w14:textId="6E810723" w:rsidR="000828F4" w:rsidRPr="007A3600" w:rsidRDefault="000828F4" w:rsidP="00AD3197">
      <w:pPr>
        <w:pStyle w:val="Heading4"/>
        <w:spacing w:before="240"/>
      </w:pPr>
      <w:bookmarkStart w:id="91" w:name="_Toc201302399"/>
      <w:bookmarkStart w:id="92" w:name="_Toc207017704"/>
      <w:r w:rsidRPr="007A3600">
        <w:t>Board and committee attendance</w:t>
      </w:r>
      <w:bookmarkEnd w:id="91"/>
      <w:bookmarkEnd w:id="92"/>
    </w:p>
    <w:p w14:paraId="45047815" w14:textId="205B2E8F" w:rsidR="000828F4" w:rsidRPr="007A3600" w:rsidRDefault="000828F4" w:rsidP="00AD3197">
      <w:pPr>
        <w:pStyle w:val="Caption"/>
      </w:pPr>
      <w:r w:rsidRPr="007A3600">
        <w:t xml:space="preserve">Table </w:t>
      </w:r>
      <w:r w:rsidR="004701CB" w:rsidRPr="007A3600">
        <w:t>5</w:t>
      </w:r>
      <w:r w:rsidRPr="007A3600">
        <w:t>: Number of meetings attended by Board members in 2024–25</w:t>
      </w:r>
    </w:p>
    <w:tbl>
      <w:tblPr>
        <w:tblStyle w:val="NDISTable1"/>
        <w:tblW w:w="5030" w:type="pct"/>
        <w:tblLayout w:type="fixed"/>
        <w:tblLook w:val="0420" w:firstRow="1" w:lastRow="0" w:firstColumn="0" w:lastColumn="0" w:noHBand="0" w:noVBand="1"/>
      </w:tblPr>
      <w:tblGrid>
        <w:gridCol w:w="1814"/>
        <w:gridCol w:w="1814"/>
        <w:gridCol w:w="1814"/>
        <w:gridCol w:w="1814"/>
        <w:gridCol w:w="1814"/>
      </w:tblGrid>
      <w:tr w:rsidR="0026718D" w:rsidRPr="007A3600" w14:paraId="30DCE363" w14:textId="77777777" w:rsidTr="003E3F19">
        <w:trPr>
          <w:cnfStyle w:val="100000000000" w:firstRow="1" w:lastRow="0" w:firstColumn="0" w:lastColumn="0" w:oddVBand="0" w:evenVBand="0" w:oddHBand="0" w:evenHBand="0" w:firstRowFirstColumn="0" w:firstRowLastColumn="0" w:lastRowFirstColumn="0" w:lastRowLastColumn="0"/>
        </w:trPr>
        <w:tc>
          <w:tcPr>
            <w:tcW w:w="0" w:type="dxa"/>
          </w:tcPr>
          <w:p w14:paraId="577F99A4" w14:textId="2E414B8E" w:rsidR="006F4C88" w:rsidRPr="007A3600" w:rsidRDefault="006F4C88" w:rsidP="00AD3197">
            <w:pPr>
              <w:pStyle w:val="TableBody"/>
            </w:pPr>
            <w:r w:rsidRPr="007A3600">
              <w:t>Board member</w:t>
            </w:r>
          </w:p>
        </w:tc>
        <w:tc>
          <w:tcPr>
            <w:tcW w:w="0" w:type="dxa"/>
          </w:tcPr>
          <w:p w14:paraId="55360484" w14:textId="7FB0626D" w:rsidR="006F4C88" w:rsidRPr="007A3600" w:rsidRDefault="006F4C88" w:rsidP="00AD3197">
            <w:pPr>
              <w:pStyle w:val="TableBody"/>
              <w:jc w:val="right"/>
            </w:pPr>
            <w:r w:rsidRPr="007A3600">
              <w:t>NDIA Board attended</w:t>
            </w:r>
          </w:p>
        </w:tc>
        <w:tc>
          <w:tcPr>
            <w:tcW w:w="0" w:type="dxa"/>
          </w:tcPr>
          <w:p w14:paraId="145810ED" w14:textId="278A0A29" w:rsidR="006F4C88" w:rsidRPr="007A3600" w:rsidRDefault="006F4C88" w:rsidP="00AD3197">
            <w:pPr>
              <w:pStyle w:val="TableBody"/>
              <w:jc w:val="right"/>
            </w:pPr>
            <w:r w:rsidRPr="007A3600">
              <w:t>People and Outcomes Committe</w:t>
            </w:r>
            <w:r w:rsidR="007F530B" w:rsidRPr="007A3600">
              <w:t>e</w:t>
            </w:r>
          </w:p>
        </w:tc>
        <w:tc>
          <w:tcPr>
            <w:tcW w:w="0" w:type="dxa"/>
          </w:tcPr>
          <w:p w14:paraId="118E06D4" w14:textId="24B2269F" w:rsidR="006F4C88" w:rsidRPr="007A3600" w:rsidRDefault="006F4C88" w:rsidP="00AD3197">
            <w:pPr>
              <w:pStyle w:val="TableBody"/>
              <w:jc w:val="right"/>
            </w:pPr>
            <w:r w:rsidRPr="007A3600">
              <w:t>Sustainability Committee</w:t>
            </w:r>
          </w:p>
        </w:tc>
        <w:tc>
          <w:tcPr>
            <w:tcW w:w="0" w:type="dxa"/>
          </w:tcPr>
          <w:p w14:paraId="10A8A55F" w14:textId="14278D44" w:rsidR="006F4C88" w:rsidRPr="007A3600" w:rsidRDefault="006F4C88" w:rsidP="00AD3197">
            <w:pPr>
              <w:pStyle w:val="TableBody"/>
              <w:jc w:val="right"/>
            </w:pPr>
            <w:r w:rsidRPr="007A3600">
              <w:t>Audit and Risk Committee</w:t>
            </w:r>
          </w:p>
        </w:tc>
      </w:tr>
      <w:tr w:rsidR="00D504AD" w:rsidRPr="007A3600" w14:paraId="4A3B95E5"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250C1772" w14:textId="08484045" w:rsidR="00040C95" w:rsidRPr="007A3600" w:rsidRDefault="00040C95" w:rsidP="00AD3197">
            <w:pPr>
              <w:pStyle w:val="TableBody"/>
            </w:pPr>
            <w:r w:rsidRPr="007A3600">
              <w:t>Mr Kurt Fearnley AO</w:t>
            </w:r>
            <w:r w:rsidR="002B6792" w:rsidRPr="007A3600">
              <w:t xml:space="preserve"> </w:t>
            </w:r>
            <w:r w:rsidRPr="007A3600">
              <w:t>(Chair)</w:t>
            </w:r>
          </w:p>
        </w:tc>
        <w:tc>
          <w:tcPr>
            <w:tcW w:w="0" w:type="dxa"/>
          </w:tcPr>
          <w:p w14:paraId="5BEC3905" w14:textId="2D27BFBC" w:rsidR="00040C95" w:rsidRPr="007A3600" w:rsidRDefault="00040C95" w:rsidP="00AD3197">
            <w:pPr>
              <w:pStyle w:val="TableBody"/>
              <w:jc w:val="right"/>
            </w:pPr>
            <w:r w:rsidRPr="007A3600">
              <w:t>12</w:t>
            </w:r>
          </w:p>
        </w:tc>
        <w:tc>
          <w:tcPr>
            <w:tcW w:w="0" w:type="dxa"/>
          </w:tcPr>
          <w:p w14:paraId="10544F09" w14:textId="5C999AF2" w:rsidR="00040C95" w:rsidRPr="007A3600" w:rsidRDefault="00040C95" w:rsidP="00AD3197">
            <w:pPr>
              <w:pStyle w:val="TableBody"/>
              <w:jc w:val="right"/>
            </w:pPr>
            <w:r w:rsidRPr="007A3600">
              <w:t>3 (Interim Chair)</w:t>
            </w:r>
          </w:p>
        </w:tc>
        <w:tc>
          <w:tcPr>
            <w:tcW w:w="0" w:type="dxa"/>
          </w:tcPr>
          <w:p w14:paraId="0D68B40F" w14:textId="4B192890" w:rsidR="00040C95" w:rsidRPr="007A3600" w:rsidRDefault="00040C95" w:rsidP="00AD3197">
            <w:pPr>
              <w:pStyle w:val="TableBody"/>
              <w:jc w:val="right"/>
            </w:pPr>
            <w:r w:rsidRPr="007A3600">
              <w:t>4</w:t>
            </w:r>
          </w:p>
        </w:tc>
        <w:tc>
          <w:tcPr>
            <w:tcW w:w="0" w:type="dxa"/>
          </w:tcPr>
          <w:p w14:paraId="04D0683D" w14:textId="7786C16D" w:rsidR="00040C95" w:rsidRPr="007A3600" w:rsidRDefault="00040C95" w:rsidP="00AD3197">
            <w:pPr>
              <w:pStyle w:val="TableBody"/>
              <w:jc w:val="right"/>
            </w:pPr>
            <w:r w:rsidRPr="007A3600">
              <w:t>5</w:t>
            </w:r>
          </w:p>
        </w:tc>
      </w:tr>
      <w:tr w:rsidR="00663135" w:rsidRPr="007A3600" w14:paraId="13F4DADE" w14:textId="77777777" w:rsidTr="003E3F19">
        <w:tc>
          <w:tcPr>
            <w:tcW w:w="0" w:type="dxa"/>
          </w:tcPr>
          <w:p w14:paraId="723605EB" w14:textId="77777777" w:rsidR="00663135" w:rsidRPr="007A3600" w:rsidRDefault="00663135" w:rsidP="00AD3197">
            <w:pPr>
              <w:pStyle w:val="TableBody"/>
            </w:pPr>
            <w:r w:rsidRPr="007A3600">
              <w:t>Mr Mark Darras</w:t>
            </w:r>
          </w:p>
        </w:tc>
        <w:tc>
          <w:tcPr>
            <w:tcW w:w="0" w:type="dxa"/>
          </w:tcPr>
          <w:p w14:paraId="1D8DED27" w14:textId="77777777" w:rsidR="00663135" w:rsidRPr="007A3600" w:rsidRDefault="00663135" w:rsidP="00AD3197">
            <w:pPr>
              <w:pStyle w:val="TableBody"/>
              <w:jc w:val="right"/>
            </w:pPr>
            <w:r w:rsidRPr="007A3600">
              <w:t>12</w:t>
            </w:r>
          </w:p>
        </w:tc>
        <w:tc>
          <w:tcPr>
            <w:tcW w:w="0" w:type="dxa"/>
          </w:tcPr>
          <w:p w14:paraId="68CFB07B" w14:textId="77777777" w:rsidR="00663135" w:rsidRPr="007A3600" w:rsidRDefault="00663135" w:rsidP="00AD3197">
            <w:pPr>
              <w:pStyle w:val="TableBody"/>
              <w:jc w:val="right"/>
            </w:pPr>
            <w:r w:rsidRPr="007A3600">
              <w:t>0</w:t>
            </w:r>
          </w:p>
        </w:tc>
        <w:tc>
          <w:tcPr>
            <w:tcW w:w="0" w:type="dxa"/>
          </w:tcPr>
          <w:p w14:paraId="02B24B2F" w14:textId="77777777" w:rsidR="00663135" w:rsidRPr="007A3600" w:rsidRDefault="00663135" w:rsidP="00AD3197">
            <w:pPr>
              <w:pStyle w:val="TableBody"/>
              <w:jc w:val="right"/>
            </w:pPr>
            <w:r w:rsidRPr="007A3600">
              <w:t>1</w:t>
            </w:r>
          </w:p>
        </w:tc>
        <w:tc>
          <w:tcPr>
            <w:tcW w:w="0" w:type="dxa"/>
          </w:tcPr>
          <w:p w14:paraId="0CFAFE27" w14:textId="77777777" w:rsidR="00663135" w:rsidRPr="007A3600" w:rsidRDefault="00663135" w:rsidP="00AD3197">
            <w:pPr>
              <w:pStyle w:val="TableBody"/>
              <w:jc w:val="right"/>
            </w:pPr>
            <w:r w:rsidRPr="007A3600">
              <w:t>5</w:t>
            </w:r>
          </w:p>
        </w:tc>
      </w:tr>
      <w:tr w:rsidR="00D504AD" w:rsidRPr="007A3600" w14:paraId="3D8BD285"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6B60F296" w14:textId="77777777" w:rsidR="00663135" w:rsidRPr="007A3600" w:rsidRDefault="00663135" w:rsidP="00AD3197">
            <w:pPr>
              <w:pStyle w:val="TableBody"/>
            </w:pPr>
            <w:r w:rsidRPr="007A3600">
              <w:t>Ms Maryanne Diamond AO</w:t>
            </w:r>
          </w:p>
        </w:tc>
        <w:tc>
          <w:tcPr>
            <w:tcW w:w="0" w:type="dxa"/>
          </w:tcPr>
          <w:p w14:paraId="01475C9B" w14:textId="77777777" w:rsidR="00663135" w:rsidRPr="007A3600" w:rsidRDefault="00663135" w:rsidP="00AD3197">
            <w:pPr>
              <w:pStyle w:val="TableBody"/>
              <w:jc w:val="right"/>
            </w:pPr>
            <w:r w:rsidRPr="007A3600">
              <w:t>11</w:t>
            </w:r>
          </w:p>
        </w:tc>
        <w:tc>
          <w:tcPr>
            <w:tcW w:w="0" w:type="dxa"/>
          </w:tcPr>
          <w:p w14:paraId="29B86061" w14:textId="77777777" w:rsidR="00663135" w:rsidRPr="007A3600" w:rsidRDefault="00663135" w:rsidP="00AD3197">
            <w:pPr>
              <w:pStyle w:val="TableBody"/>
              <w:jc w:val="right"/>
            </w:pPr>
            <w:r w:rsidRPr="007A3600">
              <w:t>1</w:t>
            </w:r>
          </w:p>
        </w:tc>
        <w:tc>
          <w:tcPr>
            <w:tcW w:w="0" w:type="dxa"/>
          </w:tcPr>
          <w:p w14:paraId="21563A50" w14:textId="77777777" w:rsidR="00663135" w:rsidRPr="007A3600" w:rsidRDefault="00663135" w:rsidP="00AD3197">
            <w:pPr>
              <w:pStyle w:val="TableBody"/>
              <w:jc w:val="right"/>
            </w:pPr>
            <w:r w:rsidRPr="007A3600">
              <w:t>5</w:t>
            </w:r>
          </w:p>
        </w:tc>
        <w:tc>
          <w:tcPr>
            <w:tcW w:w="0" w:type="dxa"/>
          </w:tcPr>
          <w:p w14:paraId="0407E293" w14:textId="77777777" w:rsidR="00663135" w:rsidRPr="007A3600" w:rsidRDefault="00663135" w:rsidP="00AD3197">
            <w:pPr>
              <w:pStyle w:val="TableBody"/>
              <w:jc w:val="right"/>
            </w:pPr>
            <w:r w:rsidRPr="007A3600">
              <w:t>4 (Deputy Chair)</w:t>
            </w:r>
          </w:p>
        </w:tc>
      </w:tr>
      <w:tr w:rsidR="001064C5" w:rsidRPr="007A3600" w14:paraId="729E54D1" w14:textId="77777777" w:rsidTr="003E3F19">
        <w:tc>
          <w:tcPr>
            <w:tcW w:w="0" w:type="dxa"/>
          </w:tcPr>
          <w:p w14:paraId="3BAD9F4B" w14:textId="77777777" w:rsidR="001064C5" w:rsidRPr="007A3600" w:rsidRDefault="001064C5" w:rsidP="00AD3197">
            <w:pPr>
              <w:pStyle w:val="TableBody"/>
            </w:pPr>
            <w:r w:rsidRPr="007A3600">
              <w:t>Dr Richard Fejo</w:t>
            </w:r>
          </w:p>
        </w:tc>
        <w:tc>
          <w:tcPr>
            <w:tcW w:w="0" w:type="dxa"/>
          </w:tcPr>
          <w:p w14:paraId="0EC4D36B" w14:textId="77777777" w:rsidR="001064C5" w:rsidRPr="007A3600" w:rsidRDefault="001064C5" w:rsidP="00AD3197">
            <w:pPr>
              <w:pStyle w:val="TableBody"/>
              <w:jc w:val="right"/>
            </w:pPr>
            <w:r w:rsidRPr="007A3600">
              <w:t>10</w:t>
            </w:r>
          </w:p>
        </w:tc>
        <w:tc>
          <w:tcPr>
            <w:tcW w:w="0" w:type="dxa"/>
          </w:tcPr>
          <w:p w14:paraId="2FEF7B2D" w14:textId="77777777" w:rsidR="001064C5" w:rsidRPr="007A3600" w:rsidRDefault="001064C5" w:rsidP="00AD3197">
            <w:pPr>
              <w:pStyle w:val="TableBody"/>
              <w:jc w:val="right"/>
            </w:pPr>
            <w:r w:rsidRPr="007A3600">
              <w:t>3</w:t>
            </w:r>
          </w:p>
        </w:tc>
        <w:tc>
          <w:tcPr>
            <w:tcW w:w="0" w:type="dxa"/>
          </w:tcPr>
          <w:p w14:paraId="115535E2" w14:textId="77777777" w:rsidR="001064C5" w:rsidRPr="007A3600" w:rsidRDefault="001064C5" w:rsidP="00AD3197">
            <w:pPr>
              <w:pStyle w:val="TableBody"/>
              <w:jc w:val="right"/>
            </w:pPr>
            <w:r w:rsidRPr="007A3600">
              <w:t>4</w:t>
            </w:r>
          </w:p>
        </w:tc>
        <w:tc>
          <w:tcPr>
            <w:tcW w:w="0" w:type="dxa"/>
          </w:tcPr>
          <w:p w14:paraId="0D00CBFD" w14:textId="77777777" w:rsidR="001064C5" w:rsidRPr="007A3600" w:rsidRDefault="001064C5" w:rsidP="00AD3197">
            <w:pPr>
              <w:pStyle w:val="TableBody"/>
              <w:jc w:val="right"/>
            </w:pPr>
            <w:r w:rsidRPr="007A3600">
              <w:t>3</w:t>
            </w:r>
          </w:p>
        </w:tc>
      </w:tr>
      <w:tr w:rsidR="00D504AD" w:rsidRPr="007A3600" w14:paraId="3E8F0899"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65F7DDB8" w14:textId="77777777" w:rsidR="001064C5" w:rsidRPr="007A3600" w:rsidRDefault="001064C5" w:rsidP="00AD3197">
            <w:pPr>
              <w:pStyle w:val="TableBody"/>
            </w:pPr>
            <w:r w:rsidRPr="007A3600">
              <w:t>Dr Rhonda Galbally AC</w:t>
            </w:r>
          </w:p>
        </w:tc>
        <w:tc>
          <w:tcPr>
            <w:tcW w:w="0" w:type="dxa"/>
          </w:tcPr>
          <w:p w14:paraId="7101C351" w14:textId="77777777" w:rsidR="001064C5" w:rsidRPr="007A3600" w:rsidRDefault="001064C5" w:rsidP="00AD3197">
            <w:pPr>
              <w:pStyle w:val="TableBody"/>
              <w:jc w:val="right"/>
            </w:pPr>
            <w:r w:rsidRPr="007A3600">
              <w:t>4</w:t>
            </w:r>
          </w:p>
        </w:tc>
        <w:tc>
          <w:tcPr>
            <w:tcW w:w="0" w:type="dxa"/>
          </w:tcPr>
          <w:p w14:paraId="6BAEF4B5" w14:textId="77777777" w:rsidR="001064C5" w:rsidRPr="007A3600" w:rsidRDefault="001064C5" w:rsidP="00AD3197">
            <w:pPr>
              <w:pStyle w:val="TableBody"/>
              <w:jc w:val="right"/>
            </w:pPr>
            <w:r w:rsidRPr="007A3600">
              <w:t>1</w:t>
            </w:r>
          </w:p>
        </w:tc>
        <w:tc>
          <w:tcPr>
            <w:tcW w:w="0" w:type="dxa"/>
          </w:tcPr>
          <w:p w14:paraId="31EEAE61" w14:textId="77777777" w:rsidR="001064C5" w:rsidRPr="007A3600" w:rsidRDefault="001064C5" w:rsidP="00AD3197">
            <w:pPr>
              <w:pStyle w:val="TableBody"/>
              <w:jc w:val="right"/>
            </w:pPr>
            <w:r w:rsidRPr="007A3600">
              <w:t>0</w:t>
            </w:r>
          </w:p>
        </w:tc>
        <w:tc>
          <w:tcPr>
            <w:tcW w:w="0" w:type="dxa"/>
          </w:tcPr>
          <w:p w14:paraId="2CA484FF" w14:textId="77777777" w:rsidR="001064C5" w:rsidRPr="007A3600" w:rsidRDefault="001064C5" w:rsidP="00AD3197">
            <w:pPr>
              <w:pStyle w:val="TableBody"/>
              <w:jc w:val="right"/>
            </w:pPr>
            <w:r w:rsidRPr="007A3600">
              <w:t>0</w:t>
            </w:r>
          </w:p>
        </w:tc>
      </w:tr>
      <w:tr w:rsidR="001064C5" w:rsidRPr="007A3600" w14:paraId="29A51B92" w14:textId="77777777" w:rsidTr="003E3F19">
        <w:tc>
          <w:tcPr>
            <w:tcW w:w="0" w:type="dxa"/>
          </w:tcPr>
          <w:p w14:paraId="4AE9D870" w14:textId="77777777" w:rsidR="001064C5" w:rsidRPr="007A3600" w:rsidRDefault="001064C5" w:rsidP="00AD3197">
            <w:pPr>
              <w:pStyle w:val="TableBody"/>
            </w:pPr>
            <w:r w:rsidRPr="007A3600">
              <w:t>Dr Graeme Innes AM</w:t>
            </w:r>
          </w:p>
        </w:tc>
        <w:tc>
          <w:tcPr>
            <w:tcW w:w="0" w:type="dxa"/>
          </w:tcPr>
          <w:p w14:paraId="08211A15" w14:textId="77777777" w:rsidR="001064C5" w:rsidRPr="007A3600" w:rsidRDefault="001064C5" w:rsidP="00AD3197">
            <w:pPr>
              <w:pStyle w:val="TableBody"/>
              <w:jc w:val="right"/>
            </w:pPr>
            <w:r w:rsidRPr="007A3600">
              <w:t>12</w:t>
            </w:r>
          </w:p>
        </w:tc>
        <w:tc>
          <w:tcPr>
            <w:tcW w:w="0" w:type="dxa"/>
          </w:tcPr>
          <w:p w14:paraId="78F23F7D" w14:textId="77777777" w:rsidR="001064C5" w:rsidRPr="007A3600" w:rsidRDefault="001064C5" w:rsidP="00AD3197">
            <w:pPr>
              <w:pStyle w:val="TableBody"/>
              <w:jc w:val="right"/>
            </w:pPr>
            <w:r w:rsidRPr="007A3600">
              <w:t>0</w:t>
            </w:r>
          </w:p>
        </w:tc>
        <w:tc>
          <w:tcPr>
            <w:tcW w:w="0" w:type="dxa"/>
          </w:tcPr>
          <w:p w14:paraId="007A9088" w14:textId="77777777" w:rsidR="001064C5" w:rsidRPr="007A3600" w:rsidRDefault="001064C5" w:rsidP="00AD3197">
            <w:pPr>
              <w:pStyle w:val="TableBody"/>
              <w:jc w:val="right"/>
            </w:pPr>
            <w:r w:rsidRPr="007A3600">
              <w:t>0</w:t>
            </w:r>
          </w:p>
        </w:tc>
        <w:tc>
          <w:tcPr>
            <w:tcW w:w="0" w:type="dxa"/>
          </w:tcPr>
          <w:p w14:paraId="79075718" w14:textId="77777777" w:rsidR="001064C5" w:rsidRPr="007A3600" w:rsidRDefault="001064C5" w:rsidP="00AD3197">
            <w:pPr>
              <w:pStyle w:val="TableBody"/>
              <w:jc w:val="right"/>
            </w:pPr>
            <w:r w:rsidRPr="007A3600">
              <w:t>5 (Chair)</w:t>
            </w:r>
          </w:p>
        </w:tc>
      </w:tr>
      <w:tr w:rsidR="00D504AD" w:rsidRPr="007A3600" w14:paraId="14C85901"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20CFFE44" w14:textId="77777777" w:rsidR="00D511E3" w:rsidRPr="007A3600" w:rsidRDefault="00D511E3" w:rsidP="00AD3197">
            <w:pPr>
              <w:pStyle w:val="TableBody"/>
            </w:pPr>
            <w:r w:rsidRPr="007A3600">
              <w:t>Mrs Joan McKenna Kerr</w:t>
            </w:r>
          </w:p>
        </w:tc>
        <w:tc>
          <w:tcPr>
            <w:tcW w:w="0" w:type="dxa"/>
          </w:tcPr>
          <w:p w14:paraId="665A2FCC" w14:textId="77777777" w:rsidR="00D511E3" w:rsidRPr="007A3600" w:rsidRDefault="00D511E3" w:rsidP="00AD3197">
            <w:pPr>
              <w:pStyle w:val="TableBody"/>
              <w:jc w:val="right"/>
            </w:pPr>
            <w:r w:rsidRPr="007A3600">
              <w:t>10</w:t>
            </w:r>
          </w:p>
        </w:tc>
        <w:tc>
          <w:tcPr>
            <w:tcW w:w="0" w:type="dxa"/>
          </w:tcPr>
          <w:p w14:paraId="2CE88EAF" w14:textId="77777777" w:rsidR="00D511E3" w:rsidRPr="007A3600" w:rsidRDefault="00D511E3" w:rsidP="00AD3197">
            <w:pPr>
              <w:pStyle w:val="TableBody"/>
              <w:jc w:val="right"/>
            </w:pPr>
            <w:r w:rsidRPr="007A3600">
              <w:t>3</w:t>
            </w:r>
          </w:p>
        </w:tc>
        <w:tc>
          <w:tcPr>
            <w:tcW w:w="0" w:type="dxa"/>
          </w:tcPr>
          <w:p w14:paraId="70B6A6CA" w14:textId="77777777" w:rsidR="00D511E3" w:rsidRPr="007A3600" w:rsidRDefault="00D511E3" w:rsidP="00AD3197">
            <w:pPr>
              <w:pStyle w:val="TableBody"/>
              <w:jc w:val="right"/>
            </w:pPr>
            <w:r w:rsidRPr="007A3600">
              <w:t>4</w:t>
            </w:r>
          </w:p>
        </w:tc>
        <w:tc>
          <w:tcPr>
            <w:tcW w:w="0" w:type="dxa"/>
          </w:tcPr>
          <w:p w14:paraId="2A297DB5" w14:textId="77777777" w:rsidR="00D511E3" w:rsidRPr="007A3600" w:rsidRDefault="00D511E3" w:rsidP="00AD3197">
            <w:pPr>
              <w:pStyle w:val="TableBody"/>
              <w:jc w:val="right"/>
            </w:pPr>
            <w:r w:rsidRPr="007A3600">
              <w:t>3</w:t>
            </w:r>
          </w:p>
        </w:tc>
      </w:tr>
      <w:tr w:rsidR="00D511E3" w:rsidRPr="007A3600" w14:paraId="1BEE208B" w14:textId="77777777" w:rsidTr="003E3F19">
        <w:tc>
          <w:tcPr>
            <w:tcW w:w="0" w:type="dxa"/>
          </w:tcPr>
          <w:p w14:paraId="222BE899" w14:textId="77777777" w:rsidR="00D511E3" w:rsidRPr="007A3600" w:rsidRDefault="00D511E3" w:rsidP="00AD3197">
            <w:pPr>
              <w:pStyle w:val="TableBody"/>
            </w:pPr>
            <w:r w:rsidRPr="007A3600">
              <w:t>Dr Denis Napthine AO</w:t>
            </w:r>
          </w:p>
        </w:tc>
        <w:tc>
          <w:tcPr>
            <w:tcW w:w="0" w:type="dxa"/>
          </w:tcPr>
          <w:p w14:paraId="09870708" w14:textId="77777777" w:rsidR="00D511E3" w:rsidRPr="007A3600" w:rsidRDefault="00D511E3" w:rsidP="00AD3197">
            <w:pPr>
              <w:pStyle w:val="TableBody"/>
              <w:jc w:val="right"/>
            </w:pPr>
            <w:r w:rsidRPr="007A3600">
              <w:t>11</w:t>
            </w:r>
          </w:p>
        </w:tc>
        <w:tc>
          <w:tcPr>
            <w:tcW w:w="0" w:type="dxa"/>
          </w:tcPr>
          <w:p w14:paraId="1C258265" w14:textId="77777777" w:rsidR="00D511E3" w:rsidRPr="007A3600" w:rsidRDefault="00D511E3" w:rsidP="00AD3197">
            <w:pPr>
              <w:pStyle w:val="TableBody"/>
              <w:jc w:val="right"/>
            </w:pPr>
            <w:r w:rsidRPr="007A3600">
              <w:t>1</w:t>
            </w:r>
          </w:p>
        </w:tc>
        <w:tc>
          <w:tcPr>
            <w:tcW w:w="0" w:type="dxa"/>
          </w:tcPr>
          <w:p w14:paraId="660810EA" w14:textId="77777777" w:rsidR="00D511E3" w:rsidRPr="007A3600" w:rsidRDefault="00D511E3" w:rsidP="00AD3197">
            <w:pPr>
              <w:pStyle w:val="TableBody"/>
              <w:jc w:val="right"/>
            </w:pPr>
            <w:r w:rsidRPr="007A3600">
              <w:t>2</w:t>
            </w:r>
          </w:p>
        </w:tc>
        <w:tc>
          <w:tcPr>
            <w:tcW w:w="0" w:type="dxa"/>
          </w:tcPr>
          <w:p w14:paraId="5E7DD200" w14:textId="77777777" w:rsidR="00D511E3" w:rsidRPr="007A3600" w:rsidRDefault="00D511E3" w:rsidP="00AD3197">
            <w:pPr>
              <w:pStyle w:val="TableBody"/>
              <w:jc w:val="right"/>
            </w:pPr>
            <w:r w:rsidRPr="007A3600">
              <w:t>5</w:t>
            </w:r>
          </w:p>
        </w:tc>
      </w:tr>
      <w:tr w:rsidR="00D504AD" w:rsidRPr="007A3600" w14:paraId="68DB9C4B"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101BBC8D" w14:textId="77777777" w:rsidR="00D511E3" w:rsidRPr="007A3600" w:rsidRDefault="00D511E3" w:rsidP="00AD3197">
            <w:pPr>
              <w:pStyle w:val="TableBody"/>
            </w:pPr>
            <w:r w:rsidRPr="007A3600">
              <w:lastRenderedPageBreak/>
              <w:t>Ms Estelle Pearson</w:t>
            </w:r>
          </w:p>
        </w:tc>
        <w:tc>
          <w:tcPr>
            <w:tcW w:w="0" w:type="dxa"/>
          </w:tcPr>
          <w:p w14:paraId="131D1FF4" w14:textId="77777777" w:rsidR="00D511E3" w:rsidRPr="007A3600" w:rsidRDefault="00D511E3" w:rsidP="00AD3197">
            <w:pPr>
              <w:pStyle w:val="TableBody"/>
              <w:jc w:val="right"/>
            </w:pPr>
            <w:r w:rsidRPr="007A3600">
              <w:t>10</w:t>
            </w:r>
          </w:p>
        </w:tc>
        <w:tc>
          <w:tcPr>
            <w:tcW w:w="0" w:type="dxa"/>
          </w:tcPr>
          <w:p w14:paraId="5F5F85FE" w14:textId="77777777" w:rsidR="00D511E3" w:rsidRPr="007A3600" w:rsidRDefault="00D511E3" w:rsidP="00AD3197">
            <w:pPr>
              <w:pStyle w:val="TableBody"/>
              <w:jc w:val="right"/>
            </w:pPr>
            <w:r w:rsidRPr="007A3600">
              <w:t>1</w:t>
            </w:r>
          </w:p>
        </w:tc>
        <w:tc>
          <w:tcPr>
            <w:tcW w:w="0" w:type="dxa"/>
          </w:tcPr>
          <w:p w14:paraId="6EA43D82" w14:textId="77777777" w:rsidR="00D511E3" w:rsidRPr="007A3600" w:rsidRDefault="00D511E3" w:rsidP="00AD3197">
            <w:pPr>
              <w:pStyle w:val="TableBody"/>
              <w:jc w:val="right"/>
            </w:pPr>
            <w:r w:rsidRPr="007A3600">
              <w:t>5 (Chair)</w:t>
            </w:r>
          </w:p>
        </w:tc>
        <w:tc>
          <w:tcPr>
            <w:tcW w:w="0" w:type="dxa"/>
          </w:tcPr>
          <w:p w14:paraId="2DD89512" w14:textId="77777777" w:rsidR="00D511E3" w:rsidRPr="007A3600" w:rsidRDefault="00D511E3" w:rsidP="00AD3197">
            <w:pPr>
              <w:pStyle w:val="TableBody"/>
              <w:jc w:val="right"/>
            </w:pPr>
            <w:r w:rsidRPr="007A3600">
              <w:t>1</w:t>
            </w:r>
          </w:p>
        </w:tc>
      </w:tr>
      <w:tr w:rsidR="00526C0B" w:rsidRPr="007A3600" w14:paraId="230F7DB3" w14:textId="77777777" w:rsidTr="003E3F19">
        <w:tc>
          <w:tcPr>
            <w:tcW w:w="0" w:type="dxa"/>
          </w:tcPr>
          <w:p w14:paraId="2109B504" w14:textId="77777777" w:rsidR="00526C0B" w:rsidRPr="007A3600" w:rsidRDefault="00526C0B" w:rsidP="00AD3197">
            <w:pPr>
              <w:pStyle w:val="TableBody"/>
            </w:pPr>
            <w:r w:rsidRPr="007A3600">
              <w:t>Ms Leah van Poppel</w:t>
            </w:r>
          </w:p>
        </w:tc>
        <w:tc>
          <w:tcPr>
            <w:tcW w:w="0" w:type="dxa"/>
          </w:tcPr>
          <w:p w14:paraId="0C722AB4" w14:textId="77777777" w:rsidR="00526C0B" w:rsidRPr="007A3600" w:rsidRDefault="00526C0B" w:rsidP="00AD3197">
            <w:pPr>
              <w:pStyle w:val="TableBody"/>
              <w:jc w:val="right"/>
            </w:pPr>
            <w:r w:rsidRPr="007A3600">
              <w:t>11</w:t>
            </w:r>
          </w:p>
        </w:tc>
        <w:tc>
          <w:tcPr>
            <w:tcW w:w="0" w:type="dxa"/>
          </w:tcPr>
          <w:p w14:paraId="12DD037A" w14:textId="77777777" w:rsidR="00526C0B" w:rsidRPr="007A3600" w:rsidRDefault="00526C0B" w:rsidP="00AD3197">
            <w:pPr>
              <w:pStyle w:val="TableBody"/>
              <w:jc w:val="right"/>
            </w:pPr>
            <w:r w:rsidRPr="007A3600">
              <w:t>3</w:t>
            </w:r>
          </w:p>
        </w:tc>
        <w:tc>
          <w:tcPr>
            <w:tcW w:w="0" w:type="dxa"/>
          </w:tcPr>
          <w:p w14:paraId="43DB08C1" w14:textId="77777777" w:rsidR="00526C0B" w:rsidRPr="007A3600" w:rsidRDefault="00526C0B" w:rsidP="00AD3197">
            <w:pPr>
              <w:pStyle w:val="TableBody"/>
              <w:jc w:val="right"/>
            </w:pPr>
            <w:r w:rsidRPr="007A3600">
              <w:t>5</w:t>
            </w:r>
          </w:p>
        </w:tc>
        <w:tc>
          <w:tcPr>
            <w:tcW w:w="0" w:type="dxa"/>
          </w:tcPr>
          <w:p w14:paraId="44EBBF1C" w14:textId="77777777" w:rsidR="00526C0B" w:rsidRPr="007A3600" w:rsidRDefault="00526C0B" w:rsidP="00AD3197">
            <w:pPr>
              <w:pStyle w:val="TableBody"/>
              <w:jc w:val="right"/>
            </w:pPr>
            <w:r w:rsidRPr="007A3600">
              <w:t>1</w:t>
            </w:r>
          </w:p>
        </w:tc>
      </w:tr>
      <w:tr w:rsidR="00D504AD" w:rsidRPr="007A3600" w14:paraId="30CA1046"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025D79C6" w14:textId="77777777" w:rsidR="00526C0B" w:rsidRPr="007A3600" w:rsidRDefault="00526C0B" w:rsidP="00AD3197">
            <w:pPr>
              <w:pStyle w:val="TableBody"/>
            </w:pPr>
            <w:r w:rsidRPr="007A3600">
              <w:t>Dr Ian Watt AC</w:t>
            </w:r>
          </w:p>
        </w:tc>
        <w:tc>
          <w:tcPr>
            <w:tcW w:w="0" w:type="dxa"/>
          </w:tcPr>
          <w:p w14:paraId="571557B4" w14:textId="77777777" w:rsidR="00526C0B" w:rsidRPr="007A3600" w:rsidRDefault="00526C0B" w:rsidP="00AD3197">
            <w:pPr>
              <w:pStyle w:val="TableBody"/>
              <w:jc w:val="right"/>
            </w:pPr>
            <w:r w:rsidRPr="007A3600">
              <w:t>8</w:t>
            </w:r>
          </w:p>
        </w:tc>
        <w:tc>
          <w:tcPr>
            <w:tcW w:w="0" w:type="dxa"/>
          </w:tcPr>
          <w:p w14:paraId="68D265C3" w14:textId="77777777" w:rsidR="00526C0B" w:rsidRPr="007A3600" w:rsidRDefault="00526C0B" w:rsidP="00AD3197">
            <w:pPr>
              <w:pStyle w:val="TableBody"/>
              <w:jc w:val="right"/>
            </w:pPr>
            <w:r w:rsidRPr="007A3600">
              <w:t>0</w:t>
            </w:r>
          </w:p>
        </w:tc>
        <w:tc>
          <w:tcPr>
            <w:tcW w:w="0" w:type="dxa"/>
          </w:tcPr>
          <w:p w14:paraId="6A96E4B8" w14:textId="77777777" w:rsidR="00526C0B" w:rsidRPr="007A3600" w:rsidRDefault="00526C0B" w:rsidP="00AD3197">
            <w:pPr>
              <w:pStyle w:val="TableBody"/>
              <w:jc w:val="right"/>
            </w:pPr>
            <w:r w:rsidRPr="007A3600">
              <w:t>1</w:t>
            </w:r>
          </w:p>
        </w:tc>
        <w:tc>
          <w:tcPr>
            <w:tcW w:w="0" w:type="dxa"/>
          </w:tcPr>
          <w:p w14:paraId="39D162DA" w14:textId="77777777" w:rsidR="00526C0B" w:rsidRPr="007A3600" w:rsidRDefault="00526C0B" w:rsidP="00AD3197">
            <w:pPr>
              <w:pStyle w:val="TableBody"/>
              <w:jc w:val="right"/>
            </w:pPr>
            <w:r w:rsidRPr="007A3600">
              <w:t>5</w:t>
            </w:r>
          </w:p>
        </w:tc>
      </w:tr>
      <w:tr w:rsidR="00526C0B" w:rsidRPr="007A3600" w14:paraId="540FA601" w14:textId="77777777" w:rsidTr="003E3F19">
        <w:tc>
          <w:tcPr>
            <w:tcW w:w="0" w:type="dxa"/>
          </w:tcPr>
          <w:p w14:paraId="006D7316" w14:textId="77777777" w:rsidR="00526C0B" w:rsidRPr="007A3600" w:rsidRDefault="00526C0B" w:rsidP="00AD3197">
            <w:pPr>
              <w:pStyle w:val="TableBody"/>
            </w:pPr>
            <w:r w:rsidRPr="007A3600">
              <w:t>Ms Meredith Allan</w:t>
            </w:r>
          </w:p>
        </w:tc>
        <w:tc>
          <w:tcPr>
            <w:tcW w:w="0" w:type="dxa"/>
          </w:tcPr>
          <w:p w14:paraId="01E4B444" w14:textId="77777777" w:rsidR="00526C0B" w:rsidRPr="007A3600" w:rsidRDefault="00526C0B" w:rsidP="00AD3197">
            <w:pPr>
              <w:pStyle w:val="TableBody"/>
              <w:jc w:val="right"/>
            </w:pPr>
            <w:r w:rsidRPr="007A3600">
              <w:t>8</w:t>
            </w:r>
          </w:p>
        </w:tc>
        <w:tc>
          <w:tcPr>
            <w:tcW w:w="0" w:type="dxa"/>
          </w:tcPr>
          <w:p w14:paraId="3DE43AB2" w14:textId="77777777" w:rsidR="00526C0B" w:rsidRPr="007A3600" w:rsidRDefault="00526C0B" w:rsidP="00AD3197">
            <w:pPr>
              <w:pStyle w:val="TableBody"/>
              <w:jc w:val="right"/>
            </w:pPr>
            <w:r w:rsidRPr="007A3600">
              <w:t>2</w:t>
            </w:r>
          </w:p>
        </w:tc>
        <w:tc>
          <w:tcPr>
            <w:tcW w:w="0" w:type="dxa"/>
          </w:tcPr>
          <w:p w14:paraId="77AC8128" w14:textId="77777777" w:rsidR="00526C0B" w:rsidRPr="007A3600" w:rsidRDefault="00526C0B" w:rsidP="00AD3197">
            <w:pPr>
              <w:pStyle w:val="TableBody"/>
              <w:jc w:val="right"/>
            </w:pPr>
            <w:r w:rsidRPr="007A3600">
              <w:t>3</w:t>
            </w:r>
          </w:p>
        </w:tc>
        <w:tc>
          <w:tcPr>
            <w:tcW w:w="0" w:type="dxa"/>
          </w:tcPr>
          <w:p w14:paraId="2FE3DFDB" w14:textId="77777777" w:rsidR="00526C0B" w:rsidRPr="007A3600" w:rsidRDefault="00526C0B" w:rsidP="00AD3197">
            <w:pPr>
              <w:pStyle w:val="TableBody"/>
              <w:jc w:val="right"/>
            </w:pPr>
            <w:r w:rsidRPr="007A3600">
              <w:t>3</w:t>
            </w:r>
          </w:p>
        </w:tc>
      </w:tr>
      <w:tr w:rsidR="00D504AD" w:rsidRPr="007A3600" w14:paraId="7F8016EF" w14:textId="77777777" w:rsidTr="003E3F19">
        <w:trPr>
          <w:cnfStyle w:val="000000100000" w:firstRow="0" w:lastRow="0" w:firstColumn="0" w:lastColumn="0" w:oddVBand="0" w:evenVBand="0" w:oddHBand="1" w:evenHBand="0" w:firstRowFirstColumn="0" w:firstRowLastColumn="0" w:lastRowFirstColumn="0" w:lastRowLastColumn="0"/>
        </w:trPr>
        <w:tc>
          <w:tcPr>
            <w:tcW w:w="0" w:type="dxa"/>
          </w:tcPr>
          <w:p w14:paraId="3B0F50E6" w14:textId="77777777" w:rsidR="00526C0B" w:rsidRPr="007A3600" w:rsidRDefault="00526C0B" w:rsidP="00AD3197">
            <w:pPr>
              <w:pStyle w:val="TableBody"/>
            </w:pPr>
            <w:r w:rsidRPr="007A3600">
              <w:t>Dr Peta Seaton AM</w:t>
            </w:r>
          </w:p>
        </w:tc>
        <w:tc>
          <w:tcPr>
            <w:tcW w:w="0" w:type="dxa"/>
          </w:tcPr>
          <w:p w14:paraId="559F52EE" w14:textId="77777777" w:rsidR="00526C0B" w:rsidRPr="007A3600" w:rsidRDefault="00526C0B" w:rsidP="00AD3197">
            <w:pPr>
              <w:pStyle w:val="TableBody"/>
              <w:jc w:val="right"/>
            </w:pPr>
            <w:r w:rsidRPr="007A3600">
              <w:t>3</w:t>
            </w:r>
          </w:p>
        </w:tc>
        <w:tc>
          <w:tcPr>
            <w:tcW w:w="0" w:type="dxa"/>
          </w:tcPr>
          <w:p w14:paraId="5C3D6A52" w14:textId="77777777" w:rsidR="00526C0B" w:rsidRPr="007A3600" w:rsidRDefault="00526C0B" w:rsidP="00AD3197">
            <w:pPr>
              <w:pStyle w:val="TableBody"/>
              <w:jc w:val="right"/>
            </w:pPr>
            <w:r w:rsidRPr="007A3600">
              <w:t>2 (Chair)</w:t>
            </w:r>
          </w:p>
        </w:tc>
        <w:tc>
          <w:tcPr>
            <w:tcW w:w="0" w:type="dxa"/>
          </w:tcPr>
          <w:p w14:paraId="3B24C147" w14:textId="77777777" w:rsidR="00526C0B" w:rsidRPr="007A3600" w:rsidRDefault="00526C0B" w:rsidP="00AD3197">
            <w:pPr>
              <w:pStyle w:val="TableBody"/>
              <w:jc w:val="right"/>
            </w:pPr>
            <w:r w:rsidRPr="007A3600">
              <w:t>3</w:t>
            </w:r>
          </w:p>
        </w:tc>
        <w:tc>
          <w:tcPr>
            <w:tcW w:w="0" w:type="dxa"/>
          </w:tcPr>
          <w:p w14:paraId="0C179371" w14:textId="77777777" w:rsidR="00526C0B" w:rsidRPr="007A3600" w:rsidRDefault="00526C0B" w:rsidP="00AD3197">
            <w:pPr>
              <w:pStyle w:val="TableBody"/>
              <w:jc w:val="right"/>
            </w:pPr>
            <w:r w:rsidRPr="007A3600">
              <w:t>1</w:t>
            </w:r>
          </w:p>
        </w:tc>
      </w:tr>
    </w:tbl>
    <w:p w14:paraId="4ACCF1E7" w14:textId="163AE4FC" w:rsidR="002B6792" w:rsidRPr="007A3600" w:rsidRDefault="00FC5080" w:rsidP="00AD3197">
      <w:pPr>
        <w:pStyle w:val="TableBody"/>
        <w:spacing w:before="120" w:after="0" w:line="240" w:lineRule="auto"/>
        <w:rPr>
          <w:b/>
          <w:bCs/>
          <w:sz w:val="20"/>
          <w:szCs w:val="20"/>
        </w:rPr>
      </w:pPr>
      <w:r>
        <w:rPr>
          <w:b/>
          <w:bCs/>
          <w:sz w:val="20"/>
          <w:szCs w:val="20"/>
        </w:rPr>
        <w:t>N</w:t>
      </w:r>
      <w:r w:rsidR="002B6792" w:rsidRPr="007A3600">
        <w:rPr>
          <w:b/>
          <w:bCs/>
          <w:sz w:val="20"/>
          <w:szCs w:val="20"/>
        </w:rPr>
        <w:t>otes:</w:t>
      </w:r>
    </w:p>
    <w:p w14:paraId="0635E8E9" w14:textId="2C8EDCB6" w:rsidR="000F2244" w:rsidRPr="007A3600" w:rsidRDefault="00DB3316" w:rsidP="00AD3197">
      <w:pPr>
        <w:pStyle w:val="TableBody"/>
        <w:spacing w:before="120" w:after="0" w:line="240" w:lineRule="auto"/>
        <w:rPr>
          <w:szCs w:val="24"/>
        </w:rPr>
      </w:pPr>
      <w:r w:rsidRPr="007A3600">
        <w:rPr>
          <w:sz w:val="20"/>
          <w:szCs w:val="20"/>
        </w:rPr>
        <w:t xml:space="preserve">The name of the </w:t>
      </w:r>
      <w:r w:rsidR="000F2244" w:rsidRPr="007A3600">
        <w:rPr>
          <w:sz w:val="20"/>
          <w:szCs w:val="20"/>
        </w:rPr>
        <w:t>Strategic Direction and Participant Outcomes Committee changed to People and Outcomes Committee on 2 May 2025.</w:t>
      </w:r>
    </w:p>
    <w:p w14:paraId="5D34DA94" w14:textId="5BB8B625" w:rsidR="000F2244" w:rsidRPr="007A3600" w:rsidRDefault="001450AC" w:rsidP="00AD3197">
      <w:pPr>
        <w:pStyle w:val="FootnoteText"/>
        <w:spacing w:before="120"/>
      </w:pPr>
      <w:r w:rsidRPr="007A3600">
        <w:rPr>
          <w:szCs w:val="24"/>
        </w:rPr>
        <w:t>Mr Fearnley was a</w:t>
      </w:r>
      <w:r w:rsidR="000F2244" w:rsidRPr="007A3600">
        <w:rPr>
          <w:szCs w:val="24"/>
        </w:rPr>
        <w:t>ppointed interim Chair of Strategic Direction and Participant Outcomes Committee for a 6-month period from 6 February 2025.</w:t>
      </w:r>
    </w:p>
    <w:p w14:paraId="619A178A" w14:textId="77777777" w:rsidR="00526C0B" w:rsidRPr="007A3600" w:rsidRDefault="00526C0B" w:rsidP="00AD3197">
      <w:pPr>
        <w:pStyle w:val="TableBody"/>
        <w:spacing w:before="120" w:after="0" w:line="240" w:lineRule="auto"/>
        <w:rPr>
          <w:sz w:val="20"/>
          <w:szCs w:val="20"/>
        </w:rPr>
      </w:pPr>
      <w:r w:rsidRPr="007A3600">
        <w:rPr>
          <w:sz w:val="20"/>
          <w:szCs w:val="20"/>
        </w:rPr>
        <w:t>Ms Allan’s term ended 31 December 2024</w:t>
      </w:r>
    </w:p>
    <w:p w14:paraId="4FB258D9" w14:textId="15F13565" w:rsidR="000F2244" w:rsidRPr="007A3600" w:rsidRDefault="000F2244" w:rsidP="00AD3197">
      <w:pPr>
        <w:pStyle w:val="TableBody"/>
        <w:spacing w:before="120" w:after="0" w:line="240" w:lineRule="auto"/>
        <w:rPr>
          <w:sz w:val="20"/>
          <w:szCs w:val="20"/>
        </w:rPr>
      </w:pPr>
      <w:r w:rsidRPr="007A3600">
        <w:rPr>
          <w:sz w:val="20"/>
          <w:szCs w:val="20"/>
        </w:rPr>
        <w:t>Dr Seaton’s term ended 31 December 2024.</w:t>
      </w:r>
    </w:p>
    <w:p w14:paraId="59F3CEA7" w14:textId="3E9943CD" w:rsidR="002B6792" w:rsidRPr="007A3600" w:rsidRDefault="002B6792" w:rsidP="00AD3197">
      <w:pPr>
        <w:pStyle w:val="TableBody"/>
        <w:spacing w:before="120" w:after="0" w:line="240" w:lineRule="auto"/>
        <w:rPr>
          <w:sz w:val="20"/>
          <w:szCs w:val="20"/>
        </w:rPr>
      </w:pPr>
      <w:r w:rsidRPr="007A3600">
        <w:rPr>
          <w:sz w:val="20"/>
          <w:szCs w:val="20"/>
        </w:rPr>
        <w:t>Dr Ian Watt AC was appointed to the Board on 28 August 2024 and appointed to the Audit and Risk Committee on 19 September 2024.</w:t>
      </w:r>
    </w:p>
    <w:p w14:paraId="5CD5C06B" w14:textId="62EBDEB3" w:rsidR="000F2244" w:rsidRPr="007A3600" w:rsidRDefault="002B6792" w:rsidP="00AD3197">
      <w:pPr>
        <w:pStyle w:val="Tablenotes"/>
      </w:pPr>
      <w:r w:rsidRPr="007A3600">
        <w:t xml:space="preserve">Dr Rhonda Galbally AC was appointed to the Board on 1 January 2025 and appointed to People and Outcomes Committee </w:t>
      </w:r>
      <w:r w:rsidR="00DB3316" w:rsidRPr="007A3600">
        <w:t xml:space="preserve">on </w:t>
      </w:r>
      <w:r w:rsidRPr="007A3600">
        <w:t>8 May 2025.</w:t>
      </w:r>
    </w:p>
    <w:p w14:paraId="45F1A94B" w14:textId="77777777" w:rsidR="000F2244" w:rsidRPr="007A3600" w:rsidRDefault="000F2244" w:rsidP="00AD3197">
      <w:pPr>
        <w:rPr>
          <w:b/>
          <w:bCs/>
        </w:rPr>
        <w:sectPr w:rsidR="000F2244" w:rsidRPr="007A3600" w:rsidSect="000F17C1">
          <w:headerReference w:type="even" r:id="rId79"/>
          <w:headerReference w:type="default" r:id="rId80"/>
          <w:footerReference w:type="default" r:id="rId81"/>
          <w:headerReference w:type="first" r:id="rId82"/>
          <w:footerReference w:type="first" r:id="rId83"/>
          <w:pgSz w:w="11906" w:h="16838" w:code="9"/>
          <w:pgMar w:top="142" w:right="1440" w:bottom="1701" w:left="1440" w:header="561" w:footer="374" w:gutter="0"/>
          <w:cols w:space="708"/>
          <w:titlePg/>
          <w:docGrid w:linePitch="360"/>
        </w:sectPr>
      </w:pPr>
    </w:p>
    <w:p w14:paraId="418D5CE0" w14:textId="4F7A55EA" w:rsidR="006C056B" w:rsidRPr="007A3600" w:rsidRDefault="006C056B" w:rsidP="00AD3197">
      <w:pPr>
        <w:pStyle w:val="Caption"/>
      </w:pPr>
      <w:r w:rsidRPr="007A3600">
        <w:lastRenderedPageBreak/>
        <w:t xml:space="preserve">Table </w:t>
      </w:r>
      <w:r w:rsidR="004701CB" w:rsidRPr="007A3600">
        <w:t>6</w:t>
      </w:r>
      <w:r w:rsidRPr="007A3600">
        <w:t xml:space="preserve">: </w:t>
      </w:r>
      <w:r w:rsidR="00277528" w:rsidRPr="007A3600">
        <w:t>Audit and Risk Committee</w:t>
      </w:r>
    </w:p>
    <w:tbl>
      <w:tblPr>
        <w:tblStyle w:val="NDISTable1"/>
        <w:tblW w:w="13511" w:type="dxa"/>
        <w:tblLayout w:type="fixed"/>
        <w:tblCellMar>
          <w:left w:w="57" w:type="dxa"/>
          <w:right w:w="57" w:type="dxa"/>
        </w:tblCellMar>
        <w:tblLook w:val="0420" w:firstRow="1" w:lastRow="0" w:firstColumn="0" w:lastColumn="0" w:noHBand="0" w:noVBand="1"/>
      </w:tblPr>
      <w:tblGrid>
        <w:gridCol w:w="2276"/>
        <w:gridCol w:w="3345"/>
        <w:gridCol w:w="1871"/>
        <w:gridCol w:w="1871"/>
        <w:gridCol w:w="1871"/>
        <w:gridCol w:w="2277"/>
      </w:tblGrid>
      <w:tr w:rsidR="00D504AD" w:rsidRPr="007A3600" w14:paraId="466574B1" w14:textId="77777777" w:rsidTr="007D643B">
        <w:trPr>
          <w:cnfStyle w:val="100000000000" w:firstRow="1" w:lastRow="0" w:firstColumn="0" w:lastColumn="0" w:oddVBand="0" w:evenVBand="0" w:oddHBand="0" w:evenHBand="0" w:firstRowFirstColumn="0" w:firstRowLastColumn="0" w:lastRowFirstColumn="0" w:lastRowLastColumn="0"/>
          <w:trHeight w:val="784"/>
        </w:trPr>
        <w:tc>
          <w:tcPr>
            <w:tcW w:w="2276" w:type="dxa"/>
            <w:hideMark/>
          </w:tcPr>
          <w:p w14:paraId="61EFE045" w14:textId="77777777" w:rsidR="007D4F2B" w:rsidRPr="007A3600" w:rsidRDefault="007D4F2B" w:rsidP="00AD3197">
            <w:pPr>
              <w:spacing w:before="40" w:after="80"/>
              <w:rPr>
                <w:bCs/>
                <w:lang w:val="en-US"/>
              </w:rPr>
            </w:pPr>
            <w:r w:rsidRPr="007A3600">
              <w:rPr>
                <w:bCs/>
                <w:lang w:val="en-US"/>
              </w:rPr>
              <w:t>Member name</w:t>
            </w:r>
          </w:p>
        </w:tc>
        <w:tc>
          <w:tcPr>
            <w:tcW w:w="3345" w:type="dxa"/>
            <w:hideMark/>
          </w:tcPr>
          <w:p w14:paraId="4A7BB505" w14:textId="38BCAAE3" w:rsidR="007D4F2B" w:rsidRPr="007A3600" w:rsidRDefault="007D4F2B" w:rsidP="00AD3197">
            <w:pPr>
              <w:spacing w:before="40" w:after="80"/>
              <w:rPr>
                <w:bCs/>
                <w:lang w:val="en-US"/>
              </w:rPr>
            </w:pPr>
            <w:r w:rsidRPr="007A3600">
              <w:rPr>
                <w:bCs/>
                <w:lang w:val="en-US"/>
              </w:rPr>
              <w:t>Qualifications, knowledge, skills or experience</w:t>
            </w:r>
          </w:p>
        </w:tc>
        <w:tc>
          <w:tcPr>
            <w:tcW w:w="1871" w:type="dxa"/>
            <w:hideMark/>
          </w:tcPr>
          <w:p w14:paraId="06DC679F" w14:textId="77777777" w:rsidR="007D4F2B" w:rsidRPr="007A3600" w:rsidRDefault="007D4F2B" w:rsidP="00AD3197">
            <w:pPr>
              <w:spacing w:before="40" w:after="80"/>
              <w:jc w:val="right"/>
              <w:rPr>
                <w:bCs/>
                <w:lang w:val="en-US"/>
              </w:rPr>
            </w:pPr>
            <w:r w:rsidRPr="007A3600">
              <w:rPr>
                <w:bCs/>
                <w:lang w:val="en-US"/>
              </w:rPr>
              <w:t xml:space="preserve">Number of meetings attended </w:t>
            </w:r>
          </w:p>
        </w:tc>
        <w:tc>
          <w:tcPr>
            <w:tcW w:w="1871" w:type="dxa"/>
            <w:hideMark/>
          </w:tcPr>
          <w:p w14:paraId="507FFA54" w14:textId="77777777" w:rsidR="007D4F2B" w:rsidRPr="007A3600" w:rsidRDefault="007D4F2B" w:rsidP="00AD3197">
            <w:pPr>
              <w:spacing w:before="40" w:after="80"/>
              <w:jc w:val="right"/>
              <w:rPr>
                <w:bCs/>
                <w:lang w:val="en-US"/>
              </w:rPr>
            </w:pPr>
            <w:r w:rsidRPr="007A3600">
              <w:rPr>
                <w:bCs/>
                <w:lang w:val="en-US"/>
              </w:rPr>
              <w:t>Total number of meetings held</w:t>
            </w:r>
          </w:p>
        </w:tc>
        <w:tc>
          <w:tcPr>
            <w:tcW w:w="1871" w:type="dxa"/>
            <w:hideMark/>
          </w:tcPr>
          <w:p w14:paraId="58B351DD" w14:textId="7CA77EAD" w:rsidR="007D4F2B" w:rsidRPr="007A3600" w:rsidRDefault="007D4F2B" w:rsidP="00AD3197">
            <w:pPr>
              <w:spacing w:before="40" w:after="80"/>
              <w:jc w:val="right"/>
              <w:rPr>
                <w:bCs/>
                <w:lang w:val="en-US"/>
              </w:rPr>
            </w:pPr>
            <w:r w:rsidRPr="007A3600">
              <w:rPr>
                <w:bCs/>
                <w:lang w:val="en-US"/>
              </w:rPr>
              <w:t>Total annual remuneration</w:t>
            </w:r>
            <w:r w:rsidR="00E43752">
              <w:rPr>
                <w:bCs/>
                <w:lang w:val="en-US"/>
              </w:rPr>
              <w:t xml:space="preserve"> (GST inc.)</w:t>
            </w:r>
          </w:p>
        </w:tc>
        <w:tc>
          <w:tcPr>
            <w:tcW w:w="2277" w:type="dxa"/>
            <w:hideMark/>
          </w:tcPr>
          <w:p w14:paraId="725873F5" w14:textId="4E64E685" w:rsidR="007D4F2B" w:rsidRPr="007A3600" w:rsidRDefault="007D4F2B" w:rsidP="00AD3197">
            <w:pPr>
              <w:spacing w:before="40" w:after="80"/>
              <w:rPr>
                <w:bCs/>
                <w:lang w:val="en-US"/>
              </w:rPr>
            </w:pPr>
            <w:r w:rsidRPr="007A3600">
              <w:rPr>
                <w:bCs/>
                <w:lang w:val="en-US"/>
              </w:rPr>
              <w:t xml:space="preserve">Additional </w:t>
            </w:r>
            <w:r w:rsidR="00A26539" w:rsidRPr="007A3600">
              <w:rPr>
                <w:bCs/>
                <w:lang w:val="en-US"/>
              </w:rPr>
              <w:t>i</w:t>
            </w:r>
            <w:r w:rsidRPr="007A3600">
              <w:rPr>
                <w:bCs/>
                <w:lang w:val="en-US"/>
              </w:rPr>
              <w:t xml:space="preserve">nformation </w:t>
            </w:r>
          </w:p>
        </w:tc>
      </w:tr>
      <w:tr w:rsidR="00D504AD" w:rsidRPr="007A3600" w14:paraId="4CF1F964" w14:textId="77777777" w:rsidTr="007D643B">
        <w:trPr>
          <w:cnfStyle w:val="000000100000" w:firstRow="0" w:lastRow="0" w:firstColumn="0" w:lastColumn="0" w:oddVBand="0" w:evenVBand="0" w:oddHBand="1" w:evenHBand="0" w:firstRowFirstColumn="0" w:firstRowLastColumn="0" w:lastRowFirstColumn="0" w:lastRowLastColumn="0"/>
          <w:trHeight w:val="256"/>
        </w:trPr>
        <w:tc>
          <w:tcPr>
            <w:tcW w:w="2276" w:type="dxa"/>
          </w:tcPr>
          <w:p w14:paraId="3D3A795A" w14:textId="314379B5" w:rsidR="003223C4" w:rsidRPr="007A3600" w:rsidRDefault="003223C4" w:rsidP="00AD3197">
            <w:pPr>
              <w:spacing w:before="40" w:after="80"/>
              <w:rPr>
                <w:lang w:val="en-US"/>
              </w:rPr>
            </w:pPr>
            <w:r w:rsidRPr="007A3600">
              <w:t xml:space="preserve">Dr Graeme Innes AM </w:t>
            </w:r>
          </w:p>
        </w:tc>
        <w:tc>
          <w:tcPr>
            <w:tcW w:w="3345" w:type="dxa"/>
          </w:tcPr>
          <w:p w14:paraId="074E3D60" w14:textId="6E43C445" w:rsidR="003223C4" w:rsidRPr="007A3600" w:rsidRDefault="003223C4" w:rsidP="00AD3197">
            <w:pPr>
              <w:spacing w:before="40" w:after="80"/>
              <w:rPr>
                <w:lang w:val="en-US"/>
              </w:rPr>
            </w:pPr>
            <w:r w:rsidRPr="007A3600">
              <w:rPr>
                <w:rFonts w:eastAsia="Calibri" w:cs="Arial"/>
                <w:lang w:eastAsia="en-US"/>
              </w:rPr>
              <w:t>LLB, Sydney University; honorary doctorates, University of Canberra, RMIT University, University of NSW, Edith Cowan University; Fellow, Australian Institute of Company Directors (AICD)</w:t>
            </w:r>
          </w:p>
        </w:tc>
        <w:tc>
          <w:tcPr>
            <w:tcW w:w="1871" w:type="dxa"/>
          </w:tcPr>
          <w:p w14:paraId="5F9550E2" w14:textId="2D416B24" w:rsidR="003223C4" w:rsidRPr="007A3600" w:rsidRDefault="003223C4" w:rsidP="00AD3197">
            <w:pPr>
              <w:spacing w:before="40" w:after="80"/>
              <w:jc w:val="right"/>
              <w:rPr>
                <w:lang w:val="en-US"/>
              </w:rPr>
            </w:pPr>
            <w:r w:rsidRPr="007A3600">
              <w:rPr>
                <w:lang w:val="en-US"/>
              </w:rPr>
              <w:t>5</w:t>
            </w:r>
          </w:p>
        </w:tc>
        <w:tc>
          <w:tcPr>
            <w:tcW w:w="1871" w:type="dxa"/>
          </w:tcPr>
          <w:p w14:paraId="7E4CD31A" w14:textId="671748A4" w:rsidR="003223C4" w:rsidRPr="007A3600" w:rsidRDefault="003223C4" w:rsidP="00AD3197">
            <w:pPr>
              <w:spacing w:before="40" w:after="80"/>
              <w:jc w:val="right"/>
              <w:rPr>
                <w:lang w:val="en-US"/>
              </w:rPr>
            </w:pPr>
            <w:r w:rsidRPr="007A3600">
              <w:rPr>
                <w:lang w:val="en-US"/>
              </w:rPr>
              <w:t>5</w:t>
            </w:r>
          </w:p>
        </w:tc>
        <w:tc>
          <w:tcPr>
            <w:tcW w:w="1871" w:type="dxa"/>
          </w:tcPr>
          <w:p w14:paraId="644B86F4" w14:textId="59ACE46B" w:rsidR="003223C4" w:rsidRPr="007A3600" w:rsidRDefault="00AE01E8" w:rsidP="00AD3197">
            <w:pPr>
              <w:spacing w:before="40" w:after="80"/>
              <w:jc w:val="right"/>
              <w:rPr>
                <w:lang w:val="en-US"/>
              </w:rPr>
            </w:pPr>
            <w:r w:rsidRPr="007A3600">
              <w:rPr>
                <w:lang w:val="en-US"/>
              </w:rPr>
              <w:t>$</w:t>
            </w:r>
            <w:r w:rsidR="003223C4" w:rsidRPr="007A3600">
              <w:rPr>
                <w:lang w:val="en-US"/>
              </w:rPr>
              <w:t>20,350</w:t>
            </w:r>
          </w:p>
        </w:tc>
        <w:tc>
          <w:tcPr>
            <w:tcW w:w="2277" w:type="dxa"/>
          </w:tcPr>
          <w:p w14:paraId="408517E1" w14:textId="4EA5BA73" w:rsidR="003223C4" w:rsidRPr="007A3600" w:rsidRDefault="003223C4" w:rsidP="00AD3197">
            <w:pPr>
              <w:spacing w:before="40" w:after="80"/>
              <w:rPr>
                <w:lang w:val="en-US"/>
              </w:rPr>
            </w:pPr>
            <w:r w:rsidRPr="007A3600">
              <w:rPr>
                <w:lang w:val="en-US"/>
              </w:rPr>
              <w:t>Chair</w:t>
            </w:r>
          </w:p>
        </w:tc>
      </w:tr>
      <w:tr w:rsidR="007D643B" w:rsidRPr="007A3600" w14:paraId="64D85D6F" w14:textId="77777777" w:rsidTr="007D643B">
        <w:trPr>
          <w:trHeight w:val="260"/>
        </w:trPr>
        <w:tc>
          <w:tcPr>
            <w:tcW w:w="2276" w:type="dxa"/>
          </w:tcPr>
          <w:p w14:paraId="79F94552" w14:textId="3DFA49D7" w:rsidR="003223C4" w:rsidRPr="007A3600" w:rsidRDefault="003223C4" w:rsidP="00AD3197">
            <w:pPr>
              <w:spacing w:before="40" w:after="80"/>
              <w:rPr>
                <w:lang w:val="en-US"/>
              </w:rPr>
            </w:pPr>
            <w:r w:rsidRPr="007A3600">
              <w:t>Ms Maryanne Diamond AO</w:t>
            </w:r>
          </w:p>
        </w:tc>
        <w:tc>
          <w:tcPr>
            <w:tcW w:w="3345" w:type="dxa"/>
          </w:tcPr>
          <w:p w14:paraId="6AE54C61" w14:textId="0C9A4E7B" w:rsidR="003223C4" w:rsidRPr="007A3600" w:rsidRDefault="003223C4" w:rsidP="00AD3197">
            <w:pPr>
              <w:spacing w:before="40" w:after="80"/>
              <w:rPr>
                <w:lang w:val="en-US"/>
              </w:rPr>
            </w:pPr>
            <w:r w:rsidRPr="007A3600">
              <w:rPr>
                <w:rFonts w:eastAsia="Calibri" w:cs="Arial"/>
                <w:lang w:eastAsia="en-US"/>
              </w:rPr>
              <w:t>BSc, Monash University; GradDipIT, Caulfield Institute of Technology; Graduate, AICD</w:t>
            </w:r>
          </w:p>
        </w:tc>
        <w:tc>
          <w:tcPr>
            <w:tcW w:w="1871" w:type="dxa"/>
          </w:tcPr>
          <w:p w14:paraId="79B00D29" w14:textId="67B79991" w:rsidR="003223C4" w:rsidRPr="007A3600" w:rsidRDefault="003223C4" w:rsidP="00AD3197">
            <w:pPr>
              <w:spacing w:before="40" w:after="80"/>
              <w:jc w:val="right"/>
              <w:rPr>
                <w:lang w:val="en-US"/>
              </w:rPr>
            </w:pPr>
            <w:r w:rsidRPr="007A3600">
              <w:rPr>
                <w:lang w:val="en-US"/>
              </w:rPr>
              <w:t>4</w:t>
            </w:r>
          </w:p>
        </w:tc>
        <w:tc>
          <w:tcPr>
            <w:tcW w:w="1871" w:type="dxa"/>
          </w:tcPr>
          <w:p w14:paraId="71F5DBB2" w14:textId="3AD5A267" w:rsidR="003223C4" w:rsidRPr="007A3600" w:rsidRDefault="003223C4" w:rsidP="00AD3197">
            <w:pPr>
              <w:spacing w:before="40" w:after="80"/>
              <w:jc w:val="right"/>
              <w:rPr>
                <w:lang w:val="en-US"/>
              </w:rPr>
            </w:pPr>
            <w:r w:rsidRPr="007A3600">
              <w:rPr>
                <w:lang w:val="en-US"/>
              </w:rPr>
              <w:t>5</w:t>
            </w:r>
          </w:p>
        </w:tc>
        <w:tc>
          <w:tcPr>
            <w:tcW w:w="1871" w:type="dxa"/>
          </w:tcPr>
          <w:p w14:paraId="7FFA3AF7" w14:textId="5A0BACC2" w:rsidR="003223C4" w:rsidRPr="007A3600" w:rsidRDefault="00AE01E8" w:rsidP="00AD3197">
            <w:pPr>
              <w:spacing w:before="40" w:after="80"/>
              <w:jc w:val="right"/>
              <w:rPr>
                <w:lang w:val="en-US"/>
              </w:rPr>
            </w:pPr>
            <w:r w:rsidRPr="007A3600">
              <w:rPr>
                <w:lang w:val="en-US"/>
              </w:rPr>
              <w:t>$</w:t>
            </w:r>
            <w:r w:rsidR="003223C4" w:rsidRPr="007A3600">
              <w:rPr>
                <w:lang w:val="en-US"/>
              </w:rPr>
              <w:t>10,148</w:t>
            </w:r>
          </w:p>
        </w:tc>
        <w:tc>
          <w:tcPr>
            <w:tcW w:w="2277" w:type="dxa"/>
          </w:tcPr>
          <w:p w14:paraId="3DB506F3" w14:textId="3DEF1A28" w:rsidR="003223C4" w:rsidRPr="007A3600" w:rsidRDefault="003223C4" w:rsidP="00AD3197">
            <w:pPr>
              <w:spacing w:before="40" w:after="80"/>
              <w:rPr>
                <w:lang w:val="en-US"/>
              </w:rPr>
            </w:pPr>
            <w:r w:rsidRPr="007A3600">
              <w:rPr>
                <w:lang w:val="en-US"/>
              </w:rPr>
              <w:t>Deputy Chair</w:t>
            </w:r>
          </w:p>
        </w:tc>
      </w:tr>
      <w:tr w:rsidR="00D504AD" w:rsidRPr="007A3600" w14:paraId="5B70EA95" w14:textId="77777777" w:rsidTr="007D643B">
        <w:trPr>
          <w:cnfStyle w:val="000000100000" w:firstRow="0" w:lastRow="0" w:firstColumn="0" w:lastColumn="0" w:oddVBand="0" w:evenVBand="0" w:oddHBand="1" w:evenHBand="0" w:firstRowFirstColumn="0" w:firstRowLastColumn="0" w:lastRowFirstColumn="0" w:lastRowLastColumn="0"/>
          <w:trHeight w:val="260"/>
        </w:trPr>
        <w:tc>
          <w:tcPr>
            <w:tcW w:w="2276" w:type="dxa"/>
          </w:tcPr>
          <w:p w14:paraId="7C937367" w14:textId="3DD8AE10" w:rsidR="003223C4" w:rsidRPr="007A3600" w:rsidRDefault="003223C4" w:rsidP="00AD3197">
            <w:pPr>
              <w:spacing w:before="40" w:after="80"/>
              <w:rPr>
                <w:lang w:val="en-US"/>
              </w:rPr>
            </w:pPr>
            <w:r w:rsidRPr="007A3600">
              <w:t>Dr Denis Napthine AO</w:t>
            </w:r>
          </w:p>
        </w:tc>
        <w:tc>
          <w:tcPr>
            <w:tcW w:w="3345" w:type="dxa"/>
          </w:tcPr>
          <w:p w14:paraId="3FBF2BE8" w14:textId="4830845C" w:rsidR="003223C4" w:rsidRPr="007A3600" w:rsidRDefault="003223C4" w:rsidP="00AD3197">
            <w:pPr>
              <w:spacing w:before="40" w:after="80"/>
              <w:rPr>
                <w:lang w:val="en-US"/>
              </w:rPr>
            </w:pPr>
            <w:r w:rsidRPr="007A3600">
              <w:rPr>
                <w:rFonts w:eastAsia="Calibri" w:cs="Arial"/>
                <w:lang w:eastAsia="en-US"/>
              </w:rPr>
              <w:t>BVSc, MVetSc, University of Melbourne; MBA, Deakin University</w:t>
            </w:r>
          </w:p>
        </w:tc>
        <w:tc>
          <w:tcPr>
            <w:tcW w:w="1871" w:type="dxa"/>
          </w:tcPr>
          <w:p w14:paraId="240435EE" w14:textId="08528D86" w:rsidR="003223C4" w:rsidRPr="007A3600" w:rsidRDefault="003223C4" w:rsidP="00AD3197">
            <w:pPr>
              <w:spacing w:before="40" w:after="80"/>
              <w:jc w:val="right"/>
              <w:rPr>
                <w:lang w:val="en-US"/>
              </w:rPr>
            </w:pPr>
            <w:r w:rsidRPr="007A3600">
              <w:rPr>
                <w:lang w:val="en-US"/>
              </w:rPr>
              <w:t>5</w:t>
            </w:r>
          </w:p>
        </w:tc>
        <w:tc>
          <w:tcPr>
            <w:tcW w:w="1871" w:type="dxa"/>
          </w:tcPr>
          <w:p w14:paraId="5095AC59" w14:textId="74519066" w:rsidR="003223C4" w:rsidRPr="007A3600" w:rsidRDefault="003223C4" w:rsidP="00AD3197">
            <w:pPr>
              <w:spacing w:before="40" w:after="80"/>
              <w:jc w:val="right"/>
              <w:rPr>
                <w:lang w:val="en-US"/>
              </w:rPr>
            </w:pPr>
            <w:r w:rsidRPr="007A3600">
              <w:rPr>
                <w:lang w:val="en-US"/>
              </w:rPr>
              <w:t>5</w:t>
            </w:r>
          </w:p>
        </w:tc>
        <w:tc>
          <w:tcPr>
            <w:tcW w:w="1871" w:type="dxa"/>
          </w:tcPr>
          <w:p w14:paraId="1901B7B6" w14:textId="760A1DDF" w:rsidR="003223C4" w:rsidRPr="007A3600" w:rsidRDefault="00AE01E8" w:rsidP="00AD3197">
            <w:pPr>
              <w:spacing w:before="40" w:after="80"/>
              <w:jc w:val="right"/>
              <w:rPr>
                <w:lang w:val="en-US"/>
              </w:rPr>
            </w:pPr>
            <w:r w:rsidRPr="007A3600">
              <w:rPr>
                <w:lang w:val="en-US"/>
              </w:rPr>
              <w:t>$</w:t>
            </w:r>
            <w:r w:rsidR="003223C4" w:rsidRPr="007A3600">
              <w:rPr>
                <w:lang w:val="en-US"/>
              </w:rPr>
              <w:t>5,220</w:t>
            </w:r>
          </w:p>
        </w:tc>
        <w:tc>
          <w:tcPr>
            <w:tcW w:w="2277" w:type="dxa"/>
          </w:tcPr>
          <w:p w14:paraId="71F191BD" w14:textId="27627717" w:rsidR="003223C4" w:rsidRPr="007A3600" w:rsidRDefault="003223C4" w:rsidP="00AD3197">
            <w:pPr>
              <w:spacing w:before="40" w:after="80"/>
              <w:rPr>
                <w:lang w:val="en-US"/>
              </w:rPr>
            </w:pPr>
            <w:r w:rsidRPr="007A3600">
              <w:t>Dr Denis Napthine, while he is a member of the NDIA Board Audit and Risk Committee, is entitled to a fee of $4,520 per year.</w:t>
            </w:r>
          </w:p>
        </w:tc>
      </w:tr>
      <w:tr w:rsidR="007D643B" w:rsidRPr="007A3600" w14:paraId="7FBAC04A" w14:textId="77777777" w:rsidTr="007D643B">
        <w:trPr>
          <w:trHeight w:val="260"/>
        </w:trPr>
        <w:tc>
          <w:tcPr>
            <w:tcW w:w="2276" w:type="dxa"/>
          </w:tcPr>
          <w:p w14:paraId="33EE019F" w14:textId="296ECD8D" w:rsidR="003223C4" w:rsidRPr="007A3600" w:rsidRDefault="003223C4" w:rsidP="00AD3197">
            <w:pPr>
              <w:spacing w:before="40" w:after="80"/>
              <w:rPr>
                <w:lang w:val="en-US"/>
              </w:rPr>
            </w:pPr>
            <w:r w:rsidRPr="007A3600">
              <w:lastRenderedPageBreak/>
              <w:t>Ms Meredith Allan</w:t>
            </w:r>
          </w:p>
        </w:tc>
        <w:tc>
          <w:tcPr>
            <w:tcW w:w="3345" w:type="dxa"/>
          </w:tcPr>
          <w:p w14:paraId="4CC10C53" w14:textId="1AD0636F" w:rsidR="003223C4" w:rsidRPr="007A3600" w:rsidRDefault="003223C4" w:rsidP="00AD3197">
            <w:pPr>
              <w:spacing w:before="40" w:after="80"/>
              <w:rPr>
                <w:lang w:val="en-US"/>
              </w:rPr>
            </w:pPr>
            <w:r w:rsidRPr="007A3600">
              <w:rPr>
                <w:rFonts w:eastAsia="Calibri" w:cs="Arial"/>
                <w:lang w:eastAsia="en-US"/>
              </w:rPr>
              <w:t>BEc, BA, Monash University</w:t>
            </w:r>
          </w:p>
        </w:tc>
        <w:tc>
          <w:tcPr>
            <w:tcW w:w="1871" w:type="dxa"/>
          </w:tcPr>
          <w:p w14:paraId="2502A4A5" w14:textId="47834F33" w:rsidR="003223C4" w:rsidRPr="007A3600" w:rsidRDefault="003223C4" w:rsidP="00AD3197">
            <w:pPr>
              <w:spacing w:before="40" w:after="80"/>
              <w:jc w:val="right"/>
              <w:rPr>
                <w:lang w:val="en-US"/>
              </w:rPr>
            </w:pPr>
            <w:r w:rsidRPr="007A3600">
              <w:rPr>
                <w:lang w:val="en-US"/>
              </w:rPr>
              <w:t>3</w:t>
            </w:r>
          </w:p>
        </w:tc>
        <w:tc>
          <w:tcPr>
            <w:tcW w:w="1871" w:type="dxa"/>
          </w:tcPr>
          <w:p w14:paraId="71731545" w14:textId="74E3130A" w:rsidR="003223C4" w:rsidRPr="007A3600" w:rsidRDefault="003223C4" w:rsidP="00AD3197">
            <w:pPr>
              <w:spacing w:before="40" w:after="80"/>
              <w:jc w:val="right"/>
              <w:rPr>
                <w:lang w:val="en-US"/>
              </w:rPr>
            </w:pPr>
            <w:r w:rsidRPr="007A3600">
              <w:rPr>
                <w:lang w:val="en-US"/>
              </w:rPr>
              <w:t xml:space="preserve">5 </w:t>
            </w:r>
          </w:p>
        </w:tc>
        <w:tc>
          <w:tcPr>
            <w:tcW w:w="1871" w:type="dxa"/>
          </w:tcPr>
          <w:p w14:paraId="6703F545" w14:textId="2AACAF39" w:rsidR="003223C4" w:rsidRPr="007A3600" w:rsidRDefault="00AE01E8" w:rsidP="00AD3197">
            <w:pPr>
              <w:spacing w:before="40" w:after="80"/>
              <w:jc w:val="right"/>
              <w:rPr>
                <w:lang w:val="en-US"/>
              </w:rPr>
            </w:pPr>
            <w:r w:rsidRPr="007A3600">
              <w:rPr>
                <w:lang w:val="en-US"/>
              </w:rPr>
              <w:t>$</w:t>
            </w:r>
            <w:r w:rsidR="003223C4" w:rsidRPr="007A3600">
              <w:rPr>
                <w:lang w:val="en-US"/>
              </w:rPr>
              <w:t>5,279</w:t>
            </w:r>
          </w:p>
        </w:tc>
        <w:tc>
          <w:tcPr>
            <w:tcW w:w="2277" w:type="dxa"/>
          </w:tcPr>
          <w:p w14:paraId="1DE545FD" w14:textId="2703D683" w:rsidR="003223C4" w:rsidRPr="007A3600" w:rsidRDefault="003223C4" w:rsidP="00AD3197">
            <w:pPr>
              <w:spacing w:before="40" w:after="80"/>
              <w:rPr>
                <w:lang w:val="en-US"/>
              </w:rPr>
            </w:pPr>
            <w:r w:rsidRPr="007A3600">
              <w:rPr>
                <w:lang w:val="en-US"/>
              </w:rPr>
              <w:t>Term ended 31 December 2024</w:t>
            </w:r>
            <w:r w:rsidR="009E082F" w:rsidRPr="007A3600">
              <w:rPr>
                <w:lang w:val="en-US"/>
              </w:rPr>
              <w:t xml:space="preserve"> </w:t>
            </w:r>
            <w:r w:rsidRPr="007A3600">
              <w:rPr>
                <w:lang w:val="en-US"/>
              </w:rPr>
              <w:t>(2 meetings held after the end of term on the committee)</w:t>
            </w:r>
          </w:p>
        </w:tc>
      </w:tr>
      <w:tr w:rsidR="00D504AD" w:rsidRPr="007A3600" w14:paraId="554341BB" w14:textId="77777777" w:rsidTr="007D643B">
        <w:trPr>
          <w:cnfStyle w:val="000000100000" w:firstRow="0" w:lastRow="0" w:firstColumn="0" w:lastColumn="0" w:oddVBand="0" w:evenVBand="0" w:oddHBand="1" w:evenHBand="0" w:firstRowFirstColumn="0" w:firstRowLastColumn="0" w:lastRowFirstColumn="0" w:lastRowLastColumn="0"/>
          <w:trHeight w:val="260"/>
        </w:trPr>
        <w:tc>
          <w:tcPr>
            <w:tcW w:w="2276" w:type="dxa"/>
          </w:tcPr>
          <w:p w14:paraId="5899BC21" w14:textId="223EEA18" w:rsidR="003223C4" w:rsidRPr="007A3600" w:rsidRDefault="003223C4" w:rsidP="00AD3197">
            <w:pPr>
              <w:spacing w:before="40" w:after="80"/>
              <w:rPr>
                <w:lang w:val="en-US"/>
              </w:rPr>
            </w:pPr>
            <w:r w:rsidRPr="007A3600">
              <w:t>Dr Ian Watt AC</w:t>
            </w:r>
          </w:p>
        </w:tc>
        <w:tc>
          <w:tcPr>
            <w:tcW w:w="3345" w:type="dxa"/>
          </w:tcPr>
          <w:p w14:paraId="1CD32265" w14:textId="13422197" w:rsidR="003223C4" w:rsidRPr="007A3600" w:rsidRDefault="003223C4" w:rsidP="00AD3197">
            <w:pPr>
              <w:widowControl w:val="0"/>
              <w:autoSpaceDE w:val="0"/>
              <w:autoSpaceDN w:val="0"/>
              <w:spacing w:before="40" w:after="80" w:line="240" w:lineRule="auto"/>
              <w:rPr>
                <w:lang w:val="en-US"/>
              </w:rPr>
            </w:pPr>
            <w:r w:rsidRPr="007A3600">
              <w:rPr>
                <w:rFonts w:eastAsia="Calibri" w:cs="Arial"/>
                <w:lang w:eastAsia="en-US"/>
              </w:rPr>
              <w:t>BCom (Hons), Melbourne University; Masters and Doctorate, La Trobe University; Advanced Management Program, Harvard Business School; Honorary Doctorates of Letters, University of Technology Sydney, University of Wollongong</w:t>
            </w:r>
          </w:p>
        </w:tc>
        <w:tc>
          <w:tcPr>
            <w:tcW w:w="1871" w:type="dxa"/>
          </w:tcPr>
          <w:p w14:paraId="6ADB3F73" w14:textId="36D0F135" w:rsidR="003223C4" w:rsidRPr="007A3600" w:rsidRDefault="003223C4" w:rsidP="00AD3197">
            <w:pPr>
              <w:spacing w:before="40" w:after="80"/>
              <w:jc w:val="right"/>
              <w:rPr>
                <w:lang w:val="en-US"/>
              </w:rPr>
            </w:pPr>
            <w:r w:rsidRPr="007A3600">
              <w:rPr>
                <w:lang w:val="en-US"/>
              </w:rPr>
              <w:t>5</w:t>
            </w:r>
          </w:p>
        </w:tc>
        <w:tc>
          <w:tcPr>
            <w:tcW w:w="1871" w:type="dxa"/>
          </w:tcPr>
          <w:p w14:paraId="781E18E8" w14:textId="08C24225" w:rsidR="003223C4" w:rsidRPr="007A3600" w:rsidRDefault="003223C4" w:rsidP="00AD3197">
            <w:pPr>
              <w:spacing w:before="40" w:after="80"/>
              <w:jc w:val="right"/>
              <w:rPr>
                <w:lang w:val="en-US"/>
              </w:rPr>
            </w:pPr>
            <w:r w:rsidRPr="007A3600">
              <w:rPr>
                <w:lang w:val="en-US"/>
              </w:rPr>
              <w:t>5</w:t>
            </w:r>
          </w:p>
        </w:tc>
        <w:tc>
          <w:tcPr>
            <w:tcW w:w="1871" w:type="dxa"/>
          </w:tcPr>
          <w:p w14:paraId="35AE7F7B" w14:textId="7862C9BA" w:rsidR="003223C4" w:rsidRPr="007A3600" w:rsidRDefault="00AE01E8" w:rsidP="00AD3197">
            <w:pPr>
              <w:spacing w:before="40" w:after="80"/>
              <w:jc w:val="right"/>
              <w:rPr>
                <w:lang w:val="en-US"/>
              </w:rPr>
            </w:pPr>
            <w:r w:rsidRPr="007A3600">
              <w:rPr>
                <w:lang w:val="en-US"/>
              </w:rPr>
              <w:t>$</w:t>
            </w:r>
            <w:r w:rsidR="003223C4" w:rsidRPr="007A3600">
              <w:rPr>
                <w:lang w:val="en-US"/>
              </w:rPr>
              <w:t>8,121</w:t>
            </w:r>
          </w:p>
        </w:tc>
        <w:tc>
          <w:tcPr>
            <w:tcW w:w="2277" w:type="dxa"/>
          </w:tcPr>
          <w:p w14:paraId="025D6DA0" w14:textId="1F702849" w:rsidR="003223C4" w:rsidRPr="007A3600" w:rsidRDefault="003223C4" w:rsidP="00AD3197">
            <w:pPr>
              <w:spacing w:before="40" w:after="80"/>
              <w:rPr>
                <w:lang w:val="en-US"/>
              </w:rPr>
            </w:pPr>
            <w:r w:rsidRPr="007A3600">
              <w:rPr>
                <w:lang w:val="en-US"/>
              </w:rPr>
              <w:t>Term started 19 September 2024</w:t>
            </w:r>
          </w:p>
        </w:tc>
      </w:tr>
      <w:tr w:rsidR="007D643B" w:rsidRPr="007A3600" w14:paraId="79D0698C" w14:textId="77777777" w:rsidTr="007D643B">
        <w:trPr>
          <w:trHeight w:val="260"/>
        </w:trPr>
        <w:tc>
          <w:tcPr>
            <w:tcW w:w="2276" w:type="dxa"/>
          </w:tcPr>
          <w:p w14:paraId="55E5D250" w14:textId="2CC63DC1" w:rsidR="003223C4" w:rsidRPr="007A3600" w:rsidRDefault="003223C4" w:rsidP="00AD3197">
            <w:pPr>
              <w:spacing w:before="40" w:after="80"/>
              <w:rPr>
                <w:lang w:val="en-US"/>
              </w:rPr>
            </w:pPr>
            <w:r w:rsidRPr="007A3600">
              <w:t>Mr Mark Darras</w:t>
            </w:r>
          </w:p>
        </w:tc>
        <w:tc>
          <w:tcPr>
            <w:tcW w:w="3345" w:type="dxa"/>
          </w:tcPr>
          <w:p w14:paraId="6CC231D5" w14:textId="4C3BE8A8" w:rsidR="003223C4" w:rsidRPr="007A3600" w:rsidRDefault="003223C4" w:rsidP="00AD3197">
            <w:pPr>
              <w:spacing w:before="40" w:after="80"/>
              <w:rPr>
                <w:lang w:val="en-US"/>
              </w:rPr>
            </w:pPr>
            <w:r w:rsidRPr="007A3600">
              <w:rPr>
                <w:rFonts w:eastAsia="Calibri" w:cs="Arial"/>
                <w:lang w:eastAsia="en-US"/>
              </w:rPr>
              <w:t>BA, LLB, University of Tasmania; LLM, Australian National University; BEd, University of South Australia</w:t>
            </w:r>
          </w:p>
        </w:tc>
        <w:tc>
          <w:tcPr>
            <w:tcW w:w="1871" w:type="dxa"/>
          </w:tcPr>
          <w:p w14:paraId="70FEB25C" w14:textId="3159632D" w:rsidR="003223C4" w:rsidRPr="007A3600" w:rsidRDefault="003223C4" w:rsidP="00AD3197">
            <w:pPr>
              <w:spacing w:before="40" w:after="80"/>
              <w:jc w:val="right"/>
              <w:rPr>
                <w:lang w:val="en-US"/>
              </w:rPr>
            </w:pPr>
            <w:r w:rsidRPr="007A3600">
              <w:rPr>
                <w:lang w:val="en-US"/>
              </w:rPr>
              <w:t>5</w:t>
            </w:r>
          </w:p>
        </w:tc>
        <w:tc>
          <w:tcPr>
            <w:tcW w:w="1871" w:type="dxa"/>
          </w:tcPr>
          <w:p w14:paraId="760D6888" w14:textId="4D3E8FA3" w:rsidR="003223C4" w:rsidRPr="007A3600" w:rsidRDefault="003223C4" w:rsidP="00AD3197">
            <w:pPr>
              <w:spacing w:before="40" w:after="80"/>
              <w:jc w:val="right"/>
              <w:rPr>
                <w:lang w:val="en-US"/>
              </w:rPr>
            </w:pPr>
            <w:r w:rsidRPr="007A3600">
              <w:rPr>
                <w:lang w:val="en-US"/>
              </w:rPr>
              <w:t>5</w:t>
            </w:r>
          </w:p>
        </w:tc>
        <w:tc>
          <w:tcPr>
            <w:tcW w:w="1871" w:type="dxa"/>
          </w:tcPr>
          <w:p w14:paraId="7B702602" w14:textId="1CDCF364" w:rsidR="003223C4" w:rsidRPr="007A3600" w:rsidRDefault="00AE01E8" w:rsidP="00AD3197">
            <w:pPr>
              <w:spacing w:before="40" w:after="80"/>
              <w:jc w:val="right"/>
              <w:rPr>
                <w:lang w:val="en-US"/>
              </w:rPr>
            </w:pPr>
            <w:r w:rsidRPr="007A3600">
              <w:rPr>
                <w:lang w:val="en-US"/>
              </w:rPr>
              <w:t>$</w:t>
            </w:r>
            <w:r w:rsidR="003223C4" w:rsidRPr="007A3600">
              <w:rPr>
                <w:lang w:val="en-US"/>
              </w:rPr>
              <w:t>9,920</w:t>
            </w:r>
          </w:p>
        </w:tc>
        <w:tc>
          <w:tcPr>
            <w:tcW w:w="2277" w:type="dxa"/>
          </w:tcPr>
          <w:p w14:paraId="186F1DA1" w14:textId="77777777" w:rsidR="003223C4" w:rsidRPr="007A3600" w:rsidRDefault="003223C4" w:rsidP="00AD3197">
            <w:pPr>
              <w:spacing w:before="40" w:after="80"/>
              <w:rPr>
                <w:lang w:val="en-US"/>
              </w:rPr>
            </w:pPr>
          </w:p>
        </w:tc>
      </w:tr>
    </w:tbl>
    <w:p w14:paraId="267E229B" w14:textId="255800DD" w:rsidR="007D4F2B" w:rsidRPr="007A3600" w:rsidRDefault="007D4F2B" w:rsidP="00AD3197">
      <w:pPr>
        <w:rPr>
          <w:lang w:val="en-US"/>
        </w:rPr>
      </w:pPr>
    </w:p>
    <w:p w14:paraId="225A1605" w14:textId="77777777" w:rsidR="006106C5" w:rsidRPr="007A3600" w:rsidRDefault="006106C5" w:rsidP="00AD3197">
      <w:pPr>
        <w:sectPr w:rsidR="006106C5" w:rsidRPr="007A3600" w:rsidSect="000F17C1">
          <w:headerReference w:type="even" r:id="rId84"/>
          <w:headerReference w:type="default" r:id="rId85"/>
          <w:footerReference w:type="default" r:id="rId86"/>
          <w:headerReference w:type="first" r:id="rId87"/>
          <w:footerReference w:type="first" r:id="rId88"/>
          <w:pgSz w:w="16838" w:h="11906" w:orient="landscape" w:code="9"/>
          <w:pgMar w:top="1440" w:right="1701" w:bottom="1440" w:left="1701" w:header="561" w:footer="374" w:gutter="0"/>
          <w:cols w:space="708"/>
          <w:titlePg/>
          <w:docGrid w:linePitch="360"/>
        </w:sectPr>
      </w:pPr>
    </w:p>
    <w:p w14:paraId="3357C805" w14:textId="35CB1BC7" w:rsidR="00E27C5F" w:rsidRPr="007A3600" w:rsidRDefault="00E27C5F" w:rsidP="00AD3197">
      <w:pPr>
        <w:pStyle w:val="Caption"/>
      </w:pPr>
      <w:r w:rsidRPr="007A3600">
        <w:lastRenderedPageBreak/>
        <w:t xml:space="preserve">Table </w:t>
      </w:r>
      <w:r w:rsidR="00323053" w:rsidRPr="007A3600">
        <w:t>7</w:t>
      </w:r>
      <w:r w:rsidRPr="007A3600">
        <w:t>: Audit and Risk Committee charter</w:t>
      </w:r>
    </w:p>
    <w:tbl>
      <w:tblPr>
        <w:tblStyle w:val="NDISTable1"/>
        <w:tblW w:w="9067" w:type="dxa"/>
        <w:tblLayout w:type="fixed"/>
        <w:tblLook w:val="0620" w:firstRow="1" w:lastRow="0" w:firstColumn="0" w:lastColumn="0" w:noHBand="1" w:noVBand="1"/>
      </w:tblPr>
      <w:tblGrid>
        <w:gridCol w:w="9067"/>
      </w:tblGrid>
      <w:tr w:rsidR="006210B6" w:rsidRPr="007A3600" w14:paraId="402E7B63" w14:textId="77777777" w:rsidTr="00F83C18">
        <w:trPr>
          <w:cnfStyle w:val="100000000000" w:firstRow="1" w:lastRow="0" w:firstColumn="0" w:lastColumn="0" w:oddVBand="0" w:evenVBand="0" w:oddHBand="0" w:evenHBand="0" w:firstRowFirstColumn="0" w:firstRowLastColumn="0" w:lastRowFirstColumn="0" w:lastRowLastColumn="0"/>
          <w:trHeight w:val="300"/>
        </w:trPr>
        <w:tc>
          <w:tcPr>
            <w:tcW w:w="0" w:type="dxa"/>
            <w:vAlign w:val="center"/>
            <w:hideMark/>
          </w:tcPr>
          <w:p w14:paraId="4A01BFF8" w14:textId="741C3B2A" w:rsidR="00E27C5F" w:rsidRPr="007A3600" w:rsidRDefault="00E27C5F" w:rsidP="00AD3197">
            <w:pPr>
              <w:spacing w:before="40" w:after="40"/>
            </w:pPr>
            <w:r w:rsidRPr="007A3600">
              <w:t xml:space="preserve">Direct electronic address </w:t>
            </w:r>
            <w:r w:rsidR="00FB388B" w:rsidRPr="007A3600">
              <w:t xml:space="preserve">to </w:t>
            </w:r>
            <w:r w:rsidRPr="007A3600">
              <w:t>the charter determining the functions of the audit committee</w:t>
            </w:r>
          </w:p>
        </w:tc>
      </w:tr>
      <w:tr w:rsidR="00904C80" w:rsidRPr="007A3600" w14:paraId="66DE7D9F" w14:textId="77777777" w:rsidTr="00F83C18">
        <w:trPr>
          <w:trHeight w:val="300"/>
        </w:trPr>
        <w:tc>
          <w:tcPr>
            <w:tcW w:w="0" w:type="dxa"/>
            <w:vAlign w:val="center"/>
            <w:hideMark/>
          </w:tcPr>
          <w:p w14:paraId="0CA9BDAE" w14:textId="04B8E5CB" w:rsidR="00904C80" w:rsidRPr="007A3600" w:rsidRDefault="00904C80" w:rsidP="00AD3197">
            <w:pPr>
              <w:tabs>
                <w:tab w:val="left" w:pos="1104"/>
              </w:tabs>
              <w:spacing w:before="40" w:after="40"/>
            </w:pPr>
            <w:r w:rsidRPr="007A3600">
              <w:rPr>
                <w:b/>
                <w:bCs/>
              </w:rPr>
              <w:t xml:space="preserve">URL: </w:t>
            </w:r>
            <w:hyperlink r:id="rId89" w:history="1">
              <w:r w:rsidR="0040582F">
                <w:rPr>
                  <w:rStyle w:val="Hyperlink"/>
                </w:rPr>
                <w:t>ndis.gov.au/governance/board</w:t>
              </w:r>
            </w:hyperlink>
          </w:p>
        </w:tc>
      </w:tr>
    </w:tbl>
    <w:p w14:paraId="56E57535" w14:textId="041EEF51" w:rsidR="00621531" w:rsidRPr="007A3600" w:rsidRDefault="009112AF" w:rsidP="00AD3197">
      <w:pPr>
        <w:pStyle w:val="Heading3"/>
      </w:pPr>
      <w:bookmarkStart w:id="93" w:name="_Toc207017705"/>
      <w:bookmarkStart w:id="94" w:name="_Toc209695849"/>
      <w:r w:rsidRPr="007A3600">
        <w:t>4</w:t>
      </w:r>
      <w:r w:rsidR="00E30FA8" w:rsidRPr="007A3600">
        <w:t>.4</w:t>
      </w:r>
      <w:r w:rsidR="00E30FA8" w:rsidRPr="007A3600">
        <w:tab/>
        <w:t>Independent Advisory Council</w:t>
      </w:r>
      <w:bookmarkEnd w:id="93"/>
      <w:bookmarkEnd w:id="94"/>
    </w:p>
    <w:p w14:paraId="2DDC5585" w14:textId="12876BAE" w:rsidR="002F20EA" w:rsidRPr="007A3600" w:rsidRDefault="002F20EA" w:rsidP="00AD3197">
      <w:r w:rsidRPr="007A3600">
        <w:t xml:space="preserve">The IAC gives the NDIA Board independent advice on critical issues </w:t>
      </w:r>
      <w:r w:rsidR="003D31CE" w:rsidRPr="007A3600">
        <w:t xml:space="preserve">that </w:t>
      </w:r>
      <w:r w:rsidRPr="007A3600">
        <w:t>affect disability communities across Australia. The Board must consider this advice when performing its duties</w:t>
      </w:r>
      <w:r w:rsidR="00FB388B" w:rsidRPr="007A3600">
        <w:t xml:space="preserve"> under </w:t>
      </w:r>
      <w:r w:rsidRPr="007A3600">
        <w:t>section 144 of the NDIS</w:t>
      </w:r>
      <w:r w:rsidR="00A2429A" w:rsidRPr="007A3600">
        <w:t xml:space="preserve"> </w:t>
      </w:r>
      <w:r w:rsidRPr="007A3600">
        <w:t>Act.</w:t>
      </w:r>
    </w:p>
    <w:p w14:paraId="09106913" w14:textId="2A828DCE" w:rsidR="00E30FA8" w:rsidRPr="007A3600" w:rsidRDefault="002F20EA" w:rsidP="00AD3197">
      <w:r w:rsidRPr="007A3600">
        <w:t xml:space="preserve">The IAC is led by a </w:t>
      </w:r>
      <w:r w:rsidR="003D31CE" w:rsidRPr="007A3600">
        <w:t>P</w:t>
      </w:r>
      <w:r w:rsidRPr="007A3600">
        <w:t xml:space="preserve">rincipal </w:t>
      </w:r>
      <w:r w:rsidR="003D31CE" w:rsidRPr="007A3600">
        <w:t>M</w:t>
      </w:r>
      <w:r w:rsidRPr="007A3600">
        <w:t>ember and up to 12 members from across Australia. Members are people with disability or experts in disability issues</w:t>
      </w:r>
      <w:r w:rsidR="00FB388B" w:rsidRPr="007A3600">
        <w:t xml:space="preserve"> or both</w:t>
      </w:r>
      <w:r w:rsidRPr="007A3600">
        <w:t>, appointed by the Minister for the N</w:t>
      </w:r>
      <w:r w:rsidR="0073603D" w:rsidRPr="007A3600">
        <w:t xml:space="preserve">ational </w:t>
      </w:r>
      <w:r w:rsidRPr="007A3600">
        <w:t>D</w:t>
      </w:r>
      <w:r w:rsidR="0073603D" w:rsidRPr="007A3600">
        <w:t xml:space="preserve">isability </w:t>
      </w:r>
      <w:r w:rsidRPr="007A3600">
        <w:t>I</w:t>
      </w:r>
      <w:r w:rsidR="0073603D" w:rsidRPr="007A3600">
        <w:t xml:space="preserve">nsurance </w:t>
      </w:r>
      <w:r w:rsidRPr="007A3600">
        <w:t>S</w:t>
      </w:r>
      <w:r w:rsidR="0073603D" w:rsidRPr="007A3600">
        <w:t>cheme</w:t>
      </w:r>
      <w:r w:rsidRPr="007A3600">
        <w:t>.</w:t>
      </w:r>
    </w:p>
    <w:p w14:paraId="3840906C" w14:textId="66FBBEFA" w:rsidR="00E30FA8" w:rsidRPr="007A3600" w:rsidRDefault="00E873CE" w:rsidP="00AD3197">
      <w:pPr>
        <w:pStyle w:val="Heading4"/>
      </w:pPr>
      <w:bookmarkStart w:id="95" w:name="_Toc207017706"/>
      <w:r w:rsidRPr="007A3600">
        <w:t xml:space="preserve">Independent Advisory Council </w:t>
      </w:r>
      <w:r w:rsidR="00E30FA8" w:rsidRPr="007A3600">
        <w:t>advice</w:t>
      </w:r>
      <w:bookmarkEnd w:id="95"/>
    </w:p>
    <w:p w14:paraId="42DDF94B" w14:textId="12C24AAF" w:rsidR="00E30FA8" w:rsidRPr="007A3600" w:rsidRDefault="00C96C07" w:rsidP="00AD3197">
      <w:r w:rsidRPr="007A3600">
        <w:t>The IAC brings the perspectives of NDIS participants, disability experts and the community to the NDIA Board.</w:t>
      </w:r>
    </w:p>
    <w:p w14:paraId="1C7CD1D3" w14:textId="5F22DE0D" w:rsidR="00581714" w:rsidRPr="007A3600" w:rsidRDefault="000E3CEC" w:rsidP="00AD3197">
      <w:r w:rsidRPr="007A3600">
        <w:t xml:space="preserve">In </w:t>
      </w:r>
      <w:r w:rsidR="00581714" w:rsidRPr="007A3600">
        <w:t xml:space="preserve">2024–25 the IAC </w:t>
      </w:r>
      <w:r w:rsidR="007B3066" w:rsidRPr="007A3600">
        <w:t xml:space="preserve">provided </w:t>
      </w:r>
      <w:r w:rsidR="00581714" w:rsidRPr="007A3600">
        <w:t>formal advice to the Board including</w:t>
      </w:r>
      <w:r w:rsidR="007B3066" w:rsidRPr="007A3600">
        <w:t xml:space="preserve"> on</w:t>
      </w:r>
      <w:r w:rsidR="00581714" w:rsidRPr="007A3600">
        <w:t>:</w:t>
      </w:r>
    </w:p>
    <w:p w14:paraId="0B7BF2F7" w14:textId="11632285" w:rsidR="00581714" w:rsidRPr="007A3600" w:rsidRDefault="00581714" w:rsidP="00AD3197">
      <w:pPr>
        <w:pStyle w:val="Bullet1"/>
      </w:pPr>
      <w:r w:rsidRPr="007A3600">
        <w:t xml:space="preserve">‘Enhancing </w:t>
      </w:r>
      <w:r w:rsidR="000E3CEC" w:rsidRPr="007A3600">
        <w:t>b</w:t>
      </w:r>
      <w:r w:rsidRPr="007A3600">
        <w:t xml:space="preserve">ehaviour </w:t>
      </w:r>
      <w:r w:rsidR="000E3CEC" w:rsidRPr="007A3600">
        <w:t>s</w:t>
      </w:r>
      <w:r w:rsidRPr="007A3600">
        <w:t>upport in the NDIS’</w:t>
      </w:r>
    </w:p>
    <w:p w14:paraId="2D24B3DD" w14:textId="6A86B172" w:rsidR="00581714" w:rsidRPr="007A3600" w:rsidRDefault="00581714" w:rsidP="00AD3197">
      <w:pPr>
        <w:pStyle w:val="Bullet1"/>
      </w:pPr>
      <w:r w:rsidRPr="007A3600">
        <w:t>‘Age is not a number’</w:t>
      </w:r>
    </w:p>
    <w:p w14:paraId="7414FFB9" w14:textId="3C6A5125" w:rsidR="00581714" w:rsidRPr="007A3600" w:rsidRDefault="00581714" w:rsidP="00AD3197">
      <w:pPr>
        <w:pStyle w:val="Bullet1"/>
      </w:pPr>
      <w:r w:rsidRPr="007A3600">
        <w:t>‘Guiding principles and measures of success’</w:t>
      </w:r>
    </w:p>
    <w:p w14:paraId="1F18EC3C" w14:textId="6E11AF46" w:rsidR="00C96C07" w:rsidRPr="007A3600" w:rsidRDefault="00581714" w:rsidP="00AD3197">
      <w:pPr>
        <w:pStyle w:val="Bullet1"/>
      </w:pPr>
      <w:r w:rsidRPr="007A3600">
        <w:t>‘End of life care, not the end of care: Palliative support and the NDIS’</w:t>
      </w:r>
      <w:r w:rsidR="00590A7A" w:rsidRPr="007A3600">
        <w:t>.</w:t>
      </w:r>
    </w:p>
    <w:p w14:paraId="0BEE583B" w14:textId="42AD6413" w:rsidR="00590A7A" w:rsidRPr="007A3600" w:rsidRDefault="003D31CE" w:rsidP="00AD3197">
      <w:r w:rsidRPr="007A3600">
        <w:t>T</w:t>
      </w:r>
      <w:r w:rsidR="00563243" w:rsidRPr="007A3600">
        <w:t>he IAC</w:t>
      </w:r>
      <w:r w:rsidRPr="007A3600">
        <w:t xml:space="preserve"> also</w:t>
      </w:r>
      <w:r w:rsidR="00563243" w:rsidRPr="007A3600">
        <w:t xml:space="preserve"> shared information and insights with the NDIA on:</w:t>
      </w:r>
    </w:p>
    <w:p w14:paraId="76FDF83C" w14:textId="2446531B" w:rsidR="008A2BCB" w:rsidRPr="007A3600" w:rsidRDefault="00784FAD" w:rsidP="00AD3197">
      <w:pPr>
        <w:pStyle w:val="Bullet1"/>
      </w:pPr>
      <w:r w:rsidRPr="007A3600">
        <w:t>c</w:t>
      </w:r>
      <w:r w:rsidR="008A2BCB" w:rsidRPr="007A3600">
        <w:t>o-design</w:t>
      </w:r>
    </w:p>
    <w:p w14:paraId="082906A5" w14:textId="423E7696" w:rsidR="008A2BCB" w:rsidRPr="007A3600" w:rsidRDefault="00784FAD" w:rsidP="00AD3197">
      <w:pPr>
        <w:pStyle w:val="Bullet1"/>
      </w:pPr>
      <w:r w:rsidRPr="007A3600">
        <w:t>w</w:t>
      </w:r>
      <w:r w:rsidR="008A2BCB" w:rsidRPr="007A3600">
        <w:t>orking in trauma informed ways</w:t>
      </w:r>
    </w:p>
    <w:p w14:paraId="28F08A56" w14:textId="5DF1CB2C" w:rsidR="008A2BCB" w:rsidRPr="007A3600" w:rsidRDefault="00784FAD" w:rsidP="00AD3197">
      <w:pPr>
        <w:pStyle w:val="Bullet1"/>
      </w:pPr>
      <w:r w:rsidRPr="007A3600">
        <w:t>p</w:t>
      </w:r>
      <w:r w:rsidR="008A2BCB" w:rsidRPr="007A3600">
        <w:t xml:space="preserve">artners in the </w:t>
      </w:r>
      <w:r w:rsidR="000467D0" w:rsidRPr="007A3600">
        <w:t>c</w:t>
      </w:r>
      <w:r w:rsidR="008A2BCB" w:rsidRPr="007A3600">
        <w:t>ommunity</w:t>
      </w:r>
    </w:p>
    <w:p w14:paraId="2EF7C708" w14:textId="4AD3676A" w:rsidR="008A2BCB" w:rsidRPr="007A3600" w:rsidRDefault="00784FAD" w:rsidP="00AD3197">
      <w:pPr>
        <w:pStyle w:val="Bullet1"/>
      </w:pPr>
      <w:r w:rsidRPr="007A3600">
        <w:t>t</w:t>
      </w:r>
      <w:r w:rsidR="008A2BCB" w:rsidRPr="007A3600">
        <w:t>he impact of changes to the NDIS Act and Rules</w:t>
      </w:r>
    </w:p>
    <w:p w14:paraId="730D40DF" w14:textId="28D1F793" w:rsidR="00563243" w:rsidRPr="007A3600" w:rsidRDefault="00784FAD" w:rsidP="00AD3197">
      <w:pPr>
        <w:pStyle w:val="Bullet1"/>
      </w:pPr>
      <w:r w:rsidRPr="007A3600">
        <w:t>f</w:t>
      </w:r>
      <w:r w:rsidR="008A2BCB" w:rsidRPr="007A3600">
        <w:t>oundational supports</w:t>
      </w:r>
      <w:r w:rsidR="00ED5431" w:rsidRPr="007A3600">
        <w:t>.</w:t>
      </w:r>
    </w:p>
    <w:p w14:paraId="4CE0C077" w14:textId="3F851E92" w:rsidR="009100F1" w:rsidRPr="007A3600" w:rsidRDefault="009100F1" w:rsidP="00AD3197">
      <w:r w:rsidRPr="007A3600">
        <w:t>To expand its diversity and support development of advice, the IAC operated with 5</w:t>
      </w:r>
      <w:r w:rsidR="005F04A3" w:rsidRPr="007A3600">
        <w:t> </w:t>
      </w:r>
      <w:r w:rsidRPr="007A3600">
        <w:t>reference groups across 2024–25:</w:t>
      </w:r>
    </w:p>
    <w:p w14:paraId="65447DC1" w14:textId="77777777" w:rsidR="009100F1" w:rsidRPr="007A3600" w:rsidRDefault="009100F1" w:rsidP="00AD3197">
      <w:pPr>
        <w:pStyle w:val="Bullet1"/>
      </w:pPr>
      <w:r w:rsidRPr="007A3600">
        <w:t>Children Young People and Families</w:t>
      </w:r>
    </w:p>
    <w:p w14:paraId="0F993DDE" w14:textId="77777777" w:rsidR="009100F1" w:rsidRPr="007A3600" w:rsidRDefault="009100F1" w:rsidP="00AD3197">
      <w:pPr>
        <w:pStyle w:val="Bullet1"/>
      </w:pPr>
      <w:r w:rsidRPr="007A3600">
        <w:t>Equity and Inclusion</w:t>
      </w:r>
    </w:p>
    <w:p w14:paraId="04E71E95" w14:textId="77777777" w:rsidR="009100F1" w:rsidRPr="007A3600" w:rsidRDefault="009100F1" w:rsidP="00AD3197">
      <w:pPr>
        <w:pStyle w:val="Bullet1"/>
      </w:pPr>
      <w:r w:rsidRPr="007A3600">
        <w:t>First Nations</w:t>
      </w:r>
    </w:p>
    <w:p w14:paraId="318CDEB2" w14:textId="5882F1AB" w:rsidR="009100F1" w:rsidRPr="007A3600" w:rsidRDefault="009100F1" w:rsidP="00AD3197">
      <w:pPr>
        <w:pStyle w:val="Bullet1"/>
      </w:pPr>
      <w:r w:rsidRPr="007A3600">
        <w:t>Home and Living</w:t>
      </w:r>
    </w:p>
    <w:p w14:paraId="04481EB8" w14:textId="77777777" w:rsidR="009100F1" w:rsidRPr="007A3600" w:rsidRDefault="009100F1" w:rsidP="00AD3197">
      <w:pPr>
        <w:pStyle w:val="Bullet1"/>
      </w:pPr>
      <w:r w:rsidRPr="007A3600">
        <w:t>Intellectual Disability.</w:t>
      </w:r>
    </w:p>
    <w:p w14:paraId="4158DF1B" w14:textId="52E6DC47" w:rsidR="00D2604B" w:rsidRPr="007A3600" w:rsidRDefault="00E92E3C" w:rsidP="00AD3197">
      <w:r w:rsidRPr="007A3600">
        <w:lastRenderedPageBreak/>
        <w:t>IAC members take part in several NDIA-run reference and advisory groups</w:t>
      </w:r>
      <w:r w:rsidRPr="007A3600" w:rsidDel="00D2604B">
        <w:t xml:space="preserve"> </w:t>
      </w:r>
      <w:r w:rsidRPr="007A3600">
        <w:t xml:space="preserve">and are </w:t>
      </w:r>
      <w:r w:rsidR="00D2604B" w:rsidRPr="007A3600">
        <w:t>represented on the following NDIA co-design groups:</w:t>
      </w:r>
    </w:p>
    <w:p w14:paraId="0973F1F1" w14:textId="77777777" w:rsidR="00D2604B" w:rsidRPr="007A3600" w:rsidRDefault="00D2604B" w:rsidP="00AD3197">
      <w:pPr>
        <w:pStyle w:val="Bullet1"/>
      </w:pPr>
      <w:r w:rsidRPr="007A3600">
        <w:t>NDIA Workforce Capability and Culture</w:t>
      </w:r>
    </w:p>
    <w:p w14:paraId="401569F1" w14:textId="77777777" w:rsidR="00D2604B" w:rsidRPr="007A3600" w:rsidRDefault="00D2604B" w:rsidP="00AD3197">
      <w:pPr>
        <w:pStyle w:val="Bullet1"/>
      </w:pPr>
      <w:r w:rsidRPr="007A3600">
        <w:t>Home and Living</w:t>
      </w:r>
    </w:p>
    <w:p w14:paraId="108E0FA8" w14:textId="77777777" w:rsidR="00D2604B" w:rsidRPr="007A3600" w:rsidRDefault="00D2604B" w:rsidP="00AD3197">
      <w:pPr>
        <w:pStyle w:val="Bullet1"/>
      </w:pPr>
      <w:r w:rsidRPr="007A3600">
        <w:t>Navigators</w:t>
      </w:r>
    </w:p>
    <w:p w14:paraId="34FB4FFD" w14:textId="77777777" w:rsidR="00D2604B" w:rsidRPr="007A3600" w:rsidRDefault="00D2604B" w:rsidP="00AD3197">
      <w:pPr>
        <w:pStyle w:val="Bullet1"/>
      </w:pPr>
      <w:r w:rsidRPr="007A3600">
        <w:t>Participant Pathway Experience</w:t>
      </w:r>
    </w:p>
    <w:p w14:paraId="283859FA" w14:textId="77777777" w:rsidR="00D2604B" w:rsidRPr="007A3600" w:rsidRDefault="00D2604B" w:rsidP="00AD3197">
      <w:pPr>
        <w:pStyle w:val="Bullet1"/>
      </w:pPr>
      <w:r w:rsidRPr="007A3600">
        <w:t>Assessments and Budgeting</w:t>
      </w:r>
    </w:p>
    <w:p w14:paraId="14E0A716" w14:textId="77777777" w:rsidR="00D2604B" w:rsidRPr="007A3600" w:rsidRDefault="00D2604B" w:rsidP="00AD3197">
      <w:pPr>
        <w:pStyle w:val="Bullet1"/>
      </w:pPr>
      <w:r w:rsidRPr="007A3600">
        <w:t>Participant Safeguarding</w:t>
      </w:r>
    </w:p>
    <w:p w14:paraId="0976B39D" w14:textId="77777777" w:rsidR="00D2604B" w:rsidRPr="007A3600" w:rsidRDefault="00D2604B" w:rsidP="00AD3197">
      <w:pPr>
        <w:pStyle w:val="Bullet1"/>
      </w:pPr>
      <w:r w:rsidRPr="007A3600">
        <w:t>Integrity.</w:t>
      </w:r>
    </w:p>
    <w:p w14:paraId="73DF99EE" w14:textId="7FBA310C" w:rsidR="003C5023" w:rsidRPr="007A3600" w:rsidRDefault="003C5023" w:rsidP="00AD3197">
      <w:r w:rsidRPr="007A3600">
        <w:t xml:space="preserve">In August 2024 the IAC made a submission to the Department of Social Services on the </w:t>
      </w:r>
      <w:r w:rsidR="00A971AD" w:rsidRPr="007A3600">
        <w:rPr>
          <w:i/>
          <w:iCs/>
        </w:rPr>
        <w:t>National Disability Insurance Scheme (Getting the NDIS Back on Track No. 1) (NDIS Supports) Transitional Rules 2024</w:t>
      </w:r>
      <w:r w:rsidRPr="007A3600">
        <w:t>.</w:t>
      </w:r>
    </w:p>
    <w:p w14:paraId="66F7A7A6" w14:textId="14BC57FF" w:rsidR="00D2604B" w:rsidRPr="007A3600" w:rsidRDefault="00D2604B" w:rsidP="00AD3197">
      <w:r w:rsidRPr="007A3600">
        <w:t>In January 2025 the IAC established the new First Nations Reference Group with people with disability from First Nations communities across Australia. This new group will ensure the voices of First Nations participants are heard directly by the NDIA Board</w:t>
      </w:r>
      <w:r w:rsidR="001E0C95" w:rsidRPr="007A3600">
        <w:t>.</w:t>
      </w:r>
    </w:p>
    <w:p w14:paraId="64212416" w14:textId="74D72C49" w:rsidR="003C5023" w:rsidRPr="007A3600" w:rsidRDefault="003C5023" w:rsidP="00AD3197">
      <w:r w:rsidRPr="007A3600">
        <w:t>In March 2025 the IAC provided a statement to the Board on their commitment to diversity, equity and inclusion in all its forms.</w:t>
      </w:r>
    </w:p>
    <w:p w14:paraId="779810C1" w14:textId="62DA60FF" w:rsidR="00E30FA8" w:rsidRPr="007A3600" w:rsidRDefault="00E873CE" w:rsidP="00AD3197">
      <w:pPr>
        <w:pStyle w:val="Heading4"/>
      </w:pPr>
      <w:bookmarkStart w:id="96" w:name="_Toc207017707"/>
      <w:r w:rsidRPr="007A3600">
        <w:t>Independent Advisory Council</w:t>
      </w:r>
      <w:r w:rsidR="008154D9" w:rsidRPr="007A3600">
        <w:t xml:space="preserve"> members</w:t>
      </w:r>
      <w:bookmarkEnd w:id="96"/>
    </w:p>
    <w:p w14:paraId="664E5A09" w14:textId="71627F96" w:rsidR="00CA4820" w:rsidRPr="007A3600" w:rsidRDefault="005F04A3" w:rsidP="00AD3197">
      <w:r w:rsidRPr="007A3600">
        <w:t>The following c</w:t>
      </w:r>
      <w:r w:rsidR="00164E4C" w:rsidRPr="007A3600">
        <w:t xml:space="preserve">hanges </w:t>
      </w:r>
      <w:r w:rsidRPr="007A3600">
        <w:t xml:space="preserve">were made </w:t>
      </w:r>
      <w:r w:rsidR="00164E4C" w:rsidRPr="007A3600">
        <w:t>to the IAC’s membership</w:t>
      </w:r>
      <w:r w:rsidR="00EB7EDB" w:rsidRPr="007A3600">
        <w:t xml:space="preserve"> </w:t>
      </w:r>
      <w:r w:rsidR="006D7ADB" w:rsidRPr="007A3600">
        <w:t>in 2024</w:t>
      </w:r>
      <w:r w:rsidR="00EB7EDB" w:rsidRPr="007A3600">
        <w:t>–</w:t>
      </w:r>
      <w:r w:rsidR="006D7ADB" w:rsidRPr="007A3600">
        <w:t>25</w:t>
      </w:r>
      <w:r w:rsidR="00EB7EDB" w:rsidRPr="007A3600">
        <w:t>:</w:t>
      </w:r>
    </w:p>
    <w:p w14:paraId="35A0012B" w14:textId="32F63E9D" w:rsidR="00164E4C" w:rsidRPr="007A3600" w:rsidRDefault="00164E4C" w:rsidP="00AD3197">
      <w:pPr>
        <w:pStyle w:val="Bullet1"/>
      </w:pPr>
      <w:r w:rsidRPr="007A3600">
        <w:t>Adjunct Associate Professor Jennifer Cullen AM, Ms Sylvana Mahmic, Mr</w:t>
      </w:r>
      <w:r w:rsidR="002530C3" w:rsidRPr="007A3600">
        <w:t xml:space="preserve"> </w:t>
      </w:r>
      <w:r w:rsidRPr="007A3600">
        <w:t>James Manders and Dr George Taleporos concluded</w:t>
      </w:r>
      <w:r w:rsidR="007B3066" w:rsidRPr="007A3600">
        <w:t xml:space="preserve"> their terms on 31</w:t>
      </w:r>
      <w:r w:rsidR="0050303D" w:rsidRPr="007A3600">
        <w:t> </w:t>
      </w:r>
      <w:r w:rsidR="007B3066" w:rsidRPr="007A3600">
        <w:t>December 2024</w:t>
      </w:r>
      <w:r w:rsidRPr="007A3600">
        <w:t>.</w:t>
      </w:r>
    </w:p>
    <w:p w14:paraId="4F84BAE2" w14:textId="2BCCD112" w:rsidR="00CA4820" w:rsidRPr="007A3600" w:rsidRDefault="00164E4C" w:rsidP="00AD3197">
      <w:pPr>
        <w:pStyle w:val="Bullet1"/>
      </w:pPr>
      <w:r w:rsidRPr="007A3600">
        <w:t>Ms Leah van Poppel’s term as Principal Member was extended from 1</w:t>
      </w:r>
      <w:r w:rsidR="0050303D" w:rsidRPr="007A3600">
        <w:t> </w:t>
      </w:r>
      <w:r w:rsidRPr="007A3600">
        <w:t>January 2025 to 31</w:t>
      </w:r>
      <w:r w:rsidR="005F04A3" w:rsidRPr="007A3600">
        <w:t> </w:t>
      </w:r>
      <w:r w:rsidRPr="007A3600">
        <w:t>December 2027.</w:t>
      </w:r>
    </w:p>
    <w:p w14:paraId="49F97905" w14:textId="473ED491" w:rsidR="00164E4C" w:rsidRPr="007A3600" w:rsidRDefault="00164E4C" w:rsidP="00AD3197">
      <w:pPr>
        <w:pStyle w:val="Bullet1"/>
      </w:pPr>
      <w:r w:rsidRPr="007A3600">
        <w:t>Mr Vaughn Bennison, Associate Professor Lorna Hallahan, Dr Gill Hicks MBE, Mr Andrew Vodic and Ms</w:t>
      </w:r>
      <w:r w:rsidR="000E3CEC" w:rsidRPr="007A3600">
        <w:t> </w:t>
      </w:r>
      <w:r w:rsidRPr="007A3600">
        <w:t>Jane Wardlaw</w:t>
      </w:r>
      <w:r w:rsidR="007B3066" w:rsidRPr="007A3600">
        <w:t xml:space="preserve"> were appointed as new members from 1</w:t>
      </w:r>
      <w:r w:rsidR="0050303D" w:rsidRPr="007A3600">
        <w:t> </w:t>
      </w:r>
      <w:r w:rsidR="007B3066" w:rsidRPr="007A3600">
        <w:t>January 2025</w:t>
      </w:r>
      <w:r w:rsidRPr="007A3600">
        <w:t>.</w:t>
      </w:r>
    </w:p>
    <w:p w14:paraId="3F102660" w14:textId="506D931F" w:rsidR="008154D9" w:rsidRPr="007A3600" w:rsidRDefault="00164E4C" w:rsidP="00AD3197">
      <w:r w:rsidRPr="007A3600">
        <w:t>IAC members at 30 June 2025 are:</w:t>
      </w:r>
    </w:p>
    <w:p w14:paraId="19914841" w14:textId="7A2DF68D" w:rsidR="00F6423A" w:rsidRPr="007A3600" w:rsidRDefault="00F6423A" w:rsidP="00AD3197">
      <w:pPr>
        <w:pStyle w:val="Bullet1"/>
      </w:pPr>
      <w:r w:rsidRPr="007A3600">
        <w:t>Ms Leah van Poppel, Principal Member</w:t>
      </w:r>
    </w:p>
    <w:p w14:paraId="758DB1F6" w14:textId="6B460B23" w:rsidR="00F6423A" w:rsidRPr="007A3600" w:rsidRDefault="00F6423A" w:rsidP="00AD3197">
      <w:pPr>
        <w:pStyle w:val="Bullet1"/>
      </w:pPr>
      <w:r w:rsidRPr="007A3600">
        <w:t>Mr Vaughn Bennison</w:t>
      </w:r>
    </w:p>
    <w:p w14:paraId="57F12E17" w14:textId="486D715C" w:rsidR="00F6423A" w:rsidRPr="007A3600" w:rsidRDefault="00F6423A" w:rsidP="00AD3197">
      <w:pPr>
        <w:pStyle w:val="Bullet1"/>
      </w:pPr>
      <w:r w:rsidRPr="007A3600">
        <w:t>Dr Sharon Boyce</w:t>
      </w:r>
    </w:p>
    <w:p w14:paraId="5A820EC8" w14:textId="62B53BF9" w:rsidR="00F6423A" w:rsidRPr="007A3600" w:rsidRDefault="00F6423A" w:rsidP="00AD3197">
      <w:pPr>
        <w:pStyle w:val="Bullet1"/>
      </w:pPr>
      <w:r w:rsidRPr="007A3600">
        <w:t>Mr Gavin Burner</w:t>
      </w:r>
    </w:p>
    <w:p w14:paraId="4A7DF41C" w14:textId="443EDE0D" w:rsidR="00F6423A" w:rsidRPr="007A3600" w:rsidRDefault="00F6423A" w:rsidP="00AD3197">
      <w:pPr>
        <w:pStyle w:val="Bullet1"/>
      </w:pPr>
      <w:r w:rsidRPr="007A3600">
        <w:t>Associate Professor Lorna Hallahan</w:t>
      </w:r>
    </w:p>
    <w:p w14:paraId="5D0AADC3" w14:textId="447CBF6E" w:rsidR="00F6423A" w:rsidRPr="007A3600" w:rsidRDefault="00F6423A" w:rsidP="00AD3197">
      <w:pPr>
        <w:pStyle w:val="Bullet1"/>
      </w:pPr>
      <w:r w:rsidRPr="007A3600">
        <w:t>Dr Gill Hicks MBE</w:t>
      </w:r>
    </w:p>
    <w:p w14:paraId="7DB8F8A3" w14:textId="30C5125E" w:rsidR="00F6423A" w:rsidRPr="007A3600" w:rsidRDefault="00F6423A" w:rsidP="00AD3197">
      <w:pPr>
        <w:pStyle w:val="Bullet1"/>
      </w:pPr>
      <w:r w:rsidRPr="007A3600">
        <w:lastRenderedPageBreak/>
        <w:t>Dr Leighton Jay</w:t>
      </w:r>
    </w:p>
    <w:p w14:paraId="3C278D83" w14:textId="29CE43D8" w:rsidR="00F6423A" w:rsidRPr="007A3600" w:rsidRDefault="00F6423A" w:rsidP="00AD3197">
      <w:pPr>
        <w:pStyle w:val="Bullet1"/>
      </w:pPr>
      <w:r w:rsidRPr="007A3600">
        <w:t>Ms Tricia Malowney OAM</w:t>
      </w:r>
    </w:p>
    <w:p w14:paraId="546C9DA6" w14:textId="472FF798" w:rsidR="00F6423A" w:rsidRPr="007A3600" w:rsidRDefault="00F6423A" w:rsidP="00AD3197">
      <w:pPr>
        <w:pStyle w:val="Bullet1"/>
      </w:pPr>
      <w:r w:rsidRPr="007A3600">
        <w:t>Ms Sam Paior</w:t>
      </w:r>
    </w:p>
    <w:p w14:paraId="65E8D8F2" w14:textId="55D6B50C" w:rsidR="00F6423A" w:rsidRPr="007A3600" w:rsidRDefault="00F6423A" w:rsidP="00AD3197">
      <w:pPr>
        <w:pStyle w:val="Bullet1"/>
      </w:pPr>
      <w:r w:rsidRPr="007A3600">
        <w:t>Mr Mark Tonga</w:t>
      </w:r>
    </w:p>
    <w:p w14:paraId="30D7AE7B" w14:textId="0F73CA62" w:rsidR="00F6423A" w:rsidRPr="007A3600" w:rsidRDefault="00F6423A" w:rsidP="00AD3197">
      <w:pPr>
        <w:pStyle w:val="Bullet1"/>
      </w:pPr>
      <w:r w:rsidRPr="007A3600">
        <w:t>Mr Andrew Vodic</w:t>
      </w:r>
    </w:p>
    <w:p w14:paraId="1D1F0785" w14:textId="27985693" w:rsidR="00164E4C" w:rsidRPr="007A3600" w:rsidRDefault="00F6423A" w:rsidP="00AD3197">
      <w:pPr>
        <w:pStyle w:val="Bullet1"/>
      </w:pPr>
      <w:r w:rsidRPr="007A3600">
        <w:t>Ms Jane Wardlaw</w:t>
      </w:r>
      <w:r w:rsidR="000E3CEC" w:rsidRPr="007A3600">
        <w:t>.</w:t>
      </w:r>
    </w:p>
    <w:p w14:paraId="6536DB3B" w14:textId="3D9A938D" w:rsidR="008154D9" w:rsidRPr="007A3600" w:rsidRDefault="009112AF" w:rsidP="00AD3197">
      <w:pPr>
        <w:pStyle w:val="Heading3"/>
      </w:pPr>
      <w:bookmarkStart w:id="97" w:name="_Toc207017708"/>
      <w:bookmarkStart w:id="98" w:name="_Toc209695850"/>
      <w:r w:rsidRPr="007A3600">
        <w:t>4</w:t>
      </w:r>
      <w:r w:rsidR="008154D9" w:rsidRPr="007A3600">
        <w:t>.5</w:t>
      </w:r>
      <w:r w:rsidR="008154D9" w:rsidRPr="007A3600">
        <w:tab/>
        <w:t>C</w:t>
      </w:r>
      <w:r w:rsidR="005F04A3" w:rsidRPr="007A3600">
        <w:t xml:space="preserve">hief </w:t>
      </w:r>
      <w:r w:rsidR="008154D9" w:rsidRPr="007A3600">
        <w:t>E</w:t>
      </w:r>
      <w:r w:rsidR="005F04A3" w:rsidRPr="007A3600">
        <w:t xml:space="preserve">xecutive </w:t>
      </w:r>
      <w:r w:rsidR="008154D9" w:rsidRPr="007A3600">
        <w:t>O</w:t>
      </w:r>
      <w:r w:rsidR="005F04A3" w:rsidRPr="007A3600">
        <w:t>fficer</w:t>
      </w:r>
      <w:r w:rsidR="008154D9" w:rsidRPr="007A3600">
        <w:t xml:space="preserve"> and Strategic Leadership Team</w:t>
      </w:r>
      <w:bookmarkEnd w:id="97"/>
      <w:bookmarkEnd w:id="98"/>
    </w:p>
    <w:p w14:paraId="2B4B932C" w14:textId="68B466D4" w:rsidR="008154D9" w:rsidRPr="007A3600" w:rsidRDefault="00617090" w:rsidP="00AD3197">
      <w:r w:rsidRPr="007A3600">
        <w:t>The CEO is responsible for the day-to-day administration of the NDIA under the NDIS Act</w:t>
      </w:r>
      <w:r w:rsidR="007B3066" w:rsidRPr="007A3600">
        <w:t xml:space="preserve"> and is s</w:t>
      </w:r>
      <w:r w:rsidRPr="007A3600">
        <w:t>upported by the Strategic Leadership Team.</w:t>
      </w:r>
    </w:p>
    <w:p w14:paraId="2C91E1DF" w14:textId="6EC81138" w:rsidR="008154D9" w:rsidRPr="007A3600" w:rsidRDefault="00623A3D" w:rsidP="00AD3197">
      <w:pPr>
        <w:pStyle w:val="Heading4"/>
      </w:pPr>
      <w:bookmarkStart w:id="99" w:name="_Organisational_structure"/>
      <w:bookmarkStart w:id="100" w:name="_Toc207017709"/>
      <w:bookmarkEnd w:id="99"/>
      <w:r w:rsidRPr="007A3600">
        <w:t>Organisational structure</w:t>
      </w:r>
      <w:bookmarkEnd w:id="100"/>
    </w:p>
    <w:p w14:paraId="468437A6" w14:textId="5C818355" w:rsidR="00763580" w:rsidRPr="007A3600" w:rsidRDefault="00763580" w:rsidP="00AD3197">
      <w:r w:rsidRPr="007A3600">
        <w:t xml:space="preserve">The NDIA implemented a rebalanced organisational structure </w:t>
      </w:r>
      <w:r w:rsidR="007B3066" w:rsidRPr="007A3600">
        <w:t xml:space="preserve">in </w:t>
      </w:r>
      <w:r w:rsidRPr="007A3600">
        <w:t xml:space="preserve">March 2025. </w:t>
      </w:r>
    </w:p>
    <w:p w14:paraId="5E37137F" w14:textId="1963564D" w:rsidR="00001D6A" w:rsidRPr="007A3600" w:rsidRDefault="007B3066" w:rsidP="00AD3197">
      <w:r w:rsidRPr="007A3600">
        <w:t xml:space="preserve">As at 30 June 2025, the </w:t>
      </w:r>
      <w:r w:rsidR="00763580" w:rsidRPr="007A3600">
        <w:t>CEO</w:t>
      </w:r>
      <w:r w:rsidRPr="007A3600">
        <w:t xml:space="preserve"> was</w:t>
      </w:r>
      <w:r w:rsidR="00763580" w:rsidRPr="007A3600">
        <w:t xml:space="preserve"> Rebecca Falkingham. </w:t>
      </w:r>
    </w:p>
    <w:p w14:paraId="5957BBF6" w14:textId="06783F25" w:rsidR="00763580" w:rsidRPr="007A3600" w:rsidRDefault="00B73828" w:rsidP="00AD3197">
      <w:r w:rsidRPr="007A3600">
        <w:t>S</w:t>
      </w:r>
      <w:r w:rsidR="000F17E9" w:rsidRPr="007A3600">
        <w:t>trategic</w:t>
      </w:r>
      <w:r w:rsidRPr="007A3600">
        <w:t xml:space="preserve"> Leadership Team </w:t>
      </w:r>
      <w:r w:rsidR="00001D6A" w:rsidRPr="007A3600">
        <w:t xml:space="preserve">members at 30 June 2025 </w:t>
      </w:r>
      <w:r w:rsidR="009A61F2" w:rsidRPr="007A3600">
        <w:t>were</w:t>
      </w:r>
      <w:r w:rsidR="00763580" w:rsidRPr="007A3600">
        <w:t>:</w:t>
      </w:r>
    </w:p>
    <w:p w14:paraId="15D2B259" w14:textId="7F993379" w:rsidR="00763580" w:rsidRPr="007A3600" w:rsidRDefault="00763580" w:rsidP="00AD3197">
      <w:pPr>
        <w:pStyle w:val="Bullet1"/>
      </w:pPr>
      <w:r w:rsidRPr="007A3600">
        <w:t>Deputy CEO Children, Specialised Services and Scheme Interfaces – Amity Durham</w:t>
      </w:r>
    </w:p>
    <w:p w14:paraId="4F10BBF9" w14:textId="6D8C028D" w:rsidR="00763580" w:rsidRPr="007A3600" w:rsidRDefault="00763580" w:rsidP="00AD3197">
      <w:pPr>
        <w:pStyle w:val="Bullet1"/>
      </w:pPr>
      <w:r w:rsidRPr="007A3600">
        <w:t>Deputy CEO First Nations – Janine Mohamed</w:t>
      </w:r>
    </w:p>
    <w:p w14:paraId="50082FC6" w14:textId="61F6C2A0" w:rsidR="00763580" w:rsidRPr="007A3600" w:rsidRDefault="00763580" w:rsidP="00AD3197">
      <w:pPr>
        <w:pStyle w:val="Bullet1"/>
      </w:pPr>
      <w:r w:rsidRPr="007A3600">
        <w:t>Deputy CEO Partners, Providers and Home and Living – Penelope McKay</w:t>
      </w:r>
    </w:p>
    <w:p w14:paraId="651DA37B" w14:textId="49A8372E" w:rsidR="00763580" w:rsidRPr="007A3600" w:rsidRDefault="00763580" w:rsidP="00AD3197">
      <w:pPr>
        <w:pStyle w:val="Bullet1"/>
      </w:pPr>
      <w:r w:rsidRPr="007A3600">
        <w:t>Deputy CEO Service Delivery – Scott McNaughton</w:t>
      </w:r>
    </w:p>
    <w:p w14:paraId="3D159CBF" w14:textId="6EDF8001" w:rsidR="00763580" w:rsidRPr="007A3600" w:rsidRDefault="00763580" w:rsidP="00AD3197">
      <w:pPr>
        <w:pStyle w:val="Bullet1"/>
      </w:pPr>
      <w:r w:rsidRPr="007A3600">
        <w:t>Deputy CEO Service Design and Improvement – Aaron Verlin (Acting)</w:t>
      </w:r>
    </w:p>
    <w:p w14:paraId="012B16EB" w14:textId="6E4A1FDF" w:rsidR="00763580" w:rsidRPr="007A3600" w:rsidRDefault="00763580" w:rsidP="00AD3197">
      <w:pPr>
        <w:pStyle w:val="Bullet1"/>
      </w:pPr>
      <w:r w:rsidRPr="007A3600">
        <w:t xml:space="preserve">Deputy CEO Legal, Reviews, Actuarial and Data – Matthew Swainson </w:t>
      </w:r>
    </w:p>
    <w:p w14:paraId="6D1AEC71" w14:textId="4D710DC3" w:rsidR="00763580" w:rsidRPr="007A3600" w:rsidRDefault="00763580" w:rsidP="00AD3197">
      <w:pPr>
        <w:pStyle w:val="Bullet1"/>
      </w:pPr>
      <w:r w:rsidRPr="007A3600">
        <w:t>Deputy CEO Integrity Transformation and Technology Services – John Dardo</w:t>
      </w:r>
    </w:p>
    <w:p w14:paraId="3CED984C" w14:textId="32999FCD" w:rsidR="00763580" w:rsidRPr="007A3600" w:rsidRDefault="00763580" w:rsidP="00AD3197">
      <w:pPr>
        <w:pStyle w:val="Bullet1"/>
      </w:pPr>
      <w:r w:rsidRPr="007A3600">
        <w:t>Deputy CEO Enabling Services / Chief Operating Officer – Samuel Porter</w:t>
      </w:r>
    </w:p>
    <w:p w14:paraId="01F87A8C" w14:textId="37B38E92" w:rsidR="00763580" w:rsidRPr="007A3600" w:rsidRDefault="00763580" w:rsidP="00AD3197">
      <w:pPr>
        <w:pStyle w:val="Bullet1"/>
      </w:pPr>
      <w:r w:rsidRPr="007A3600">
        <w:t>Scheme Actuary – David Gifford.</w:t>
      </w:r>
    </w:p>
    <w:p w14:paraId="130A350F" w14:textId="77777777" w:rsidR="005C676C" w:rsidRPr="007A3600" w:rsidRDefault="005C676C" w:rsidP="00AD3197">
      <w:pPr>
        <w:sectPr w:rsidR="005C676C" w:rsidRPr="007A3600" w:rsidSect="000F17C1">
          <w:headerReference w:type="even" r:id="rId90"/>
          <w:headerReference w:type="default" r:id="rId91"/>
          <w:footerReference w:type="default" r:id="rId92"/>
          <w:headerReference w:type="first" r:id="rId93"/>
          <w:footerReference w:type="first" r:id="rId94"/>
          <w:pgSz w:w="11906" w:h="16838" w:code="9"/>
          <w:pgMar w:top="142" w:right="1440" w:bottom="1701" w:left="1440" w:header="561" w:footer="374" w:gutter="0"/>
          <w:cols w:space="708"/>
          <w:titlePg/>
          <w:docGrid w:linePitch="360"/>
        </w:sectPr>
      </w:pPr>
    </w:p>
    <w:p w14:paraId="47F1562E" w14:textId="4ADF69A0" w:rsidR="005C676C" w:rsidRPr="007A3600" w:rsidRDefault="002F7C6C" w:rsidP="00180558">
      <w:pPr>
        <w:pStyle w:val="Storytitle"/>
        <w:pBdr>
          <w:left w:val="single" w:sz="4" w:space="4" w:color="6B2876" w:themeColor="text1"/>
          <w:right w:val="single" w:sz="4" w:space="4" w:color="6B2876" w:themeColor="text1"/>
        </w:pBdr>
        <w:ind w:left="0" w:firstLine="0"/>
      </w:pPr>
      <w:r w:rsidRPr="002F7C6C">
        <w:lastRenderedPageBreak/>
        <w:t>Liam’s turned his passion into his own small business</w:t>
      </w:r>
    </w:p>
    <w:p w14:paraId="12EA2737" w14:textId="77777777" w:rsidR="002D13EB" w:rsidRDefault="002D13EB" w:rsidP="002D13EB">
      <w:pPr>
        <w:pStyle w:val="PullOut-Body"/>
        <w:pBdr>
          <w:left w:val="single" w:sz="4" w:space="4" w:color="6B2876" w:themeColor="text1"/>
          <w:right w:val="single" w:sz="4" w:space="4" w:color="6B2876" w:themeColor="text1"/>
        </w:pBdr>
      </w:pPr>
      <w:r>
        <w:t>Canberra NDIS participant Liam has turned his passion for story writing and cartoon drawing into a small business where he uses the money raised to keep self-publishing his work.</w:t>
      </w:r>
    </w:p>
    <w:p w14:paraId="3BEF3303" w14:textId="77777777" w:rsidR="002D13EB" w:rsidRDefault="002D13EB" w:rsidP="002D13EB">
      <w:pPr>
        <w:pStyle w:val="PullOut-Body"/>
        <w:pBdr>
          <w:left w:val="single" w:sz="4" w:space="4" w:color="6B2876" w:themeColor="text1"/>
          <w:right w:val="single" w:sz="4" w:space="4" w:color="6B2876" w:themeColor="text1"/>
        </w:pBdr>
      </w:pPr>
      <w:r>
        <w:t>‘I didn’t learn to read until I was about 15, then I couldn’t stop!’ Liam shared. ‘Writing’s part of my DNA. I love the escapism!’</w:t>
      </w:r>
    </w:p>
    <w:p w14:paraId="6284BF3F" w14:textId="77777777" w:rsidR="002D13EB" w:rsidRDefault="002D13EB" w:rsidP="002D13EB">
      <w:pPr>
        <w:pStyle w:val="PullOut-Body"/>
        <w:pBdr>
          <w:left w:val="single" w:sz="4" w:space="4" w:color="6B2876" w:themeColor="text1"/>
          <w:right w:val="single" w:sz="4" w:space="4" w:color="6B2876" w:themeColor="text1"/>
        </w:pBdr>
      </w:pPr>
      <w:r>
        <w:t>For Liam, his NDIS funding, such as occupational therapy, has helped to boost his confidence. His life, social and job skills have also grown.</w:t>
      </w:r>
    </w:p>
    <w:p w14:paraId="19A9C6D4" w14:textId="77777777" w:rsidR="002D13EB" w:rsidRDefault="002D13EB" w:rsidP="002D13EB">
      <w:pPr>
        <w:pStyle w:val="PullOut-Body"/>
        <w:pBdr>
          <w:left w:val="single" w:sz="4" w:space="4" w:color="6B2876" w:themeColor="text1"/>
          <w:right w:val="single" w:sz="4" w:space="4" w:color="6B2876" w:themeColor="text1"/>
        </w:pBdr>
      </w:pPr>
      <w:r>
        <w:t xml:space="preserve">The 24-year-old also has a part-time job at an optometrist. It’s an ongoing role where Liam gets paid leave and superannuation benefits, helping him to save and work towards supporting himself. </w:t>
      </w:r>
    </w:p>
    <w:p w14:paraId="213D7EEC" w14:textId="77777777" w:rsidR="002D13EB" w:rsidRDefault="002D13EB" w:rsidP="002D13EB">
      <w:pPr>
        <w:pStyle w:val="PullOut-Body"/>
        <w:pBdr>
          <w:left w:val="single" w:sz="4" w:space="4" w:color="6B2876" w:themeColor="text1"/>
          <w:right w:val="single" w:sz="4" w:space="4" w:color="6B2876" w:themeColor="text1"/>
        </w:pBdr>
      </w:pPr>
      <w:r>
        <w:t xml:space="preserve">Helping to further his career, the emerging science fiction and fantasy author has already been awarded both an </w:t>
      </w:r>
      <w:proofErr w:type="spellStart"/>
      <w:r>
        <w:t>ArtsACT</w:t>
      </w:r>
      <w:proofErr w:type="spellEnd"/>
      <w:r>
        <w:t xml:space="preserve"> grant and a Creative Australia Arts and Disability grant.</w:t>
      </w:r>
    </w:p>
    <w:p w14:paraId="7639A3C4" w14:textId="4F3AD749" w:rsidR="005C676C" w:rsidRPr="007A3600" w:rsidRDefault="002D13EB" w:rsidP="002D13EB">
      <w:pPr>
        <w:pStyle w:val="PullOut-Body"/>
        <w:pBdr>
          <w:left w:val="single" w:sz="4" w:space="4" w:color="6B2876" w:themeColor="text1"/>
          <w:right w:val="single" w:sz="4" w:space="4" w:color="6B2876" w:themeColor="text1"/>
        </w:pBdr>
      </w:pPr>
      <w:r>
        <w:t>Never short of ideas, Liam has 6 stories in draft currently.</w:t>
      </w:r>
    </w:p>
    <w:p w14:paraId="55C83845" w14:textId="77777777" w:rsidR="005C676C" w:rsidRPr="007A3600" w:rsidRDefault="005C676C" w:rsidP="00AD3197"/>
    <w:p w14:paraId="600AD0AA" w14:textId="77777777" w:rsidR="00FB0183" w:rsidRPr="007A3600" w:rsidRDefault="00FB0183" w:rsidP="00AD3197">
      <w:pPr>
        <w:sectPr w:rsidR="00FB0183" w:rsidRPr="007A3600" w:rsidSect="000F17C1">
          <w:pgSz w:w="11906" w:h="16838" w:code="9"/>
          <w:pgMar w:top="142" w:right="1440" w:bottom="1701" w:left="1440" w:header="561" w:footer="374" w:gutter="0"/>
          <w:cols w:space="708"/>
          <w:titlePg/>
          <w:docGrid w:linePitch="360"/>
        </w:sectPr>
      </w:pPr>
    </w:p>
    <w:p w14:paraId="2238E6A6" w14:textId="4A99AA95" w:rsidR="00FF2477" w:rsidRPr="007A3600" w:rsidRDefault="00FF2477" w:rsidP="00AD3197">
      <w:pPr>
        <w:pStyle w:val="Heading2"/>
        <w:rPr>
          <w:color w:val="6B2976"/>
          <w:sz w:val="36"/>
        </w:rPr>
      </w:pPr>
      <w:bookmarkStart w:id="101" w:name="_Toc207017710"/>
      <w:bookmarkStart w:id="102" w:name="_Toc209695851"/>
      <w:r w:rsidRPr="007A3600">
        <w:lastRenderedPageBreak/>
        <w:t xml:space="preserve">Section </w:t>
      </w:r>
      <w:r w:rsidR="009112AF" w:rsidRPr="007A3600">
        <w:t>5</w:t>
      </w:r>
      <w:r w:rsidRPr="007A3600">
        <w:t>: People</w:t>
      </w:r>
      <w:bookmarkEnd w:id="101"/>
      <w:bookmarkEnd w:id="102"/>
      <w:r w:rsidRPr="007A3600">
        <w:br w:type="page"/>
      </w:r>
    </w:p>
    <w:p w14:paraId="4B177045" w14:textId="5AB0498D" w:rsidR="003F3DCD" w:rsidRPr="007A3600" w:rsidRDefault="009112AF" w:rsidP="00AD3197">
      <w:pPr>
        <w:pStyle w:val="Heading3"/>
      </w:pPr>
      <w:bookmarkStart w:id="103" w:name="_Toc207017711"/>
      <w:bookmarkStart w:id="104" w:name="_Toc209695852"/>
      <w:r w:rsidRPr="007A3600">
        <w:lastRenderedPageBreak/>
        <w:t>5</w:t>
      </w:r>
      <w:r w:rsidR="003F3DCD" w:rsidRPr="007A3600">
        <w:t>.1</w:t>
      </w:r>
      <w:r w:rsidR="003F3DCD" w:rsidRPr="007A3600">
        <w:tab/>
      </w:r>
      <w:r w:rsidR="001305DE" w:rsidRPr="007A3600">
        <w:t xml:space="preserve">Workforce </w:t>
      </w:r>
      <w:r w:rsidR="00913E94" w:rsidRPr="007A3600">
        <w:t>profile</w:t>
      </w:r>
      <w:bookmarkEnd w:id="103"/>
      <w:bookmarkEnd w:id="104"/>
    </w:p>
    <w:p w14:paraId="7A7C8BA6" w14:textId="1BA48510" w:rsidR="009E4ECA" w:rsidRPr="007A3600" w:rsidRDefault="009E4ECA" w:rsidP="00AD3197">
      <w:pPr>
        <w:rPr>
          <w:lang w:val="en-GB"/>
        </w:rPr>
      </w:pPr>
      <w:r w:rsidRPr="007A3600">
        <w:rPr>
          <w:lang w:val="en-GB"/>
        </w:rPr>
        <w:t xml:space="preserve">To deliver the NDIS, the </w:t>
      </w:r>
      <w:r w:rsidR="007840D0" w:rsidRPr="007A3600">
        <w:rPr>
          <w:lang w:val="en-GB"/>
        </w:rPr>
        <w:t xml:space="preserve">NDIA </w:t>
      </w:r>
      <w:r w:rsidRPr="007A3600">
        <w:rPr>
          <w:lang w:val="en-GB"/>
        </w:rPr>
        <w:t>needs a capable</w:t>
      </w:r>
      <w:r w:rsidR="00F95120" w:rsidRPr="007A3600">
        <w:rPr>
          <w:lang w:val="en-GB"/>
        </w:rPr>
        <w:t xml:space="preserve">, inclusive </w:t>
      </w:r>
      <w:r w:rsidRPr="007A3600">
        <w:rPr>
          <w:lang w:val="en-GB"/>
        </w:rPr>
        <w:t xml:space="preserve">and committed workforce that </w:t>
      </w:r>
      <w:r w:rsidR="00BC30E0" w:rsidRPr="007A3600">
        <w:rPr>
          <w:lang w:val="en-GB"/>
        </w:rPr>
        <w:t>reflects the diversity of</w:t>
      </w:r>
      <w:r w:rsidRPr="007A3600">
        <w:rPr>
          <w:lang w:val="en-GB"/>
        </w:rPr>
        <w:t xml:space="preserve"> Australian society. </w:t>
      </w:r>
      <w:r w:rsidR="00BC30E0" w:rsidRPr="007A3600">
        <w:rPr>
          <w:lang w:val="en-GB"/>
        </w:rPr>
        <w:t>Our workforce</w:t>
      </w:r>
      <w:r w:rsidRPr="007A3600">
        <w:rPr>
          <w:lang w:val="en-GB"/>
        </w:rPr>
        <w:t xml:space="preserve"> continues to evolve</w:t>
      </w:r>
      <w:r w:rsidR="0006013C" w:rsidRPr="007A3600">
        <w:rPr>
          <w:lang w:val="en-GB"/>
        </w:rPr>
        <w:t xml:space="preserve"> to meet </w:t>
      </w:r>
      <w:r w:rsidRPr="007A3600">
        <w:rPr>
          <w:lang w:val="en-GB"/>
        </w:rPr>
        <w:t>the needs of participants, carers and their families</w:t>
      </w:r>
      <w:r w:rsidR="00FD3CE9" w:rsidRPr="007A3600">
        <w:rPr>
          <w:lang w:val="en-GB"/>
        </w:rPr>
        <w:t>, with a strong focus on frontline capability and disability awareness</w:t>
      </w:r>
      <w:r w:rsidRPr="007A3600">
        <w:rPr>
          <w:lang w:val="en-GB"/>
        </w:rPr>
        <w:t>.</w:t>
      </w:r>
    </w:p>
    <w:p w14:paraId="15BC6E0A" w14:textId="366E7262" w:rsidR="00E675B7" w:rsidRPr="007A3600" w:rsidRDefault="00546D63" w:rsidP="00AD3197">
      <w:pPr>
        <w:rPr>
          <w:lang w:val="en-GB"/>
        </w:rPr>
      </w:pPr>
      <w:r w:rsidRPr="007A3600">
        <w:rPr>
          <w:lang w:val="en-GB"/>
        </w:rPr>
        <w:t>At 30 June 202</w:t>
      </w:r>
      <w:r w:rsidR="00A92093">
        <w:rPr>
          <w:lang w:val="en-GB"/>
        </w:rPr>
        <w:t>5</w:t>
      </w:r>
      <w:r w:rsidRPr="007A3600">
        <w:rPr>
          <w:lang w:val="en-GB"/>
        </w:rPr>
        <w:t xml:space="preserve">, </w:t>
      </w:r>
      <w:r w:rsidR="007F21B5" w:rsidRPr="007A3600">
        <w:rPr>
          <w:lang w:val="en-GB"/>
        </w:rPr>
        <w:t>the NDIA had:</w:t>
      </w:r>
    </w:p>
    <w:p w14:paraId="587079F9" w14:textId="74CF3B98" w:rsidR="007F21B5" w:rsidRPr="007A3600" w:rsidRDefault="001C674B" w:rsidP="00AD3197">
      <w:pPr>
        <w:pStyle w:val="ListParagraph"/>
        <w:numPr>
          <w:ilvl w:val="0"/>
          <w:numId w:val="28"/>
        </w:numPr>
        <w:rPr>
          <w:lang w:val="en-GB"/>
        </w:rPr>
      </w:pPr>
      <w:r w:rsidRPr="007A3600">
        <w:rPr>
          <w:lang w:val="en-GB"/>
        </w:rPr>
        <w:t>10,601</w:t>
      </w:r>
      <w:r w:rsidR="00B646B6" w:rsidRPr="007A3600">
        <w:rPr>
          <w:lang w:val="en-GB"/>
        </w:rPr>
        <w:t xml:space="preserve"> </w:t>
      </w:r>
      <w:r w:rsidR="008729BD">
        <w:rPr>
          <w:lang w:val="en-GB"/>
        </w:rPr>
        <w:t>Australian Public Service (</w:t>
      </w:r>
      <w:r w:rsidR="00B646B6" w:rsidRPr="007A3600">
        <w:rPr>
          <w:lang w:val="en-GB"/>
        </w:rPr>
        <w:t>APS</w:t>
      </w:r>
      <w:r w:rsidR="008729BD">
        <w:rPr>
          <w:lang w:val="en-GB"/>
        </w:rPr>
        <w:t>)</w:t>
      </w:r>
      <w:r w:rsidR="00B646B6" w:rsidRPr="007A3600">
        <w:rPr>
          <w:lang w:val="en-GB"/>
        </w:rPr>
        <w:t xml:space="preserve"> employees (10,285</w:t>
      </w:r>
      <w:r w:rsidR="00C8753A" w:rsidRPr="007A3600">
        <w:rPr>
          <w:lang w:val="en-GB"/>
        </w:rPr>
        <w:t xml:space="preserve"> full time equivalent </w:t>
      </w:r>
      <w:r w:rsidR="00FC7656" w:rsidRPr="007A3600">
        <w:rPr>
          <w:lang w:val="en-GB"/>
        </w:rPr>
        <w:t>and 8,957 average staffing level)</w:t>
      </w:r>
    </w:p>
    <w:p w14:paraId="6C2FD148" w14:textId="67806EC3" w:rsidR="00C35D86" w:rsidRPr="007A3600" w:rsidRDefault="00293C1A" w:rsidP="00AD3197">
      <w:pPr>
        <w:pStyle w:val="ListParagraph"/>
        <w:numPr>
          <w:ilvl w:val="0"/>
          <w:numId w:val="28"/>
        </w:numPr>
        <w:rPr>
          <w:lang w:val="en-GB"/>
        </w:rPr>
      </w:pPr>
      <w:r w:rsidRPr="007A3600">
        <w:rPr>
          <w:lang w:val="en-GB"/>
        </w:rPr>
        <w:t>1,770 c</w:t>
      </w:r>
      <w:r w:rsidR="00C35D86" w:rsidRPr="007A3600">
        <w:rPr>
          <w:lang w:val="en-GB"/>
        </w:rPr>
        <w:t>ontractors</w:t>
      </w:r>
      <w:r w:rsidRPr="007A3600">
        <w:rPr>
          <w:lang w:val="en-GB"/>
        </w:rPr>
        <w:t xml:space="preserve"> (1,401 labour hire, 279 consultants</w:t>
      </w:r>
      <w:r w:rsidR="0002414A" w:rsidRPr="007A3600">
        <w:rPr>
          <w:lang w:val="en-GB"/>
        </w:rPr>
        <w:t>, and 90 contractors)</w:t>
      </w:r>
      <w:r w:rsidR="00945C09" w:rsidRPr="007A3600">
        <w:rPr>
          <w:lang w:val="en-GB"/>
        </w:rPr>
        <w:t>.</w:t>
      </w:r>
    </w:p>
    <w:p w14:paraId="60162918" w14:textId="55FFF9CE" w:rsidR="000D37CC" w:rsidRPr="007A3600" w:rsidRDefault="009112AF" w:rsidP="00AD3197">
      <w:pPr>
        <w:pStyle w:val="Heading3"/>
      </w:pPr>
      <w:bookmarkStart w:id="105" w:name="_6.2_Workforce_demographics"/>
      <w:bookmarkStart w:id="106" w:name="_6.3_Health,_safety"/>
      <w:bookmarkStart w:id="107" w:name="_5.2_Health,_safety"/>
      <w:bookmarkStart w:id="108" w:name="_Toc207017713"/>
      <w:bookmarkStart w:id="109" w:name="_Toc209695853"/>
      <w:bookmarkEnd w:id="105"/>
      <w:bookmarkEnd w:id="106"/>
      <w:bookmarkEnd w:id="107"/>
      <w:r w:rsidRPr="007A3600">
        <w:t>5</w:t>
      </w:r>
      <w:r w:rsidR="000D37CC" w:rsidRPr="007A3600">
        <w:t>.</w:t>
      </w:r>
      <w:r w:rsidR="003E4A68" w:rsidRPr="007A3600">
        <w:t>2</w:t>
      </w:r>
      <w:r w:rsidR="000D37CC" w:rsidRPr="007A3600">
        <w:tab/>
        <w:t>Health, safety and wellbeing</w:t>
      </w:r>
      <w:bookmarkEnd w:id="108"/>
      <w:bookmarkEnd w:id="109"/>
    </w:p>
    <w:p w14:paraId="4D3366FE" w14:textId="5F423FF1" w:rsidR="000D37CC" w:rsidRPr="007A3600" w:rsidRDefault="000D37CC" w:rsidP="00AD3197">
      <w:pPr>
        <w:rPr>
          <w:lang w:val="en-GB"/>
        </w:rPr>
      </w:pPr>
      <w:r w:rsidRPr="007A3600">
        <w:rPr>
          <w:lang w:val="en-GB"/>
        </w:rPr>
        <w:t xml:space="preserve">The NDIA </w:t>
      </w:r>
      <w:r w:rsidRPr="007A3600">
        <w:t>is committed to providing a safe and healthy workplace, consistent with</w:t>
      </w:r>
      <w:r w:rsidRPr="007A3600">
        <w:rPr>
          <w:lang w:val="en-GB"/>
        </w:rPr>
        <w:t xml:space="preserve"> its </w:t>
      </w:r>
      <w:r w:rsidR="00AA2A1B" w:rsidRPr="007A3600">
        <w:rPr>
          <w:lang w:val="en-GB"/>
        </w:rPr>
        <w:t xml:space="preserve">legislative </w:t>
      </w:r>
      <w:r w:rsidRPr="007A3600">
        <w:rPr>
          <w:lang w:val="en-GB"/>
        </w:rPr>
        <w:t xml:space="preserve">obligations </w:t>
      </w:r>
      <w:r w:rsidR="0012237F" w:rsidRPr="007A3600">
        <w:rPr>
          <w:lang w:val="en-GB"/>
        </w:rPr>
        <w:t>under</w:t>
      </w:r>
      <w:r w:rsidR="00857DE2" w:rsidRPr="007A3600">
        <w:rPr>
          <w:lang w:val="en-GB"/>
        </w:rPr>
        <w:t xml:space="preserve"> </w:t>
      </w:r>
      <w:r w:rsidRPr="007A3600">
        <w:rPr>
          <w:lang w:val="en-GB"/>
        </w:rPr>
        <w:t xml:space="preserve">the </w:t>
      </w:r>
      <w:r w:rsidRPr="007A3600">
        <w:rPr>
          <w:i/>
          <w:iCs/>
          <w:lang w:val="en-GB"/>
        </w:rPr>
        <w:t>Work Health and Safety Act 2011</w:t>
      </w:r>
      <w:r w:rsidRPr="007A3600">
        <w:rPr>
          <w:lang w:val="en-GB"/>
        </w:rPr>
        <w:t xml:space="preserve"> </w:t>
      </w:r>
      <w:r w:rsidR="0012237F" w:rsidRPr="007A3600">
        <w:rPr>
          <w:lang w:val="en-GB"/>
        </w:rPr>
        <w:t xml:space="preserve">(Cth) </w:t>
      </w:r>
      <w:r w:rsidRPr="007A3600">
        <w:rPr>
          <w:lang w:val="en-GB"/>
        </w:rPr>
        <w:t xml:space="preserve">(WHS Act) and the </w:t>
      </w:r>
      <w:r w:rsidRPr="007A3600">
        <w:rPr>
          <w:i/>
          <w:iCs/>
          <w:lang w:val="en-GB"/>
        </w:rPr>
        <w:t>Safety, Rehabilitation and Compensation Act 1988</w:t>
      </w:r>
      <w:r w:rsidR="0012237F" w:rsidRPr="007A3600">
        <w:rPr>
          <w:i/>
          <w:iCs/>
          <w:lang w:val="en-GB"/>
        </w:rPr>
        <w:t xml:space="preserve"> </w:t>
      </w:r>
      <w:r w:rsidR="0012237F" w:rsidRPr="007A3600">
        <w:rPr>
          <w:lang w:val="en-GB"/>
        </w:rPr>
        <w:t>(Cth)</w:t>
      </w:r>
      <w:r w:rsidRPr="007A3600">
        <w:rPr>
          <w:lang w:val="en-GB"/>
        </w:rPr>
        <w:t xml:space="preserve">. The safety </w:t>
      </w:r>
      <w:r w:rsidR="008400EF" w:rsidRPr="007A3600">
        <w:rPr>
          <w:lang w:val="en-GB"/>
        </w:rPr>
        <w:t xml:space="preserve">and wellbeing </w:t>
      </w:r>
      <w:r w:rsidRPr="007A3600">
        <w:rPr>
          <w:lang w:val="en-GB"/>
        </w:rPr>
        <w:t xml:space="preserve">of our people is a priority, and </w:t>
      </w:r>
      <w:r w:rsidRPr="007A3600">
        <w:t xml:space="preserve">we continue to strengthen our systems, culture and reporting to </w:t>
      </w:r>
      <w:r w:rsidR="008400EF" w:rsidRPr="007A3600">
        <w:t>reflect this priority</w:t>
      </w:r>
      <w:r w:rsidRPr="007A3600">
        <w:rPr>
          <w:lang w:val="en-GB"/>
        </w:rPr>
        <w:t>.</w:t>
      </w:r>
    </w:p>
    <w:p w14:paraId="4802FFFB" w14:textId="77777777" w:rsidR="000D37CC" w:rsidRPr="007A3600" w:rsidRDefault="000D37CC" w:rsidP="00AD3197">
      <w:pPr>
        <w:pStyle w:val="Heading4"/>
      </w:pPr>
      <w:bookmarkStart w:id="110" w:name="_Toc207017714"/>
      <w:r w:rsidRPr="007A3600">
        <w:t>Key initiatives</w:t>
      </w:r>
      <w:bookmarkEnd w:id="110"/>
    </w:p>
    <w:p w14:paraId="362314A1" w14:textId="48EA245D" w:rsidR="000D37CC" w:rsidRPr="007A3600" w:rsidRDefault="000D37CC" w:rsidP="00AD3197">
      <w:r w:rsidRPr="007A3600">
        <w:t xml:space="preserve">In 2024–25 we </w:t>
      </w:r>
      <w:r w:rsidR="000C10BD" w:rsidRPr="007A3600">
        <w:t>enhanced</w:t>
      </w:r>
      <w:r w:rsidR="00305E76" w:rsidRPr="007A3600">
        <w:t xml:space="preserve"> employee</w:t>
      </w:r>
      <w:r w:rsidR="000C10BD" w:rsidRPr="007A3600">
        <w:t xml:space="preserve"> </w:t>
      </w:r>
      <w:r w:rsidRPr="007A3600">
        <w:t>safety and wellbeing</w:t>
      </w:r>
      <w:r w:rsidR="000C10BD" w:rsidRPr="007A3600">
        <w:t xml:space="preserve"> through</w:t>
      </w:r>
      <w:r w:rsidR="00305E76" w:rsidRPr="007A3600">
        <w:t xml:space="preserve"> a range of programs</w:t>
      </w:r>
      <w:r w:rsidR="000C10BD" w:rsidRPr="007A3600">
        <w:t>:</w:t>
      </w:r>
    </w:p>
    <w:p w14:paraId="7ADB3329" w14:textId="78FE1909" w:rsidR="000D37CC" w:rsidRPr="007A3600" w:rsidRDefault="001A2302" w:rsidP="00AD3197">
      <w:pPr>
        <w:pStyle w:val="ListParagraph"/>
        <w:numPr>
          <w:ilvl w:val="0"/>
          <w:numId w:val="24"/>
        </w:numPr>
        <w:rPr>
          <w:lang w:val="en-GB"/>
        </w:rPr>
      </w:pPr>
      <w:r w:rsidRPr="007A3600">
        <w:t xml:space="preserve">Following </w:t>
      </w:r>
      <w:r w:rsidR="000D37CC" w:rsidRPr="007A3600">
        <w:t>a review of security and safety at the NDIA</w:t>
      </w:r>
      <w:r w:rsidR="00E03220" w:rsidRPr="007A3600">
        <w:t>,</w:t>
      </w:r>
      <w:r w:rsidR="000D37CC" w:rsidRPr="007A3600">
        <w:t xml:space="preserve"> </w:t>
      </w:r>
      <w:r w:rsidRPr="007A3600">
        <w:t>we implemented</w:t>
      </w:r>
      <w:r w:rsidR="000D37CC" w:rsidRPr="007A3600">
        <w:rPr>
          <w:lang w:val="en-GB"/>
        </w:rPr>
        <w:t xml:space="preserve"> initiatives to help staff respond better to aggressive behaviour</w:t>
      </w:r>
      <w:r w:rsidR="00D23A85" w:rsidRPr="007A3600">
        <w:rPr>
          <w:lang w:val="en-GB"/>
        </w:rPr>
        <w:t xml:space="preserve">. These included </w:t>
      </w:r>
      <w:r w:rsidR="009775F6" w:rsidRPr="007A3600">
        <w:rPr>
          <w:lang w:val="en-GB"/>
        </w:rPr>
        <w:t>update</w:t>
      </w:r>
      <w:r w:rsidR="006A563A" w:rsidRPr="007A3600">
        <w:rPr>
          <w:lang w:val="en-GB"/>
        </w:rPr>
        <w:t xml:space="preserve">d training modules </w:t>
      </w:r>
      <w:r w:rsidR="00D007FE" w:rsidRPr="007A3600">
        <w:rPr>
          <w:lang w:val="en-GB"/>
        </w:rPr>
        <w:t>for</w:t>
      </w:r>
      <w:r w:rsidR="001D13CA" w:rsidRPr="007A3600">
        <w:rPr>
          <w:lang w:val="en-GB"/>
        </w:rPr>
        <w:t xml:space="preserve"> </w:t>
      </w:r>
      <w:r w:rsidR="00D007FE" w:rsidRPr="007A3600">
        <w:rPr>
          <w:lang w:val="en-GB"/>
        </w:rPr>
        <w:t>M</w:t>
      </w:r>
      <w:r w:rsidR="009775F6" w:rsidRPr="007A3600">
        <w:rPr>
          <w:lang w:val="en-GB"/>
        </w:rPr>
        <w:t xml:space="preserve">anaging </w:t>
      </w:r>
      <w:r w:rsidR="00D007FE" w:rsidRPr="007A3600">
        <w:rPr>
          <w:lang w:val="en-GB"/>
        </w:rPr>
        <w:t>U</w:t>
      </w:r>
      <w:r w:rsidR="009775F6" w:rsidRPr="007A3600">
        <w:rPr>
          <w:lang w:val="en-GB"/>
        </w:rPr>
        <w:t xml:space="preserve">nreasonable </w:t>
      </w:r>
      <w:r w:rsidR="00D007FE" w:rsidRPr="007A3600">
        <w:rPr>
          <w:lang w:val="en-GB"/>
        </w:rPr>
        <w:t>B</w:t>
      </w:r>
      <w:r w:rsidR="009775F6" w:rsidRPr="007A3600">
        <w:rPr>
          <w:lang w:val="en-GB"/>
        </w:rPr>
        <w:t>ehaviour</w:t>
      </w:r>
      <w:r w:rsidR="00D23A85" w:rsidRPr="007A3600">
        <w:rPr>
          <w:lang w:val="en-GB"/>
        </w:rPr>
        <w:t xml:space="preserve">, </w:t>
      </w:r>
      <w:r w:rsidR="00D007FE" w:rsidRPr="007A3600">
        <w:rPr>
          <w:lang w:val="en-GB"/>
        </w:rPr>
        <w:t>Aggression</w:t>
      </w:r>
      <w:r w:rsidR="009775F6" w:rsidRPr="007A3600">
        <w:rPr>
          <w:lang w:val="en-GB"/>
        </w:rPr>
        <w:t xml:space="preserve"> </w:t>
      </w:r>
      <w:r w:rsidR="00D007FE" w:rsidRPr="007A3600">
        <w:rPr>
          <w:lang w:val="en-GB"/>
        </w:rPr>
        <w:t>R</w:t>
      </w:r>
      <w:r w:rsidR="009775F6" w:rsidRPr="007A3600">
        <w:rPr>
          <w:lang w:val="en-GB"/>
        </w:rPr>
        <w:t xml:space="preserve">esponse </w:t>
      </w:r>
      <w:r w:rsidR="00D007FE" w:rsidRPr="007A3600">
        <w:rPr>
          <w:lang w:val="en-GB"/>
        </w:rPr>
        <w:t>T</w:t>
      </w:r>
      <w:r w:rsidR="00B719E5" w:rsidRPr="007A3600">
        <w:rPr>
          <w:lang w:val="en-GB"/>
        </w:rPr>
        <w:t>eam</w:t>
      </w:r>
      <w:r w:rsidR="009775F6" w:rsidRPr="007A3600">
        <w:rPr>
          <w:lang w:val="en-GB"/>
        </w:rPr>
        <w:t xml:space="preserve"> </w:t>
      </w:r>
      <w:r w:rsidR="00B719E5" w:rsidRPr="007A3600">
        <w:rPr>
          <w:lang w:val="en-GB"/>
        </w:rPr>
        <w:t>t</w:t>
      </w:r>
      <w:r w:rsidR="009775F6" w:rsidRPr="007A3600">
        <w:rPr>
          <w:lang w:val="en-GB"/>
        </w:rPr>
        <w:t>raining</w:t>
      </w:r>
      <w:r w:rsidR="000F43F5" w:rsidRPr="007A3600">
        <w:rPr>
          <w:lang w:val="en-GB"/>
        </w:rPr>
        <w:t xml:space="preserve">, </w:t>
      </w:r>
      <w:r w:rsidR="009775F6" w:rsidRPr="007A3600">
        <w:rPr>
          <w:lang w:val="en-GB"/>
        </w:rPr>
        <w:t xml:space="preserve">and </w:t>
      </w:r>
      <w:r w:rsidR="000F43F5" w:rsidRPr="007A3600">
        <w:rPr>
          <w:lang w:val="en-GB"/>
        </w:rPr>
        <w:t xml:space="preserve">updated </w:t>
      </w:r>
      <w:r w:rsidR="009775F6" w:rsidRPr="007A3600">
        <w:rPr>
          <w:lang w:val="en-GB"/>
        </w:rPr>
        <w:t>toolkits for managing difficult conversations and high-risk customer situations</w:t>
      </w:r>
      <w:r w:rsidR="008A06C7" w:rsidRPr="007A3600">
        <w:rPr>
          <w:lang w:val="en-GB"/>
        </w:rPr>
        <w:t>.</w:t>
      </w:r>
    </w:p>
    <w:p w14:paraId="4646A175" w14:textId="3B30023A" w:rsidR="000D37CC" w:rsidRPr="007A3600" w:rsidRDefault="008A06C7" w:rsidP="00AD3197">
      <w:pPr>
        <w:pStyle w:val="ListParagraph"/>
        <w:numPr>
          <w:ilvl w:val="0"/>
          <w:numId w:val="24"/>
        </w:numPr>
        <w:rPr>
          <w:lang w:val="en-GB"/>
        </w:rPr>
      </w:pPr>
      <w:r w:rsidRPr="007A3600">
        <w:t>We conducted</w:t>
      </w:r>
      <w:r w:rsidR="000D37CC" w:rsidRPr="007A3600">
        <w:t xml:space="preserve"> risk assessments to identify and address physical and psychosocial hazards</w:t>
      </w:r>
      <w:r w:rsidRPr="007A3600">
        <w:t>.</w:t>
      </w:r>
    </w:p>
    <w:p w14:paraId="1EACDF32" w14:textId="155C34FE" w:rsidR="000D37CC" w:rsidRPr="007A3600" w:rsidRDefault="00E11006" w:rsidP="00AD3197">
      <w:pPr>
        <w:pStyle w:val="ListParagraph"/>
        <w:numPr>
          <w:ilvl w:val="0"/>
          <w:numId w:val="24"/>
        </w:numPr>
        <w:rPr>
          <w:lang w:val="en-GB"/>
        </w:rPr>
      </w:pPr>
      <w:r w:rsidRPr="007A3600">
        <w:rPr>
          <w:lang w:val="en-GB"/>
        </w:rPr>
        <w:t xml:space="preserve">We </w:t>
      </w:r>
      <w:r w:rsidR="008400EF" w:rsidRPr="007A3600">
        <w:t xml:space="preserve">delivered new wellbeing services including </w:t>
      </w:r>
      <w:r w:rsidR="000D37CC" w:rsidRPr="007A3600">
        <w:t>crisis escalation to on-call clinicians and counselling</w:t>
      </w:r>
      <w:r w:rsidR="008400EF" w:rsidRPr="007A3600">
        <w:t xml:space="preserve"> services</w:t>
      </w:r>
      <w:r w:rsidR="000D37CC" w:rsidRPr="007A3600">
        <w:t>.</w:t>
      </w:r>
    </w:p>
    <w:p w14:paraId="52BAD788" w14:textId="707151AD" w:rsidR="000D37CC" w:rsidRPr="007A3600" w:rsidRDefault="00AA6AF0" w:rsidP="00AD3197">
      <w:pPr>
        <w:pStyle w:val="ListParagraph"/>
        <w:numPr>
          <w:ilvl w:val="0"/>
          <w:numId w:val="24"/>
        </w:numPr>
        <w:rPr>
          <w:lang w:val="en-GB"/>
        </w:rPr>
      </w:pPr>
      <w:r w:rsidRPr="007A3600">
        <w:rPr>
          <w:lang w:val="en-GB"/>
        </w:rPr>
        <w:t xml:space="preserve">We </w:t>
      </w:r>
      <w:r w:rsidR="004435C3" w:rsidRPr="007A3600">
        <w:rPr>
          <w:lang w:val="en-GB"/>
        </w:rPr>
        <w:t xml:space="preserve">continued to update </w:t>
      </w:r>
      <w:r w:rsidR="008400EF" w:rsidRPr="007A3600">
        <w:rPr>
          <w:lang w:val="en-GB"/>
        </w:rPr>
        <w:t xml:space="preserve">our </w:t>
      </w:r>
      <w:r w:rsidRPr="007A3600">
        <w:rPr>
          <w:lang w:val="en-GB"/>
        </w:rPr>
        <w:t>w</w:t>
      </w:r>
      <w:r w:rsidR="000D37CC" w:rsidRPr="007A3600">
        <w:rPr>
          <w:lang w:val="en-GB"/>
        </w:rPr>
        <w:t xml:space="preserve">ork </w:t>
      </w:r>
      <w:r w:rsidRPr="007A3600">
        <w:rPr>
          <w:lang w:val="en-GB"/>
        </w:rPr>
        <w:t>h</w:t>
      </w:r>
      <w:r w:rsidR="000D37CC" w:rsidRPr="007A3600">
        <w:rPr>
          <w:lang w:val="en-GB"/>
        </w:rPr>
        <w:t xml:space="preserve">ealth and </w:t>
      </w:r>
      <w:r w:rsidRPr="007A3600">
        <w:rPr>
          <w:lang w:val="en-GB"/>
        </w:rPr>
        <w:t>s</w:t>
      </w:r>
      <w:r w:rsidR="000D37CC" w:rsidRPr="007A3600">
        <w:rPr>
          <w:lang w:val="en-GB"/>
        </w:rPr>
        <w:t xml:space="preserve">afety </w:t>
      </w:r>
      <w:r w:rsidRPr="007A3600">
        <w:rPr>
          <w:lang w:val="en-GB"/>
        </w:rPr>
        <w:t>m</w:t>
      </w:r>
      <w:r w:rsidR="000D37CC" w:rsidRPr="007A3600">
        <w:rPr>
          <w:lang w:val="en-GB"/>
        </w:rPr>
        <w:t xml:space="preserve">anagement </w:t>
      </w:r>
      <w:r w:rsidRPr="007A3600">
        <w:rPr>
          <w:lang w:val="en-GB"/>
        </w:rPr>
        <w:t>s</w:t>
      </w:r>
      <w:r w:rsidR="000D37CC" w:rsidRPr="007A3600">
        <w:rPr>
          <w:lang w:val="en-GB"/>
        </w:rPr>
        <w:t>ystem</w:t>
      </w:r>
      <w:r w:rsidR="004435C3" w:rsidRPr="007A3600">
        <w:rPr>
          <w:lang w:val="en-GB"/>
        </w:rPr>
        <w:t xml:space="preserve"> in line with </w:t>
      </w:r>
      <w:r w:rsidR="006A1BA3" w:rsidRPr="007A3600">
        <w:rPr>
          <w:lang w:val="en-GB"/>
        </w:rPr>
        <w:t>legislation and contemporary health, safety and wellbeing practices</w:t>
      </w:r>
      <w:r w:rsidR="0030144C" w:rsidRPr="007A3600">
        <w:rPr>
          <w:lang w:val="en-GB"/>
        </w:rPr>
        <w:t>.</w:t>
      </w:r>
    </w:p>
    <w:p w14:paraId="64EB64C8" w14:textId="77777777" w:rsidR="000D37CC" w:rsidRPr="007A3600" w:rsidRDefault="000D37CC" w:rsidP="00AD3197">
      <w:pPr>
        <w:pStyle w:val="Heading4"/>
        <w:rPr>
          <w:lang w:val="en-GB"/>
        </w:rPr>
      </w:pPr>
      <w:bookmarkStart w:id="111" w:name="_Work_health_and"/>
      <w:bookmarkStart w:id="112" w:name="_Toc207017715"/>
      <w:bookmarkEnd w:id="111"/>
      <w:r w:rsidRPr="007A3600">
        <w:rPr>
          <w:lang w:val="en-GB"/>
        </w:rPr>
        <w:t>Work health and safety outcomes</w:t>
      </w:r>
      <w:bookmarkEnd w:id="112"/>
    </w:p>
    <w:p w14:paraId="35862778" w14:textId="76B45758" w:rsidR="000D37CC" w:rsidRPr="007A3600" w:rsidRDefault="000D37CC" w:rsidP="00AD3197">
      <w:pPr>
        <w:rPr>
          <w:lang w:val="en-GB"/>
        </w:rPr>
      </w:pPr>
      <w:r w:rsidRPr="007A3600">
        <w:rPr>
          <w:lang w:val="en-GB"/>
        </w:rPr>
        <w:t xml:space="preserve">In 2024–25 </w:t>
      </w:r>
      <w:r w:rsidR="0030144C" w:rsidRPr="007A3600">
        <w:rPr>
          <w:lang w:val="en-GB"/>
        </w:rPr>
        <w:t>we</w:t>
      </w:r>
      <w:r w:rsidRPr="007A3600">
        <w:rPr>
          <w:lang w:val="en-GB"/>
        </w:rPr>
        <w:t xml:space="preserve"> reported 9 incidents to Comcare under section 38 of the WHS Act. Comcare closed all incidents without </w:t>
      </w:r>
      <w:r w:rsidRPr="007A3600">
        <w:t>requiring further action from the NDIA</w:t>
      </w:r>
      <w:r w:rsidRPr="007A3600">
        <w:rPr>
          <w:lang w:val="en-GB"/>
        </w:rPr>
        <w:t>.</w:t>
      </w:r>
    </w:p>
    <w:p w14:paraId="76A50620" w14:textId="73D65551" w:rsidR="000D37CC" w:rsidRPr="007A3600" w:rsidRDefault="000D37CC" w:rsidP="00AD3197">
      <w:pPr>
        <w:rPr>
          <w:lang w:val="en-GB"/>
        </w:rPr>
      </w:pPr>
      <w:r w:rsidRPr="007A3600">
        <w:rPr>
          <w:lang w:val="en-GB"/>
        </w:rPr>
        <w:lastRenderedPageBreak/>
        <w:t xml:space="preserve">Three improvement notices </w:t>
      </w:r>
      <w:r w:rsidR="0030144C" w:rsidRPr="007A3600">
        <w:rPr>
          <w:lang w:val="en-GB"/>
        </w:rPr>
        <w:t>(</w:t>
      </w:r>
      <w:r w:rsidRPr="007A3600">
        <w:rPr>
          <w:lang w:val="en-GB"/>
        </w:rPr>
        <w:t>under section 90 of the WHS Act</w:t>
      </w:r>
      <w:r w:rsidR="0030144C" w:rsidRPr="007A3600">
        <w:rPr>
          <w:lang w:val="en-GB"/>
        </w:rPr>
        <w:t>)</w:t>
      </w:r>
      <w:r w:rsidRPr="007A3600">
        <w:rPr>
          <w:lang w:val="en-GB"/>
        </w:rPr>
        <w:t xml:space="preserve"> were issued by a </w:t>
      </w:r>
      <w:r w:rsidR="004020E2" w:rsidRPr="007A3600">
        <w:rPr>
          <w:lang w:val="en-GB"/>
        </w:rPr>
        <w:t>h</w:t>
      </w:r>
      <w:r w:rsidRPr="007A3600">
        <w:rPr>
          <w:lang w:val="en-GB"/>
        </w:rPr>
        <w:t xml:space="preserve">ealth and </w:t>
      </w:r>
      <w:r w:rsidR="004020E2" w:rsidRPr="007A3600">
        <w:rPr>
          <w:lang w:val="en-GB"/>
        </w:rPr>
        <w:t>s</w:t>
      </w:r>
      <w:r w:rsidRPr="007A3600">
        <w:rPr>
          <w:lang w:val="en-GB"/>
        </w:rPr>
        <w:t>afety representative. One notice was resolved and 2 were later cancelled.</w:t>
      </w:r>
    </w:p>
    <w:p w14:paraId="33E8EA2B" w14:textId="0C4AB0D8" w:rsidR="000D37CC" w:rsidRPr="007A3600" w:rsidRDefault="000D37CC" w:rsidP="00AD3197">
      <w:pPr>
        <w:pStyle w:val="Caption"/>
      </w:pPr>
      <w:r w:rsidRPr="007A3600">
        <w:t xml:space="preserve">Table </w:t>
      </w:r>
      <w:r w:rsidR="00322325" w:rsidRPr="007A3600">
        <w:t>8</w:t>
      </w:r>
      <w:r w:rsidRPr="007A3600">
        <w:t xml:space="preserve">: Summary of reported </w:t>
      </w:r>
      <w:r w:rsidR="004020E2" w:rsidRPr="007A3600">
        <w:t xml:space="preserve">health and safety </w:t>
      </w:r>
      <w:r w:rsidRPr="007A3600">
        <w:t>incidents (2024–25)</w:t>
      </w:r>
    </w:p>
    <w:tbl>
      <w:tblPr>
        <w:tblStyle w:val="NDISTable1"/>
        <w:tblW w:w="4932" w:type="pct"/>
        <w:tblLayout w:type="fixed"/>
        <w:tblLook w:val="0420" w:firstRow="1" w:lastRow="0" w:firstColumn="0" w:lastColumn="0" w:noHBand="0" w:noVBand="1"/>
      </w:tblPr>
      <w:tblGrid>
        <w:gridCol w:w="7370"/>
        <w:gridCol w:w="1523"/>
      </w:tblGrid>
      <w:tr w:rsidR="00A3328B" w:rsidRPr="007A3600" w14:paraId="61E31624" w14:textId="77777777" w:rsidTr="00A9386B">
        <w:trPr>
          <w:cnfStyle w:val="100000000000" w:firstRow="1" w:lastRow="0" w:firstColumn="0" w:lastColumn="0" w:oddVBand="0" w:evenVBand="0" w:oddHBand="0" w:evenHBand="0" w:firstRowFirstColumn="0" w:firstRowLastColumn="0" w:lastRowFirstColumn="0" w:lastRowLastColumn="0"/>
        </w:trPr>
        <w:tc>
          <w:tcPr>
            <w:tcW w:w="7370" w:type="dxa"/>
          </w:tcPr>
          <w:p w14:paraId="096C46DF" w14:textId="7448E1EE" w:rsidR="000D37CC" w:rsidRPr="007A3600" w:rsidRDefault="000D37CC" w:rsidP="00AD3197">
            <w:pPr>
              <w:pStyle w:val="TableBody"/>
            </w:pPr>
            <w:r w:rsidRPr="007A3600">
              <w:t>Action</w:t>
            </w:r>
            <w:r w:rsidR="008400EF" w:rsidRPr="007A3600">
              <w:t xml:space="preserve"> under the WHS Act</w:t>
            </w:r>
          </w:p>
        </w:tc>
        <w:tc>
          <w:tcPr>
            <w:tcW w:w="1523" w:type="dxa"/>
          </w:tcPr>
          <w:p w14:paraId="19E784EC" w14:textId="77777777" w:rsidR="000D37CC" w:rsidRPr="007A3600" w:rsidRDefault="000D37CC" w:rsidP="00AD3197">
            <w:pPr>
              <w:pStyle w:val="TableBody"/>
              <w:jc w:val="right"/>
            </w:pPr>
            <w:r w:rsidRPr="007A3600">
              <w:t>Number</w:t>
            </w:r>
          </w:p>
        </w:tc>
      </w:tr>
      <w:tr w:rsidR="0026718D" w:rsidRPr="007A3600" w14:paraId="588F537B" w14:textId="77777777" w:rsidTr="00A9386B">
        <w:trPr>
          <w:cnfStyle w:val="000000100000" w:firstRow="0" w:lastRow="0" w:firstColumn="0" w:lastColumn="0" w:oddVBand="0" w:evenVBand="0" w:oddHBand="1" w:evenHBand="0" w:firstRowFirstColumn="0" w:firstRowLastColumn="0" w:lastRowFirstColumn="0" w:lastRowLastColumn="0"/>
        </w:trPr>
        <w:tc>
          <w:tcPr>
            <w:tcW w:w="7370" w:type="dxa"/>
          </w:tcPr>
          <w:p w14:paraId="5FD55D0F" w14:textId="3EBF3419" w:rsidR="000D37CC" w:rsidRPr="007A3600" w:rsidRDefault="000D37CC" w:rsidP="00AD3197">
            <w:pPr>
              <w:pStyle w:val="TableBody"/>
            </w:pPr>
            <w:r w:rsidRPr="007A3600">
              <w:t>Death of a person that required notice to Comcare under s</w:t>
            </w:r>
            <w:r w:rsidR="008400EF" w:rsidRPr="007A3600">
              <w:t>ection</w:t>
            </w:r>
            <w:r w:rsidRPr="007A3600">
              <w:t xml:space="preserve"> 35 </w:t>
            </w:r>
          </w:p>
        </w:tc>
        <w:tc>
          <w:tcPr>
            <w:tcW w:w="1523" w:type="dxa"/>
          </w:tcPr>
          <w:p w14:paraId="175FFD91" w14:textId="77777777" w:rsidR="000D37CC" w:rsidRPr="007A3600" w:rsidRDefault="000D37CC" w:rsidP="00AD3197">
            <w:pPr>
              <w:pStyle w:val="TableBody"/>
              <w:jc w:val="right"/>
            </w:pPr>
            <w:r w:rsidRPr="007A3600">
              <w:t>0</w:t>
            </w:r>
          </w:p>
        </w:tc>
      </w:tr>
      <w:tr w:rsidR="00A9386B" w:rsidRPr="007A3600" w14:paraId="149A0D6E" w14:textId="77777777" w:rsidTr="00A9386B">
        <w:tc>
          <w:tcPr>
            <w:tcW w:w="7370" w:type="dxa"/>
          </w:tcPr>
          <w:p w14:paraId="0D826B2E" w14:textId="77777777" w:rsidR="000D37CC" w:rsidRPr="007A3600" w:rsidRDefault="000D37CC" w:rsidP="00AD3197">
            <w:pPr>
              <w:pStyle w:val="TableBody"/>
            </w:pPr>
            <w:r w:rsidRPr="007A3600">
              <w:t xml:space="preserve">Serious injury or illness of a person that required notification to Comcare under section 35 </w:t>
            </w:r>
          </w:p>
        </w:tc>
        <w:tc>
          <w:tcPr>
            <w:tcW w:w="1523" w:type="dxa"/>
          </w:tcPr>
          <w:p w14:paraId="5F5680DA" w14:textId="77777777" w:rsidR="000D37CC" w:rsidRPr="007A3600" w:rsidRDefault="000D37CC" w:rsidP="00AD3197">
            <w:pPr>
              <w:pStyle w:val="TableBody"/>
              <w:jc w:val="right"/>
            </w:pPr>
            <w:r w:rsidRPr="007A3600">
              <w:t>2</w:t>
            </w:r>
          </w:p>
        </w:tc>
      </w:tr>
      <w:tr w:rsidR="0026718D" w:rsidRPr="007A3600" w14:paraId="14EC7390" w14:textId="77777777" w:rsidTr="00A9386B">
        <w:trPr>
          <w:cnfStyle w:val="000000100000" w:firstRow="0" w:lastRow="0" w:firstColumn="0" w:lastColumn="0" w:oddVBand="0" w:evenVBand="0" w:oddHBand="1" w:evenHBand="0" w:firstRowFirstColumn="0" w:firstRowLastColumn="0" w:lastRowFirstColumn="0" w:lastRowLastColumn="0"/>
        </w:trPr>
        <w:tc>
          <w:tcPr>
            <w:tcW w:w="7370" w:type="dxa"/>
          </w:tcPr>
          <w:p w14:paraId="7501ED74" w14:textId="77777777" w:rsidR="000D37CC" w:rsidRPr="007A3600" w:rsidRDefault="000D37CC" w:rsidP="00AD3197">
            <w:pPr>
              <w:pStyle w:val="TableBody"/>
            </w:pPr>
            <w:r w:rsidRPr="007A3600">
              <w:t xml:space="preserve">Dangerous incident that required notification to Comcare under section 35 </w:t>
            </w:r>
          </w:p>
        </w:tc>
        <w:tc>
          <w:tcPr>
            <w:tcW w:w="1523" w:type="dxa"/>
          </w:tcPr>
          <w:p w14:paraId="65FF79B1" w14:textId="77777777" w:rsidR="000D37CC" w:rsidRPr="007A3600" w:rsidRDefault="000D37CC" w:rsidP="00AD3197">
            <w:pPr>
              <w:pStyle w:val="TableBody"/>
              <w:jc w:val="right"/>
            </w:pPr>
            <w:r w:rsidRPr="007A3600">
              <w:t>7</w:t>
            </w:r>
          </w:p>
        </w:tc>
      </w:tr>
      <w:tr w:rsidR="00A9386B" w:rsidRPr="007A3600" w14:paraId="790237A0" w14:textId="77777777" w:rsidTr="00A9386B">
        <w:tc>
          <w:tcPr>
            <w:tcW w:w="7370" w:type="dxa"/>
          </w:tcPr>
          <w:p w14:paraId="4E1A233E" w14:textId="77777777" w:rsidR="000D37CC" w:rsidRPr="007A3600" w:rsidRDefault="000D37CC" w:rsidP="00AD3197">
            <w:pPr>
              <w:pStyle w:val="TableBody"/>
            </w:pPr>
            <w:r w:rsidRPr="007A3600">
              <w:t xml:space="preserve">Investigation conducted under Part 10 </w:t>
            </w:r>
          </w:p>
        </w:tc>
        <w:tc>
          <w:tcPr>
            <w:tcW w:w="1523" w:type="dxa"/>
          </w:tcPr>
          <w:p w14:paraId="5BC6E9BF" w14:textId="77777777" w:rsidR="000D37CC" w:rsidRPr="007A3600" w:rsidRDefault="000D37CC" w:rsidP="00AD3197">
            <w:pPr>
              <w:pStyle w:val="TableBody"/>
              <w:jc w:val="right"/>
            </w:pPr>
            <w:r w:rsidRPr="007A3600">
              <w:t>0</w:t>
            </w:r>
          </w:p>
        </w:tc>
      </w:tr>
      <w:tr w:rsidR="0026718D" w:rsidRPr="007A3600" w14:paraId="5AB43757" w14:textId="77777777" w:rsidTr="00A9386B">
        <w:trPr>
          <w:cnfStyle w:val="000000100000" w:firstRow="0" w:lastRow="0" w:firstColumn="0" w:lastColumn="0" w:oddVBand="0" w:evenVBand="0" w:oddHBand="1" w:evenHBand="0" w:firstRowFirstColumn="0" w:firstRowLastColumn="0" w:lastRowFirstColumn="0" w:lastRowLastColumn="0"/>
        </w:trPr>
        <w:tc>
          <w:tcPr>
            <w:tcW w:w="7370" w:type="dxa"/>
          </w:tcPr>
          <w:p w14:paraId="651CDCE6" w14:textId="77777777" w:rsidR="000D37CC" w:rsidRPr="007A3600" w:rsidRDefault="000D37CC" w:rsidP="00AD3197">
            <w:pPr>
              <w:pStyle w:val="TableBody"/>
            </w:pPr>
            <w:r w:rsidRPr="007A3600">
              <w:t xml:space="preserve">Notice given under section 90 (provisional improvement notice) </w:t>
            </w:r>
          </w:p>
        </w:tc>
        <w:tc>
          <w:tcPr>
            <w:tcW w:w="1523" w:type="dxa"/>
          </w:tcPr>
          <w:p w14:paraId="1F53536D" w14:textId="77777777" w:rsidR="000D37CC" w:rsidRPr="007A3600" w:rsidRDefault="000D37CC" w:rsidP="00AD3197">
            <w:pPr>
              <w:pStyle w:val="TableBody"/>
              <w:jc w:val="right"/>
            </w:pPr>
            <w:r w:rsidRPr="007A3600">
              <w:t>3</w:t>
            </w:r>
          </w:p>
        </w:tc>
      </w:tr>
      <w:tr w:rsidR="00A9386B" w:rsidRPr="007A3600" w14:paraId="24D467A4" w14:textId="77777777" w:rsidTr="00A9386B">
        <w:tc>
          <w:tcPr>
            <w:tcW w:w="7370" w:type="dxa"/>
          </w:tcPr>
          <w:p w14:paraId="4EBBEE07" w14:textId="77777777" w:rsidR="000D37CC" w:rsidRPr="007A3600" w:rsidRDefault="000D37CC" w:rsidP="00AD3197">
            <w:pPr>
              <w:pStyle w:val="TableBody"/>
            </w:pPr>
            <w:r w:rsidRPr="007A3600">
              <w:t xml:space="preserve">Notice given under section 191 (improvement notice) </w:t>
            </w:r>
          </w:p>
        </w:tc>
        <w:tc>
          <w:tcPr>
            <w:tcW w:w="1523" w:type="dxa"/>
          </w:tcPr>
          <w:p w14:paraId="1AA77230" w14:textId="77777777" w:rsidR="000D37CC" w:rsidRPr="007A3600" w:rsidRDefault="000D37CC" w:rsidP="00AD3197">
            <w:pPr>
              <w:pStyle w:val="TableBody"/>
              <w:jc w:val="right"/>
            </w:pPr>
            <w:r w:rsidRPr="007A3600">
              <w:t>0</w:t>
            </w:r>
          </w:p>
        </w:tc>
      </w:tr>
      <w:tr w:rsidR="0026718D" w:rsidRPr="007A3600" w14:paraId="2F36F916" w14:textId="77777777" w:rsidTr="00A9386B">
        <w:trPr>
          <w:cnfStyle w:val="000000100000" w:firstRow="0" w:lastRow="0" w:firstColumn="0" w:lastColumn="0" w:oddVBand="0" w:evenVBand="0" w:oddHBand="1" w:evenHBand="0" w:firstRowFirstColumn="0" w:firstRowLastColumn="0" w:lastRowFirstColumn="0" w:lastRowLastColumn="0"/>
        </w:trPr>
        <w:tc>
          <w:tcPr>
            <w:tcW w:w="7370" w:type="dxa"/>
          </w:tcPr>
          <w:p w14:paraId="0398CE02" w14:textId="77777777" w:rsidR="000D37CC" w:rsidRPr="007A3600" w:rsidRDefault="000D37CC" w:rsidP="00AD3197">
            <w:pPr>
              <w:pStyle w:val="TableBody"/>
            </w:pPr>
            <w:r w:rsidRPr="007A3600">
              <w:t xml:space="preserve">Notice given under section 195 (prohibition notice) </w:t>
            </w:r>
          </w:p>
        </w:tc>
        <w:tc>
          <w:tcPr>
            <w:tcW w:w="1523" w:type="dxa"/>
          </w:tcPr>
          <w:p w14:paraId="1823C486" w14:textId="77777777" w:rsidR="000D37CC" w:rsidRPr="007A3600" w:rsidRDefault="000D37CC" w:rsidP="00AD3197">
            <w:pPr>
              <w:pStyle w:val="TableBody"/>
              <w:jc w:val="right"/>
            </w:pPr>
            <w:r w:rsidRPr="007A3600">
              <w:t>0</w:t>
            </w:r>
          </w:p>
        </w:tc>
      </w:tr>
      <w:tr w:rsidR="00A9386B" w:rsidRPr="007A3600" w14:paraId="64FE9011" w14:textId="77777777" w:rsidTr="00A9386B">
        <w:tc>
          <w:tcPr>
            <w:tcW w:w="7370" w:type="dxa"/>
          </w:tcPr>
          <w:p w14:paraId="6AFE8181" w14:textId="77777777" w:rsidR="000D37CC" w:rsidRPr="007A3600" w:rsidRDefault="000D37CC" w:rsidP="00AD3197">
            <w:pPr>
              <w:pStyle w:val="TableBody"/>
            </w:pPr>
            <w:r w:rsidRPr="007A3600">
              <w:t xml:space="preserve">Directions given under section 198 (non-disturbance)  </w:t>
            </w:r>
          </w:p>
        </w:tc>
        <w:tc>
          <w:tcPr>
            <w:tcW w:w="1523" w:type="dxa"/>
          </w:tcPr>
          <w:p w14:paraId="40BB1AC3" w14:textId="77777777" w:rsidR="000D37CC" w:rsidRPr="007A3600" w:rsidRDefault="000D37CC" w:rsidP="00AD3197">
            <w:pPr>
              <w:pStyle w:val="TableBody"/>
              <w:jc w:val="right"/>
            </w:pPr>
            <w:r w:rsidRPr="007A3600">
              <w:t>0</w:t>
            </w:r>
          </w:p>
        </w:tc>
      </w:tr>
    </w:tbl>
    <w:p w14:paraId="2301092D" w14:textId="5B24D17E" w:rsidR="000F1E6F" w:rsidRPr="007A3600" w:rsidRDefault="009112AF" w:rsidP="00AD3197">
      <w:pPr>
        <w:pStyle w:val="Heading3"/>
      </w:pPr>
      <w:bookmarkStart w:id="113" w:name="_Toc207017716"/>
      <w:bookmarkStart w:id="114" w:name="_Toc209695854"/>
      <w:r w:rsidRPr="007A3600">
        <w:t>5</w:t>
      </w:r>
      <w:r w:rsidR="49A1B5D2" w:rsidRPr="007A3600">
        <w:t>.</w:t>
      </w:r>
      <w:r w:rsidR="003E4A68" w:rsidRPr="007A3600">
        <w:t>3</w:t>
      </w:r>
      <w:r w:rsidR="00C86E56" w:rsidRPr="007A3600">
        <w:tab/>
      </w:r>
      <w:r w:rsidR="03EA9215" w:rsidRPr="007A3600">
        <w:t>Disability and diversity</w:t>
      </w:r>
      <w:bookmarkEnd w:id="113"/>
      <w:bookmarkEnd w:id="114"/>
    </w:p>
    <w:p w14:paraId="5F4A5A46" w14:textId="65D2D24F" w:rsidR="004B090E" w:rsidRPr="007A3600" w:rsidRDefault="00435809" w:rsidP="00AD3197">
      <w:r w:rsidRPr="007A3600">
        <w:t xml:space="preserve">The NDIA is committed to </w:t>
      </w:r>
      <w:r w:rsidR="00B4661C" w:rsidRPr="007A3600">
        <w:t>providing a</w:t>
      </w:r>
      <w:r w:rsidRPr="007A3600">
        <w:t xml:space="preserve"> workplace </w:t>
      </w:r>
      <w:r w:rsidR="00B4661C" w:rsidRPr="007A3600">
        <w:t xml:space="preserve">that </w:t>
      </w:r>
      <w:r w:rsidR="0002347B" w:rsidRPr="007A3600">
        <w:t>represents</w:t>
      </w:r>
      <w:r w:rsidRPr="007A3600">
        <w:t xml:space="preserve"> the diverse community we serve.</w:t>
      </w:r>
      <w:r w:rsidR="00F275BC" w:rsidRPr="007A3600">
        <w:t xml:space="preserve"> </w:t>
      </w:r>
      <w:r w:rsidR="00317913" w:rsidRPr="007A3600">
        <w:t>W</w:t>
      </w:r>
      <w:r w:rsidR="00F275BC" w:rsidRPr="007A3600">
        <w:t xml:space="preserve">e </w:t>
      </w:r>
      <w:r w:rsidR="00C12B32" w:rsidRPr="007A3600">
        <w:t>aim to</w:t>
      </w:r>
      <w:r w:rsidR="00F275BC" w:rsidRPr="007A3600">
        <w:t xml:space="preserve"> build a stronger, more responsive organisation</w:t>
      </w:r>
      <w:r w:rsidR="00970B52" w:rsidRPr="007A3600">
        <w:t xml:space="preserve">, </w:t>
      </w:r>
      <w:r w:rsidR="00DE0D90" w:rsidRPr="007A3600">
        <w:t>better able</w:t>
      </w:r>
      <w:r w:rsidR="00F275BC" w:rsidRPr="007A3600">
        <w:t xml:space="preserve"> to deliver high-quality, inclusive services to participants </w:t>
      </w:r>
      <w:r w:rsidR="00317913" w:rsidRPr="007A3600">
        <w:t xml:space="preserve">and </w:t>
      </w:r>
      <w:r w:rsidR="00F275BC" w:rsidRPr="007A3600">
        <w:t>their families and carers.</w:t>
      </w:r>
    </w:p>
    <w:p w14:paraId="32F4B920" w14:textId="63DB1D4E" w:rsidR="00DE571B" w:rsidRPr="007A3600" w:rsidRDefault="00E03220" w:rsidP="00AD3197">
      <w:r w:rsidRPr="007A3600">
        <w:t>T</w:t>
      </w:r>
      <w:r w:rsidR="00DE571B" w:rsidRPr="007A3600">
        <w:t xml:space="preserve">able </w:t>
      </w:r>
      <w:r w:rsidR="008D3869" w:rsidRPr="007A3600">
        <w:t>9</w:t>
      </w:r>
      <w:r w:rsidR="00DE571B" w:rsidRPr="007A3600">
        <w:t xml:space="preserve"> presents the percentage of NDIA staff who self-identified as belonging to various diversity groups</w:t>
      </w:r>
      <w:r w:rsidR="008400EF" w:rsidRPr="007A3600">
        <w:t xml:space="preserve"> in the </w:t>
      </w:r>
      <w:r w:rsidRPr="007A3600">
        <w:t>2025 APS Employee Census.</w:t>
      </w:r>
    </w:p>
    <w:p w14:paraId="48CF62EA" w14:textId="680015CC" w:rsidR="00C33EC3" w:rsidRPr="007A3600" w:rsidRDefault="00C33EC3" w:rsidP="00AD3197">
      <w:pPr>
        <w:pStyle w:val="Caption"/>
      </w:pPr>
      <w:r w:rsidRPr="007A3600">
        <w:t xml:space="preserve">Table </w:t>
      </w:r>
      <w:r w:rsidR="008D3869" w:rsidRPr="007A3600">
        <w:t>9</w:t>
      </w:r>
      <w:r w:rsidRPr="007A3600">
        <w:t>: Percentage of staff by diversity groups as report</w:t>
      </w:r>
      <w:r w:rsidR="008840D3" w:rsidRPr="007A3600">
        <w:t>ed</w:t>
      </w:r>
      <w:r w:rsidRPr="007A3600">
        <w:t xml:space="preserve"> in the 2025 </w:t>
      </w:r>
      <w:r w:rsidR="00F21DEF" w:rsidRPr="007A3600">
        <w:t xml:space="preserve">APS Employee </w:t>
      </w:r>
      <w:r w:rsidRPr="007A3600">
        <w:t>Census</w:t>
      </w:r>
    </w:p>
    <w:tbl>
      <w:tblPr>
        <w:tblStyle w:val="NDISTable1"/>
        <w:tblW w:w="5072" w:type="pct"/>
        <w:tblLayout w:type="fixed"/>
        <w:tblLook w:val="0420" w:firstRow="1" w:lastRow="0" w:firstColumn="0" w:lastColumn="0" w:noHBand="0" w:noVBand="1"/>
      </w:tblPr>
      <w:tblGrid>
        <w:gridCol w:w="5632"/>
        <w:gridCol w:w="1757"/>
        <w:gridCol w:w="1757"/>
      </w:tblGrid>
      <w:tr w:rsidR="00D504AD" w:rsidRPr="007A3600" w14:paraId="3FEF9F56" w14:textId="3CA037CA" w:rsidTr="00A9386B">
        <w:trPr>
          <w:cnfStyle w:val="100000000000" w:firstRow="1" w:lastRow="0" w:firstColumn="0" w:lastColumn="0" w:oddVBand="0" w:evenVBand="0" w:oddHBand="0" w:evenHBand="0" w:firstRowFirstColumn="0" w:firstRowLastColumn="0" w:lastRowFirstColumn="0" w:lastRowLastColumn="0"/>
        </w:trPr>
        <w:tc>
          <w:tcPr>
            <w:tcW w:w="5632" w:type="dxa"/>
          </w:tcPr>
          <w:p w14:paraId="571291CF" w14:textId="7409CEA8" w:rsidR="00F071D1" w:rsidRPr="007A3600" w:rsidRDefault="00F071D1" w:rsidP="00AD3197">
            <w:pPr>
              <w:pStyle w:val="TableBody"/>
            </w:pPr>
            <w:r w:rsidRPr="007A3600">
              <w:t>Diversity group</w:t>
            </w:r>
          </w:p>
        </w:tc>
        <w:tc>
          <w:tcPr>
            <w:tcW w:w="1757" w:type="dxa"/>
          </w:tcPr>
          <w:p w14:paraId="1328E11D" w14:textId="735D8019" w:rsidR="00F071D1" w:rsidRPr="007A3600" w:rsidRDefault="00F071D1" w:rsidP="00AD3197">
            <w:pPr>
              <w:pStyle w:val="TableBody"/>
              <w:jc w:val="right"/>
            </w:pPr>
            <w:r w:rsidRPr="007A3600">
              <w:t>2024</w:t>
            </w:r>
          </w:p>
        </w:tc>
        <w:tc>
          <w:tcPr>
            <w:tcW w:w="1757" w:type="dxa"/>
          </w:tcPr>
          <w:p w14:paraId="69892370" w14:textId="161F543B" w:rsidR="00F071D1" w:rsidRPr="007A3600" w:rsidRDefault="00F071D1" w:rsidP="00AD3197">
            <w:pPr>
              <w:pStyle w:val="TableBody"/>
              <w:jc w:val="right"/>
            </w:pPr>
            <w:r w:rsidRPr="007A3600">
              <w:t xml:space="preserve">2025 </w:t>
            </w:r>
          </w:p>
        </w:tc>
      </w:tr>
      <w:tr w:rsidR="00D504AD" w:rsidRPr="007A3600" w14:paraId="490AA981" w14:textId="60FCCFA7" w:rsidTr="00A9386B">
        <w:trPr>
          <w:cnfStyle w:val="000000100000" w:firstRow="0" w:lastRow="0" w:firstColumn="0" w:lastColumn="0" w:oddVBand="0" w:evenVBand="0" w:oddHBand="1" w:evenHBand="0" w:firstRowFirstColumn="0" w:firstRowLastColumn="0" w:lastRowFirstColumn="0" w:lastRowLastColumn="0"/>
        </w:trPr>
        <w:tc>
          <w:tcPr>
            <w:tcW w:w="5632" w:type="dxa"/>
          </w:tcPr>
          <w:p w14:paraId="363E3A5A" w14:textId="77777777" w:rsidR="00F071D1" w:rsidRPr="007A3600" w:rsidRDefault="00F071D1" w:rsidP="00AD3197">
            <w:pPr>
              <w:pStyle w:val="TableBody"/>
            </w:pPr>
            <w:r w:rsidRPr="007A3600">
              <w:rPr>
                <w:rFonts w:eastAsia="Arial"/>
              </w:rPr>
              <w:t>Aboriginal and/or Torres Strait Islander</w:t>
            </w:r>
          </w:p>
        </w:tc>
        <w:tc>
          <w:tcPr>
            <w:tcW w:w="1757" w:type="dxa"/>
          </w:tcPr>
          <w:p w14:paraId="7D4A88CE" w14:textId="6508432E" w:rsidR="00F071D1" w:rsidRPr="007A3600" w:rsidRDefault="00F071D1" w:rsidP="00AD3197">
            <w:pPr>
              <w:pStyle w:val="TableBody"/>
              <w:jc w:val="right"/>
              <w:rPr>
                <w:rFonts w:eastAsia="Arial"/>
              </w:rPr>
            </w:pPr>
            <w:r w:rsidRPr="007A3600">
              <w:rPr>
                <w:rFonts w:eastAsia="Arial"/>
              </w:rPr>
              <w:t>3%</w:t>
            </w:r>
          </w:p>
        </w:tc>
        <w:tc>
          <w:tcPr>
            <w:tcW w:w="1757" w:type="dxa"/>
          </w:tcPr>
          <w:p w14:paraId="5DB7209E" w14:textId="4AEF28AF" w:rsidR="00F071D1" w:rsidRPr="007A3600" w:rsidRDefault="00F071D1" w:rsidP="00AD3197">
            <w:pPr>
              <w:pStyle w:val="TableBody"/>
              <w:jc w:val="right"/>
              <w:rPr>
                <w:rFonts w:eastAsia="Arial"/>
              </w:rPr>
            </w:pPr>
            <w:r w:rsidRPr="007A3600">
              <w:rPr>
                <w:rFonts w:eastAsia="Arial"/>
              </w:rPr>
              <w:t>3%</w:t>
            </w:r>
          </w:p>
        </w:tc>
      </w:tr>
      <w:tr w:rsidR="00F071D1" w:rsidRPr="007A3600" w14:paraId="4136587F" w14:textId="1F4F00A0" w:rsidTr="00A9386B">
        <w:tc>
          <w:tcPr>
            <w:tcW w:w="5632" w:type="dxa"/>
          </w:tcPr>
          <w:p w14:paraId="66C08F11" w14:textId="7A1A3D3D" w:rsidR="00F071D1" w:rsidRPr="007A3600" w:rsidRDefault="00F071D1" w:rsidP="00AD3197">
            <w:pPr>
              <w:pStyle w:val="TableBody"/>
            </w:pPr>
            <w:r w:rsidRPr="007A3600">
              <w:rPr>
                <w:rFonts w:eastAsia="Arial"/>
              </w:rPr>
              <w:t>Ongoing disability</w:t>
            </w:r>
          </w:p>
        </w:tc>
        <w:tc>
          <w:tcPr>
            <w:tcW w:w="1757" w:type="dxa"/>
          </w:tcPr>
          <w:p w14:paraId="117EC052" w14:textId="09061E8C" w:rsidR="00F071D1" w:rsidRPr="007A3600" w:rsidRDefault="00F071D1" w:rsidP="00AD3197">
            <w:pPr>
              <w:pStyle w:val="TableBody"/>
              <w:jc w:val="right"/>
              <w:rPr>
                <w:rFonts w:eastAsia="Arial"/>
              </w:rPr>
            </w:pPr>
            <w:r w:rsidRPr="007A3600">
              <w:rPr>
                <w:rFonts w:eastAsia="Arial"/>
              </w:rPr>
              <w:t>22%</w:t>
            </w:r>
          </w:p>
        </w:tc>
        <w:tc>
          <w:tcPr>
            <w:tcW w:w="1757" w:type="dxa"/>
          </w:tcPr>
          <w:p w14:paraId="34D7C368" w14:textId="53F8A5D4" w:rsidR="00F071D1" w:rsidRPr="007A3600" w:rsidRDefault="00F071D1" w:rsidP="00AD3197">
            <w:pPr>
              <w:pStyle w:val="TableBody"/>
              <w:jc w:val="right"/>
              <w:rPr>
                <w:rFonts w:eastAsia="Arial"/>
              </w:rPr>
            </w:pPr>
            <w:r w:rsidRPr="007A3600">
              <w:rPr>
                <w:rFonts w:eastAsia="Arial"/>
              </w:rPr>
              <w:t>23%</w:t>
            </w:r>
          </w:p>
        </w:tc>
      </w:tr>
      <w:tr w:rsidR="00D504AD" w:rsidRPr="007A3600" w14:paraId="2EF44F04" w14:textId="6BB11A9C" w:rsidTr="00A9386B">
        <w:trPr>
          <w:cnfStyle w:val="000000100000" w:firstRow="0" w:lastRow="0" w:firstColumn="0" w:lastColumn="0" w:oddVBand="0" w:evenVBand="0" w:oddHBand="1" w:evenHBand="0" w:firstRowFirstColumn="0" w:firstRowLastColumn="0" w:lastRowFirstColumn="0" w:lastRowLastColumn="0"/>
        </w:trPr>
        <w:tc>
          <w:tcPr>
            <w:tcW w:w="5632" w:type="dxa"/>
          </w:tcPr>
          <w:p w14:paraId="0F290BAC" w14:textId="6C4B4DD8" w:rsidR="00F071D1" w:rsidRPr="007A3600" w:rsidRDefault="00F071D1" w:rsidP="00AD3197">
            <w:pPr>
              <w:pStyle w:val="TableBody"/>
              <w:rPr>
                <w:rFonts w:eastAsia="Arial"/>
              </w:rPr>
            </w:pPr>
            <w:r w:rsidRPr="007A3600">
              <w:rPr>
                <w:rFonts w:eastAsia="Arial"/>
              </w:rPr>
              <w:t>Mature-age (aged 45 years and over)</w:t>
            </w:r>
          </w:p>
        </w:tc>
        <w:tc>
          <w:tcPr>
            <w:tcW w:w="1757" w:type="dxa"/>
          </w:tcPr>
          <w:p w14:paraId="2C0C0EC2" w14:textId="4ACE8460" w:rsidR="00F071D1" w:rsidRPr="007A3600" w:rsidRDefault="00F071D1" w:rsidP="00AD3197">
            <w:pPr>
              <w:pStyle w:val="TableBody"/>
              <w:jc w:val="right"/>
              <w:rPr>
                <w:rFonts w:eastAsia="Arial"/>
              </w:rPr>
            </w:pPr>
            <w:r w:rsidRPr="007A3600">
              <w:rPr>
                <w:rFonts w:eastAsia="Arial"/>
              </w:rPr>
              <w:t>42%</w:t>
            </w:r>
          </w:p>
        </w:tc>
        <w:tc>
          <w:tcPr>
            <w:tcW w:w="1757" w:type="dxa"/>
          </w:tcPr>
          <w:p w14:paraId="0456CFE2" w14:textId="04FE9135" w:rsidR="00F071D1" w:rsidRPr="007A3600" w:rsidRDefault="00F071D1" w:rsidP="00AD3197">
            <w:pPr>
              <w:pStyle w:val="TableBody"/>
              <w:jc w:val="right"/>
              <w:rPr>
                <w:rFonts w:eastAsia="Arial"/>
              </w:rPr>
            </w:pPr>
            <w:r w:rsidRPr="007A3600">
              <w:rPr>
                <w:rFonts w:eastAsia="Arial"/>
              </w:rPr>
              <w:t>44%</w:t>
            </w:r>
          </w:p>
        </w:tc>
      </w:tr>
      <w:tr w:rsidR="00F071D1" w:rsidRPr="007A3600" w14:paraId="140D9133" w14:textId="79983BC1" w:rsidTr="00A9386B">
        <w:tc>
          <w:tcPr>
            <w:tcW w:w="5632" w:type="dxa"/>
          </w:tcPr>
          <w:p w14:paraId="0BCFB931" w14:textId="32A8828C" w:rsidR="00F071D1" w:rsidRPr="007A3600" w:rsidRDefault="00F071D1" w:rsidP="00AD3197">
            <w:pPr>
              <w:pStyle w:val="TableBody"/>
              <w:rPr>
                <w:rFonts w:eastAsia="Arial"/>
              </w:rPr>
            </w:pPr>
            <w:r w:rsidRPr="007A3600">
              <w:rPr>
                <w:rFonts w:eastAsia="Arial"/>
              </w:rPr>
              <w:lastRenderedPageBreak/>
              <w:t>Gender diverse</w:t>
            </w:r>
          </w:p>
        </w:tc>
        <w:tc>
          <w:tcPr>
            <w:tcW w:w="1757" w:type="dxa"/>
          </w:tcPr>
          <w:p w14:paraId="57F0C09A" w14:textId="6FB93475" w:rsidR="00F071D1" w:rsidRPr="007A3600" w:rsidRDefault="00F071D1" w:rsidP="00AD3197">
            <w:pPr>
              <w:pStyle w:val="TableBody"/>
              <w:jc w:val="right"/>
              <w:rPr>
                <w:rFonts w:eastAsia="Arial"/>
              </w:rPr>
            </w:pPr>
            <w:r w:rsidRPr="007A3600">
              <w:rPr>
                <w:rFonts w:eastAsia="Arial"/>
              </w:rPr>
              <w:t>10%</w:t>
            </w:r>
          </w:p>
        </w:tc>
        <w:tc>
          <w:tcPr>
            <w:tcW w:w="1757" w:type="dxa"/>
          </w:tcPr>
          <w:p w14:paraId="60394104" w14:textId="351553E7" w:rsidR="00F071D1" w:rsidRPr="007A3600" w:rsidRDefault="00F071D1" w:rsidP="00AD3197">
            <w:pPr>
              <w:pStyle w:val="TableBody"/>
              <w:jc w:val="right"/>
              <w:rPr>
                <w:rFonts w:eastAsia="Arial"/>
              </w:rPr>
            </w:pPr>
            <w:r w:rsidRPr="007A3600">
              <w:rPr>
                <w:rFonts w:eastAsia="Arial"/>
              </w:rPr>
              <w:t>10%</w:t>
            </w:r>
          </w:p>
        </w:tc>
      </w:tr>
      <w:tr w:rsidR="00D504AD" w:rsidRPr="007A3600" w14:paraId="14811CD8" w14:textId="10C45504" w:rsidTr="00A9386B">
        <w:trPr>
          <w:cnfStyle w:val="000000100000" w:firstRow="0" w:lastRow="0" w:firstColumn="0" w:lastColumn="0" w:oddVBand="0" w:evenVBand="0" w:oddHBand="1" w:evenHBand="0" w:firstRowFirstColumn="0" w:firstRowLastColumn="0" w:lastRowFirstColumn="0" w:lastRowLastColumn="0"/>
        </w:trPr>
        <w:tc>
          <w:tcPr>
            <w:tcW w:w="5632" w:type="dxa"/>
          </w:tcPr>
          <w:p w14:paraId="67881602" w14:textId="52DE63E3" w:rsidR="00F071D1" w:rsidRPr="007A3600" w:rsidRDefault="00F071D1" w:rsidP="00AD3197">
            <w:pPr>
              <w:pStyle w:val="TableBody"/>
              <w:rPr>
                <w:rFonts w:eastAsia="Arial"/>
              </w:rPr>
            </w:pPr>
            <w:r w:rsidRPr="007A3600">
              <w:rPr>
                <w:rFonts w:eastAsia="Arial"/>
              </w:rPr>
              <w:t>Culturally and linguistically diverse</w:t>
            </w:r>
          </w:p>
        </w:tc>
        <w:tc>
          <w:tcPr>
            <w:tcW w:w="1757" w:type="dxa"/>
          </w:tcPr>
          <w:p w14:paraId="70A01782" w14:textId="2F1E67B0" w:rsidR="00F071D1" w:rsidRPr="007A3600" w:rsidRDefault="00F071D1" w:rsidP="00AD3197">
            <w:pPr>
              <w:pStyle w:val="TableBody"/>
              <w:jc w:val="right"/>
              <w:rPr>
                <w:rFonts w:eastAsia="Arial"/>
              </w:rPr>
            </w:pPr>
            <w:r w:rsidRPr="007A3600">
              <w:rPr>
                <w:rFonts w:eastAsia="Arial"/>
              </w:rPr>
              <w:t>24%</w:t>
            </w:r>
          </w:p>
        </w:tc>
        <w:tc>
          <w:tcPr>
            <w:tcW w:w="1757" w:type="dxa"/>
          </w:tcPr>
          <w:p w14:paraId="56FE284F" w14:textId="0E40A0DC" w:rsidR="00F071D1" w:rsidRPr="007A3600" w:rsidRDefault="00F071D1" w:rsidP="00AD3197">
            <w:pPr>
              <w:pStyle w:val="TableBody"/>
              <w:jc w:val="right"/>
              <w:rPr>
                <w:rFonts w:eastAsia="Arial"/>
              </w:rPr>
            </w:pPr>
            <w:r w:rsidRPr="007A3600">
              <w:rPr>
                <w:rFonts w:eastAsia="Arial"/>
              </w:rPr>
              <w:t>26%</w:t>
            </w:r>
          </w:p>
        </w:tc>
      </w:tr>
      <w:tr w:rsidR="00F071D1" w:rsidRPr="007A3600" w14:paraId="7450A6B1" w14:textId="28D49231" w:rsidTr="00A9386B">
        <w:tc>
          <w:tcPr>
            <w:tcW w:w="5632" w:type="dxa"/>
          </w:tcPr>
          <w:p w14:paraId="383C3AA6" w14:textId="77777777" w:rsidR="00F071D1" w:rsidRPr="007A3600" w:rsidRDefault="00F071D1" w:rsidP="00AD3197">
            <w:pPr>
              <w:pStyle w:val="TableBody"/>
              <w:rPr>
                <w:rFonts w:eastAsia="Arial"/>
              </w:rPr>
            </w:pPr>
            <w:r w:rsidRPr="007A3600">
              <w:rPr>
                <w:rFonts w:eastAsia="Arial"/>
              </w:rPr>
              <w:t>Neurodivergent</w:t>
            </w:r>
          </w:p>
        </w:tc>
        <w:tc>
          <w:tcPr>
            <w:tcW w:w="1757" w:type="dxa"/>
          </w:tcPr>
          <w:p w14:paraId="556AE90F" w14:textId="3C7C9617" w:rsidR="00F071D1" w:rsidRPr="007A3600" w:rsidRDefault="00F071D1" w:rsidP="00AD3197">
            <w:pPr>
              <w:pStyle w:val="TableBody"/>
              <w:jc w:val="right"/>
              <w:rPr>
                <w:rFonts w:eastAsia="Arial"/>
              </w:rPr>
            </w:pPr>
            <w:r w:rsidRPr="007A3600">
              <w:rPr>
                <w:rFonts w:eastAsia="Arial"/>
              </w:rPr>
              <w:t>12%</w:t>
            </w:r>
          </w:p>
        </w:tc>
        <w:tc>
          <w:tcPr>
            <w:tcW w:w="1757" w:type="dxa"/>
          </w:tcPr>
          <w:p w14:paraId="7DF93711" w14:textId="6067C687" w:rsidR="00F071D1" w:rsidRPr="007A3600" w:rsidRDefault="00F071D1" w:rsidP="00AD3197">
            <w:pPr>
              <w:pStyle w:val="TableBody"/>
              <w:jc w:val="right"/>
              <w:rPr>
                <w:rFonts w:eastAsia="Arial"/>
              </w:rPr>
            </w:pPr>
            <w:r w:rsidRPr="007A3600">
              <w:rPr>
                <w:rFonts w:eastAsia="Arial"/>
              </w:rPr>
              <w:t>16%</w:t>
            </w:r>
          </w:p>
        </w:tc>
      </w:tr>
    </w:tbl>
    <w:p w14:paraId="0979BBAC" w14:textId="08F17364" w:rsidR="00D839D8" w:rsidRPr="007A3600" w:rsidRDefault="00D839D8" w:rsidP="00AD3197">
      <w:pPr>
        <w:pStyle w:val="Heading4"/>
        <w:spacing w:before="240"/>
      </w:pPr>
      <w:bookmarkStart w:id="115" w:name="_Toc207017717"/>
      <w:r w:rsidRPr="007A3600">
        <w:t xml:space="preserve">Inclusion and </w:t>
      </w:r>
      <w:r w:rsidR="00BF4C5C" w:rsidRPr="007A3600">
        <w:t>D</w:t>
      </w:r>
      <w:r w:rsidRPr="007A3600">
        <w:t xml:space="preserve">iversity </w:t>
      </w:r>
      <w:r w:rsidR="00BF4C5C" w:rsidRPr="007A3600">
        <w:t>Framework</w:t>
      </w:r>
      <w:bookmarkEnd w:id="115"/>
    </w:p>
    <w:p w14:paraId="67671CA9" w14:textId="7B1A6531" w:rsidR="00435809" w:rsidRPr="007A3600" w:rsidRDefault="002F63CD" w:rsidP="00AD3197">
      <w:r w:rsidRPr="007A3600">
        <w:t xml:space="preserve">Our Inclusion and Diversity Framework </w:t>
      </w:r>
      <w:r w:rsidR="001B69E1" w:rsidRPr="007A3600">
        <w:t xml:space="preserve">aims to create a supportive, flexible and fair workplace for all employees. </w:t>
      </w:r>
      <w:r w:rsidR="008400EF" w:rsidRPr="007A3600">
        <w:t xml:space="preserve">Under </w:t>
      </w:r>
      <w:r w:rsidR="001B69E1" w:rsidRPr="007A3600">
        <w:t xml:space="preserve">the framework, we have developed or are developing </w:t>
      </w:r>
      <w:r w:rsidRPr="007A3600">
        <w:t xml:space="preserve">targeted action plans and strategies for First Nations peoples, people with disability, mature-age workers, </w:t>
      </w:r>
      <w:r w:rsidR="003E4B59" w:rsidRPr="007A3600">
        <w:t>LGBTIQA+ individuals, people from culturally and linguistically diverse (CALD) backgrounds</w:t>
      </w:r>
      <w:r w:rsidR="00365849" w:rsidRPr="007A3600">
        <w:t xml:space="preserve"> and</w:t>
      </w:r>
      <w:r w:rsidR="003E4B59" w:rsidRPr="007A3600">
        <w:t xml:space="preserve"> </w:t>
      </w:r>
      <w:r w:rsidRPr="007A3600">
        <w:t>neurodiverse individuals.</w:t>
      </w:r>
    </w:p>
    <w:p w14:paraId="4525DBA0" w14:textId="77777777" w:rsidR="00595D6A" w:rsidRPr="007A3600" w:rsidRDefault="00595D6A" w:rsidP="00AD3197">
      <w:pPr>
        <w:pStyle w:val="Heading5"/>
      </w:pPr>
      <w:r w:rsidRPr="007A3600">
        <w:t>Advancing workplace inclusion for people with disability</w:t>
      </w:r>
    </w:p>
    <w:p w14:paraId="11D66933" w14:textId="06720366" w:rsidR="00595D6A" w:rsidRPr="007A3600" w:rsidRDefault="00F3664F" w:rsidP="00AD3197">
      <w:r w:rsidRPr="007A3600">
        <w:t xml:space="preserve">We aim to lead the </w:t>
      </w:r>
      <w:r w:rsidR="00595D6A" w:rsidRPr="007A3600">
        <w:t xml:space="preserve">APS </w:t>
      </w:r>
      <w:r w:rsidRPr="007A3600">
        <w:t>in</w:t>
      </w:r>
      <w:r w:rsidR="00595D6A" w:rsidRPr="007A3600">
        <w:t xml:space="preserve"> </w:t>
      </w:r>
      <w:r w:rsidRPr="007A3600">
        <w:t>providing an</w:t>
      </w:r>
      <w:r w:rsidR="00595D6A" w:rsidRPr="007A3600">
        <w:t xml:space="preserve"> inclusi</w:t>
      </w:r>
      <w:r w:rsidRPr="007A3600">
        <w:t xml:space="preserve">ve workplace </w:t>
      </w:r>
      <w:r w:rsidR="00595D6A" w:rsidRPr="007A3600">
        <w:t>for people with disability.</w:t>
      </w:r>
      <w:bookmarkStart w:id="116" w:name="_Toc207017718"/>
      <w:r w:rsidR="008400EF" w:rsidRPr="007A3600">
        <w:t xml:space="preserve"> </w:t>
      </w:r>
      <w:r w:rsidR="00595D6A" w:rsidRPr="007A3600">
        <w:t xml:space="preserve">In </w:t>
      </w:r>
      <w:r w:rsidR="00C359FF" w:rsidRPr="007A3600">
        <w:t>2024</w:t>
      </w:r>
      <w:r w:rsidR="00A81111" w:rsidRPr="007A3600">
        <w:t>–</w:t>
      </w:r>
      <w:r w:rsidR="00C359FF" w:rsidRPr="007A3600">
        <w:t>25</w:t>
      </w:r>
      <w:r w:rsidR="00595D6A" w:rsidRPr="007A3600">
        <w:t>, we:</w:t>
      </w:r>
      <w:bookmarkEnd w:id="116"/>
    </w:p>
    <w:p w14:paraId="698E768F" w14:textId="71E55B96" w:rsidR="00595D6A" w:rsidRPr="007A3600" w:rsidRDefault="00595D6A" w:rsidP="00AD3197">
      <w:pPr>
        <w:pStyle w:val="Bullet1"/>
      </w:pPr>
      <w:r w:rsidRPr="007A3600">
        <w:t xml:space="preserve">implemented a </w:t>
      </w:r>
      <w:r w:rsidR="0083569A" w:rsidRPr="007A3600">
        <w:t>d</w:t>
      </w:r>
      <w:r w:rsidRPr="007A3600">
        <w:t xml:space="preserve">isability </w:t>
      </w:r>
      <w:r w:rsidR="0083569A" w:rsidRPr="007A3600">
        <w:t>l</w:t>
      </w:r>
      <w:r w:rsidRPr="007A3600">
        <w:t xml:space="preserve">eave </w:t>
      </w:r>
      <w:r w:rsidR="0083569A" w:rsidRPr="007A3600">
        <w:t>p</w:t>
      </w:r>
      <w:r w:rsidRPr="007A3600">
        <w:t>olicy, providing APS staff with 10 days of paid leave per calendar year for appointments or activities related to their disability</w:t>
      </w:r>
    </w:p>
    <w:p w14:paraId="19672C29" w14:textId="46CC6CC3" w:rsidR="00595D6A" w:rsidRPr="007A3600" w:rsidRDefault="00595D6A" w:rsidP="00AD3197">
      <w:pPr>
        <w:pStyle w:val="Bullet1"/>
      </w:pPr>
      <w:r w:rsidRPr="007A3600">
        <w:t>launched a pilot program for an in-house Auslan interpretation service for deaf and hard of hearing staff</w:t>
      </w:r>
    </w:p>
    <w:p w14:paraId="2615DD10" w14:textId="3725B14C" w:rsidR="00595D6A" w:rsidRPr="007A3600" w:rsidRDefault="00595D6A" w:rsidP="00AD3197">
      <w:pPr>
        <w:pStyle w:val="Bullet1"/>
      </w:pPr>
      <w:r w:rsidRPr="007A3600">
        <w:t>launched the Hidden Disabilities Sunflower Program to support staff with non-visible or hidden disability</w:t>
      </w:r>
    </w:p>
    <w:p w14:paraId="2FCE832F" w14:textId="54D8FCDE" w:rsidR="00595D6A" w:rsidRPr="007A3600" w:rsidRDefault="00595D6A" w:rsidP="00AD3197">
      <w:pPr>
        <w:pStyle w:val="Bullet1"/>
      </w:pPr>
      <w:r w:rsidRPr="007A3600">
        <w:t xml:space="preserve">encouraged staff with disability to seek workplace support and adjustments from their line manager and our </w:t>
      </w:r>
      <w:r w:rsidR="0083569A" w:rsidRPr="007A3600">
        <w:t>d</w:t>
      </w:r>
      <w:r w:rsidRPr="007A3600">
        <w:t xml:space="preserve">isability </w:t>
      </w:r>
      <w:r w:rsidR="0083569A" w:rsidRPr="007A3600">
        <w:t>l</w:t>
      </w:r>
      <w:r w:rsidRPr="007A3600">
        <w:t xml:space="preserve">iaison </w:t>
      </w:r>
      <w:r w:rsidR="0083569A" w:rsidRPr="007A3600">
        <w:t>o</w:t>
      </w:r>
      <w:r w:rsidRPr="007A3600">
        <w:t>fficers.</w:t>
      </w:r>
    </w:p>
    <w:p w14:paraId="47A3E0E0" w14:textId="77777777" w:rsidR="00FD7F9A" w:rsidRPr="007A3600" w:rsidRDefault="00FD7F9A" w:rsidP="00AD3197">
      <w:pPr>
        <w:pStyle w:val="Heading5"/>
      </w:pPr>
      <w:r w:rsidRPr="007A3600">
        <w:t>Key initiatives</w:t>
      </w:r>
    </w:p>
    <w:p w14:paraId="6ED2C2DE" w14:textId="59B10629" w:rsidR="00D1019D" w:rsidRPr="007A3600" w:rsidRDefault="00FD7F9A" w:rsidP="00AD3197">
      <w:r w:rsidRPr="007A3600">
        <w:t xml:space="preserve">In 2024–25 we delivered several initiatives to </w:t>
      </w:r>
      <w:r w:rsidR="00F712E2" w:rsidRPr="007A3600">
        <w:t>advance workplace inclusion and diversity</w:t>
      </w:r>
      <w:r w:rsidR="008008CF" w:rsidRPr="007A3600">
        <w:t>. For example, we</w:t>
      </w:r>
      <w:r w:rsidR="00F712E2" w:rsidRPr="007A3600">
        <w:t>:</w:t>
      </w:r>
    </w:p>
    <w:p w14:paraId="104D5F17" w14:textId="425F730D" w:rsidR="00BF2951" w:rsidRPr="007A3600" w:rsidRDefault="002C790C" w:rsidP="00AD3197">
      <w:pPr>
        <w:pStyle w:val="Bullet1"/>
      </w:pPr>
      <w:r w:rsidRPr="007A3600">
        <w:t>i</w:t>
      </w:r>
      <w:r w:rsidR="00C534DF" w:rsidRPr="007A3600">
        <w:t xml:space="preserve">mplemented the </w:t>
      </w:r>
      <w:r w:rsidR="00045048" w:rsidRPr="007A3600">
        <w:t xml:space="preserve">Disability </w:t>
      </w:r>
      <w:r w:rsidR="008D0E74" w:rsidRPr="007A3600">
        <w:t>A</w:t>
      </w:r>
      <w:r w:rsidR="00045048" w:rsidRPr="007A3600">
        <w:t xml:space="preserve">ction </w:t>
      </w:r>
      <w:r w:rsidR="008D0E74" w:rsidRPr="007A3600">
        <w:t>P</w:t>
      </w:r>
      <w:r w:rsidR="00045048" w:rsidRPr="007A3600">
        <w:t>lan</w:t>
      </w:r>
    </w:p>
    <w:p w14:paraId="62F10324" w14:textId="3E2D7CBE" w:rsidR="00151ADB" w:rsidRPr="007A3600" w:rsidRDefault="008400EF" w:rsidP="00AD3197">
      <w:pPr>
        <w:pStyle w:val="Bullet1"/>
      </w:pPr>
      <w:r w:rsidRPr="007A3600">
        <w:t xml:space="preserve">launched </w:t>
      </w:r>
      <w:r w:rsidR="002C790C" w:rsidRPr="007A3600">
        <w:t xml:space="preserve">the </w:t>
      </w:r>
      <w:r w:rsidR="00C864B6" w:rsidRPr="007A3600">
        <w:t xml:space="preserve">CALD </w:t>
      </w:r>
      <w:r w:rsidR="00BF2951" w:rsidRPr="007A3600">
        <w:t>Inclusion Plan</w:t>
      </w:r>
    </w:p>
    <w:p w14:paraId="28314E60" w14:textId="77462FBA" w:rsidR="003B3417" w:rsidRPr="007A3600" w:rsidRDefault="00241E37" w:rsidP="00AD3197">
      <w:pPr>
        <w:pStyle w:val="Bullet1"/>
      </w:pPr>
      <w:r w:rsidRPr="007A3600">
        <w:t>l</w:t>
      </w:r>
      <w:r w:rsidR="005158DE" w:rsidRPr="007A3600">
        <w:t xml:space="preserve">aunched the </w:t>
      </w:r>
      <w:r w:rsidR="003B3417" w:rsidRPr="007A3600">
        <w:t>Neuroinclusion Plan</w:t>
      </w:r>
    </w:p>
    <w:p w14:paraId="41A721FF" w14:textId="5BCEEF6B" w:rsidR="00E14E5B" w:rsidRPr="007A3600" w:rsidRDefault="009F03C2" w:rsidP="00AD3197">
      <w:pPr>
        <w:pStyle w:val="Bullet1"/>
      </w:pPr>
      <w:r w:rsidRPr="007A3600">
        <w:t xml:space="preserve">established a </w:t>
      </w:r>
      <w:r w:rsidR="00E15915" w:rsidRPr="007A3600">
        <w:t xml:space="preserve">Neuroinclusion </w:t>
      </w:r>
      <w:r w:rsidR="006525BA" w:rsidRPr="007A3600">
        <w:t>Network</w:t>
      </w:r>
      <w:bookmarkStart w:id="117" w:name="_Toc207017719"/>
    </w:p>
    <w:p w14:paraId="207C492A" w14:textId="03467DA6" w:rsidR="00E14E5B" w:rsidRPr="007A3600" w:rsidRDefault="00061778" w:rsidP="00AD3197">
      <w:pPr>
        <w:pStyle w:val="Bullet1"/>
      </w:pPr>
      <w:r w:rsidRPr="007A3600">
        <w:t xml:space="preserve">published </w:t>
      </w:r>
      <w:r w:rsidR="008400EF" w:rsidRPr="007A3600">
        <w:t xml:space="preserve">the </w:t>
      </w:r>
      <w:r w:rsidR="00E9379D" w:rsidRPr="007A3600">
        <w:t>NDIA’s third</w:t>
      </w:r>
      <w:r w:rsidR="003870B8" w:rsidRPr="007A3600">
        <w:t xml:space="preserve"> </w:t>
      </w:r>
      <w:r w:rsidR="00565E2C" w:rsidRPr="007A3600">
        <w:t>Reconciliation Action Plan,</w:t>
      </w:r>
      <w:r w:rsidR="00264012" w:rsidRPr="007A3600">
        <w:t xml:space="preserve"> our </w:t>
      </w:r>
      <w:r w:rsidR="008400EF" w:rsidRPr="007A3600">
        <w:t>second</w:t>
      </w:r>
      <w:r w:rsidR="00264012" w:rsidRPr="007A3600">
        <w:t xml:space="preserve"> at the </w:t>
      </w:r>
      <w:r w:rsidR="00FD41A1" w:rsidRPr="007A3600">
        <w:t xml:space="preserve">Innovate </w:t>
      </w:r>
      <w:r w:rsidR="00264012" w:rsidRPr="007A3600">
        <w:t>level.</w:t>
      </w:r>
    </w:p>
    <w:p w14:paraId="5AA49A7F" w14:textId="4D18F22A" w:rsidR="000951D5" w:rsidRPr="007A3600" w:rsidRDefault="00BE37A6" w:rsidP="00AD3197">
      <w:r w:rsidRPr="007A3600">
        <w:t xml:space="preserve">In 2024–25 we </w:t>
      </w:r>
      <w:r w:rsidR="00CB0BB2" w:rsidRPr="007A3600">
        <w:t xml:space="preserve">began </w:t>
      </w:r>
      <w:r w:rsidRPr="007A3600">
        <w:t xml:space="preserve">an organisational cultural safety initiative. The goal is a culturally safe </w:t>
      </w:r>
      <w:r w:rsidR="00CB0BB2" w:rsidRPr="007A3600">
        <w:t xml:space="preserve">NDIS </w:t>
      </w:r>
      <w:r w:rsidRPr="007A3600">
        <w:t xml:space="preserve">and workplace, with equitable outcomes </w:t>
      </w:r>
      <w:r w:rsidR="009A4BBE" w:rsidRPr="007A3600">
        <w:t xml:space="preserve">for </w:t>
      </w:r>
      <w:r w:rsidRPr="007A3600">
        <w:t xml:space="preserve">First Nations people </w:t>
      </w:r>
      <w:r w:rsidRPr="007A3600">
        <w:lastRenderedPageBreak/>
        <w:t xml:space="preserve">with disability. This initiative is overseen by a Cultural Safety Working Group, which includes NDIA senior executives and members of the First Nations </w:t>
      </w:r>
      <w:r w:rsidR="000F3F82" w:rsidRPr="007A3600">
        <w:t xml:space="preserve">Employee </w:t>
      </w:r>
      <w:r w:rsidRPr="007A3600">
        <w:t>Network.</w:t>
      </w:r>
      <w:bookmarkStart w:id="118" w:name="_Toc207017720"/>
      <w:bookmarkEnd w:id="117"/>
    </w:p>
    <w:p w14:paraId="3B963A57" w14:textId="0B47C030" w:rsidR="00241A17" w:rsidRPr="007A3600" w:rsidRDefault="00241A17" w:rsidP="00AD3197">
      <w:pPr>
        <w:pStyle w:val="Heading4"/>
      </w:pPr>
      <w:r w:rsidRPr="007A3600">
        <w:t>Australian Workplace Equality Index</w:t>
      </w:r>
      <w:bookmarkEnd w:id="118"/>
    </w:p>
    <w:p w14:paraId="43234B82" w14:textId="59F6FED8" w:rsidR="00435809" w:rsidRPr="007A3600" w:rsidRDefault="00435809" w:rsidP="00AD3197">
      <w:r w:rsidRPr="007A3600">
        <w:t xml:space="preserve">This year </w:t>
      </w:r>
      <w:r w:rsidR="00233B09" w:rsidRPr="007A3600">
        <w:t>we</w:t>
      </w:r>
      <w:r w:rsidRPr="007A3600">
        <w:t xml:space="preserve"> achieved Bronze Tier status in the Australian Workplace Equality Index</w:t>
      </w:r>
      <w:r w:rsidR="00F74CF0" w:rsidRPr="007A3600">
        <w:t xml:space="preserve">, Australia’s </w:t>
      </w:r>
      <w:r w:rsidRPr="007A3600">
        <w:t>top benchmark for LGBTIQASB+ inclusion at work. Th</w:t>
      </w:r>
      <w:r w:rsidR="00842E88" w:rsidRPr="007A3600">
        <w:t>is</w:t>
      </w:r>
      <w:r w:rsidRPr="007A3600">
        <w:t xml:space="preserve"> accreditation reflects our commitment to a culturally safe and inclusive workplace for everyone, regardless of gender identity, gender expression, biological sex, </w:t>
      </w:r>
      <w:r w:rsidR="00E270B4" w:rsidRPr="007A3600">
        <w:t xml:space="preserve">or </w:t>
      </w:r>
      <w:r w:rsidRPr="007A3600">
        <w:t>sexual orientation or attraction.</w:t>
      </w:r>
    </w:p>
    <w:p w14:paraId="139C5414" w14:textId="6B149A76" w:rsidR="000F1E6F" w:rsidRPr="007A3600" w:rsidRDefault="009112AF" w:rsidP="00AD3197">
      <w:pPr>
        <w:pStyle w:val="Heading3"/>
      </w:pPr>
      <w:bookmarkStart w:id="119" w:name="_Toc207017723"/>
      <w:bookmarkStart w:id="120" w:name="_Toc209695855"/>
      <w:r w:rsidRPr="007A3600">
        <w:t>5</w:t>
      </w:r>
      <w:r w:rsidR="000F1E6F" w:rsidRPr="007A3600">
        <w:t>.</w:t>
      </w:r>
      <w:r w:rsidR="003E4A68" w:rsidRPr="007A3600">
        <w:t>4</w:t>
      </w:r>
      <w:r w:rsidR="000F1E6F" w:rsidRPr="007A3600">
        <w:tab/>
        <w:t>Partner organisations</w:t>
      </w:r>
      <w:bookmarkEnd w:id="119"/>
      <w:bookmarkEnd w:id="120"/>
    </w:p>
    <w:p w14:paraId="1E1285AB" w14:textId="50E4E8D1" w:rsidR="009E3CF4" w:rsidRPr="007A3600" w:rsidRDefault="003F35B4" w:rsidP="00AD3197">
      <w:r w:rsidRPr="007A3600">
        <w:t xml:space="preserve">Our </w:t>
      </w:r>
      <w:r w:rsidR="008008CF" w:rsidRPr="007A3600">
        <w:t>p</w:t>
      </w:r>
      <w:r w:rsidRPr="007A3600">
        <w:t xml:space="preserve">artners in the </w:t>
      </w:r>
      <w:r w:rsidR="008008CF" w:rsidRPr="007A3600">
        <w:t>c</w:t>
      </w:r>
      <w:r w:rsidRPr="007A3600">
        <w:t>ommunity are experienced</w:t>
      </w:r>
      <w:r w:rsidR="00CC296D" w:rsidRPr="007A3600">
        <w:t xml:space="preserve">, </w:t>
      </w:r>
      <w:r w:rsidRPr="007A3600">
        <w:t xml:space="preserve">qualified organisations with strong local knowledge and understanding of the needs of people with disability. They deliver </w:t>
      </w:r>
      <w:r w:rsidR="00CC296D" w:rsidRPr="007A3600">
        <w:t xml:space="preserve">local area coordination and </w:t>
      </w:r>
      <w:r w:rsidRPr="007A3600">
        <w:t xml:space="preserve">early childhood services </w:t>
      </w:r>
      <w:r w:rsidR="00AB5934" w:rsidRPr="007A3600">
        <w:t xml:space="preserve">on behalf of the NDIA and </w:t>
      </w:r>
      <w:r w:rsidR="009E3CF4" w:rsidRPr="007A3600">
        <w:t>are often the first point of contact for participants, making them the face of the NDIS in many communities.</w:t>
      </w:r>
    </w:p>
    <w:p w14:paraId="699FF1FD" w14:textId="2C8A8135" w:rsidR="004E294D" w:rsidRPr="007A3600" w:rsidRDefault="004E294D" w:rsidP="00AD3197">
      <w:pPr>
        <w:rPr>
          <w:color w:val="000000" w:themeColor="accent6"/>
        </w:rPr>
      </w:pPr>
      <w:r w:rsidRPr="007A3600">
        <w:rPr>
          <w:color w:val="000000" w:themeColor="accent6"/>
        </w:rPr>
        <w:t>In 2024</w:t>
      </w:r>
      <w:r w:rsidR="00E94237" w:rsidRPr="007A3600">
        <w:rPr>
          <w:color w:val="000000" w:themeColor="accent6"/>
        </w:rPr>
        <w:t>–</w:t>
      </w:r>
      <w:r w:rsidRPr="007A3600">
        <w:rPr>
          <w:color w:val="000000" w:themeColor="accent6"/>
        </w:rPr>
        <w:t xml:space="preserve">25 the NDIA worked closely with our partners to monitor and manage the delivery of </w:t>
      </w:r>
      <w:r w:rsidR="008008CF" w:rsidRPr="007A3600">
        <w:rPr>
          <w:color w:val="000000" w:themeColor="accent6"/>
        </w:rPr>
        <w:t>e</w:t>
      </w:r>
      <w:r w:rsidRPr="007A3600">
        <w:rPr>
          <w:color w:val="000000" w:themeColor="accent6"/>
        </w:rPr>
        <w:t xml:space="preserve">arly </w:t>
      </w:r>
      <w:r w:rsidR="008008CF" w:rsidRPr="007A3600">
        <w:rPr>
          <w:color w:val="000000" w:themeColor="accent6"/>
        </w:rPr>
        <w:t>c</w:t>
      </w:r>
      <w:r w:rsidRPr="007A3600">
        <w:rPr>
          <w:color w:val="000000" w:themeColor="accent6"/>
        </w:rPr>
        <w:t xml:space="preserve">hildhood and </w:t>
      </w:r>
      <w:r w:rsidR="008008CF" w:rsidRPr="007A3600">
        <w:rPr>
          <w:color w:val="000000" w:themeColor="accent6"/>
        </w:rPr>
        <w:t>l</w:t>
      </w:r>
      <w:r w:rsidRPr="007A3600">
        <w:rPr>
          <w:color w:val="000000" w:themeColor="accent6"/>
        </w:rPr>
        <w:t xml:space="preserve">ocal </w:t>
      </w:r>
      <w:r w:rsidR="008008CF" w:rsidRPr="007A3600">
        <w:rPr>
          <w:color w:val="000000" w:themeColor="accent6"/>
        </w:rPr>
        <w:t>a</w:t>
      </w:r>
      <w:r w:rsidRPr="007A3600">
        <w:rPr>
          <w:color w:val="000000" w:themeColor="accent6"/>
        </w:rPr>
        <w:t xml:space="preserve">rea </w:t>
      </w:r>
      <w:r w:rsidR="008008CF" w:rsidRPr="007A3600">
        <w:rPr>
          <w:color w:val="000000" w:themeColor="accent6"/>
        </w:rPr>
        <w:t>c</w:t>
      </w:r>
      <w:r w:rsidRPr="007A3600">
        <w:rPr>
          <w:color w:val="000000" w:themeColor="accent6"/>
        </w:rPr>
        <w:t>oordination services using the Performance Management Framework</w:t>
      </w:r>
      <w:r w:rsidR="00B42940" w:rsidRPr="007A3600">
        <w:rPr>
          <w:color w:val="000000" w:themeColor="accent6"/>
        </w:rPr>
        <w:t>,</w:t>
      </w:r>
      <w:r w:rsidR="00C769DB" w:rsidRPr="007A3600">
        <w:rPr>
          <w:color w:val="000000" w:themeColor="accent6"/>
        </w:rPr>
        <w:t xml:space="preserve"> which was established in </w:t>
      </w:r>
      <w:r w:rsidR="00711422" w:rsidRPr="007A3600">
        <w:rPr>
          <w:color w:val="000000" w:themeColor="accent6"/>
        </w:rPr>
        <w:t>October 2023</w:t>
      </w:r>
      <w:r w:rsidRPr="007A3600">
        <w:rPr>
          <w:color w:val="000000" w:themeColor="accent6"/>
        </w:rPr>
        <w:t xml:space="preserve">. Through the Performance Management Framework, the NDIA has been able to gather information to track and report on partner performance. </w:t>
      </w:r>
      <w:r w:rsidR="00B42940" w:rsidRPr="007A3600">
        <w:rPr>
          <w:color w:val="000000" w:themeColor="accent6"/>
        </w:rPr>
        <w:t>The framework</w:t>
      </w:r>
      <w:r w:rsidRPr="007A3600">
        <w:rPr>
          <w:color w:val="000000" w:themeColor="accent6"/>
        </w:rPr>
        <w:t xml:space="preserve"> supports the NDIA and partners to collaborate on improving outcomes, practice and participant satisfaction. </w:t>
      </w:r>
      <w:r w:rsidR="00B42940" w:rsidRPr="007A3600">
        <w:rPr>
          <w:color w:val="000000" w:themeColor="accent6"/>
        </w:rPr>
        <w:t>It</w:t>
      </w:r>
      <w:r w:rsidRPr="007A3600">
        <w:rPr>
          <w:color w:val="000000" w:themeColor="accent6"/>
        </w:rPr>
        <w:t xml:space="preserve"> applies to all partners.</w:t>
      </w:r>
    </w:p>
    <w:p w14:paraId="455D5629" w14:textId="419BCC0D" w:rsidR="000F1E6F" w:rsidRPr="007A3600" w:rsidRDefault="009E54D5" w:rsidP="00AD3197">
      <w:r w:rsidRPr="007A3600">
        <w:t>At</w:t>
      </w:r>
      <w:r w:rsidR="009E3CF4" w:rsidRPr="007A3600">
        <w:t xml:space="preserve"> 30 June 2025</w:t>
      </w:r>
      <w:r w:rsidRPr="007A3600">
        <w:t xml:space="preserve">, </w:t>
      </w:r>
      <w:r w:rsidR="009E3CF4" w:rsidRPr="007A3600">
        <w:t xml:space="preserve">24 </w:t>
      </w:r>
      <w:r w:rsidR="00363341" w:rsidRPr="007A3600">
        <w:t>p</w:t>
      </w:r>
      <w:r w:rsidR="009E3CF4" w:rsidRPr="007A3600">
        <w:t xml:space="preserve">artner organisations </w:t>
      </w:r>
      <w:r w:rsidRPr="007A3600">
        <w:t xml:space="preserve">were </w:t>
      </w:r>
      <w:r w:rsidR="009E3CF4" w:rsidRPr="007A3600">
        <w:t xml:space="preserve">operating </w:t>
      </w:r>
      <w:r w:rsidR="00C872F2" w:rsidRPr="007A3600">
        <w:t>across a</w:t>
      </w:r>
      <w:r w:rsidR="009E3CF4" w:rsidRPr="007A3600">
        <w:t xml:space="preserve">ll Australian states and territories, </w:t>
      </w:r>
      <w:r w:rsidR="009E2BC6" w:rsidRPr="007A3600">
        <w:t>except in</w:t>
      </w:r>
      <w:r w:rsidR="009E3CF4" w:rsidRPr="007A3600">
        <w:t xml:space="preserve"> remote areas, where local NDIA team</w:t>
      </w:r>
      <w:r w:rsidR="009E2BC6" w:rsidRPr="007A3600">
        <w:t>s</w:t>
      </w:r>
      <w:r w:rsidR="009E3CF4" w:rsidRPr="007A3600">
        <w:t xml:space="preserve"> provide</w:t>
      </w:r>
      <w:r w:rsidR="009E2BC6" w:rsidRPr="007A3600">
        <w:t xml:space="preserve"> direct</w:t>
      </w:r>
      <w:r w:rsidR="009E3CF4" w:rsidRPr="007A3600">
        <w:t xml:space="preserve"> support.</w:t>
      </w:r>
    </w:p>
    <w:p w14:paraId="324E46FB" w14:textId="0C49717B" w:rsidR="000F1E6F" w:rsidRPr="007A3600" w:rsidRDefault="000F1E6F" w:rsidP="00AD3197">
      <w:pPr>
        <w:pStyle w:val="Heading4"/>
      </w:pPr>
      <w:bookmarkStart w:id="121" w:name="_Toc207017724"/>
      <w:r w:rsidRPr="007A3600">
        <w:t>Local area coordination partners</w:t>
      </w:r>
      <w:bookmarkEnd w:id="121"/>
    </w:p>
    <w:p w14:paraId="3028E96E" w14:textId="2BC0875B" w:rsidR="009D26BA" w:rsidRPr="007A3600" w:rsidRDefault="00E635FC" w:rsidP="00AD3197">
      <w:r w:rsidRPr="007A3600">
        <w:t>L</w:t>
      </w:r>
      <w:r w:rsidR="00B42940" w:rsidRPr="007A3600">
        <w:t>ocal area coordination</w:t>
      </w:r>
      <w:r w:rsidR="0085506E" w:rsidRPr="007A3600">
        <w:t xml:space="preserve"> </w:t>
      </w:r>
      <w:r w:rsidR="00CF6967" w:rsidRPr="007A3600">
        <w:t>p</w:t>
      </w:r>
      <w:r w:rsidR="0085506E" w:rsidRPr="007A3600">
        <w:t xml:space="preserve">artners </w:t>
      </w:r>
      <w:r w:rsidR="00521615" w:rsidRPr="007A3600">
        <w:t>work with</w:t>
      </w:r>
      <w:r w:rsidR="0085506E" w:rsidRPr="007A3600">
        <w:t xml:space="preserve"> people aged 9 years and above</w:t>
      </w:r>
      <w:r w:rsidR="00AB3372" w:rsidRPr="007A3600">
        <w:t>, helping them</w:t>
      </w:r>
      <w:r w:rsidR="008400EF" w:rsidRPr="007A3600">
        <w:t xml:space="preserve"> to</w:t>
      </w:r>
      <w:r w:rsidR="00AB3372" w:rsidRPr="007A3600">
        <w:t>:</w:t>
      </w:r>
    </w:p>
    <w:p w14:paraId="43D001EA" w14:textId="77777777" w:rsidR="00041ED5" w:rsidRPr="007A3600" w:rsidRDefault="00041ED5" w:rsidP="00AD3197">
      <w:pPr>
        <w:pStyle w:val="ListParagraph"/>
        <w:numPr>
          <w:ilvl w:val="0"/>
          <w:numId w:val="25"/>
        </w:numPr>
      </w:pPr>
      <w:r w:rsidRPr="007A3600">
        <w:t>understand and access the NDIS</w:t>
      </w:r>
    </w:p>
    <w:p w14:paraId="39DC2C4E" w14:textId="3E6501B6" w:rsidR="00041ED5" w:rsidRPr="007A3600" w:rsidRDefault="00041ED5" w:rsidP="00AD3197">
      <w:pPr>
        <w:pStyle w:val="ListParagraph"/>
        <w:numPr>
          <w:ilvl w:val="0"/>
          <w:numId w:val="25"/>
        </w:numPr>
      </w:pPr>
      <w:r w:rsidRPr="007A3600">
        <w:t xml:space="preserve">identify and connect with </w:t>
      </w:r>
      <w:r w:rsidR="0085506E" w:rsidRPr="007A3600">
        <w:t>mainstream and community supports</w:t>
      </w:r>
    </w:p>
    <w:p w14:paraId="65BFAF65" w14:textId="297A716C" w:rsidR="00840314" w:rsidRPr="007A3600" w:rsidRDefault="00DC578F" w:rsidP="00AD3197">
      <w:pPr>
        <w:pStyle w:val="ListParagraph"/>
        <w:numPr>
          <w:ilvl w:val="0"/>
          <w:numId w:val="25"/>
        </w:numPr>
      </w:pPr>
      <w:r w:rsidRPr="007A3600">
        <w:t xml:space="preserve">discuss goals, supports, and document information </w:t>
      </w:r>
      <w:r w:rsidR="008627B4" w:rsidRPr="007A3600">
        <w:t>for</w:t>
      </w:r>
      <w:r w:rsidRPr="007A3600">
        <w:t xml:space="preserve"> the planning process</w:t>
      </w:r>
    </w:p>
    <w:p w14:paraId="3CD64732" w14:textId="76814223" w:rsidR="00D10DCB" w:rsidRPr="007A3600" w:rsidRDefault="00D10DCB" w:rsidP="00AD3197">
      <w:pPr>
        <w:pStyle w:val="ListParagraph"/>
        <w:numPr>
          <w:ilvl w:val="0"/>
          <w:numId w:val="25"/>
        </w:numPr>
      </w:pPr>
      <w:r w:rsidRPr="007A3600">
        <w:t>make the best use of their NDIS plans</w:t>
      </w:r>
    </w:p>
    <w:p w14:paraId="7C2D9562" w14:textId="63C1990A" w:rsidR="00BD02B6" w:rsidRPr="007A3600" w:rsidRDefault="008400EF" w:rsidP="00AD3197">
      <w:pPr>
        <w:pStyle w:val="ListParagraph"/>
        <w:numPr>
          <w:ilvl w:val="0"/>
          <w:numId w:val="25"/>
        </w:numPr>
      </w:pPr>
      <w:r w:rsidRPr="007A3600">
        <w:t xml:space="preserve">understand </w:t>
      </w:r>
      <w:r w:rsidR="00BD02B6" w:rsidRPr="007A3600">
        <w:t>when plans need to be reassessed.</w:t>
      </w:r>
    </w:p>
    <w:p w14:paraId="2DBF4955" w14:textId="7A669944" w:rsidR="000F1E6F" w:rsidRPr="007A3600" w:rsidRDefault="008400EF" w:rsidP="00AD3197">
      <w:r w:rsidRPr="007A3600">
        <w:lastRenderedPageBreak/>
        <w:t xml:space="preserve">Local area coordination partners </w:t>
      </w:r>
      <w:r w:rsidR="0085506E" w:rsidRPr="007A3600">
        <w:t xml:space="preserve">also </w:t>
      </w:r>
      <w:r w:rsidR="005864D0" w:rsidRPr="007A3600">
        <w:t xml:space="preserve">conduct </w:t>
      </w:r>
      <w:r w:rsidR="00B42940" w:rsidRPr="007A3600">
        <w:t xml:space="preserve">regular </w:t>
      </w:r>
      <w:r w:rsidR="0085506E" w:rsidRPr="007A3600">
        <w:t xml:space="preserve">check-ins with participants to </w:t>
      </w:r>
      <w:r w:rsidR="00E25000" w:rsidRPr="007A3600">
        <w:t>make sure</w:t>
      </w:r>
      <w:r w:rsidR="0085506E" w:rsidRPr="007A3600">
        <w:t xml:space="preserve"> their plans are working</w:t>
      </w:r>
      <w:r w:rsidR="00962908" w:rsidRPr="007A3600">
        <w:t xml:space="preserve">. </w:t>
      </w:r>
      <w:r w:rsidRPr="007A3600">
        <w:t xml:space="preserve">They </w:t>
      </w:r>
      <w:r w:rsidR="00962908" w:rsidRPr="007A3600">
        <w:t xml:space="preserve">play a key role </w:t>
      </w:r>
      <w:r w:rsidR="003C5E66" w:rsidRPr="007A3600">
        <w:t>in improving</w:t>
      </w:r>
      <w:r w:rsidR="00C2245B" w:rsidRPr="007A3600">
        <w:t xml:space="preserve"> accessibility and inclusion in local communities</w:t>
      </w:r>
      <w:r w:rsidR="00B8523A" w:rsidRPr="007A3600">
        <w:t xml:space="preserve">. They identify supports available in the community for </w:t>
      </w:r>
      <w:r w:rsidR="00C2245B" w:rsidRPr="007A3600">
        <w:t xml:space="preserve">people with disability, </w:t>
      </w:r>
      <w:r w:rsidR="00BC1BF0" w:rsidRPr="007A3600">
        <w:t>including those</w:t>
      </w:r>
      <w:r w:rsidR="00C2245B" w:rsidRPr="007A3600">
        <w:t xml:space="preserve"> who </w:t>
      </w:r>
      <w:r w:rsidR="00BC1BF0" w:rsidRPr="007A3600">
        <w:t>may</w:t>
      </w:r>
      <w:r w:rsidR="00C2245B" w:rsidRPr="007A3600">
        <w:t xml:space="preserve"> not </w:t>
      </w:r>
      <w:r w:rsidR="00BC1BF0" w:rsidRPr="007A3600">
        <w:t xml:space="preserve">be </w:t>
      </w:r>
      <w:r w:rsidR="00C2245B" w:rsidRPr="007A3600">
        <w:t>eligible for an NDIS plan</w:t>
      </w:r>
      <w:r w:rsidR="00BC1BF0" w:rsidRPr="007A3600">
        <w:t>.</w:t>
      </w:r>
    </w:p>
    <w:p w14:paraId="1C2D4D4D" w14:textId="789330F4" w:rsidR="000F1E6F" w:rsidRPr="007A3600" w:rsidRDefault="000F1E6F" w:rsidP="00AD3197">
      <w:pPr>
        <w:pStyle w:val="Heading4"/>
      </w:pPr>
      <w:bookmarkStart w:id="122" w:name="_Toc207017725"/>
      <w:r w:rsidRPr="007A3600">
        <w:t>Early childhood partners</w:t>
      </w:r>
      <w:bookmarkEnd w:id="122"/>
    </w:p>
    <w:p w14:paraId="0B53524C" w14:textId="5E092187" w:rsidR="00D6258F" w:rsidRPr="007A3600" w:rsidRDefault="00D47FD5" w:rsidP="00AD3197">
      <w:r w:rsidRPr="007A3600">
        <w:t>E</w:t>
      </w:r>
      <w:r w:rsidR="008400EF" w:rsidRPr="007A3600">
        <w:t>arly childhood</w:t>
      </w:r>
      <w:r w:rsidR="00945506" w:rsidRPr="007A3600">
        <w:t xml:space="preserve"> </w:t>
      </w:r>
      <w:r w:rsidR="000E777F" w:rsidRPr="007A3600">
        <w:t>p</w:t>
      </w:r>
      <w:r w:rsidR="00945506" w:rsidRPr="007A3600">
        <w:t xml:space="preserve">artners deliver </w:t>
      </w:r>
      <w:r w:rsidR="00C80455" w:rsidRPr="007A3600">
        <w:t>the NDIA’s</w:t>
      </w:r>
      <w:r w:rsidR="00D6258F" w:rsidRPr="007A3600">
        <w:t xml:space="preserve"> </w:t>
      </w:r>
      <w:r w:rsidR="00945506" w:rsidRPr="007A3600">
        <w:t>early childhood approach</w:t>
      </w:r>
      <w:r w:rsidR="00D6258F" w:rsidRPr="007A3600">
        <w:t xml:space="preserve"> for</w:t>
      </w:r>
      <w:r w:rsidR="008400EF" w:rsidRPr="007A3600">
        <w:t xml:space="preserve"> children</w:t>
      </w:r>
      <w:r w:rsidR="00D6258F" w:rsidRPr="007A3600">
        <w:t>:</w:t>
      </w:r>
    </w:p>
    <w:p w14:paraId="0E2DA121" w14:textId="1F5827B0" w:rsidR="00D6258F" w:rsidRPr="007A3600" w:rsidRDefault="00D6258F" w:rsidP="00AD3197">
      <w:pPr>
        <w:pStyle w:val="ListParagraph"/>
        <w:numPr>
          <w:ilvl w:val="0"/>
          <w:numId w:val="26"/>
        </w:numPr>
      </w:pPr>
      <w:r w:rsidRPr="007A3600">
        <w:t xml:space="preserve">younger than 6 </w:t>
      </w:r>
      <w:r w:rsidR="0063226A" w:rsidRPr="007A3600">
        <w:t xml:space="preserve">years old </w:t>
      </w:r>
      <w:r w:rsidRPr="007A3600">
        <w:t>with developmental delay</w:t>
      </w:r>
    </w:p>
    <w:p w14:paraId="1B307019" w14:textId="13F75725" w:rsidR="00D6258F" w:rsidRPr="007A3600" w:rsidRDefault="00D857DA" w:rsidP="00AD3197">
      <w:pPr>
        <w:pStyle w:val="ListParagraph"/>
        <w:numPr>
          <w:ilvl w:val="0"/>
          <w:numId w:val="26"/>
        </w:numPr>
      </w:pPr>
      <w:r w:rsidRPr="007A3600">
        <w:t xml:space="preserve">younger than 9 </w:t>
      </w:r>
      <w:r w:rsidR="0063226A" w:rsidRPr="007A3600">
        <w:t xml:space="preserve">years old </w:t>
      </w:r>
      <w:r w:rsidRPr="007A3600">
        <w:t>with disability</w:t>
      </w:r>
      <w:r w:rsidR="00B42940" w:rsidRPr="007A3600">
        <w:t>.</w:t>
      </w:r>
    </w:p>
    <w:p w14:paraId="485EF4C1" w14:textId="3DFC1D88" w:rsidR="00945506" w:rsidRPr="007A3600" w:rsidRDefault="008400EF" w:rsidP="00AD3197">
      <w:r w:rsidRPr="007A3600">
        <w:t xml:space="preserve">Early childhood partners </w:t>
      </w:r>
      <w:r w:rsidR="0063226A" w:rsidRPr="007A3600">
        <w:t>provide family-centred supports</w:t>
      </w:r>
      <w:r w:rsidR="00B37D60" w:rsidRPr="007A3600">
        <w:t xml:space="preserve"> that help children build the skills they need </w:t>
      </w:r>
      <w:r w:rsidR="00E54557" w:rsidRPr="007A3600">
        <w:t xml:space="preserve">for everyday </w:t>
      </w:r>
      <w:r w:rsidR="00945506" w:rsidRPr="007A3600">
        <w:t xml:space="preserve">activities and </w:t>
      </w:r>
      <w:r w:rsidR="00E54557" w:rsidRPr="007A3600">
        <w:t>life outcomes</w:t>
      </w:r>
      <w:r w:rsidR="00945506" w:rsidRPr="007A3600">
        <w:t>.</w:t>
      </w:r>
      <w:r w:rsidR="00EA5BC1" w:rsidRPr="007A3600">
        <w:t xml:space="preserve"> </w:t>
      </w:r>
      <w:r w:rsidR="00701CAD" w:rsidRPr="007A3600">
        <w:t>For example, they</w:t>
      </w:r>
      <w:r w:rsidR="00EA5BC1" w:rsidRPr="007A3600">
        <w:t>:</w:t>
      </w:r>
    </w:p>
    <w:p w14:paraId="5820A5EA" w14:textId="75AD7B26" w:rsidR="00EA5BC1" w:rsidRPr="007A3600" w:rsidRDefault="00EA5BC1" w:rsidP="00AD3197">
      <w:pPr>
        <w:pStyle w:val="ListParagraph"/>
        <w:numPr>
          <w:ilvl w:val="0"/>
          <w:numId w:val="27"/>
        </w:numPr>
      </w:pPr>
      <w:r w:rsidRPr="007A3600">
        <w:t>giv</w:t>
      </w:r>
      <w:r w:rsidR="00701CAD" w:rsidRPr="007A3600">
        <w:t>e</w:t>
      </w:r>
      <w:r w:rsidRPr="007A3600">
        <w:t xml:space="preserve"> families</w:t>
      </w:r>
      <w:r w:rsidR="003808A9" w:rsidRPr="007A3600">
        <w:t xml:space="preserve"> practical</w:t>
      </w:r>
      <w:r w:rsidRPr="007A3600">
        <w:t xml:space="preserve"> early connections and support</w:t>
      </w:r>
      <w:r w:rsidR="003808A9" w:rsidRPr="007A3600">
        <w:t>s</w:t>
      </w:r>
    </w:p>
    <w:p w14:paraId="7D5937FC" w14:textId="1B5A5C5D" w:rsidR="003808A9" w:rsidRPr="007A3600" w:rsidRDefault="000E651E" w:rsidP="00AD3197">
      <w:pPr>
        <w:pStyle w:val="ListParagraph"/>
        <w:numPr>
          <w:ilvl w:val="0"/>
          <w:numId w:val="27"/>
        </w:numPr>
      </w:pPr>
      <w:r w:rsidRPr="007A3600">
        <w:t>link children, their families and carers</w:t>
      </w:r>
      <w:r w:rsidR="00CD2C2E" w:rsidRPr="007A3600">
        <w:t xml:space="preserve"> </w:t>
      </w:r>
      <w:r w:rsidR="00B739EE" w:rsidRPr="007A3600">
        <w:t xml:space="preserve">with </w:t>
      </w:r>
      <w:r w:rsidR="003808A9" w:rsidRPr="007A3600">
        <w:t>mainstream and community services</w:t>
      </w:r>
    </w:p>
    <w:p w14:paraId="3F399F04" w14:textId="7496237D" w:rsidR="004452C1" w:rsidRPr="007A3600" w:rsidRDefault="004452C1" w:rsidP="00AD3197">
      <w:pPr>
        <w:pStyle w:val="ListParagraph"/>
        <w:numPr>
          <w:ilvl w:val="0"/>
          <w:numId w:val="27"/>
        </w:numPr>
      </w:pPr>
      <w:r w:rsidRPr="007A3600">
        <w:t xml:space="preserve">help </w:t>
      </w:r>
      <w:r w:rsidR="00CD2C2E" w:rsidRPr="007A3600">
        <w:t>families to access the NDIS if their child is likely to be eligible</w:t>
      </w:r>
    </w:p>
    <w:p w14:paraId="0FF6B414" w14:textId="3EDC6C18" w:rsidR="000F1E6F" w:rsidRPr="007A3600" w:rsidRDefault="00945506" w:rsidP="00AD3197">
      <w:pPr>
        <w:pStyle w:val="ListParagraph"/>
        <w:numPr>
          <w:ilvl w:val="0"/>
          <w:numId w:val="27"/>
        </w:numPr>
      </w:pPr>
      <w:r w:rsidRPr="007A3600">
        <w:t>support</w:t>
      </w:r>
      <w:r w:rsidR="00070228" w:rsidRPr="007A3600">
        <w:t xml:space="preserve"> families </w:t>
      </w:r>
      <w:r w:rsidRPr="007A3600">
        <w:t xml:space="preserve">through the </w:t>
      </w:r>
      <w:r w:rsidR="00070228" w:rsidRPr="007A3600">
        <w:t xml:space="preserve">NDIS </w:t>
      </w:r>
      <w:r w:rsidRPr="007A3600">
        <w:t>planning process when the</w:t>
      </w:r>
      <w:r w:rsidR="00070228" w:rsidRPr="007A3600">
        <w:t>ir</w:t>
      </w:r>
      <w:r w:rsidRPr="007A3600">
        <w:t xml:space="preserve"> child becomes </w:t>
      </w:r>
      <w:r w:rsidR="00070228" w:rsidRPr="007A3600">
        <w:t>a</w:t>
      </w:r>
      <w:r w:rsidRPr="007A3600">
        <w:t xml:space="preserve"> participant.</w:t>
      </w:r>
    </w:p>
    <w:p w14:paraId="385EC38D" w14:textId="31BD47DA" w:rsidR="008421AC" w:rsidRPr="007A3600" w:rsidRDefault="009112AF" w:rsidP="00AD3197">
      <w:pPr>
        <w:pStyle w:val="Heading3"/>
      </w:pPr>
      <w:bookmarkStart w:id="123" w:name="_Toc207017727"/>
      <w:bookmarkStart w:id="124" w:name="_Toc209695856"/>
      <w:r w:rsidRPr="007A3600">
        <w:t>5</w:t>
      </w:r>
      <w:r w:rsidR="008421AC" w:rsidRPr="007A3600">
        <w:t>.</w:t>
      </w:r>
      <w:r w:rsidR="003E4A68" w:rsidRPr="007A3600">
        <w:t>5</w:t>
      </w:r>
      <w:r w:rsidR="008421AC" w:rsidRPr="007A3600">
        <w:tab/>
      </w:r>
      <w:r w:rsidR="007D7833" w:rsidRPr="007A3600">
        <w:t>Strategic Commissioning Framework</w:t>
      </w:r>
      <w:bookmarkEnd w:id="123"/>
      <w:bookmarkEnd w:id="124"/>
    </w:p>
    <w:p w14:paraId="3C235ABA" w14:textId="3DBB6F5D" w:rsidR="0038300A" w:rsidRPr="007A3600" w:rsidRDefault="00336D27" w:rsidP="00AD3197">
      <w:r w:rsidRPr="007A3600">
        <w:t>In 2024</w:t>
      </w:r>
      <w:r w:rsidR="00F21607" w:rsidRPr="007A3600">
        <w:t>–</w:t>
      </w:r>
      <w:r w:rsidRPr="007A3600">
        <w:t>25</w:t>
      </w:r>
      <w:r w:rsidR="00F21607" w:rsidRPr="007A3600">
        <w:t xml:space="preserve"> </w:t>
      </w:r>
      <w:r w:rsidR="00C927F1" w:rsidRPr="007A3600">
        <w:t xml:space="preserve">the </w:t>
      </w:r>
      <w:r w:rsidRPr="007A3600">
        <w:t>NDIA took steps to bring core work in-house in line with the APS Strategic Commissioning Framework. Our target for 2024</w:t>
      </w:r>
      <w:r w:rsidR="0084363E" w:rsidRPr="007A3600">
        <w:t>–</w:t>
      </w:r>
      <w:r w:rsidRPr="007A3600">
        <w:t xml:space="preserve">25 </w:t>
      </w:r>
      <w:r w:rsidR="00A176C0" w:rsidRPr="007A3600">
        <w:t>was</w:t>
      </w:r>
      <w:r w:rsidR="00CF6967" w:rsidRPr="007A3600">
        <w:t xml:space="preserve"> </w:t>
      </w:r>
      <w:r w:rsidRPr="007A3600">
        <w:t>to bring 1</w:t>
      </w:r>
      <w:r w:rsidR="00C927F1" w:rsidRPr="007A3600">
        <w:t>,</w:t>
      </w:r>
      <w:r w:rsidRPr="007A3600">
        <w:t>032</w:t>
      </w:r>
      <w:r w:rsidR="00C36C57" w:rsidRPr="007A3600">
        <w:t> </w:t>
      </w:r>
      <w:r w:rsidR="00701CAD" w:rsidRPr="007A3600">
        <w:t xml:space="preserve">core </w:t>
      </w:r>
      <w:r w:rsidRPr="007A3600">
        <w:t xml:space="preserve">roles </w:t>
      </w:r>
      <w:r w:rsidR="008D56BF" w:rsidRPr="007A3600">
        <w:t xml:space="preserve">across all job families in-house, </w:t>
      </w:r>
      <w:r w:rsidRPr="007A3600">
        <w:t>at an estimated value of $68</w:t>
      </w:r>
      <w:r w:rsidR="000E777F" w:rsidRPr="007A3600">
        <w:t> </w:t>
      </w:r>
      <w:r w:rsidRPr="007A3600">
        <w:t>m</w:t>
      </w:r>
      <w:r w:rsidR="000E777F" w:rsidRPr="007A3600">
        <w:t>illion</w:t>
      </w:r>
      <w:r w:rsidR="005B70BB" w:rsidRPr="007A3600">
        <w:t xml:space="preserve"> (excl</w:t>
      </w:r>
      <w:r w:rsidR="008341DC" w:rsidRPr="007A3600">
        <w:t>uding</w:t>
      </w:r>
      <w:r w:rsidR="005B70BB" w:rsidRPr="007A3600">
        <w:t xml:space="preserve"> GST)</w:t>
      </w:r>
      <w:r w:rsidRPr="007A3600">
        <w:t xml:space="preserve">. This target was </w:t>
      </w:r>
      <w:r w:rsidR="00F766A6" w:rsidRPr="007A3600">
        <w:t>exceeded</w:t>
      </w:r>
      <w:r w:rsidR="008400EF" w:rsidRPr="007A3600">
        <w:t>, with</w:t>
      </w:r>
      <w:r w:rsidR="00905492">
        <w:t xml:space="preserve"> </w:t>
      </w:r>
      <w:r w:rsidRPr="007A3600">
        <w:t>1</w:t>
      </w:r>
      <w:r w:rsidR="00C927F1" w:rsidRPr="007A3600">
        <w:t>,</w:t>
      </w:r>
      <w:r w:rsidRPr="007A3600">
        <w:t>034 labour hire roles valued at $70</w:t>
      </w:r>
      <w:r w:rsidR="000E777F" w:rsidRPr="007A3600">
        <w:t> </w:t>
      </w:r>
      <w:r w:rsidRPr="007A3600">
        <w:t>m</w:t>
      </w:r>
      <w:r w:rsidR="000E777F" w:rsidRPr="007A3600">
        <w:t>illion</w:t>
      </w:r>
      <w:r w:rsidR="005B70BB" w:rsidRPr="007A3600">
        <w:t xml:space="preserve"> (excl</w:t>
      </w:r>
      <w:r w:rsidR="008341DC" w:rsidRPr="007A3600">
        <w:t>uding</w:t>
      </w:r>
      <w:r w:rsidR="005B70BB" w:rsidRPr="007A3600">
        <w:t xml:space="preserve"> GST)</w:t>
      </w:r>
      <w:r w:rsidRPr="007A3600">
        <w:t xml:space="preserve"> </w:t>
      </w:r>
      <w:r w:rsidR="00081526" w:rsidRPr="007A3600">
        <w:t>replaced with</w:t>
      </w:r>
      <w:r w:rsidRPr="007A3600">
        <w:t xml:space="preserve"> APS</w:t>
      </w:r>
      <w:r w:rsidR="00081526" w:rsidRPr="007A3600">
        <w:t xml:space="preserve"> positions</w:t>
      </w:r>
      <w:r w:rsidR="001D7A63" w:rsidRPr="007A3600">
        <w:t xml:space="preserve"> </w:t>
      </w:r>
      <w:r w:rsidR="00F12AA8" w:rsidRPr="007A3600">
        <w:t>since the end of 2023–24</w:t>
      </w:r>
      <w:r w:rsidRPr="007A3600">
        <w:t>.</w:t>
      </w:r>
    </w:p>
    <w:p w14:paraId="50D80BF1" w14:textId="6AE09087" w:rsidR="00E40166" w:rsidRPr="007A3600" w:rsidRDefault="009112AF" w:rsidP="00AD3197">
      <w:pPr>
        <w:pStyle w:val="Heading3"/>
      </w:pPr>
      <w:bookmarkStart w:id="125" w:name="_Toc207017728"/>
      <w:bookmarkStart w:id="126" w:name="_Toc209695857"/>
      <w:r w:rsidRPr="007A3600">
        <w:t>5</w:t>
      </w:r>
      <w:r w:rsidR="00E40166" w:rsidRPr="007A3600">
        <w:t>.</w:t>
      </w:r>
      <w:r w:rsidR="003E4A68" w:rsidRPr="007A3600">
        <w:t>6</w:t>
      </w:r>
      <w:r w:rsidR="00E40166" w:rsidRPr="007A3600">
        <w:tab/>
      </w:r>
      <w:r w:rsidR="00557FBB" w:rsidRPr="007A3600">
        <w:t xml:space="preserve">Staff conduct </w:t>
      </w:r>
      <w:r w:rsidR="00E40166" w:rsidRPr="007A3600">
        <w:t>policies</w:t>
      </w:r>
      <w:bookmarkEnd w:id="125"/>
      <w:bookmarkEnd w:id="126"/>
    </w:p>
    <w:p w14:paraId="530E01FA" w14:textId="32D959C0" w:rsidR="0076674B" w:rsidRPr="007A3600" w:rsidRDefault="00E40166" w:rsidP="00AD3197">
      <w:r w:rsidRPr="007A3600">
        <w:t>The NDIA is dedicated to the highest ethical standards and behaviour</w:t>
      </w:r>
      <w:r w:rsidR="00D547D7" w:rsidRPr="007A3600">
        <w:t>s</w:t>
      </w:r>
      <w:r w:rsidRPr="007A3600">
        <w:t xml:space="preserve"> </w:t>
      </w:r>
      <w:r w:rsidR="00D547D7" w:rsidRPr="007A3600">
        <w:t>in our</w:t>
      </w:r>
      <w:r w:rsidRPr="007A3600">
        <w:t xml:space="preserve"> workplaces and employment practices. All</w:t>
      </w:r>
      <w:r w:rsidR="00305498" w:rsidRPr="007A3600">
        <w:t xml:space="preserve"> </w:t>
      </w:r>
      <w:r w:rsidRPr="007A3600">
        <w:t xml:space="preserve">staff are required to comply with the APS Values, APS Employment Principles and </w:t>
      </w:r>
      <w:r w:rsidR="0076674B" w:rsidRPr="007A3600">
        <w:t xml:space="preserve">the </w:t>
      </w:r>
      <w:r w:rsidRPr="007A3600">
        <w:t xml:space="preserve">APS Code of Conduct </w:t>
      </w:r>
      <w:r w:rsidR="0076674B" w:rsidRPr="007A3600">
        <w:t>under</w:t>
      </w:r>
      <w:r w:rsidRPr="007A3600">
        <w:t xml:space="preserve"> the </w:t>
      </w:r>
      <w:r w:rsidRPr="007A3600">
        <w:rPr>
          <w:i/>
          <w:iCs/>
        </w:rPr>
        <w:t>Public Service Act 1999</w:t>
      </w:r>
      <w:r w:rsidRPr="007A3600">
        <w:t xml:space="preserve"> (Cth). </w:t>
      </w:r>
    </w:p>
    <w:p w14:paraId="4DF92588" w14:textId="41B7A2CA" w:rsidR="002613FF" w:rsidRPr="007A3600" w:rsidRDefault="002613FF" w:rsidP="00AD3197">
      <w:pPr>
        <w:pStyle w:val="Heading4"/>
      </w:pPr>
      <w:bookmarkStart w:id="127" w:name="_Toc207017729"/>
      <w:r w:rsidRPr="007A3600">
        <w:t>Safe and Respectful Workplace Framework</w:t>
      </w:r>
      <w:bookmarkEnd w:id="127"/>
    </w:p>
    <w:p w14:paraId="233D21B6" w14:textId="6AAA4AEB" w:rsidR="00BF123E" w:rsidRPr="007A3600" w:rsidRDefault="00E40166" w:rsidP="00AD3197">
      <w:r w:rsidRPr="007A3600">
        <w:t xml:space="preserve">Through the Safe and Respectful Workplace Framework, </w:t>
      </w:r>
      <w:r w:rsidR="00276B64" w:rsidRPr="007A3600">
        <w:t>we are</w:t>
      </w:r>
      <w:r w:rsidRPr="007A3600">
        <w:t xml:space="preserve"> </w:t>
      </w:r>
      <w:r w:rsidR="00BD7180" w:rsidRPr="007A3600">
        <w:t>building</w:t>
      </w:r>
      <w:r w:rsidRPr="007A3600">
        <w:t xml:space="preserve"> a positive and inclusive workplace where everyone is</w:t>
      </w:r>
      <w:r w:rsidR="00557FBB" w:rsidRPr="007A3600">
        <w:t xml:space="preserve"> safe, treated fairly and respectfully, and supported to speak up.</w:t>
      </w:r>
    </w:p>
    <w:p w14:paraId="2C94C253" w14:textId="0328C880" w:rsidR="00C16D79" w:rsidRPr="007A3600" w:rsidRDefault="00C16D79" w:rsidP="00AD3197">
      <w:r w:rsidRPr="007A3600">
        <w:lastRenderedPageBreak/>
        <w:t>The NDIA has zero tolerance for unacceptable behaviours. This includes all forms of bullying, harassment, sexual harassment, discrimination, violence, aggression and victimisation in the workplace or in connection with work.</w:t>
      </w:r>
      <w:r w:rsidR="00127633" w:rsidRPr="007A3600">
        <w:t xml:space="preserve"> Support is available to all NDIA staff </w:t>
      </w:r>
      <w:r w:rsidR="00E16025" w:rsidRPr="007A3600">
        <w:t xml:space="preserve">who may be affected. </w:t>
      </w:r>
    </w:p>
    <w:p w14:paraId="35B4B5CD" w14:textId="3CCBF640" w:rsidR="00033BCD" w:rsidRPr="007A3600" w:rsidRDefault="00033BCD" w:rsidP="00AD3197">
      <w:pPr>
        <w:pStyle w:val="Heading4"/>
      </w:pPr>
      <w:r w:rsidRPr="007A3600">
        <w:t>Staff obligations and support</w:t>
      </w:r>
    </w:p>
    <w:p w14:paraId="2935A1C3" w14:textId="09C1DD9C" w:rsidR="009352E4" w:rsidRPr="007A3600" w:rsidRDefault="00E40166" w:rsidP="00AD3197">
      <w:r w:rsidRPr="007A3600">
        <w:t xml:space="preserve">All NDIA staff </w:t>
      </w:r>
      <w:r w:rsidR="009E7E1C" w:rsidRPr="007A3600">
        <w:t>share responsibility</w:t>
      </w:r>
      <w:r w:rsidR="009E7E1C" w:rsidRPr="007A3600" w:rsidDel="00250EB1">
        <w:t xml:space="preserve"> </w:t>
      </w:r>
      <w:r w:rsidR="009E7E1C" w:rsidRPr="007A3600">
        <w:t xml:space="preserve">for </w:t>
      </w:r>
      <w:r w:rsidRPr="007A3600">
        <w:t>contribut</w:t>
      </w:r>
      <w:r w:rsidR="009E7E1C" w:rsidRPr="007A3600">
        <w:t xml:space="preserve">ing </w:t>
      </w:r>
      <w:r w:rsidRPr="007A3600">
        <w:t xml:space="preserve">to </w:t>
      </w:r>
      <w:r w:rsidR="009E7E1C" w:rsidRPr="007A3600">
        <w:t xml:space="preserve">a </w:t>
      </w:r>
      <w:r w:rsidRPr="007A3600">
        <w:t xml:space="preserve">safe and respectful culture. To </w:t>
      </w:r>
      <w:r w:rsidR="009352E4" w:rsidRPr="007A3600">
        <w:t>support this</w:t>
      </w:r>
      <w:r w:rsidRPr="007A3600">
        <w:t xml:space="preserve">, </w:t>
      </w:r>
      <w:r w:rsidR="009352E4" w:rsidRPr="007A3600">
        <w:t>we</w:t>
      </w:r>
      <w:r w:rsidRPr="007A3600">
        <w:t xml:space="preserve"> provide</w:t>
      </w:r>
      <w:r w:rsidR="009352E4" w:rsidRPr="007A3600">
        <w:t>:</w:t>
      </w:r>
    </w:p>
    <w:p w14:paraId="10A6CD1C" w14:textId="1B3A23DB" w:rsidR="00005AA1" w:rsidRPr="007A3600" w:rsidRDefault="009352E4" w:rsidP="00AD3197">
      <w:pPr>
        <w:pStyle w:val="Bullet1"/>
      </w:pPr>
      <w:r w:rsidRPr="007A3600">
        <w:t>compul</w:t>
      </w:r>
      <w:r w:rsidR="00005AA1" w:rsidRPr="007A3600">
        <w:t>sory</w:t>
      </w:r>
      <w:r w:rsidR="00E40166" w:rsidRPr="007A3600">
        <w:t xml:space="preserve"> training programs</w:t>
      </w:r>
    </w:p>
    <w:p w14:paraId="70F0C92D" w14:textId="750F86F5" w:rsidR="00005AA1" w:rsidRPr="007A3600" w:rsidRDefault="00005AA1" w:rsidP="00AD3197">
      <w:pPr>
        <w:pStyle w:val="Bullet1"/>
      </w:pPr>
      <w:r w:rsidRPr="007A3600">
        <w:t xml:space="preserve">clear </w:t>
      </w:r>
      <w:r w:rsidR="00E40166" w:rsidRPr="007A3600">
        <w:t>policies and guidelines</w:t>
      </w:r>
    </w:p>
    <w:p w14:paraId="4A070CA9" w14:textId="2197C815" w:rsidR="00E826C5" w:rsidRPr="007A3600" w:rsidRDefault="00E826C5" w:rsidP="00AD3197">
      <w:pPr>
        <w:pStyle w:val="Bullet1"/>
      </w:pPr>
      <w:r w:rsidRPr="007A3600">
        <w:t>internal communications and updates to support a workplace environment that values inclusion and respect</w:t>
      </w:r>
    </w:p>
    <w:p w14:paraId="7099BD20" w14:textId="5E6E6CE1" w:rsidR="00E40166" w:rsidRPr="007A3600" w:rsidRDefault="00366C29" w:rsidP="00AD3197">
      <w:pPr>
        <w:pStyle w:val="Bullet1"/>
      </w:pPr>
      <w:r w:rsidRPr="007A3600">
        <w:t xml:space="preserve">accessible supports </w:t>
      </w:r>
      <w:r w:rsidR="000154E0" w:rsidRPr="007A3600">
        <w:t>for managers and staff</w:t>
      </w:r>
      <w:r w:rsidR="00305498" w:rsidRPr="007A3600">
        <w:t>.</w:t>
      </w:r>
    </w:p>
    <w:p w14:paraId="45AA07BC" w14:textId="7834E67D" w:rsidR="009161A4" w:rsidRPr="007A3600" w:rsidRDefault="00E40166" w:rsidP="00AD3197">
      <w:r w:rsidRPr="007A3600">
        <w:t xml:space="preserve">Possible breaches of the Code of Conduct are taken seriously, </w:t>
      </w:r>
      <w:r w:rsidR="00250EB1" w:rsidRPr="007A3600">
        <w:t xml:space="preserve">and we take </w:t>
      </w:r>
      <w:r w:rsidRPr="007A3600">
        <w:t xml:space="preserve">appropriate action </w:t>
      </w:r>
      <w:r w:rsidR="009161A4" w:rsidRPr="007A3600">
        <w:t>where required</w:t>
      </w:r>
      <w:r w:rsidR="00916147" w:rsidRPr="007A3600">
        <w:t>.</w:t>
      </w:r>
    </w:p>
    <w:p w14:paraId="1CC3BFC1" w14:textId="057F68CD" w:rsidR="000F1E6F" w:rsidRPr="007A3600" w:rsidRDefault="009112AF" w:rsidP="00AD3197">
      <w:pPr>
        <w:pStyle w:val="Heading3"/>
      </w:pPr>
      <w:bookmarkStart w:id="128" w:name="_6.8_Executive_remuneration"/>
      <w:bookmarkStart w:id="129" w:name="_5.7_Executive_remuneration"/>
      <w:bookmarkStart w:id="130" w:name="_Toc207017730"/>
      <w:bookmarkStart w:id="131" w:name="_Toc209695858"/>
      <w:bookmarkEnd w:id="128"/>
      <w:bookmarkEnd w:id="129"/>
      <w:r w:rsidRPr="007A3600">
        <w:t>5</w:t>
      </w:r>
      <w:r w:rsidR="0070426C" w:rsidRPr="007A3600">
        <w:t>.</w:t>
      </w:r>
      <w:r w:rsidR="003E4A68" w:rsidRPr="007A3600">
        <w:t>7</w:t>
      </w:r>
      <w:r w:rsidR="0070426C" w:rsidRPr="007A3600">
        <w:tab/>
        <w:t>Executive remuneration</w:t>
      </w:r>
      <w:bookmarkEnd w:id="130"/>
      <w:bookmarkEnd w:id="131"/>
    </w:p>
    <w:p w14:paraId="1FAEC3B7" w14:textId="6A420F73" w:rsidR="007A5B6C" w:rsidRPr="007A3600" w:rsidRDefault="00A178F9" w:rsidP="00AD3197">
      <w:r w:rsidRPr="007A3600">
        <w:t xml:space="preserve">This section </w:t>
      </w:r>
      <w:r w:rsidR="00D9685C" w:rsidRPr="007A3600">
        <w:t xml:space="preserve">sets out </w:t>
      </w:r>
      <w:r w:rsidRPr="007A3600">
        <w:t xml:space="preserve">the NDIA’s </w:t>
      </w:r>
      <w:r w:rsidR="00AC6740" w:rsidRPr="007A3600">
        <w:t xml:space="preserve">approach to executive </w:t>
      </w:r>
      <w:r w:rsidRPr="007A3600">
        <w:t xml:space="preserve">remuneration </w:t>
      </w:r>
      <w:r w:rsidR="00AC6740" w:rsidRPr="007A3600">
        <w:t xml:space="preserve">and discloses </w:t>
      </w:r>
      <w:r w:rsidR="007A5B6C" w:rsidRPr="007A3600">
        <w:t>payments made to:</w:t>
      </w:r>
    </w:p>
    <w:p w14:paraId="7073DBBF" w14:textId="0357A34B" w:rsidR="007A5B6C" w:rsidRPr="007A3600" w:rsidRDefault="00A178F9" w:rsidP="00AD3197">
      <w:pPr>
        <w:pStyle w:val="Bullet1"/>
      </w:pPr>
      <w:r w:rsidRPr="007A3600">
        <w:t>key management personnel</w:t>
      </w:r>
    </w:p>
    <w:p w14:paraId="721A17C1" w14:textId="7338B800" w:rsidR="007A5B6C" w:rsidRPr="007A3600" w:rsidRDefault="00A178F9" w:rsidP="00AD3197">
      <w:pPr>
        <w:pStyle w:val="Bullet1"/>
      </w:pPr>
      <w:r w:rsidRPr="007A3600">
        <w:t xml:space="preserve">senior executives </w:t>
      </w:r>
    </w:p>
    <w:p w14:paraId="2D4A470D" w14:textId="77777777" w:rsidR="007A5B6C" w:rsidRPr="007A3600" w:rsidRDefault="00A178F9" w:rsidP="00AD3197">
      <w:pPr>
        <w:pStyle w:val="Bullet1"/>
      </w:pPr>
      <w:r w:rsidRPr="007A3600">
        <w:t>other highly paid staff</w:t>
      </w:r>
      <w:r w:rsidR="007A5B6C" w:rsidRPr="007A3600">
        <w:t>.</w:t>
      </w:r>
    </w:p>
    <w:p w14:paraId="1D5DCE2E" w14:textId="1016C940" w:rsidR="0070426C" w:rsidRPr="007A3600" w:rsidRDefault="00557FBB" w:rsidP="00AD3197">
      <w:r w:rsidRPr="007A3600">
        <w:t>The r</w:t>
      </w:r>
      <w:r w:rsidR="007A5B6C" w:rsidRPr="007A3600">
        <w:t xml:space="preserve">eporting </w:t>
      </w:r>
      <w:r w:rsidRPr="007A3600">
        <w:t xml:space="preserve">in this section reflects </w:t>
      </w:r>
      <w:r w:rsidR="00937311" w:rsidRPr="007A3600">
        <w:t xml:space="preserve">the requirements of the </w:t>
      </w:r>
      <w:r w:rsidR="00D1345F" w:rsidRPr="007A3600">
        <w:t>Public Governance, Performance and Accountability Rule 2014 (PGPA Rule)</w:t>
      </w:r>
      <w:r w:rsidR="00937311" w:rsidRPr="007A3600">
        <w:t>.</w:t>
      </w:r>
    </w:p>
    <w:p w14:paraId="246D17A0" w14:textId="2950F6D0" w:rsidR="0070426C" w:rsidRPr="007A3600" w:rsidRDefault="0070426C" w:rsidP="00AD3197">
      <w:pPr>
        <w:pStyle w:val="Heading4"/>
      </w:pPr>
      <w:bookmarkStart w:id="132" w:name="_Remuneration_policies,_practices"/>
      <w:bookmarkStart w:id="133" w:name="_Toc207017731"/>
      <w:bookmarkEnd w:id="132"/>
      <w:r w:rsidRPr="007A3600">
        <w:t>Remuneration policies</w:t>
      </w:r>
      <w:r w:rsidR="00C269EB" w:rsidRPr="007A3600">
        <w:t>,</w:t>
      </w:r>
      <w:r w:rsidRPr="007A3600">
        <w:t xml:space="preserve"> practices and governance</w:t>
      </w:r>
      <w:bookmarkEnd w:id="133"/>
      <w:r w:rsidRPr="007A3600">
        <w:t xml:space="preserve"> </w:t>
      </w:r>
    </w:p>
    <w:p w14:paraId="301AA690" w14:textId="15C33060" w:rsidR="00092B2B" w:rsidRPr="007A3600" w:rsidRDefault="00092B2B" w:rsidP="00AD3197">
      <w:pPr>
        <w:pStyle w:val="Heading5"/>
      </w:pPr>
      <w:r w:rsidRPr="007A3600">
        <w:t>Board and C</w:t>
      </w:r>
      <w:r w:rsidR="00506A11" w:rsidRPr="007A3600">
        <w:t>hief Executive Officer</w:t>
      </w:r>
    </w:p>
    <w:p w14:paraId="16E8C20F" w14:textId="3F1F5377" w:rsidR="00340CB0" w:rsidRPr="007A3600" w:rsidRDefault="00557FBB" w:rsidP="00AD3197">
      <w:pPr>
        <w:pStyle w:val="Bullet1"/>
      </w:pPr>
      <w:r w:rsidRPr="007A3600">
        <w:t xml:space="preserve">The </w:t>
      </w:r>
      <w:r w:rsidR="002501EA" w:rsidRPr="007A3600">
        <w:t>Chair</w:t>
      </w:r>
      <w:r w:rsidRPr="007A3600">
        <w:t>,</w:t>
      </w:r>
      <w:r w:rsidR="002501EA" w:rsidRPr="007A3600">
        <w:t xml:space="preserve"> Board </w:t>
      </w:r>
      <w:r w:rsidR="006E0B80" w:rsidRPr="007A3600">
        <w:t>members</w:t>
      </w:r>
      <w:r w:rsidRPr="007A3600">
        <w:t xml:space="preserve"> and CEO</w:t>
      </w:r>
      <w:r w:rsidR="006E0B80" w:rsidRPr="007A3600">
        <w:t xml:space="preserve"> </w:t>
      </w:r>
      <w:r w:rsidRPr="007A3600">
        <w:t xml:space="preserve">are </w:t>
      </w:r>
      <w:r w:rsidR="002501EA" w:rsidRPr="007A3600">
        <w:t xml:space="preserve">remunerated </w:t>
      </w:r>
      <w:r w:rsidR="0051347D" w:rsidRPr="007A3600">
        <w:t>under</w:t>
      </w:r>
      <w:r w:rsidR="000E777F" w:rsidRPr="007A3600">
        <w:t xml:space="preserve"> </w:t>
      </w:r>
      <w:r w:rsidR="002501EA" w:rsidRPr="007A3600">
        <w:t xml:space="preserve">the </w:t>
      </w:r>
      <w:r w:rsidRPr="007A3600">
        <w:t xml:space="preserve">determinations made from time to time by the Remuneration Tribunal under </w:t>
      </w:r>
      <w:r w:rsidR="002501EA" w:rsidRPr="007A3600">
        <w:t xml:space="preserve">the </w:t>
      </w:r>
      <w:r w:rsidR="002501EA" w:rsidRPr="007A3600">
        <w:rPr>
          <w:i/>
          <w:iCs/>
        </w:rPr>
        <w:t>Remuneration Tribunal Act 1973</w:t>
      </w:r>
      <w:r w:rsidR="002501EA" w:rsidRPr="007A3600">
        <w:t xml:space="preserve"> (Cth)</w:t>
      </w:r>
      <w:r w:rsidR="00AD29F0" w:rsidRPr="007A3600">
        <w:t>.</w:t>
      </w:r>
    </w:p>
    <w:p w14:paraId="54848CAB" w14:textId="67CBA662" w:rsidR="00B778A4" w:rsidRPr="007A3600" w:rsidRDefault="00B778A4" w:rsidP="00AD3197">
      <w:pPr>
        <w:pStyle w:val="Heading5"/>
      </w:pPr>
      <w:r w:rsidRPr="007A3600">
        <w:lastRenderedPageBreak/>
        <w:t xml:space="preserve">Senior </w:t>
      </w:r>
      <w:r w:rsidR="006D1ACD" w:rsidRPr="007A3600">
        <w:t>e</w:t>
      </w:r>
      <w:r w:rsidRPr="007A3600">
        <w:t xml:space="preserve">xecutives and </w:t>
      </w:r>
      <w:r w:rsidR="00AB00A4" w:rsidRPr="007A3600">
        <w:t>o</w:t>
      </w:r>
      <w:r w:rsidR="002501EA" w:rsidRPr="007A3600">
        <w:t xml:space="preserve">ther highly paid staff </w:t>
      </w:r>
    </w:p>
    <w:p w14:paraId="4623DC72" w14:textId="723A5115" w:rsidR="00D96F10" w:rsidRPr="007A3600" w:rsidRDefault="00652601" w:rsidP="00AD3197">
      <w:pPr>
        <w:pStyle w:val="Bullet1"/>
      </w:pPr>
      <w:r>
        <w:t>Senior Executive Service (</w:t>
      </w:r>
      <w:r w:rsidR="00503B34" w:rsidRPr="007A3600">
        <w:t>SES</w:t>
      </w:r>
      <w:r>
        <w:t>)</w:t>
      </w:r>
      <w:r w:rsidR="00503B34" w:rsidRPr="007A3600">
        <w:t xml:space="preserve"> employees</w:t>
      </w:r>
      <w:r w:rsidR="00557FBB" w:rsidRPr="007A3600">
        <w:t xml:space="preserve"> are </w:t>
      </w:r>
      <w:r w:rsidR="00503B34" w:rsidRPr="007A3600">
        <w:t>remunerat</w:t>
      </w:r>
      <w:r w:rsidR="00557FBB" w:rsidRPr="007A3600">
        <w:t>ed</w:t>
      </w:r>
      <w:r w:rsidR="00503B34" w:rsidRPr="007A3600">
        <w:t xml:space="preserve"> and </w:t>
      </w:r>
      <w:r w:rsidR="00557FBB" w:rsidRPr="007A3600">
        <w:t xml:space="preserve">subject to </w:t>
      </w:r>
      <w:r w:rsidR="00503B34" w:rsidRPr="007A3600">
        <w:t>employment condition</w:t>
      </w:r>
      <w:r w:rsidR="00F9583D" w:rsidRPr="007A3600">
        <w:t>s</w:t>
      </w:r>
      <w:r w:rsidR="00503B34" w:rsidRPr="007A3600">
        <w:t xml:space="preserve"> </w:t>
      </w:r>
      <w:r w:rsidR="00557FBB" w:rsidRPr="007A3600">
        <w:t xml:space="preserve">that are </w:t>
      </w:r>
      <w:r w:rsidR="00503B34" w:rsidRPr="007A3600">
        <w:t>individual</w:t>
      </w:r>
      <w:r w:rsidR="00557FBB" w:rsidRPr="007A3600">
        <w:t>ly</w:t>
      </w:r>
      <w:r w:rsidR="00503B34" w:rsidRPr="007A3600">
        <w:t xml:space="preserve"> determin</w:t>
      </w:r>
      <w:r w:rsidR="00557FBB" w:rsidRPr="007A3600">
        <w:t>ed</w:t>
      </w:r>
      <w:r w:rsidR="00503B34" w:rsidRPr="007A3600">
        <w:t xml:space="preserve"> under the </w:t>
      </w:r>
      <w:r w:rsidR="00503B34" w:rsidRPr="007A3600">
        <w:rPr>
          <w:i/>
          <w:iCs/>
        </w:rPr>
        <w:t>Public Service Act 1999</w:t>
      </w:r>
      <w:r w:rsidR="008F48BD" w:rsidRPr="007A3600">
        <w:t>.</w:t>
      </w:r>
    </w:p>
    <w:p w14:paraId="1C7436F2" w14:textId="78A6FAA6" w:rsidR="00875B77" w:rsidRPr="007A3600" w:rsidRDefault="00F9583D" w:rsidP="00AD3197">
      <w:pPr>
        <w:pStyle w:val="Bullet1"/>
      </w:pPr>
      <w:r w:rsidRPr="007A3600">
        <w:t>O</w:t>
      </w:r>
      <w:r w:rsidR="00D96F10" w:rsidRPr="007A3600">
        <w:t>ther highly paid staff (excluding SES</w:t>
      </w:r>
      <w:r w:rsidR="0017696A" w:rsidRPr="007A3600">
        <w:t xml:space="preserve"> employees</w:t>
      </w:r>
      <w:r w:rsidR="00D96F10" w:rsidRPr="007A3600">
        <w:t>)</w:t>
      </w:r>
      <w:r w:rsidR="00557FBB" w:rsidRPr="007A3600">
        <w:t xml:space="preserve"> are</w:t>
      </w:r>
      <w:r w:rsidR="00D96F10" w:rsidRPr="007A3600">
        <w:t xml:space="preserve"> </w:t>
      </w:r>
      <w:r w:rsidR="002501EA" w:rsidRPr="007A3600">
        <w:t xml:space="preserve">remunerated </w:t>
      </w:r>
      <w:r w:rsidR="00175D2B" w:rsidRPr="007A3600">
        <w:t>under</w:t>
      </w:r>
      <w:r w:rsidR="002501EA" w:rsidRPr="007A3600">
        <w:t xml:space="preserve"> </w:t>
      </w:r>
      <w:r w:rsidR="00557FBB" w:rsidRPr="007A3600">
        <w:t xml:space="preserve">and subject to the employment conditions set out in </w:t>
      </w:r>
      <w:r w:rsidR="002501EA" w:rsidRPr="007A3600">
        <w:t>the NDIA Enterprise Agreement 2024–27.</w:t>
      </w:r>
    </w:p>
    <w:p w14:paraId="0AF8964F" w14:textId="57573C9D" w:rsidR="007A72B5" w:rsidRPr="007A3600" w:rsidRDefault="007A72B5" w:rsidP="00AD3197">
      <w:r w:rsidRPr="007A3600">
        <w:t xml:space="preserve">The NDIA Enterprise Agreement 2024–27 is supported by </w:t>
      </w:r>
      <w:r w:rsidR="00557FBB" w:rsidRPr="007A3600">
        <w:t>a range of policies, including in relation to remuneration.</w:t>
      </w:r>
    </w:p>
    <w:p w14:paraId="4B73D24A" w14:textId="79569E01" w:rsidR="00875B77" w:rsidRPr="007A3600" w:rsidRDefault="00875B77" w:rsidP="00AD3197">
      <w:pPr>
        <w:pStyle w:val="Heading5"/>
      </w:pPr>
      <w:r w:rsidRPr="007A3600">
        <w:t>Reporting scope</w:t>
      </w:r>
    </w:p>
    <w:p w14:paraId="3D6EBCB1" w14:textId="119F99E9" w:rsidR="00685F41" w:rsidRPr="007A3600" w:rsidRDefault="002501EA" w:rsidP="00AD3197">
      <w:r w:rsidRPr="007A3600">
        <w:t>For executive remuneration reporting</w:t>
      </w:r>
      <w:r w:rsidR="005008D2" w:rsidRPr="007A3600">
        <w:t xml:space="preserve"> purposes,</w:t>
      </w:r>
      <w:r w:rsidR="00685F41" w:rsidRPr="007A3600">
        <w:t xml:space="preserve"> renumeration includes:</w:t>
      </w:r>
    </w:p>
    <w:p w14:paraId="672FFD6C" w14:textId="720809A3" w:rsidR="00685F41" w:rsidRPr="007A3600" w:rsidRDefault="002501EA" w:rsidP="00AD3197">
      <w:pPr>
        <w:pStyle w:val="Bullet1"/>
      </w:pPr>
      <w:r w:rsidRPr="007A3600">
        <w:t>salary</w:t>
      </w:r>
    </w:p>
    <w:p w14:paraId="4CD61561" w14:textId="32E03392" w:rsidR="000D5CD0" w:rsidRPr="007A3600" w:rsidRDefault="002501EA" w:rsidP="00AD3197">
      <w:pPr>
        <w:pStyle w:val="Bullet1"/>
      </w:pPr>
      <w:r w:rsidRPr="007A3600">
        <w:t>superannuation</w:t>
      </w:r>
    </w:p>
    <w:p w14:paraId="650F07EB" w14:textId="5E273D28" w:rsidR="000D5CD0" w:rsidRPr="007A3600" w:rsidRDefault="002501EA" w:rsidP="00AD3197">
      <w:pPr>
        <w:pStyle w:val="Bullet1"/>
      </w:pPr>
      <w:r w:rsidRPr="007A3600">
        <w:t>allowances</w:t>
      </w:r>
    </w:p>
    <w:p w14:paraId="723BF72B" w14:textId="696C2C21" w:rsidR="00B80A54" w:rsidRPr="007A3600" w:rsidRDefault="000D5CD0" w:rsidP="00AD3197">
      <w:pPr>
        <w:pStyle w:val="Bullet1"/>
      </w:pPr>
      <w:r w:rsidRPr="007A3600">
        <w:t xml:space="preserve">other </w:t>
      </w:r>
      <w:r w:rsidR="002501EA" w:rsidRPr="007A3600">
        <w:t>salary payments or remuneration benefits for key management personnel and other highly paid staff.</w:t>
      </w:r>
    </w:p>
    <w:p w14:paraId="2DFF6836" w14:textId="77777777" w:rsidR="00EA599A" w:rsidRPr="007A3600" w:rsidRDefault="00EA599A" w:rsidP="00AD3197">
      <w:pPr>
        <w:pStyle w:val="Heading4"/>
        <w:sectPr w:rsidR="00EA599A" w:rsidRPr="007A3600" w:rsidSect="000F17C1">
          <w:headerReference w:type="even" r:id="rId95"/>
          <w:headerReference w:type="default" r:id="rId96"/>
          <w:footerReference w:type="default" r:id="rId97"/>
          <w:headerReference w:type="first" r:id="rId98"/>
          <w:footerReference w:type="first" r:id="rId99"/>
          <w:pgSz w:w="11906" w:h="16838" w:code="9"/>
          <w:pgMar w:top="142" w:right="1440" w:bottom="1701" w:left="1440" w:header="561" w:footer="374" w:gutter="0"/>
          <w:cols w:space="708"/>
          <w:titlePg/>
          <w:docGrid w:linePitch="360"/>
        </w:sectPr>
      </w:pPr>
    </w:p>
    <w:p w14:paraId="7B5E8640" w14:textId="7A32BBD3" w:rsidR="00FF2477" w:rsidRPr="007A3600" w:rsidRDefault="00FF2477" w:rsidP="00AD3197">
      <w:pPr>
        <w:pStyle w:val="Heading2"/>
        <w:rPr>
          <w:color w:val="6B2976"/>
          <w:sz w:val="36"/>
        </w:rPr>
      </w:pPr>
      <w:bookmarkStart w:id="134" w:name="_Toc207017733"/>
      <w:bookmarkStart w:id="135" w:name="_Toc209695859"/>
      <w:r w:rsidRPr="007A3600">
        <w:lastRenderedPageBreak/>
        <w:t xml:space="preserve">Section </w:t>
      </w:r>
      <w:r w:rsidR="009112AF" w:rsidRPr="007A3600">
        <w:t>6</w:t>
      </w:r>
      <w:r w:rsidRPr="007A3600">
        <w:t xml:space="preserve">: </w:t>
      </w:r>
      <w:r w:rsidR="000266B0" w:rsidRPr="007A3600">
        <w:t>Risk</w:t>
      </w:r>
      <w:bookmarkEnd w:id="134"/>
      <w:bookmarkEnd w:id="135"/>
      <w:r w:rsidRPr="007A3600">
        <w:br w:type="page"/>
      </w:r>
    </w:p>
    <w:p w14:paraId="2D3BC6F9" w14:textId="635518D0" w:rsidR="000266B0" w:rsidRPr="007A3600" w:rsidRDefault="009112AF" w:rsidP="00AD3197">
      <w:pPr>
        <w:pStyle w:val="Heading3"/>
      </w:pPr>
      <w:bookmarkStart w:id="136" w:name="_7.1_Overview_of"/>
      <w:bookmarkStart w:id="137" w:name="_Toc207017734"/>
      <w:bookmarkStart w:id="138" w:name="_Toc209695860"/>
      <w:bookmarkEnd w:id="136"/>
      <w:r w:rsidRPr="007A3600">
        <w:lastRenderedPageBreak/>
        <w:t>6</w:t>
      </w:r>
      <w:r w:rsidR="000266B0" w:rsidRPr="007A3600">
        <w:t>.1</w:t>
      </w:r>
      <w:r w:rsidR="000266B0" w:rsidRPr="007A3600">
        <w:tab/>
      </w:r>
      <w:bookmarkEnd w:id="137"/>
      <w:r w:rsidR="00305498" w:rsidRPr="007A3600">
        <w:t xml:space="preserve">Risk </w:t>
      </w:r>
      <w:r w:rsidR="00F9583D" w:rsidRPr="007A3600">
        <w:t>m</w:t>
      </w:r>
      <w:r w:rsidR="00305498" w:rsidRPr="007A3600">
        <w:t>anagement</w:t>
      </w:r>
      <w:bookmarkEnd w:id="138"/>
    </w:p>
    <w:p w14:paraId="0D395FC2" w14:textId="00E70C38" w:rsidR="001C2469" w:rsidRPr="007A3600" w:rsidRDefault="000A33CE" w:rsidP="00AD3197">
      <w:r w:rsidRPr="007A3600">
        <w:t>The NDIA</w:t>
      </w:r>
      <w:r w:rsidRPr="007A3600" w:rsidDel="00F9583D">
        <w:t xml:space="preserve"> </w:t>
      </w:r>
      <w:r w:rsidR="00F9583D" w:rsidRPr="007A3600">
        <w:t xml:space="preserve">has </w:t>
      </w:r>
      <w:r w:rsidRPr="007A3600">
        <w:t>a structured approach to identifying, managing, escalating and communicating key risks</w:t>
      </w:r>
      <w:r w:rsidR="001C2469" w:rsidRPr="007A3600">
        <w:t xml:space="preserve"> relating to the NDIA and the NDIS</w:t>
      </w:r>
      <w:r w:rsidRPr="007A3600">
        <w:t xml:space="preserve">. </w:t>
      </w:r>
    </w:p>
    <w:p w14:paraId="43FFB900" w14:textId="3ACC71CC" w:rsidR="000A33CE" w:rsidRPr="007A3600" w:rsidRDefault="001C2469" w:rsidP="00AD3197">
      <w:r w:rsidRPr="007A3600">
        <w:t>During 2024</w:t>
      </w:r>
      <w:r w:rsidR="006502AA" w:rsidRPr="007A3600">
        <w:t>–</w:t>
      </w:r>
      <w:r w:rsidRPr="007A3600">
        <w:t xml:space="preserve">25, </w:t>
      </w:r>
      <w:r w:rsidR="000A33CE" w:rsidRPr="007A3600">
        <w:t xml:space="preserve">the </w:t>
      </w:r>
      <w:r w:rsidR="00CF6967" w:rsidRPr="007A3600">
        <w:t xml:space="preserve">Board reviewed and approved the </w:t>
      </w:r>
      <w:r w:rsidRPr="007A3600">
        <w:t xml:space="preserve">NDIA’s </w:t>
      </w:r>
      <w:r w:rsidR="000A33CE" w:rsidRPr="007A3600">
        <w:t>Risk Management Strategy</w:t>
      </w:r>
      <w:r w:rsidRPr="007A3600">
        <w:t>,</w:t>
      </w:r>
      <w:r w:rsidR="000A33CE" w:rsidRPr="007A3600">
        <w:t xml:space="preserve"> </w:t>
      </w:r>
      <w:r w:rsidRPr="007A3600">
        <w:t>Risk Appetite Statement and strategic risks.</w:t>
      </w:r>
    </w:p>
    <w:p w14:paraId="0653ED49" w14:textId="0EDD1854" w:rsidR="001C2469" w:rsidRPr="007A3600" w:rsidRDefault="000A33CE" w:rsidP="00AD3197">
      <w:r w:rsidRPr="007A3600">
        <w:t>The NDIA identified 8</w:t>
      </w:r>
      <w:r w:rsidR="00CF6967" w:rsidRPr="007A3600">
        <w:t> </w:t>
      </w:r>
      <w:r w:rsidRPr="007A3600">
        <w:t xml:space="preserve">strategic risks for 2024–25 </w:t>
      </w:r>
      <w:r w:rsidR="001C2469" w:rsidRPr="007A3600">
        <w:t xml:space="preserve">relating to </w:t>
      </w:r>
      <w:r w:rsidR="008947E5" w:rsidRPr="007A3600">
        <w:t xml:space="preserve">NDIS </w:t>
      </w:r>
      <w:r w:rsidRPr="007A3600">
        <w:t xml:space="preserve">outcomes, participant experience, partner and provider performance, Scheme sustainability, people capability capacity and wellbeing, integrity, safeguarding our information, and </w:t>
      </w:r>
      <w:r w:rsidR="008947E5" w:rsidRPr="007A3600">
        <w:t xml:space="preserve">NDIA </w:t>
      </w:r>
      <w:r w:rsidRPr="007A3600">
        <w:t xml:space="preserve">and </w:t>
      </w:r>
      <w:r w:rsidR="008947E5" w:rsidRPr="007A3600">
        <w:t xml:space="preserve">NDIS </w:t>
      </w:r>
      <w:r w:rsidRPr="007A3600">
        <w:t xml:space="preserve">transformation. </w:t>
      </w:r>
    </w:p>
    <w:p w14:paraId="6376B5A3" w14:textId="3099F4F4" w:rsidR="000A33CE" w:rsidRPr="007A3600" w:rsidRDefault="001C2469" w:rsidP="00AD3197">
      <w:r w:rsidRPr="007A3600">
        <w:t>Each of t</w:t>
      </w:r>
      <w:r w:rsidR="000A33CE" w:rsidRPr="007A3600">
        <w:t xml:space="preserve">he strategic risks </w:t>
      </w:r>
      <w:r w:rsidRPr="007A3600">
        <w:t xml:space="preserve">is </w:t>
      </w:r>
      <w:r w:rsidR="000A33CE" w:rsidRPr="007A3600">
        <w:t xml:space="preserve">monitored against mitigation strategies and key risk indicators, </w:t>
      </w:r>
      <w:r w:rsidRPr="007A3600">
        <w:t xml:space="preserve">with </w:t>
      </w:r>
      <w:r w:rsidR="000A33CE" w:rsidRPr="007A3600">
        <w:t xml:space="preserve">performance reported quarterly to the Board Audit and Risk Committee and </w:t>
      </w:r>
      <w:r w:rsidRPr="007A3600">
        <w:t xml:space="preserve">the </w:t>
      </w:r>
      <w:r w:rsidR="000A33CE" w:rsidRPr="007A3600">
        <w:t>Board.</w:t>
      </w:r>
      <w:r w:rsidR="00D402B2" w:rsidRPr="007A3600">
        <w:t xml:space="preserve"> </w:t>
      </w:r>
      <w:r w:rsidRPr="007A3600">
        <w:t xml:space="preserve">In addition to strategic risk monitoring, the NDIA assesses, monitors and manages </w:t>
      </w:r>
      <w:r w:rsidR="000A33CE" w:rsidRPr="007A3600">
        <w:t>operational, fraud and corruption, regulatory and project risk</w:t>
      </w:r>
      <w:r w:rsidRPr="007A3600">
        <w:t>s</w:t>
      </w:r>
      <w:r w:rsidR="000A33CE" w:rsidRPr="007A3600">
        <w:t>.</w:t>
      </w:r>
    </w:p>
    <w:p w14:paraId="5C232247" w14:textId="34A7BE0A" w:rsidR="000A33CE" w:rsidRPr="007A3600" w:rsidRDefault="000A33CE" w:rsidP="00AD3197">
      <w:r w:rsidRPr="007A3600">
        <w:t>The NDIA is committed to ensuring that critical business functions are maintained or quickly restored in the event of a significant outage, incident or crisis. We have an established business continuity management framework to ensure the rapid response and resumption of our critical business functions to support participant and provider services in emergency situations.</w:t>
      </w:r>
    </w:p>
    <w:p w14:paraId="4A873F52" w14:textId="4BBCF25F" w:rsidR="000266B0" w:rsidRPr="007A3600" w:rsidRDefault="000A33CE" w:rsidP="00AD3197">
      <w:r w:rsidRPr="007A3600">
        <w:t>The NDIA’s integrated risk management system provides a single platform for capturing and managing operational, strategic and regulatory risks</w:t>
      </w:r>
      <w:r w:rsidR="006502AA" w:rsidRPr="007A3600">
        <w:t>;</w:t>
      </w:r>
      <w:r w:rsidRPr="007A3600">
        <w:t xml:space="preserve"> audit recommendations</w:t>
      </w:r>
      <w:r w:rsidR="00003FDA" w:rsidRPr="007A3600">
        <w:t>;</w:t>
      </w:r>
      <w:r w:rsidRPr="007A3600">
        <w:t xml:space="preserve"> incidents</w:t>
      </w:r>
      <w:r w:rsidR="00003FDA" w:rsidRPr="007A3600">
        <w:t>;</w:t>
      </w:r>
      <w:r w:rsidRPr="007A3600">
        <w:t xml:space="preserve"> and business continuity plans. The system gives accountable executives a consolidated view of the risks and controls in their business </w:t>
      </w:r>
      <w:r w:rsidR="0003707A" w:rsidRPr="007A3600">
        <w:t xml:space="preserve">area </w:t>
      </w:r>
      <w:r w:rsidRPr="007A3600">
        <w:t>and the broader NDIA and underpins quarterly risk reporting. Continuous improvement of this system ensures that decision</w:t>
      </w:r>
      <w:r w:rsidR="00B70AC1" w:rsidRPr="007A3600">
        <w:t>-</w:t>
      </w:r>
      <w:r w:rsidRPr="007A3600">
        <w:t xml:space="preserve">makers </w:t>
      </w:r>
      <w:r w:rsidR="00982B31" w:rsidRPr="007A3600">
        <w:t xml:space="preserve">have </w:t>
      </w:r>
      <w:r w:rsidRPr="007A3600">
        <w:t xml:space="preserve">relevant and insightful information to </w:t>
      </w:r>
      <w:r w:rsidR="00982B31" w:rsidRPr="007A3600">
        <w:t xml:space="preserve">help them make </w:t>
      </w:r>
      <w:r w:rsidRPr="007A3600">
        <w:t>risk-informed decision</w:t>
      </w:r>
      <w:r w:rsidR="00982B31" w:rsidRPr="007A3600">
        <w:t>s</w:t>
      </w:r>
      <w:r w:rsidRPr="007A3600">
        <w:t xml:space="preserve"> at both functional and strategic level</w:t>
      </w:r>
      <w:r w:rsidR="00DF63D2" w:rsidRPr="007A3600">
        <w:t>s</w:t>
      </w:r>
      <w:r w:rsidRPr="007A3600">
        <w:t>.</w:t>
      </w:r>
    </w:p>
    <w:p w14:paraId="4D084DE6" w14:textId="0758A2FD" w:rsidR="007A6217" w:rsidRPr="007A3600" w:rsidRDefault="009112AF" w:rsidP="00AD3197">
      <w:pPr>
        <w:pStyle w:val="Heading3"/>
      </w:pPr>
      <w:bookmarkStart w:id="139" w:name="_Toc207017735"/>
      <w:bookmarkStart w:id="140" w:name="_Toc209695861"/>
      <w:r w:rsidRPr="007A3600">
        <w:t>6</w:t>
      </w:r>
      <w:r w:rsidR="0059118F" w:rsidRPr="007A3600">
        <w:t>.</w:t>
      </w:r>
      <w:r w:rsidR="00F16949" w:rsidRPr="007A3600">
        <w:t>2</w:t>
      </w:r>
      <w:r w:rsidR="0059118F" w:rsidRPr="007A3600">
        <w:tab/>
        <w:t>A</w:t>
      </w:r>
      <w:r w:rsidR="007A6217" w:rsidRPr="007A3600">
        <w:t>udit</w:t>
      </w:r>
      <w:bookmarkEnd w:id="139"/>
      <w:bookmarkEnd w:id="140"/>
    </w:p>
    <w:p w14:paraId="52A13F01" w14:textId="1AF25B97" w:rsidR="007A6217" w:rsidRPr="007A3600" w:rsidRDefault="007A6217" w:rsidP="00AD3197">
      <w:r w:rsidRPr="007A3600">
        <w:t xml:space="preserve">The internal audit function supports effective risk management and </w:t>
      </w:r>
      <w:r w:rsidR="00E61EA0" w:rsidRPr="007A3600">
        <w:t>is</w:t>
      </w:r>
      <w:r w:rsidRPr="007A3600">
        <w:t xml:space="preserve"> a key internal control. The Audit Branch provides independent assurance to management and the Board through the Board Audit and Risk Committee. </w:t>
      </w:r>
    </w:p>
    <w:p w14:paraId="0EFAEA06" w14:textId="2FBD071B" w:rsidR="007A6217" w:rsidRPr="007A3600" w:rsidRDefault="007A6217" w:rsidP="00AD3197">
      <w:r w:rsidRPr="007A3600">
        <w:t xml:space="preserve">In 2024–25 the Audit Branch delivered an approved internal audit plan to the Board Audit and Risk Committee. </w:t>
      </w:r>
      <w:r w:rsidR="00084EE8" w:rsidRPr="007A3600">
        <w:t>Ongoing updates to the plan</w:t>
      </w:r>
      <w:r w:rsidRPr="007A3600">
        <w:t xml:space="preserve"> ensure it remains relevant </w:t>
      </w:r>
      <w:r w:rsidRPr="007A3600">
        <w:lastRenderedPageBreak/>
        <w:t>and aligned to key risks. The outcomes of all audit activity, as well as progress on action plans, are reported to the Board Audit and Risk Committee.</w:t>
      </w:r>
    </w:p>
    <w:p w14:paraId="0D61F8C1" w14:textId="43954AD2" w:rsidR="007A6217" w:rsidRPr="007A3600" w:rsidRDefault="007A6217" w:rsidP="00AD3197">
      <w:r w:rsidRPr="007A3600">
        <w:t>The Australian National Audit Office (ANAO) audit</w:t>
      </w:r>
      <w:r w:rsidR="009266E0" w:rsidRPr="007A3600">
        <w:t>s</w:t>
      </w:r>
      <w:r w:rsidRPr="007A3600">
        <w:t xml:space="preserve"> the </w:t>
      </w:r>
      <w:r w:rsidR="009266E0" w:rsidRPr="007A3600">
        <w:t xml:space="preserve">NDIA’s </w:t>
      </w:r>
      <w:r w:rsidRPr="007A3600">
        <w:t xml:space="preserve">annual financial statements and annual performance statements, as well as </w:t>
      </w:r>
      <w:r w:rsidR="00CB6316" w:rsidRPr="007A3600">
        <w:t xml:space="preserve">conducting </w:t>
      </w:r>
      <w:r w:rsidRPr="007A3600">
        <w:t xml:space="preserve">other performance audits. </w:t>
      </w:r>
    </w:p>
    <w:p w14:paraId="2E832A7B" w14:textId="0E446FBD" w:rsidR="005348D8" w:rsidRPr="007A3600" w:rsidRDefault="007A6217" w:rsidP="00AD3197">
      <w:r w:rsidRPr="007A3600">
        <w:t xml:space="preserve">Details of performance audits undertaken </w:t>
      </w:r>
      <w:r w:rsidR="003D6CC7" w:rsidRPr="007A3600">
        <w:t>in 2024–25</w:t>
      </w:r>
      <w:r w:rsidRPr="007A3600">
        <w:t xml:space="preserve"> that have an impact on the NDIA are provided in section </w:t>
      </w:r>
      <w:r w:rsidR="005F4313" w:rsidRPr="007A3600">
        <w:t>8.</w:t>
      </w:r>
      <w:r w:rsidR="003E0D3C" w:rsidRPr="007A3600">
        <w:t>4</w:t>
      </w:r>
      <w:r w:rsidR="0022646A" w:rsidRPr="007A3600">
        <w:t>, ‘Australian National Audit Office reports’ in this report</w:t>
      </w:r>
      <w:r w:rsidRPr="007A3600">
        <w:t>.</w:t>
      </w:r>
    </w:p>
    <w:p w14:paraId="4BAADDC3" w14:textId="278C0034" w:rsidR="000266B0" w:rsidRPr="007A3600" w:rsidRDefault="009112AF" w:rsidP="00AD3197">
      <w:pPr>
        <w:pStyle w:val="Heading3"/>
      </w:pPr>
      <w:bookmarkStart w:id="141" w:name="_Toc207017736"/>
      <w:bookmarkStart w:id="142" w:name="_Toc209695862"/>
      <w:r w:rsidRPr="007A3600">
        <w:t>6</w:t>
      </w:r>
      <w:r w:rsidR="000266B0" w:rsidRPr="007A3600">
        <w:t>.</w:t>
      </w:r>
      <w:r w:rsidR="00F16949" w:rsidRPr="007A3600">
        <w:t>3</w:t>
      </w:r>
      <w:r w:rsidR="000266B0" w:rsidRPr="007A3600">
        <w:tab/>
      </w:r>
      <w:bookmarkEnd w:id="141"/>
      <w:r w:rsidR="00B53C49" w:rsidRPr="007A3600">
        <w:t>Ensuring the i</w:t>
      </w:r>
      <w:r w:rsidR="00A66FF8" w:rsidRPr="007A3600">
        <w:t>ntegrity of the NDIS</w:t>
      </w:r>
      <w:bookmarkEnd w:id="142"/>
    </w:p>
    <w:p w14:paraId="5CA1068D" w14:textId="3F35E32C" w:rsidR="00506536" w:rsidRPr="007A3600" w:rsidRDefault="4461EBC7" w:rsidP="00AD3197">
      <w:pPr>
        <w:rPr>
          <w:rFonts w:eastAsia="Arial" w:cs="Arial"/>
        </w:rPr>
      </w:pPr>
      <w:r w:rsidRPr="007A3600">
        <w:rPr>
          <w:rFonts w:eastAsia="Arial" w:cs="Arial"/>
        </w:rPr>
        <w:t>T</w:t>
      </w:r>
      <w:r w:rsidR="00506536" w:rsidRPr="007A3600">
        <w:rPr>
          <w:rFonts w:eastAsia="Arial" w:cs="Arial"/>
        </w:rPr>
        <w:t xml:space="preserve">he NDIA is committed to protecting </w:t>
      </w:r>
      <w:r w:rsidR="00A66FF8" w:rsidRPr="007A3600">
        <w:rPr>
          <w:rFonts w:eastAsia="Arial" w:cs="Arial"/>
        </w:rPr>
        <w:t>the</w:t>
      </w:r>
      <w:r w:rsidR="00506536" w:rsidRPr="007A3600">
        <w:rPr>
          <w:rFonts w:eastAsia="Arial" w:cs="Arial"/>
        </w:rPr>
        <w:t xml:space="preserve"> safety and wellbeing </w:t>
      </w:r>
      <w:r w:rsidR="00A66FF8" w:rsidRPr="007A3600">
        <w:rPr>
          <w:rFonts w:eastAsia="Arial" w:cs="Arial"/>
        </w:rPr>
        <w:t xml:space="preserve">of participants </w:t>
      </w:r>
      <w:r w:rsidR="00506536" w:rsidRPr="007A3600">
        <w:rPr>
          <w:rFonts w:eastAsia="Arial" w:cs="Arial"/>
        </w:rPr>
        <w:t>and ensuring they have a positive experience in the NDIS. We are improving the integrity of NDIS systems</w:t>
      </w:r>
      <w:r w:rsidR="00DC7D28" w:rsidRPr="007A3600">
        <w:rPr>
          <w:rFonts w:eastAsia="Arial" w:cs="Arial"/>
        </w:rPr>
        <w:t>,</w:t>
      </w:r>
      <w:r w:rsidR="00506536" w:rsidRPr="007A3600">
        <w:rPr>
          <w:rFonts w:eastAsia="Arial" w:cs="Arial"/>
        </w:rPr>
        <w:t xml:space="preserve"> whil</w:t>
      </w:r>
      <w:r w:rsidR="00DF63D2" w:rsidRPr="007A3600">
        <w:rPr>
          <w:rFonts w:eastAsia="Arial" w:cs="Arial"/>
        </w:rPr>
        <w:t>e</w:t>
      </w:r>
      <w:r w:rsidR="00506536" w:rsidRPr="007A3600">
        <w:rPr>
          <w:rFonts w:eastAsia="Arial" w:cs="Arial"/>
        </w:rPr>
        <w:t xml:space="preserve"> also detecting, preventing and responding to fraud. Any providers</w:t>
      </w:r>
      <w:r w:rsidR="00A234A0" w:rsidRPr="007A3600">
        <w:rPr>
          <w:rFonts w:eastAsia="Arial" w:cs="Arial"/>
        </w:rPr>
        <w:t xml:space="preserve"> found to be doing the wrong thing will be </w:t>
      </w:r>
      <w:r w:rsidR="00685ACA" w:rsidRPr="007A3600">
        <w:rPr>
          <w:rFonts w:eastAsia="Arial" w:cs="Arial"/>
        </w:rPr>
        <w:t>referred to</w:t>
      </w:r>
      <w:r w:rsidR="00A234A0" w:rsidRPr="007A3600">
        <w:rPr>
          <w:rFonts w:eastAsia="Arial" w:cs="Arial"/>
        </w:rPr>
        <w:t xml:space="preserve"> the NDIS</w:t>
      </w:r>
      <w:r w:rsidR="00685ACA" w:rsidRPr="007A3600">
        <w:rPr>
          <w:rFonts w:eastAsia="Arial" w:cs="Arial"/>
        </w:rPr>
        <w:t xml:space="preserve"> Quality and Safeguards Commission for appropriate action</w:t>
      </w:r>
      <w:r w:rsidR="00506536" w:rsidRPr="007A3600">
        <w:rPr>
          <w:rFonts w:eastAsia="Arial" w:cs="Arial"/>
        </w:rPr>
        <w:t>.</w:t>
      </w:r>
    </w:p>
    <w:p w14:paraId="7295330F" w14:textId="26059F29" w:rsidR="00D26A18" w:rsidRPr="007A3600" w:rsidRDefault="00F517BB" w:rsidP="00AD3197">
      <w:pPr>
        <w:rPr>
          <w:rFonts w:eastAsia="Arial" w:cs="Arial"/>
        </w:rPr>
      </w:pPr>
      <w:r w:rsidRPr="007A3600">
        <w:rPr>
          <w:rFonts w:eastAsia="Arial" w:cs="Arial"/>
        </w:rPr>
        <w:t xml:space="preserve">We are also committed to co-design and </w:t>
      </w:r>
      <w:r w:rsidR="005F670F" w:rsidRPr="007A3600">
        <w:rPr>
          <w:rFonts w:eastAsia="Arial" w:cs="Arial"/>
        </w:rPr>
        <w:t xml:space="preserve">engaging </w:t>
      </w:r>
      <w:r w:rsidRPr="007A3600">
        <w:rPr>
          <w:rFonts w:eastAsia="Arial" w:cs="Arial"/>
        </w:rPr>
        <w:t>with people with disability to improve the NDIS, and this includes co-designing integrity improvements. T</w:t>
      </w:r>
      <w:r w:rsidR="00D26A18" w:rsidRPr="007A3600">
        <w:rPr>
          <w:rFonts w:eastAsia="Arial" w:cs="Arial"/>
        </w:rPr>
        <w:t xml:space="preserve">he Integrity Working Group </w:t>
      </w:r>
      <w:r w:rsidR="00545E67" w:rsidRPr="007A3600">
        <w:rPr>
          <w:rFonts w:eastAsia="Arial" w:cs="Arial"/>
        </w:rPr>
        <w:t>plays an important part in this</w:t>
      </w:r>
      <w:r w:rsidR="00D26A18" w:rsidRPr="007A3600">
        <w:rPr>
          <w:rFonts w:eastAsia="Arial" w:cs="Arial"/>
        </w:rPr>
        <w:t xml:space="preserve">. </w:t>
      </w:r>
      <w:r w:rsidR="00545E67" w:rsidRPr="007A3600">
        <w:rPr>
          <w:rFonts w:eastAsia="Arial" w:cs="Arial"/>
        </w:rPr>
        <w:t>Its m</w:t>
      </w:r>
      <w:r w:rsidR="00D26A18" w:rsidRPr="007A3600">
        <w:rPr>
          <w:rFonts w:eastAsia="Arial" w:cs="Arial"/>
        </w:rPr>
        <w:t>embership include</w:t>
      </w:r>
      <w:r w:rsidR="00BD48CF" w:rsidRPr="007A3600">
        <w:rPr>
          <w:rFonts w:eastAsia="Arial" w:cs="Arial"/>
        </w:rPr>
        <w:t>s</w:t>
      </w:r>
      <w:r w:rsidR="00D26A18" w:rsidRPr="007A3600">
        <w:rPr>
          <w:rFonts w:eastAsia="Arial" w:cs="Arial"/>
        </w:rPr>
        <w:t xml:space="preserve"> NDIA representatives, participants, family members, disability representative and carer organisations, other disability sector representatives</w:t>
      </w:r>
      <w:r w:rsidR="0085346A" w:rsidRPr="007A3600">
        <w:rPr>
          <w:rFonts w:eastAsia="Arial" w:cs="Arial"/>
        </w:rPr>
        <w:t>,</w:t>
      </w:r>
      <w:r w:rsidR="00D26A18" w:rsidRPr="007A3600">
        <w:rPr>
          <w:rFonts w:eastAsia="Arial" w:cs="Arial"/>
        </w:rPr>
        <w:t xml:space="preserve"> and </w:t>
      </w:r>
      <w:r w:rsidR="000E777F" w:rsidRPr="007A3600">
        <w:rPr>
          <w:rFonts w:eastAsia="Arial" w:cs="Arial"/>
        </w:rPr>
        <w:t xml:space="preserve">Independent Advisory Council </w:t>
      </w:r>
      <w:r w:rsidR="00D26A18" w:rsidRPr="007A3600">
        <w:rPr>
          <w:rFonts w:eastAsia="Arial" w:cs="Arial"/>
        </w:rPr>
        <w:t>members.</w:t>
      </w:r>
    </w:p>
    <w:p w14:paraId="0892A0B2" w14:textId="24BAD0ED" w:rsidR="002913AA" w:rsidRPr="007A3600" w:rsidRDefault="00545E67" w:rsidP="00AD3197">
      <w:r w:rsidRPr="007A3600">
        <w:rPr>
          <w:rFonts w:eastAsia="Arial" w:cs="Arial"/>
        </w:rPr>
        <w:t xml:space="preserve">In </w:t>
      </w:r>
      <w:r w:rsidR="00D26A18" w:rsidRPr="007A3600">
        <w:rPr>
          <w:rFonts w:eastAsia="Arial" w:cs="Arial"/>
        </w:rPr>
        <w:t>2024</w:t>
      </w:r>
      <w:r w:rsidR="00815845" w:rsidRPr="007A3600">
        <w:t>–</w:t>
      </w:r>
      <w:r w:rsidR="00D26A18" w:rsidRPr="007A3600">
        <w:rPr>
          <w:rFonts w:eastAsia="Arial" w:cs="Arial"/>
        </w:rPr>
        <w:t>25</w:t>
      </w:r>
      <w:r w:rsidR="003C68EE" w:rsidRPr="007A3600">
        <w:rPr>
          <w:rFonts w:eastAsia="Arial" w:cs="Arial"/>
        </w:rPr>
        <w:t xml:space="preserve"> we engaged w</w:t>
      </w:r>
      <w:r w:rsidRPr="007A3600">
        <w:rPr>
          <w:rFonts w:eastAsia="Arial" w:cs="Arial"/>
        </w:rPr>
        <w:t>i</w:t>
      </w:r>
      <w:r w:rsidR="003C68EE" w:rsidRPr="007A3600">
        <w:rPr>
          <w:rFonts w:eastAsia="Arial" w:cs="Arial"/>
        </w:rPr>
        <w:t>dely with participants, the disability community and providers about improving NDIS integrity</w:t>
      </w:r>
      <w:r w:rsidR="008E36B6" w:rsidRPr="007A3600">
        <w:rPr>
          <w:rFonts w:eastAsia="Arial" w:cs="Arial"/>
        </w:rPr>
        <w:t>. We held</w:t>
      </w:r>
      <w:r w:rsidR="00D26A18" w:rsidRPr="007A3600">
        <w:rPr>
          <w:rFonts w:eastAsia="Arial" w:cs="Arial"/>
        </w:rPr>
        <w:t xml:space="preserve"> 28 sessions </w:t>
      </w:r>
      <w:r w:rsidR="0085346A" w:rsidRPr="007A3600">
        <w:rPr>
          <w:rFonts w:eastAsia="Arial" w:cs="Arial"/>
        </w:rPr>
        <w:t>to build</w:t>
      </w:r>
      <w:r w:rsidR="00D26A18" w:rsidRPr="007A3600">
        <w:rPr>
          <w:rFonts w:eastAsia="Arial" w:cs="Arial"/>
        </w:rPr>
        <w:t xml:space="preserve"> understanding </w:t>
      </w:r>
      <w:r w:rsidR="0085346A" w:rsidRPr="007A3600">
        <w:rPr>
          <w:rFonts w:eastAsia="Arial" w:cs="Arial"/>
        </w:rPr>
        <w:t xml:space="preserve">of </w:t>
      </w:r>
      <w:r w:rsidR="00D26A18" w:rsidRPr="007A3600">
        <w:rPr>
          <w:rFonts w:eastAsia="Arial" w:cs="Arial"/>
        </w:rPr>
        <w:t>integrity</w:t>
      </w:r>
      <w:r w:rsidR="00E75436" w:rsidRPr="007A3600">
        <w:rPr>
          <w:rFonts w:eastAsia="Arial" w:cs="Arial"/>
        </w:rPr>
        <w:t xml:space="preserve"> issues</w:t>
      </w:r>
      <w:r w:rsidR="008E36B6" w:rsidRPr="007A3600">
        <w:rPr>
          <w:rFonts w:eastAsia="Arial" w:cs="Arial"/>
        </w:rPr>
        <w:t>,</w:t>
      </w:r>
      <w:r w:rsidR="00D26A18" w:rsidRPr="007A3600">
        <w:rPr>
          <w:rFonts w:eastAsia="Arial" w:cs="Arial"/>
        </w:rPr>
        <w:t xml:space="preserve"> empower participants to protect themselves</w:t>
      </w:r>
      <w:r w:rsidR="00C252D1" w:rsidRPr="007A3600">
        <w:rPr>
          <w:rFonts w:eastAsia="Arial" w:cs="Arial"/>
        </w:rPr>
        <w:t>,</w:t>
      </w:r>
      <w:r w:rsidR="00D26A18" w:rsidRPr="007A3600">
        <w:rPr>
          <w:rFonts w:eastAsia="Arial" w:cs="Arial"/>
        </w:rPr>
        <w:t xml:space="preserve"> </w:t>
      </w:r>
      <w:r w:rsidR="00C252D1" w:rsidRPr="007A3600">
        <w:rPr>
          <w:rFonts w:eastAsia="Arial" w:cs="Arial"/>
        </w:rPr>
        <w:t>and</w:t>
      </w:r>
      <w:r w:rsidR="00D26A18" w:rsidRPr="007A3600">
        <w:rPr>
          <w:rFonts w:eastAsia="Arial" w:cs="Arial"/>
        </w:rPr>
        <w:t xml:space="preserve"> </w:t>
      </w:r>
      <w:r w:rsidR="00E75436" w:rsidRPr="007A3600">
        <w:rPr>
          <w:rFonts w:eastAsia="Arial" w:cs="Arial"/>
        </w:rPr>
        <w:t xml:space="preserve">emphasise </w:t>
      </w:r>
      <w:r w:rsidR="00C252D1" w:rsidRPr="007A3600">
        <w:rPr>
          <w:rFonts w:eastAsia="Arial" w:cs="Arial"/>
        </w:rPr>
        <w:t xml:space="preserve">to </w:t>
      </w:r>
      <w:r w:rsidR="00D26A18" w:rsidRPr="007A3600">
        <w:rPr>
          <w:rFonts w:eastAsia="Arial" w:cs="Arial"/>
        </w:rPr>
        <w:t>provider</w:t>
      </w:r>
      <w:r w:rsidR="00C252D1" w:rsidRPr="007A3600">
        <w:rPr>
          <w:rFonts w:eastAsia="Arial" w:cs="Arial"/>
        </w:rPr>
        <w:t>s their</w:t>
      </w:r>
      <w:r w:rsidR="00D26A18" w:rsidRPr="007A3600">
        <w:rPr>
          <w:rFonts w:eastAsia="Arial" w:cs="Arial"/>
        </w:rPr>
        <w:t xml:space="preserve"> responsibilit</w:t>
      </w:r>
      <w:r w:rsidR="00C252D1" w:rsidRPr="007A3600">
        <w:rPr>
          <w:rFonts w:eastAsia="Arial" w:cs="Arial"/>
        </w:rPr>
        <w:t>y</w:t>
      </w:r>
      <w:r w:rsidR="00D26A18" w:rsidRPr="007A3600">
        <w:rPr>
          <w:rFonts w:eastAsia="Arial" w:cs="Arial"/>
        </w:rPr>
        <w:t xml:space="preserve"> to do the right thing.</w:t>
      </w:r>
    </w:p>
    <w:p w14:paraId="48CB2307" w14:textId="579FC17F" w:rsidR="002913AA" w:rsidRPr="007A3600" w:rsidRDefault="00C252D1" w:rsidP="00AD3197">
      <w:pPr>
        <w:pStyle w:val="Heading4"/>
      </w:pPr>
      <w:r w:rsidRPr="007A3600">
        <w:t>Preventing fraud</w:t>
      </w:r>
    </w:p>
    <w:p w14:paraId="3711C923" w14:textId="6586E4C0" w:rsidR="00D07913" w:rsidRPr="007A3600" w:rsidRDefault="00D07913" w:rsidP="00AD3197">
      <w:r w:rsidRPr="007A3600">
        <w:t xml:space="preserve">The Fraud Fusion Taskforce (FFT) was established in November 2022 and </w:t>
      </w:r>
      <w:r w:rsidR="00C252D1" w:rsidRPr="007A3600">
        <w:t>is made up of</w:t>
      </w:r>
      <w:r w:rsidRPr="007A3600">
        <w:rPr>
          <w:rFonts w:eastAsia="Arial" w:cs="Arial"/>
        </w:rPr>
        <w:t xml:space="preserve"> 23 </w:t>
      </w:r>
      <w:r w:rsidR="00601DC0" w:rsidRPr="007A3600">
        <w:rPr>
          <w:rFonts w:eastAsia="Arial" w:cs="Arial"/>
        </w:rPr>
        <w:t>government agencies, including the</w:t>
      </w:r>
      <w:r w:rsidRPr="007A3600">
        <w:t xml:space="preserve"> NDIA</w:t>
      </w:r>
      <w:r w:rsidR="00601DC0" w:rsidRPr="007A3600">
        <w:t>.</w:t>
      </w:r>
      <w:r w:rsidRPr="007A3600">
        <w:t xml:space="preserve"> </w:t>
      </w:r>
      <w:r w:rsidR="003B6681" w:rsidRPr="007A3600">
        <w:t>The FFT facilitates the sharing of data and intelligence between agencies</w:t>
      </w:r>
      <w:r w:rsidR="00755309" w:rsidRPr="007A3600">
        <w:t xml:space="preserve">. This enables us to </w:t>
      </w:r>
      <w:r w:rsidRPr="007A3600">
        <w:t>detect, prevent and respond to fraud</w:t>
      </w:r>
      <w:r w:rsidR="00755309" w:rsidRPr="007A3600">
        <w:t xml:space="preserve"> in the NDIS more quickly</w:t>
      </w:r>
      <w:r w:rsidR="00D352C5" w:rsidRPr="007A3600">
        <w:t xml:space="preserve"> </w:t>
      </w:r>
      <w:r w:rsidR="005C79BB" w:rsidRPr="007A3600">
        <w:t>and to</w:t>
      </w:r>
      <w:r w:rsidR="00D352C5" w:rsidRPr="007A3600">
        <w:t xml:space="preserve"> </w:t>
      </w:r>
      <w:r w:rsidRPr="007A3600">
        <w:t xml:space="preserve">implement controls to prevent fraud from occurring in the first place. </w:t>
      </w:r>
      <w:r w:rsidR="0025285C" w:rsidRPr="007A3600">
        <w:t>The FFT also enables</w:t>
      </w:r>
      <w:r w:rsidRPr="007A3600">
        <w:t xml:space="preserve"> multi-agency interventions that </w:t>
      </w:r>
      <w:r w:rsidR="0025285C" w:rsidRPr="007A3600">
        <w:t>prevent</w:t>
      </w:r>
      <w:r w:rsidRPr="007A3600">
        <w:t xml:space="preserve"> criminals targeting the NDIS and other government payment programs.</w:t>
      </w:r>
    </w:p>
    <w:p w14:paraId="38270983" w14:textId="4DC13DAD" w:rsidR="00D5486A" w:rsidRPr="007A3600" w:rsidRDefault="00D5486A" w:rsidP="00AD3197">
      <w:pPr>
        <w:spacing w:after="120"/>
        <w:rPr>
          <w:rFonts w:eastAsia="Arial" w:cs="Arial"/>
        </w:rPr>
      </w:pPr>
      <w:r w:rsidRPr="007A3600">
        <w:rPr>
          <w:rFonts w:eastAsia="Arial" w:cs="Arial"/>
        </w:rPr>
        <w:t xml:space="preserve">In February 2024 the Australian Government announced the Crack Down on Fraud Program, </w:t>
      </w:r>
      <w:r w:rsidR="00ED30D9" w:rsidRPr="007A3600">
        <w:t>aimed at improving processes to reduce errors and increase compliance</w:t>
      </w:r>
      <w:r w:rsidRPr="007A3600">
        <w:rPr>
          <w:rFonts w:eastAsia="Arial" w:cs="Arial"/>
        </w:rPr>
        <w:t xml:space="preserve">. The multi-year program is progressively delivering </w:t>
      </w:r>
      <w:r w:rsidR="007117AE" w:rsidRPr="007A3600">
        <w:rPr>
          <w:rFonts w:eastAsia="Arial" w:cs="Arial"/>
        </w:rPr>
        <w:t xml:space="preserve">improvements to NDIA </w:t>
      </w:r>
      <w:r w:rsidRPr="007A3600">
        <w:rPr>
          <w:rFonts w:eastAsia="Arial" w:cs="Arial"/>
        </w:rPr>
        <w:t>system</w:t>
      </w:r>
      <w:r w:rsidR="007117AE" w:rsidRPr="007A3600">
        <w:rPr>
          <w:rFonts w:eastAsia="Arial" w:cs="Arial"/>
        </w:rPr>
        <w:t>s</w:t>
      </w:r>
      <w:r w:rsidRPr="007A3600">
        <w:rPr>
          <w:rFonts w:eastAsia="Arial" w:cs="Arial"/>
        </w:rPr>
        <w:t xml:space="preserve"> </w:t>
      </w:r>
      <w:r w:rsidRPr="007A3600">
        <w:rPr>
          <w:rFonts w:eastAsia="Arial" w:cs="Arial"/>
        </w:rPr>
        <w:lastRenderedPageBreak/>
        <w:t xml:space="preserve">and capability to </w:t>
      </w:r>
      <w:r w:rsidR="00531C15" w:rsidRPr="007A3600">
        <w:rPr>
          <w:rFonts w:eastAsia="Arial" w:cs="Arial"/>
        </w:rPr>
        <w:t>allow us</w:t>
      </w:r>
      <w:r w:rsidRPr="007A3600">
        <w:rPr>
          <w:rFonts w:eastAsia="Arial" w:cs="Arial"/>
        </w:rPr>
        <w:t xml:space="preserve"> to better detect and prevent the </w:t>
      </w:r>
      <w:r w:rsidR="005419B6" w:rsidRPr="007A3600">
        <w:rPr>
          <w:rFonts w:eastAsia="Arial" w:cs="Arial"/>
        </w:rPr>
        <w:t xml:space="preserve">misuse </w:t>
      </w:r>
      <w:r w:rsidRPr="007A3600">
        <w:rPr>
          <w:rFonts w:eastAsia="Arial" w:cs="Arial"/>
        </w:rPr>
        <w:t>of participant</w:t>
      </w:r>
      <w:r w:rsidR="005419B6" w:rsidRPr="007A3600">
        <w:rPr>
          <w:rFonts w:eastAsia="Arial" w:cs="Arial"/>
        </w:rPr>
        <w:t xml:space="preserve"> funds</w:t>
      </w:r>
      <w:r w:rsidRPr="007A3600">
        <w:rPr>
          <w:rFonts w:eastAsia="Arial" w:cs="Arial"/>
        </w:rPr>
        <w:t xml:space="preserve"> and the NDIS.</w:t>
      </w:r>
    </w:p>
    <w:p w14:paraId="2FBD23B7" w14:textId="6F3B45A4" w:rsidR="00E952A1" w:rsidRPr="007A3600" w:rsidRDefault="00095859" w:rsidP="00AD3197">
      <w:pPr>
        <w:pStyle w:val="Heading4"/>
      </w:pPr>
      <w:r w:rsidRPr="007A3600">
        <w:t>Integrity outcomes</w:t>
      </w:r>
    </w:p>
    <w:p w14:paraId="420CC85D" w14:textId="686FCB26" w:rsidR="00974979" w:rsidRPr="007A3600" w:rsidRDefault="00D4789A" w:rsidP="00AD3197">
      <w:r w:rsidRPr="007A3600">
        <w:t xml:space="preserve">In 2024–25 </w:t>
      </w:r>
      <w:r w:rsidR="00D73B49" w:rsidRPr="007A3600">
        <w:t xml:space="preserve">our integrity and anti-fraud activities helped improve the safety of participants and </w:t>
      </w:r>
      <w:r w:rsidR="00B375D0" w:rsidRPr="007A3600">
        <w:t xml:space="preserve">the </w:t>
      </w:r>
      <w:r w:rsidR="00D73B49" w:rsidRPr="007A3600">
        <w:t xml:space="preserve">sustainability of the NDIS. </w:t>
      </w:r>
      <w:r w:rsidR="0022646A" w:rsidRPr="007A3600">
        <w:t>For example, we</w:t>
      </w:r>
      <w:r w:rsidR="00D73B49" w:rsidRPr="007A3600">
        <w:t>:</w:t>
      </w:r>
    </w:p>
    <w:p w14:paraId="554A71A0" w14:textId="3AD74565" w:rsidR="00A04D7E" w:rsidRPr="007A3600" w:rsidRDefault="0022646A" w:rsidP="00AD3197">
      <w:pPr>
        <w:pStyle w:val="ListParagraph"/>
        <w:numPr>
          <w:ilvl w:val="0"/>
          <w:numId w:val="12"/>
        </w:numPr>
        <w:spacing w:before="120" w:after="120"/>
        <w:ind w:hanging="720"/>
      </w:pPr>
      <w:r w:rsidRPr="007A3600">
        <w:rPr>
          <w:rFonts w:eastAsia="Arial" w:cs="Arial"/>
        </w:rPr>
        <w:t xml:space="preserve">made </w:t>
      </w:r>
      <w:r w:rsidR="00DF63D2" w:rsidRPr="007A3600">
        <w:rPr>
          <w:rFonts w:eastAsia="Arial" w:cs="Arial"/>
        </w:rPr>
        <w:t>i</w:t>
      </w:r>
      <w:r w:rsidR="00974979" w:rsidRPr="007A3600">
        <w:rPr>
          <w:rFonts w:eastAsia="Arial" w:cs="Arial"/>
        </w:rPr>
        <w:t>mprov</w:t>
      </w:r>
      <w:r w:rsidR="00DF63D2" w:rsidRPr="007A3600">
        <w:rPr>
          <w:rFonts w:eastAsia="Arial" w:cs="Arial"/>
        </w:rPr>
        <w:t>e</w:t>
      </w:r>
      <w:r w:rsidR="00D73B49" w:rsidRPr="007A3600">
        <w:rPr>
          <w:rFonts w:eastAsia="Arial" w:cs="Arial"/>
        </w:rPr>
        <w:t>ments to</w:t>
      </w:r>
      <w:r w:rsidR="00974979" w:rsidRPr="007A3600">
        <w:rPr>
          <w:rFonts w:eastAsia="Arial" w:cs="Arial"/>
        </w:rPr>
        <w:t xml:space="preserve"> the integrity of </w:t>
      </w:r>
      <w:r w:rsidR="0050188B" w:rsidRPr="007A3600">
        <w:rPr>
          <w:rFonts w:eastAsia="Arial" w:cs="Arial"/>
        </w:rPr>
        <w:t>particip</w:t>
      </w:r>
      <w:r w:rsidR="0050188B" w:rsidRPr="007A3600">
        <w:t>ants</w:t>
      </w:r>
      <w:r w:rsidR="00B375D0" w:rsidRPr="007A3600">
        <w:t>’</w:t>
      </w:r>
      <w:r w:rsidR="0050188B" w:rsidRPr="007A3600">
        <w:t xml:space="preserve"> </w:t>
      </w:r>
      <w:r w:rsidR="00974979" w:rsidRPr="007A3600">
        <w:t>identity information</w:t>
      </w:r>
    </w:p>
    <w:p w14:paraId="15BC4A20" w14:textId="3E2B5B33" w:rsidR="00974979" w:rsidRPr="007A3600" w:rsidRDefault="0022646A" w:rsidP="00AD3197">
      <w:pPr>
        <w:pStyle w:val="ListParagraph"/>
        <w:numPr>
          <w:ilvl w:val="0"/>
          <w:numId w:val="12"/>
        </w:numPr>
        <w:spacing w:before="120" w:after="120"/>
        <w:ind w:hanging="720"/>
        <w:rPr>
          <w:rFonts w:eastAsia="Arial" w:cs="Arial"/>
          <w:lang w:val="en-US"/>
        </w:rPr>
      </w:pPr>
      <w:r w:rsidRPr="007A3600">
        <w:t xml:space="preserve">introduced </w:t>
      </w:r>
      <w:r w:rsidR="00974979" w:rsidRPr="007A3600">
        <w:t xml:space="preserve">new technologies and capabilities </w:t>
      </w:r>
      <w:r w:rsidR="0073095E" w:rsidRPr="007A3600">
        <w:t>to enhance</w:t>
      </w:r>
      <w:r w:rsidR="0073095E" w:rsidRPr="007A3600">
        <w:rPr>
          <w:rFonts w:eastAsia="Arial" w:cs="Arial"/>
          <w:lang w:val="en-US"/>
        </w:rPr>
        <w:t xml:space="preserve"> </w:t>
      </w:r>
      <w:r w:rsidR="00974979" w:rsidRPr="007A3600">
        <w:rPr>
          <w:rFonts w:eastAsia="Arial" w:cs="Arial"/>
          <w:lang w:val="en-US"/>
        </w:rPr>
        <w:t xml:space="preserve">prevention, detection, security and response </w:t>
      </w:r>
      <w:r w:rsidR="00B375D0" w:rsidRPr="007A3600">
        <w:rPr>
          <w:rFonts w:eastAsia="Arial" w:cs="Arial"/>
          <w:lang w:val="en-US"/>
        </w:rPr>
        <w:t>to wrongdoing</w:t>
      </w:r>
    </w:p>
    <w:p w14:paraId="73747687" w14:textId="62E7B06F" w:rsidR="00974979" w:rsidRPr="007A3600" w:rsidRDefault="00B375D0" w:rsidP="00AD3197">
      <w:pPr>
        <w:pStyle w:val="ListParagraph"/>
        <w:numPr>
          <w:ilvl w:val="0"/>
          <w:numId w:val="13"/>
        </w:numPr>
        <w:spacing w:before="120" w:after="120"/>
        <w:ind w:hanging="720"/>
        <w:rPr>
          <w:rFonts w:cs="Arial"/>
        </w:rPr>
      </w:pPr>
      <w:r w:rsidRPr="007A3600">
        <w:rPr>
          <w:rFonts w:eastAsia="Arial" w:cs="Arial"/>
        </w:rPr>
        <w:t>review</w:t>
      </w:r>
      <w:r w:rsidR="00D6446F" w:rsidRPr="007A3600">
        <w:rPr>
          <w:rFonts w:eastAsia="Arial" w:cs="Arial"/>
        </w:rPr>
        <w:t>ed</w:t>
      </w:r>
      <w:r w:rsidRPr="007A3600" w:rsidDel="00D6446F">
        <w:rPr>
          <w:rFonts w:eastAsia="Arial" w:cs="Arial"/>
        </w:rPr>
        <w:t xml:space="preserve"> </w:t>
      </w:r>
      <w:r w:rsidR="0039647B" w:rsidRPr="007A3600">
        <w:rPr>
          <w:rFonts w:eastAsia="Arial" w:cs="Arial"/>
        </w:rPr>
        <w:t>more than</w:t>
      </w:r>
      <w:r w:rsidR="00974979" w:rsidRPr="007A3600">
        <w:rPr>
          <w:rFonts w:eastAsia="Arial" w:cs="Arial"/>
        </w:rPr>
        <w:t xml:space="preserve"> 40,000 claims from providers, plan managers and participants</w:t>
      </w:r>
      <w:r w:rsidR="0039647B" w:rsidRPr="007A3600">
        <w:rPr>
          <w:rFonts w:eastAsia="Arial" w:cs="Arial"/>
        </w:rPr>
        <w:t xml:space="preserve">, totalling more than $80 million, </w:t>
      </w:r>
      <w:r w:rsidR="00974979" w:rsidRPr="007A3600">
        <w:rPr>
          <w:rFonts w:eastAsia="Arial" w:cs="Arial"/>
        </w:rPr>
        <w:t xml:space="preserve">for potential integrity issues to ensure only legitimate claims </w:t>
      </w:r>
      <w:r w:rsidR="00F471A4" w:rsidRPr="007A3600">
        <w:rPr>
          <w:rFonts w:eastAsia="Arial" w:cs="Arial"/>
        </w:rPr>
        <w:t xml:space="preserve">were </w:t>
      </w:r>
      <w:r w:rsidR="00974979" w:rsidRPr="007A3600">
        <w:rPr>
          <w:rFonts w:eastAsia="Arial" w:cs="Arial"/>
        </w:rPr>
        <w:t>paid</w:t>
      </w:r>
    </w:p>
    <w:p w14:paraId="0EF54905" w14:textId="71EB5AC9" w:rsidR="00974979" w:rsidRPr="007A3600" w:rsidRDefault="00D6446F" w:rsidP="00AD3197">
      <w:pPr>
        <w:pStyle w:val="ListParagraph"/>
        <w:numPr>
          <w:ilvl w:val="0"/>
          <w:numId w:val="13"/>
        </w:numPr>
        <w:spacing w:before="120" w:after="120"/>
        <w:ind w:hanging="720"/>
        <w:rPr>
          <w:rFonts w:cs="Arial"/>
        </w:rPr>
      </w:pPr>
      <w:r w:rsidRPr="007A3600">
        <w:rPr>
          <w:rFonts w:cs="Arial"/>
        </w:rPr>
        <w:t xml:space="preserve">implemented </w:t>
      </w:r>
      <w:r w:rsidR="004B0328" w:rsidRPr="007A3600">
        <w:rPr>
          <w:rFonts w:cs="Arial"/>
        </w:rPr>
        <w:t>better</w:t>
      </w:r>
      <w:r w:rsidR="00974979" w:rsidRPr="007A3600">
        <w:rPr>
          <w:rFonts w:cs="Arial"/>
        </w:rPr>
        <w:t xml:space="preserve"> processes </w:t>
      </w:r>
      <w:r w:rsidR="006406AC" w:rsidRPr="007A3600">
        <w:rPr>
          <w:rFonts w:cs="Arial"/>
        </w:rPr>
        <w:t xml:space="preserve">for </w:t>
      </w:r>
      <w:r w:rsidR="00974979" w:rsidRPr="007A3600">
        <w:rPr>
          <w:rFonts w:cs="Arial"/>
        </w:rPr>
        <w:t xml:space="preserve">assessing fraud tip-offs. </w:t>
      </w:r>
      <w:r w:rsidR="00682324" w:rsidRPr="007A3600">
        <w:t>We</w:t>
      </w:r>
      <w:r w:rsidR="00974979" w:rsidRPr="007A3600">
        <w:t xml:space="preserve"> received </w:t>
      </w:r>
      <w:r w:rsidR="004B0328" w:rsidRPr="007A3600">
        <w:t>more than</w:t>
      </w:r>
      <w:r w:rsidR="00974979" w:rsidRPr="007A3600">
        <w:t xml:space="preserve"> 29,000 tip-offs </w:t>
      </w:r>
      <w:r w:rsidR="005B04E3" w:rsidRPr="007A3600">
        <w:t>during</w:t>
      </w:r>
      <w:r w:rsidR="00974979" w:rsidRPr="007A3600">
        <w:t xml:space="preserve"> </w:t>
      </w:r>
      <w:r w:rsidR="00F90B04" w:rsidRPr="007A3600">
        <w:t xml:space="preserve">the year, up from </w:t>
      </w:r>
      <w:r w:rsidR="00974979" w:rsidRPr="007A3600">
        <w:t xml:space="preserve">23,000 </w:t>
      </w:r>
      <w:r w:rsidR="00F90B04" w:rsidRPr="007A3600">
        <w:t>in</w:t>
      </w:r>
      <w:r w:rsidR="00974979" w:rsidRPr="007A3600">
        <w:t xml:space="preserve"> 2023</w:t>
      </w:r>
      <w:r w:rsidR="00522B99" w:rsidRPr="007A3600">
        <w:t>–</w:t>
      </w:r>
      <w:r w:rsidR="00974979" w:rsidRPr="007A3600">
        <w:t>24</w:t>
      </w:r>
    </w:p>
    <w:p w14:paraId="72FF0B19" w14:textId="2179C014" w:rsidR="00974979" w:rsidRPr="007A3600" w:rsidRDefault="00BD576A" w:rsidP="00AD3197">
      <w:pPr>
        <w:pStyle w:val="ListParagraph"/>
        <w:numPr>
          <w:ilvl w:val="0"/>
          <w:numId w:val="12"/>
        </w:numPr>
        <w:spacing w:before="120" w:after="120"/>
        <w:ind w:hanging="720"/>
      </w:pPr>
      <w:r w:rsidRPr="007A3600">
        <w:t xml:space="preserve">in conjunction with other government agencies, </w:t>
      </w:r>
      <w:r w:rsidR="00D6446F" w:rsidRPr="007A3600">
        <w:t xml:space="preserve">assisted in </w:t>
      </w:r>
      <w:r w:rsidRPr="007A3600">
        <w:t xml:space="preserve">detection and prevention of </w:t>
      </w:r>
      <w:r w:rsidR="00F90B04" w:rsidRPr="007A3600">
        <w:t>individuals and organisations defrauding the NDIS</w:t>
      </w:r>
    </w:p>
    <w:p w14:paraId="3D59A675" w14:textId="78A1DF39" w:rsidR="00974979" w:rsidRPr="007A3600" w:rsidRDefault="00906441" w:rsidP="00AD3197">
      <w:pPr>
        <w:pStyle w:val="ListParagraph"/>
        <w:numPr>
          <w:ilvl w:val="0"/>
          <w:numId w:val="12"/>
        </w:numPr>
        <w:spacing w:before="120" w:after="120"/>
        <w:ind w:hanging="720"/>
        <w:rPr>
          <w:rFonts w:cs="Arial"/>
          <w:i/>
          <w:iCs/>
        </w:rPr>
      </w:pPr>
      <w:r w:rsidRPr="007A3600">
        <w:rPr>
          <w:rFonts w:cs="Arial"/>
        </w:rPr>
        <w:t>identif</w:t>
      </w:r>
      <w:r w:rsidR="00D6446F" w:rsidRPr="007A3600">
        <w:rPr>
          <w:rFonts w:cs="Arial"/>
        </w:rPr>
        <w:t>ied</w:t>
      </w:r>
      <w:r w:rsidR="00974979" w:rsidRPr="007A3600">
        <w:rPr>
          <w:rFonts w:cs="Arial"/>
        </w:rPr>
        <w:t xml:space="preserve"> and reduc</w:t>
      </w:r>
      <w:r w:rsidR="00D6446F" w:rsidRPr="007A3600">
        <w:rPr>
          <w:rFonts w:cs="Arial"/>
        </w:rPr>
        <w:t>ed</w:t>
      </w:r>
      <w:r w:rsidR="00974979" w:rsidRPr="007A3600">
        <w:rPr>
          <w:rFonts w:cs="Arial"/>
        </w:rPr>
        <w:t xml:space="preserve"> the misuse of short-term accommodation</w:t>
      </w:r>
      <w:r w:rsidR="00E51044" w:rsidRPr="007A3600">
        <w:rPr>
          <w:rFonts w:cs="Arial"/>
        </w:rPr>
        <w:t>.</w:t>
      </w:r>
    </w:p>
    <w:p w14:paraId="4E04B731" w14:textId="77777777" w:rsidR="00894F10" w:rsidRPr="007A3600" w:rsidRDefault="00894F10" w:rsidP="00AD3197">
      <w:pPr>
        <w:sectPr w:rsidR="00894F10" w:rsidRPr="007A3600" w:rsidSect="000F17C1">
          <w:headerReference w:type="even" r:id="rId100"/>
          <w:headerReference w:type="default" r:id="rId101"/>
          <w:footerReference w:type="default" r:id="rId102"/>
          <w:headerReference w:type="first" r:id="rId103"/>
          <w:footerReference w:type="first" r:id="rId104"/>
          <w:pgSz w:w="11906" w:h="16838" w:code="9"/>
          <w:pgMar w:top="142" w:right="1440" w:bottom="1701" w:left="1440" w:header="561" w:footer="374" w:gutter="0"/>
          <w:cols w:space="708"/>
          <w:titlePg/>
          <w:docGrid w:linePitch="360"/>
        </w:sectPr>
      </w:pPr>
    </w:p>
    <w:p w14:paraId="3094CEE4" w14:textId="4A75A4ED" w:rsidR="0082424C" w:rsidRPr="007A3600" w:rsidRDefault="0082424C" w:rsidP="00AD3197">
      <w:pPr>
        <w:pStyle w:val="Heading2"/>
      </w:pPr>
      <w:bookmarkStart w:id="143" w:name="_Toc207017684"/>
      <w:bookmarkStart w:id="144" w:name="_Toc209695863"/>
      <w:bookmarkStart w:id="145" w:name="_Toc207017741"/>
      <w:r w:rsidRPr="007A3600">
        <w:lastRenderedPageBreak/>
        <w:t xml:space="preserve">Section </w:t>
      </w:r>
      <w:r w:rsidR="009112AF" w:rsidRPr="007A3600">
        <w:t>7</w:t>
      </w:r>
      <w:r w:rsidRPr="007A3600">
        <w:t>: Financial statements</w:t>
      </w:r>
      <w:bookmarkEnd w:id="143"/>
      <w:bookmarkEnd w:id="144"/>
    </w:p>
    <w:p w14:paraId="57D1D978" w14:textId="77777777" w:rsidR="0082424C" w:rsidRPr="007A3600" w:rsidRDefault="0082424C" w:rsidP="00AD3197">
      <w:pPr>
        <w:spacing w:before="120" w:after="120"/>
        <w:sectPr w:rsidR="0082424C" w:rsidRPr="007A3600" w:rsidSect="0082424C">
          <w:headerReference w:type="even" r:id="rId105"/>
          <w:headerReference w:type="default" r:id="rId106"/>
          <w:footerReference w:type="default" r:id="rId107"/>
          <w:headerReference w:type="first" r:id="rId108"/>
          <w:footerReference w:type="first" r:id="rId109"/>
          <w:pgSz w:w="11906" w:h="16838" w:code="9"/>
          <w:pgMar w:top="142" w:right="1440" w:bottom="1701" w:left="1440" w:header="561" w:footer="374" w:gutter="0"/>
          <w:cols w:space="708"/>
          <w:titlePg/>
          <w:docGrid w:linePitch="360"/>
        </w:sectPr>
      </w:pPr>
    </w:p>
    <w:p w14:paraId="2890A5DD" w14:textId="76875B9F" w:rsidR="0082424C" w:rsidRPr="007A3600" w:rsidRDefault="009112AF" w:rsidP="00AD3197">
      <w:pPr>
        <w:pStyle w:val="Heading3"/>
        <w:tabs>
          <w:tab w:val="left" w:pos="720"/>
          <w:tab w:val="left" w:pos="1440"/>
          <w:tab w:val="left" w:pos="2160"/>
          <w:tab w:val="left" w:pos="2880"/>
          <w:tab w:val="left" w:pos="3600"/>
          <w:tab w:val="left" w:pos="4320"/>
          <w:tab w:val="left" w:pos="7788"/>
        </w:tabs>
      </w:pPr>
      <w:bookmarkStart w:id="146" w:name="_Toc207017685"/>
      <w:bookmarkStart w:id="147" w:name="_Toc209695864"/>
      <w:r w:rsidRPr="007A3600">
        <w:lastRenderedPageBreak/>
        <w:t>7</w:t>
      </w:r>
      <w:r w:rsidR="0082424C" w:rsidRPr="007A3600">
        <w:t>.1</w:t>
      </w:r>
      <w:r w:rsidR="0082424C" w:rsidRPr="007A3600">
        <w:tab/>
        <w:t>Independent audit report</w:t>
      </w:r>
      <w:bookmarkEnd w:id="146"/>
      <w:bookmarkEnd w:id="147"/>
    </w:p>
    <w:p w14:paraId="3FE0E03F" w14:textId="6950C8EF" w:rsidR="002F1565" w:rsidRDefault="003704E5">
      <w:pPr>
        <w:spacing w:before="120" w:after="120"/>
      </w:pPr>
      <w:r>
        <w:rPr>
          <w:noProof/>
        </w:rPr>
        <w:drawing>
          <wp:inline distT="0" distB="0" distL="0" distR="0" wp14:anchorId="5B395F40" wp14:editId="75B0BB7E">
            <wp:extent cx="5731510" cy="8105140"/>
            <wp:effectExtent l="19050" t="19050" r="21590" b="10160"/>
            <wp:docPr id="1308620473" name="Picture 1" descr="Page 1 of the Australian National Audit Office Independent Auditor's Report to the responsible minister on the NDIA's financial statements for the year ended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620473" name="Picture 1" descr="Page 1 of the Australian National Audit Office Independent Auditor's Report to the responsible minister on the NDIA's financial statements for the year ended 30 June 2025"/>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a:ln>
                      <a:solidFill>
                        <a:schemeClr val="accent1"/>
                      </a:solidFill>
                    </a:ln>
                  </pic:spPr>
                </pic:pic>
              </a:graphicData>
            </a:graphic>
          </wp:inline>
        </w:drawing>
      </w:r>
      <w:r w:rsidR="002F1565">
        <w:br w:type="page"/>
      </w:r>
    </w:p>
    <w:p w14:paraId="7EB3415C" w14:textId="785650DF" w:rsidR="002F1565" w:rsidRDefault="00057E06">
      <w:pPr>
        <w:spacing w:before="120" w:after="120"/>
      </w:pPr>
      <w:r>
        <w:rPr>
          <w:noProof/>
        </w:rPr>
        <w:lastRenderedPageBreak/>
        <w:drawing>
          <wp:inline distT="0" distB="0" distL="0" distR="0" wp14:anchorId="22696291" wp14:editId="21813A92">
            <wp:extent cx="5731510" cy="8105140"/>
            <wp:effectExtent l="19050" t="19050" r="21590" b="10160"/>
            <wp:docPr id="941607938" name="Picture 2" descr="Page 2 of the Australian National Audit Office Independent Auditor's Report to the responsible minister on the NDIA's financial statements for the year ended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607938" name="Picture 2" descr="Page 2 of the Australian National Audit Office Independent Auditor's Report to the responsible minister on the NDIA's financial statements for the year ended 30 June 2025"/>
                    <pic:cNvPicPr/>
                  </pic:nvPicPr>
                  <pic:blipFill>
                    <a:blip r:embed="rId111"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a:ln>
                      <a:solidFill>
                        <a:schemeClr val="accent1"/>
                      </a:solidFill>
                    </a:ln>
                  </pic:spPr>
                </pic:pic>
              </a:graphicData>
            </a:graphic>
          </wp:inline>
        </w:drawing>
      </w:r>
      <w:r w:rsidR="002F1565">
        <w:br w:type="page"/>
      </w:r>
    </w:p>
    <w:p w14:paraId="329C91DE" w14:textId="073C8E10" w:rsidR="00057E06" w:rsidRDefault="00057E06">
      <w:pPr>
        <w:spacing w:before="120" w:after="120"/>
      </w:pPr>
      <w:r>
        <w:rPr>
          <w:noProof/>
        </w:rPr>
        <w:lastRenderedPageBreak/>
        <w:drawing>
          <wp:inline distT="0" distB="0" distL="0" distR="0" wp14:anchorId="3922B73B" wp14:editId="65163F24">
            <wp:extent cx="5731510" cy="8105140"/>
            <wp:effectExtent l="19050" t="19050" r="21590" b="10160"/>
            <wp:docPr id="10709199" name="Picture 3" descr="Page 3 of the Australian National Audit Office Independent Auditor's Report to the responsible minister on the NDIA's financial statements for the year ended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09199" name="Picture 3" descr="Page 3 of the Australian National Audit Office Independent Auditor's Report to the responsible minister on the NDIA's financial statements for the year ended 30 June 2025"/>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5731510" cy="8105140"/>
                    </a:xfrm>
                    <a:prstGeom prst="rect">
                      <a:avLst/>
                    </a:prstGeom>
                    <a:ln>
                      <a:solidFill>
                        <a:schemeClr val="accent1"/>
                      </a:solidFill>
                    </a:ln>
                  </pic:spPr>
                </pic:pic>
              </a:graphicData>
            </a:graphic>
          </wp:inline>
        </w:drawing>
      </w:r>
      <w:r>
        <w:br w:type="page"/>
      </w:r>
    </w:p>
    <w:p w14:paraId="40851CC3" w14:textId="60C00EC7" w:rsidR="0082424C" w:rsidRDefault="00057E06" w:rsidP="00AD3197">
      <w:pPr>
        <w:widowControl w:val="0"/>
      </w:pPr>
      <w:r>
        <w:rPr>
          <w:noProof/>
        </w:rPr>
        <w:lastRenderedPageBreak/>
        <w:drawing>
          <wp:inline distT="0" distB="0" distL="0" distR="0" wp14:anchorId="4303DA55" wp14:editId="5E5EC89B">
            <wp:extent cx="5731510" cy="8106410"/>
            <wp:effectExtent l="19050" t="19050" r="21590" b="27940"/>
            <wp:docPr id="854997458" name="Picture 4" descr="Page 4 of the Australian National Audit Office Independent Auditor's Report to the responsible minister on the NDIA's financial statements for the year ended 30 June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997458" name="Picture 4" descr="Page 4 of the Australian National Audit Office Independent Auditor's Report to the responsible minister on the NDIA's financial statements for the year ended 30 June 2025"/>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5731510" cy="8106410"/>
                    </a:xfrm>
                    <a:prstGeom prst="rect">
                      <a:avLst/>
                    </a:prstGeom>
                    <a:ln>
                      <a:solidFill>
                        <a:schemeClr val="accent1"/>
                      </a:solidFill>
                    </a:ln>
                  </pic:spPr>
                </pic:pic>
              </a:graphicData>
            </a:graphic>
          </wp:inline>
        </w:drawing>
      </w:r>
    </w:p>
    <w:p w14:paraId="5037DDE2" w14:textId="65BA35EA" w:rsidR="00644262" w:rsidRPr="007A3600" w:rsidRDefault="00644262" w:rsidP="00AD3197">
      <w:pPr>
        <w:widowControl w:val="0"/>
        <w:sectPr w:rsidR="00644262" w:rsidRPr="007A3600" w:rsidSect="0082424C">
          <w:headerReference w:type="even" r:id="rId114"/>
          <w:headerReference w:type="default" r:id="rId115"/>
          <w:footerReference w:type="default" r:id="rId116"/>
          <w:headerReference w:type="first" r:id="rId117"/>
          <w:footerReference w:type="first" r:id="rId118"/>
          <w:pgSz w:w="11906" w:h="16838" w:code="9"/>
          <w:pgMar w:top="142" w:right="1440" w:bottom="1701" w:left="1440" w:header="561" w:footer="374" w:gutter="0"/>
          <w:cols w:space="708"/>
          <w:titlePg/>
          <w:docGrid w:linePitch="360"/>
        </w:sectPr>
      </w:pPr>
    </w:p>
    <w:p w14:paraId="0A4815B3" w14:textId="3E630599" w:rsidR="0082424C" w:rsidRPr="007A3600" w:rsidRDefault="009112AF" w:rsidP="00AD3197">
      <w:pPr>
        <w:pStyle w:val="Heading3"/>
      </w:pPr>
      <w:bookmarkStart w:id="148" w:name="_3.2_Financial_statements"/>
      <w:bookmarkStart w:id="149" w:name="_7.2_Financial_statements"/>
      <w:bookmarkStart w:id="150" w:name="_Toc207017686"/>
      <w:bookmarkStart w:id="151" w:name="_Toc209695865"/>
      <w:bookmarkEnd w:id="148"/>
      <w:bookmarkEnd w:id="149"/>
      <w:r w:rsidRPr="007A3600">
        <w:lastRenderedPageBreak/>
        <w:t>7</w:t>
      </w:r>
      <w:r w:rsidR="0082424C" w:rsidRPr="007A3600">
        <w:t>.2</w:t>
      </w:r>
      <w:r w:rsidR="0082424C" w:rsidRPr="007A3600">
        <w:tab/>
        <w:t>Financial statements</w:t>
      </w:r>
      <w:bookmarkEnd w:id="150"/>
      <w:bookmarkEnd w:id="151"/>
    </w:p>
    <w:p w14:paraId="0A752B67" w14:textId="6FACED62" w:rsidR="0082424C" w:rsidRPr="007A3600" w:rsidRDefault="0082424C" w:rsidP="00AD3197">
      <w:pPr>
        <w:spacing w:after="120" w:line="260" w:lineRule="atLeast"/>
        <w:rPr>
          <w:rFonts w:eastAsia="Times New Roman" w:cs="Arial"/>
          <w:b/>
          <w:lang w:eastAsia="en-US"/>
        </w:rPr>
      </w:pPr>
      <w:r w:rsidRPr="007A3600">
        <w:rPr>
          <w:rFonts w:eastAsia="Times New Roman" w:cs="Arial"/>
          <w:b/>
          <w:lang w:eastAsia="en-US"/>
        </w:rPr>
        <w:t>STATEMENT BY THE CHAIR OF THE BOARD, CHIEF EXECUTIVE OFFICER, CHIEF FINANCIAL OFFICER AND CHAIR OF THE AUDIT COMMITTEE</w:t>
      </w:r>
    </w:p>
    <w:p w14:paraId="4C0ECACF" w14:textId="77777777" w:rsidR="0082424C" w:rsidRPr="007A3600" w:rsidRDefault="0082424C" w:rsidP="00AD3197">
      <w:pPr>
        <w:rPr>
          <w:sz w:val="18"/>
          <w:szCs w:val="18"/>
        </w:rPr>
      </w:pPr>
      <w:r w:rsidRPr="007A3600">
        <w:rPr>
          <w:sz w:val="18"/>
          <w:szCs w:val="18"/>
        </w:rPr>
        <w:t>In our opinion, the attached financial statements for the year ended 30 June 2025 comply with subsection 42(2) of the Public Governance, Performance and Accountability Act 2013 (PGPA Act), and are based on properly maintained financial records as per subsection 41(2) of the PGPA Act.</w:t>
      </w:r>
    </w:p>
    <w:p w14:paraId="6E875079" w14:textId="77777777" w:rsidR="0082424C" w:rsidRPr="007A3600" w:rsidRDefault="0082424C" w:rsidP="00AD3197">
      <w:pPr>
        <w:rPr>
          <w:sz w:val="18"/>
          <w:szCs w:val="18"/>
        </w:rPr>
      </w:pPr>
      <w:r w:rsidRPr="007A3600">
        <w:rPr>
          <w:sz w:val="18"/>
          <w:szCs w:val="18"/>
        </w:rPr>
        <w:t>In our opinion, at the date of this statement, there are reasonable grounds to believe that the National Disability Insurance Agency will be able to pay its debts as and when they fall due.</w:t>
      </w:r>
    </w:p>
    <w:p w14:paraId="582713AA" w14:textId="77777777" w:rsidR="0082424C" w:rsidRPr="007A3600" w:rsidRDefault="0082424C" w:rsidP="00AD3197">
      <w:pPr>
        <w:rPr>
          <w:sz w:val="18"/>
          <w:szCs w:val="18"/>
        </w:rPr>
      </w:pPr>
      <w:r w:rsidRPr="007A3600">
        <w:rPr>
          <w:sz w:val="18"/>
          <w:szCs w:val="18"/>
        </w:rPr>
        <w:t>This statement is made in accordance with a resolution of the directors.</w:t>
      </w:r>
    </w:p>
    <w:p w14:paraId="378453EA" w14:textId="3089B647" w:rsidR="0082424C" w:rsidRPr="007A3600" w:rsidRDefault="00BC4917" w:rsidP="00AD3197">
      <w:r w:rsidRPr="00BC4917">
        <w:rPr>
          <w:noProof/>
        </w:rPr>
        <w:drawing>
          <wp:anchor distT="0" distB="0" distL="114300" distR="114300" simplePos="0" relativeHeight="251658243" behindDoc="1" locked="1" layoutInCell="1" allowOverlap="0" wp14:anchorId="2E2299D6" wp14:editId="5B088922">
            <wp:simplePos x="0" y="0"/>
            <wp:positionH relativeFrom="column">
              <wp:posOffset>0</wp:posOffset>
            </wp:positionH>
            <wp:positionV relativeFrom="page">
              <wp:posOffset>3232150</wp:posOffset>
            </wp:positionV>
            <wp:extent cx="4838400" cy="2991600"/>
            <wp:effectExtent l="0" t="0" r="635" b="0"/>
            <wp:wrapTight wrapText="bothSides">
              <wp:wrapPolygon edited="0">
                <wp:start x="0" y="0"/>
                <wp:lineTo x="0" y="21458"/>
                <wp:lineTo x="21518" y="21458"/>
                <wp:lineTo x="21518" y="0"/>
                <wp:lineTo x="0" y="0"/>
              </wp:wrapPolygon>
            </wp:wrapTight>
            <wp:docPr id="1863577266" name="Picture 1" descr="Statement signed on 18 September 2025 including signatures of:&#10;Kurt Fearnley AO, Chair of the Board&#10;Scott McNaughton, Acting Chief Executive Officer&#10;Chris Breitkreuz, Chief Financial Officer&#10;Graeme Innes AM, Chair, Audit Committe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577266" name="Picture 1" descr="Statement signed on 18 September 2025 including signatures of:&#10;Kurt Fearnley AO, Chair of the Board&#10;Scott McNaughton, Acting Chief Executive Officer&#10;Chris Breitkreuz, Chief Financial Officer&#10;Graeme Innes AM, Chair, Audit Committee&#10;"/>
                    <pic:cNvPicPr/>
                  </pic:nvPicPr>
                  <pic:blipFill rotWithShape="1">
                    <a:blip r:embed="rId119">
                      <a:extLst>
                        <a:ext uri="{28A0092B-C50C-407E-A947-70E740481C1C}">
                          <a14:useLocalDpi xmlns:a14="http://schemas.microsoft.com/office/drawing/2010/main" val="0"/>
                        </a:ext>
                      </a:extLst>
                    </a:blip>
                    <a:srcRect l="2183"/>
                    <a:stretch>
                      <a:fillRect/>
                    </a:stretch>
                  </pic:blipFill>
                  <pic:spPr bwMode="auto">
                    <a:xfrm>
                      <a:off x="0" y="0"/>
                      <a:ext cx="4838400" cy="29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A9418D0" w14:textId="77777777" w:rsidR="0082424C" w:rsidRPr="007A3600" w:rsidRDefault="0082424C" w:rsidP="00AD3197">
      <w:pPr>
        <w:sectPr w:rsidR="0082424C" w:rsidRPr="007A3600" w:rsidSect="0082424C">
          <w:headerReference w:type="even" r:id="rId120"/>
          <w:headerReference w:type="default" r:id="rId121"/>
          <w:headerReference w:type="first" r:id="rId122"/>
          <w:footerReference w:type="first" r:id="rId123"/>
          <w:pgSz w:w="11906" w:h="16838" w:code="9"/>
          <w:pgMar w:top="142" w:right="1440" w:bottom="1701" w:left="1440" w:header="561" w:footer="374" w:gutter="0"/>
          <w:cols w:space="708"/>
          <w:titlePg/>
          <w:docGrid w:linePitch="360"/>
        </w:sectPr>
      </w:pPr>
    </w:p>
    <w:p w14:paraId="4E88D77A"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72BF3D15"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b/>
          <w:lang w:eastAsia="en-US"/>
        </w:rPr>
        <w:t>STATEMENT OF COMPREHENSIVE INCOME</w:t>
      </w:r>
    </w:p>
    <w:p w14:paraId="2D973FB2" w14:textId="77777777" w:rsidR="0082424C" w:rsidRPr="007A3600" w:rsidRDefault="0082424C" w:rsidP="00AD3197">
      <w:pPr>
        <w:pBdr>
          <w:bottom w:val="single" w:sz="4" w:space="1" w:color="auto"/>
        </w:pBdr>
        <w:spacing w:after="120" w:line="260" w:lineRule="atLeast"/>
        <w:rPr>
          <w:rFonts w:eastAsia="Times New Roman"/>
          <w:i/>
          <w:szCs w:val="20"/>
          <w:lang w:eastAsia="en-US"/>
        </w:rPr>
      </w:pPr>
      <w:r w:rsidRPr="007A3600">
        <w:rPr>
          <w:rFonts w:eastAsia="Times New Roman" w:cs="Arial"/>
          <w:i/>
          <w:lang w:eastAsia="en-US"/>
        </w:rPr>
        <w:t xml:space="preserve">for the year ended </w:t>
      </w:r>
      <w:r w:rsidRPr="007A3600">
        <w:rPr>
          <w:rFonts w:eastAsia="Times New Roman"/>
          <w:szCs w:val="20"/>
          <w:lang w:eastAsia="en-US"/>
        </w:rPr>
        <w:fldChar w:fldCharType="begin"/>
      </w:r>
      <w:r w:rsidRPr="007A3600">
        <w:rPr>
          <w:rFonts w:eastAsia="Times New Roman"/>
          <w:i/>
          <w:szCs w:val="20"/>
          <w:lang w:eastAsia="en-US"/>
        </w:rPr>
        <w:instrText>DOCPROPERTY  pEnd  \* MERGEFORMAT</w:instrText>
      </w:r>
      <w:r w:rsidRPr="007A3600">
        <w:rPr>
          <w:rFonts w:eastAsia="Times New Roman"/>
          <w:szCs w:val="20"/>
          <w:lang w:eastAsia="en-US"/>
        </w:rPr>
        <w:fldChar w:fldCharType="separate"/>
      </w:r>
      <w:r w:rsidRPr="007A3600">
        <w:rPr>
          <w:rFonts w:eastAsia="Times New Roman"/>
          <w:i/>
          <w:szCs w:val="20"/>
          <w:lang w:eastAsia="en-US"/>
        </w:rPr>
        <w:t>30 June</w:t>
      </w:r>
      <w:r w:rsidRPr="007A3600">
        <w:rPr>
          <w:rFonts w:eastAsia="Times New Roman"/>
          <w:szCs w:val="20"/>
          <w:lang w:eastAsia="en-US"/>
        </w:rPr>
        <w:fldChar w:fldCharType="end"/>
      </w:r>
      <w:r w:rsidRPr="007A3600">
        <w:rPr>
          <w:rFonts w:eastAsia="Times New Roman"/>
          <w:i/>
          <w:szCs w:val="20"/>
          <w:lang w:eastAsia="en-US"/>
        </w:rPr>
        <w:t xml:space="preserve"> </w:t>
      </w:r>
      <w:r w:rsidRPr="007A3600">
        <w:rPr>
          <w:rFonts w:eastAsia="Times New Roman" w:cs="Arial"/>
          <w:szCs w:val="20"/>
          <w:lang w:eastAsia="en-US"/>
        </w:rPr>
        <w:fldChar w:fldCharType="begin"/>
      </w:r>
      <w:r w:rsidRPr="007A3600">
        <w:rPr>
          <w:rFonts w:eastAsia="Times New Roman" w:cs="Arial"/>
          <w:i/>
          <w:lang w:eastAsia="en-US"/>
        </w:rPr>
        <w:instrText xml:space="preserve"> DOCPROPERTY  crYear  \* MERGEFORMAT </w:instrText>
      </w:r>
      <w:r w:rsidRPr="007A3600">
        <w:rPr>
          <w:rFonts w:eastAsia="Times New Roman" w:cs="Arial"/>
          <w:szCs w:val="20"/>
          <w:lang w:eastAsia="en-US"/>
        </w:rPr>
        <w:fldChar w:fldCharType="separate"/>
      </w:r>
      <w:r w:rsidRPr="007A3600">
        <w:rPr>
          <w:rFonts w:eastAsia="Times New Roman" w:cs="Arial"/>
          <w:i/>
          <w:lang w:eastAsia="en-US"/>
        </w:rPr>
        <w:t>2025</w:t>
      </w:r>
      <w:r w:rsidRPr="007A3600">
        <w:rPr>
          <w:rFonts w:eastAsia="Times New Roman" w:cs="Arial"/>
          <w:szCs w:val="20"/>
          <w:lang w:eastAsia="en-US"/>
        </w:rPr>
        <w:fldChar w:fldCharType="end"/>
      </w:r>
    </w:p>
    <w:tbl>
      <w:tblPr>
        <w:tblW w:w="9087" w:type="dxa"/>
        <w:tblLayout w:type="fixed"/>
        <w:tblCellMar>
          <w:left w:w="57" w:type="dxa"/>
          <w:right w:w="57" w:type="dxa"/>
        </w:tblCellMar>
        <w:tblLook w:val="04A0" w:firstRow="1" w:lastRow="0" w:firstColumn="1" w:lastColumn="0" w:noHBand="0" w:noVBand="1"/>
      </w:tblPr>
      <w:tblGrid>
        <w:gridCol w:w="4241"/>
        <w:gridCol w:w="1242"/>
        <w:gridCol w:w="1044"/>
        <w:gridCol w:w="236"/>
        <w:gridCol w:w="1044"/>
        <w:gridCol w:w="236"/>
        <w:gridCol w:w="1044"/>
      </w:tblGrid>
      <w:tr w:rsidR="0082424C" w:rsidRPr="007A3600" w14:paraId="09866A26" w14:textId="77777777">
        <w:trPr>
          <w:trHeight w:val="500"/>
        </w:trPr>
        <w:tc>
          <w:tcPr>
            <w:tcW w:w="4241" w:type="dxa"/>
            <w:tcBorders>
              <w:top w:val="single" w:sz="8" w:space="0" w:color="800080"/>
              <w:left w:val="nil"/>
              <w:bottom w:val="nil"/>
              <w:right w:val="nil"/>
            </w:tcBorders>
            <w:shd w:val="clear" w:color="FFFFFF" w:fill="FFFFFF"/>
            <w:noWrap/>
            <w:vAlign w:val="bottom"/>
            <w:hideMark/>
          </w:tcPr>
          <w:p w14:paraId="1E736D4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single" w:sz="8" w:space="0" w:color="800080"/>
              <w:left w:val="nil"/>
              <w:bottom w:val="nil"/>
              <w:right w:val="nil"/>
            </w:tcBorders>
            <w:shd w:val="clear" w:color="FFFFFF" w:fill="FFFFFF"/>
            <w:noWrap/>
            <w:vAlign w:val="bottom"/>
            <w:hideMark/>
          </w:tcPr>
          <w:p w14:paraId="4D33051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39564EB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3F15BD4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400A687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6A566EC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vAlign w:val="bottom"/>
            <w:hideMark/>
          </w:tcPr>
          <w:p w14:paraId="10E3AD92"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r>
      <w:tr w:rsidR="0082424C" w:rsidRPr="007A3600" w14:paraId="252D76E9" w14:textId="77777777">
        <w:trPr>
          <w:trHeight w:val="260"/>
        </w:trPr>
        <w:tc>
          <w:tcPr>
            <w:tcW w:w="4241" w:type="dxa"/>
            <w:tcBorders>
              <w:top w:val="nil"/>
              <w:left w:val="nil"/>
              <w:bottom w:val="nil"/>
              <w:right w:val="nil"/>
            </w:tcBorders>
            <w:shd w:val="clear" w:color="FFFFFF" w:fill="FFFFFF"/>
            <w:noWrap/>
            <w:vAlign w:val="bottom"/>
            <w:hideMark/>
          </w:tcPr>
          <w:p w14:paraId="04A2D87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7656606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ABE660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255DF7E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0FD654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2024</w:t>
            </w:r>
          </w:p>
        </w:tc>
        <w:tc>
          <w:tcPr>
            <w:tcW w:w="236" w:type="dxa"/>
            <w:tcBorders>
              <w:top w:val="nil"/>
              <w:left w:val="nil"/>
              <w:bottom w:val="nil"/>
              <w:right w:val="nil"/>
            </w:tcBorders>
            <w:shd w:val="clear" w:color="FFFFFF" w:fill="FFFFFF"/>
            <w:noWrap/>
            <w:vAlign w:val="bottom"/>
            <w:hideMark/>
          </w:tcPr>
          <w:p w14:paraId="34239D1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54DCFE5"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r>
      <w:tr w:rsidR="0082424C" w:rsidRPr="007A3600" w14:paraId="582E8C35" w14:textId="77777777">
        <w:trPr>
          <w:trHeight w:val="270"/>
        </w:trPr>
        <w:tc>
          <w:tcPr>
            <w:tcW w:w="4241" w:type="dxa"/>
            <w:tcBorders>
              <w:top w:val="nil"/>
              <w:left w:val="nil"/>
              <w:bottom w:val="single" w:sz="8" w:space="0" w:color="800080"/>
              <w:right w:val="nil"/>
            </w:tcBorders>
            <w:shd w:val="clear" w:color="FFFFFF" w:fill="FFFFFF"/>
            <w:noWrap/>
            <w:vAlign w:val="bottom"/>
            <w:hideMark/>
          </w:tcPr>
          <w:p w14:paraId="5C377FA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single" w:sz="8" w:space="0" w:color="800080"/>
              <w:right w:val="nil"/>
            </w:tcBorders>
            <w:shd w:val="clear" w:color="FFFFFF" w:fill="FFFFFF"/>
            <w:noWrap/>
            <w:vAlign w:val="bottom"/>
            <w:hideMark/>
          </w:tcPr>
          <w:p w14:paraId="58289CDB" w14:textId="77777777" w:rsidR="0082424C" w:rsidRPr="007A3600" w:rsidRDefault="0082424C" w:rsidP="00AD3197">
            <w:pPr>
              <w:spacing w:after="0" w:line="240" w:lineRule="atLeast"/>
              <w:jc w:val="center"/>
              <w:rPr>
                <w:rFonts w:eastAsia="Times New Roman" w:cs="Arial"/>
                <w:b/>
                <w:bCs/>
                <w:sz w:val="18"/>
                <w:szCs w:val="18"/>
                <w:lang w:eastAsia="en-US"/>
              </w:rPr>
            </w:pPr>
            <w:r w:rsidRPr="007A3600">
              <w:rPr>
                <w:rFonts w:eastAsia="Times New Roman" w:cs="Arial"/>
                <w:b/>
                <w:bCs/>
                <w:sz w:val="18"/>
                <w:szCs w:val="18"/>
                <w:lang w:eastAsia="en-US"/>
              </w:rPr>
              <w:t>Notes</w:t>
            </w:r>
          </w:p>
        </w:tc>
        <w:tc>
          <w:tcPr>
            <w:tcW w:w="1044" w:type="dxa"/>
            <w:tcBorders>
              <w:top w:val="nil"/>
              <w:left w:val="nil"/>
              <w:bottom w:val="single" w:sz="8" w:space="0" w:color="800080"/>
              <w:right w:val="nil"/>
            </w:tcBorders>
            <w:shd w:val="clear" w:color="FFFFFF" w:fill="FFFFFF"/>
            <w:noWrap/>
            <w:vAlign w:val="bottom"/>
            <w:hideMark/>
          </w:tcPr>
          <w:p w14:paraId="29165514"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58CA99B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bottom"/>
            <w:hideMark/>
          </w:tcPr>
          <w:p w14:paraId="6F78A75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02B8EA5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bottom"/>
            <w:hideMark/>
          </w:tcPr>
          <w:p w14:paraId="0B019E9C"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r>
      <w:tr w:rsidR="0082424C" w:rsidRPr="007A3600" w14:paraId="13CF711A" w14:textId="77777777">
        <w:trPr>
          <w:trHeight w:val="250"/>
        </w:trPr>
        <w:tc>
          <w:tcPr>
            <w:tcW w:w="4241" w:type="dxa"/>
            <w:tcBorders>
              <w:top w:val="nil"/>
              <w:left w:val="nil"/>
              <w:bottom w:val="nil"/>
              <w:right w:val="nil"/>
            </w:tcBorders>
            <w:shd w:val="clear" w:color="FFFFFF" w:fill="FFFFFF"/>
            <w:noWrap/>
            <w:vAlign w:val="bottom"/>
            <w:hideMark/>
          </w:tcPr>
          <w:p w14:paraId="0CC5AD4E"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COST OF SERVICES</w:t>
            </w:r>
          </w:p>
        </w:tc>
        <w:tc>
          <w:tcPr>
            <w:tcW w:w="1242" w:type="dxa"/>
            <w:tcBorders>
              <w:top w:val="nil"/>
              <w:left w:val="nil"/>
              <w:bottom w:val="nil"/>
              <w:right w:val="nil"/>
            </w:tcBorders>
            <w:shd w:val="clear" w:color="FFFFFF" w:fill="FFFFFF"/>
            <w:noWrap/>
            <w:vAlign w:val="bottom"/>
            <w:hideMark/>
          </w:tcPr>
          <w:p w14:paraId="16964EA6" w14:textId="77777777" w:rsidR="0082424C" w:rsidRPr="007A3600" w:rsidRDefault="0082424C" w:rsidP="00AD3197">
            <w:pPr>
              <w:spacing w:after="0" w:line="240" w:lineRule="atLeast"/>
              <w:jc w:val="center"/>
              <w:rPr>
                <w:rFonts w:eastAsia="Times New Roman" w:cs="Arial"/>
                <w:b/>
                <w:bCs/>
                <w:sz w:val="18"/>
                <w:szCs w:val="18"/>
                <w:lang w:eastAsia="en-US"/>
              </w:rPr>
            </w:pPr>
            <w:r w:rsidRPr="007A3600">
              <w:rPr>
                <w:rFonts w:eastAsia="Times New Roman" w:cs="Arial"/>
                <w:b/>
                <w:bCs/>
                <w:sz w:val="18"/>
                <w:szCs w:val="18"/>
                <w:lang w:eastAsia="en-US"/>
              </w:rPr>
              <w:t> </w:t>
            </w:r>
          </w:p>
        </w:tc>
        <w:tc>
          <w:tcPr>
            <w:tcW w:w="1044" w:type="dxa"/>
            <w:tcBorders>
              <w:top w:val="nil"/>
              <w:left w:val="nil"/>
              <w:bottom w:val="nil"/>
              <w:right w:val="nil"/>
            </w:tcBorders>
            <w:shd w:val="clear" w:color="FFFFFF" w:fill="FFFFFF"/>
            <w:noWrap/>
            <w:vAlign w:val="bottom"/>
            <w:hideMark/>
          </w:tcPr>
          <w:p w14:paraId="1F53EA7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1564E2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7017BE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EFBDE7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F92F50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A3F5BFD" w14:textId="77777777">
        <w:trPr>
          <w:trHeight w:val="250"/>
        </w:trPr>
        <w:tc>
          <w:tcPr>
            <w:tcW w:w="4241" w:type="dxa"/>
            <w:tcBorders>
              <w:top w:val="nil"/>
              <w:left w:val="nil"/>
              <w:bottom w:val="nil"/>
              <w:right w:val="nil"/>
            </w:tcBorders>
            <w:shd w:val="clear" w:color="FFFFFF" w:fill="FFFFFF"/>
            <w:vAlign w:val="bottom"/>
            <w:hideMark/>
          </w:tcPr>
          <w:p w14:paraId="1832BE93"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Expenses</w:t>
            </w:r>
          </w:p>
        </w:tc>
        <w:tc>
          <w:tcPr>
            <w:tcW w:w="1242" w:type="dxa"/>
            <w:tcBorders>
              <w:top w:val="nil"/>
              <w:left w:val="nil"/>
              <w:bottom w:val="nil"/>
              <w:right w:val="nil"/>
            </w:tcBorders>
            <w:shd w:val="clear" w:color="FFFFFF" w:fill="FFFFFF"/>
            <w:noWrap/>
            <w:vAlign w:val="bottom"/>
            <w:hideMark/>
          </w:tcPr>
          <w:p w14:paraId="6DC5D5DB"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9AA2533"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F61EC1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AAA408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079B0A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77A4F4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9E88413" w14:textId="77777777">
        <w:trPr>
          <w:trHeight w:val="250"/>
        </w:trPr>
        <w:tc>
          <w:tcPr>
            <w:tcW w:w="4241" w:type="dxa"/>
            <w:tcBorders>
              <w:top w:val="nil"/>
              <w:left w:val="nil"/>
              <w:bottom w:val="nil"/>
              <w:right w:val="nil"/>
            </w:tcBorders>
            <w:shd w:val="clear" w:color="FFFFFF" w:fill="FFFFFF"/>
            <w:vAlign w:val="bottom"/>
            <w:hideMark/>
          </w:tcPr>
          <w:p w14:paraId="0BB8B78E"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Employee benefits</w:t>
            </w:r>
          </w:p>
        </w:tc>
        <w:tc>
          <w:tcPr>
            <w:tcW w:w="1242" w:type="dxa"/>
            <w:tcBorders>
              <w:top w:val="nil"/>
              <w:left w:val="nil"/>
              <w:bottom w:val="nil"/>
              <w:right w:val="nil"/>
            </w:tcBorders>
            <w:shd w:val="clear" w:color="FFFFFF" w:fill="FFFFFF"/>
            <w:noWrap/>
            <w:vAlign w:val="bottom"/>
            <w:hideMark/>
          </w:tcPr>
          <w:p w14:paraId="4866705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1.1A</w:t>
            </w:r>
          </w:p>
        </w:tc>
        <w:tc>
          <w:tcPr>
            <w:tcW w:w="1044" w:type="dxa"/>
            <w:tcBorders>
              <w:top w:val="nil"/>
              <w:left w:val="nil"/>
              <w:bottom w:val="nil"/>
              <w:right w:val="nil"/>
            </w:tcBorders>
            <w:shd w:val="clear" w:color="FFFFFF" w:fill="FFFFFF"/>
            <w:noWrap/>
            <w:vAlign w:val="bottom"/>
            <w:hideMark/>
          </w:tcPr>
          <w:p w14:paraId="1CF19F5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1,066,884</w:t>
            </w:r>
          </w:p>
        </w:tc>
        <w:tc>
          <w:tcPr>
            <w:tcW w:w="236" w:type="dxa"/>
            <w:tcBorders>
              <w:top w:val="nil"/>
              <w:left w:val="nil"/>
              <w:bottom w:val="nil"/>
              <w:right w:val="nil"/>
            </w:tcBorders>
            <w:shd w:val="clear" w:color="FFFFFF" w:fill="FFFFFF"/>
            <w:noWrap/>
            <w:vAlign w:val="bottom"/>
            <w:hideMark/>
          </w:tcPr>
          <w:p w14:paraId="7C799FB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0F23A8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758,603</w:t>
            </w:r>
          </w:p>
        </w:tc>
        <w:tc>
          <w:tcPr>
            <w:tcW w:w="236" w:type="dxa"/>
            <w:tcBorders>
              <w:top w:val="nil"/>
              <w:left w:val="nil"/>
              <w:bottom w:val="nil"/>
              <w:right w:val="nil"/>
            </w:tcBorders>
            <w:shd w:val="clear" w:color="FFFFFF" w:fill="FFFFFF"/>
            <w:noWrap/>
            <w:vAlign w:val="bottom"/>
            <w:hideMark/>
          </w:tcPr>
          <w:p w14:paraId="47BB31B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36F24E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770,125</w:t>
            </w:r>
          </w:p>
        </w:tc>
      </w:tr>
      <w:tr w:rsidR="0082424C" w:rsidRPr="007A3600" w14:paraId="48ADD45C" w14:textId="77777777">
        <w:trPr>
          <w:trHeight w:val="250"/>
        </w:trPr>
        <w:tc>
          <w:tcPr>
            <w:tcW w:w="4241" w:type="dxa"/>
            <w:tcBorders>
              <w:top w:val="nil"/>
              <w:left w:val="nil"/>
              <w:bottom w:val="nil"/>
              <w:right w:val="nil"/>
            </w:tcBorders>
            <w:shd w:val="clear" w:color="FFFFFF" w:fill="FFFFFF"/>
            <w:vAlign w:val="bottom"/>
            <w:hideMark/>
          </w:tcPr>
          <w:p w14:paraId="381F76A3"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Suppliers</w:t>
            </w:r>
          </w:p>
        </w:tc>
        <w:tc>
          <w:tcPr>
            <w:tcW w:w="1242" w:type="dxa"/>
            <w:tcBorders>
              <w:top w:val="nil"/>
              <w:left w:val="nil"/>
              <w:bottom w:val="nil"/>
              <w:right w:val="nil"/>
            </w:tcBorders>
            <w:shd w:val="clear" w:color="FFFFFF" w:fill="FFFFFF"/>
            <w:noWrap/>
            <w:vAlign w:val="bottom"/>
            <w:hideMark/>
          </w:tcPr>
          <w:p w14:paraId="2A172BB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1.1B</w:t>
            </w:r>
          </w:p>
        </w:tc>
        <w:tc>
          <w:tcPr>
            <w:tcW w:w="1044" w:type="dxa"/>
            <w:tcBorders>
              <w:top w:val="nil"/>
              <w:left w:val="nil"/>
              <w:bottom w:val="nil"/>
              <w:right w:val="nil"/>
            </w:tcBorders>
            <w:noWrap/>
            <w:vAlign w:val="bottom"/>
            <w:hideMark/>
          </w:tcPr>
          <w:p w14:paraId="55F5303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780,612</w:t>
            </w:r>
          </w:p>
        </w:tc>
        <w:tc>
          <w:tcPr>
            <w:tcW w:w="236" w:type="dxa"/>
            <w:tcBorders>
              <w:top w:val="nil"/>
              <w:left w:val="nil"/>
              <w:bottom w:val="nil"/>
              <w:right w:val="nil"/>
            </w:tcBorders>
            <w:shd w:val="clear" w:color="FFFFFF" w:fill="FFFFFF"/>
            <w:noWrap/>
            <w:vAlign w:val="bottom"/>
            <w:hideMark/>
          </w:tcPr>
          <w:p w14:paraId="3A48CB2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5A5C6E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653,950</w:t>
            </w:r>
          </w:p>
        </w:tc>
        <w:tc>
          <w:tcPr>
            <w:tcW w:w="236" w:type="dxa"/>
            <w:tcBorders>
              <w:top w:val="nil"/>
              <w:left w:val="nil"/>
              <w:bottom w:val="nil"/>
              <w:right w:val="nil"/>
            </w:tcBorders>
            <w:shd w:val="clear" w:color="FFFFFF" w:fill="FFFFFF"/>
            <w:noWrap/>
            <w:vAlign w:val="bottom"/>
            <w:hideMark/>
          </w:tcPr>
          <w:p w14:paraId="13CD10F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D10CDA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1,823,777</w:t>
            </w:r>
          </w:p>
        </w:tc>
      </w:tr>
      <w:tr w:rsidR="0082424C" w:rsidRPr="007A3600" w14:paraId="088487C2" w14:textId="77777777">
        <w:trPr>
          <w:trHeight w:val="250"/>
        </w:trPr>
        <w:tc>
          <w:tcPr>
            <w:tcW w:w="4241" w:type="dxa"/>
            <w:tcBorders>
              <w:top w:val="nil"/>
              <w:left w:val="nil"/>
              <w:bottom w:val="nil"/>
              <w:right w:val="nil"/>
            </w:tcBorders>
            <w:shd w:val="clear" w:color="FFFFFF" w:fill="FFFFFF"/>
            <w:vAlign w:val="bottom"/>
            <w:hideMark/>
          </w:tcPr>
          <w:p w14:paraId="4FB8A7B6"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Community partnership costs</w:t>
            </w:r>
          </w:p>
        </w:tc>
        <w:tc>
          <w:tcPr>
            <w:tcW w:w="1242" w:type="dxa"/>
            <w:tcBorders>
              <w:top w:val="nil"/>
              <w:left w:val="nil"/>
              <w:bottom w:val="nil"/>
              <w:right w:val="nil"/>
            </w:tcBorders>
            <w:shd w:val="clear" w:color="FFFFFF" w:fill="FFFFFF"/>
            <w:noWrap/>
            <w:vAlign w:val="bottom"/>
            <w:hideMark/>
          </w:tcPr>
          <w:p w14:paraId="7A06C63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1.1F</w:t>
            </w:r>
          </w:p>
        </w:tc>
        <w:tc>
          <w:tcPr>
            <w:tcW w:w="1044" w:type="dxa"/>
            <w:tcBorders>
              <w:top w:val="nil"/>
              <w:left w:val="nil"/>
              <w:bottom w:val="nil"/>
              <w:right w:val="nil"/>
            </w:tcBorders>
            <w:shd w:val="clear" w:color="FFFFFF" w:fill="FFFFFF"/>
            <w:noWrap/>
            <w:vAlign w:val="bottom"/>
            <w:hideMark/>
          </w:tcPr>
          <w:p w14:paraId="70EFD2D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627,411</w:t>
            </w:r>
          </w:p>
        </w:tc>
        <w:tc>
          <w:tcPr>
            <w:tcW w:w="236" w:type="dxa"/>
            <w:tcBorders>
              <w:top w:val="nil"/>
              <w:left w:val="nil"/>
              <w:bottom w:val="nil"/>
              <w:right w:val="nil"/>
            </w:tcBorders>
            <w:shd w:val="clear" w:color="FFFFFF" w:fill="FFFFFF"/>
            <w:noWrap/>
            <w:vAlign w:val="bottom"/>
            <w:hideMark/>
          </w:tcPr>
          <w:p w14:paraId="3B77B93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B08BD8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605,739</w:t>
            </w:r>
          </w:p>
        </w:tc>
        <w:tc>
          <w:tcPr>
            <w:tcW w:w="236" w:type="dxa"/>
            <w:tcBorders>
              <w:top w:val="nil"/>
              <w:left w:val="nil"/>
              <w:bottom w:val="nil"/>
              <w:right w:val="nil"/>
            </w:tcBorders>
            <w:shd w:val="clear" w:color="FFFFFF" w:fill="FFFFFF"/>
            <w:noWrap/>
            <w:vAlign w:val="bottom"/>
            <w:hideMark/>
          </w:tcPr>
          <w:p w14:paraId="195CDD3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AA008F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31407D68" w14:textId="77777777">
        <w:trPr>
          <w:trHeight w:val="250"/>
        </w:trPr>
        <w:tc>
          <w:tcPr>
            <w:tcW w:w="4241" w:type="dxa"/>
            <w:tcBorders>
              <w:top w:val="nil"/>
              <w:left w:val="nil"/>
              <w:bottom w:val="nil"/>
              <w:right w:val="nil"/>
            </w:tcBorders>
            <w:shd w:val="clear" w:color="FFFFFF" w:fill="FFFFFF"/>
            <w:vAlign w:val="bottom"/>
            <w:hideMark/>
          </w:tcPr>
          <w:p w14:paraId="5F58CE67"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Grants</w:t>
            </w:r>
          </w:p>
        </w:tc>
        <w:tc>
          <w:tcPr>
            <w:tcW w:w="1242" w:type="dxa"/>
            <w:tcBorders>
              <w:top w:val="nil"/>
              <w:left w:val="nil"/>
              <w:bottom w:val="nil"/>
              <w:right w:val="nil"/>
            </w:tcBorders>
            <w:shd w:val="clear" w:color="FFFFFF" w:fill="FFFFFF"/>
            <w:noWrap/>
            <w:vAlign w:val="bottom"/>
            <w:hideMark/>
          </w:tcPr>
          <w:p w14:paraId="6CF336B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1.1C</w:t>
            </w:r>
          </w:p>
        </w:tc>
        <w:tc>
          <w:tcPr>
            <w:tcW w:w="1044" w:type="dxa"/>
            <w:tcBorders>
              <w:top w:val="nil"/>
              <w:left w:val="nil"/>
              <w:bottom w:val="nil"/>
              <w:right w:val="nil"/>
            </w:tcBorders>
            <w:noWrap/>
            <w:vAlign w:val="bottom"/>
            <w:hideMark/>
          </w:tcPr>
          <w:p w14:paraId="4986B02B"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11,916</w:t>
            </w:r>
          </w:p>
        </w:tc>
        <w:tc>
          <w:tcPr>
            <w:tcW w:w="236" w:type="dxa"/>
            <w:tcBorders>
              <w:top w:val="nil"/>
              <w:left w:val="nil"/>
              <w:bottom w:val="nil"/>
              <w:right w:val="nil"/>
            </w:tcBorders>
            <w:shd w:val="clear" w:color="FFFFFF" w:fill="FFFFFF"/>
            <w:noWrap/>
            <w:vAlign w:val="bottom"/>
            <w:hideMark/>
          </w:tcPr>
          <w:p w14:paraId="4F21498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B0F573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5,306</w:t>
            </w:r>
          </w:p>
        </w:tc>
        <w:tc>
          <w:tcPr>
            <w:tcW w:w="236" w:type="dxa"/>
            <w:tcBorders>
              <w:top w:val="nil"/>
              <w:left w:val="nil"/>
              <w:bottom w:val="nil"/>
              <w:right w:val="nil"/>
            </w:tcBorders>
            <w:shd w:val="clear" w:color="FFFFFF" w:fill="FFFFFF"/>
            <w:noWrap/>
            <w:vAlign w:val="bottom"/>
            <w:hideMark/>
          </w:tcPr>
          <w:p w14:paraId="26921DF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E947B0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3EA627C1" w14:textId="77777777">
        <w:trPr>
          <w:trHeight w:val="250"/>
        </w:trPr>
        <w:tc>
          <w:tcPr>
            <w:tcW w:w="4241" w:type="dxa"/>
            <w:tcBorders>
              <w:top w:val="nil"/>
              <w:left w:val="nil"/>
              <w:bottom w:val="nil"/>
              <w:right w:val="nil"/>
            </w:tcBorders>
            <w:shd w:val="clear" w:color="FFFFFF" w:fill="FFFFFF"/>
            <w:vAlign w:val="bottom"/>
            <w:hideMark/>
          </w:tcPr>
          <w:p w14:paraId="1217CBA9"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Participant plan expenses</w:t>
            </w:r>
          </w:p>
        </w:tc>
        <w:tc>
          <w:tcPr>
            <w:tcW w:w="1242" w:type="dxa"/>
            <w:tcBorders>
              <w:top w:val="nil"/>
              <w:left w:val="nil"/>
              <w:bottom w:val="nil"/>
              <w:right w:val="nil"/>
            </w:tcBorders>
            <w:shd w:val="clear" w:color="FFFFFF" w:fill="FFFFFF"/>
            <w:noWrap/>
            <w:vAlign w:val="bottom"/>
            <w:hideMark/>
          </w:tcPr>
          <w:p w14:paraId="35ECD3CF"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1.1G</w:t>
            </w:r>
          </w:p>
        </w:tc>
        <w:tc>
          <w:tcPr>
            <w:tcW w:w="1044" w:type="dxa"/>
            <w:tcBorders>
              <w:top w:val="nil"/>
              <w:left w:val="nil"/>
              <w:bottom w:val="nil"/>
              <w:right w:val="nil"/>
            </w:tcBorders>
            <w:shd w:val="clear" w:color="FFFFFF" w:fill="FFFFFF"/>
            <w:noWrap/>
            <w:vAlign w:val="bottom"/>
            <w:hideMark/>
          </w:tcPr>
          <w:p w14:paraId="598675A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46,352,178</w:t>
            </w:r>
          </w:p>
        </w:tc>
        <w:tc>
          <w:tcPr>
            <w:tcW w:w="236" w:type="dxa"/>
            <w:tcBorders>
              <w:top w:val="nil"/>
              <w:left w:val="nil"/>
              <w:bottom w:val="nil"/>
              <w:right w:val="nil"/>
            </w:tcBorders>
            <w:shd w:val="clear" w:color="FFFFFF" w:fill="FFFFFF"/>
            <w:noWrap/>
            <w:vAlign w:val="bottom"/>
            <w:hideMark/>
          </w:tcPr>
          <w:p w14:paraId="165B7BA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EA296A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41,845,657</w:t>
            </w:r>
          </w:p>
        </w:tc>
        <w:tc>
          <w:tcPr>
            <w:tcW w:w="236" w:type="dxa"/>
            <w:tcBorders>
              <w:top w:val="nil"/>
              <w:left w:val="nil"/>
              <w:bottom w:val="nil"/>
              <w:right w:val="nil"/>
            </w:tcBorders>
            <w:shd w:val="clear" w:color="FFFFFF" w:fill="FFFFFF"/>
            <w:noWrap/>
            <w:vAlign w:val="bottom"/>
            <w:hideMark/>
          </w:tcPr>
          <w:p w14:paraId="4E7B0D6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1BD850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46,381,067</w:t>
            </w:r>
          </w:p>
        </w:tc>
      </w:tr>
      <w:tr w:rsidR="0082424C" w:rsidRPr="007A3600" w14:paraId="25E1D05D" w14:textId="77777777">
        <w:trPr>
          <w:trHeight w:val="250"/>
        </w:trPr>
        <w:tc>
          <w:tcPr>
            <w:tcW w:w="4241" w:type="dxa"/>
            <w:tcBorders>
              <w:top w:val="nil"/>
              <w:left w:val="nil"/>
              <w:bottom w:val="nil"/>
              <w:right w:val="nil"/>
            </w:tcBorders>
            <w:shd w:val="clear" w:color="FFFFFF" w:fill="FFFFFF"/>
            <w:vAlign w:val="bottom"/>
            <w:hideMark/>
          </w:tcPr>
          <w:p w14:paraId="074FDD66"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Depreciation and amortisation</w:t>
            </w:r>
          </w:p>
        </w:tc>
        <w:tc>
          <w:tcPr>
            <w:tcW w:w="1242" w:type="dxa"/>
            <w:tcBorders>
              <w:top w:val="nil"/>
              <w:left w:val="nil"/>
              <w:bottom w:val="nil"/>
              <w:right w:val="nil"/>
            </w:tcBorders>
            <w:shd w:val="clear" w:color="FFFFFF" w:fill="FFFFFF"/>
            <w:noWrap/>
            <w:vAlign w:val="bottom"/>
            <w:hideMark/>
          </w:tcPr>
          <w:p w14:paraId="1DED5412"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2.2A</w:t>
            </w:r>
          </w:p>
        </w:tc>
        <w:tc>
          <w:tcPr>
            <w:tcW w:w="1044" w:type="dxa"/>
            <w:tcBorders>
              <w:top w:val="nil"/>
              <w:left w:val="nil"/>
              <w:bottom w:val="nil"/>
              <w:right w:val="nil"/>
            </w:tcBorders>
            <w:shd w:val="clear" w:color="FFFFFF" w:fill="FFFFFF"/>
            <w:noWrap/>
            <w:vAlign w:val="bottom"/>
            <w:hideMark/>
          </w:tcPr>
          <w:p w14:paraId="34BEEAF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61,564</w:t>
            </w:r>
          </w:p>
        </w:tc>
        <w:tc>
          <w:tcPr>
            <w:tcW w:w="236" w:type="dxa"/>
            <w:tcBorders>
              <w:top w:val="nil"/>
              <w:left w:val="nil"/>
              <w:bottom w:val="nil"/>
              <w:right w:val="nil"/>
            </w:tcBorders>
            <w:shd w:val="clear" w:color="FFFFFF" w:fill="FFFFFF"/>
            <w:noWrap/>
            <w:vAlign w:val="bottom"/>
            <w:hideMark/>
          </w:tcPr>
          <w:p w14:paraId="1B49CB7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0E9E9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62,267</w:t>
            </w:r>
          </w:p>
        </w:tc>
        <w:tc>
          <w:tcPr>
            <w:tcW w:w="236" w:type="dxa"/>
            <w:tcBorders>
              <w:top w:val="nil"/>
              <w:left w:val="nil"/>
              <w:bottom w:val="nil"/>
              <w:right w:val="nil"/>
            </w:tcBorders>
            <w:shd w:val="clear" w:color="FFFFFF" w:fill="FFFFFF"/>
            <w:noWrap/>
            <w:vAlign w:val="bottom"/>
            <w:hideMark/>
          </w:tcPr>
          <w:p w14:paraId="40E7005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03E7D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66,725</w:t>
            </w:r>
          </w:p>
        </w:tc>
      </w:tr>
      <w:tr w:rsidR="0082424C" w:rsidRPr="007A3600" w14:paraId="0CD4AEA8" w14:textId="77777777">
        <w:trPr>
          <w:trHeight w:val="250"/>
        </w:trPr>
        <w:tc>
          <w:tcPr>
            <w:tcW w:w="4241" w:type="dxa"/>
            <w:tcBorders>
              <w:top w:val="nil"/>
              <w:left w:val="nil"/>
              <w:bottom w:val="nil"/>
              <w:right w:val="nil"/>
            </w:tcBorders>
            <w:shd w:val="clear" w:color="FFFFFF" w:fill="FFFFFF"/>
            <w:vAlign w:val="bottom"/>
            <w:hideMark/>
          </w:tcPr>
          <w:p w14:paraId="63034E88"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Finance costs</w:t>
            </w:r>
          </w:p>
        </w:tc>
        <w:tc>
          <w:tcPr>
            <w:tcW w:w="1242" w:type="dxa"/>
            <w:tcBorders>
              <w:top w:val="nil"/>
              <w:left w:val="nil"/>
              <w:bottom w:val="nil"/>
              <w:right w:val="nil"/>
            </w:tcBorders>
            <w:shd w:val="clear" w:color="FFFFFF" w:fill="FFFFFF"/>
            <w:noWrap/>
            <w:vAlign w:val="bottom"/>
            <w:hideMark/>
          </w:tcPr>
          <w:p w14:paraId="10E8B3F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1.1D</w:t>
            </w:r>
          </w:p>
        </w:tc>
        <w:tc>
          <w:tcPr>
            <w:tcW w:w="1044" w:type="dxa"/>
            <w:tcBorders>
              <w:top w:val="nil"/>
              <w:left w:val="nil"/>
              <w:bottom w:val="nil"/>
              <w:right w:val="nil"/>
            </w:tcBorders>
            <w:shd w:val="clear" w:color="FFFFFF" w:fill="FFFFFF"/>
            <w:noWrap/>
            <w:vAlign w:val="bottom"/>
            <w:hideMark/>
          </w:tcPr>
          <w:p w14:paraId="4A4BD3A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5,463</w:t>
            </w:r>
          </w:p>
        </w:tc>
        <w:tc>
          <w:tcPr>
            <w:tcW w:w="236" w:type="dxa"/>
            <w:tcBorders>
              <w:top w:val="nil"/>
              <w:left w:val="nil"/>
              <w:bottom w:val="nil"/>
              <w:right w:val="nil"/>
            </w:tcBorders>
            <w:shd w:val="clear" w:color="FFFFFF" w:fill="FFFFFF"/>
            <w:noWrap/>
            <w:vAlign w:val="bottom"/>
            <w:hideMark/>
          </w:tcPr>
          <w:p w14:paraId="5A049DB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E2357B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4,342</w:t>
            </w:r>
          </w:p>
        </w:tc>
        <w:tc>
          <w:tcPr>
            <w:tcW w:w="236" w:type="dxa"/>
            <w:tcBorders>
              <w:top w:val="nil"/>
              <w:left w:val="nil"/>
              <w:bottom w:val="nil"/>
              <w:right w:val="nil"/>
            </w:tcBorders>
            <w:shd w:val="clear" w:color="FFFFFF" w:fill="FFFFFF"/>
            <w:noWrap/>
            <w:vAlign w:val="bottom"/>
            <w:hideMark/>
          </w:tcPr>
          <w:p w14:paraId="2CE8BFF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819B22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2,536</w:t>
            </w:r>
          </w:p>
        </w:tc>
      </w:tr>
      <w:tr w:rsidR="0082424C" w:rsidRPr="007A3600" w14:paraId="723605C2" w14:textId="77777777">
        <w:trPr>
          <w:trHeight w:val="250"/>
        </w:trPr>
        <w:tc>
          <w:tcPr>
            <w:tcW w:w="4241" w:type="dxa"/>
            <w:tcBorders>
              <w:top w:val="nil"/>
              <w:left w:val="nil"/>
              <w:bottom w:val="nil"/>
              <w:right w:val="nil"/>
            </w:tcBorders>
            <w:shd w:val="clear" w:color="FFFFFF" w:fill="FFFFFF"/>
            <w:vAlign w:val="bottom"/>
            <w:hideMark/>
          </w:tcPr>
          <w:p w14:paraId="563D1BE7"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Write-down and impairment of other assets</w:t>
            </w:r>
          </w:p>
        </w:tc>
        <w:tc>
          <w:tcPr>
            <w:tcW w:w="1242" w:type="dxa"/>
            <w:tcBorders>
              <w:top w:val="nil"/>
              <w:left w:val="nil"/>
              <w:bottom w:val="nil"/>
              <w:right w:val="nil"/>
            </w:tcBorders>
            <w:shd w:val="clear" w:color="FFFFFF" w:fill="FFFFFF"/>
            <w:noWrap/>
            <w:vAlign w:val="bottom"/>
            <w:hideMark/>
          </w:tcPr>
          <w:p w14:paraId="01644197"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1.1E</w:t>
            </w:r>
          </w:p>
        </w:tc>
        <w:tc>
          <w:tcPr>
            <w:tcW w:w="1044" w:type="dxa"/>
            <w:tcBorders>
              <w:top w:val="nil"/>
              <w:left w:val="nil"/>
              <w:bottom w:val="nil"/>
              <w:right w:val="nil"/>
            </w:tcBorders>
            <w:shd w:val="clear" w:color="FFFFFF" w:fill="FFFFFF"/>
            <w:noWrap/>
            <w:vAlign w:val="bottom"/>
            <w:hideMark/>
          </w:tcPr>
          <w:p w14:paraId="7E34FB1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70,598</w:t>
            </w:r>
          </w:p>
        </w:tc>
        <w:tc>
          <w:tcPr>
            <w:tcW w:w="236" w:type="dxa"/>
            <w:tcBorders>
              <w:top w:val="nil"/>
              <w:left w:val="nil"/>
              <w:bottom w:val="nil"/>
              <w:right w:val="nil"/>
            </w:tcBorders>
            <w:shd w:val="clear" w:color="FFFFFF" w:fill="FFFFFF"/>
            <w:noWrap/>
            <w:vAlign w:val="bottom"/>
            <w:hideMark/>
          </w:tcPr>
          <w:p w14:paraId="5190CAB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ABE9AF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42,717</w:t>
            </w:r>
          </w:p>
        </w:tc>
        <w:tc>
          <w:tcPr>
            <w:tcW w:w="236" w:type="dxa"/>
            <w:tcBorders>
              <w:top w:val="nil"/>
              <w:left w:val="nil"/>
              <w:bottom w:val="nil"/>
              <w:right w:val="nil"/>
            </w:tcBorders>
            <w:shd w:val="clear" w:color="FFFFFF" w:fill="FFFFFF"/>
            <w:noWrap/>
            <w:vAlign w:val="bottom"/>
            <w:hideMark/>
          </w:tcPr>
          <w:p w14:paraId="3D4AC0B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7CF993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271F3F76" w14:textId="77777777">
        <w:trPr>
          <w:trHeight w:val="250"/>
        </w:trPr>
        <w:tc>
          <w:tcPr>
            <w:tcW w:w="4241" w:type="dxa"/>
            <w:tcBorders>
              <w:top w:val="nil"/>
              <w:left w:val="nil"/>
              <w:bottom w:val="nil"/>
              <w:right w:val="nil"/>
            </w:tcBorders>
            <w:shd w:val="clear" w:color="FFFFFF" w:fill="FFFFFF"/>
            <w:vAlign w:val="bottom"/>
            <w:hideMark/>
          </w:tcPr>
          <w:p w14:paraId="1D87CC9A"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expenses</w:t>
            </w:r>
          </w:p>
        </w:tc>
        <w:tc>
          <w:tcPr>
            <w:tcW w:w="1242" w:type="dxa"/>
            <w:tcBorders>
              <w:top w:val="nil"/>
              <w:left w:val="nil"/>
              <w:bottom w:val="nil"/>
              <w:right w:val="nil"/>
            </w:tcBorders>
            <w:shd w:val="clear" w:color="FFFFFF" w:fill="FFFFFF"/>
            <w:noWrap/>
            <w:vAlign w:val="bottom"/>
            <w:hideMark/>
          </w:tcPr>
          <w:p w14:paraId="7DC103C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0BB400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48,976,626</w:t>
            </w:r>
          </w:p>
        </w:tc>
        <w:tc>
          <w:tcPr>
            <w:tcW w:w="236" w:type="dxa"/>
            <w:tcBorders>
              <w:top w:val="nil"/>
              <w:left w:val="nil"/>
              <w:bottom w:val="nil"/>
              <w:right w:val="nil"/>
            </w:tcBorders>
            <w:shd w:val="clear" w:color="FFFFFF" w:fill="FFFFFF"/>
            <w:noWrap/>
            <w:vAlign w:val="bottom"/>
            <w:hideMark/>
          </w:tcPr>
          <w:p w14:paraId="5A94899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F6F242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43,978,581</w:t>
            </w:r>
          </w:p>
        </w:tc>
        <w:tc>
          <w:tcPr>
            <w:tcW w:w="236" w:type="dxa"/>
            <w:tcBorders>
              <w:top w:val="nil"/>
              <w:left w:val="nil"/>
              <w:bottom w:val="nil"/>
              <w:right w:val="nil"/>
            </w:tcBorders>
            <w:shd w:val="clear" w:color="FFFFFF" w:fill="FFFFFF"/>
            <w:noWrap/>
            <w:vAlign w:val="bottom"/>
            <w:hideMark/>
          </w:tcPr>
          <w:p w14:paraId="35C990E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0C9C1D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49,044,230</w:t>
            </w:r>
          </w:p>
        </w:tc>
      </w:tr>
      <w:tr w:rsidR="0082424C" w:rsidRPr="007A3600" w14:paraId="505DBF22" w14:textId="77777777">
        <w:trPr>
          <w:trHeight w:val="250"/>
        </w:trPr>
        <w:tc>
          <w:tcPr>
            <w:tcW w:w="4241" w:type="dxa"/>
            <w:tcBorders>
              <w:top w:val="nil"/>
              <w:left w:val="nil"/>
              <w:bottom w:val="nil"/>
              <w:right w:val="nil"/>
            </w:tcBorders>
            <w:shd w:val="clear" w:color="FFFFFF" w:fill="FFFFFF"/>
            <w:vAlign w:val="bottom"/>
            <w:hideMark/>
          </w:tcPr>
          <w:p w14:paraId="74D2553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441C773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316A7F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735810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AA4818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40AD00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DDC1D5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DD7BD1D" w14:textId="77777777">
        <w:trPr>
          <w:trHeight w:val="250"/>
        </w:trPr>
        <w:tc>
          <w:tcPr>
            <w:tcW w:w="4241" w:type="dxa"/>
            <w:tcBorders>
              <w:top w:val="nil"/>
              <w:left w:val="nil"/>
              <w:bottom w:val="nil"/>
              <w:right w:val="nil"/>
            </w:tcBorders>
            <w:shd w:val="clear" w:color="FFFFFF" w:fill="FFFFFF"/>
            <w:noWrap/>
            <w:vAlign w:val="bottom"/>
            <w:hideMark/>
          </w:tcPr>
          <w:p w14:paraId="377A6E38"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OWN-SOURCE INCOME</w:t>
            </w:r>
          </w:p>
        </w:tc>
        <w:tc>
          <w:tcPr>
            <w:tcW w:w="1242" w:type="dxa"/>
            <w:tcBorders>
              <w:top w:val="nil"/>
              <w:left w:val="nil"/>
              <w:bottom w:val="nil"/>
              <w:right w:val="nil"/>
            </w:tcBorders>
            <w:shd w:val="clear" w:color="FFFFFF" w:fill="FFFFFF"/>
            <w:noWrap/>
            <w:vAlign w:val="bottom"/>
            <w:hideMark/>
          </w:tcPr>
          <w:p w14:paraId="6EE31F4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A33C4D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F12D15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FF66FD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C2C840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2D12DD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C2E7F70" w14:textId="77777777">
        <w:trPr>
          <w:trHeight w:val="250"/>
        </w:trPr>
        <w:tc>
          <w:tcPr>
            <w:tcW w:w="4241" w:type="dxa"/>
            <w:tcBorders>
              <w:top w:val="nil"/>
              <w:left w:val="nil"/>
              <w:bottom w:val="nil"/>
              <w:right w:val="nil"/>
            </w:tcBorders>
            <w:shd w:val="clear" w:color="FFFFFF" w:fill="FFFFFF"/>
            <w:vAlign w:val="bottom"/>
            <w:hideMark/>
          </w:tcPr>
          <w:p w14:paraId="287EC3A0"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Own-source revenue</w:t>
            </w:r>
          </w:p>
        </w:tc>
        <w:tc>
          <w:tcPr>
            <w:tcW w:w="1242" w:type="dxa"/>
            <w:tcBorders>
              <w:top w:val="nil"/>
              <w:left w:val="nil"/>
              <w:bottom w:val="nil"/>
              <w:right w:val="nil"/>
            </w:tcBorders>
            <w:shd w:val="clear" w:color="FFFFFF" w:fill="FFFFFF"/>
            <w:noWrap/>
            <w:vAlign w:val="bottom"/>
            <w:hideMark/>
          </w:tcPr>
          <w:p w14:paraId="22238C8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8D38BE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6AB343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0FE581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886B3B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2A8436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498F25B" w14:textId="77777777">
        <w:trPr>
          <w:trHeight w:val="250"/>
        </w:trPr>
        <w:tc>
          <w:tcPr>
            <w:tcW w:w="4241" w:type="dxa"/>
            <w:tcBorders>
              <w:top w:val="nil"/>
              <w:left w:val="nil"/>
              <w:bottom w:val="nil"/>
              <w:right w:val="nil"/>
            </w:tcBorders>
            <w:shd w:val="clear" w:color="FFFFFF" w:fill="FFFFFF"/>
            <w:vAlign w:val="bottom"/>
            <w:hideMark/>
          </w:tcPr>
          <w:p w14:paraId="2EDBCE4B"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Rendering of services</w:t>
            </w:r>
          </w:p>
        </w:tc>
        <w:tc>
          <w:tcPr>
            <w:tcW w:w="1242" w:type="dxa"/>
            <w:tcBorders>
              <w:top w:val="nil"/>
              <w:left w:val="nil"/>
              <w:bottom w:val="nil"/>
              <w:right w:val="nil"/>
            </w:tcBorders>
            <w:shd w:val="clear" w:color="FFFFFF" w:fill="FFFFFF"/>
            <w:noWrap/>
            <w:vAlign w:val="bottom"/>
            <w:hideMark/>
          </w:tcPr>
          <w:p w14:paraId="4185EE9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1.2A</w:t>
            </w:r>
          </w:p>
        </w:tc>
        <w:tc>
          <w:tcPr>
            <w:tcW w:w="1044" w:type="dxa"/>
            <w:tcBorders>
              <w:top w:val="nil"/>
              <w:left w:val="nil"/>
              <w:bottom w:val="nil"/>
              <w:right w:val="nil"/>
            </w:tcBorders>
            <w:shd w:val="clear" w:color="FFFFFF" w:fill="FFFFFF"/>
            <w:noWrap/>
            <w:vAlign w:val="bottom"/>
            <w:hideMark/>
          </w:tcPr>
          <w:p w14:paraId="4A1EB414"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45,217,958</w:t>
            </w:r>
          </w:p>
        </w:tc>
        <w:tc>
          <w:tcPr>
            <w:tcW w:w="236" w:type="dxa"/>
            <w:tcBorders>
              <w:top w:val="nil"/>
              <w:left w:val="nil"/>
              <w:bottom w:val="nil"/>
              <w:right w:val="nil"/>
            </w:tcBorders>
            <w:shd w:val="clear" w:color="FFFFFF" w:fill="FFFFFF"/>
            <w:noWrap/>
            <w:vAlign w:val="bottom"/>
            <w:hideMark/>
          </w:tcPr>
          <w:p w14:paraId="16EF36F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21C511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41,429,061</w:t>
            </w:r>
          </w:p>
        </w:tc>
        <w:tc>
          <w:tcPr>
            <w:tcW w:w="236" w:type="dxa"/>
            <w:tcBorders>
              <w:top w:val="nil"/>
              <w:left w:val="nil"/>
              <w:bottom w:val="nil"/>
              <w:right w:val="nil"/>
            </w:tcBorders>
            <w:shd w:val="clear" w:color="FFFFFF" w:fill="FFFFFF"/>
            <w:noWrap/>
            <w:vAlign w:val="bottom"/>
            <w:hideMark/>
          </w:tcPr>
          <w:p w14:paraId="435F8B0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365D49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46,024,215</w:t>
            </w:r>
          </w:p>
        </w:tc>
      </w:tr>
      <w:tr w:rsidR="0082424C" w:rsidRPr="007A3600" w14:paraId="6646F771" w14:textId="77777777">
        <w:trPr>
          <w:trHeight w:val="250"/>
        </w:trPr>
        <w:tc>
          <w:tcPr>
            <w:tcW w:w="4241" w:type="dxa"/>
            <w:tcBorders>
              <w:top w:val="nil"/>
              <w:left w:val="nil"/>
              <w:bottom w:val="nil"/>
              <w:right w:val="nil"/>
            </w:tcBorders>
            <w:shd w:val="clear" w:color="FFFFFF" w:fill="FFFFFF"/>
            <w:vAlign w:val="bottom"/>
            <w:hideMark/>
          </w:tcPr>
          <w:p w14:paraId="6A965690"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Interest</w:t>
            </w:r>
          </w:p>
        </w:tc>
        <w:tc>
          <w:tcPr>
            <w:tcW w:w="1242" w:type="dxa"/>
            <w:tcBorders>
              <w:top w:val="nil"/>
              <w:left w:val="nil"/>
              <w:bottom w:val="nil"/>
              <w:right w:val="nil"/>
            </w:tcBorders>
            <w:shd w:val="clear" w:color="FFFFFF" w:fill="FFFFFF"/>
            <w:noWrap/>
            <w:vAlign w:val="bottom"/>
            <w:hideMark/>
          </w:tcPr>
          <w:p w14:paraId="2483B36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B86F94B"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503,159</w:t>
            </w:r>
          </w:p>
        </w:tc>
        <w:tc>
          <w:tcPr>
            <w:tcW w:w="236" w:type="dxa"/>
            <w:tcBorders>
              <w:top w:val="nil"/>
              <w:left w:val="nil"/>
              <w:bottom w:val="nil"/>
              <w:right w:val="nil"/>
            </w:tcBorders>
            <w:shd w:val="clear" w:color="FFFFFF" w:fill="FFFFFF"/>
            <w:noWrap/>
            <w:vAlign w:val="bottom"/>
            <w:hideMark/>
          </w:tcPr>
          <w:p w14:paraId="3416A1E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34D742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390,496</w:t>
            </w:r>
          </w:p>
        </w:tc>
        <w:tc>
          <w:tcPr>
            <w:tcW w:w="236" w:type="dxa"/>
            <w:tcBorders>
              <w:top w:val="nil"/>
              <w:left w:val="nil"/>
              <w:bottom w:val="nil"/>
              <w:right w:val="nil"/>
            </w:tcBorders>
            <w:shd w:val="clear" w:color="FFFFFF" w:fill="FFFFFF"/>
            <w:noWrap/>
            <w:vAlign w:val="bottom"/>
            <w:hideMark/>
          </w:tcPr>
          <w:p w14:paraId="2D6EE61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7D26D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402,174</w:t>
            </w:r>
          </w:p>
        </w:tc>
      </w:tr>
      <w:tr w:rsidR="0082424C" w:rsidRPr="007A3600" w14:paraId="415524B3" w14:textId="77777777">
        <w:trPr>
          <w:trHeight w:val="250"/>
        </w:trPr>
        <w:tc>
          <w:tcPr>
            <w:tcW w:w="4241" w:type="dxa"/>
            <w:tcBorders>
              <w:top w:val="nil"/>
              <w:left w:val="nil"/>
              <w:bottom w:val="nil"/>
              <w:right w:val="nil"/>
            </w:tcBorders>
            <w:shd w:val="clear" w:color="FFFFFF" w:fill="FFFFFF"/>
            <w:vAlign w:val="bottom"/>
            <w:hideMark/>
          </w:tcPr>
          <w:p w14:paraId="4B8F89E2"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Rental income</w:t>
            </w:r>
          </w:p>
        </w:tc>
        <w:tc>
          <w:tcPr>
            <w:tcW w:w="1242" w:type="dxa"/>
            <w:tcBorders>
              <w:top w:val="nil"/>
              <w:left w:val="nil"/>
              <w:bottom w:val="nil"/>
              <w:right w:val="nil"/>
            </w:tcBorders>
            <w:shd w:val="clear" w:color="FFFFFF" w:fill="FFFFFF"/>
            <w:noWrap/>
            <w:vAlign w:val="bottom"/>
            <w:hideMark/>
          </w:tcPr>
          <w:p w14:paraId="5CA98927"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1.2B</w:t>
            </w:r>
          </w:p>
        </w:tc>
        <w:tc>
          <w:tcPr>
            <w:tcW w:w="1044" w:type="dxa"/>
            <w:tcBorders>
              <w:top w:val="nil"/>
              <w:left w:val="nil"/>
              <w:bottom w:val="nil"/>
              <w:right w:val="nil"/>
            </w:tcBorders>
            <w:shd w:val="clear" w:color="FFFFFF" w:fill="FFFFFF"/>
            <w:noWrap/>
            <w:vAlign w:val="bottom"/>
            <w:hideMark/>
          </w:tcPr>
          <w:p w14:paraId="6EFF8624"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468</w:t>
            </w:r>
          </w:p>
        </w:tc>
        <w:tc>
          <w:tcPr>
            <w:tcW w:w="236" w:type="dxa"/>
            <w:tcBorders>
              <w:top w:val="nil"/>
              <w:left w:val="nil"/>
              <w:bottom w:val="nil"/>
              <w:right w:val="nil"/>
            </w:tcBorders>
            <w:shd w:val="clear" w:color="FFFFFF" w:fill="FFFFFF"/>
            <w:noWrap/>
            <w:vAlign w:val="bottom"/>
            <w:hideMark/>
          </w:tcPr>
          <w:p w14:paraId="5BC9FF4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F53055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478</w:t>
            </w:r>
          </w:p>
        </w:tc>
        <w:tc>
          <w:tcPr>
            <w:tcW w:w="236" w:type="dxa"/>
            <w:tcBorders>
              <w:top w:val="nil"/>
              <w:left w:val="nil"/>
              <w:bottom w:val="nil"/>
              <w:right w:val="nil"/>
            </w:tcBorders>
            <w:shd w:val="clear" w:color="FFFFFF" w:fill="FFFFFF"/>
            <w:noWrap/>
            <w:vAlign w:val="bottom"/>
            <w:hideMark/>
          </w:tcPr>
          <w:p w14:paraId="5F01679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3F0360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09316A4F" w14:textId="77777777">
        <w:trPr>
          <w:trHeight w:val="250"/>
        </w:trPr>
        <w:tc>
          <w:tcPr>
            <w:tcW w:w="4241" w:type="dxa"/>
            <w:tcBorders>
              <w:top w:val="nil"/>
              <w:left w:val="nil"/>
              <w:bottom w:val="nil"/>
              <w:right w:val="nil"/>
            </w:tcBorders>
            <w:shd w:val="clear" w:color="FFFFFF" w:fill="FFFFFF"/>
            <w:vAlign w:val="bottom"/>
            <w:hideMark/>
          </w:tcPr>
          <w:p w14:paraId="7A6DBA6B"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Other revenue</w:t>
            </w:r>
          </w:p>
        </w:tc>
        <w:tc>
          <w:tcPr>
            <w:tcW w:w="1242" w:type="dxa"/>
            <w:tcBorders>
              <w:top w:val="nil"/>
              <w:left w:val="nil"/>
              <w:bottom w:val="nil"/>
              <w:right w:val="nil"/>
            </w:tcBorders>
            <w:shd w:val="clear" w:color="FFFFFF" w:fill="FFFFFF"/>
            <w:noWrap/>
            <w:vAlign w:val="bottom"/>
            <w:hideMark/>
          </w:tcPr>
          <w:p w14:paraId="5E95A17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1.2C</w:t>
            </w:r>
          </w:p>
        </w:tc>
        <w:tc>
          <w:tcPr>
            <w:tcW w:w="1044" w:type="dxa"/>
            <w:tcBorders>
              <w:top w:val="nil"/>
              <w:left w:val="nil"/>
              <w:bottom w:val="nil"/>
              <w:right w:val="nil"/>
            </w:tcBorders>
            <w:shd w:val="clear" w:color="FFFFFF" w:fill="FFFFFF"/>
            <w:noWrap/>
            <w:vAlign w:val="bottom"/>
            <w:hideMark/>
          </w:tcPr>
          <w:p w14:paraId="2D5F4E9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997,556</w:t>
            </w:r>
          </w:p>
        </w:tc>
        <w:tc>
          <w:tcPr>
            <w:tcW w:w="236" w:type="dxa"/>
            <w:tcBorders>
              <w:top w:val="nil"/>
              <w:left w:val="nil"/>
              <w:bottom w:val="nil"/>
              <w:right w:val="nil"/>
            </w:tcBorders>
            <w:shd w:val="clear" w:color="FFFFFF" w:fill="FFFFFF"/>
            <w:noWrap/>
            <w:vAlign w:val="bottom"/>
            <w:hideMark/>
          </w:tcPr>
          <w:p w14:paraId="3C567E8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D3FBC3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1,001,180</w:t>
            </w:r>
          </w:p>
        </w:tc>
        <w:tc>
          <w:tcPr>
            <w:tcW w:w="236" w:type="dxa"/>
            <w:tcBorders>
              <w:top w:val="nil"/>
              <w:left w:val="nil"/>
              <w:bottom w:val="nil"/>
              <w:right w:val="nil"/>
            </w:tcBorders>
            <w:shd w:val="clear" w:color="FFFFFF" w:fill="FFFFFF"/>
            <w:noWrap/>
            <w:vAlign w:val="bottom"/>
            <w:hideMark/>
          </w:tcPr>
          <w:p w14:paraId="7124109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F9CB0A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2A8911D1" w14:textId="77777777">
        <w:trPr>
          <w:trHeight w:val="250"/>
        </w:trPr>
        <w:tc>
          <w:tcPr>
            <w:tcW w:w="4241" w:type="dxa"/>
            <w:tcBorders>
              <w:top w:val="nil"/>
              <w:left w:val="nil"/>
              <w:bottom w:val="nil"/>
              <w:right w:val="nil"/>
            </w:tcBorders>
            <w:shd w:val="clear" w:color="FFFFFF" w:fill="FFFFFF"/>
            <w:vAlign w:val="bottom"/>
            <w:hideMark/>
          </w:tcPr>
          <w:p w14:paraId="47C80D4C"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own-source revenue</w:t>
            </w:r>
          </w:p>
        </w:tc>
        <w:tc>
          <w:tcPr>
            <w:tcW w:w="1242" w:type="dxa"/>
            <w:tcBorders>
              <w:top w:val="nil"/>
              <w:left w:val="nil"/>
              <w:bottom w:val="nil"/>
              <w:right w:val="nil"/>
            </w:tcBorders>
            <w:shd w:val="clear" w:color="FFFFFF" w:fill="FFFFFF"/>
            <w:noWrap/>
            <w:vAlign w:val="bottom"/>
            <w:hideMark/>
          </w:tcPr>
          <w:p w14:paraId="60B30A1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F96899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46,719,141</w:t>
            </w:r>
          </w:p>
        </w:tc>
        <w:tc>
          <w:tcPr>
            <w:tcW w:w="236" w:type="dxa"/>
            <w:tcBorders>
              <w:top w:val="nil"/>
              <w:left w:val="nil"/>
              <w:bottom w:val="nil"/>
              <w:right w:val="nil"/>
            </w:tcBorders>
            <w:shd w:val="clear" w:color="FFFFFF" w:fill="FFFFFF"/>
            <w:noWrap/>
            <w:vAlign w:val="bottom"/>
            <w:hideMark/>
          </w:tcPr>
          <w:p w14:paraId="5D28538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F18F8F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42,821,215</w:t>
            </w:r>
          </w:p>
        </w:tc>
        <w:tc>
          <w:tcPr>
            <w:tcW w:w="236" w:type="dxa"/>
            <w:tcBorders>
              <w:top w:val="nil"/>
              <w:left w:val="nil"/>
              <w:bottom w:val="nil"/>
              <w:right w:val="nil"/>
            </w:tcBorders>
            <w:shd w:val="clear" w:color="FFFFFF" w:fill="FFFFFF"/>
            <w:noWrap/>
            <w:vAlign w:val="bottom"/>
            <w:hideMark/>
          </w:tcPr>
          <w:p w14:paraId="2C14324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DD90B0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46,426,389</w:t>
            </w:r>
          </w:p>
        </w:tc>
      </w:tr>
      <w:tr w:rsidR="0082424C" w:rsidRPr="007A3600" w14:paraId="3BF0053F" w14:textId="77777777">
        <w:trPr>
          <w:trHeight w:val="250"/>
        </w:trPr>
        <w:tc>
          <w:tcPr>
            <w:tcW w:w="4241" w:type="dxa"/>
            <w:tcBorders>
              <w:top w:val="nil"/>
              <w:left w:val="nil"/>
              <w:bottom w:val="nil"/>
              <w:right w:val="nil"/>
            </w:tcBorders>
            <w:shd w:val="clear" w:color="FFFFFF" w:fill="FFFFFF"/>
            <w:vAlign w:val="bottom"/>
            <w:hideMark/>
          </w:tcPr>
          <w:p w14:paraId="677D459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4BE349FB"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99A0EC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634E38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609444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C8C2A6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843CBD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A7831C9" w14:textId="77777777">
        <w:trPr>
          <w:trHeight w:val="250"/>
        </w:trPr>
        <w:tc>
          <w:tcPr>
            <w:tcW w:w="4241" w:type="dxa"/>
            <w:tcBorders>
              <w:top w:val="nil"/>
              <w:left w:val="nil"/>
              <w:bottom w:val="nil"/>
              <w:right w:val="nil"/>
            </w:tcBorders>
            <w:shd w:val="clear" w:color="FFFFFF" w:fill="FFFFFF"/>
            <w:vAlign w:val="bottom"/>
            <w:hideMark/>
          </w:tcPr>
          <w:p w14:paraId="02060B52"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Gains</w:t>
            </w:r>
          </w:p>
        </w:tc>
        <w:tc>
          <w:tcPr>
            <w:tcW w:w="1242" w:type="dxa"/>
            <w:tcBorders>
              <w:top w:val="nil"/>
              <w:left w:val="nil"/>
              <w:bottom w:val="nil"/>
              <w:right w:val="nil"/>
            </w:tcBorders>
            <w:shd w:val="clear" w:color="FFFFFF" w:fill="FFFFFF"/>
            <w:noWrap/>
            <w:vAlign w:val="bottom"/>
            <w:hideMark/>
          </w:tcPr>
          <w:p w14:paraId="3CECFC9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AA20DD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5FA90D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893020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AC1F82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E58A9D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1FCC212" w14:textId="77777777">
        <w:trPr>
          <w:trHeight w:val="250"/>
        </w:trPr>
        <w:tc>
          <w:tcPr>
            <w:tcW w:w="4241" w:type="dxa"/>
            <w:tcBorders>
              <w:top w:val="nil"/>
              <w:left w:val="nil"/>
              <w:bottom w:val="nil"/>
              <w:right w:val="nil"/>
            </w:tcBorders>
            <w:shd w:val="clear" w:color="FFFFFF" w:fill="FFFFFF"/>
            <w:vAlign w:val="bottom"/>
            <w:hideMark/>
          </w:tcPr>
          <w:p w14:paraId="001ACAF5"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Other gains</w:t>
            </w:r>
          </w:p>
        </w:tc>
        <w:tc>
          <w:tcPr>
            <w:tcW w:w="1242" w:type="dxa"/>
            <w:tcBorders>
              <w:top w:val="nil"/>
              <w:left w:val="nil"/>
              <w:bottom w:val="nil"/>
              <w:right w:val="nil"/>
            </w:tcBorders>
            <w:shd w:val="clear" w:color="FFFFFF" w:fill="FFFFFF"/>
            <w:noWrap/>
            <w:vAlign w:val="bottom"/>
            <w:hideMark/>
          </w:tcPr>
          <w:p w14:paraId="1EE8D1C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1.2D</w:t>
            </w:r>
          </w:p>
        </w:tc>
        <w:tc>
          <w:tcPr>
            <w:tcW w:w="1044" w:type="dxa"/>
            <w:tcBorders>
              <w:top w:val="nil"/>
              <w:left w:val="nil"/>
              <w:bottom w:val="nil"/>
              <w:right w:val="nil"/>
            </w:tcBorders>
            <w:shd w:val="clear" w:color="FFFFFF" w:fill="FFFFFF"/>
            <w:noWrap/>
            <w:vAlign w:val="bottom"/>
            <w:hideMark/>
          </w:tcPr>
          <w:p w14:paraId="64C5732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107,043</w:t>
            </w:r>
          </w:p>
        </w:tc>
        <w:tc>
          <w:tcPr>
            <w:tcW w:w="236" w:type="dxa"/>
            <w:tcBorders>
              <w:top w:val="nil"/>
              <w:left w:val="nil"/>
              <w:bottom w:val="nil"/>
              <w:right w:val="nil"/>
            </w:tcBorders>
            <w:shd w:val="clear" w:color="FFFFFF" w:fill="FFFFFF"/>
            <w:noWrap/>
            <w:vAlign w:val="bottom"/>
            <w:hideMark/>
          </w:tcPr>
          <w:p w14:paraId="05E0551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A2C779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127,530</w:t>
            </w:r>
          </w:p>
        </w:tc>
        <w:tc>
          <w:tcPr>
            <w:tcW w:w="236" w:type="dxa"/>
            <w:tcBorders>
              <w:top w:val="nil"/>
              <w:left w:val="nil"/>
              <w:bottom w:val="nil"/>
              <w:right w:val="nil"/>
            </w:tcBorders>
            <w:shd w:val="clear" w:color="FFFFFF" w:fill="FFFFFF"/>
            <w:noWrap/>
            <w:vAlign w:val="bottom"/>
            <w:hideMark/>
          </w:tcPr>
          <w:p w14:paraId="66F3E25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53E4C2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356,852</w:t>
            </w:r>
          </w:p>
        </w:tc>
      </w:tr>
      <w:tr w:rsidR="0082424C" w:rsidRPr="007A3600" w14:paraId="749C6268" w14:textId="77777777">
        <w:trPr>
          <w:trHeight w:val="250"/>
        </w:trPr>
        <w:tc>
          <w:tcPr>
            <w:tcW w:w="4241" w:type="dxa"/>
            <w:tcBorders>
              <w:top w:val="nil"/>
              <w:left w:val="nil"/>
              <w:bottom w:val="nil"/>
              <w:right w:val="nil"/>
            </w:tcBorders>
            <w:shd w:val="clear" w:color="FFFFFF" w:fill="FFFFFF"/>
            <w:vAlign w:val="bottom"/>
            <w:hideMark/>
          </w:tcPr>
          <w:p w14:paraId="48AE0C13"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gains</w:t>
            </w:r>
          </w:p>
        </w:tc>
        <w:tc>
          <w:tcPr>
            <w:tcW w:w="1242" w:type="dxa"/>
            <w:tcBorders>
              <w:top w:val="nil"/>
              <w:left w:val="nil"/>
              <w:bottom w:val="nil"/>
              <w:right w:val="nil"/>
            </w:tcBorders>
            <w:shd w:val="clear" w:color="FFFFFF" w:fill="FFFFFF"/>
            <w:noWrap/>
            <w:vAlign w:val="bottom"/>
            <w:hideMark/>
          </w:tcPr>
          <w:p w14:paraId="5811FF1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5739BB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107,043</w:t>
            </w:r>
          </w:p>
        </w:tc>
        <w:tc>
          <w:tcPr>
            <w:tcW w:w="236" w:type="dxa"/>
            <w:tcBorders>
              <w:top w:val="nil"/>
              <w:left w:val="nil"/>
              <w:bottom w:val="nil"/>
              <w:right w:val="nil"/>
            </w:tcBorders>
            <w:shd w:val="clear" w:color="FFFFFF" w:fill="FFFFFF"/>
            <w:noWrap/>
            <w:vAlign w:val="bottom"/>
            <w:hideMark/>
          </w:tcPr>
          <w:p w14:paraId="7F29F2E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7587AF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127,530</w:t>
            </w:r>
          </w:p>
        </w:tc>
        <w:tc>
          <w:tcPr>
            <w:tcW w:w="236" w:type="dxa"/>
            <w:tcBorders>
              <w:top w:val="nil"/>
              <w:left w:val="nil"/>
              <w:bottom w:val="nil"/>
              <w:right w:val="nil"/>
            </w:tcBorders>
            <w:shd w:val="clear" w:color="FFFFFF" w:fill="FFFFFF"/>
            <w:noWrap/>
            <w:vAlign w:val="bottom"/>
            <w:hideMark/>
          </w:tcPr>
          <w:p w14:paraId="6870F5C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091635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356,852</w:t>
            </w:r>
          </w:p>
        </w:tc>
      </w:tr>
      <w:tr w:rsidR="0082424C" w:rsidRPr="007A3600" w14:paraId="674C4DFF" w14:textId="77777777">
        <w:trPr>
          <w:trHeight w:val="250"/>
        </w:trPr>
        <w:tc>
          <w:tcPr>
            <w:tcW w:w="4241" w:type="dxa"/>
            <w:tcBorders>
              <w:top w:val="nil"/>
              <w:left w:val="nil"/>
              <w:bottom w:val="nil"/>
              <w:right w:val="nil"/>
            </w:tcBorders>
            <w:shd w:val="clear" w:color="FFFFFF" w:fill="FFFFFF"/>
            <w:vAlign w:val="bottom"/>
            <w:hideMark/>
          </w:tcPr>
          <w:p w14:paraId="2E782844"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52AD958A"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84EAAF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D02C6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E8B386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E0085F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51F27F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4EE4DED" w14:textId="77777777">
        <w:trPr>
          <w:trHeight w:val="250"/>
        </w:trPr>
        <w:tc>
          <w:tcPr>
            <w:tcW w:w="4241" w:type="dxa"/>
            <w:tcBorders>
              <w:top w:val="nil"/>
              <w:left w:val="nil"/>
              <w:bottom w:val="nil"/>
              <w:right w:val="nil"/>
            </w:tcBorders>
            <w:shd w:val="clear" w:color="FFFFFF" w:fill="FFFFFF"/>
            <w:vAlign w:val="bottom"/>
            <w:hideMark/>
          </w:tcPr>
          <w:p w14:paraId="75591CB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own-source income</w:t>
            </w:r>
          </w:p>
        </w:tc>
        <w:tc>
          <w:tcPr>
            <w:tcW w:w="1242" w:type="dxa"/>
            <w:tcBorders>
              <w:top w:val="nil"/>
              <w:left w:val="nil"/>
              <w:bottom w:val="nil"/>
              <w:right w:val="nil"/>
            </w:tcBorders>
            <w:shd w:val="clear" w:color="FFFFFF" w:fill="FFFFFF"/>
            <w:noWrap/>
            <w:vAlign w:val="bottom"/>
            <w:hideMark/>
          </w:tcPr>
          <w:p w14:paraId="76B01DC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D725DA3"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46,826,184</w:t>
            </w:r>
          </w:p>
        </w:tc>
        <w:tc>
          <w:tcPr>
            <w:tcW w:w="236" w:type="dxa"/>
            <w:tcBorders>
              <w:top w:val="nil"/>
              <w:left w:val="nil"/>
              <w:bottom w:val="nil"/>
              <w:right w:val="nil"/>
            </w:tcBorders>
            <w:shd w:val="clear" w:color="FFFFFF" w:fill="FFFFFF"/>
            <w:noWrap/>
            <w:vAlign w:val="bottom"/>
            <w:hideMark/>
          </w:tcPr>
          <w:p w14:paraId="077F1F0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2D6A0E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42,948,745</w:t>
            </w:r>
          </w:p>
        </w:tc>
        <w:tc>
          <w:tcPr>
            <w:tcW w:w="236" w:type="dxa"/>
            <w:tcBorders>
              <w:top w:val="nil"/>
              <w:left w:val="nil"/>
              <w:bottom w:val="nil"/>
              <w:right w:val="nil"/>
            </w:tcBorders>
            <w:shd w:val="clear" w:color="FFFFFF" w:fill="FFFFFF"/>
            <w:noWrap/>
            <w:vAlign w:val="bottom"/>
            <w:hideMark/>
          </w:tcPr>
          <w:p w14:paraId="6EE737F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75C246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46,783,241</w:t>
            </w:r>
          </w:p>
        </w:tc>
      </w:tr>
      <w:tr w:rsidR="0082424C" w:rsidRPr="007A3600" w14:paraId="4587598F" w14:textId="77777777">
        <w:trPr>
          <w:trHeight w:val="250"/>
        </w:trPr>
        <w:tc>
          <w:tcPr>
            <w:tcW w:w="4241" w:type="dxa"/>
            <w:tcBorders>
              <w:top w:val="nil"/>
              <w:left w:val="nil"/>
              <w:bottom w:val="nil"/>
              <w:right w:val="nil"/>
            </w:tcBorders>
            <w:shd w:val="clear" w:color="FFFFFF" w:fill="FFFFFF"/>
            <w:vAlign w:val="bottom"/>
            <w:hideMark/>
          </w:tcPr>
          <w:p w14:paraId="25305F4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4BC3188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68FE92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9F134C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5833A9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66BB3C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CDDD6D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AB78D7A" w14:textId="77777777">
        <w:trPr>
          <w:trHeight w:val="250"/>
        </w:trPr>
        <w:tc>
          <w:tcPr>
            <w:tcW w:w="4241" w:type="dxa"/>
            <w:tcBorders>
              <w:top w:val="nil"/>
              <w:left w:val="nil"/>
              <w:bottom w:val="nil"/>
              <w:right w:val="nil"/>
            </w:tcBorders>
            <w:shd w:val="clear" w:color="FFFFFF" w:fill="FFFFFF"/>
            <w:vAlign w:val="bottom"/>
            <w:hideMark/>
          </w:tcPr>
          <w:p w14:paraId="748394E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(cost of)/contribution by services</w:t>
            </w:r>
          </w:p>
        </w:tc>
        <w:tc>
          <w:tcPr>
            <w:tcW w:w="1242" w:type="dxa"/>
            <w:tcBorders>
              <w:top w:val="nil"/>
              <w:left w:val="nil"/>
              <w:bottom w:val="nil"/>
              <w:right w:val="nil"/>
            </w:tcBorders>
            <w:shd w:val="clear" w:color="FFFFFF" w:fill="FFFFFF"/>
            <w:noWrap/>
            <w:vAlign w:val="bottom"/>
            <w:hideMark/>
          </w:tcPr>
          <w:p w14:paraId="76F4F0A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2DC05B08"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(2,150,442)</w:t>
            </w:r>
          </w:p>
        </w:tc>
        <w:tc>
          <w:tcPr>
            <w:tcW w:w="236" w:type="dxa"/>
            <w:tcBorders>
              <w:top w:val="nil"/>
              <w:left w:val="nil"/>
              <w:bottom w:val="nil"/>
              <w:right w:val="nil"/>
            </w:tcBorders>
            <w:shd w:val="clear" w:color="FFFFFF" w:fill="FFFFFF"/>
            <w:noWrap/>
            <w:vAlign w:val="bottom"/>
            <w:hideMark/>
          </w:tcPr>
          <w:p w14:paraId="4771163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86D89A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(1,029,836)</w:t>
            </w:r>
          </w:p>
        </w:tc>
        <w:tc>
          <w:tcPr>
            <w:tcW w:w="236" w:type="dxa"/>
            <w:tcBorders>
              <w:top w:val="nil"/>
              <w:left w:val="nil"/>
              <w:bottom w:val="nil"/>
              <w:right w:val="nil"/>
            </w:tcBorders>
            <w:shd w:val="clear" w:color="FFFFFF" w:fill="FFFFFF"/>
            <w:noWrap/>
            <w:vAlign w:val="bottom"/>
            <w:hideMark/>
          </w:tcPr>
          <w:p w14:paraId="7D45BCE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76DCF5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(2,260,989)</w:t>
            </w:r>
          </w:p>
        </w:tc>
      </w:tr>
      <w:tr w:rsidR="0082424C" w:rsidRPr="007A3600" w14:paraId="458735CB" w14:textId="77777777">
        <w:trPr>
          <w:trHeight w:val="250"/>
        </w:trPr>
        <w:tc>
          <w:tcPr>
            <w:tcW w:w="4241" w:type="dxa"/>
            <w:tcBorders>
              <w:top w:val="nil"/>
              <w:left w:val="nil"/>
              <w:bottom w:val="nil"/>
              <w:right w:val="nil"/>
            </w:tcBorders>
            <w:shd w:val="clear" w:color="FFFFFF" w:fill="FFFFFF"/>
            <w:vAlign w:val="bottom"/>
            <w:hideMark/>
          </w:tcPr>
          <w:p w14:paraId="7EBB519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7335161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69E733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7B6B14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6BB3E9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85D0C3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4AB2A6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6A3D5EB" w14:textId="77777777">
        <w:trPr>
          <w:trHeight w:val="250"/>
        </w:trPr>
        <w:tc>
          <w:tcPr>
            <w:tcW w:w="4241" w:type="dxa"/>
            <w:tcBorders>
              <w:top w:val="nil"/>
              <w:left w:val="nil"/>
              <w:bottom w:val="nil"/>
              <w:right w:val="nil"/>
            </w:tcBorders>
            <w:shd w:val="clear" w:color="FFFFFF" w:fill="FFFFFF"/>
            <w:vAlign w:val="bottom"/>
            <w:hideMark/>
          </w:tcPr>
          <w:p w14:paraId="6F278E4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Revenue from Government</w:t>
            </w:r>
          </w:p>
        </w:tc>
        <w:tc>
          <w:tcPr>
            <w:tcW w:w="1242" w:type="dxa"/>
            <w:tcBorders>
              <w:top w:val="nil"/>
              <w:left w:val="nil"/>
              <w:bottom w:val="nil"/>
              <w:right w:val="nil"/>
            </w:tcBorders>
            <w:shd w:val="clear" w:color="FFFFFF" w:fill="FFFFFF"/>
            <w:noWrap/>
            <w:vAlign w:val="bottom"/>
            <w:hideMark/>
          </w:tcPr>
          <w:p w14:paraId="5B8B0CD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0789177"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2,252,660</w:t>
            </w:r>
          </w:p>
        </w:tc>
        <w:tc>
          <w:tcPr>
            <w:tcW w:w="236" w:type="dxa"/>
            <w:tcBorders>
              <w:top w:val="nil"/>
              <w:left w:val="nil"/>
              <w:bottom w:val="nil"/>
              <w:right w:val="nil"/>
            </w:tcBorders>
            <w:shd w:val="clear" w:color="FFFFFF" w:fill="FFFFFF"/>
            <w:noWrap/>
            <w:vAlign w:val="bottom"/>
            <w:hideMark/>
          </w:tcPr>
          <w:p w14:paraId="2C71314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D7C9A1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2,032,420</w:t>
            </w:r>
          </w:p>
        </w:tc>
        <w:tc>
          <w:tcPr>
            <w:tcW w:w="236" w:type="dxa"/>
            <w:tcBorders>
              <w:top w:val="nil"/>
              <w:left w:val="nil"/>
              <w:bottom w:val="nil"/>
              <w:right w:val="nil"/>
            </w:tcBorders>
            <w:shd w:val="clear" w:color="FFFFFF" w:fill="FFFFFF"/>
            <w:noWrap/>
            <w:vAlign w:val="bottom"/>
            <w:hideMark/>
          </w:tcPr>
          <w:p w14:paraId="002EFCF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5AA705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2,190,431</w:t>
            </w:r>
          </w:p>
        </w:tc>
      </w:tr>
      <w:tr w:rsidR="0082424C" w:rsidRPr="007A3600" w14:paraId="2DBF326F" w14:textId="77777777">
        <w:trPr>
          <w:trHeight w:val="250"/>
        </w:trPr>
        <w:tc>
          <w:tcPr>
            <w:tcW w:w="4241" w:type="dxa"/>
            <w:tcBorders>
              <w:top w:val="nil"/>
              <w:left w:val="nil"/>
              <w:bottom w:val="nil"/>
              <w:right w:val="nil"/>
            </w:tcBorders>
            <w:shd w:val="clear" w:color="FFFFFF" w:fill="FFFFFF"/>
            <w:vAlign w:val="bottom"/>
            <w:hideMark/>
          </w:tcPr>
          <w:p w14:paraId="2652539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 xml:space="preserve">Surplus/(Deficit) </w:t>
            </w:r>
          </w:p>
        </w:tc>
        <w:tc>
          <w:tcPr>
            <w:tcW w:w="1242" w:type="dxa"/>
            <w:tcBorders>
              <w:top w:val="nil"/>
              <w:left w:val="nil"/>
              <w:bottom w:val="nil"/>
              <w:right w:val="nil"/>
            </w:tcBorders>
            <w:shd w:val="clear" w:color="FFFFFF" w:fill="FFFFFF"/>
            <w:noWrap/>
            <w:vAlign w:val="bottom"/>
            <w:hideMark/>
          </w:tcPr>
          <w:p w14:paraId="3F5E181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7D01EF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102,218</w:t>
            </w:r>
          </w:p>
        </w:tc>
        <w:tc>
          <w:tcPr>
            <w:tcW w:w="236" w:type="dxa"/>
            <w:tcBorders>
              <w:top w:val="nil"/>
              <w:left w:val="nil"/>
              <w:bottom w:val="nil"/>
              <w:right w:val="nil"/>
            </w:tcBorders>
            <w:shd w:val="clear" w:color="FFFFFF" w:fill="FFFFFF"/>
            <w:noWrap/>
            <w:vAlign w:val="bottom"/>
            <w:hideMark/>
          </w:tcPr>
          <w:p w14:paraId="263FABD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3B10C7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1,002,584</w:t>
            </w:r>
          </w:p>
        </w:tc>
        <w:tc>
          <w:tcPr>
            <w:tcW w:w="236" w:type="dxa"/>
            <w:tcBorders>
              <w:top w:val="nil"/>
              <w:left w:val="nil"/>
              <w:bottom w:val="nil"/>
              <w:right w:val="nil"/>
            </w:tcBorders>
            <w:shd w:val="clear" w:color="FFFFFF" w:fill="FFFFFF"/>
            <w:noWrap/>
            <w:vAlign w:val="bottom"/>
            <w:hideMark/>
          </w:tcPr>
          <w:p w14:paraId="6A38CAA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FC3988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(70,558)</w:t>
            </w:r>
          </w:p>
        </w:tc>
      </w:tr>
      <w:tr w:rsidR="0082424C" w:rsidRPr="007A3600" w14:paraId="1CB206EE" w14:textId="77777777">
        <w:trPr>
          <w:trHeight w:val="250"/>
        </w:trPr>
        <w:tc>
          <w:tcPr>
            <w:tcW w:w="4241" w:type="dxa"/>
            <w:tcBorders>
              <w:top w:val="nil"/>
              <w:left w:val="nil"/>
              <w:bottom w:val="nil"/>
              <w:right w:val="nil"/>
            </w:tcBorders>
            <w:shd w:val="clear" w:color="FFFFFF" w:fill="FFFFFF"/>
            <w:vAlign w:val="bottom"/>
            <w:hideMark/>
          </w:tcPr>
          <w:p w14:paraId="1AFE996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3450C0EB"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905B47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AE807F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285D84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3C633C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5BDC81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4C97E13" w14:textId="77777777">
        <w:trPr>
          <w:trHeight w:val="250"/>
        </w:trPr>
        <w:tc>
          <w:tcPr>
            <w:tcW w:w="4241" w:type="dxa"/>
            <w:tcBorders>
              <w:top w:val="nil"/>
              <w:left w:val="nil"/>
              <w:bottom w:val="nil"/>
              <w:right w:val="nil"/>
            </w:tcBorders>
            <w:shd w:val="clear" w:color="FFFFFF" w:fill="FFFFFF"/>
            <w:vAlign w:val="bottom"/>
            <w:hideMark/>
          </w:tcPr>
          <w:p w14:paraId="74C09380"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OTHER COMPREHENSIVE INCOME</w:t>
            </w:r>
          </w:p>
        </w:tc>
        <w:tc>
          <w:tcPr>
            <w:tcW w:w="1242" w:type="dxa"/>
            <w:tcBorders>
              <w:top w:val="nil"/>
              <w:left w:val="nil"/>
              <w:bottom w:val="nil"/>
              <w:right w:val="nil"/>
            </w:tcBorders>
            <w:shd w:val="clear" w:color="FFFFFF" w:fill="FFFFFF"/>
            <w:noWrap/>
            <w:vAlign w:val="bottom"/>
            <w:hideMark/>
          </w:tcPr>
          <w:p w14:paraId="1AE79AC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22A6358"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F31FB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B8F7FC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B26780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DD7399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F44E3E5" w14:textId="77777777">
        <w:trPr>
          <w:trHeight w:val="460"/>
        </w:trPr>
        <w:tc>
          <w:tcPr>
            <w:tcW w:w="4241" w:type="dxa"/>
            <w:tcBorders>
              <w:top w:val="nil"/>
              <w:left w:val="nil"/>
              <w:bottom w:val="nil"/>
              <w:right w:val="nil"/>
            </w:tcBorders>
            <w:shd w:val="clear" w:color="FFFFFF" w:fill="FFFFFF"/>
            <w:vAlign w:val="bottom"/>
            <w:hideMark/>
          </w:tcPr>
          <w:p w14:paraId="10F64A10"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Items not subject to subsequent reclassification to net cost of services</w:t>
            </w:r>
          </w:p>
        </w:tc>
        <w:tc>
          <w:tcPr>
            <w:tcW w:w="1242" w:type="dxa"/>
            <w:tcBorders>
              <w:top w:val="nil"/>
              <w:left w:val="nil"/>
              <w:bottom w:val="nil"/>
              <w:right w:val="nil"/>
            </w:tcBorders>
            <w:shd w:val="clear" w:color="FFFFFF" w:fill="FFFFFF"/>
            <w:noWrap/>
            <w:vAlign w:val="bottom"/>
            <w:hideMark/>
          </w:tcPr>
          <w:p w14:paraId="5384134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CE3EE2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F34D8F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97534E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07C723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135929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5DD0E3C" w14:textId="77777777">
        <w:trPr>
          <w:trHeight w:val="250"/>
        </w:trPr>
        <w:tc>
          <w:tcPr>
            <w:tcW w:w="4241" w:type="dxa"/>
            <w:tcBorders>
              <w:top w:val="nil"/>
              <w:left w:val="nil"/>
              <w:bottom w:val="nil"/>
              <w:right w:val="nil"/>
            </w:tcBorders>
            <w:shd w:val="clear" w:color="FFFFFF" w:fill="FFFFFF"/>
            <w:vAlign w:val="bottom"/>
            <w:hideMark/>
          </w:tcPr>
          <w:p w14:paraId="40E7C7DF" w14:textId="77777777" w:rsidR="0082424C" w:rsidRPr="007A3600" w:rsidRDefault="0082424C" w:rsidP="00AD3197">
            <w:pPr>
              <w:spacing w:after="0" w:line="240" w:lineRule="atLeast"/>
              <w:ind w:leftChars="100" w:left="240"/>
              <w:rPr>
                <w:rFonts w:eastAsia="Times New Roman" w:cs="Arial"/>
                <w:sz w:val="18"/>
                <w:szCs w:val="18"/>
                <w:lang w:eastAsia="en-US"/>
              </w:rPr>
            </w:pPr>
            <w:r w:rsidRPr="007A3600">
              <w:rPr>
                <w:rFonts w:eastAsia="Times New Roman" w:cs="Arial"/>
                <w:sz w:val="18"/>
                <w:szCs w:val="18"/>
                <w:lang w:eastAsia="en-US"/>
              </w:rPr>
              <w:t>Changes in asset revaluation reserve</w:t>
            </w:r>
          </w:p>
        </w:tc>
        <w:tc>
          <w:tcPr>
            <w:tcW w:w="1242" w:type="dxa"/>
            <w:tcBorders>
              <w:top w:val="nil"/>
              <w:left w:val="nil"/>
              <w:bottom w:val="nil"/>
              <w:right w:val="nil"/>
            </w:tcBorders>
            <w:shd w:val="clear" w:color="FFFFFF" w:fill="FFFFFF"/>
            <w:noWrap/>
            <w:vAlign w:val="bottom"/>
            <w:hideMark/>
          </w:tcPr>
          <w:p w14:paraId="16EB7D4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3318FF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236" w:type="dxa"/>
            <w:tcBorders>
              <w:top w:val="nil"/>
              <w:left w:val="nil"/>
              <w:bottom w:val="nil"/>
              <w:right w:val="nil"/>
            </w:tcBorders>
            <w:shd w:val="clear" w:color="FFFFFF" w:fill="FFFFFF"/>
            <w:noWrap/>
            <w:vAlign w:val="bottom"/>
            <w:hideMark/>
          </w:tcPr>
          <w:p w14:paraId="7F6BDC2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7E9A89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8,552</w:t>
            </w:r>
          </w:p>
        </w:tc>
        <w:tc>
          <w:tcPr>
            <w:tcW w:w="236" w:type="dxa"/>
            <w:tcBorders>
              <w:top w:val="nil"/>
              <w:left w:val="nil"/>
              <w:bottom w:val="nil"/>
              <w:right w:val="nil"/>
            </w:tcBorders>
            <w:shd w:val="clear" w:color="FFFFFF" w:fill="FFFFFF"/>
            <w:noWrap/>
            <w:vAlign w:val="bottom"/>
            <w:hideMark/>
          </w:tcPr>
          <w:p w14:paraId="09F4D22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02F690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10889940" w14:textId="77777777">
        <w:trPr>
          <w:trHeight w:val="250"/>
        </w:trPr>
        <w:tc>
          <w:tcPr>
            <w:tcW w:w="4241" w:type="dxa"/>
            <w:tcBorders>
              <w:top w:val="nil"/>
              <w:left w:val="nil"/>
              <w:bottom w:val="nil"/>
              <w:right w:val="nil"/>
            </w:tcBorders>
            <w:shd w:val="clear" w:color="FFFFFF" w:fill="FFFFFF"/>
            <w:vAlign w:val="bottom"/>
            <w:hideMark/>
          </w:tcPr>
          <w:p w14:paraId="0C77BB5D"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other comprehensive income</w:t>
            </w:r>
          </w:p>
        </w:tc>
        <w:tc>
          <w:tcPr>
            <w:tcW w:w="1242" w:type="dxa"/>
            <w:tcBorders>
              <w:top w:val="nil"/>
              <w:left w:val="nil"/>
              <w:bottom w:val="nil"/>
              <w:right w:val="nil"/>
            </w:tcBorders>
            <w:shd w:val="clear" w:color="FFFFFF" w:fill="FFFFFF"/>
            <w:noWrap/>
            <w:vAlign w:val="bottom"/>
            <w:hideMark/>
          </w:tcPr>
          <w:p w14:paraId="685B8EAA"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B7CEC3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236" w:type="dxa"/>
            <w:tcBorders>
              <w:top w:val="nil"/>
              <w:left w:val="nil"/>
              <w:bottom w:val="nil"/>
              <w:right w:val="nil"/>
            </w:tcBorders>
            <w:shd w:val="clear" w:color="FFFFFF" w:fill="FFFFFF"/>
            <w:noWrap/>
            <w:vAlign w:val="bottom"/>
            <w:hideMark/>
          </w:tcPr>
          <w:p w14:paraId="227EFFB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D25652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8,552</w:t>
            </w:r>
          </w:p>
        </w:tc>
        <w:tc>
          <w:tcPr>
            <w:tcW w:w="236" w:type="dxa"/>
            <w:tcBorders>
              <w:top w:val="nil"/>
              <w:left w:val="nil"/>
              <w:bottom w:val="nil"/>
              <w:right w:val="nil"/>
            </w:tcBorders>
            <w:shd w:val="clear" w:color="FFFFFF" w:fill="FFFFFF"/>
            <w:noWrap/>
            <w:vAlign w:val="bottom"/>
            <w:hideMark/>
          </w:tcPr>
          <w:p w14:paraId="1EA74AB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2E9059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3217A020" w14:textId="77777777">
        <w:trPr>
          <w:trHeight w:val="250"/>
        </w:trPr>
        <w:tc>
          <w:tcPr>
            <w:tcW w:w="4241" w:type="dxa"/>
            <w:tcBorders>
              <w:top w:val="nil"/>
              <w:left w:val="nil"/>
              <w:bottom w:val="nil"/>
              <w:right w:val="nil"/>
            </w:tcBorders>
            <w:shd w:val="clear" w:color="FFFFFF" w:fill="FFFFFF"/>
            <w:vAlign w:val="bottom"/>
            <w:hideMark/>
          </w:tcPr>
          <w:p w14:paraId="636BD77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3B36827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53807F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19573E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D8D40F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F01EC7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7DA706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D7AE71A" w14:textId="77777777">
        <w:trPr>
          <w:trHeight w:val="250"/>
        </w:trPr>
        <w:tc>
          <w:tcPr>
            <w:tcW w:w="4241" w:type="dxa"/>
            <w:tcBorders>
              <w:top w:val="nil"/>
              <w:left w:val="nil"/>
              <w:bottom w:val="nil"/>
              <w:right w:val="nil"/>
            </w:tcBorders>
            <w:shd w:val="clear" w:color="FFFFFF" w:fill="FFFFFF"/>
            <w:vAlign w:val="bottom"/>
            <w:hideMark/>
          </w:tcPr>
          <w:p w14:paraId="4F66AAA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comprehensive income/(loss)</w:t>
            </w:r>
          </w:p>
        </w:tc>
        <w:tc>
          <w:tcPr>
            <w:tcW w:w="1242" w:type="dxa"/>
            <w:tcBorders>
              <w:top w:val="nil"/>
              <w:left w:val="nil"/>
              <w:bottom w:val="nil"/>
              <w:right w:val="nil"/>
            </w:tcBorders>
            <w:shd w:val="clear" w:color="FFFFFF" w:fill="FFFFFF"/>
            <w:noWrap/>
            <w:vAlign w:val="bottom"/>
            <w:hideMark/>
          </w:tcPr>
          <w:p w14:paraId="30AD263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D9F5D7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112,704</w:t>
            </w:r>
          </w:p>
        </w:tc>
        <w:tc>
          <w:tcPr>
            <w:tcW w:w="236" w:type="dxa"/>
            <w:tcBorders>
              <w:top w:val="nil"/>
              <w:left w:val="nil"/>
              <w:bottom w:val="nil"/>
              <w:right w:val="nil"/>
            </w:tcBorders>
            <w:shd w:val="clear" w:color="FFFFFF" w:fill="FFFFFF"/>
            <w:noWrap/>
            <w:vAlign w:val="bottom"/>
            <w:hideMark/>
          </w:tcPr>
          <w:p w14:paraId="65D0E65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A2137E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1,011,136</w:t>
            </w:r>
          </w:p>
        </w:tc>
        <w:tc>
          <w:tcPr>
            <w:tcW w:w="236" w:type="dxa"/>
            <w:tcBorders>
              <w:top w:val="nil"/>
              <w:left w:val="nil"/>
              <w:bottom w:val="nil"/>
              <w:right w:val="nil"/>
            </w:tcBorders>
            <w:shd w:val="clear" w:color="FFFFFF" w:fill="FFFFFF"/>
            <w:noWrap/>
            <w:vAlign w:val="bottom"/>
            <w:hideMark/>
          </w:tcPr>
          <w:p w14:paraId="076A576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5A81D5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(70,558)</w:t>
            </w:r>
          </w:p>
        </w:tc>
      </w:tr>
    </w:tbl>
    <w:p w14:paraId="1F00AF62" w14:textId="77777777" w:rsidR="0082424C" w:rsidRPr="007A3600" w:rsidRDefault="0082424C" w:rsidP="00AD3197">
      <w:pPr>
        <w:spacing w:before="240" w:after="0" w:line="240" w:lineRule="auto"/>
        <w:rPr>
          <w:rFonts w:eastAsia="Times New Roman"/>
          <w:sz w:val="18"/>
          <w:szCs w:val="20"/>
        </w:rPr>
      </w:pPr>
      <w:r w:rsidRPr="007A3600">
        <w:rPr>
          <w:rFonts w:eastAsia="Times New Roman"/>
          <w:sz w:val="18"/>
          <w:szCs w:val="20"/>
        </w:rPr>
        <w:t>The above statement should be read in conjunction with the accompanying notes.</w:t>
      </w:r>
    </w:p>
    <w:p w14:paraId="7854FB78"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vertAlign w:val="superscript"/>
        </w:rPr>
        <w:t xml:space="preserve">1 </w:t>
      </w:r>
      <w:r w:rsidRPr="007A3600">
        <w:rPr>
          <w:rFonts w:eastAsia="Times New Roman"/>
          <w:sz w:val="18"/>
          <w:szCs w:val="20"/>
        </w:rPr>
        <w:t>Original Budget refers to the figures published in the 2024–25 Portfolio Budget Statements</w:t>
      </w:r>
    </w:p>
    <w:p w14:paraId="6F4025A0" w14:textId="77777777" w:rsidR="0082424C" w:rsidRPr="007A3600" w:rsidRDefault="0082424C" w:rsidP="00AD3197">
      <w:pPr>
        <w:spacing w:after="0" w:line="240" w:lineRule="auto"/>
        <w:rPr>
          <w:rFonts w:eastAsia="Times New Roman"/>
          <w:sz w:val="18"/>
          <w:szCs w:val="20"/>
        </w:rPr>
      </w:pPr>
      <w:r w:rsidRPr="007A3600">
        <w:rPr>
          <w:rFonts w:ascii="Times New Roman" w:eastAsia="Times New Roman" w:hAnsi="Times New Roman"/>
          <w:sz w:val="22"/>
          <w:szCs w:val="20"/>
          <w:lang w:eastAsia="en-US"/>
        </w:rPr>
        <w:br w:type="page"/>
      </w:r>
    </w:p>
    <w:p w14:paraId="0AF04EDC"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400DF868"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b/>
          <w:lang w:eastAsia="en-US"/>
        </w:rPr>
        <w:t>STATEMENT OF COMPREHENSIVE INCOME</w:t>
      </w:r>
    </w:p>
    <w:p w14:paraId="72FF873E" w14:textId="77777777" w:rsidR="0082424C" w:rsidRPr="007A3600" w:rsidRDefault="0082424C" w:rsidP="00AD3197">
      <w:pPr>
        <w:pBdr>
          <w:bottom w:val="single" w:sz="4" w:space="1" w:color="auto"/>
        </w:pBdr>
        <w:spacing w:after="120" w:line="260" w:lineRule="atLeast"/>
        <w:rPr>
          <w:rFonts w:eastAsia="Times New Roman"/>
          <w:i/>
          <w:szCs w:val="20"/>
          <w:lang w:eastAsia="en-US"/>
        </w:rPr>
      </w:pPr>
      <w:r w:rsidRPr="007A3600">
        <w:rPr>
          <w:rFonts w:eastAsia="Times New Roman" w:cs="Arial"/>
          <w:i/>
          <w:lang w:eastAsia="en-US"/>
        </w:rPr>
        <w:t xml:space="preserve">for the year ended </w:t>
      </w:r>
      <w:r w:rsidRPr="007A3600">
        <w:rPr>
          <w:rFonts w:eastAsia="Times New Roman"/>
          <w:szCs w:val="20"/>
          <w:lang w:eastAsia="en-US"/>
        </w:rPr>
        <w:fldChar w:fldCharType="begin"/>
      </w:r>
      <w:r w:rsidRPr="007A3600">
        <w:rPr>
          <w:rFonts w:eastAsia="Times New Roman"/>
          <w:i/>
          <w:szCs w:val="20"/>
          <w:lang w:eastAsia="en-US"/>
        </w:rPr>
        <w:instrText>DOCPROPERTY  pEnd  \* MERGEFORMAT</w:instrText>
      </w:r>
      <w:r w:rsidRPr="007A3600">
        <w:rPr>
          <w:rFonts w:eastAsia="Times New Roman"/>
          <w:szCs w:val="20"/>
          <w:lang w:eastAsia="en-US"/>
        </w:rPr>
        <w:fldChar w:fldCharType="separate"/>
      </w:r>
      <w:r w:rsidRPr="007A3600">
        <w:rPr>
          <w:rFonts w:eastAsia="Times New Roman"/>
          <w:i/>
          <w:szCs w:val="20"/>
          <w:lang w:eastAsia="en-US"/>
        </w:rPr>
        <w:t>30 June</w:t>
      </w:r>
      <w:r w:rsidRPr="007A3600">
        <w:rPr>
          <w:rFonts w:eastAsia="Times New Roman"/>
          <w:szCs w:val="20"/>
          <w:lang w:eastAsia="en-US"/>
        </w:rPr>
        <w:fldChar w:fldCharType="end"/>
      </w:r>
      <w:r w:rsidRPr="007A3600">
        <w:rPr>
          <w:rFonts w:eastAsia="Times New Roman"/>
          <w:i/>
          <w:szCs w:val="20"/>
          <w:lang w:eastAsia="en-US"/>
        </w:rPr>
        <w:t xml:space="preserve"> </w:t>
      </w:r>
      <w:r w:rsidRPr="007A3600">
        <w:rPr>
          <w:rFonts w:eastAsia="Times New Roman" w:cs="Arial"/>
          <w:szCs w:val="20"/>
          <w:lang w:eastAsia="en-US"/>
        </w:rPr>
        <w:fldChar w:fldCharType="begin"/>
      </w:r>
      <w:r w:rsidRPr="007A3600">
        <w:rPr>
          <w:rFonts w:eastAsia="Times New Roman" w:cs="Arial"/>
          <w:i/>
          <w:lang w:eastAsia="en-US"/>
        </w:rPr>
        <w:instrText xml:space="preserve"> DOCPROPERTY  crYear  \* MERGEFORMAT </w:instrText>
      </w:r>
      <w:r w:rsidRPr="007A3600">
        <w:rPr>
          <w:rFonts w:eastAsia="Times New Roman" w:cs="Arial"/>
          <w:szCs w:val="20"/>
          <w:lang w:eastAsia="en-US"/>
        </w:rPr>
        <w:fldChar w:fldCharType="separate"/>
      </w:r>
      <w:r w:rsidRPr="007A3600">
        <w:rPr>
          <w:rFonts w:eastAsia="Times New Roman" w:cs="Arial"/>
          <w:i/>
          <w:lang w:eastAsia="en-US"/>
        </w:rPr>
        <w:t>2025</w:t>
      </w:r>
      <w:r w:rsidRPr="007A3600">
        <w:rPr>
          <w:rFonts w:eastAsia="Times New Roman" w:cs="Arial"/>
          <w:szCs w:val="20"/>
          <w:lang w:eastAsia="en-US"/>
        </w:rPr>
        <w:fldChar w:fldCharType="end"/>
      </w:r>
    </w:p>
    <w:p w14:paraId="4FF45114" w14:textId="77777777" w:rsidR="0082424C" w:rsidRPr="007A3600" w:rsidRDefault="0082424C" w:rsidP="00810639">
      <w:pPr>
        <w:spacing w:before="240" w:after="120" w:line="120" w:lineRule="atLeast"/>
        <w:rPr>
          <w:rFonts w:eastAsia="Times New Roman" w:cs="Arial"/>
          <w:b/>
          <w:bCs/>
          <w:color w:val="000000" w:themeColor="accent6"/>
          <w:sz w:val="18"/>
          <w:szCs w:val="18"/>
          <w:lang w:eastAsia="en-US"/>
        </w:rPr>
      </w:pPr>
      <w:r w:rsidRPr="007A3600">
        <w:rPr>
          <w:rFonts w:eastAsia="Times New Roman" w:cs="Arial"/>
          <w:b/>
          <w:bCs/>
          <w:color w:val="000000" w:themeColor="accent6"/>
          <w:sz w:val="18"/>
          <w:szCs w:val="18"/>
          <w:lang w:eastAsia="en-US"/>
        </w:rPr>
        <w:t xml:space="preserve">Budget Variances Commentary </w:t>
      </w:r>
    </w:p>
    <w:p w14:paraId="6AD75A55"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Statement of Comprehensive Income</w:t>
      </w:r>
    </w:p>
    <w:p w14:paraId="62B16890" w14:textId="77777777" w:rsidR="0082424C" w:rsidRPr="007A3600" w:rsidRDefault="0082424C" w:rsidP="00AD3197">
      <w:pPr>
        <w:spacing w:before="100" w:beforeAutospacing="1" w:after="120" w:line="240" w:lineRule="auto"/>
        <w:rPr>
          <w:rFonts w:eastAsia="Times New Roman" w:cs="Arial"/>
          <w:sz w:val="18"/>
          <w:szCs w:val="18"/>
        </w:rPr>
      </w:pPr>
      <w:r w:rsidRPr="007A3600">
        <w:rPr>
          <w:rFonts w:eastAsia="Times New Roman" w:cs="Arial"/>
          <w:sz w:val="18"/>
          <w:szCs w:val="18"/>
        </w:rPr>
        <w:t>The following major variance explanations between the Original Budget as presented in the 2024–25 Portfolio Budget Statements and the 2024–25 financial statements are presented in accordance with Australian Accounting Standards. The 2024–25 Portfolio Budget Statements contain the original financial statements’ budget estimates presented to Parliament in respect of the 2024–25 financial year. The information presented below should be read in the context of the following:</w:t>
      </w:r>
    </w:p>
    <w:p w14:paraId="4B05358D" w14:textId="1E44E534" w:rsidR="0082424C" w:rsidRPr="007A3600" w:rsidRDefault="0082424C" w:rsidP="00DD1C0E">
      <w:pPr>
        <w:pStyle w:val="Financialstatementbulletpoint"/>
      </w:pPr>
      <w:r w:rsidRPr="007A3600">
        <w:t xml:space="preserve">major </w:t>
      </w:r>
      <w:r w:rsidRPr="003D5901">
        <w:t>variances</w:t>
      </w:r>
      <w:r w:rsidRPr="007A3600">
        <w:t xml:space="preserve"> are determined in accordance with Department of Finance guidelines; and</w:t>
      </w:r>
    </w:p>
    <w:p w14:paraId="21E448E0" w14:textId="5419ABD8" w:rsidR="0082424C" w:rsidRPr="007A3600" w:rsidRDefault="0082424C" w:rsidP="00DD1C0E">
      <w:pPr>
        <w:pStyle w:val="Financialstatementbulletpoint"/>
      </w:pPr>
      <w:r w:rsidRPr="007A3600">
        <w:t>the Budget is not audited.</w:t>
      </w:r>
    </w:p>
    <w:tbl>
      <w:tblPr>
        <w:tblW w:w="9204" w:type="dxa"/>
        <w:tblLook w:val="04A0" w:firstRow="1" w:lastRow="0" w:firstColumn="1" w:lastColumn="0" w:noHBand="0" w:noVBand="1"/>
      </w:tblPr>
      <w:tblGrid>
        <w:gridCol w:w="3648"/>
        <w:gridCol w:w="5556"/>
      </w:tblGrid>
      <w:tr w:rsidR="0082424C" w:rsidRPr="007A3600" w14:paraId="43B87A96" w14:textId="77777777" w:rsidTr="00810639">
        <w:trPr>
          <w:cantSplit/>
          <w:trHeight w:val="454"/>
          <w:tblHeader/>
        </w:trPr>
        <w:tc>
          <w:tcPr>
            <w:tcW w:w="0" w:type="auto"/>
            <w:tcBorders>
              <w:top w:val="single" w:sz="8" w:space="0" w:color="auto"/>
              <w:left w:val="single" w:sz="8" w:space="0" w:color="auto"/>
              <w:bottom w:val="single" w:sz="8" w:space="0" w:color="auto"/>
              <w:right w:val="single" w:sz="8" w:space="0" w:color="auto"/>
            </w:tcBorders>
            <w:shd w:val="clear" w:color="000000" w:fill="FFFFFF"/>
            <w:noWrap/>
            <w:vAlign w:val="center"/>
            <w:hideMark/>
          </w:tcPr>
          <w:p w14:paraId="4DCC8D5E" w14:textId="77777777" w:rsidR="0082424C" w:rsidRPr="007A3600" w:rsidRDefault="0082424C" w:rsidP="00AD3197">
            <w:pPr>
              <w:spacing w:before="40" w:after="40" w:line="240" w:lineRule="auto"/>
              <w:rPr>
                <w:rFonts w:eastAsia="Times New Roman"/>
                <w:b/>
                <w:bCs/>
                <w:sz w:val="18"/>
                <w:szCs w:val="20"/>
              </w:rPr>
            </w:pPr>
            <w:r w:rsidRPr="007A3600">
              <w:rPr>
                <w:rFonts w:eastAsia="Times New Roman"/>
                <w:b/>
                <w:bCs/>
                <w:sz w:val="18"/>
                <w:szCs w:val="20"/>
              </w:rPr>
              <w:t>Affected line items</w:t>
            </w:r>
          </w:p>
        </w:tc>
        <w:tc>
          <w:tcPr>
            <w:tcW w:w="5556" w:type="dxa"/>
            <w:tcBorders>
              <w:top w:val="single" w:sz="8" w:space="0" w:color="auto"/>
              <w:left w:val="nil"/>
              <w:bottom w:val="single" w:sz="8" w:space="0" w:color="auto"/>
              <w:right w:val="single" w:sz="8" w:space="0" w:color="auto"/>
            </w:tcBorders>
            <w:shd w:val="clear" w:color="000000" w:fill="FFFFFF"/>
            <w:vAlign w:val="center"/>
            <w:hideMark/>
          </w:tcPr>
          <w:p w14:paraId="3B5840BE" w14:textId="77777777" w:rsidR="0082424C" w:rsidRPr="007A3600" w:rsidRDefault="0082424C" w:rsidP="00AD3197">
            <w:pPr>
              <w:spacing w:before="40" w:after="40" w:line="240" w:lineRule="auto"/>
              <w:rPr>
                <w:rFonts w:eastAsia="Times New Roman"/>
                <w:b/>
                <w:bCs/>
                <w:sz w:val="18"/>
                <w:szCs w:val="20"/>
              </w:rPr>
            </w:pPr>
            <w:r w:rsidRPr="007A3600">
              <w:rPr>
                <w:rFonts w:eastAsia="Times New Roman"/>
                <w:b/>
                <w:bCs/>
                <w:sz w:val="18"/>
                <w:szCs w:val="20"/>
              </w:rPr>
              <w:t>Explanations of major variances</w:t>
            </w:r>
          </w:p>
        </w:tc>
      </w:tr>
      <w:tr w:rsidR="0082424C" w:rsidRPr="007A3600" w14:paraId="4BAA8C92" w14:textId="77777777" w:rsidTr="00810639">
        <w:trPr>
          <w:cantSplit/>
          <w:trHeight w:val="567"/>
        </w:trPr>
        <w:tc>
          <w:tcPr>
            <w:tcW w:w="0" w:type="auto"/>
            <w:tcBorders>
              <w:top w:val="single" w:sz="8" w:space="0" w:color="auto"/>
              <w:left w:val="single" w:sz="8" w:space="0" w:color="auto"/>
              <w:bottom w:val="single" w:sz="4" w:space="0" w:color="auto"/>
              <w:right w:val="single" w:sz="8" w:space="0" w:color="auto"/>
            </w:tcBorders>
            <w:noWrap/>
          </w:tcPr>
          <w:p w14:paraId="1743A3DD"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18F200D2"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Employee benefits</w:t>
            </w:r>
          </w:p>
        </w:tc>
        <w:tc>
          <w:tcPr>
            <w:tcW w:w="5556" w:type="dxa"/>
            <w:tcBorders>
              <w:top w:val="nil"/>
              <w:left w:val="single" w:sz="8" w:space="0" w:color="auto"/>
              <w:bottom w:val="single" w:sz="8" w:space="0" w:color="000000"/>
              <w:right w:val="single" w:sz="8" w:space="0" w:color="auto"/>
            </w:tcBorders>
            <w:vAlign w:val="center"/>
          </w:tcPr>
          <w:p w14:paraId="17164039" w14:textId="77E260E5"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increase is attributable to the average staffing levels for employees increasing during the year more than estimated in the Original Budget. The NDIS Act requires all decisions of the Agency that impact on participants only</w:t>
            </w:r>
            <w:r w:rsidR="00212AA7" w:rsidRPr="007A3600">
              <w:rPr>
                <w:rFonts w:eastAsia="Times New Roman" w:cs="Arial"/>
                <w:color w:val="0D0D0D"/>
                <w:sz w:val="18"/>
                <w:szCs w:val="18"/>
              </w:rPr>
              <w:t xml:space="preserve"> to</w:t>
            </w:r>
            <w:r w:rsidRPr="007A3600">
              <w:rPr>
                <w:rFonts w:eastAsia="Times New Roman" w:cs="Arial"/>
                <w:color w:val="0D0D0D"/>
                <w:sz w:val="18"/>
                <w:szCs w:val="18"/>
              </w:rPr>
              <w:t xml:space="preserve"> be made by APS staff. The variance to Original Budget has arisen as the Agency has sought to prioritise its recruitment activity towards APS employees under the Government’s Strategic Commissioning Framework.</w:t>
            </w:r>
          </w:p>
        </w:tc>
      </w:tr>
      <w:tr w:rsidR="0082424C" w:rsidRPr="007A3600" w14:paraId="3D4BC2EB" w14:textId="77777777" w:rsidTr="00810639">
        <w:trPr>
          <w:cantSplit/>
          <w:trHeight w:val="567"/>
        </w:trPr>
        <w:tc>
          <w:tcPr>
            <w:tcW w:w="0" w:type="auto"/>
            <w:tcBorders>
              <w:top w:val="single" w:sz="4" w:space="0" w:color="auto"/>
              <w:left w:val="single" w:sz="8" w:space="0" w:color="auto"/>
              <w:bottom w:val="single" w:sz="8" w:space="0" w:color="auto"/>
              <w:right w:val="single" w:sz="8" w:space="0" w:color="auto"/>
            </w:tcBorders>
            <w:noWrap/>
          </w:tcPr>
          <w:p w14:paraId="68DF89EA"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62BABDC8"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Suppliers, Community partnership costs</w:t>
            </w:r>
          </w:p>
        </w:tc>
        <w:tc>
          <w:tcPr>
            <w:tcW w:w="5556" w:type="dxa"/>
            <w:tcBorders>
              <w:top w:val="nil"/>
              <w:left w:val="single" w:sz="8" w:space="0" w:color="auto"/>
              <w:bottom w:val="single" w:sz="8" w:space="0" w:color="000000"/>
              <w:right w:val="single" w:sz="8" w:space="0" w:color="auto"/>
            </w:tcBorders>
            <w:vAlign w:val="center"/>
          </w:tcPr>
          <w:p w14:paraId="310F9173"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Commonwealth Budget process does not allow for the separate reporting of community partnership costs and supplier expenses. As a result, these are budgeted together against supplier expenses. For actuals purposes, the Agency has separated out community partnership costs to provide greater clarity for users.</w:t>
            </w:r>
          </w:p>
        </w:tc>
      </w:tr>
      <w:tr w:rsidR="0082424C" w:rsidRPr="007A3600" w14:paraId="33BF212B"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1E81788E"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67FAA87D"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Grants</w:t>
            </w:r>
          </w:p>
        </w:tc>
        <w:tc>
          <w:tcPr>
            <w:tcW w:w="5556" w:type="dxa"/>
            <w:tcBorders>
              <w:top w:val="nil"/>
              <w:left w:val="single" w:sz="8" w:space="0" w:color="auto"/>
              <w:bottom w:val="single" w:sz="8" w:space="0" w:color="000000"/>
              <w:right w:val="single" w:sz="8" w:space="0" w:color="auto"/>
            </w:tcBorders>
            <w:vAlign w:val="center"/>
          </w:tcPr>
          <w:p w14:paraId="161EB980"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budget for grants expenditure was included within supplier expenses. For actuals purposes, the Agency has separated grant expenses to provide greater clarity for users.</w:t>
            </w:r>
          </w:p>
        </w:tc>
      </w:tr>
      <w:tr w:rsidR="0082424C" w:rsidRPr="007A3600" w14:paraId="134710FC"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466834E7"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26C26A4C"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Participant plan expenses</w:t>
            </w:r>
          </w:p>
        </w:tc>
        <w:tc>
          <w:tcPr>
            <w:tcW w:w="5556" w:type="dxa"/>
            <w:tcBorders>
              <w:top w:val="nil"/>
              <w:left w:val="single" w:sz="8" w:space="0" w:color="auto"/>
              <w:bottom w:val="single" w:sz="8" w:space="0" w:color="000000"/>
              <w:right w:val="single" w:sz="8" w:space="0" w:color="auto"/>
            </w:tcBorders>
            <w:vAlign w:val="center"/>
          </w:tcPr>
          <w:p w14:paraId="0B749A10"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00000"/>
                <w:sz w:val="18"/>
                <w:szCs w:val="18"/>
              </w:rPr>
              <w:t>Participant plan expenses for the year have tracked closely to the Original Budget. The number of participants were lower than expected from the Original Budget, but this was offset by higher average payments compared to the Original Budget.</w:t>
            </w:r>
          </w:p>
        </w:tc>
      </w:tr>
      <w:tr w:rsidR="0082424C" w:rsidRPr="007A3600" w14:paraId="68DF3C27"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28635DBA"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070F7BAB"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Finance Costs</w:t>
            </w:r>
          </w:p>
        </w:tc>
        <w:tc>
          <w:tcPr>
            <w:tcW w:w="5556" w:type="dxa"/>
            <w:tcBorders>
              <w:top w:val="nil"/>
              <w:left w:val="single" w:sz="8" w:space="0" w:color="auto"/>
              <w:bottom w:val="single" w:sz="8" w:space="0" w:color="000000"/>
              <w:right w:val="single" w:sz="8" w:space="0" w:color="auto"/>
            </w:tcBorders>
            <w:vAlign w:val="center"/>
          </w:tcPr>
          <w:p w14:paraId="78081374"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00000"/>
                <w:sz w:val="18"/>
                <w:szCs w:val="18"/>
              </w:rPr>
              <w:t>The variance to Original Budget is predominately driven by higher than expected Interest expenses for leased assets, impacted by changes to lease terms and rental amounts during the year, and the unwinding of restoration provision liability amounts. Additionally, expensing of interest payable for Historical Scheme Debt liability provision amounts as at 30 June 2025 was accounted for in FY 2024–25 and did not form part of the Original Budget.</w:t>
            </w:r>
          </w:p>
        </w:tc>
      </w:tr>
      <w:tr w:rsidR="0082424C" w:rsidRPr="007A3600" w14:paraId="20D9D6CE"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57139D7A"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Expenses</w:t>
            </w:r>
          </w:p>
          <w:p w14:paraId="268D2E15"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Write-down and impairment of other assets</w:t>
            </w:r>
          </w:p>
        </w:tc>
        <w:tc>
          <w:tcPr>
            <w:tcW w:w="5556" w:type="dxa"/>
            <w:tcBorders>
              <w:top w:val="nil"/>
              <w:left w:val="single" w:sz="8" w:space="0" w:color="auto"/>
              <w:bottom w:val="single" w:sz="8" w:space="0" w:color="000000"/>
              <w:right w:val="single" w:sz="8" w:space="0" w:color="auto"/>
            </w:tcBorders>
            <w:vAlign w:val="center"/>
          </w:tcPr>
          <w:p w14:paraId="112DB087"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00000"/>
                <w:sz w:val="18"/>
                <w:szCs w:val="18"/>
              </w:rPr>
              <w:t>The Original Budget did not anticipate the write-down of other assets in 2024–25.</w:t>
            </w:r>
          </w:p>
        </w:tc>
      </w:tr>
      <w:tr w:rsidR="0082424C" w:rsidRPr="007A3600" w14:paraId="7B23D545"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6012534F"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Own-source revenue</w:t>
            </w:r>
          </w:p>
          <w:p w14:paraId="3A12D990"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Rendering of Services</w:t>
            </w:r>
          </w:p>
        </w:tc>
        <w:tc>
          <w:tcPr>
            <w:tcW w:w="5556" w:type="dxa"/>
            <w:tcBorders>
              <w:top w:val="nil"/>
              <w:left w:val="single" w:sz="8" w:space="0" w:color="auto"/>
              <w:bottom w:val="single" w:sz="8" w:space="0" w:color="000000"/>
              <w:right w:val="single" w:sz="8" w:space="0" w:color="auto"/>
            </w:tcBorders>
          </w:tcPr>
          <w:p w14:paraId="00313751"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This variance is as a result of a reduction of funding from Government along with a reduction in Cash Contributions from the States and Territories following the extension of the In-Kind programs.</w:t>
            </w:r>
          </w:p>
        </w:tc>
      </w:tr>
      <w:tr w:rsidR="0082424C" w:rsidRPr="007A3600" w14:paraId="37C24DF1"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28B9B6C6"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Own-source revenue</w:t>
            </w:r>
          </w:p>
          <w:p w14:paraId="77A591C8"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Other revenue</w:t>
            </w:r>
          </w:p>
        </w:tc>
        <w:tc>
          <w:tcPr>
            <w:tcW w:w="5556" w:type="dxa"/>
            <w:tcBorders>
              <w:top w:val="nil"/>
              <w:left w:val="single" w:sz="8" w:space="0" w:color="auto"/>
              <w:bottom w:val="single" w:sz="8" w:space="0" w:color="000000"/>
              <w:right w:val="single" w:sz="8" w:space="0" w:color="auto"/>
            </w:tcBorders>
            <w:vAlign w:val="center"/>
          </w:tcPr>
          <w:p w14:paraId="25D6AD47"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actual result includes compensation receipts which were not budgeted for as well as In-Kind actual revenue reclassified as Other Revenue for both the 2024–25 and comparative year 2023–24. The Original Budget for In-kind revenue was classified as Other Gains.</w:t>
            </w:r>
          </w:p>
        </w:tc>
      </w:tr>
      <w:tr w:rsidR="0082424C" w:rsidRPr="007A3600" w14:paraId="2B36A027"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3434E587"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Own-source revenue</w:t>
            </w:r>
          </w:p>
          <w:p w14:paraId="6C5630C0"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Interest</w:t>
            </w:r>
          </w:p>
        </w:tc>
        <w:tc>
          <w:tcPr>
            <w:tcW w:w="5556" w:type="dxa"/>
            <w:tcBorders>
              <w:top w:val="nil"/>
              <w:left w:val="single" w:sz="8" w:space="0" w:color="auto"/>
              <w:bottom w:val="single" w:sz="8" w:space="0" w:color="000000"/>
              <w:right w:val="single" w:sz="8" w:space="0" w:color="auto"/>
            </w:tcBorders>
            <w:vAlign w:val="center"/>
          </w:tcPr>
          <w:p w14:paraId="4199253E"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increase in interest revenue compared to Original Budget reflects higher than anticipated interest rates and subsequent increase in earnings from investments.</w:t>
            </w:r>
          </w:p>
        </w:tc>
      </w:tr>
      <w:tr w:rsidR="0082424C" w:rsidRPr="007A3600" w14:paraId="2A95CFC3" w14:textId="77777777" w:rsidTr="00810639">
        <w:trPr>
          <w:cantSplit/>
          <w:trHeight w:val="567"/>
        </w:trPr>
        <w:tc>
          <w:tcPr>
            <w:tcW w:w="0" w:type="auto"/>
            <w:tcBorders>
              <w:top w:val="nil"/>
              <w:left w:val="single" w:sz="8" w:space="0" w:color="auto"/>
              <w:bottom w:val="single" w:sz="8" w:space="0" w:color="auto"/>
              <w:right w:val="single" w:sz="8" w:space="0" w:color="auto"/>
            </w:tcBorders>
            <w:noWrap/>
            <w:hideMark/>
          </w:tcPr>
          <w:p w14:paraId="69AACFD5"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sz w:val="18"/>
                <w:szCs w:val="20"/>
              </w:rPr>
              <w:lastRenderedPageBreak/>
              <w:t>Gains</w:t>
            </w:r>
          </w:p>
          <w:p w14:paraId="58F40C26"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Other gains</w:t>
            </w:r>
          </w:p>
        </w:tc>
        <w:tc>
          <w:tcPr>
            <w:tcW w:w="5556" w:type="dxa"/>
            <w:tcBorders>
              <w:top w:val="nil"/>
              <w:left w:val="single" w:sz="8" w:space="0" w:color="auto"/>
              <w:bottom w:val="single" w:sz="8" w:space="0" w:color="000000"/>
              <w:right w:val="single" w:sz="8" w:space="0" w:color="auto"/>
            </w:tcBorders>
          </w:tcPr>
          <w:p w14:paraId="2582EB9E"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Original Budget for Other gains included in-kind contributions made to the Scheme by State and Territory governments now accounted in Other Revenue actuals. The Original Budget did not anticipate extensions to In-kind arrangements and gains relating to prior year Scheme payment cancellations.</w:t>
            </w:r>
          </w:p>
        </w:tc>
      </w:tr>
      <w:tr w:rsidR="0082424C" w:rsidRPr="007A3600" w14:paraId="0DFB6ECE"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50502AA1"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Revenue from Government</w:t>
            </w:r>
          </w:p>
          <w:p w14:paraId="2E804492" w14:textId="77777777" w:rsidR="0082424C" w:rsidRPr="007A3600" w:rsidRDefault="0082424C" w:rsidP="00AD3197">
            <w:pPr>
              <w:spacing w:before="40" w:after="40" w:line="240" w:lineRule="auto"/>
              <w:rPr>
                <w:rFonts w:eastAsia="Times New Roman"/>
                <w:i/>
                <w:iCs/>
                <w:sz w:val="18"/>
                <w:szCs w:val="20"/>
              </w:rPr>
            </w:pPr>
            <w:r w:rsidRPr="007A3600">
              <w:rPr>
                <w:rFonts w:eastAsia="Times New Roman"/>
                <w:i/>
                <w:iCs/>
                <w:sz w:val="18"/>
                <w:szCs w:val="20"/>
              </w:rPr>
              <w:t>Revenue from Government</w:t>
            </w:r>
          </w:p>
        </w:tc>
        <w:tc>
          <w:tcPr>
            <w:tcW w:w="5556" w:type="dxa"/>
            <w:tcBorders>
              <w:top w:val="nil"/>
              <w:left w:val="single" w:sz="8" w:space="0" w:color="auto"/>
              <w:bottom w:val="single" w:sz="8" w:space="0" w:color="000000"/>
              <w:right w:val="single" w:sz="8" w:space="0" w:color="auto"/>
            </w:tcBorders>
            <w:vAlign w:val="center"/>
          </w:tcPr>
          <w:p w14:paraId="09D365F7"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Revenue from Government is in-line with the Agency's original budget and increases for the Agency's operations and programs approved in the 2024–25 MYEFO Budget.</w:t>
            </w:r>
          </w:p>
        </w:tc>
      </w:tr>
      <w:tr w:rsidR="0082424C" w:rsidRPr="007A3600" w14:paraId="11EBD472" w14:textId="77777777" w:rsidTr="00810639">
        <w:trPr>
          <w:cantSplit/>
          <w:trHeight w:val="567"/>
        </w:trPr>
        <w:tc>
          <w:tcPr>
            <w:tcW w:w="0" w:type="auto"/>
            <w:tcBorders>
              <w:top w:val="nil"/>
              <w:left w:val="single" w:sz="8" w:space="0" w:color="auto"/>
              <w:bottom w:val="single" w:sz="8" w:space="0" w:color="auto"/>
              <w:right w:val="single" w:sz="8" w:space="0" w:color="auto"/>
            </w:tcBorders>
            <w:noWrap/>
          </w:tcPr>
          <w:p w14:paraId="01D67F8D" w14:textId="77777777" w:rsidR="0082424C" w:rsidRPr="007A3600" w:rsidRDefault="0082424C" w:rsidP="00AD3197">
            <w:pPr>
              <w:spacing w:before="40" w:after="40" w:line="240" w:lineRule="auto"/>
              <w:rPr>
                <w:rFonts w:eastAsia="Times New Roman"/>
                <w:sz w:val="18"/>
                <w:szCs w:val="20"/>
              </w:rPr>
            </w:pPr>
            <w:r w:rsidRPr="007A3600">
              <w:rPr>
                <w:rFonts w:eastAsia="Times New Roman"/>
                <w:sz w:val="18"/>
                <w:szCs w:val="20"/>
              </w:rPr>
              <w:t>Other Comprehensive Income</w:t>
            </w:r>
          </w:p>
          <w:p w14:paraId="1CE7E5DE" w14:textId="77777777" w:rsidR="0082424C" w:rsidRPr="007A3600" w:rsidRDefault="0082424C" w:rsidP="00AD3197">
            <w:pPr>
              <w:spacing w:before="40" w:after="40" w:line="240" w:lineRule="auto"/>
              <w:rPr>
                <w:rFonts w:eastAsia="Times New Roman"/>
                <w:sz w:val="18"/>
                <w:szCs w:val="20"/>
              </w:rPr>
            </w:pPr>
            <w:r w:rsidRPr="007A3600">
              <w:rPr>
                <w:rFonts w:eastAsia="Times New Roman"/>
                <w:i/>
                <w:iCs/>
                <w:sz w:val="18"/>
                <w:szCs w:val="20"/>
              </w:rPr>
              <w:t>Changes in asset revaluation reserve</w:t>
            </w:r>
          </w:p>
        </w:tc>
        <w:tc>
          <w:tcPr>
            <w:tcW w:w="5556" w:type="dxa"/>
            <w:tcBorders>
              <w:top w:val="nil"/>
              <w:left w:val="single" w:sz="8" w:space="0" w:color="auto"/>
              <w:bottom w:val="single" w:sz="8" w:space="0" w:color="000000"/>
              <w:right w:val="single" w:sz="8" w:space="0" w:color="auto"/>
            </w:tcBorders>
            <w:vAlign w:val="center"/>
          </w:tcPr>
          <w:p w14:paraId="076A3E7C" w14:textId="77777777" w:rsidR="0082424C" w:rsidRPr="007A3600" w:rsidRDefault="0082424C" w:rsidP="00AD3197">
            <w:pPr>
              <w:spacing w:before="40" w:after="40" w:line="240" w:lineRule="auto"/>
              <w:rPr>
                <w:rFonts w:eastAsia="Times New Roman"/>
                <w:sz w:val="18"/>
                <w:szCs w:val="20"/>
              </w:rPr>
            </w:pPr>
            <w:r w:rsidRPr="007A3600">
              <w:rPr>
                <w:rFonts w:eastAsia="Times New Roman" w:cs="Arial"/>
                <w:color w:val="0D0D0D"/>
                <w:sz w:val="18"/>
                <w:szCs w:val="18"/>
              </w:rPr>
              <w:t>The external revaluation of the Agency's leasehold improvements resulted in a revaluation increment of $10.5m during the year, which is unable to be budgeted for.</w:t>
            </w:r>
          </w:p>
        </w:tc>
      </w:tr>
    </w:tbl>
    <w:p w14:paraId="1F41D223" w14:textId="77777777" w:rsidR="0082424C" w:rsidRPr="007A3600" w:rsidRDefault="0082424C" w:rsidP="00AD3197">
      <w:pPr>
        <w:spacing w:after="0" w:line="240" w:lineRule="auto"/>
        <w:rPr>
          <w:rFonts w:eastAsia="Times New Roman"/>
          <w:sz w:val="18"/>
          <w:szCs w:val="20"/>
        </w:rPr>
        <w:sectPr w:rsidR="0082424C" w:rsidRPr="007A3600" w:rsidSect="0082424C">
          <w:headerReference w:type="even" r:id="rId124"/>
          <w:headerReference w:type="default" r:id="rId125"/>
          <w:headerReference w:type="first" r:id="rId126"/>
          <w:pgSz w:w="11906" w:h="16838" w:code="9"/>
          <w:pgMar w:top="1134" w:right="1700" w:bottom="1134" w:left="1134" w:header="561" w:footer="567" w:gutter="0"/>
          <w:cols w:space="708"/>
          <w:docGrid w:linePitch="360"/>
        </w:sectPr>
      </w:pPr>
    </w:p>
    <w:p w14:paraId="3B274F73"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6E1FB43C"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b/>
          <w:lang w:eastAsia="en-US"/>
        </w:rPr>
        <w:t>STATEMENT OF FINANCIAL POSITION</w:t>
      </w:r>
    </w:p>
    <w:p w14:paraId="51524A3F" w14:textId="77777777" w:rsidR="0082424C" w:rsidRPr="007A3600" w:rsidRDefault="0082424C" w:rsidP="00AD3197">
      <w:pPr>
        <w:pBdr>
          <w:bottom w:val="single" w:sz="4" w:space="1" w:color="auto"/>
        </w:pBdr>
        <w:spacing w:after="120" w:line="260" w:lineRule="atLeast"/>
        <w:rPr>
          <w:rFonts w:eastAsia="Times New Roman" w:cs="Arial"/>
          <w:i/>
          <w:lang w:eastAsia="en-US"/>
        </w:rPr>
      </w:pPr>
      <w:r w:rsidRPr="007A3600">
        <w:rPr>
          <w:rFonts w:eastAsia="Times New Roman" w:cs="Arial"/>
          <w:i/>
          <w:lang w:eastAsia="en-US"/>
        </w:rPr>
        <w:t xml:space="preserve">as at </w:t>
      </w:r>
      <w:r w:rsidRPr="007A3600">
        <w:rPr>
          <w:rFonts w:eastAsia="Times New Roman" w:cs="Arial"/>
          <w:szCs w:val="20"/>
          <w:lang w:eastAsia="en-US"/>
        </w:rPr>
        <w:fldChar w:fldCharType="begin"/>
      </w:r>
      <w:r w:rsidRPr="007A3600">
        <w:rPr>
          <w:rFonts w:eastAsia="Times New Roman" w:cs="Arial"/>
          <w:i/>
          <w:lang w:eastAsia="en-US"/>
        </w:rPr>
        <w:instrText xml:space="preserve"> DOCPROPERTY  pEnd  \* MERGEFORMAT </w:instrText>
      </w:r>
      <w:r w:rsidRPr="007A3600">
        <w:rPr>
          <w:rFonts w:eastAsia="Times New Roman" w:cs="Arial"/>
          <w:szCs w:val="20"/>
          <w:lang w:eastAsia="en-US"/>
        </w:rPr>
        <w:fldChar w:fldCharType="separate"/>
      </w:r>
      <w:r w:rsidRPr="007A3600">
        <w:rPr>
          <w:rFonts w:eastAsia="Times New Roman" w:cs="Arial"/>
          <w:i/>
          <w:lang w:eastAsia="en-US"/>
        </w:rPr>
        <w:t>30 June</w:t>
      </w:r>
      <w:r w:rsidRPr="007A3600">
        <w:rPr>
          <w:rFonts w:eastAsia="Times New Roman" w:cs="Arial"/>
          <w:szCs w:val="20"/>
          <w:lang w:eastAsia="en-US"/>
        </w:rPr>
        <w:fldChar w:fldCharType="end"/>
      </w:r>
      <w:r w:rsidRPr="007A3600">
        <w:rPr>
          <w:rFonts w:eastAsia="Times New Roman" w:cs="Arial"/>
          <w:i/>
          <w:lang w:eastAsia="en-US"/>
        </w:rPr>
        <w:t xml:space="preserve"> </w:t>
      </w:r>
      <w:r w:rsidRPr="007A3600">
        <w:rPr>
          <w:rFonts w:eastAsia="Times New Roman" w:cs="Arial"/>
          <w:szCs w:val="20"/>
          <w:lang w:eastAsia="en-US"/>
        </w:rPr>
        <w:fldChar w:fldCharType="begin"/>
      </w:r>
      <w:r w:rsidRPr="007A3600">
        <w:rPr>
          <w:rFonts w:eastAsia="Times New Roman" w:cs="Arial"/>
          <w:i/>
          <w:lang w:eastAsia="en-US"/>
        </w:rPr>
        <w:instrText xml:space="preserve"> DOCPROPERTY  crYear  \* MERGEFORMAT </w:instrText>
      </w:r>
      <w:r w:rsidRPr="007A3600">
        <w:rPr>
          <w:rFonts w:eastAsia="Times New Roman" w:cs="Arial"/>
          <w:szCs w:val="20"/>
          <w:lang w:eastAsia="en-US"/>
        </w:rPr>
        <w:fldChar w:fldCharType="separate"/>
      </w:r>
      <w:r w:rsidRPr="007A3600">
        <w:rPr>
          <w:rFonts w:eastAsia="Times New Roman" w:cs="Arial"/>
          <w:i/>
          <w:lang w:eastAsia="en-US"/>
        </w:rPr>
        <w:t>2025</w:t>
      </w:r>
      <w:r w:rsidRPr="007A3600">
        <w:rPr>
          <w:rFonts w:eastAsia="Times New Roman" w:cs="Arial"/>
          <w:szCs w:val="20"/>
          <w:lang w:eastAsia="en-US"/>
        </w:rPr>
        <w:fldChar w:fldCharType="end"/>
      </w:r>
    </w:p>
    <w:tbl>
      <w:tblPr>
        <w:tblW w:w="9087" w:type="dxa"/>
        <w:tblLayout w:type="fixed"/>
        <w:tblCellMar>
          <w:left w:w="57" w:type="dxa"/>
          <w:right w:w="57" w:type="dxa"/>
        </w:tblCellMar>
        <w:tblLook w:val="04A0" w:firstRow="1" w:lastRow="0" w:firstColumn="1" w:lastColumn="0" w:noHBand="0" w:noVBand="1"/>
      </w:tblPr>
      <w:tblGrid>
        <w:gridCol w:w="4241"/>
        <w:gridCol w:w="1242"/>
        <w:gridCol w:w="1044"/>
        <w:gridCol w:w="236"/>
        <w:gridCol w:w="1044"/>
        <w:gridCol w:w="236"/>
        <w:gridCol w:w="1044"/>
      </w:tblGrid>
      <w:tr w:rsidR="0082424C" w:rsidRPr="007A3600" w14:paraId="12A1325D" w14:textId="77777777">
        <w:trPr>
          <w:trHeight w:val="227"/>
        </w:trPr>
        <w:tc>
          <w:tcPr>
            <w:tcW w:w="4241" w:type="dxa"/>
            <w:tcBorders>
              <w:top w:val="single" w:sz="8" w:space="0" w:color="800080"/>
              <w:left w:val="nil"/>
              <w:bottom w:val="nil"/>
              <w:right w:val="nil"/>
            </w:tcBorders>
            <w:shd w:val="clear" w:color="FFFFFF" w:fill="FFFFFF"/>
            <w:noWrap/>
            <w:vAlign w:val="bottom"/>
            <w:hideMark/>
          </w:tcPr>
          <w:p w14:paraId="5CF734D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single" w:sz="8" w:space="0" w:color="800080"/>
              <w:left w:val="nil"/>
              <w:bottom w:val="nil"/>
              <w:right w:val="nil"/>
            </w:tcBorders>
            <w:shd w:val="clear" w:color="FFFFFF" w:fill="FFFFFF"/>
            <w:noWrap/>
            <w:vAlign w:val="bottom"/>
            <w:hideMark/>
          </w:tcPr>
          <w:p w14:paraId="12B21F4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5666A91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3B72412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2939846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1E992F1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vAlign w:val="bottom"/>
            <w:hideMark/>
          </w:tcPr>
          <w:p w14:paraId="75B09717"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r>
      <w:tr w:rsidR="0082424C" w:rsidRPr="007A3600" w14:paraId="7AF01A7C" w14:textId="77777777">
        <w:trPr>
          <w:trHeight w:val="227"/>
        </w:trPr>
        <w:tc>
          <w:tcPr>
            <w:tcW w:w="4241" w:type="dxa"/>
            <w:tcBorders>
              <w:top w:val="nil"/>
              <w:left w:val="nil"/>
              <w:bottom w:val="nil"/>
              <w:right w:val="nil"/>
            </w:tcBorders>
            <w:shd w:val="clear" w:color="FFFFFF" w:fill="FFFFFF"/>
            <w:noWrap/>
            <w:vAlign w:val="bottom"/>
            <w:hideMark/>
          </w:tcPr>
          <w:p w14:paraId="4D15C79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5795DED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B92BDC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3787C68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ED6E75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2024</w:t>
            </w:r>
          </w:p>
        </w:tc>
        <w:tc>
          <w:tcPr>
            <w:tcW w:w="236" w:type="dxa"/>
            <w:tcBorders>
              <w:top w:val="nil"/>
              <w:left w:val="nil"/>
              <w:bottom w:val="nil"/>
              <w:right w:val="nil"/>
            </w:tcBorders>
            <w:shd w:val="clear" w:color="FFFFFF" w:fill="FFFFFF"/>
            <w:noWrap/>
            <w:vAlign w:val="bottom"/>
            <w:hideMark/>
          </w:tcPr>
          <w:p w14:paraId="4576532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7607833"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r>
      <w:tr w:rsidR="0082424C" w:rsidRPr="007A3600" w14:paraId="31A04494" w14:textId="77777777">
        <w:trPr>
          <w:trHeight w:val="227"/>
        </w:trPr>
        <w:tc>
          <w:tcPr>
            <w:tcW w:w="4241" w:type="dxa"/>
            <w:tcBorders>
              <w:top w:val="nil"/>
              <w:left w:val="nil"/>
              <w:bottom w:val="single" w:sz="8" w:space="0" w:color="800080"/>
              <w:right w:val="nil"/>
            </w:tcBorders>
            <w:shd w:val="clear" w:color="FFFFFF" w:fill="FFFFFF"/>
            <w:noWrap/>
            <w:vAlign w:val="bottom"/>
            <w:hideMark/>
          </w:tcPr>
          <w:p w14:paraId="6834FEB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single" w:sz="8" w:space="0" w:color="800080"/>
              <w:right w:val="nil"/>
            </w:tcBorders>
            <w:shd w:val="clear" w:color="FFFFFF" w:fill="FFFFFF"/>
            <w:noWrap/>
            <w:vAlign w:val="bottom"/>
            <w:hideMark/>
          </w:tcPr>
          <w:p w14:paraId="541C42BD" w14:textId="77777777" w:rsidR="0082424C" w:rsidRPr="007A3600" w:rsidRDefault="0082424C" w:rsidP="00AD3197">
            <w:pPr>
              <w:spacing w:after="0" w:line="240" w:lineRule="atLeast"/>
              <w:jc w:val="center"/>
              <w:rPr>
                <w:rFonts w:eastAsia="Times New Roman" w:cs="Arial"/>
                <w:b/>
                <w:bCs/>
                <w:sz w:val="18"/>
                <w:szCs w:val="18"/>
                <w:lang w:eastAsia="en-US"/>
              </w:rPr>
            </w:pPr>
            <w:r w:rsidRPr="007A3600">
              <w:rPr>
                <w:rFonts w:eastAsia="Times New Roman" w:cs="Arial"/>
                <w:b/>
                <w:bCs/>
                <w:sz w:val="18"/>
                <w:szCs w:val="18"/>
                <w:lang w:eastAsia="en-US"/>
              </w:rPr>
              <w:t>Notes</w:t>
            </w:r>
          </w:p>
        </w:tc>
        <w:tc>
          <w:tcPr>
            <w:tcW w:w="1044" w:type="dxa"/>
            <w:tcBorders>
              <w:top w:val="nil"/>
              <w:left w:val="nil"/>
              <w:bottom w:val="single" w:sz="8" w:space="0" w:color="800080"/>
              <w:right w:val="nil"/>
            </w:tcBorders>
            <w:shd w:val="clear" w:color="FFFFFF" w:fill="FFFFFF"/>
            <w:noWrap/>
            <w:vAlign w:val="bottom"/>
            <w:hideMark/>
          </w:tcPr>
          <w:p w14:paraId="5B39367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3CEB12A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bottom"/>
            <w:hideMark/>
          </w:tcPr>
          <w:p w14:paraId="2136621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3E5DB74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bottom"/>
            <w:hideMark/>
          </w:tcPr>
          <w:p w14:paraId="2C4D6ECC" w14:textId="77777777" w:rsidR="0082424C" w:rsidRPr="007A3600" w:rsidRDefault="0082424C" w:rsidP="00AD3197">
            <w:pPr>
              <w:spacing w:after="0" w:line="240" w:lineRule="atLeast"/>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r>
      <w:tr w:rsidR="0082424C" w:rsidRPr="007A3600" w14:paraId="6B348825" w14:textId="77777777">
        <w:trPr>
          <w:trHeight w:val="227"/>
        </w:trPr>
        <w:tc>
          <w:tcPr>
            <w:tcW w:w="4241" w:type="dxa"/>
            <w:tcBorders>
              <w:top w:val="nil"/>
              <w:left w:val="nil"/>
              <w:bottom w:val="nil"/>
              <w:right w:val="nil"/>
            </w:tcBorders>
            <w:shd w:val="clear" w:color="FFFFFF" w:fill="FFFFFF"/>
            <w:vAlign w:val="bottom"/>
            <w:hideMark/>
          </w:tcPr>
          <w:p w14:paraId="6C73ABA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ASSETS</w:t>
            </w:r>
          </w:p>
        </w:tc>
        <w:tc>
          <w:tcPr>
            <w:tcW w:w="1242" w:type="dxa"/>
            <w:tcBorders>
              <w:top w:val="nil"/>
              <w:left w:val="nil"/>
              <w:bottom w:val="nil"/>
              <w:right w:val="nil"/>
            </w:tcBorders>
            <w:shd w:val="clear" w:color="FFFFFF" w:fill="FFFFFF"/>
            <w:noWrap/>
            <w:vAlign w:val="bottom"/>
            <w:hideMark/>
          </w:tcPr>
          <w:p w14:paraId="2C8CB687"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D432DF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546225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E9F0D8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6D71CA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572410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242555E" w14:textId="77777777">
        <w:trPr>
          <w:trHeight w:val="227"/>
        </w:trPr>
        <w:tc>
          <w:tcPr>
            <w:tcW w:w="4241" w:type="dxa"/>
            <w:tcBorders>
              <w:top w:val="nil"/>
              <w:left w:val="nil"/>
              <w:bottom w:val="nil"/>
              <w:right w:val="nil"/>
            </w:tcBorders>
            <w:shd w:val="clear" w:color="FFFFFF" w:fill="FFFFFF"/>
            <w:vAlign w:val="bottom"/>
            <w:hideMark/>
          </w:tcPr>
          <w:p w14:paraId="5957E9E7"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Financial assets</w:t>
            </w:r>
          </w:p>
        </w:tc>
        <w:tc>
          <w:tcPr>
            <w:tcW w:w="1242" w:type="dxa"/>
            <w:tcBorders>
              <w:top w:val="nil"/>
              <w:left w:val="nil"/>
              <w:bottom w:val="nil"/>
              <w:right w:val="nil"/>
            </w:tcBorders>
            <w:shd w:val="clear" w:color="FFFFFF" w:fill="FFFFFF"/>
            <w:noWrap/>
            <w:vAlign w:val="bottom"/>
            <w:hideMark/>
          </w:tcPr>
          <w:p w14:paraId="1CB5238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C1FC48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9C2955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8E88DB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C916E2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23BFC1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6AFE3C5" w14:textId="77777777">
        <w:trPr>
          <w:trHeight w:val="227"/>
        </w:trPr>
        <w:tc>
          <w:tcPr>
            <w:tcW w:w="4241" w:type="dxa"/>
            <w:tcBorders>
              <w:top w:val="nil"/>
              <w:left w:val="nil"/>
              <w:bottom w:val="nil"/>
              <w:right w:val="nil"/>
            </w:tcBorders>
            <w:shd w:val="clear" w:color="FFFFFF" w:fill="FFFFFF"/>
            <w:vAlign w:val="bottom"/>
            <w:hideMark/>
          </w:tcPr>
          <w:p w14:paraId="75D1E9A3"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Cash and cash equivalents - Cash on hand</w:t>
            </w:r>
          </w:p>
        </w:tc>
        <w:tc>
          <w:tcPr>
            <w:tcW w:w="1242" w:type="dxa"/>
            <w:tcBorders>
              <w:top w:val="nil"/>
              <w:left w:val="nil"/>
              <w:bottom w:val="nil"/>
              <w:right w:val="nil"/>
            </w:tcBorders>
            <w:shd w:val="clear" w:color="FFFFFF" w:fill="FFFFFF"/>
            <w:noWrap/>
            <w:vAlign w:val="bottom"/>
            <w:hideMark/>
          </w:tcPr>
          <w:p w14:paraId="10FD010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2.1A</w:t>
            </w:r>
          </w:p>
        </w:tc>
        <w:tc>
          <w:tcPr>
            <w:tcW w:w="1044" w:type="dxa"/>
            <w:tcBorders>
              <w:top w:val="nil"/>
              <w:left w:val="nil"/>
              <w:bottom w:val="nil"/>
              <w:right w:val="nil"/>
            </w:tcBorders>
            <w:shd w:val="clear" w:color="FFFFFF" w:fill="FFFFFF"/>
            <w:noWrap/>
            <w:vAlign w:val="bottom"/>
            <w:hideMark/>
          </w:tcPr>
          <w:p w14:paraId="551D829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2,528,958</w:t>
            </w:r>
          </w:p>
        </w:tc>
        <w:tc>
          <w:tcPr>
            <w:tcW w:w="236" w:type="dxa"/>
            <w:tcBorders>
              <w:top w:val="nil"/>
              <w:left w:val="nil"/>
              <w:bottom w:val="nil"/>
              <w:right w:val="nil"/>
            </w:tcBorders>
            <w:shd w:val="clear" w:color="FFFFFF" w:fill="FFFFFF"/>
            <w:noWrap/>
            <w:vAlign w:val="bottom"/>
            <w:hideMark/>
          </w:tcPr>
          <w:p w14:paraId="6828EB1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4D0EA8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5,659,548</w:t>
            </w:r>
          </w:p>
        </w:tc>
        <w:tc>
          <w:tcPr>
            <w:tcW w:w="236" w:type="dxa"/>
            <w:tcBorders>
              <w:top w:val="nil"/>
              <w:left w:val="nil"/>
              <w:bottom w:val="nil"/>
              <w:right w:val="nil"/>
            </w:tcBorders>
            <w:shd w:val="clear" w:color="FFFFFF" w:fill="FFFFFF"/>
            <w:noWrap/>
            <w:vAlign w:val="bottom"/>
            <w:hideMark/>
          </w:tcPr>
          <w:p w14:paraId="5DC287A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ADACB2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4,550,078</w:t>
            </w:r>
          </w:p>
        </w:tc>
      </w:tr>
      <w:tr w:rsidR="0082424C" w:rsidRPr="007A3600" w14:paraId="260575C7" w14:textId="77777777">
        <w:trPr>
          <w:trHeight w:val="227"/>
        </w:trPr>
        <w:tc>
          <w:tcPr>
            <w:tcW w:w="4241" w:type="dxa"/>
            <w:tcBorders>
              <w:top w:val="nil"/>
              <w:left w:val="nil"/>
              <w:bottom w:val="nil"/>
              <w:right w:val="nil"/>
            </w:tcBorders>
            <w:shd w:val="clear" w:color="FFFFFF" w:fill="FFFFFF"/>
            <w:vAlign w:val="bottom"/>
            <w:hideMark/>
          </w:tcPr>
          <w:p w14:paraId="24C1BF2E"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Cash and cash equivalents - Term deposits</w:t>
            </w:r>
          </w:p>
        </w:tc>
        <w:tc>
          <w:tcPr>
            <w:tcW w:w="1242" w:type="dxa"/>
            <w:tcBorders>
              <w:top w:val="nil"/>
              <w:left w:val="nil"/>
              <w:bottom w:val="nil"/>
              <w:right w:val="nil"/>
            </w:tcBorders>
            <w:shd w:val="clear" w:color="FFFFFF" w:fill="FFFFFF"/>
            <w:noWrap/>
            <w:vAlign w:val="bottom"/>
            <w:hideMark/>
          </w:tcPr>
          <w:p w14:paraId="37D00D8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2.1A</w:t>
            </w:r>
          </w:p>
        </w:tc>
        <w:tc>
          <w:tcPr>
            <w:tcW w:w="1044" w:type="dxa"/>
            <w:tcBorders>
              <w:top w:val="nil"/>
              <w:left w:val="nil"/>
              <w:bottom w:val="nil"/>
              <w:right w:val="nil"/>
            </w:tcBorders>
            <w:shd w:val="clear" w:color="FFFFFF" w:fill="FFFFFF"/>
            <w:noWrap/>
            <w:vAlign w:val="bottom"/>
            <w:hideMark/>
          </w:tcPr>
          <w:p w14:paraId="43A4726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3,700,000</w:t>
            </w:r>
          </w:p>
        </w:tc>
        <w:tc>
          <w:tcPr>
            <w:tcW w:w="236" w:type="dxa"/>
            <w:tcBorders>
              <w:top w:val="nil"/>
              <w:left w:val="nil"/>
              <w:bottom w:val="nil"/>
              <w:right w:val="nil"/>
            </w:tcBorders>
            <w:shd w:val="clear" w:color="FFFFFF" w:fill="FFFFFF"/>
            <w:noWrap/>
            <w:vAlign w:val="bottom"/>
            <w:hideMark/>
          </w:tcPr>
          <w:p w14:paraId="16C68CC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A13653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w:t>
            </w:r>
          </w:p>
        </w:tc>
        <w:tc>
          <w:tcPr>
            <w:tcW w:w="236" w:type="dxa"/>
            <w:tcBorders>
              <w:top w:val="nil"/>
              <w:left w:val="nil"/>
              <w:bottom w:val="nil"/>
              <w:right w:val="nil"/>
            </w:tcBorders>
            <w:shd w:val="clear" w:color="FFFFFF" w:fill="FFFFFF"/>
            <w:noWrap/>
            <w:vAlign w:val="bottom"/>
            <w:hideMark/>
          </w:tcPr>
          <w:p w14:paraId="351ECE4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DCC88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0743E1D7" w14:textId="77777777">
        <w:trPr>
          <w:trHeight w:val="227"/>
        </w:trPr>
        <w:tc>
          <w:tcPr>
            <w:tcW w:w="4241" w:type="dxa"/>
            <w:tcBorders>
              <w:top w:val="nil"/>
              <w:left w:val="nil"/>
              <w:bottom w:val="nil"/>
              <w:right w:val="nil"/>
            </w:tcBorders>
            <w:shd w:val="clear" w:color="FFFFFF" w:fill="FFFFFF"/>
            <w:vAlign w:val="bottom"/>
            <w:hideMark/>
          </w:tcPr>
          <w:p w14:paraId="3A8416A7"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Trade and other receivables</w:t>
            </w:r>
          </w:p>
        </w:tc>
        <w:tc>
          <w:tcPr>
            <w:tcW w:w="1242" w:type="dxa"/>
            <w:tcBorders>
              <w:top w:val="nil"/>
              <w:left w:val="nil"/>
              <w:bottom w:val="nil"/>
              <w:right w:val="nil"/>
            </w:tcBorders>
            <w:shd w:val="clear" w:color="FFFFFF" w:fill="FFFFFF"/>
            <w:noWrap/>
            <w:vAlign w:val="bottom"/>
            <w:hideMark/>
          </w:tcPr>
          <w:p w14:paraId="7865E9D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2.1B</w:t>
            </w:r>
          </w:p>
        </w:tc>
        <w:tc>
          <w:tcPr>
            <w:tcW w:w="1044" w:type="dxa"/>
            <w:tcBorders>
              <w:top w:val="nil"/>
              <w:left w:val="nil"/>
              <w:bottom w:val="nil"/>
              <w:right w:val="nil"/>
            </w:tcBorders>
            <w:shd w:val="clear" w:color="FFFFFF" w:fill="FFFFFF"/>
            <w:noWrap/>
            <w:vAlign w:val="bottom"/>
            <w:hideMark/>
          </w:tcPr>
          <w:p w14:paraId="78C7FF5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108,527</w:t>
            </w:r>
          </w:p>
        </w:tc>
        <w:tc>
          <w:tcPr>
            <w:tcW w:w="236" w:type="dxa"/>
            <w:tcBorders>
              <w:top w:val="nil"/>
              <w:left w:val="nil"/>
              <w:bottom w:val="nil"/>
              <w:right w:val="nil"/>
            </w:tcBorders>
            <w:shd w:val="clear" w:color="FFFFFF" w:fill="FFFFFF"/>
            <w:noWrap/>
            <w:vAlign w:val="bottom"/>
            <w:hideMark/>
          </w:tcPr>
          <w:p w14:paraId="2B9CB08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52C52B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99,994</w:t>
            </w:r>
          </w:p>
        </w:tc>
        <w:tc>
          <w:tcPr>
            <w:tcW w:w="236" w:type="dxa"/>
            <w:tcBorders>
              <w:top w:val="nil"/>
              <w:left w:val="nil"/>
              <w:bottom w:val="nil"/>
              <w:right w:val="nil"/>
            </w:tcBorders>
            <w:shd w:val="clear" w:color="FFFFFF" w:fill="FFFFFF"/>
            <w:noWrap/>
            <w:vAlign w:val="bottom"/>
            <w:hideMark/>
          </w:tcPr>
          <w:p w14:paraId="006D975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7529C5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35,775</w:t>
            </w:r>
          </w:p>
        </w:tc>
      </w:tr>
      <w:tr w:rsidR="0082424C" w:rsidRPr="007A3600" w14:paraId="22BA5FCC" w14:textId="77777777">
        <w:trPr>
          <w:trHeight w:val="227"/>
        </w:trPr>
        <w:tc>
          <w:tcPr>
            <w:tcW w:w="4241" w:type="dxa"/>
            <w:tcBorders>
              <w:top w:val="nil"/>
              <w:left w:val="nil"/>
              <w:bottom w:val="nil"/>
              <w:right w:val="nil"/>
            </w:tcBorders>
            <w:shd w:val="clear" w:color="FFFFFF" w:fill="FFFFFF"/>
            <w:vAlign w:val="bottom"/>
            <w:hideMark/>
          </w:tcPr>
          <w:p w14:paraId="523BB13C"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financial assets - term deposits</w:t>
            </w:r>
          </w:p>
        </w:tc>
        <w:tc>
          <w:tcPr>
            <w:tcW w:w="1242" w:type="dxa"/>
            <w:tcBorders>
              <w:top w:val="nil"/>
              <w:left w:val="nil"/>
              <w:bottom w:val="nil"/>
              <w:right w:val="nil"/>
            </w:tcBorders>
            <w:shd w:val="clear" w:color="FFFFFF" w:fill="FFFFFF"/>
            <w:noWrap/>
            <w:vAlign w:val="bottom"/>
            <w:hideMark/>
          </w:tcPr>
          <w:p w14:paraId="570B2ED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2.1C</w:t>
            </w:r>
          </w:p>
        </w:tc>
        <w:tc>
          <w:tcPr>
            <w:tcW w:w="1044" w:type="dxa"/>
            <w:tcBorders>
              <w:top w:val="nil"/>
              <w:left w:val="nil"/>
              <w:bottom w:val="nil"/>
              <w:right w:val="nil"/>
            </w:tcBorders>
            <w:shd w:val="clear" w:color="FFFFFF" w:fill="FFFFFF"/>
            <w:noWrap/>
            <w:vAlign w:val="bottom"/>
            <w:hideMark/>
          </w:tcPr>
          <w:p w14:paraId="6311B13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38C7ADFF" w14:textId="77777777" w:rsidR="0082424C" w:rsidRPr="007A3600" w:rsidRDefault="0082424C" w:rsidP="00AD3197">
            <w:pPr>
              <w:spacing w:after="0" w:line="240" w:lineRule="atLeast"/>
              <w:rPr>
                <w:rFonts w:eastAsia="Times New Roman" w:cs="Arial"/>
                <w:sz w:val="16"/>
                <w:szCs w:val="16"/>
                <w:lang w:eastAsia="en-US"/>
              </w:rPr>
            </w:pPr>
            <w:r w:rsidRPr="007A3600">
              <w:rPr>
                <w:rFonts w:eastAsia="Times New Roman" w:cs="Arial"/>
                <w:sz w:val="16"/>
                <w:szCs w:val="16"/>
                <w:lang w:eastAsia="en-US"/>
              </w:rPr>
              <w:t> </w:t>
            </w:r>
          </w:p>
        </w:tc>
        <w:tc>
          <w:tcPr>
            <w:tcW w:w="1044" w:type="dxa"/>
            <w:tcBorders>
              <w:top w:val="nil"/>
              <w:left w:val="nil"/>
              <w:bottom w:val="nil"/>
              <w:right w:val="nil"/>
            </w:tcBorders>
            <w:shd w:val="clear" w:color="FFFFFF" w:fill="FFFFFF"/>
            <w:noWrap/>
            <w:vAlign w:val="bottom"/>
            <w:hideMark/>
          </w:tcPr>
          <w:p w14:paraId="5F6AD98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w:t>
            </w:r>
          </w:p>
        </w:tc>
        <w:tc>
          <w:tcPr>
            <w:tcW w:w="236" w:type="dxa"/>
            <w:tcBorders>
              <w:top w:val="nil"/>
              <w:left w:val="nil"/>
              <w:bottom w:val="nil"/>
              <w:right w:val="nil"/>
            </w:tcBorders>
            <w:shd w:val="clear" w:color="FFFFFF" w:fill="FFFFFF"/>
            <w:noWrap/>
            <w:vAlign w:val="bottom"/>
            <w:hideMark/>
          </w:tcPr>
          <w:p w14:paraId="21277A8A" w14:textId="77777777" w:rsidR="0082424C" w:rsidRPr="007A3600" w:rsidRDefault="0082424C" w:rsidP="00AD3197">
            <w:pPr>
              <w:spacing w:after="0" w:line="240" w:lineRule="atLeast"/>
              <w:rPr>
                <w:rFonts w:eastAsia="Times New Roman" w:cs="Arial"/>
                <w:sz w:val="16"/>
                <w:szCs w:val="16"/>
                <w:lang w:eastAsia="en-US"/>
              </w:rPr>
            </w:pPr>
            <w:r w:rsidRPr="007A3600">
              <w:rPr>
                <w:rFonts w:eastAsia="Times New Roman" w:cs="Arial"/>
                <w:sz w:val="16"/>
                <w:szCs w:val="16"/>
                <w:lang w:eastAsia="en-US"/>
              </w:rPr>
              <w:t> </w:t>
            </w:r>
          </w:p>
        </w:tc>
        <w:tc>
          <w:tcPr>
            <w:tcW w:w="1044" w:type="dxa"/>
            <w:tcBorders>
              <w:top w:val="nil"/>
              <w:left w:val="nil"/>
              <w:bottom w:val="nil"/>
              <w:right w:val="nil"/>
            </w:tcBorders>
            <w:shd w:val="clear" w:color="FFFFFF" w:fill="FFFFFF"/>
            <w:noWrap/>
            <w:vAlign w:val="bottom"/>
            <w:hideMark/>
          </w:tcPr>
          <w:p w14:paraId="0294D4F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20,961</w:t>
            </w:r>
          </w:p>
        </w:tc>
      </w:tr>
      <w:tr w:rsidR="0082424C" w:rsidRPr="007A3600" w14:paraId="59A0273A" w14:textId="77777777">
        <w:trPr>
          <w:trHeight w:val="227"/>
        </w:trPr>
        <w:tc>
          <w:tcPr>
            <w:tcW w:w="4241" w:type="dxa"/>
            <w:tcBorders>
              <w:top w:val="nil"/>
              <w:left w:val="nil"/>
              <w:bottom w:val="nil"/>
              <w:right w:val="nil"/>
            </w:tcBorders>
            <w:shd w:val="clear" w:color="FFFFFF" w:fill="FFFFFF"/>
            <w:vAlign w:val="bottom"/>
            <w:hideMark/>
          </w:tcPr>
          <w:p w14:paraId="62F9CFB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financial assets</w:t>
            </w:r>
          </w:p>
        </w:tc>
        <w:tc>
          <w:tcPr>
            <w:tcW w:w="1242" w:type="dxa"/>
            <w:tcBorders>
              <w:top w:val="nil"/>
              <w:left w:val="nil"/>
              <w:bottom w:val="nil"/>
              <w:right w:val="nil"/>
            </w:tcBorders>
            <w:shd w:val="clear" w:color="FFFFFF" w:fill="FFFFFF"/>
            <w:noWrap/>
            <w:vAlign w:val="bottom"/>
            <w:hideMark/>
          </w:tcPr>
          <w:p w14:paraId="24A21EE2"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A878C8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6,337,485</w:t>
            </w:r>
          </w:p>
        </w:tc>
        <w:tc>
          <w:tcPr>
            <w:tcW w:w="236" w:type="dxa"/>
            <w:tcBorders>
              <w:top w:val="nil"/>
              <w:left w:val="nil"/>
              <w:bottom w:val="nil"/>
              <w:right w:val="nil"/>
            </w:tcBorders>
            <w:shd w:val="clear" w:color="FFFFFF" w:fill="FFFFFF"/>
            <w:noWrap/>
            <w:vAlign w:val="bottom"/>
            <w:hideMark/>
          </w:tcPr>
          <w:p w14:paraId="3D28163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5E9859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5,759,542</w:t>
            </w:r>
          </w:p>
        </w:tc>
        <w:tc>
          <w:tcPr>
            <w:tcW w:w="236" w:type="dxa"/>
            <w:tcBorders>
              <w:top w:val="nil"/>
              <w:left w:val="nil"/>
              <w:bottom w:val="nil"/>
              <w:right w:val="nil"/>
            </w:tcBorders>
            <w:shd w:val="clear" w:color="FFFFFF" w:fill="FFFFFF"/>
            <w:noWrap/>
            <w:vAlign w:val="bottom"/>
            <w:hideMark/>
          </w:tcPr>
          <w:p w14:paraId="2AB7AA0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301DDA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4,606,814</w:t>
            </w:r>
          </w:p>
        </w:tc>
      </w:tr>
      <w:tr w:rsidR="0082424C" w:rsidRPr="007A3600" w14:paraId="798FE3E0" w14:textId="77777777">
        <w:trPr>
          <w:trHeight w:val="170"/>
        </w:trPr>
        <w:tc>
          <w:tcPr>
            <w:tcW w:w="4241" w:type="dxa"/>
            <w:tcBorders>
              <w:top w:val="nil"/>
              <w:left w:val="nil"/>
              <w:bottom w:val="nil"/>
              <w:right w:val="nil"/>
            </w:tcBorders>
            <w:shd w:val="clear" w:color="FFFFFF" w:fill="FFFFFF"/>
            <w:noWrap/>
            <w:vAlign w:val="bottom"/>
            <w:hideMark/>
          </w:tcPr>
          <w:p w14:paraId="700DCFA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5CE550D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45AB05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62C56A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E04CBA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90501E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027FFD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DCEB165" w14:textId="77777777">
        <w:trPr>
          <w:trHeight w:val="227"/>
        </w:trPr>
        <w:tc>
          <w:tcPr>
            <w:tcW w:w="4241" w:type="dxa"/>
            <w:tcBorders>
              <w:top w:val="nil"/>
              <w:left w:val="nil"/>
              <w:bottom w:val="nil"/>
              <w:right w:val="nil"/>
            </w:tcBorders>
            <w:shd w:val="clear" w:color="FFFFFF" w:fill="FFFFFF"/>
            <w:vAlign w:val="bottom"/>
            <w:hideMark/>
          </w:tcPr>
          <w:p w14:paraId="20260EB9"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Non-financial assets</w:t>
            </w:r>
          </w:p>
        </w:tc>
        <w:tc>
          <w:tcPr>
            <w:tcW w:w="1242" w:type="dxa"/>
            <w:tcBorders>
              <w:top w:val="nil"/>
              <w:left w:val="nil"/>
              <w:bottom w:val="nil"/>
              <w:right w:val="nil"/>
            </w:tcBorders>
            <w:shd w:val="clear" w:color="FFFFFF" w:fill="FFFFFF"/>
            <w:noWrap/>
            <w:vAlign w:val="bottom"/>
            <w:hideMark/>
          </w:tcPr>
          <w:p w14:paraId="6F0F9CE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50357F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C53210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C2627F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ED8DBB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071EE4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7D7FBCF" w14:textId="77777777">
        <w:trPr>
          <w:trHeight w:val="227"/>
        </w:trPr>
        <w:tc>
          <w:tcPr>
            <w:tcW w:w="4241" w:type="dxa"/>
            <w:tcBorders>
              <w:top w:val="nil"/>
              <w:left w:val="nil"/>
              <w:bottom w:val="nil"/>
              <w:right w:val="nil"/>
            </w:tcBorders>
            <w:shd w:val="clear" w:color="FFFFFF" w:fill="FFFFFF"/>
            <w:vAlign w:val="bottom"/>
            <w:hideMark/>
          </w:tcPr>
          <w:p w14:paraId="3D7851D9"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Buildings</w:t>
            </w:r>
          </w:p>
        </w:tc>
        <w:tc>
          <w:tcPr>
            <w:tcW w:w="1242" w:type="dxa"/>
            <w:tcBorders>
              <w:top w:val="nil"/>
              <w:left w:val="nil"/>
              <w:bottom w:val="nil"/>
              <w:right w:val="nil"/>
            </w:tcBorders>
            <w:shd w:val="clear" w:color="FFFFFF" w:fill="FFFFFF"/>
            <w:noWrap/>
            <w:vAlign w:val="bottom"/>
            <w:hideMark/>
          </w:tcPr>
          <w:p w14:paraId="4BE8C9B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2.2A</w:t>
            </w:r>
          </w:p>
        </w:tc>
        <w:tc>
          <w:tcPr>
            <w:tcW w:w="1044" w:type="dxa"/>
            <w:tcBorders>
              <w:top w:val="nil"/>
              <w:left w:val="nil"/>
              <w:bottom w:val="nil"/>
              <w:right w:val="nil"/>
            </w:tcBorders>
            <w:shd w:val="clear" w:color="FFFFFF" w:fill="FFFFFF"/>
            <w:noWrap/>
            <w:vAlign w:val="bottom"/>
            <w:hideMark/>
          </w:tcPr>
          <w:p w14:paraId="3C8F9A8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211,949</w:t>
            </w:r>
          </w:p>
        </w:tc>
        <w:tc>
          <w:tcPr>
            <w:tcW w:w="236" w:type="dxa"/>
            <w:tcBorders>
              <w:top w:val="nil"/>
              <w:left w:val="nil"/>
              <w:bottom w:val="nil"/>
              <w:right w:val="nil"/>
            </w:tcBorders>
            <w:shd w:val="clear" w:color="FFFFFF" w:fill="FFFFFF"/>
            <w:noWrap/>
            <w:vAlign w:val="bottom"/>
            <w:hideMark/>
          </w:tcPr>
          <w:p w14:paraId="6C27B1C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9DB70B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237,892</w:t>
            </w:r>
          </w:p>
        </w:tc>
        <w:tc>
          <w:tcPr>
            <w:tcW w:w="236" w:type="dxa"/>
            <w:tcBorders>
              <w:top w:val="nil"/>
              <w:left w:val="nil"/>
              <w:bottom w:val="nil"/>
              <w:right w:val="nil"/>
            </w:tcBorders>
            <w:shd w:val="clear" w:color="FFFFFF" w:fill="FFFFFF"/>
            <w:noWrap/>
            <w:vAlign w:val="bottom"/>
            <w:hideMark/>
          </w:tcPr>
          <w:p w14:paraId="027EEAA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9FDC76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235,914</w:t>
            </w:r>
          </w:p>
        </w:tc>
      </w:tr>
      <w:tr w:rsidR="0082424C" w:rsidRPr="007A3600" w14:paraId="4256AE5B" w14:textId="77777777">
        <w:trPr>
          <w:trHeight w:val="227"/>
        </w:trPr>
        <w:tc>
          <w:tcPr>
            <w:tcW w:w="4241" w:type="dxa"/>
            <w:tcBorders>
              <w:top w:val="nil"/>
              <w:left w:val="nil"/>
              <w:bottom w:val="nil"/>
              <w:right w:val="nil"/>
            </w:tcBorders>
            <w:shd w:val="clear" w:color="FFFFFF" w:fill="FFFFFF"/>
            <w:vAlign w:val="bottom"/>
            <w:hideMark/>
          </w:tcPr>
          <w:p w14:paraId="33E41DED"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Plant and equipment</w:t>
            </w:r>
          </w:p>
        </w:tc>
        <w:tc>
          <w:tcPr>
            <w:tcW w:w="1242" w:type="dxa"/>
            <w:tcBorders>
              <w:top w:val="nil"/>
              <w:left w:val="nil"/>
              <w:bottom w:val="nil"/>
              <w:right w:val="nil"/>
            </w:tcBorders>
            <w:shd w:val="clear" w:color="FFFFFF" w:fill="FFFFFF"/>
            <w:noWrap/>
            <w:vAlign w:val="bottom"/>
            <w:hideMark/>
          </w:tcPr>
          <w:p w14:paraId="515CCBF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2.2A</w:t>
            </w:r>
          </w:p>
        </w:tc>
        <w:tc>
          <w:tcPr>
            <w:tcW w:w="1044" w:type="dxa"/>
            <w:tcBorders>
              <w:top w:val="nil"/>
              <w:left w:val="nil"/>
              <w:bottom w:val="nil"/>
              <w:right w:val="nil"/>
            </w:tcBorders>
            <w:shd w:val="clear" w:color="FFFFFF" w:fill="FFFFFF"/>
            <w:noWrap/>
            <w:vAlign w:val="bottom"/>
            <w:hideMark/>
          </w:tcPr>
          <w:p w14:paraId="7009856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16,452</w:t>
            </w:r>
          </w:p>
        </w:tc>
        <w:tc>
          <w:tcPr>
            <w:tcW w:w="236" w:type="dxa"/>
            <w:tcBorders>
              <w:top w:val="nil"/>
              <w:left w:val="nil"/>
              <w:bottom w:val="nil"/>
              <w:right w:val="nil"/>
            </w:tcBorders>
            <w:shd w:val="clear" w:color="FFFFFF" w:fill="FFFFFF"/>
            <w:noWrap/>
            <w:vAlign w:val="bottom"/>
            <w:hideMark/>
          </w:tcPr>
          <w:p w14:paraId="385026A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5E8755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9,364</w:t>
            </w:r>
          </w:p>
        </w:tc>
        <w:tc>
          <w:tcPr>
            <w:tcW w:w="236" w:type="dxa"/>
            <w:tcBorders>
              <w:top w:val="nil"/>
              <w:left w:val="nil"/>
              <w:bottom w:val="nil"/>
              <w:right w:val="nil"/>
            </w:tcBorders>
            <w:shd w:val="clear" w:color="FFFFFF" w:fill="FFFFFF"/>
            <w:noWrap/>
            <w:vAlign w:val="bottom"/>
            <w:hideMark/>
          </w:tcPr>
          <w:p w14:paraId="71EB6BA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F8E54C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8,512</w:t>
            </w:r>
          </w:p>
        </w:tc>
      </w:tr>
      <w:tr w:rsidR="0082424C" w:rsidRPr="007A3600" w14:paraId="07DBACE5" w14:textId="77777777">
        <w:trPr>
          <w:trHeight w:val="227"/>
        </w:trPr>
        <w:tc>
          <w:tcPr>
            <w:tcW w:w="4241" w:type="dxa"/>
            <w:tcBorders>
              <w:top w:val="nil"/>
              <w:left w:val="nil"/>
              <w:bottom w:val="nil"/>
              <w:right w:val="nil"/>
            </w:tcBorders>
            <w:shd w:val="clear" w:color="FFFFFF" w:fill="FFFFFF"/>
            <w:vAlign w:val="bottom"/>
            <w:hideMark/>
          </w:tcPr>
          <w:p w14:paraId="126BBA18"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non-financial assets</w:t>
            </w:r>
          </w:p>
        </w:tc>
        <w:tc>
          <w:tcPr>
            <w:tcW w:w="1242" w:type="dxa"/>
            <w:tcBorders>
              <w:top w:val="nil"/>
              <w:left w:val="nil"/>
              <w:bottom w:val="nil"/>
              <w:right w:val="nil"/>
            </w:tcBorders>
            <w:shd w:val="clear" w:color="FFFFFF" w:fill="FFFFFF"/>
            <w:noWrap/>
            <w:vAlign w:val="bottom"/>
            <w:hideMark/>
          </w:tcPr>
          <w:p w14:paraId="49CEE6D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2.2B</w:t>
            </w:r>
          </w:p>
        </w:tc>
        <w:tc>
          <w:tcPr>
            <w:tcW w:w="1044" w:type="dxa"/>
            <w:tcBorders>
              <w:top w:val="nil"/>
              <w:left w:val="nil"/>
              <w:bottom w:val="nil"/>
              <w:right w:val="nil"/>
            </w:tcBorders>
            <w:shd w:val="clear" w:color="FFFFFF" w:fill="FFFFFF"/>
            <w:noWrap/>
            <w:vAlign w:val="bottom"/>
            <w:hideMark/>
          </w:tcPr>
          <w:p w14:paraId="217986F7"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36,235</w:t>
            </w:r>
          </w:p>
        </w:tc>
        <w:tc>
          <w:tcPr>
            <w:tcW w:w="236" w:type="dxa"/>
            <w:tcBorders>
              <w:top w:val="nil"/>
              <w:left w:val="nil"/>
              <w:bottom w:val="nil"/>
              <w:right w:val="nil"/>
            </w:tcBorders>
            <w:shd w:val="clear" w:color="FFFFFF" w:fill="FFFFFF"/>
            <w:noWrap/>
            <w:vAlign w:val="bottom"/>
            <w:hideMark/>
          </w:tcPr>
          <w:p w14:paraId="4E3B7D8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B4CA9E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30,264</w:t>
            </w:r>
          </w:p>
        </w:tc>
        <w:tc>
          <w:tcPr>
            <w:tcW w:w="236" w:type="dxa"/>
            <w:tcBorders>
              <w:top w:val="nil"/>
              <w:left w:val="nil"/>
              <w:bottom w:val="nil"/>
              <w:right w:val="nil"/>
            </w:tcBorders>
            <w:shd w:val="clear" w:color="FFFFFF" w:fill="FFFFFF"/>
            <w:noWrap/>
            <w:vAlign w:val="bottom"/>
            <w:hideMark/>
          </w:tcPr>
          <w:p w14:paraId="271E92F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AF86F8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26,619</w:t>
            </w:r>
          </w:p>
        </w:tc>
      </w:tr>
      <w:tr w:rsidR="0082424C" w:rsidRPr="007A3600" w14:paraId="2076855C" w14:textId="77777777">
        <w:trPr>
          <w:trHeight w:val="227"/>
        </w:trPr>
        <w:tc>
          <w:tcPr>
            <w:tcW w:w="4241" w:type="dxa"/>
            <w:tcBorders>
              <w:top w:val="nil"/>
              <w:left w:val="nil"/>
              <w:bottom w:val="nil"/>
              <w:right w:val="nil"/>
            </w:tcBorders>
            <w:shd w:val="clear" w:color="FFFFFF" w:fill="FFFFFF"/>
            <w:vAlign w:val="bottom"/>
            <w:hideMark/>
          </w:tcPr>
          <w:p w14:paraId="118483A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non-financial assets</w:t>
            </w:r>
          </w:p>
        </w:tc>
        <w:tc>
          <w:tcPr>
            <w:tcW w:w="1242" w:type="dxa"/>
            <w:tcBorders>
              <w:top w:val="nil"/>
              <w:left w:val="nil"/>
              <w:bottom w:val="nil"/>
              <w:right w:val="nil"/>
            </w:tcBorders>
            <w:shd w:val="clear" w:color="FFFFFF" w:fill="FFFFFF"/>
            <w:noWrap/>
            <w:vAlign w:val="bottom"/>
            <w:hideMark/>
          </w:tcPr>
          <w:p w14:paraId="23BBEC9F"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B715DC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264,636</w:t>
            </w:r>
          </w:p>
        </w:tc>
        <w:tc>
          <w:tcPr>
            <w:tcW w:w="236" w:type="dxa"/>
            <w:tcBorders>
              <w:top w:val="nil"/>
              <w:left w:val="nil"/>
              <w:bottom w:val="nil"/>
              <w:right w:val="nil"/>
            </w:tcBorders>
            <w:shd w:val="clear" w:color="FFFFFF" w:fill="FFFFFF"/>
            <w:noWrap/>
            <w:vAlign w:val="bottom"/>
            <w:hideMark/>
          </w:tcPr>
          <w:p w14:paraId="4726DF0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947CE1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277,520</w:t>
            </w:r>
          </w:p>
        </w:tc>
        <w:tc>
          <w:tcPr>
            <w:tcW w:w="236" w:type="dxa"/>
            <w:tcBorders>
              <w:top w:val="nil"/>
              <w:left w:val="nil"/>
              <w:bottom w:val="nil"/>
              <w:right w:val="nil"/>
            </w:tcBorders>
            <w:shd w:val="clear" w:color="FFFFFF" w:fill="FFFFFF"/>
            <w:noWrap/>
            <w:vAlign w:val="bottom"/>
            <w:hideMark/>
          </w:tcPr>
          <w:p w14:paraId="12B91B9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2638F1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271,045</w:t>
            </w:r>
          </w:p>
        </w:tc>
      </w:tr>
      <w:tr w:rsidR="0082424C" w:rsidRPr="007A3600" w14:paraId="1FE7AEA2" w14:textId="77777777">
        <w:trPr>
          <w:trHeight w:val="227"/>
        </w:trPr>
        <w:tc>
          <w:tcPr>
            <w:tcW w:w="4241" w:type="dxa"/>
            <w:tcBorders>
              <w:top w:val="nil"/>
              <w:left w:val="nil"/>
              <w:bottom w:val="nil"/>
              <w:right w:val="nil"/>
            </w:tcBorders>
            <w:shd w:val="clear" w:color="FFFFFF" w:fill="FFFFFF"/>
            <w:vAlign w:val="bottom"/>
            <w:hideMark/>
          </w:tcPr>
          <w:p w14:paraId="7DE6DFE0"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assets</w:t>
            </w:r>
          </w:p>
        </w:tc>
        <w:tc>
          <w:tcPr>
            <w:tcW w:w="1242" w:type="dxa"/>
            <w:tcBorders>
              <w:top w:val="nil"/>
              <w:left w:val="nil"/>
              <w:bottom w:val="nil"/>
              <w:right w:val="nil"/>
            </w:tcBorders>
            <w:shd w:val="clear" w:color="FFFFFF" w:fill="FFFFFF"/>
            <w:noWrap/>
            <w:vAlign w:val="bottom"/>
            <w:hideMark/>
          </w:tcPr>
          <w:p w14:paraId="1D27A33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4AC4A5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6,602,121</w:t>
            </w:r>
          </w:p>
        </w:tc>
        <w:tc>
          <w:tcPr>
            <w:tcW w:w="236" w:type="dxa"/>
            <w:tcBorders>
              <w:top w:val="nil"/>
              <w:left w:val="nil"/>
              <w:bottom w:val="nil"/>
              <w:right w:val="nil"/>
            </w:tcBorders>
            <w:shd w:val="clear" w:color="FFFFFF" w:fill="FFFFFF"/>
            <w:noWrap/>
            <w:vAlign w:val="bottom"/>
            <w:hideMark/>
          </w:tcPr>
          <w:p w14:paraId="30ADE18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9B0ADD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6,037,062</w:t>
            </w:r>
          </w:p>
        </w:tc>
        <w:tc>
          <w:tcPr>
            <w:tcW w:w="236" w:type="dxa"/>
            <w:tcBorders>
              <w:top w:val="nil"/>
              <w:left w:val="nil"/>
              <w:bottom w:val="nil"/>
              <w:right w:val="nil"/>
            </w:tcBorders>
            <w:shd w:val="clear" w:color="FFFFFF" w:fill="FFFFFF"/>
            <w:noWrap/>
            <w:vAlign w:val="bottom"/>
            <w:hideMark/>
          </w:tcPr>
          <w:p w14:paraId="2A08D4E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2FDBD78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4,877,859</w:t>
            </w:r>
          </w:p>
        </w:tc>
      </w:tr>
      <w:tr w:rsidR="0082424C" w:rsidRPr="007A3600" w14:paraId="4111204E" w14:textId="77777777">
        <w:trPr>
          <w:trHeight w:val="227"/>
        </w:trPr>
        <w:tc>
          <w:tcPr>
            <w:tcW w:w="4241" w:type="dxa"/>
            <w:tcBorders>
              <w:top w:val="nil"/>
              <w:left w:val="nil"/>
              <w:bottom w:val="nil"/>
              <w:right w:val="nil"/>
            </w:tcBorders>
            <w:shd w:val="clear" w:color="FFFFFF" w:fill="FFFFFF"/>
            <w:vAlign w:val="bottom"/>
            <w:hideMark/>
          </w:tcPr>
          <w:p w14:paraId="162341D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61A279E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12C4D3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B9C1CB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F056B9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DFE8AE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22A49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B737EB4" w14:textId="77777777">
        <w:trPr>
          <w:trHeight w:val="227"/>
        </w:trPr>
        <w:tc>
          <w:tcPr>
            <w:tcW w:w="4241" w:type="dxa"/>
            <w:tcBorders>
              <w:top w:val="nil"/>
              <w:left w:val="nil"/>
              <w:bottom w:val="nil"/>
              <w:right w:val="nil"/>
            </w:tcBorders>
            <w:shd w:val="clear" w:color="FFFFFF" w:fill="FFFFFF"/>
            <w:vAlign w:val="bottom"/>
            <w:hideMark/>
          </w:tcPr>
          <w:p w14:paraId="49111618"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LIABILITIES</w:t>
            </w:r>
          </w:p>
        </w:tc>
        <w:tc>
          <w:tcPr>
            <w:tcW w:w="1242" w:type="dxa"/>
            <w:tcBorders>
              <w:top w:val="nil"/>
              <w:left w:val="nil"/>
              <w:bottom w:val="nil"/>
              <w:right w:val="nil"/>
            </w:tcBorders>
            <w:shd w:val="clear" w:color="FFFFFF" w:fill="FFFFFF"/>
            <w:noWrap/>
            <w:vAlign w:val="bottom"/>
            <w:hideMark/>
          </w:tcPr>
          <w:p w14:paraId="2F8974A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74E088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7A9402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30E618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9C101B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C6C8D3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19CC520" w14:textId="77777777">
        <w:trPr>
          <w:trHeight w:val="227"/>
        </w:trPr>
        <w:tc>
          <w:tcPr>
            <w:tcW w:w="4241" w:type="dxa"/>
            <w:tcBorders>
              <w:top w:val="nil"/>
              <w:left w:val="nil"/>
              <w:bottom w:val="nil"/>
              <w:right w:val="nil"/>
            </w:tcBorders>
            <w:shd w:val="clear" w:color="FFFFFF" w:fill="FFFFFF"/>
            <w:vAlign w:val="bottom"/>
            <w:hideMark/>
          </w:tcPr>
          <w:p w14:paraId="78D0B0E7"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Payables</w:t>
            </w:r>
          </w:p>
        </w:tc>
        <w:tc>
          <w:tcPr>
            <w:tcW w:w="1242" w:type="dxa"/>
            <w:tcBorders>
              <w:top w:val="nil"/>
              <w:left w:val="nil"/>
              <w:bottom w:val="nil"/>
              <w:right w:val="nil"/>
            </w:tcBorders>
            <w:shd w:val="clear" w:color="FFFFFF" w:fill="FFFFFF"/>
            <w:noWrap/>
            <w:vAlign w:val="bottom"/>
            <w:hideMark/>
          </w:tcPr>
          <w:p w14:paraId="791F953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BAD20C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BD011A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841B12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B34C55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841EC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31C5C77" w14:textId="77777777">
        <w:trPr>
          <w:trHeight w:val="227"/>
        </w:trPr>
        <w:tc>
          <w:tcPr>
            <w:tcW w:w="4241" w:type="dxa"/>
            <w:tcBorders>
              <w:top w:val="nil"/>
              <w:left w:val="nil"/>
              <w:bottom w:val="nil"/>
              <w:right w:val="nil"/>
            </w:tcBorders>
            <w:shd w:val="clear" w:color="FFFFFF" w:fill="FFFFFF"/>
            <w:vAlign w:val="bottom"/>
            <w:hideMark/>
          </w:tcPr>
          <w:p w14:paraId="264355DC"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Suppliers</w:t>
            </w:r>
          </w:p>
        </w:tc>
        <w:tc>
          <w:tcPr>
            <w:tcW w:w="1242" w:type="dxa"/>
            <w:tcBorders>
              <w:top w:val="nil"/>
              <w:left w:val="nil"/>
              <w:bottom w:val="nil"/>
              <w:right w:val="nil"/>
            </w:tcBorders>
            <w:shd w:val="clear" w:color="FFFFFF" w:fill="FFFFFF"/>
            <w:noWrap/>
            <w:vAlign w:val="bottom"/>
            <w:hideMark/>
          </w:tcPr>
          <w:p w14:paraId="0041AED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2.3A</w:t>
            </w:r>
          </w:p>
        </w:tc>
        <w:tc>
          <w:tcPr>
            <w:tcW w:w="1044" w:type="dxa"/>
            <w:tcBorders>
              <w:top w:val="nil"/>
              <w:left w:val="nil"/>
              <w:bottom w:val="nil"/>
              <w:right w:val="nil"/>
            </w:tcBorders>
            <w:shd w:val="clear" w:color="FFFFFF" w:fill="FFFFFF"/>
            <w:noWrap/>
            <w:vAlign w:val="bottom"/>
            <w:hideMark/>
          </w:tcPr>
          <w:p w14:paraId="72DE3B3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1,281,462</w:t>
            </w:r>
          </w:p>
        </w:tc>
        <w:tc>
          <w:tcPr>
            <w:tcW w:w="236" w:type="dxa"/>
            <w:tcBorders>
              <w:top w:val="nil"/>
              <w:left w:val="nil"/>
              <w:bottom w:val="nil"/>
              <w:right w:val="nil"/>
            </w:tcBorders>
            <w:shd w:val="clear" w:color="FFFFFF" w:fill="FFFFFF"/>
            <w:noWrap/>
            <w:vAlign w:val="bottom"/>
            <w:hideMark/>
          </w:tcPr>
          <w:p w14:paraId="52935CA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A56D55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914,519</w:t>
            </w:r>
          </w:p>
        </w:tc>
        <w:tc>
          <w:tcPr>
            <w:tcW w:w="236" w:type="dxa"/>
            <w:tcBorders>
              <w:top w:val="nil"/>
              <w:left w:val="nil"/>
              <w:bottom w:val="nil"/>
              <w:right w:val="nil"/>
            </w:tcBorders>
            <w:shd w:val="clear" w:color="FFFFFF" w:fill="FFFFFF"/>
            <w:noWrap/>
            <w:vAlign w:val="bottom"/>
            <w:hideMark/>
          </w:tcPr>
          <w:p w14:paraId="7042BCB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B4FE54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195,133</w:t>
            </w:r>
          </w:p>
        </w:tc>
      </w:tr>
      <w:tr w:rsidR="0082424C" w:rsidRPr="007A3600" w14:paraId="37375F29" w14:textId="77777777">
        <w:trPr>
          <w:trHeight w:val="227"/>
        </w:trPr>
        <w:tc>
          <w:tcPr>
            <w:tcW w:w="4241" w:type="dxa"/>
            <w:tcBorders>
              <w:top w:val="nil"/>
              <w:left w:val="nil"/>
              <w:bottom w:val="nil"/>
              <w:right w:val="nil"/>
            </w:tcBorders>
            <w:shd w:val="clear" w:color="FFFFFF" w:fill="FFFFFF"/>
            <w:vAlign w:val="bottom"/>
            <w:hideMark/>
          </w:tcPr>
          <w:p w14:paraId="0214227E"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payables</w:t>
            </w:r>
          </w:p>
        </w:tc>
        <w:tc>
          <w:tcPr>
            <w:tcW w:w="1242" w:type="dxa"/>
            <w:tcBorders>
              <w:top w:val="nil"/>
              <w:left w:val="nil"/>
              <w:bottom w:val="nil"/>
              <w:right w:val="nil"/>
            </w:tcBorders>
            <w:shd w:val="clear" w:color="FFFFFF" w:fill="FFFFFF"/>
            <w:noWrap/>
            <w:vAlign w:val="bottom"/>
            <w:hideMark/>
          </w:tcPr>
          <w:p w14:paraId="597BE66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2.3B</w:t>
            </w:r>
          </w:p>
        </w:tc>
        <w:tc>
          <w:tcPr>
            <w:tcW w:w="1044" w:type="dxa"/>
            <w:tcBorders>
              <w:top w:val="nil"/>
              <w:left w:val="nil"/>
              <w:bottom w:val="nil"/>
              <w:right w:val="nil"/>
            </w:tcBorders>
            <w:shd w:val="clear" w:color="FFFFFF" w:fill="FFFFFF"/>
            <w:noWrap/>
            <w:vAlign w:val="bottom"/>
            <w:hideMark/>
          </w:tcPr>
          <w:p w14:paraId="01430B3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34,062</w:t>
            </w:r>
          </w:p>
        </w:tc>
        <w:tc>
          <w:tcPr>
            <w:tcW w:w="236" w:type="dxa"/>
            <w:tcBorders>
              <w:top w:val="nil"/>
              <w:left w:val="nil"/>
              <w:bottom w:val="nil"/>
              <w:right w:val="nil"/>
            </w:tcBorders>
            <w:shd w:val="clear" w:color="FFFFFF" w:fill="FFFFFF"/>
            <w:noWrap/>
            <w:vAlign w:val="bottom"/>
            <w:hideMark/>
          </w:tcPr>
          <w:p w14:paraId="0410EE0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888683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21,037</w:t>
            </w:r>
          </w:p>
        </w:tc>
        <w:tc>
          <w:tcPr>
            <w:tcW w:w="236" w:type="dxa"/>
            <w:tcBorders>
              <w:top w:val="nil"/>
              <w:left w:val="nil"/>
              <w:bottom w:val="nil"/>
              <w:right w:val="nil"/>
            </w:tcBorders>
            <w:shd w:val="clear" w:color="FFFFFF" w:fill="FFFFFF"/>
            <w:noWrap/>
            <w:vAlign w:val="bottom"/>
            <w:hideMark/>
          </w:tcPr>
          <w:p w14:paraId="4413245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D65D8B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91,776</w:t>
            </w:r>
          </w:p>
        </w:tc>
      </w:tr>
      <w:tr w:rsidR="0082424C" w:rsidRPr="007A3600" w14:paraId="6C5782B2" w14:textId="77777777">
        <w:trPr>
          <w:trHeight w:val="227"/>
        </w:trPr>
        <w:tc>
          <w:tcPr>
            <w:tcW w:w="4241" w:type="dxa"/>
            <w:tcBorders>
              <w:top w:val="nil"/>
              <w:left w:val="nil"/>
              <w:bottom w:val="nil"/>
              <w:right w:val="nil"/>
            </w:tcBorders>
            <w:shd w:val="clear" w:color="FFFFFF" w:fill="FFFFFF"/>
            <w:vAlign w:val="bottom"/>
            <w:hideMark/>
          </w:tcPr>
          <w:p w14:paraId="624A85B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payables</w:t>
            </w:r>
          </w:p>
        </w:tc>
        <w:tc>
          <w:tcPr>
            <w:tcW w:w="1242" w:type="dxa"/>
            <w:tcBorders>
              <w:top w:val="nil"/>
              <w:left w:val="nil"/>
              <w:bottom w:val="nil"/>
              <w:right w:val="nil"/>
            </w:tcBorders>
            <w:shd w:val="clear" w:color="FFFFFF" w:fill="FFFFFF"/>
            <w:noWrap/>
            <w:vAlign w:val="bottom"/>
            <w:hideMark/>
          </w:tcPr>
          <w:p w14:paraId="5FF8341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FF421B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1,315,524</w:t>
            </w:r>
          </w:p>
        </w:tc>
        <w:tc>
          <w:tcPr>
            <w:tcW w:w="236" w:type="dxa"/>
            <w:tcBorders>
              <w:top w:val="nil"/>
              <w:left w:val="nil"/>
              <w:bottom w:val="nil"/>
              <w:right w:val="nil"/>
            </w:tcBorders>
            <w:shd w:val="clear" w:color="FFFFFF" w:fill="FFFFFF"/>
            <w:noWrap/>
            <w:vAlign w:val="bottom"/>
            <w:hideMark/>
          </w:tcPr>
          <w:p w14:paraId="63BD3F0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E2773B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935,556</w:t>
            </w:r>
          </w:p>
        </w:tc>
        <w:tc>
          <w:tcPr>
            <w:tcW w:w="236" w:type="dxa"/>
            <w:tcBorders>
              <w:top w:val="nil"/>
              <w:left w:val="nil"/>
              <w:bottom w:val="nil"/>
              <w:right w:val="nil"/>
            </w:tcBorders>
            <w:shd w:val="clear" w:color="FFFFFF" w:fill="FFFFFF"/>
            <w:noWrap/>
            <w:vAlign w:val="bottom"/>
            <w:hideMark/>
          </w:tcPr>
          <w:p w14:paraId="7A8FFA1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07A3BD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286,909</w:t>
            </w:r>
          </w:p>
        </w:tc>
      </w:tr>
      <w:tr w:rsidR="0082424C" w:rsidRPr="007A3600" w14:paraId="692A703F" w14:textId="77777777">
        <w:trPr>
          <w:trHeight w:val="227"/>
        </w:trPr>
        <w:tc>
          <w:tcPr>
            <w:tcW w:w="4241" w:type="dxa"/>
            <w:tcBorders>
              <w:top w:val="nil"/>
              <w:left w:val="nil"/>
              <w:bottom w:val="nil"/>
              <w:right w:val="nil"/>
            </w:tcBorders>
            <w:shd w:val="clear" w:color="FFFFFF" w:fill="FFFFFF"/>
            <w:noWrap/>
            <w:vAlign w:val="bottom"/>
            <w:hideMark/>
          </w:tcPr>
          <w:p w14:paraId="743DD8B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03AF684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B41360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FC18AA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EF0C47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5ADF1F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D29017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91F732F" w14:textId="77777777">
        <w:trPr>
          <w:trHeight w:val="227"/>
        </w:trPr>
        <w:tc>
          <w:tcPr>
            <w:tcW w:w="4241" w:type="dxa"/>
            <w:tcBorders>
              <w:top w:val="nil"/>
              <w:left w:val="nil"/>
              <w:bottom w:val="nil"/>
              <w:right w:val="nil"/>
            </w:tcBorders>
            <w:shd w:val="clear" w:color="FFFFFF" w:fill="FFFFFF"/>
            <w:vAlign w:val="bottom"/>
            <w:hideMark/>
          </w:tcPr>
          <w:p w14:paraId="1C21134E"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Interest bearing liabilities</w:t>
            </w:r>
          </w:p>
        </w:tc>
        <w:tc>
          <w:tcPr>
            <w:tcW w:w="1242" w:type="dxa"/>
            <w:tcBorders>
              <w:top w:val="nil"/>
              <w:left w:val="nil"/>
              <w:bottom w:val="nil"/>
              <w:right w:val="nil"/>
            </w:tcBorders>
            <w:shd w:val="clear" w:color="FFFFFF" w:fill="FFFFFF"/>
            <w:noWrap/>
            <w:vAlign w:val="bottom"/>
            <w:hideMark/>
          </w:tcPr>
          <w:p w14:paraId="3BEE58D3"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1D2670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FC833B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E75C79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776648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3FAD73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48A68B8" w14:textId="77777777">
        <w:trPr>
          <w:trHeight w:val="227"/>
        </w:trPr>
        <w:tc>
          <w:tcPr>
            <w:tcW w:w="4241" w:type="dxa"/>
            <w:tcBorders>
              <w:top w:val="nil"/>
              <w:left w:val="nil"/>
              <w:bottom w:val="nil"/>
              <w:right w:val="nil"/>
            </w:tcBorders>
            <w:shd w:val="clear" w:color="FFFFFF" w:fill="FFFFFF"/>
            <w:vAlign w:val="bottom"/>
            <w:hideMark/>
          </w:tcPr>
          <w:p w14:paraId="3692A4DF"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Leases</w:t>
            </w:r>
          </w:p>
        </w:tc>
        <w:tc>
          <w:tcPr>
            <w:tcW w:w="1242" w:type="dxa"/>
            <w:tcBorders>
              <w:top w:val="nil"/>
              <w:left w:val="nil"/>
              <w:bottom w:val="nil"/>
              <w:right w:val="nil"/>
            </w:tcBorders>
            <w:shd w:val="clear" w:color="FFFFFF" w:fill="FFFFFF"/>
            <w:noWrap/>
            <w:vAlign w:val="bottom"/>
            <w:hideMark/>
          </w:tcPr>
          <w:p w14:paraId="32CBCDD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2.5</w:t>
            </w:r>
          </w:p>
        </w:tc>
        <w:tc>
          <w:tcPr>
            <w:tcW w:w="1044" w:type="dxa"/>
            <w:tcBorders>
              <w:top w:val="nil"/>
              <w:left w:val="nil"/>
              <w:bottom w:val="nil"/>
              <w:right w:val="nil"/>
            </w:tcBorders>
            <w:shd w:val="clear" w:color="FFFFFF" w:fill="FFFFFF"/>
            <w:noWrap/>
            <w:vAlign w:val="bottom"/>
            <w:hideMark/>
          </w:tcPr>
          <w:p w14:paraId="4FA467E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150,578</w:t>
            </w:r>
          </w:p>
        </w:tc>
        <w:tc>
          <w:tcPr>
            <w:tcW w:w="236" w:type="dxa"/>
            <w:tcBorders>
              <w:top w:val="nil"/>
              <w:left w:val="nil"/>
              <w:bottom w:val="nil"/>
              <w:right w:val="nil"/>
            </w:tcBorders>
            <w:shd w:val="clear" w:color="FFFFFF" w:fill="FFFFFF"/>
            <w:noWrap/>
            <w:vAlign w:val="bottom"/>
            <w:hideMark/>
          </w:tcPr>
          <w:p w14:paraId="7131F41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46EBA0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166,659</w:t>
            </w:r>
          </w:p>
        </w:tc>
        <w:tc>
          <w:tcPr>
            <w:tcW w:w="236" w:type="dxa"/>
            <w:tcBorders>
              <w:top w:val="nil"/>
              <w:left w:val="nil"/>
              <w:bottom w:val="nil"/>
              <w:right w:val="nil"/>
            </w:tcBorders>
            <w:shd w:val="clear" w:color="FFFFFF" w:fill="FFFFFF"/>
            <w:noWrap/>
            <w:vAlign w:val="bottom"/>
            <w:hideMark/>
          </w:tcPr>
          <w:p w14:paraId="46E4638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2CA437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161,391</w:t>
            </w:r>
          </w:p>
        </w:tc>
      </w:tr>
      <w:tr w:rsidR="0082424C" w:rsidRPr="007A3600" w14:paraId="66CDB64D" w14:textId="77777777">
        <w:trPr>
          <w:trHeight w:val="227"/>
        </w:trPr>
        <w:tc>
          <w:tcPr>
            <w:tcW w:w="4241" w:type="dxa"/>
            <w:tcBorders>
              <w:top w:val="nil"/>
              <w:left w:val="nil"/>
              <w:bottom w:val="nil"/>
              <w:right w:val="nil"/>
            </w:tcBorders>
            <w:shd w:val="clear" w:color="FFFFFF" w:fill="FFFFFF"/>
            <w:vAlign w:val="bottom"/>
            <w:hideMark/>
          </w:tcPr>
          <w:p w14:paraId="2CE041CC"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interest bearing liabilities</w:t>
            </w:r>
          </w:p>
        </w:tc>
        <w:tc>
          <w:tcPr>
            <w:tcW w:w="1242" w:type="dxa"/>
            <w:tcBorders>
              <w:top w:val="nil"/>
              <w:left w:val="nil"/>
              <w:bottom w:val="nil"/>
              <w:right w:val="nil"/>
            </w:tcBorders>
            <w:shd w:val="clear" w:color="FFFFFF" w:fill="FFFFFF"/>
            <w:noWrap/>
            <w:vAlign w:val="bottom"/>
            <w:hideMark/>
          </w:tcPr>
          <w:p w14:paraId="3248F89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476802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150,578</w:t>
            </w:r>
          </w:p>
        </w:tc>
        <w:tc>
          <w:tcPr>
            <w:tcW w:w="236" w:type="dxa"/>
            <w:tcBorders>
              <w:top w:val="nil"/>
              <w:left w:val="nil"/>
              <w:bottom w:val="nil"/>
              <w:right w:val="nil"/>
            </w:tcBorders>
            <w:shd w:val="clear" w:color="FFFFFF" w:fill="FFFFFF"/>
            <w:noWrap/>
            <w:vAlign w:val="bottom"/>
            <w:hideMark/>
          </w:tcPr>
          <w:p w14:paraId="411ECE8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5E4F42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166,659</w:t>
            </w:r>
          </w:p>
        </w:tc>
        <w:tc>
          <w:tcPr>
            <w:tcW w:w="236" w:type="dxa"/>
            <w:tcBorders>
              <w:top w:val="nil"/>
              <w:left w:val="nil"/>
              <w:bottom w:val="nil"/>
              <w:right w:val="nil"/>
            </w:tcBorders>
            <w:shd w:val="clear" w:color="FFFFFF" w:fill="FFFFFF"/>
            <w:noWrap/>
            <w:vAlign w:val="bottom"/>
            <w:hideMark/>
          </w:tcPr>
          <w:p w14:paraId="4B76FBA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2EA0B85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161,391</w:t>
            </w:r>
          </w:p>
        </w:tc>
      </w:tr>
      <w:tr w:rsidR="0082424C" w:rsidRPr="007A3600" w14:paraId="398B4487" w14:textId="77777777">
        <w:trPr>
          <w:trHeight w:val="227"/>
        </w:trPr>
        <w:tc>
          <w:tcPr>
            <w:tcW w:w="4241" w:type="dxa"/>
            <w:tcBorders>
              <w:top w:val="nil"/>
              <w:left w:val="nil"/>
              <w:bottom w:val="nil"/>
              <w:right w:val="nil"/>
            </w:tcBorders>
            <w:shd w:val="clear" w:color="FFFFFF" w:fill="FFFFFF"/>
            <w:noWrap/>
            <w:vAlign w:val="bottom"/>
            <w:hideMark/>
          </w:tcPr>
          <w:p w14:paraId="7CD7A51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77E5BD5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39CDBC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3A7B41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3B5821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54BB59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48265E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9AFDA66" w14:textId="77777777">
        <w:trPr>
          <w:trHeight w:val="227"/>
        </w:trPr>
        <w:tc>
          <w:tcPr>
            <w:tcW w:w="4241" w:type="dxa"/>
            <w:tcBorders>
              <w:top w:val="nil"/>
              <w:left w:val="nil"/>
              <w:bottom w:val="nil"/>
              <w:right w:val="nil"/>
            </w:tcBorders>
            <w:shd w:val="clear" w:color="FFFFFF" w:fill="FFFFFF"/>
            <w:vAlign w:val="bottom"/>
            <w:hideMark/>
          </w:tcPr>
          <w:p w14:paraId="2ED0B61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Unearned revenue</w:t>
            </w:r>
          </w:p>
        </w:tc>
        <w:tc>
          <w:tcPr>
            <w:tcW w:w="1242" w:type="dxa"/>
            <w:tcBorders>
              <w:top w:val="nil"/>
              <w:left w:val="nil"/>
              <w:bottom w:val="nil"/>
              <w:right w:val="nil"/>
            </w:tcBorders>
            <w:shd w:val="clear" w:color="FFFFFF" w:fill="FFFFFF"/>
            <w:noWrap/>
            <w:vAlign w:val="bottom"/>
            <w:hideMark/>
          </w:tcPr>
          <w:p w14:paraId="17E5D83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7A54DC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BA5151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728139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7844CB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97FDF8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7789880" w14:textId="77777777">
        <w:trPr>
          <w:trHeight w:val="227"/>
        </w:trPr>
        <w:tc>
          <w:tcPr>
            <w:tcW w:w="4241" w:type="dxa"/>
            <w:tcBorders>
              <w:top w:val="nil"/>
              <w:left w:val="nil"/>
              <w:bottom w:val="nil"/>
              <w:right w:val="nil"/>
            </w:tcBorders>
            <w:shd w:val="clear" w:color="FFFFFF" w:fill="FFFFFF"/>
            <w:vAlign w:val="bottom"/>
            <w:hideMark/>
          </w:tcPr>
          <w:p w14:paraId="5A5A3B0B"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Unearned revenue</w:t>
            </w:r>
          </w:p>
        </w:tc>
        <w:tc>
          <w:tcPr>
            <w:tcW w:w="1242" w:type="dxa"/>
            <w:tcBorders>
              <w:top w:val="nil"/>
              <w:left w:val="nil"/>
              <w:bottom w:val="nil"/>
              <w:right w:val="nil"/>
            </w:tcBorders>
            <w:shd w:val="clear" w:color="FFFFFF" w:fill="FFFFFF"/>
            <w:noWrap/>
            <w:vAlign w:val="bottom"/>
            <w:hideMark/>
          </w:tcPr>
          <w:p w14:paraId="5297F37B"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2.4</w:t>
            </w:r>
          </w:p>
        </w:tc>
        <w:tc>
          <w:tcPr>
            <w:tcW w:w="1044" w:type="dxa"/>
            <w:tcBorders>
              <w:top w:val="nil"/>
              <w:left w:val="nil"/>
              <w:bottom w:val="nil"/>
              <w:right w:val="nil"/>
            </w:tcBorders>
            <w:shd w:val="clear" w:color="FFFFFF" w:fill="FFFFFF"/>
            <w:noWrap/>
            <w:vAlign w:val="bottom"/>
            <w:hideMark/>
          </w:tcPr>
          <w:p w14:paraId="2A64916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454,784</w:t>
            </w:r>
          </w:p>
        </w:tc>
        <w:tc>
          <w:tcPr>
            <w:tcW w:w="236" w:type="dxa"/>
            <w:tcBorders>
              <w:top w:val="nil"/>
              <w:left w:val="nil"/>
              <w:bottom w:val="nil"/>
              <w:right w:val="nil"/>
            </w:tcBorders>
            <w:shd w:val="clear" w:color="FFFFFF" w:fill="FFFFFF"/>
            <w:noWrap/>
            <w:vAlign w:val="bottom"/>
            <w:hideMark/>
          </w:tcPr>
          <w:p w14:paraId="6F2AB61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499825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413,969</w:t>
            </w:r>
          </w:p>
        </w:tc>
        <w:tc>
          <w:tcPr>
            <w:tcW w:w="236" w:type="dxa"/>
            <w:tcBorders>
              <w:top w:val="nil"/>
              <w:left w:val="nil"/>
              <w:bottom w:val="nil"/>
              <w:right w:val="nil"/>
            </w:tcBorders>
            <w:shd w:val="clear" w:color="FFFFFF" w:fill="FFFFFF"/>
            <w:noWrap/>
            <w:vAlign w:val="bottom"/>
            <w:hideMark/>
          </w:tcPr>
          <w:p w14:paraId="202A8E7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BA72D1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37B78D07" w14:textId="77777777">
        <w:trPr>
          <w:trHeight w:val="227"/>
        </w:trPr>
        <w:tc>
          <w:tcPr>
            <w:tcW w:w="4241" w:type="dxa"/>
            <w:tcBorders>
              <w:top w:val="nil"/>
              <w:left w:val="nil"/>
              <w:bottom w:val="nil"/>
              <w:right w:val="nil"/>
            </w:tcBorders>
            <w:shd w:val="clear" w:color="FFFFFF" w:fill="FFFFFF"/>
            <w:vAlign w:val="bottom"/>
            <w:hideMark/>
          </w:tcPr>
          <w:p w14:paraId="687F5099"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unearned revenue</w:t>
            </w:r>
          </w:p>
        </w:tc>
        <w:tc>
          <w:tcPr>
            <w:tcW w:w="1242" w:type="dxa"/>
            <w:tcBorders>
              <w:top w:val="nil"/>
              <w:left w:val="nil"/>
              <w:bottom w:val="nil"/>
              <w:right w:val="nil"/>
            </w:tcBorders>
            <w:shd w:val="clear" w:color="FFFFFF" w:fill="FFFFFF"/>
            <w:noWrap/>
            <w:vAlign w:val="bottom"/>
            <w:hideMark/>
          </w:tcPr>
          <w:p w14:paraId="7743DF3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1D70E7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454,784</w:t>
            </w:r>
          </w:p>
        </w:tc>
        <w:tc>
          <w:tcPr>
            <w:tcW w:w="236" w:type="dxa"/>
            <w:tcBorders>
              <w:top w:val="nil"/>
              <w:left w:val="nil"/>
              <w:bottom w:val="nil"/>
              <w:right w:val="nil"/>
            </w:tcBorders>
            <w:shd w:val="clear" w:color="FFFFFF" w:fill="FFFFFF"/>
            <w:noWrap/>
            <w:vAlign w:val="bottom"/>
            <w:hideMark/>
          </w:tcPr>
          <w:p w14:paraId="3252717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FD7258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413,969</w:t>
            </w:r>
          </w:p>
        </w:tc>
        <w:tc>
          <w:tcPr>
            <w:tcW w:w="236" w:type="dxa"/>
            <w:tcBorders>
              <w:top w:val="nil"/>
              <w:left w:val="nil"/>
              <w:bottom w:val="nil"/>
              <w:right w:val="nil"/>
            </w:tcBorders>
            <w:shd w:val="clear" w:color="FFFFFF" w:fill="FFFFFF"/>
            <w:noWrap/>
            <w:vAlign w:val="bottom"/>
            <w:hideMark/>
          </w:tcPr>
          <w:p w14:paraId="1BC80B0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45BFAF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55843207" w14:textId="77777777">
        <w:trPr>
          <w:trHeight w:val="227"/>
        </w:trPr>
        <w:tc>
          <w:tcPr>
            <w:tcW w:w="4241" w:type="dxa"/>
            <w:tcBorders>
              <w:top w:val="nil"/>
              <w:left w:val="nil"/>
              <w:bottom w:val="nil"/>
              <w:right w:val="nil"/>
            </w:tcBorders>
            <w:shd w:val="clear" w:color="FFFFFF" w:fill="FFFFFF"/>
            <w:vAlign w:val="bottom"/>
            <w:hideMark/>
          </w:tcPr>
          <w:p w14:paraId="17AA215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74CD80E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AD74BFB"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08A8DD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E711B2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42C303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E41988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675EF80" w14:textId="77777777">
        <w:trPr>
          <w:trHeight w:val="227"/>
        </w:trPr>
        <w:tc>
          <w:tcPr>
            <w:tcW w:w="4241" w:type="dxa"/>
            <w:tcBorders>
              <w:top w:val="nil"/>
              <w:left w:val="nil"/>
              <w:bottom w:val="nil"/>
              <w:right w:val="nil"/>
            </w:tcBorders>
            <w:shd w:val="clear" w:color="FFFFFF" w:fill="FFFFFF"/>
            <w:vAlign w:val="bottom"/>
            <w:hideMark/>
          </w:tcPr>
          <w:p w14:paraId="4B8013FA"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Provisions</w:t>
            </w:r>
          </w:p>
        </w:tc>
        <w:tc>
          <w:tcPr>
            <w:tcW w:w="1242" w:type="dxa"/>
            <w:tcBorders>
              <w:top w:val="nil"/>
              <w:left w:val="nil"/>
              <w:bottom w:val="nil"/>
              <w:right w:val="nil"/>
            </w:tcBorders>
            <w:shd w:val="clear" w:color="FFFFFF" w:fill="FFFFFF"/>
            <w:noWrap/>
            <w:vAlign w:val="bottom"/>
            <w:hideMark/>
          </w:tcPr>
          <w:p w14:paraId="0B8B4B12"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CB9E9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38F274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5E17E6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6BBA33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772496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0E376FE" w14:textId="77777777">
        <w:trPr>
          <w:trHeight w:val="227"/>
        </w:trPr>
        <w:tc>
          <w:tcPr>
            <w:tcW w:w="4241" w:type="dxa"/>
            <w:tcBorders>
              <w:top w:val="nil"/>
              <w:left w:val="nil"/>
              <w:bottom w:val="nil"/>
              <w:right w:val="nil"/>
            </w:tcBorders>
            <w:shd w:val="clear" w:color="FFFFFF" w:fill="FFFFFF"/>
            <w:vAlign w:val="bottom"/>
            <w:hideMark/>
          </w:tcPr>
          <w:p w14:paraId="7571AC22"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Employee leave provisions</w:t>
            </w:r>
          </w:p>
        </w:tc>
        <w:tc>
          <w:tcPr>
            <w:tcW w:w="1242" w:type="dxa"/>
            <w:tcBorders>
              <w:top w:val="nil"/>
              <w:left w:val="nil"/>
              <w:bottom w:val="nil"/>
              <w:right w:val="nil"/>
            </w:tcBorders>
            <w:shd w:val="clear" w:color="FFFFFF" w:fill="FFFFFF"/>
            <w:noWrap/>
            <w:vAlign w:val="bottom"/>
            <w:hideMark/>
          </w:tcPr>
          <w:p w14:paraId="24E57BC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C9681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194,271</w:t>
            </w:r>
          </w:p>
        </w:tc>
        <w:tc>
          <w:tcPr>
            <w:tcW w:w="236" w:type="dxa"/>
            <w:tcBorders>
              <w:top w:val="nil"/>
              <w:left w:val="nil"/>
              <w:bottom w:val="nil"/>
              <w:right w:val="nil"/>
            </w:tcBorders>
            <w:shd w:val="clear" w:color="FFFFFF" w:fill="FFFFFF"/>
            <w:noWrap/>
            <w:vAlign w:val="bottom"/>
            <w:hideMark/>
          </w:tcPr>
          <w:p w14:paraId="53AA1C8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0165F4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150,777</w:t>
            </w:r>
          </w:p>
        </w:tc>
        <w:tc>
          <w:tcPr>
            <w:tcW w:w="236" w:type="dxa"/>
            <w:tcBorders>
              <w:top w:val="nil"/>
              <w:left w:val="nil"/>
              <w:bottom w:val="nil"/>
              <w:right w:val="nil"/>
            </w:tcBorders>
            <w:shd w:val="clear" w:color="FFFFFF" w:fill="FFFFFF"/>
            <w:noWrap/>
            <w:vAlign w:val="bottom"/>
            <w:hideMark/>
          </w:tcPr>
          <w:p w14:paraId="3551417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94A427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106,178</w:t>
            </w:r>
          </w:p>
        </w:tc>
      </w:tr>
      <w:tr w:rsidR="0082424C" w:rsidRPr="007A3600" w14:paraId="2E210189" w14:textId="77777777">
        <w:trPr>
          <w:trHeight w:val="227"/>
        </w:trPr>
        <w:tc>
          <w:tcPr>
            <w:tcW w:w="4241" w:type="dxa"/>
            <w:tcBorders>
              <w:top w:val="nil"/>
              <w:left w:val="nil"/>
              <w:bottom w:val="nil"/>
              <w:right w:val="nil"/>
            </w:tcBorders>
            <w:shd w:val="clear" w:color="FFFFFF" w:fill="FFFFFF"/>
            <w:vAlign w:val="bottom"/>
            <w:hideMark/>
          </w:tcPr>
          <w:p w14:paraId="31589982"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plan provisions</w:t>
            </w:r>
          </w:p>
        </w:tc>
        <w:tc>
          <w:tcPr>
            <w:tcW w:w="1242" w:type="dxa"/>
            <w:tcBorders>
              <w:top w:val="nil"/>
              <w:left w:val="nil"/>
              <w:bottom w:val="nil"/>
              <w:right w:val="nil"/>
            </w:tcBorders>
            <w:shd w:val="clear" w:color="FFFFFF" w:fill="FFFFFF"/>
            <w:noWrap/>
            <w:vAlign w:val="bottom"/>
            <w:hideMark/>
          </w:tcPr>
          <w:p w14:paraId="2F05E2A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2.6</w:t>
            </w:r>
          </w:p>
        </w:tc>
        <w:tc>
          <w:tcPr>
            <w:tcW w:w="1044" w:type="dxa"/>
            <w:tcBorders>
              <w:top w:val="nil"/>
              <w:left w:val="nil"/>
              <w:bottom w:val="nil"/>
              <w:right w:val="nil"/>
            </w:tcBorders>
            <w:shd w:val="clear" w:color="FFFFFF" w:fill="FFFFFF"/>
            <w:noWrap/>
            <w:vAlign w:val="bottom"/>
            <w:hideMark/>
          </w:tcPr>
          <w:p w14:paraId="0FD4D828"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2,073,388</w:t>
            </w:r>
          </w:p>
        </w:tc>
        <w:tc>
          <w:tcPr>
            <w:tcW w:w="236" w:type="dxa"/>
            <w:tcBorders>
              <w:top w:val="nil"/>
              <w:left w:val="nil"/>
              <w:bottom w:val="nil"/>
              <w:right w:val="nil"/>
            </w:tcBorders>
            <w:shd w:val="clear" w:color="FFFFFF" w:fill="FFFFFF"/>
            <w:noWrap/>
            <w:vAlign w:val="bottom"/>
            <w:hideMark/>
          </w:tcPr>
          <w:p w14:paraId="73752A3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0E0901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2,066,153</w:t>
            </w:r>
          </w:p>
        </w:tc>
        <w:tc>
          <w:tcPr>
            <w:tcW w:w="236" w:type="dxa"/>
            <w:tcBorders>
              <w:top w:val="nil"/>
              <w:left w:val="nil"/>
              <w:bottom w:val="nil"/>
              <w:right w:val="nil"/>
            </w:tcBorders>
            <w:shd w:val="clear" w:color="FFFFFF" w:fill="FFFFFF"/>
            <w:noWrap/>
            <w:vAlign w:val="bottom"/>
            <w:hideMark/>
          </w:tcPr>
          <w:p w14:paraId="72040B4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031B60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2,914,066</w:t>
            </w:r>
          </w:p>
        </w:tc>
      </w:tr>
      <w:tr w:rsidR="0082424C" w:rsidRPr="007A3600" w14:paraId="12CBF99D" w14:textId="77777777">
        <w:trPr>
          <w:trHeight w:val="227"/>
        </w:trPr>
        <w:tc>
          <w:tcPr>
            <w:tcW w:w="4241" w:type="dxa"/>
            <w:tcBorders>
              <w:top w:val="nil"/>
              <w:left w:val="nil"/>
              <w:bottom w:val="nil"/>
              <w:right w:val="nil"/>
            </w:tcBorders>
            <w:shd w:val="clear" w:color="FFFFFF" w:fill="FFFFFF"/>
            <w:vAlign w:val="bottom"/>
            <w:hideMark/>
          </w:tcPr>
          <w:p w14:paraId="4344BA3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Provision for restoration obligations</w:t>
            </w:r>
          </w:p>
        </w:tc>
        <w:tc>
          <w:tcPr>
            <w:tcW w:w="1242" w:type="dxa"/>
            <w:tcBorders>
              <w:top w:val="nil"/>
              <w:left w:val="nil"/>
              <w:bottom w:val="nil"/>
              <w:right w:val="nil"/>
            </w:tcBorders>
            <w:shd w:val="clear" w:color="FFFFFF" w:fill="FFFFFF"/>
            <w:noWrap/>
            <w:vAlign w:val="bottom"/>
            <w:hideMark/>
          </w:tcPr>
          <w:p w14:paraId="3EA79FF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2.6</w:t>
            </w:r>
          </w:p>
        </w:tc>
        <w:tc>
          <w:tcPr>
            <w:tcW w:w="1044" w:type="dxa"/>
            <w:tcBorders>
              <w:top w:val="nil"/>
              <w:left w:val="nil"/>
              <w:bottom w:val="nil"/>
              <w:right w:val="nil"/>
            </w:tcBorders>
            <w:shd w:val="clear" w:color="FFFFFF" w:fill="FFFFFF"/>
            <w:noWrap/>
            <w:vAlign w:val="bottom"/>
            <w:hideMark/>
          </w:tcPr>
          <w:p w14:paraId="3FB0F9C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7,184</w:t>
            </w:r>
          </w:p>
        </w:tc>
        <w:tc>
          <w:tcPr>
            <w:tcW w:w="236" w:type="dxa"/>
            <w:tcBorders>
              <w:top w:val="nil"/>
              <w:left w:val="nil"/>
              <w:bottom w:val="nil"/>
              <w:right w:val="nil"/>
            </w:tcBorders>
            <w:shd w:val="clear" w:color="FFFFFF" w:fill="FFFFFF"/>
            <w:noWrap/>
            <w:vAlign w:val="bottom"/>
            <w:hideMark/>
          </w:tcPr>
          <w:p w14:paraId="036C58B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E930D4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7,467</w:t>
            </w:r>
          </w:p>
        </w:tc>
        <w:tc>
          <w:tcPr>
            <w:tcW w:w="236" w:type="dxa"/>
            <w:tcBorders>
              <w:top w:val="nil"/>
              <w:left w:val="nil"/>
              <w:bottom w:val="nil"/>
              <w:right w:val="nil"/>
            </w:tcBorders>
            <w:shd w:val="clear" w:color="FFFFFF" w:fill="FFFFFF"/>
            <w:noWrap/>
            <w:vAlign w:val="bottom"/>
            <w:hideMark/>
          </w:tcPr>
          <w:p w14:paraId="1A718FF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1AC1C7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5,936</w:t>
            </w:r>
          </w:p>
        </w:tc>
      </w:tr>
      <w:tr w:rsidR="0082424C" w:rsidRPr="007A3600" w14:paraId="1BB18C73" w14:textId="77777777">
        <w:trPr>
          <w:trHeight w:val="227"/>
        </w:trPr>
        <w:tc>
          <w:tcPr>
            <w:tcW w:w="4241" w:type="dxa"/>
            <w:tcBorders>
              <w:top w:val="nil"/>
              <w:left w:val="nil"/>
              <w:bottom w:val="nil"/>
              <w:right w:val="nil"/>
            </w:tcBorders>
            <w:shd w:val="clear" w:color="FFFFFF" w:fill="FFFFFF"/>
            <w:vAlign w:val="bottom"/>
            <w:hideMark/>
          </w:tcPr>
          <w:p w14:paraId="3633B85A"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Provision for historical Scheme debt</w:t>
            </w:r>
          </w:p>
        </w:tc>
        <w:tc>
          <w:tcPr>
            <w:tcW w:w="1242" w:type="dxa"/>
            <w:tcBorders>
              <w:top w:val="nil"/>
              <w:left w:val="nil"/>
              <w:bottom w:val="nil"/>
              <w:right w:val="nil"/>
            </w:tcBorders>
            <w:shd w:val="clear" w:color="FFFFFF" w:fill="FFFFFF"/>
            <w:noWrap/>
            <w:vAlign w:val="bottom"/>
            <w:hideMark/>
          </w:tcPr>
          <w:p w14:paraId="7934370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2.6</w:t>
            </w:r>
          </w:p>
        </w:tc>
        <w:tc>
          <w:tcPr>
            <w:tcW w:w="1044" w:type="dxa"/>
            <w:tcBorders>
              <w:top w:val="nil"/>
              <w:left w:val="nil"/>
              <w:bottom w:val="nil"/>
              <w:right w:val="nil"/>
            </w:tcBorders>
            <w:shd w:val="clear" w:color="FFFFFF" w:fill="FFFFFF"/>
            <w:noWrap/>
            <w:vAlign w:val="bottom"/>
            <w:hideMark/>
          </w:tcPr>
          <w:p w14:paraId="632EE0D3"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6,295</w:t>
            </w:r>
          </w:p>
        </w:tc>
        <w:tc>
          <w:tcPr>
            <w:tcW w:w="236" w:type="dxa"/>
            <w:tcBorders>
              <w:top w:val="nil"/>
              <w:left w:val="nil"/>
              <w:bottom w:val="nil"/>
              <w:right w:val="nil"/>
            </w:tcBorders>
            <w:shd w:val="clear" w:color="FFFFFF" w:fill="FFFFFF"/>
            <w:noWrap/>
            <w:vAlign w:val="bottom"/>
            <w:hideMark/>
          </w:tcPr>
          <w:p w14:paraId="1873F92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42A730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9,088</w:t>
            </w:r>
          </w:p>
        </w:tc>
        <w:tc>
          <w:tcPr>
            <w:tcW w:w="236" w:type="dxa"/>
            <w:tcBorders>
              <w:top w:val="nil"/>
              <w:left w:val="nil"/>
              <w:bottom w:val="nil"/>
              <w:right w:val="nil"/>
            </w:tcBorders>
            <w:shd w:val="clear" w:color="FFFFFF" w:fill="FFFFFF"/>
            <w:noWrap/>
            <w:vAlign w:val="bottom"/>
            <w:hideMark/>
          </w:tcPr>
          <w:p w14:paraId="5B8CE62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7657E7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25E6A5AB" w14:textId="77777777">
        <w:trPr>
          <w:trHeight w:val="227"/>
        </w:trPr>
        <w:tc>
          <w:tcPr>
            <w:tcW w:w="4241" w:type="dxa"/>
            <w:tcBorders>
              <w:top w:val="nil"/>
              <w:left w:val="nil"/>
              <w:bottom w:val="nil"/>
              <w:right w:val="nil"/>
            </w:tcBorders>
            <w:shd w:val="clear" w:color="FFFFFF" w:fill="FFFFFF"/>
            <w:vAlign w:val="bottom"/>
            <w:hideMark/>
          </w:tcPr>
          <w:p w14:paraId="0565DCDD"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provisions</w:t>
            </w:r>
          </w:p>
        </w:tc>
        <w:tc>
          <w:tcPr>
            <w:tcW w:w="1242" w:type="dxa"/>
            <w:tcBorders>
              <w:top w:val="nil"/>
              <w:left w:val="nil"/>
              <w:bottom w:val="nil"/>
              <w:right w:val="nil"/>
            </w:tcBorders>
            <w:shd w:val="clear" w:color="FFFFFF" w:fill="FFFFFF"/>
            <w:noWrap/>
            <w:vAlign w:val="bottom"/>
            <w:hideMark/>
          </w:tcPr>
          <w:p w14:paraId="2FD6CFE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EF25437"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2,281,138</w:t>
            </w:r>
          </w:p>
        </w:tc>
        <w:tc>
          <w:tcPr>
            <w:tcW w:w="236" w:type="dxa"/>
            <w:tcBorders>
              <w:top w:val="nil"/>
              <w:left w:val="nil"/>
              <w:bottom w:val="nil"/>
              <w:right w:val="nil"/>
            </w:tcBorders>
            <w:shd w:val="clear" w:color="FFFFFF" w:fill="FFFFFF"/>
            <w:noWrap/>
            <w:vAlign w:val="bottom"/>
            <w:hideMark/>
          </w:tcPr>
          <w:p w14:paraId="11959B8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37C197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2,233,485</w:t>
            </w:r>
          </w:p>
        </w:tc>
        <w:tc>
          <w:tcPr>
            <w:tcW w:w="236" w:type="dxa"/>
            <w:tcBorders>
              <w:top w:val="nil"/>
              <w:left w:val="nil"/>
              <w:bottom w:val="nil"/>
              <w:right w:val="nil"/>
            </w:tcBorders>
            <w:shd w:val="clear" w:color="FFFFFF" w:fill="FFFFFF"/>
            <w:noWrap/>
            <w:vAlign w:val="bottom"/>
            <w:hideMark/>
          </w:tcPr>
          <w:p w14:paraId="3AEA473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8BA15E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3,026,180</w:t>
            </w:r>
          </w:p>
        </w:tc>
      </w:tr>
      <w:tr w:rsidR="0082424C" w:rsidRPr="007A3600" w14:paraId="09E110C1" w14:textId="77777777">
        <w:trPr>
          <w:trHeight w:val="227"/>
        </w:trPr>
        <w:tc>
          <w:tcPr>
            <w:tcW w:w="4241" w:type="dxa"/>
            <w:tcBorders>
              <w:top w:val="nil"/>
              <w:left w:val="nil"/>
              <w:bottom w:val="nil"/>
              <w:right w:val="nil"/>
            </w:tcBorders>
            <w:shd w:val="clear" w:color="FFFFFF" w:fill="FFFFFF"/>
            <w:vAlign w:val="bottom"/>
            <w:hideMark/>
          </w:tcPr>
          <w:p w14:paraId="1C6E62C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51D0DF23"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50D0FF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71295C4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AC6E85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BCB261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B81492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BF34BE9" w14:textId="77777777">
        <w:trPr>
          <w:trHeight w:val="227"/>
        </w:trPr>
        <w:tc>
          <w:tcPr>
            <w:tcW w:w="4241" w:type="dxa"/>
            <w:tcBorders>
              <w:top w:val="nil"/>
              <w:left w:val="nil"/>
              <w:bottom w:val="nil"/>
              <w:right w:val="nil"/>
            </w:tcBorders>
            <w:shd w:val="clear" w:color="FFFFFF" w:fill="FFFFFF"/>
            <w:vAlign w:val="bottom"/>
            <w:hideMark/>
          </w:tcPr>
          <w:p w14:paraId="1A4C619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liabilities</w:t>
            </w:r>
          </w:p>
        </w:tc>
        <w:tc>
          <w:tcPr>
            <w:tcW w:w="1242" w:type="dxa"/>
            <w:tcBorders>
              <w:top w:val="nil"/>
              <w:left w:val="nil"/>
              <w:bottom w:val="nil"/>
              <w:right w:val="nil"/>
            </w:tcBorders>
            <w:shd w:val="clear" w:color="FFFFFF" w:fill="FFFFFF"/>
            <w:noWrap/>
            <w:vAlign w:val="bottom"/>
            <w:hideMark/>
          </w:tcPr>
          <w:p w14:paraId="7F483DB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1744BE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4,202,024</w:t>
            </w:r>
          </w:p>
        </w:tc>
        <w:tc>
          <w:tcPr>
            <w:tcW w:w="236" w:type="dxa"/>
            <w:tcBorders>
              <w:top w:val="nil"/>
              <w:left w:val="nil"/>
              <w:bottom w:val="nil"/>
              <w:right w:val="nil"/>
            </w:tcBorders>
            <w:shd w:val="clear" w:color="FFFFFF" w:fill="FFFFFF"/>
            <w:noWrap/>
            <w:vAlign w:val="bottom"/>
            <w:hideMark/>
          </w:tcPr>
          <w:p w14:paraId="358FCBC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88997B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3,749,669</w:t>
            </w:r>
          </w:p>
        </w:tc>
        <w:tc>
          <w:tcPr>
            <w:tcW w:w="236" w:type="dxa"/>
            <w:tcBorders>
              <w:top w:val="nil"/>
              <w:left w:val="nil"/>
              <w:bottom w:val="nil"/>
              <w:right w:val="nil"/>
            </w:tcBorders>
            <w:shd w:val="clear" w:color="FFFFFF" w:fill="FFFFFF"/>
            <w:noWrap/>
            <w:vAlign w:val="bottom"/>
            <w:hideMark/>
          </w:tcPr>
          <w:p w14:paraId="018E1C1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3D7E18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3,474,480</w:t>
            </w:r>
          </w:p>
        </w:tc>
      </w:tr>
      <w:tr w:rsidR="0082424C" w:rsidRPr="007A3600" w14:paraId="7493CE59" w14:textId="77777777">
        <w:trPr>
          <w:trHeight w:val="227"/>
        </w:trPr>
        <w:tc>
          <w:tcPr>
            <w:tcW w:w="4241" w:type="dxa"/>
            <w:tcBorders>
              <w:top w:val="nil"/>
              <w:left w:val="nil"/>
              <w:bottom w:val="nil"/>
              <w:right w:val="nil"/>
            </w:tcBorders>
            <w:shd w:val="clear" w:color="FFFFFF" w:fill="FFFFFF"/>
            <w:vAlign w:val="bottom"/>
            <w:hideMark/>
          </w:tcPr>
          <w:p w14:paraId="4FB40F79"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assets</w:t>
            </w:r>
          </w:p>
        </w:tc>
        <w:tc>
          <w:tcPr>
            <w:tcW w:w="1242" w:type="dxa"/>
            <w:tcBorders>
              <w:top w:val="nil"/>
              <w:left w:val="nil"/>
              <w:bottom w:val="nil"/>
              <w:right w:val="nil"/>
            </w:tcBorders>
            <w:shd w:val="clear" w:color="FFFFFF" w:fill="FFFFFF"/>
            <w:noWrap/>
            <w:vAlign w:val="bottom"/>
            <w:hideMark/>
          </w:tcPr>
          <w:p w14:paraId="49C26907"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424403B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2,400,097</w:t>
            </w:r>
          </w:p>
        </w:tc>
        <w:tc>
          <w:tcPr>
            <w:tcW w:w="236" w:type="dxa"/>
            <w:tcBorders>
              <w:top w:val="nil"/>
              <w:left w:val="nil"/>
              <w:bottom w:val="nil"/>
              <w:right w:val="nil"/>
            </w:tcBorders>
            <w:shd w:val="clear" w:color="FFFFFF" w:fill="FFFFFF"/>
            <w:noWrap/>
            <w:vAlign w:val="bottom"/>
            <w:hideMark/>
          </w:tcPr>
          <w:p w14:paraId="46504D7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11B8A5F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2,287,393</w:t>
            </w:r>
          </w:p>
        </w:tc>
        <w:tc>
          <w:tcPr>
            <w:tcW w:w="236" w:type="dxa"/>
            <w:tcBorders>
              <w:top w:val="nil"/>
              <w:left w:val="nil"/>
              <w:bottom w:val="nil"/>
              <w:right w:val="nil"/>
            </w:tcBorders>
            <w:shd w:val="clear" w:color="FFFFFF" w:fill="FFFFFF"/>
            <w:noWrap/>
            <w:vAlign w:val="bottom"/>
            <w:hideMark/>
          </w:tcPr>
          <w:p w14:paraId="73C40FD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43A0381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1,403,379</w:t>
            </w:r>
          </w:p>
        </w:tc>
      </w:tr>
      <w:tr w:rsidR="0082424C" w:rsidRPr="007A3600" w14:paraId="31C854DE" w14:textId="77777777">
        <w:trPr>
          <w:trHeight w:val="227"/>
        </w:trPr>
        <w:tc>
          <w:tcPr>
            <w:tcW w:w="4241" w:type="dxa"/>
            <w:tcBorders>
              <w:top w:val="nil"/>
              <w:left w:val="nil"/>
              <w:bottom w:val="nil"/>
              <w:right w:val="nil"/>
            </w:tcBorders>
            <w:shd w:val="clear" w:color="FFFFFF" w:fill="FFFFFF"/>
            <w:vAlign w:val="bottom"/>
            <w:hideMark/>
          </w:tcPr>
          <w:p w14:paraId="656014E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320FDE2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5CB5DE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5DD726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B7AC85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063784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30B40F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6701E52" w14:textId="77777777">
        <w:trPr>
          <w:trHeight w:val="227"/>
        </w:trPr>
        <w:tc>
          <w:tcPr>
            <w:tcW w:w="4241" w:type="dxa"/>
            <w:tcBorders>
              <w:top w:val="nil"/>
              <w:left w:val="nil"/>
              <w:bottom w:val="nil"/>
              <w:right w:val="nil"/>
            </w:tcBorders>
            <w:shd w:val="clear" w:color="FFFFFF" w:fill="FFFFFF"/>
            <w:vAlign w:val="bottom"/>
            <w:hideMark/>
          </w:tcPr>
          <w:p w14:paraId="6D6C9C44"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EQUITY</w:t>
            </w:r>
          </w:p>
        </w:tc>
        <w:tc>
          <w:tcPr>
            <w:tcW w:w="1242" w:type="dxa"/>
            <w:tcBorders>
              <w:top w:val="nil"/>
              <w:left w:val="nil"/>
              <w:bottom w:val="nil"/>
              <w:right w:val="nil"/>
            </w:tcBorders>
            <w:shd w:val="clear" w:color="FFFFFF" w:fill="FFFFFF"/>
            <w:noWrap/>
            <w:vAlign w:val="bottom"/>
            <w:hideMark/>
          </w:tcPr>
          <w:p w14:paraId="7AB3D1D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F85152B"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0F89EF2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9A8B7E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8A3379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898513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20534CB" w14:textId="77777777">
        <w:trPr>
          <w:trHeight w:val="227"/>
        </w:trPr>
        <w:tc>
          <w:tcPr>
            <w:tcW w:w="4241" w:type="dxa"/>
            <w:tcBorders>
              <w:top w:val="nil"/>
              <w:left w:val="nil"/>
              <w:bottom w:val="nil"/>
              <w:right w:val="nil"/>
            </w:tcBorders>
            <w:shd w:val="clear" w:color="FFFFFF" w:fill="FFFFFF"/>
            <w:vAlign w:val="bottom"/>
            <w:hideMark/>
          </w:tcPr>
          <w:p w14:paraId="6647EEE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Contributed equity</w:t>
            </w:r>
          </w:p>
        </w:tc>
        <w:tc>
          <w:tcPr>
            <w:tcW w:w="1242" w:type="dxa"/>
            <w:tcBorders>
              <w:top w:val="nil"/>
              <w:left w:val="nil"/>
              <w:bottom w:val="nil"/>
              <w:right w:val="nil"/>
            </w:tcBorders>
            <w:shd w:val="clear" w:color="FFFFFF" w:fill="FFFFFF"/>
            <w:noWrap/>
            <w:vAlign w:val="bottom"/>
            <w:hideMark/>
          </w:tcPr>
          <w:p w14:paraId="70A4055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F6D4E5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205,733</w:t>
            </w:r>
          </w:p>
        </w:tc>
        <w:tc>
          <w:tcPr>
            <w:tcW w:w="236" w:type="dxa"/>
            <w:tcBorders>
              <w:top w:val="nil"/>
              <w:left w:val="nil"/>
              <w:bottom w:val="nil"/>
              <w:right w:val="nil"/>
            </w:tcBorders>
            <w:shd w:val="clear" w:color="FFFFFF" w:fill="FFFFFF"/>
            <w:noWrap/>
            <w:vAlign w:val="bottom"/>
            <w:hideMark/>
          </w:tcPr>
          <w:p w14:paraId="7F625B5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B579B6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205,733</w:t>
            </w:r>
          </w:p>
        </w:tc>
        <w:tc>
          <w:tcPr>
            <w:tcW w:w="236" w:type="dxa"/>
            <w:tcBorders>
              <w:top w:val="nil"/>
              <w:left w:val="nil"/>
              <w:bottom w:val="nil"/>
              <w:right w:val="nil"/>
            </w:tcBorders>
            <w:shd w:val="clear" w:color="FFFFFF" w:fill="FFFFFF"/>
            <w:noWrap/>
            <w:vAlign w:val="bottom"/>
            <w:hideMark/>
          </w:tcPr>
          <w:p w14:paraId="6AF1CD9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96991A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205,732</w:t>
            </w:r>
          </w:p>
        </w:tc>
      </w:tr>
      <w:tr w:rsidR="0082424C" w:rsidRPr="007A3600" w14:paraId="68C5F2D4" w14:textId="77777777">
        <w:trPr>
          <w:trHeight w:val="227"/>
        </w:trPr>
        <w:tc>
          <w:tcPr>
            <w:tcW w:w="4241" w:type="dxa"/>
            <w:tcBorders>
              <w:top w:val="nil"/>
              <w:left w:val="nil"/>
              <w:bottom w:val="nil"/>
              <w:right w:val="nil"/>
            </w:tcBorders>
            <w:shd w:val="clear" w:color="FFFFFF" w:fill="FFFFFF"/>
            <w:vAlign w:val="bottom"/>
            <w:hideMark/>
          </w:tcPr>
          <w:p w14:paraId="5CC71F05"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Asset revaluation reserve</w:t>
            </w:r>
          </w:p>
        </w:tc>
        <w:tc>
          <w:tcPr>
            <w:tcW w:w="1242" w:type="dxa"/>
            <w:tcBorders>
              <w:top w:val="nil"/>
              <w:left w:val="nil"/>
              <w:bottom w:val="nil"/>
              <w:right w:val="nil"/>
            </w:tcBorders>
            <w:shd w:val="clear" w:color="FFFFFF" w:fill="FFFFFF"/>
            <w:noWrap/>
            <w:vAlign w:val="bottom"/>
            <w:hideMark/>
          </w:tcPr>
          <w:p w14:paraId="5DFDE36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0099F1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57,402</w:t>
            </w:r>
          </w:p>
        </w:tc>
        <w:tc>
          <w:tcPr>
            <w:tcW w:w="236" w:type="dxa"/>
            <w:tcBorders>
              <w:top w:val="nil"/>
              <w:left w:val="nil"/>
              <w:bottom w:val="nil"/>
              <w:right w:val="nil"/>
            </w:tcBorders>
            <w:shd w:val="clear" w:color="FFFFFF" w:fill="FFFFFF"/>
            <w:noWrap/>
            <w:vAlign w:val="bottom"/>
            <w:hideMark/>
          </w:tcPr>
          <w:p w14:paraId="3C280EF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7D1FD3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46,916</w:t>
            </w:r>
          </w:p>
        </w:tc>
        <w:tc>
          <w:tcPr>
            <w:tcW w:w="236" w:type="dxa"/>
            <w:tcBorders>
              <w:top w:val="nil"/>
              <w:left w:val="nil"/>
              <w:bottom w:val="nil"/>
              <w:right w:val="nil"/>
            </w:tcBorders>
            <w:shd w:val="clear" w:color="FFFFFF" w:fill="FFFFFF"/>
            <w:noWrap/>
            <w:vAlign w:val="bottom"/>
            <w:hideMark/>
          </w:tcPr>
          <w:p w14:paraId="7DEBA2E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3D68C0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38,363</w:t>
            </w:r>
          </w:p>
        </w:tc>
      </w:tr>
      <w:tr w:rsidR="0082424C" w:rsidRPr="007A3600" w14:paraId="5BF417F1" w14:textId="77777777">
        <w:trPr>
          <w:trHeight w:val="227"/>
        </w:trPr>
        <w:tc>
          <w:tcPr>
            <w:tcW w:w="4241" w:type="dxa"/>
            <w:tcBorders>
              <w:top w:val="nil"/>
              <w:left w:val="nil"/>
              <w:bottom w:val="nil"/>
              <w:right w:val="nil"/>
            </w:tcBorders>
            <w:shd w:val="clear" w:color="FFFFFF" w:fill="FFFFFF"/>
            <w:vAlign w:val="bottom"/>
            <w:hideMark/>
          </w:tcPr>
          <w:p w14:paraId="0D01A182"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Retained surplus</w:t>
            </w:r>
          </w:p>
        </w:tc>
        <w:tc>
          <w:tcPr>
            <w:tcW w:w="1242" w:type="dxa"/>
            <w:tcBorders>
              <w:top w:val="nil"/>
              <w:left w:val="nil"/>
              <w:bottom w:val="nil"/>
              <w:right w:val="nil"/>
            </w:tcBorders>
            <w:shd w:val="clear" w:color="FFFFFF" w:fill="FFFFFF"/>
            <w:noWrap/>
            <w:vAlign w:val="bottom"/>
            <w:hideMark/>
          </w:tcPr>
          <w:p w14:paraId="129DC0AF"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8F5C5D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2,136,962</w:t>
            </w:r>
          </w:p>
        </w:tc>
        <w:tc>
          <w:tcPr>
            <w:tcW w:w="236" w:type="dxa"/>
            <w:tcBorders>
              <w:top w:val="nil"/>
              <w:left w:val="nil"/>
              <w:bottom w:val="nil"/>
              <w:right w:val="nil"/>
            </w:tcBorders>
            <w:shd w:val="clear" w:color="FFFFFF" w:fill="FFFFFF"/>
            <w:noWrap/>
            <w:vAlign w:val="bottom"/>
            <w:hideMark/>
          </w:tcPr>
          <w:p w14:paraId="17B4129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239EEE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2,034,744</w:t>
            </w:r>
          </w:p>
        </w:tc>
        <w:tc>
          <w:tcPr>
            <w:tcW w:w="236" w:type="dxa"/>
            <w:tcBorders>
              <w:top w:val="nil"/>
              <w:left w:val="nil"/>
              <w:bottom w:val="nil"/>
              <w:right w:val="nil"/>
            </w:tcBorders>
            <w:shd w:val="clear" w:color="FFFFFF" w:fill="FFFFFF"/>
            <w:noWrap/>
            <w:vAlign w:val="bottom"/>
            <w:hideMark/>
          </w:tcPr>
          <w:p w14:paraId="338E77F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B9D488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1,159,284</w:t>
            </w:r>
          </w:p>
        </w:tc>
      </w:tr>
      <w:tr w:rsidR="0082424C" w:rsidRPr="007A3600" w14:paraId="7814F7F6" w14:textId="77777777">
        <w:trPr>
          <w:trHeight w:val="227"/>
        </w:trPr>
        <w:tc>
          <w:tcPr>
            <w:tcW w:w="4241" w:type="dxa"/>
            <w:tcBorders>
              <w:top w:val="nil"/>
              <w:left w:val="nil"/>
              <w:bottom w:val="nil"/>
              <w:right w:val="nil"/>
            </w:tcBorders>
            <w:shd w:val="clear" w:color="FFFFFF" w:fill="FFFFFF"/>
            <w:vAlign w:val="bottom"/>
            <w:hideMark/>
          </w:tcPr>
          <w:p w14:paraId="3E475BAE"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equity</w:t>
            </w:r>
          </w:p>
        </w:tc>
        <w:tc>
          <w:tcPr>
            <w:tcW w:w="1242" w:type="dxa"/>
            <w:tcBorders>
              <w:top w:val="nil"/>
              <w:left w:val="nil"/>
              <w:bottom w:val="nil"/>
              <w:right w:val="nil"/>
            </w:tcBorders>
            <w:shd w:val="clear" w:color="FFFFFF" w:fill="FFFFFF"/>
            <w:noWrap/>
            <w:vAlign w:val="bottom"/>
            <w:hideMark/>
          </w:tcPr>
          <w:p w14:paraId="529507F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A5F5BD5"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2,400,097</w:t>
            </w:r>
          </w:p>
        </w:tc>
        <w:tc>
          <w:tcPr>
            <w:tcW w:w="236" w:type="dxa"/>
            <w:tcBorders>
              <w:top w:val="nil"/>
              <w:left w:val="nil"/>
              <w:bottom w:val="nil"/>
              <w:right w:val="nil"/>
            </w:tcBorders>
            <w:shd w:val="clear" w:color="FFFFFF" w:fill="FFFFFF"/>
            <w:noWrap/>
            <w:vAlign w:val="bottom"/>
            <w:hideMark/>
          </w:tcPr>
          <w:p w14:paraId="7752D0B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F1D201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2,287,393</w:t>
            </w:r>
          </w:p>
        </w:tc>
        <w:tc>
          <w:tcPr>
            <w:tcW w:w="236" w:type="dxa"/>
            <w:tcBorders>
              <w:top w:val="nil"/>
              <w:left w:val="nil"/>
              <w:bottom w:val="nil"/>
              <w:right w:val="nil"/>
            </w:tcBorders>
            <w:shd w:val="clear" w:color="FFFFFF" w:fill="FFFFFF"/>
            <w:noWrap/>
            <w:vAlign w:val="bottom"/>
            <w:hideMark/>
          </w:tcPr>
          <w:p w14:paraId="5B65140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FBF470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1,403,379</w:t>
            </w:r>
          </w:p>
        </w:tc>
      </w:tr>
    </w:tbl>
    <w:p w14:paraId="57799473" w14:textId="77777777" w:rsidR="0082424C" w:rsidRPr="007A3600" w:rsidRDefault="0082424C" w:rsidP="00AD3197">
      <w:pPr>
        <w:spacing w:before="240" w:after="0" w:line="240" w:lineRule="auto"/>
        <w:rPr>
          <w:rFonts w:eastAsia="Times New Roman"/>
          <w:sz w:val="18"/>
          <w:szCs w:val="20"/>
        </w:rPr>
      </w:pPr>
      <w:r w:rsidRPr="007A3600">
        <w:rPr>
          <w:rFonts w:eastAsia="Times New Roman"/>
          <w:sz w:val="18"/>
          <w:szCs w:val="20"/>
        </w:rPr>
        <w:t>The above statement should be read in conjunction with the accompanying notes.</w:t>
      </w:r>
    </w:p>
    <w:p w14:paraId="6E40D1D2" w14:textId="77777777" w:rsidR="0082424C" w:rsidRPr="007A3600" w:rsidRDefault="0082424C" w:rsidP="00AD3197">
      <w:pPr>
        <w:spacing w:after="0" w:line="240" w:lineRule="auto"/>
        <w:rPr>
          <w:rFonts w:eastAsia="Times New Roman"/>
          <w:sz w:val="18"/>
          <w:szCs w:val="20"/>
        </w:rPr>
      </w:pPr>
      <w:r w:rsidRPr="007A3600">
        <w:rPr>
          <w:rFonts w:eastAsia="Times New Roman"/>
          <w:sz w:val="16"/>
          <w:szCs w:val="18"/>
          <w:vertAlign w:val="superscript"/>
        </w:rPr>
        <w:t xml:space="preserve">1 </w:t>
      </w:r>
      <w:r w:rsidRPr="007A3600">
        <w:rPr>
          <w:rFonts w:eastAsia="Times New Roman"/>
          <w:sz w:val="18"/>
          <w:szCs w:val="14"/>
        </w:rPr>
        <w:t xml:space="preserve">Original </w:t>
      </w:r>
      <w:r w:rsidRPr="007A3600">
        <w:rPr>
          <w:rFonts w:eastAsia="Times New Roman"/>
          <w:sz w:val="18"/>
          <w:szCs w:val="20"/>
        </w:rPr>
        <w:t>Budget refers to the figures published in the 2024–25 Portfolio Budget Statements</w:t>
      </w:r>
    </w:p>
    <w:p w14:paraId="47BE6185" w14:textId="77777777" w:rsidR="0082424C" w:rsidRPr="007A3600" w:rsidRDefault="0082424C" w:rsidP="00AD3197">
      <w:pPr>
        <w:spacing w:after="0" w:line="240" w:lineRule="auto"/>
        <w:rPr>
          <w:rFonts w:eastAsia="Times New Roman"/>
          <w:sz w:val="18"/>
          <w:szCs w:val="14"/>
        </w:rPr>
      </w:pPr>
      <w:r w:rsidRPr="007A3600">
        <w:rPr>
          <w:rFonts w:eastAsia="Times New Roman"/>
          <w:sz w:val="18"/>
          <w:szCs w:val="20"/>
        </w:rPr>
        <w:br w:type="page"/>
      </w:r>
    </w:p>
    <w:p w14:paraId="6DB00B72"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15B41658"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b/>
          <w:lang w:eastAsia="en-US"/>
        </w:rPr>
        <w:t>STATEMENT OF FINANCIAL POSITION</w:t>
      </w:r>
    </w:p>
    <w:p w14:paraId="38C9E03F" w14:textId="77777777" w:rsidR="0082424C" w:rsidRPr="007A3600" w:rsidRDefault="0082424C" w:rsidP="00AD3197">
      <w:pPr>
        <w:pBdr>
          <w:bottom w:val="single" w:sz="4" w:space="1" w:color="auto"/>
        </w:pBdr>
        <w:spacing w:after="120" w:line="260" w:lineRule="atLeast"/>
        <w:rPr>
          <w:rFonts w:eastAsia="Times New Roman" w:cs="Arial"/>
          <w:i/>
          <w:lang w:eastAsia="en-US"/>
        </w:rPr>
      </w:pPr>
      <w:r w:rsidRPr="007A3600">
        <w:rPr>
          <w:rFonts w:eastAsia="Times New Roman" w:cs="Arial"/>
          <w:i/>
          <w:lang w:eastAsia="en-US"/>
        </w:rPr>
        <w:t xml:space="preserve">as at </w:t>
      </w:r>
      <w:r w:rsidRPr="007A3600">
        <w:rPr>
          <w:rFonts w:eastAsia="Times New Roman" w:cs="Arial"/>
          <w:szCs w:val="20"/>
          <w:lang w:eastAsia="en-US"/>
        </w:rPr>
        <w:fldChar w:fldCharType="begin"/>
      </w:r>
      <w:r w:rsidRPr="007A3600">
        <w:rPr>
          <w:rFonts w:eastAsia="Times New Roman" w:cs="Arial"/>
          <w:i/>
          <w:lang w:eastAsia="en-US"/>
        </w:rPr>
        <w:instrText xml:space="preserve"> DOCPROPERTY  pEnd  \* MERGEFORMAT </w:instrText>
      </w:r>
      <w:r w:rsidRPr="007A3600">
        <w:rPr>
          <w:rFonts w:eastAsia="Times New Roman" w:cs="Arial"/>
          <w:szCs w:val="20"/>
          <w:lang w:eastAsia="en-US"/>
        </w:rPr>
        <w:fldChar w:fldCharType="separate"/>
      </w:r>
      <w:r w:rsidRPr="007A3600">
        <w:rPr>
          <w:rFonts w:eastAsia="Times New Roman" w:cs="Arial"/>
          <w:i/>
          <w:lang w:eastAsia="en-US"/>
        </w:rPr>
        <w:t>30 June</w:t>
      </w:r>
      <w:r w:rsidRPr="007A3600">
        <w:rPr>
          <w:rFonts w:eastAsia="Times New Roman" w:cs="Arial"/>
          <w:szCs w:val="20"/>
          <w:lang w:eastAsia="en-US"/>
        </w:rPr>
        <w:fldChar w:fldCharType="end"/>
      </w:r>
      <w:r w:rsidRPr="007A3600">
        <w:rPr>
          <w:rFonts w:eastAsia="Times New Roman" w:cs="Arial"/>
          <w:i/>
          <w:lang w:eastAsia="en-US"/>
        </w:rPr>
        <w:t xml:space="preserve"> </w:t>
      </w:r>
      <w:r w:rsidRPr="007A3600">
        <w:rPr>
          <w:rFonts w:eastAsia="Times New Roman" w:cs="Arial"/>
          <w:szCs w:val="20"/>
          <w:lang w:eastAsia="en-US"/>
        </w:rPr>
        <w:fldChar w:fldCharType="begin"/>
      </w:r>
      <w:r w:rsidRPr="007A3600">
        <w:rPr>
          <w:rFonts w:eastAsia="Times New Roman" w:cs="Arial"/>
          <w:i/>
          <w:lang w:eastAsia="en-US"/>
        </w:rPr>
        <w:instrText xml:space="preserve"> DOCPROPERTY  crYear  \* MERGEFORMAT </w:instrText>
      </w:r>
      <w:r w:rsidRPr="007A3600">
        <w:rPr>
          <w:rFonts w:eastAsia="Times New Roman" w:cs="Arial"/>
          <w:szCs w:val="20"/>
          <w:lang w:eastAsia="en-US"/>
        </w:rPr>
        <w:fldChar w:fldCharType="separate"/>
      </w:r>
      <w:r w:rsidRPr="007A3600">
        <w:rPr>
          <w:rFonts w:eastAsia="Times New Roman" w:cs="Arial"/>
          <w:i/>
          <w:lang w:eastAsia="en-US"/>
        </w:rPr>
        <w:t>2025</w:t>
      </w:r>
      <w:r w:rsidRPr="007A3600">
        <w:rPr>
          <w:rFonts w:eastAsia="Times New Roman" w:cs="Arial"/>
          <w:szCs w:val="20"/>
          <w:lang w:eastAsia="en-US"/>
        </w:rPr>
        <w:fldChar w:fldCharType="end"/>
      </w:r>
    </w:p>
    <w:p w14:paraId="33ACA628"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Budget Variances Commentary </w:t>
      </w:r>
    </w:p>
    <w:p w14:paraId="016F1B23"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Statement of Financial Position</w:t>
      </w:r>
    </w:p>
    <w:p w14:paraId="1E70AF96" w14:textId="77777777" w:rsidR="0082424C" w:rsidRPr="007A3600" w:rsidRDefault="0082424C" w:rsidP="00AD3197">
      <w:pPr>
        <w:spacing w:after="180" w:line="240" w:lineRule="auto"/>
        <w:rPr>
          <w:rFonts w:eastAsia="Times New Roman" w:cs="Arial"/>
          <w:sz w:val="18"/>
          <w:szCs w:val="18"/>
        </w:rPr>
      </w:pPr>
      <w:r w:rsidRPr="007A3600">
        <w:rPr>
          <w:rFonts w:eastAsia="Times New Roman" w:cs="Arial"/>
          <w:sz w:val="18"/>
          <w:szCs w:val="18"/>
        </w:rPr>
        <w:t>The following major variance explanations between the Original Budget as presented in the 2024–25 Portfolio Budget Statements and the 2024–25 financial statements are presented in accordance with Australian Accounting Standards. The 2024–25 Portfolio Budget Statements contain the original financial statements’ budget estimates presented to Parliament in respect of the 2024–25 financial year. The information presented below should be read in the context of the following:</w:t>
      </w:r>
    </w:p>
    <w:p w14:paraId="640CC4DD" w14:textId="42AC32D1" w:rsidR="0082424C" w:rsidRPr="00DD1C0E" w:rsidRDefault="0082424C" w:rsidP="00DD1C0E">
      <w:pPr>
        <w:pStyle w:val="Financialstatementbulletpoint"/>
      </w:pPr>
      <w:r w:rsidRPr="00DD1C0E">
        <w:t>major variances are determined in accordance with Department of Finance guidelines; and</w:t>
      </w:r>
    </w:p>
    <w:p w14:paraId="58E9408A" w14:textId="63265F0E" w:rsidR="0082424C" w:rsidRPr="00DD1C0E" w:rsidRDefault="0082424C" w:rsidP="00DD1C0E">
      <w:pPr>
        <w:pStyle w:val="Financialstatementbulletpoint"/>
      </w:pPr>
      <w:r w:rsidRPr="00DD1C0E">
        <w:t>the Budget is not audited.</w:t>
      </w:r>
    </w:p>
    <w:tbl>
      <w:tblPr>
        <w:tblW w:w="0" w:type="auto"/>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415"/>
        <w:gridCol w:w="6804"/>
      </w:tblGrid>
      <w:tr w:rsidR="003D092D" w:rsidRPr="007A3600" w14:paraId="272C4289" w14:textId="77777777" w:rsidTr="00CB441A">
        <w:trPr>
          <w:cantSplit/>
          <w:trHeight w:val="454"/>
          <w:tblHeader/>
        </w:trPr>
        <w:tc>
          <w:tcPr>
            <w:tcW w:w="2415" w:type="dxa"/>
            <w:shd w:val="clear" w:color="FFFFFF" w:fill="FFFFFF"/>
            <w:noWrap/>
            <w:vAlign w:val="center"/>
          </w:tcPr>
          <w:p w14:paraId="075DE606" w14:textId="77777777" w:rsidR="0082424C" w:rsidRPr="007A3600" w:rsidRDefault="0082424C" w:rsidP="00AD3197">
            <w:pPr>
              <w:spacing w:after="0" w:line="240" w:lineRule="auto"/>
              <w:rPr>
                <w:rFonts w:eastAsia="Times New Roman"/>
                <w:b/>
                <w:sz w:val="18"/>
                <w:szCs w:val="20"/>
              </w:rPr>
            </w:pPr>
            <w:r w:rsidRPr="007A3600">
              <w:rPr>
                <w:rFonts w:eastAsia="Times New Roman"/>
                <w:b/>
                <w:sz w:val="18"/>
                <w:szCs w:val="20"/>
              </w:rPr>
              <w:t>Affected line items</w:t>
            </w:r>
          </w:p>
        </w:tc>
        <w:tc>
          <w:tcPr>
            <w:tcW w:w="6804" w:type="dxa"/>
            <w:shd w:val="clear" w:color="FFFFFF" w:fill="FFFFFF"/>
            <w:vAlign w:val="center"/>
          </w:tcPr>
          <w:p w14:paraId="384E1945" w14:textId="77777777" w:rsidR="0082424C" w:rsidRPr="007A3600" w:rsidRDefault="0082424C" w:rsidP="00AD3197">
            <w:pPr>
              <w:spacing w:after="0" w:line="240" w:lineRule="auto"/>
              <w:rPr>
                <w:rFonts w:eastAsia="Times New Roman"/>
                <w:b/>
                <w:sz w:val="18"/>
                <w:szCs w:val="20"/>
              </w:rPr>
            </w:pPr>
            <w:r w:rsidRPr="007A3600">
              <w:rPr>
                <w:rFonts w:eastAsia="Times New Roman"/>
                <w:b/>
                <w:bCs/>
                <w:sz w:val="18"/>
                <w:szCs w:val="20"/>
              </w:rPr>
              <w:t>Explanations of major variances</w:t>
            </w:r>
          </w:p>
        </w:tc>
      </w:tr>
      <w:tr w:rsidR="00E2079D" w:rsidRPr="007A3600" w14:paraId="3253DD80" w14:textId="77777777" w:rsidTr="005E6BCF">
        <w:trPr>
          <w:cantSplit/>
          <w:trHeight w:val="397"/>
        </w:trPr>
        <w:tc>
          <w:tcPr>
            <w:tcW w:w="2415" w:type="dxa"/>
            <w:noWrap/>
          </w:tcPr>
          <w:p w14:paraId="68014CC5"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Financial assets</w:t>
            </w:r>
          </w:p>
          <w:p w14:paraId="14EB1AF4"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Cash and cash equivalents</w:t>
            </w:r>
          </w:p>
        </w:tc>
        <w:tc>
          <w:tcPr>
            <w:tcW w:w="6804" w:type="dxa"/>
            <w:noWrap/>
          </w:tcPr>
          <w:p w14:paraId="1A75C002"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Original Budget assumed that the majority of funds would be held as Cash at Bank at year-end. The variance between the actual result and Original Budget reflects the investment of cash in Term Deposits with a maturity of less than one year.</w:t>
            </w:r>
          </w:p>
        </w:tc>
      </w:tr>
      <w:tr w:rsidR="00E2079D" w:rsidRPr="007A3600" w14:paraId="0932166F" w14:textId="77777777" w:rsidTr="005E6BCF">
        <w:trPr>
          <w:cantSplit/>
          <w:trHeight w:val="397"/>
        </w:trPr>
        <w:tc>
          <w:tcPr>
            <w:tcW w:w="2415" w:type="dxa"/>
            <w:noWrap/>
          </w:tcPr>
          <w:p w14:paraId="566549FF"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Financial assets</w:t>
            </w:r>
          </w:p>
          <w:p w14:paraId="06D494F4"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Term Deposits</w:t>
            </w:r>
          </w:p>
        </w:tc>
        <w:tc>
          <w:tcPr>
            <w:tcW w:w="6804" w:type="dxa"/>
            <w:noWrap/>
          </w:tcPr>
          <w:p w14:paraId="24631BE6"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Original Budget did not anticipate investments in Term Deposits.</w:t>
            </w:r>
          </w:p>
        </w:tc>
      </w:tr>
      <w:tr w:rsidR="00E2079D" w:rsidRPr="007A3600" w14:paraId="12D98015" w14:textId="77777777" w:rsidTr="005E6BCF">
        <w:trPr>
          <w:cantSplit/>
          <w:trHeight w:val="397"/>
        </w:trPr>
        <w:tc>
          <w:tcPr>
            <w:tcW w:w="2415" w:type="dxa"/>
            <w:noWrap/>
          </w:tcPr>
          <w:p w14:paraId="61934590"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Financial assets</w:t>
            </w:r>
          </w:p>
          <w:p w14:paraId="69E089B7"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Trade and other receivables</w:t>
            </w:r>
          </w:p>
        </w:tc>
        <w:tc>
          <w:tcPr>
            <w:tcW w:w="6804" w:type="dxa"/>
            <w:noWrap/>
          </w:tcPr>
          <w:p w14:paraId="66101A9A"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an increase in interest earned and accrued at year-end for balances held in Cash at Bank and Term Deposits, and an increase in Participant and Other Provider receivables related to an increase in participant numbers through the year.</w:t>
            </w:r>
          </w:p>
        </w:tc>
      </w:tr>
      <w:tr w:rsidR="00E2079D" w:rsidRPr="007A3600" w14:paraId="57BFF8D5" w14:textId="77777777" w:rsidTr="005E6BCF">
        <w:trPr>
          <w:cantSplit/>
          <w:trHeight w:val="397"/>
        </w:trPr>
        <w:tc>
          <w:tcPr>
            <w:tcW w:w="2415" w:type="dxa"/>
            <w:noWrap/>
          </w:tcPr>
          <w:p w14:paraId="3D135BF4"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Financial assets</w:t>
            </w:r>
          </w:p>
          <w:p w14:paraId="2ABB6D91"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Other financial assets</w:t>
            </w:r>
          </w:p>
        </w:tc>
        <w:tc>
          <w:tcPr>
            <w:tcW w:w="6804" w:type="dxa"/>
            <w:noWrap/>
          </w:tcPr>
          <w:p w14:paraId="736729EA"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Original Budget assumed that the Agency would hold Term Deposits with a maturity of one year or more. At year-end, the Agency held Term Deposits of less than one year maturity as reported in Note 2.1A.</w:t>
            </w:r>
          </w:p>
        </w:tc>
      </w:tr>
      <w:tr w:rsidR="00E2079D" w:rsidRPr="007A3600" w14:paraId="6077DCD8" w14:textId="77777777" w:rsidTr="005E6BCF">
        <w:trPr>
          <w:cantSplit/>
          <w:trHeight w:val="397"/>
        </w:trPr>
        <w:tc>
          <w:tcPr>
            <w:tcW w:w="2415" w:type="dxa"/>
            <w:shd w:val="clear" w:color="FFFFFF" w:fill="FFFFFF"/>
            <w:noWrap/>
          </w:tcPr>
          <w:p w14:paraId="7AB9E2E9"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Non-financial assets</w:t>
            </w:r>
          </w:p>
          <w:p w14:paraId="4842F530"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Buildings</w:t>
            </w:r>
          </w:p>
        </w:tc>
        <w:tc>
          <w:tcPr>
            <w:tcW w:w="6804" w:type="dxa"/>
            <w:shd w:val="clear" w:color="FFFFFF" w:fill="FFFFFF"/>
            <w:noWrap/>
          </w:tcPr>
          <w:p w14:paraId="4BC505AF"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higher depreciation expenses against Land &amp; Buildings, Leasehold Improvements and Right of Use Leased Buildings, off-set by the revaluation of these asset categories at year-end.</w:t>
            </w:r>
          </w:p>
        </w:tc>
      </w:tr>
      <w:tr w:rsidR="00E2079D" w:rsidRPr="007A3600" w14:paraId="33E776F8" w14:textId="77777777" w:rsidTr="005E6BCF">
        <w:trPr>
          <w:cantSplit/>
          <w:trHeight w:val="397"/>
        </w:trPr>
        <w:tc>
          <w:tcPr>
            <w:tcW w:w="2415" w:type="dxa"/>
            <w:shd w:val="clear" w:color="FFFFFF" w:fill="FFFFFF"/>
            <w:noWrap/>
          </w:tcPr>
          <w:p w14:paraId="7160353D"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Non-financial assets</w:t>
            </w:r>
          </w:p>
          <w:p w14:paraId="12E75F26"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Plant &amp; Equipment</w:t>
            </w:r>
          </w:p>
        </w:tc>
        <w:tc>
          <w:tcPr>
            <w:tcW w:w="6804" w:type="dxa"/>
            <w:shd w:val="clear" w:color="FFFFFF" w:fill="FFFFFF"/>
            <w:noWrap/>
          </w:tcPr>
          <w:p w14:paraId="5139DD31"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an increase in laptop and technology related acquisitions, reflective of increases in Agency staffing levels, as well as furniture and fitting requirements for office fit-outs to accommodate staff.</w:t>
            </w:r>
          </w:p>
        </w:tc>
      </w:tr>
      <w:tr w:rsidR="00E2079D" w:rsidRPr="007A3600" w14:paraId="645E3181" w14:textId="77777777" w:rsidTr="005E6BCF">
        <w:trPr>
          <w:cantSplit/>
          <w:trHeight w:val="397"/>
        </w:trPr>
        <w:tc>
          <w:tcPr>
            <w:tcW w:w="2415" w:type="dxa"/>
            <w:shd w:val="clear" w:color="FFFFFF" w:fill="FFFFFF"/>
            <w:noWrap/>
          </w:tcPr>
          <w:p w14:paraId="51CBDD96"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Non-financial assets</w:t>
            </w:r>
          </w:p>
          <w:p w14:paraId="1500A700" w14:textId="77777777" w:rsidR="0082424C" w:rsidRPr="007A3600" w:rsidRDefault="0082424C" w:rsidP="00AD3197">
            <w:pPr>
              <w:spacing w:after="0" w:line="240" w:lineRule="auto"/>
              <w:rPr>
                <w:rFonts w:eastAsia="Times New Roman"/>
                <w:sz w:val="18"/>
                <w:szCs w:val="20"/>
              </w:rPr>
            </w:pPr>
            <w:r w:rsidRPr="007A3600">
              <w:rPr>
                <w:rFonts w:eastAsia="Times New Roman"/>
                <w:i/>
                <w:sz w:val="18"/>
                <w:szCs w:val="20"/>
              </w:rPr>
              <w:t>Other non-financial assets</w:t>
            </w:r>
          </w:p>
        </w:tc>
        <w:tc>
          <w:tcPr>
            <w:tcW w:w="6804" w:type="dxa"/>
            <w:shd w:val="clear" w:color="FFFFFF" w:fill="FFFFFF"/>
            <w:noWrap/>
          </w:tcPr>
          <w:p w14:paraId="551366DE"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an increase in the acquisition of software and technology licences related to the Agency's software platforms.</w:t>
            </w:r>
          </w:p>
        </w:tc>
      </w:tr>
      <w:tr w:rsidR="00E2079D" w:rsidRPr="007A3600" w14:paraId="37554979" w14:textId="77777777" w:rsidTr="005E6BCF">
        <w:trPr>
          <w:cantSplit/>
          <w:trHeight w:val="397"/>
        </w:trPr>
        <w:tc>
          <w:tcPr>
            <w:tcW w:w="2415" w:type="dxa"/>
            <w:shd w:val="clear" w:color="FFFFFF" w:fill="FFFFFF"/>
            <w:noWrap/>
          </w:tcPr>
          <w:p w14:paraId="0C9E206C"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Payables</w:t>
            </w:r>
          </w:p>
          <w:p w14:paraId="294E7AB2"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Suppliers</w:t>
            </w:r>
          </w:p>
        </w:tc>
        <w:tc>
          <w:tcPr>
            <w:tcW w:w="6804" w:type="dxa"/>
            <w:shd w:val="clear" w:color="FFFFFF" w:fill="FFFFFF"/>
            <w:noWrap/>
          </w:tcPr>
          <w:p w14:paraId="42C5BFA1"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an amount payable to the Department of Health and Aged Care for Younger People in Residential Aged Care that remains unpaid as at the end of 2024–25 ($725.7M) which the Original Budget estimated would be paid.</w:t>
            </w:r>
          </w:p>
        </w:tc>
      </w:tr>
      <w:tr w:rsidR="00E2079D" w:rsidRPr="007A3600" w14:paraId="7D935B90" w14:textId="77777777" w:rsidTr="005E6BCF">
        <w:trPr>
          <w:cantSplit/>
          <w:trHeight w:val="397"/>
        </w:trPr>
        <w:tc>
          <w:tcPr>
            <w:tcW w:w="2415" w:type="dxa"/>
            <w:shd w:val="clear" w:color="FFFFFF" w:fill="FFFFFF"/>
            <w:noWrap/>
          </w:tcPr>
          <w:p w14:paraId="5DF07375"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Payables</w:t>
            </w:r>
          </w:p>
          <w:p w14:paraId="6C8A3ACC"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Other payables</w:t>
            </w:r>
          </w:p>
        </w:tc>
        <w:tc>
          <w:tcPr>
            <w:tcW w:w="6804" w:type="dxa"/>
            <w:shd w:val="clear" w:color="FFFFFF" w:fill="FFFFFF"/>
            <w:noWrap/>
          </w:tcPr>
          <w:p w14:paraId="0DFEA883"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Original Budget assumed higher salary related accruals based on the estimated conversion of Labour Hire Staff to APS Staff.</w:t>
            </w:r>
          </w:p>
        </w:tc>
      </w:tr>
      <w:tr w:rsidR="00E2079D" w:rsidRPr="007A3600" w14:paraId="0AB120FB" w14:textId="77777777" w:rsidTr="005E6BCF">
        <w:trPr>
          <w:cantSplit/>
          <w:trHeight w:val="397"/>
        </w:trPr>
        <w:tc>
          <w:tcPr>
            <w:tcW w:w="2415" w:type="dxa"/>
            <w:shd w:val="clear" w:color="FFFFFF" w:fill="FFFFFF"/>
            <w:noWrap/>
          </w:tcPr>
          <w:p w14:paraId="192CA970"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Provisions</w:t>
            </w:r>
          </w:p>
          <w:p w14:paraId="616CE68E" w14:textId="77777777" w:rsidR="0082424C" w:rsidRPr="007A3600" w:rsidRDefault="0082424C" w:rsidP="00AD3197">
            <w:pPr>
              <w:spacing w:after="0" w:line="240" w:lineRule="auto"/>
              <w:rPr>
                <w:rFonts w:eastAsia="Times New Roman"/>
                <w:i/>
                <w:sz w:val="18"/>
                <w:szCs w:val="20"/>
              </w:rPr>
            </w:pPr>
            <w:r w:rsidRPr="007A3600">
              <w:rPr>
                <w:rFonts w:eastAsia="Times New Roman"/>
                <w:i/>
                <w:sz w:val="18"/>
                <w:szCs w:val="20"/>
              </w:rPr>
              <w:t>Employee leave provisions</w:t>
            </w:r>
          </w:p>
        </w:tc>
        <w:tc>
          <w:tcPr>
            <w:tcW w:w="6804" w:type="dxa"/>
            <w:shd w:val="clear" w:color="FFFFFF" w:fill="FFFFFF"/>
            <w:noWrap/>
          </w:tcPr>
          <w:p w14:paraId="29D5D09F"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The increase to Agency staffing levels has resulted in and increase into the value of employee leave provisions at year-end. In addition, employee leave provisions increased as a result of the year-end Actuarial assessment and changes in parameters used to calculate leave provisions. This balance is highly sensitive to the parameters and will fluctuate widely as a result. The Original Budget was based on historic trends.</w:t>
            </w:r>
          </w:p>
        </w:tc>
      </w:tr>
      <w:tr w:rsidR="00E2079D" w:rsidRPr="007A3600" w14:paraId="370F3078" w14:textId="77777777" w:rsidTr="005E6BCF">
        <w:trPr>
          <w:cantSplit/>
          <w:trHeight w:val="397"/>
        </w:trPr>
        <w:tc>
          <w:tcPr>
            <w:tcW w:w="2415" w:type="dxa"/>
            <w:shd w:val="clear" w:color="FFFFFF" w:fill="FFFFFF"/>
            <w:noWrap/>
          </w:tcPr>
          <w:p w14:paraId="484B0005"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Provisions</w:t>
            </w:r>
          </w:p>
          <w:p w14:paraId="004C9A8F" w14:textId="77777777" w:rsidR="0082424C" w:rsidRPr="007A3600" w:rsidRDefault="0082424C" w:rsidP="00AD3197">
            <w:pPr>
              <w:spacing w:after="0" w:line="240" w:lineRule="auto"/>
              <w:rPr>
                <w:rFonts w:eastAsia="Times New Roman"/>
                <w:sz w:val="18"/>
                <w:szCs w:val="20"/>
              </w:rPr>
            </w:pPr>
            <w:r w:rsidRPr="007A3600">
              <w:rPr>
                <w:rFonts w:eastAsia="Times New Roman"/>
                <w:i/>
                <w:iCs/>
                <w:sz w:val="18"/>
                <w:szCs w:val="20"/>
              </w:rPr>
              <w:t>Participant plan provisions</w:t>
            </w:r>
          </w:p>
        </w:tc>
        <w:tc>
          <w:tcPr>
            <w:tcW w:w="6804" w:type="dxa"/>
            <w:shd w:val="clear" w:color="FFFFFF" w:fill="FFFFFF"/>
            <w:noWrap/>
          </w:tcPr>
          <w:p w14:paraId="15D21227"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Original Budget included a provision for the extension of in-kind services as well as a data integrity provision that upon actuarial review is no longer supported.</w:t>
            </w:r>
          </w:p>
        </w:tc>
      </w:tr>
      <w:tr w:rsidR="00E2079D" w:rsidRPr="007A3600" w14:paraId="5D6238DB" w14:textId="77777777" w:rsidTr="005E6BCF">
        <w:trPr>
          <w:cantSplit/>
          <w:trHeight w:val="397"/>
        </w:trPr>
        <w:tc>
          <w:tcPr>
            <w:tcW w:w="2415" w:type="dxa"/>
            <w:shd w:val="clear" w:color="FFFFFF" w:fill="FFFFFF"/>
            <w:noWrap/>
          </w:tcPr>
          <w:p w14:paraId="5CC34CAE"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Provisions</w:t>
            </w:r>
          </w:p>
          <w:p w14:paraId="4B61A081" w14:textId="77777777" w:rsidR="0082424C" w:rsidRPr="007A3600" w:rsidRDefault="0082424C" w:rsidP="00AD3197">
            <w:pPr>
              <w:spacing w:after="0" w:line="240" w:lineRule="auto"/>
              <w:rPr>
                <w:rFonts w:eastAsia="Times New Roman"/>
                <w:sz w:val="18"/>
                <w:szCs w:val="20"/>
              </w:rPr>
            </w:pPr>
            <w:r w:rsidRPr="007A3600">
              <w:rPr>
                <w:rFonts w:eastAsia="Times New Roman"/>
                <w:i/>
                <w:iCs/>
                <w:sz w:val="18"/>
                <w:szCs w:val="20"/>
              </w:rPr>
              <w:t>Provision for restoration obligations</w:t>
            </w:r>
          </w:p>
        </w:tc>
        <w:tc>
          <w:tcPr>
            <w:tcW w:w="6804" w:type="dxa"/>
            <w:shd w:val="clear" w:color="FFFFFF" w:fill="FFFFFF"/>
            <w:noWrap/>
          </w:tcPr>
          <w:p w14:paraId="7B5740EA" w14:textId="77777777" w:rsidR="0082424C" w:rsidRPr="007A3600" w:rsidRDefault="0082424C" w:rsidP="00AD3197">
            <w:pPr>
              <w:spacing w:after="0" w:line="240" w:lineRule="auto"/>
              <w:rPr>
                <w:rFonts w:eastAsia="Times New Roman"/>
                <w:sz w:val="18"/>
                <w:szCs w:val="20"/>
              </w:rPr>
            </w:pPr>
            <w:r w:rsidRPr="007A3600">
              <w:rPr>
                <w:rFonts w:eastAsia="Times New Roman" w:cs="Arial"/>
                <w:color w:val="000000"/>
                <w:sz w:val="18"/>
                <w:szCs w:val="18"/>
              </w:rPr>
              <w:t>The variance is largely attributable to the revaluation of Leasehold Improvements, Right of Use Leased Assets and associated Make Good Obligations for the Agency's property lease portfolio.</w:t>
            </w:r>
          </w:p>
        </w:tc>
      </w:tr>
      <w:tr w:rsidR="00E2079D" w:rsidRPr="007A3600" w14:paraId="5A6C8B44" w14:textId="77777777" w:rsidTr="005E6BCF">
        <w:trPr>
          <w:cantSplit/>
          <w:trHeight w:val="397"/>
        </w:trPr>
        <w:tc>
          <w:tcPr>
            <w:tcW w:w="2415" w:type="dxa"/>
            <w:shd w:val="clear" w:color="FFFFFF" w:fill="FFFFFF"/>
            <w:noWrap/>
          </w:tcPr>
          <w:p w14:paraId="1C2C2079"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Provisions</w:t>
            </w:r>
          </w:p>
          <w:p w14:paraId="63E67F8C" w14:textId="77777777" w:rsidR="0082424C" w:rsidRPr="007A3600" w:rsidRDefault="0082424C" w:rsidP="00AD3197">
            <w:pPr>
              <w:spacing w:after="0" w:line="240" w:lineRule="auto"/>
              <w:rPr>
                <w:rFonts w:eastAsia="Times New Roman"/>
                <w:sz w:val="18"/>
                <w:szCs w:val="20"/>
              </w:rPr>
            </w:pPr>
            <w:r w:rsidRPr="007A3600">
              <w:rPr>
                <w:rFonts w:eastAsia="Times New Roman"/>
                <w:i/>
                <w:iCs/>
                <w:sz w:val="18"/>
                <w:szCs w:val="20"/>
              </w:rPr>
              <w:t>Provision for historical Scheme debt</w:t>
            </w:r>
          </w:p>
        </w:tc>
        <w:tc>
          <w:tcPr>
            <w:tcW w:w="6804" w:type="dxa"/>
            <w:shd w:val="clear" w:color="FFFFFF" w:fill="FFFFFF"/>
            <w:noWrap/>
          </w:tcPr>
          <w:p w14:paraId="1CB8038A"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The Agency has included the Provision for historical Scheme debt that was not anticipated at the time the Original Budget was prepared.</w:t>
            </w:r>
          </w:p>
        </w:tc>
      </w:tr>
      <w:tr w:rsidR="00E2079D" w:rsidRPr="007A3600" w14:paraId="0B5B04F1" w14:textId="77777777" w:rsidTr="005E6BCF">
        <w:trPr>
          <w:cantSplit/>
          <w:trHeight w:val="397"/>
        </w:trPr>
        <w:tc>
          <w:tcPr>
            <w:tcW w:w="2415" w:type="dxa"/>
            <w:shd w:val="clear" w:color="FFFFFF" w:fill="FFFFFF"/>
            <w:noWrap/>
          </w:tcPr>
          <w:p w14:paraId="11278A25"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Equity</w:t>
            </w:r>
          </w:p>
          <w:p w14:paraId="34EB6A22" w14:textId="77777777" w:rsidR="0082424C" w:rsidRPr="007A3600" w:rsidRDefault="0082424C" w:rsidP="00AD3197">
            <w:pPr>
              <w:spacing w:after="0" w:line="240" w:lineRule="auto"/>
              <w:rPr>
                <w:rFonts w:eastAsia="Times New Roman"/>
                <w:sz w:val="18"/>
                <w:szCs w:val="20"/>
              </w:rPr>
            </w:pPr>
            <w:r w:rsidRPr="007A3600">
              <w:rPr>
                <w:rFonts w:eastAsia="Times New Roman"/>
                <w:i/>
                <w:iCs/>
                <w:sz w:val="18"/>
                <w:szCs w:val="20"/>
              </w:rPr>
              <w:t>Asset revaluation reserve</w:t>
            </w:r>
          </w:p>
        </w:tc>
        <w:tc>
          <w:tcPr>
            <w:tcW w:w="6804" w:type="dxa"/>
            <w:shd w:val="clear" w:color="FFFFFF" w:fill="FFFFFF"/>
            <w:noWrap/>
          </w:tcPr>
          <w:p w14:paraId="46537923"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The external revaluation of the Agency's leasehold improvements resulted in a revaluation increment of $10.5m during the year.</w:t>
            </w:r>
          </w:p>
        </w:tc>
      </w:tr>
      <w:tr w:rsidR="00E2079D" w:rsidRPr="007A3600" w14:paraId="569DC231" w14:textId="77777777" w:rsidTr="005E6BCF">
        <w:trPr>
          <w:cantSplit/>
          <w:trHeight w:val="397"/>
        </w:trPr>
        <w:tc>
          <w:tcPr>
            <w:tcW w:w="2415" w:type="dxa"/>
            <w:shd w:val="clear" w:color="FFFFFF" w:fill="FFFFFF"/>
            <w:noWrap/>
          </w:tcPr>
          <w:p w14:paraId="3DD94121"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Equity</w:t>
            </w:r>
          </w:p>
          <w:p w14:paraId="52A475F0" w14:textId="77777777" w:rsidR="0082424C" w:rsidRPr="007A3600" w:rsidRDefault="0082424C" w:rsidP="00AD3197">
            <w:pPr>
              <w:spacing w:after="0" w:line="240" w:lineRule="auto"/>
              <w:rPr>
                <w:rFonts w:eastAsia="Times New Roman"/>
                <w:i/>
                <w:iCs/>
                <w:sz w:val="18"/>
                <w:szCs w:val="20"/>
              </w:rPr>
            </w:pPr>
            <w:r w:rsidRPr="007A3600">
              <w:rPr>
                <w:rFonts w:eastAsia="Times New Roman"/>
                <w:i/>
                <w:iCs/>
                <w:sz w:val="18"/>
                <w:szCs w:val="20"/>
              </w:rPr>
              <w:t>Retained surplus</w:t>
            </w:r>
          </w:p>
        </w:tc>
        <w:tc>
          <w:tcPr>
            <w:tcW w:w="6804" w:type="dxa"/>
            <w:shd w:val="clear" w:color="FFFFFF" w:fill="FFFFFF"/>
            <w:noWrap/>
          </w:tcPr>
          <w:p w14:paraId="0A4D680F" w14:textId="77777777" w:rsidR="0082424C" w:rsidRPr="007A3600" w:rsidRDefault="0082424C" w:rsidP="00AD3197">
            <w:pPr>
              <w:spacing w:after="0" w:line="240" w:lineRule="auto"/>
              <w:rPr>
                <w:rFonts w:eastAsia="Times New Roman"/>
                <w:sz w:val="18"/>
                <w:szCs w:val="20"/>
              </w:rPr>
            </w:pPr>
            <w:r w:rsidRPr="007A3600">
              <w:rPr>
                <w:rFonts w:eastAsia="Times New Roman"/>
                <w:sz w:val="18"/>
                <w:szCs w:val="20"/>
              </w:rPr>
              <w:t>The Original Budget did not anticipate additional funding provided to the Agency in FY 2023–24 through Appropriation Acts Nos 3 and 5 of 2023–24.</w:t>
            </w:r>
          </w:p>
        </w:tc>
      </w:tr>
    </w:tbl>
    <w:p w14:paraId="7D2FBB39" w14:textId="77777777" w:rsidR="0082424C" w:rsidRPr="007A3600" w:rsidRDefault="0082424C" w:rsidP="00AD3197">
      <w:pPr>
        <w:spacing w:after="0" w:line="240" w:lineRule="auto"/>
        <w:rPr>
          <w:rFonts w:eastAsia="Times New Roman"/>
          <w:sz w:val="18"/>
          <w:szCs w:val="20"/>
        </w:rPr>
        <w:sectPr w:rsidR="0082424C" w:rsidRPr="007A3600" w:rsidSect="0082424C">
          <w:headerReference w:type="even" r:id="rId127"/>
          <w:headerReference w:type="default" r:id="rId128"/>
          <w:headerReference w:type="first" r:id="rId129"/>
          <w:pgSz w:w="11906" w:h="16838" w:code="9"/>
          <w:pgMar w:top="1134" w:right="1700" w:bottom="993" w:left="1134" w:header="561" w:footer="737" w:gutter="0"/>
          <w:cols w:space="708"/>
          <w:docGrid w:linePitch="360"/>
        </w:sectPr>
      </w:pPr>
    </w:p>
    <w:p w14:paraId="2B2E695A"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2E8C6E0C"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b/>
          <w:lang w:eastAsia="en-US"/>
        </w:rPr>
        <w:t>STATEMENT OF CHANGES IN EQUITY</w:t>
      </w:r>
    </w:p>
    <w:p w14:paraId="5C669FB8" w14:textId="77777777" w:rsidR="0082424C" w:rsidRPr="007A3600" w:rsidRDefault="0082424C" w:rsidP="00AD3197">
      <w:pPr>
        <w:pBdr>
          <w:bottom w:val="single" w:sz="4" w:space="1" w:color="auto"/>
        </w:pBdr>
        <w:spacing w:after="120" w:line="260" w:lineRule="atLeast"/>
        <w:rPr>
          <w:rFonts w:eastAsia="Times New Roman"/>
          <w:i/>
          <w:szCs w:val="20"/>
          <w:lang w:eastAsia="en-US"/>
        </w:rPr>
      </w:pPr>
      <w:r w:rsidRPr="007A3600">
        <w:rPr>
          <w:rFonts w:eastAsia="Times New Roman" w:cs="Arial"/>
          <w:i/>
          <w:lang w:eastAsia="en-US"/>
        </w:rPr>
        <w:t xml:space="preserve">for the year ended </w:t>
      </w:r>
      <w:r w:rsidRPr="007A3600">
        <w:rPr>
          <w:rFonts w:eastAsia="Times New Roman"/>
          <w:szCs w:val="20"/>
          <w:lang w:eastAsia="en-US"/>
        </w:rPr>
        <w:fldChar w:fldCharType="begin"/>
      </w:r>
      <w:r w:rsidRPr="007A3600">
        <w:rPr>
          <w:rFonts w:eastAsia="Times New Roman"/>
          <w:i/>
          <w:szCs w:val="20"/>
          <w:lang w:eastAsia="en-US"/>
        </w:rPr>
        <w:instrText>DOCPROPERTY  pEnd  \* MERGEFORMAT</w:instrText>
      </w:r>
      <w:r w:rsidRPr="007A3600">
        <w:rPr>
          <w:rFonts w:eastAsia="Times New Roman"/>
          <w:szCs w:val="20"/>
          <w:lang w:eastAsia="en-US"/>
        </w:rPr>
        <w:fldChar w:fldCharType="separate"/>
      </w:r>
      <w:r w:rsidRPr="007A3600">
        <w:rPr>
          <w:rFonts w:eastAsia="Times New Roman"/>
          <w:i/>
          <w:szCs w:val="20"/>
          <w:lang w:eastAsia="en-US"/>
        </w:rPr>
        <w:t>30 June</w:t>
      </w:r>
      <w:r w:rsidRPr="007A3600">
        <w:rPr>
          <w:rFonts w:eastAsia="Times New Roman"/>
          <w:szCs w:val="20"/>
          <w:lang w:eastAsia="en-US"/>
        </w:rPr>
        <w:fldChar w:fldCharType="end"/>
      </w:r>
      <w:r w:rsidRPr="007A3600">
        <w:rPr>
          <w:rFonts w:eastAsia="Times New Roman"/>
          <w:i/>
          <w:szCs w:val="20"/>
          <w:lang w:eastAsia="en-US"/>
        </w:rPr>
        <w:t xml:space="preserve"> </w:t>
      </w:r>
      <w:r w:rsidRPr="007A3600">
        <w:rPr>
          <w:rFonts w:eastAsia="Times New Roman" w:cs="Arial"/>
          <w:szCs w:val="20"/>
          <w:lang w:eastAsia="en-US"/>
        </w:rPr>
        <w:fldChar w:fldCharType="begin"/>
      </w:r>
      <w:r w:rsidRPr="007A3600">
        <w:rPr>
          <w:rFonts w:eastAsia="Times New Roman" w:cs="Arial"/>
          <w:i/>
          <w:lang w:eastAsia="en-US"/>
        </w:rPr>
        <w:instrText xml:space="preserve"> DOCPROPERTY  crYear  \* MERGEFORMAT </w:instrText>
      </w:r>
      <w:r w:rsidRPr="007A3600">
        <w:rPr>
          <w:rFonts w:eastAsia="Times New Roman" w:cs="Arial"/>
          <w:szCs w:val="20"/>
          <w:lang w:eastAsia="en-US"/>
        </w:rPr>
        <w:fldChar w:fldCharType="separate"/>
      </w:r>
      <w:r w:rsidRPr="007A3600">
        <w:rPr>
          <w:rFonts w:eastAsia="Times New Roman" w:cs="Arial"/>
          <w:i/>
          <w:lang w:eastAsia="en-US"/>
        </w:rPr>
        <w:t>2025</w:t>
      </w:r>
      <w:r w:rsidRPr="007A3600">
        <w:rPr>
          <w:rFonts w:eastAsia="Times New Roman" w:cs="Arial"/>
          <w:szCs w:val="20"/>
          <w:lang w:eastAsia="en-US"/>
        </w:rPr>
        <w:fldChar w:fldCharType="end"/>
      </w:r>
    </w:p>
    <w:tbl>
      <w:tblPr>
        <w:tblW w:w="14683" w:type="dxa"/>
        <w:tblLayout w:type="fixed"/>
        <w:tblCellMar>
          <w:left w:w="57" w:type="dxa"/>
          <w:right w:w="57" w:type="dxa"/>
        </w:tblCellMar>
        <w:tblLook w:val="04A0" w:firstRow="1" w:lastRow="0" w:firstColumn="1" w:lastColumn="0" w:noHBand="0" w:noVBand="1"/>
      </w:tblPr>
      <w:tblGrid>
        <w:gridCol w:w="2629"/>
        <w:gridCol w:w="1006"/>
        <w:gridCol w:w="998"/>
        <w:gridCol w:w="998"/>
        <w:gridCol w:w="997"/>
        <w:gridCol w:w="997"/>
        <w:gridCol w:w="997"/>
        <w:gridCol w:w="997"/>
        <w:gridCol w:w="997"/>
        <w:gridCol w:w="997"/>
        <w:gridCol w:w="997"/>
        <w:gridCol w:w="1076"/>
        <w:gridCol w:w="997"/>
      </w:tblGrid>
      <w:tr w:rsidR="0082424C" w:rsidRPr="007A3600" w14:paraId="62566A86" w14:textId="77777777">
        <w:trPr>
          <w:trHeight w:val="238"/>
        </w:trPr>
        <w:tc>
          <w:tcPr>
            <w:tcW w:w="2629" w:type="dxa"/>
            <w:tcBorders>
              <w:top w:val="single" w:sz="8" w:space="0" w:color="800080"/>
              <w:left w:val="nil"/>
              <w:bottom w:val="nil"/>
              <w:right w:val="nil"/>
            </w:tcBorders>
            <w:shd w:val="clear" w:color="FFFFFF" w:fill="FFFFFF"/>
            <w:noWrap/>
            <w:vAlign w:val="bottom"/>
            <w:hideMark/>
          </w:tcPr>
          <w:p w14:paraId="680A3C1E"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c>
          <w:tcPr>
            <w:tcW w:w="3002" w:type="dxa"/>
            <w:gridSpan w:val="3"/>
            <w:tcBorders>
              <w:top w:val="single" w:sz="8" w:space="0" w:color="800080"/>
              <w:left w:val="nil"/>
              <w:bottom w:val="nil"/>
              <w:right w:val="nil"/>
            </w:tcBorders>
            <w:shd w:val="clear" w:color="FFFFFF" w:fill="FFFFFF"/>
            <w:vAlign w:val="center"/>
            <w:hideMark/>
          </w:tcPr>
          <w:p w14:paraId="6BB148C7" w14:textId="77777777" w:rsidR="0082424C" w:rsidRPr="007A3600" w:rsidRDefault="0082424C" w:rsidP="00AD3197">
            <w:pPr>
              <w:spacing w:after="0" w:line="240" w:lineRule="auto"/>
              <w:jc w:val="center"/>
              <w:rPr>
                <w:rFonts w:eastAsia="Times New Roman" w:cs="Arial"/>
                <w:b/>
                <w:bCs/>
                <w:sz w:val="18"/>
                <w:szCs w:val="18"/>
                <w:lang w:eastAsia="en-US"/>
              </w:rPr>
            </w:pPr>
            <w:r w:rsidRPr="007A3600">
              <w:rPr>
                <w:rFonts w:eastAsia="Times New Roman" w:cs="Arial"/>
                <w:b/>
                <w:bCs/>
                <w:sz w:val="18"/>
                <w:szCs w:val="18"/>
                <w:lang w:eastAsia="en-US"/>
              </w:rPr>
              <w:t>Retained Surplus</w:t>
            </w:r>
          </w:p>
        </w:tc>
        <w:tc>
          <w:tcPr>
            <w:tcW w:w="2991" w:type="dxa"/>
            <w:gridSpan w:val="3"/>
            <w:tcBorders>
              <w:top w:val="single" w:sz="8" w:space="0" w:color="800080"/>
              <w:left w:val="nil"/>
              <w:bottom w:val="nil"/>
              <w:right w:val="nil"/>
            </w:tcBorders>
            <w:shd w:val="clear" w:color="FFFFFF" w:fill="FFFFFF"/>
            <w:vAlign w:val="center"/>
            <w:hideMark/>
          </w:tcPr>
          <w:p w14:paraId="0B41DA21" w14:textId="77777777" w:rsidR="0082424C" w:rsidRPr="007A3600" w:rsidRDefault="0082424C" w:rsidP="00AD3197">
            <w:pPr>
              <w:spacing w:after="0" w:line="240" w:lineRule="auto"/>
              <w:jc w:val="center"/>
              <w:rPr>
                <w:rFonts w:eastAsia="Times New Roman" w:cs="Arial"/>
                <w:b/>
                <w:bCs/>
                <w:sz w:val="18"/>
                <w:szCs w:val="18"/>
                <w:lang w:eastAsia="en-US"/>
              </w:rPr>
            </w:pPr>
            <w:r w:rsidRPr="007A3600">
              <w:rPr>
                <w:rFonts w:eastAsia="Times New Roman" w:cs="Arial"/>
                <w:b/>
                <w:bCs/>
                <w:sz w:val="18"/>
                <w:szCs w:val="18"/>
                <w:lang w:eastAsia="en-US"/>
              </w:rPr>
              <w:t>Asset Revaluation Reserve</w:t>
            </w:r>
          </w:p>
        </w:tc>
        <w:tc>
          <w:tcPr>
            <w:tcW w:w="2991" w:type="dxa"/>
            <w:gridSpan w:val="3"/>
            <w:tcBorders>
              <w:top w:val="single" w:sz="8" w:space="0" w:color="800080"/>
              <w:left w:val="nil"/>
              <w:bottom w:val="nil"/>
              <w:right w:val="nil"/>
            </w:tcBorders>
            <w:shd w:val="clear" w:color="FFFFFF" w:fill="FFFFFF"/>
            <w:vAlign w:val="center"/>
            <w:hideMark/>
          </w:tcPr>
          <w:p w14:paraId="7859E3C0" w14:textId="77777777" w:rsidR="0082424C" w:rsidRPr="007A3600" w:rsidRDefault="0082424C" w:rsidP="00AD3197">
            <w:pPr>
              <w:spacing w:after="0" w:line="240" w:lineRule="auto"/>
              <w:jc w:val="center"/>
              <w:rPr>
                <w:rFonts w:eastAsia="Times New Roman" w:cs="Arial"/>
                <w:b/>
                <w:bCs/>
                <w:sz w:val="18"/>
                <w:szCs w:val="18"/>
                <w:lang w:eastAsia="en-US"/>
              </w:rPr>
            </w:pPr>
            <w:r w:rsidRPr="007A3600">
              <w:rPr>
                <w:rFonts w:eastAsia="Times New Roman" w:cs="Arial"/>
                <w:b/>
                <w:bCs/>
                <w:sz w:val="18"/>
                <w:szCs w:val="18"/>
                <w:lang w:eastAsia="en-US"/>
              </w:rPr>
              <w:t>Contributed Equity</w:t>
            </w:r>
          </w:p>
        </w:tc>
        <w:tc>
          <w:tcPr>
            <w:tcW w:w="3070" w:type="dxa"/>
            <w:gridSpan w:val="3"/>
            <w:tcBorders>
              <w:top w:val="single" w:sz="8" w:space="0" w:color="800080"/>
              <w:left w:val="nil"/>
              <w:bottom w:val="nil"/>
              <w:right w:val="nil"/>
            </w:tcBorders>
            <w:shd w:val="clear" w:color="FFFFFF" w:fill="FFFFFF"/>
            <w:vAlign w:val="center"/>
            <w:hideMark/>
          </w:tcPr>
          <w:p w14:paraId="2B832CB2" w14:textId="77777777" w:rsidR="0082424C" w:rsidRPr="007A3600" w:rsidRDefault="0082424C" w:rsidP="00AD3197">
            <w:pPr>
              <w:spacing w:after="0" w:line="240" w:lineRule="auto"/>
              <w:jc w:val="center"/>
              <w:rPr>
                <w:rFonts w:eastAsia="Times New Roman" w:cs="Arial"/>
                <w:b/>
                <w:bCs/>
                <w:sz w:val="18"/>
                <w:szCs w:val="18"/>
                <w:lang w:eastAsia="en-US"/>
              </w:rPr>
            </w:pPr>
            <w:r w:rsidRPr="007A3600">
              <w:rPr>
                <w:rFonts w:eastAsia="Times New Roman" w:cs="Arial"/>
                <w:b/>
                <w:bCs/>
                <w:sz w:val="18"/>
                <w:szCs w:val="18"/>
                <w:lang w:eastAsia="en-US"/>
              </w:rPr>
              <w:t>Total Equity</w:t>
            </w:r>
          </w:p>
        </w:tc>
      </w:tr>
      <w:tr w:rsidR="0082424C" w:rsidRPr="007A3600" w14:paraId="540794EB" w14:textId="77777777">
        <w:trPr>
          <w:trHeight w:val="238"/>
        </w:trPr>
        <w:tc>
          <w:tcPr>
            <w:tcW w:w="2629" w:type="dxa"/>
            <w:tcBorders>
              <w:top w:val="nil"/>
              <w:left w:val="nil"/>
              <w:bottom w:val="nil"/>
              <w:right w:val="nil"/>
            </w:tcBorders>
            <w:shd w:val="clear" w:color="FFFFFF" w:fill="FFFFFF"/>
            <w:noWrap/>
            <w:vAlign w:val="bottom"/>
            <w:hideMark/>
          </w:tcPr>
          <w:p w14:paraId="284189EC"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c>
          <w:tcPr>
            <w:tcW w:w="1006" w:type="dxa"/>
            <w:tcBorders>
              <w:top w:val="nil"/>
              <w:left w:val="nil"/>
              <w:bottom w:val="nil"/>
              <w:right w:val="nil"/>
            </w:tcBorders>
            <w:shd w:val="clear" w:color="FFFFFF" w:fill="FFFFFF"/>
            <w:vAlign w:val="center"/>
            <w:hideMark/>
          </w:tcPr>
          <w:p w14:paraId="7554E425"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8" w:type="dxa"/>
            <w:tcBorders>
              <w:top w:val="nil"/>
              <w:left w:val="nil"/>
              <w:bottom w:val="nil"/>
              <w:right w:val="nil"/>
            </w:tcBorders>
            <w:shd w:val="clear" w:color="FFFFFF" w:fill="FFFFFF"/>
            <w:vAlign w:val="center"/>
            <w:hideMark/>
          </w:tcPr>
          <w:p w14:paraId="54C14F3C"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8" w:type="dxa"/>
            <w:tcBorders>
              <w:top w:val="nil"/>
              <w:left w:val="nil"/>
              <w:bottom w:val="nil"/>
              <w:right w:val="nil"/>
            </w:tcBorders>
            <w:shd w:val="clear" w:color="FFFFFF" w:fill="FFFFFF"/>
            <w:vAlign w:val="bottom"/>
            <w:hideMark/>
          </w:tcPr>
          <w:p w14:paraId="17098AF0"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c>
          <w:tcPr>
            <w:tcW w:w="997" w:type="dxa"/>
            <w:tcBorders>
              <w:top w:val="nil"/>
              <w:left w:val="nil"/>
              <w:bottom w:val="nil"/>
              <w:right w:val="nil"/>
            </w:tcBorders>
            <w:shd w:val="clear" w:color="FFFFFF" w:fill="FFFFFF"/>
            <w:vAlign w:val="center"/>
            <w:hideMark/>
          </w:tcPr>
          <w:p w14:paraId="6423E05E"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vAlign w:val="center"/>
            <w:hideMark/>
          </w:tcPr>
          <w:p w14:paraId="4F63656B"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vAlign w:val="bottom"/>
            <w:hideMark/>
          </w:tcPr>
          <w:p w14:paraId="33368999"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c>
          <w:tcPr>
            <w:tcW w:w="997" w:type="dxa"/>
            <w:tcBorders>
              <w:top w:val="nil"/>
              <w:left w:val="nil"/>
              <w:bottom w:val="nil"/>
              <w:right w:val="nil"/>
            </w:tcBorders>
            <w:shd w:val="clear" w:color="FFFFFF" w:fill="FFFFFF"/>
            <w:vAlign w:val="center"/>
            <w:hideMark/>
          </w:tcPr>
          <w:p w14:paraId="4E49703F"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vAlign w:val="center"/>
            <w:hideMark/>
          </w:tcPr>
          <w:p w14:paraId="72640D88"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vAlign w:val="bottom"/>
            <w:hideMark/>
          </w:tcPr>
          <w:p w14:paraId="036802C9"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c>
          <w:tcPr>
            <w:tcW w:w="997" w:type="dxa"/>
            <w:tcBorders>
              <w:top w:val="nil"/>
              <w:left w:val="nil"/>
              <w:bottom w:val="nil"/>
              <w:right w:val="nil"/>
            </w:tcBorders>
            <w:shd w:val="clear" w:color="FFFFFF" w:fill="FFFFFF"/>
            <w:vAlign w:val="center"/>
            <w:hideMark/>
          </w:tcPr>
          <w:p w14:paraId="483F8D8B"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1076" w:type="dxa"/>
            <w:tcBorders>
              <w:top w:val="nil"/>
              <w:left w:val="nil"/>
              <w:bottom w:val="nil"/>
              <w:right w:val="nil"/>
            </w:tcBorders>
            <w:shd w:val="clear" w:color="FFFFFF" w:fill="FFFFFF"/>
            <w:vAlign w:val="center"/>
            <w:hideMark/>
          </w:tcPr>
          <w:p w14:paraId="4925F3FF"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vAlign w:val="bottom"/>
            <w:hideMark/>
          </w:tcPr>
          <w:p w14:paraId="500E6A0F"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r>
      <w:tr w:rsidR="0082424C" w:rsidRPr="007A3600" w14:paraId="2165464F" w14:textId="77777777">
        <w:trPr>
          <w:trHeight w:val="238"/>
        </w:trPr>
        <w:tc>
          <w:tcPr>
            <w:tcW w:w="2629" w:type="dxa"/>
            <w:tcBorders>
              <w:top w:val="nil"/>
              <w:left w:val="nil"/>
              <w:bottom w:val="nil"/>
              <w:right w:val="nil"/>
            </w:tcBorders>
            <w:shd w:val="clear" w:color="FFFFFF" w:fill="FFFFFF"/>
            <w:noWrap/>
            <w:vAlign w:val="bottom"/>
            <w:hideMark/>
          </w:tcPr>
          <w:p w14:paraId="41E8E28C"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c>
          <w:tcPr>
            <w:tcW w:w="1006" w:type="dxa"/>
            <w:tcBorders>
              <w:top w:val="nil"/>
              <w:left w:val="nil"/>
              <w:bottom w:val="nil"/>
              <w:right w:val="nil"/>
            </w:tcBorders>
            <w:shd w:val="clear" w:color="FFFFFF" w:fill="FFFFFF"/>
            <w:vAlign w:val="bottom"/>
            <w:hideMark/>
          </w:tcPr>
          <w:p w14:paraId="1E47F34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998" w:type="dxa"/>
            <w:tcBorders>
              <w:top w:val="nil"/>
              <w:left w:val="nil"/>
              <w:bottom w:val="nil"/>
              <w:right w:val="nil"/>
            </w:tcBorders>
            <w:shd w:val="clear" w:color="FFFFFF" w:fill="FFFFFF"/>
            <w:vAlign w:val="bottom"/>
            <w:hideMark/>
          </w:tcPr>
          <w:p w14:paraId="494C72CF"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2024</w:t>
            </w:r>
          </w:p>
        </w:tc>
        <w:tc>
          <w:tcPr>
            <w:tcW w:w="998" w:type="dxa"/>
            <w:tcBorders>
              <w:top w:val="nil"/>
              <w:left w:val="nil"/>
              <w:bottom w:val="nil"/>
              <w:right w:val="nil"/>
            </w:tcBorders>
            <w:shd w:val="clear" w:color="FFFFFF" w:fill="FFFFFF"/>
            <w:vAlign w:val="bottom"/>
            <w:hideMark/>
          </w:tcPr>
          <w:p w14:paraId="14DD59C0"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c>
          <w:tcPr>
            <w:tcW w:w="997" w:type="dxa"/>
            <w:tcBorders>
              <w:top w:val="nil"/>
              <w:left w:val="nil"/>
              <w:bottom w:val="nil"/>
              <w:right w:val="nil"/>
            </w:tcBorders>
            <w:shd w:val="clear" w:color="FFFFFF" w:fill="FFFFFF"/>
            <w:vAlign w:val="bottom"/>
            <w:hideMark/>
          </w:tcPr>
          <w:p w14:paraId="0AC8D978"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997" w:type="dxa"/>
            <w:tcBorders>
              <w:top w:val="nil"/>
              <w:left w:val="nil"/>
              <w:bottom w:val="nil"/>
              <w:right w:val="nil"/>
            </w:tcBorders>
            <w:shd w:val="clear" w:color="FFFFFF" w:fill="FFFFFF"/>
            <w:vAlign w:val="bottom"/>
            <w:hideMark/>
          </w:tcPr>
          <w:p w14:paraId="564B8558"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2024</w:t>
            </w:r>
          </w:p>
        </w:tc>
        <w:tc>
          <w:tcPr>
            <w:tcW w:w="997" w:type="dxa"/>
            <w:tcBorders>
              <w:top w:val="nil"/>
              <w:left w:val="nil"/>
              <w:bottom w:val="nil"/>
              <w:right w:val="nil"/>
            </w:tcBorders>
            <w:shd w:val="clear" w:color="FFFFFF" w:fill="FFFFFF"/>
            <w:vAlign w:val="bottom"/>
            <w:hideMark/>
          </w:tcPr>
          <w:p w14:paraId="2A475604"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c>
          <w:tcPr>
            <w:tcW w:w="997" w:type="dxa"/>
            <w:tcBorders>
              <w:top w:val="nil"/>
              <w:left w:val="nil"/>
              <w:bottom w:val="nil"/>
              <w:right w:val="nil"/>
            </w:tcBorders>
            <w:shd w:val="clear" w:color="FFFFFF" w:fill="FFFFFF"/>
            <w:vAlign w:val="bottom"/>
            <w:hideMark/>
          </w:tcPr>
          <w:p w14:paraId="0DBB9127"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997" w:type="dxa"/>
            <w:tcBorders>
              <w:top w:val="nil"/>
              <w:left w:val="nil"/>
              <w:bottom w:val="nil"/>
              <w:right w:val="nil"/>
            </w:tcBorders>
            <w:shd w:val="clear" w:color="FFFFFF" w:fill="FFFFFF"/>
            <w:vAlign w:val="bottom"/>
            <w:hideMark/>
          </w:tcPr>
          <w:p w14:paraId="6FBC336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2024</w:t>
            </w:r>
          </w:p>
        </w:tc>
        <w:tc>
          <w:tcPr>
            <w:tcW w:w="997" w:type="dxa"/>
            <w:tcBorders>
              <w:top w:val="nil"/>
              <w:left w:val="nil"/>
              <w:bottom w:val="nil"/>
              <w:right w:val="nil"/>
            </w:tcBorders>
            <w:shd w:val="clear" w:color="FFFFFF" w:fill="FFFFFF"/>
            <w:vAlign w:val="bottom"/>
            <w:hideMark/>
          </w:tcPr>
          <w:p w14:paraId="220CACAB"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c>
          <w:tcPr>
            <w:tcW w:w="997" w:type="dxa"/>
            <w:tcBorders>
              <w:top w:val="nil"/>
              <w:left w:val="nil"/>
              <w:bottom w:val="nil"/>
              <w:right w:val="nil"/>
            </w:tcBorders>
            <w:shd w:val="clear" w:color="FFFFFF" w:fill="FFFFFF"/>
            <w:vAlign w:val="bottom"/>
            <w:hideMark/>
          </w:tcPr>
          <w:p w14:paraId="5B48E314"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1076" w:type="dxa"/>
            <w:tcBorders>
              <w:top w:val="nil"/>
              <w:left w:val="nil"/>
              <w:bottom w:val="nil"/>
              <w:right w:val="nil"/>
            </w:tcBorders>
            <w:shd w:val="clear" w:color="FFFFFF" w:fill="FFFFFF"/>
            <w:vAlign w:val="bottom"/>
            <w:hideMark/>
          </w:tcPr>
          <w:p w14:paraId="163C50A2"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2024</w:t>
            </w:r>
          </w:p>
        </w:tc>
        <w:tc>
          <w:tcPr>
            <w:tcW w:w="997" w:type="dxa"/>
            <w:tcBorders>
              <w:top w:val="nil"/>
              <w:left w:val="nil"/>
              <w:bottom w:val="nil"/>
              <w:right w:val="nil"/>
            </w:tcBorders>
            <w:shd w:val="clear" w:color="FFFFFF" w:fill="FFFFFF"/>
            <w:vAlign w:val="bottom"/>
            <w:hideMark/>
          </w:tcPr>
          <w:p w14:paraId="22EE0C94"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2025</w:t>
            </w:r>
          </w:p>
        </w:tc>
      </w:tr>
      <w:tr w:rsidR="0082424C" w:rsidRPr="007A3600" w14:paraId="4222F264" w14:textId="77777777">
        <w:trPr>
          <w:trHeight w:val="238"/>
        </w:trPr>
        <w:tc>
          <w:tcPr>
            <w:tcW w:w="2629" w:type="dxa"/>
            <w:tcBorders>
              <w:top w:val="nil"/>
              <w:left w:val="nil"/>
              <w:bottom w:val="single" w:sz="8" w:space="0" w:color="800080"/>
              <w:right w:val="nil"/>
            </w:tcBorders>
            <w:shd w:val="clear" w:color="FFFFFF" w:fill="FFFFFF"/>
            <w:noWrap/>
            <w:vAlign w:val="bottom"/>
            <w:hideMark/>
          </w:tcPr>
          <w:p w14:paraId="4547158C"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c>
          <w:tcPr>
            <w:tcW w:w="1006" w:type="dxa"/>
            <w:tcBorders>
              <w:top w:val="nil"/>
              <w:left w:val="nil"/>
              <w:bottom w:val="single" w:sz="8" w:space="0" w:color="800080"/>
              <w:right w:val="nil"/>
            </w:tcBorders>
            <w:shd w:val="clear" w:color="FFFFFF" w:fill="FFFFFF"/>
            <w:vAlign w:val="bottom"/>
            <w:hideMark/>
          </w:tcPr>
          <w:p w14:paraId="53127553"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998" w:type="dxa"/>
            <w:tcBorders>
              <w:top w:val="nil"/>
              <w:left w:val="nil"/>
              <w:bottom w:val="single" w:sz="8" w:space="0" w:color="800080"/>
              <w:right w:val="nil"/>
            </w:tcBorders>
            <w:shd w:val="clear" w:color="FFFFFF" w:fill="FFFFFF"/>
            <w:vAlign w:val="bottom"/>
            <w:hideMark/>
          </w:tcPr>
          <w:p w14:paraId="062BC65A"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$'000</w:t>
            </w:r>
          </w:p>
        </w:tc>
        <w:tc>
          <w:tcPr>
            <w:tcW w:w="998" w:type="dxa"/>
            <w:tcBorders>
              <w:top w:val="nil"/>
              <w:left w:val="nil"/>
              <w:bottom w:val="single" w:sz="8" w:space="0" w:color="800080"/>
              <w:right w:val="nil"/>
            </w:tcBorders>
            <w:shd w:val="clear" w:color="FFFFFF" w:fill="FFFFFF"/>
            <w:vAlign w:val="bottom"/>
            <w:hideMark/>
          </w:tcPr>
          <w:p w14:paraId="58650BF6"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3788CF1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167D35F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5C8D1130"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2AD935F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69F7B179"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5E605502"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30AA16B4"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076" w:type="dxa"/>
            <w:tcBorders>
              <w:top w:val="nil"/>
              <w:left w:val="nil"/>
              <w:bottom w:val="single" w:sz="8" w:space="0" w:color="800080"/>
              <w:right w:val="nil"/>
            </w:tcBorders>
            <w:shd w:val="clear" w:color="FFFFFF" w:fill="FFFFFF"/>
            <w:vAlign w:val="bottom"/>
            <w:hideMark/>
          </w:tcPr>
          <w:p w14:paraId="0835BD3A"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$'000</w:t>
            </w:r>
          </w:p>
        </w:tc>
        <w:tc>
          <w:tcPr>
            <w:tcW w:w="997" w:type="dxa"/>
            <w:tcBorders>
              <w:top w:val="nil"/>
              <w:left w:val="nil"/>
              <w:bottom w:val="single" w:sz="8" w:space="0" w:color="800080"/>
              <w:right w:val="nil"/>
            </w:tcBorders>
            <w:shd w:val="clear" w:color="FFFFFF" w:fill="FFFFFF"/>
            <w:vAlign w:val="bottom"/>
            <w:hideMark/>
          </w:tcPr>
          <w:p w14:paraId="10A918A3" w14:textId="77777777" w:rsidR="0082424C" w:rsidRPr="007A3600" w:rsidRDefault="0082424C" w:rsidP="00AD3197">
            <w:pPr>
              <w:spacing w:after="0" w:line="240" w:lineRule="auto"/>
              <w:jc w:val="right"/>
              <w:rPr>
                <w:rFonts w:eastAsia="Times New Roman" w:cs="Arial"/>
                <w:color w:val="800080"/>
                <w:sz w:val="18"/>
                <w:szCs w:val="18"/>
                <w:lang w:eastAsia="en-US"/>
              </w:rPr>
            </w:pPr>
            <w:r w:rsidRPr="007A3600">
              <w:rPr>
                <w:rFonts w:eastAsia="Times New Roman" w:cs="Arial"/>
                <w:color w:val="800080"/>
                <w:sz w:val="18"/>
                <w:szCs w:val="18"/>
                <w:lang w:eastAsia="en-US"/>
              </w:rPr>
              <w:t>$'000</w:t>
            </w:r>
          </w:p>
        </w:tc>
      </w:tr>
      <w:tr w:rsidR="0082424C" w:rsidRPr="007A3600" w14:paraId="1A974851" w14:textId="77777777">
        <w:trPr>
          <w:trHeight w:val="238"/>
        </w:trPr>
        <w:tc>
          <w:tcPr>
            <w:tcW w:w="2629" w:type="dxa"/>
            <w:tcBorders>
              <w:top w:val="nil"/>
              <w:left w:val="nil"/>
              <w:bottom w:val="nil"/>
              <w:right w:val="nil"/>
            </w:tcBorders>
            <w:shd w:val="clear" w:color="FFFFFF" w:fill="FFFFFF"/>
            <w:hideMark/>
          </w:tcPr>
          <w:p w14:paraId="51B9C39D"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Opening balance</w:t>
            </w:r>
          </w:p>
        </w:tc>
        <w:tc>
          <w:tcPr>
            <w:tcW w:w="1006" w:type="dxa"/>
            <w:tcBorders>
              <w:top w:val="nil"/>
              <w:left w:val="nil"/>
              <w:bottom w:val="single" w:sz="4" w:space="0" w:color="auto"/>
              <w:right w:val="nil"/>
            </w:tcBorders>
            <w:shd w:val="clear" w:color="FFFFFF" w:fill="FFFFFF"/>
            <w:noWrap/>
            <w:hideMark/>
          </w:tcPr>
          <w:p w14:paraId="5E923D58"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2,034,744</w:t>
            </w:r>
          </w:p>
        </w:tc>
        <w:tc>
          <w:tcPr>
            <w:tcW w:w="998" w:type="dxa"/>
            <w:tcBorders>
              <w:top w:val="nil"/>
              <w:left w:val="nil"/>
              <w:bottom w:val="single" w:sz="4" w:space="0" w:color="auto"/>
              <w:right w:val="nil"/>
            </w:tcBorders>
            <w:shd w:val="clear" w:color="FFFFFF" w:fill="FFFFFF"/>
            <w:noWrap/>
            <w:hideMark/>
          </w:tcPr>
          <w:p w14:paraId="2B48349C"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1,032,160</w:t>
            </w:r>
          </w:p>
        </w:tc>
        <w:tc>
          <w:tcPr>
            <w:tcW w:w="998" w:type="dxa"/>
            <w:tcBorders>
              <w:top w:val="nil"/>
              <w:left w:val="nil"/>
              <w:bottom w:val="single" w:sz="4" w:space="0" w:color="auto"/>
              <w:right w:val="nil"/>
            </w:tcBorders>
            <w:shd w:val="clear" w:color="FFFFFF" w:fill="FFFFFF"/>
            <w:noWrap/>
            <w:hideMark/>
          </w:tcPr>
          <w:p w14:paraId="0C16FDC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1,229,842</w:t>
            </w:r>
          </w:p>
        </w:tc>
        <w:tc>
          <w:tcPr>
            <w:tcW w:w="997" w:type="dxa"/>
            <w:tcBorders>
              <w:top w:val="nil"/>
              <w:left w:val="nil"/>
              <w:bottom w:val="single" w:sz="4" w:space="0" w:color="auto"/>
              <w:right w:val="nil"/>
            </w:tcBorders>
            <w:shd w:val="clear" w:color="FFFFFF" w:fill="FFFFFF"/>
            <w:noWrap/>
            <w:hideMark/>
          </w:tcPr>
          <w:p w14:paraId="691231C6"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46,916</w:t>
            </w:r>
          </w:p>
        </w:tc>
        <w:tc>
          <w:tcPr>
            <w:tcW w:w="997" w:type="dxa"/>
            <w:tcBorders>
              <w:top w:val="nil"/>
              <w:left w:val="nil"/>
              <w:bottom w:val="single" w:sz="4" w:space="0" w:color="auto"/>
              <w:right w:val="nil"/>
            </w:tcBorders>
            <w:shd w:val="clear" w:color="FFFFFF" w:fill="FFFFFF"/>
            <w:noWrap/>
            <w:hideMark/>
          </w:tcPr>
          <w:p w14:paraId="7A0C7682"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38,364</w:t>
            </w:r>
          </w:p>
        </w:tc>
        <w:tc>
          <w:tcPr>
            <w:tcW w:w="997" w:type="dxa"/>
            <w:tcBorders>
              <w:top w:val="nil"/>
              <w:left w:val="nil"/>
              <w:bottom w:val="single" w:sz="4" w:space="0" w:color="auto"/>
              <w:right w:val="nil"/>
            </w:tcBorders>
            <w:shd w:val="clear" w:color="FFFFFF" w:fill="FFFFFF"/>
            <w:noWrap/>
            <w:hideMark/>
          </w:tcPr>
          <w:p w14:paraId="4B2B438D"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38,363</w:t>
            </w:r>
          </w:p>
        </w:tc>
        <w:tc>
          <w:tcPr>
            <w:tcW w:w="997" w:type="dxa"/>
            <w:tcBorders>
              <w:top w:val="nil"/>
              <w:left w:val="nil"/>
              <w:bottom w:val="single" w:sz="4" w:space="0" w:color="auto"/>
              <w:right w:val="nil"/>
            </w:tcBorders>
            <w:shd w:val="clear" w:color="FFFFFF" w:fill="FFFFFF"/>
            <w:noWrap/>
            <w:hideMark/>
          </w:tcPr>
          <w:p w14:paraId="55CB4878"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205,733</w:t>
            </w:r>
          </w:p>
        </w:tc>
        <w:tc>
          <w:tcPr>
            <w:tcW w:w="997" w:type="dxa"/>
            <w:tcBorders>
              <w:top w:val="nil"/>
              <w:left w:val="nil"/>
              <w:bottom w:val="single" w:sz="4" w:space="0" w:color="auto"/>
              <w:right w:val="nil"/>
            </w:tcBorders>
            <w:shd w:val="clear" w:color="FFFFFF" w:fill="FFFFFF"/>
            <w:noWrap/>
            <w:hideMark/>
          </w:tcPr>
          <w:p w14:paraId="72A81209"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205,733</w:t>
            </w:r>
          </w:p>
        </w:tc>
        <w:tc>
          <w:tcPr>
            <w:tcW w:w="997" w:type="dxa"/>
            <w:tcBorders>
              <w:top w:val="nil"/>
              <w:left w:val="nil"/>
              <w:bottom w:val="single" w:sz="4" w:space="0" w:color="auto"/>
              <w:right w:val="nil"/>
            </w:tcBorders>
            <w:shd w:val="clear" w:color="FFFFFF" w:fill="FFFFFF"/>
            <w:noWrap/>
            <w:hideMark/>
          </w:tcPr>
          <w:p w14:paraId="34C8D96F"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205,732</w:t>
            </w:r>
          </w:p>
        </w:tc>
        <w:tc>
          <w:tcPr>
            <w:tcW w:w="997" w:type="dxa"/>
            <w:tcBorders>
              <w:top w:val="nil"/>
              <w:left w:val="nil"/>
              <w:bottom w:val="single" w:sz="4" w:space="0" w:color="auto"/>
              <w:right w:val="nil"/>
            </w:tcBorders>
            <w:shd w:val="clear" w:color="FFFFFF" w:fill="FFFFFF"/>
            <w:noWrap/>
            <w:hideMark/>
          </w:tcPr>
          <w:p w14:paraId="184A3C09"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2,287,393</w:t>
            </w:r>
          </w:p>
        </w:tc>
        <w:tc>
          <w:tcPr>
            <w:tcW w:w="1076" w:type="dxa"/>
            <w:tcBorders>
              <w:top w:val="nil"/>
              <w:left w:val="nil"/>
              <w:bottom w:val="single" w:sz="4" w:space="0" w:color="auto"/>
              <w:right w:val="nil"/>
            </w:tcBorders>
            <w:shd w:val="clear" w:color="FFFFFF" w:fill="FFFFFF"/>
            <w:noWrap/>
            <w:hideMark/>
          </w:tcPr>
          <w:p w14:paraId="72EDEE66"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1,276,257</w:t>
            </w:r>
          </w:p>
        </w:tc>
        <w:tc>
          <w:tcPr>
            <w:tcW w:w="997" w:type="dxa"/>
            <w:tcBorders>
              <w:top w:val="nil"/>
              <w:left w:val="nil"/>
              <w:bottom w:val="single" w:sz="4" w:space="0" w:color="auto"/>
              <w:right w:val="nil"/>
            </w:tcBorders>
            <w:shd w:val="clear" w:color="FFFFFF" w:fill="FFFFFF"/>
            <w:noWrap/>
            <w:hideMark/>
          </w:tcPr>
          <w:p w14:paraId="2CDFA3AF"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1,473,937</w:t>
            </w:r>
          </w:p>
        </w:tc>
      </w:tr>
      <w:tr w:rsidR="0082424C" w:rsidRPr="007A3600" w14:paraId="7DDE6FA4" w14:textId="77777777">
        <w:trPr>
          <w:trHeight w:val="238"/>
        </w:trPr>
        <w:tc>
          <w:tcPr>
            <w:tcW w:w="2629" w:type="dxa"/>
            <w:tcBorders>
              <w:top w:val="nil"/>
              <w:left w:val="nil"/>
              <w:bottom w:val="nil"/>
              <w:right w:val="nil"/>
            </w:tcBorders>
            <w:shd w:val="clear" w:color="FFFFFF" w:fill="FFFFFF"/>
            <w:noWrap/>
            <w:hideMark/>
          </w:tcPr>
          <w:p w14:paraId="38BE19CD"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1006" w:type="dxa"/>
            <w:tcBorders>
              <w:top w:val="nil"/>
              <w:left w:val="nil"/>
              <w:bottom w:val="nil"/>
              <w:right w:val="nil"/>
            </w:tcBorders>
            <w:shd w:val="clear" w:color="FFFFFF" w:fill="FFFFFF"/>
            <w:noWrap/>
            <w:hideMark/>
          </w:tcPr>
          <w:p w14:paraId="6FF0A729"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8" w:type="dxa"/>
            <w:tcBorders>
              <w:top w:val="nil"/>
              <w:left w:val="nil"/>
              <w:bottom w:val="nil"/>
              <w:right w:val="nil"/>
            </w:tcBorders>
            <w:shd w:val="clear" w:color="FFFFFF" w:fill="FFFFFF"/>
            <w:noWrap/>
            <w:hideMark/>
          </w:tcPr>
          <w:p w14:paraId="7E49B9FD"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8" w:type="dxa"/>
            <w:tcBorders>
              <w:top w:val="nil"/>
              <w:left w:val="nil"/>
              <w:bottom w:val="nil"/>
              <w:right w:val="nil"/>
            </w:tcBorders>
            <w:shd w:val="clear" w:color="FFFFFF" w:fill="FFFFFF"/>
            <w:noWrap/>
            <w:hideMark/>
          </w:tcPr>
          <w:p w14:paraId="6D7126E7"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28EE5FD5"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5BDF4837"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1FE25E05"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4A3D98D8"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381D64B2"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5AACCC6A"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322AF0D9"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1076" w:type="dxa"/>
            <w:tcBorders>
              <w:top w:val="nil"/>
              <w:left w:val="nil"/>
              <w:bottom w:val="nil"/>
              <w:right w:val="nil"/>
            </w:tcBorders>
            <w:shd w:val="clear" w:color="FFFFFF" w:fill="FFFFFF"/>
            <w:noWrap/>
            <w:hideMark/>
          </w:tcPr>
          <w:p w14:paraId="346695B7"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c>
          <w:tcPr>
            <w:tcW w:w="997" w:type="dxa"/>
            <w:tcBorders>
              <w:top w:val="nil"/>
              <w:left w:val="nil"/>
              <w:bottom w:val="nil"/>
              <w:right w:val="nil"/>
            </w:tcBorders>
            <w:shd w:val="clear" w:color="FFFFFF" w:fill="FFFFFF"/>
            <w:noWrap/>
            <w:hideMark/>
          </w:tcPr>
          <w:p w14:paraId="5E8A61FF" w14:textId="77777777" w:rsidR="0082424C" w:rsidRPr="007A3600" w:rsidRDefault="0082424C" w:rsidP="00AD3197">
            <w:pPr>
              <w:spacing w:after="0" w:line="240" w:lineRule="auto"/>
              <w:rPr>
                <w:rFonts w:eastAsia="Times New Roman" w:cs="Arial"/>
                <w:sz w:val="16"/>
                <w:szCs w:val="16"/>
                <w:lang w:eastAsia="en-US"/>
              </w:rPr>
            </w:pPr>
            <w:r w:rsidRPr="007A3600">
              <w:rPr>
                <w:rFonts w:eastAsia="Times New Roman" w:cs="Arial"/>
                <w:sz w:val="16"/>
                <w:szCs w:val="16"/>
                <w:lang w:eastAsia="en-US"/>
              </w:rPr>
              <w:t> </w:t>
            </w:r>
          </w:p>
        </w:tc>
      </w:tr>
      <w:tr w:rsidR="0082424C" w:rsidRPr="007A3600" w14:paraId="17E4FFCA" w14:textId="77777777">
        <w:trPr>
          <w:trHeight w:val="238"/>
        </w:trPr>
        <w:tc>
          <w:tcPr>
            <w:tcW w:w="2629" w:type="dxa"/>
            <w:tcBorders>
              <w:top w:val="nil"/>
              <w:left w:val="nil"/>
              <w:bottom w:val="nil"/>
              <w:right w:val="nil"/>
            </w:tcBorders>
            <w:shd w:val="clear" w:color="FFFFFF" w:fill="FFFFFF"/>
            <w:hideMark/>
          </w:tcPr>
          <w:p w14:paraId="596DD805"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Comprehensive income</w:t>
            </w:r>
          </w:p>
        </w:tc>
        <w:tc>
          <w:tcPr>
            <w:tcW w:w="1006" w:type="dxa"/>
            <w:tcBorders>
              <w:top w:val="nil"/>
              <w:left w:val="nil"/>
              <w:bottom w:val="nil"/>
              <w:right w:val="nil"/>
            </w:tcBorders>
            <w:shd w:val="clear" w:color="FFFFFF" w:fill="FFFFFF"/>
            <w:noWrap/>
            <w:hideMark/>
          </w:tcPr>
          <w:p w14:paraId="660511F4"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8" w:type="dxa"/>
            <w:tcBorders>
              <w:top w:val="nil"/>
              <w:left w:val="nil"/>
              <w:bottom w:val="nil"/>
              <w:right w:val="nil"/>
            </w:tcBorders>
            <w:shd w:val="clear" w:color="FFFFFF" w:fill="FFFFFF"/>
            <w:noWrap/>
            <w:hideMark/>
          </w:tcPr>
          <w:p w14:paraId="6B8EAB2F"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8" w:type="dxa"/>
            <w:tcBorders>
              <w:top w:val="nil"/>
              <w:left w:val="nil"/>
              <w:bottom w:val="nil"/>
              <w:right w:val="nil"/>
            </w:tcBorders>
            <w:shd w:val="clear" w:color="FFFFFF" w:fill="FFFFFF"/>
            <w:noWrap/>
            <w:hideMark/>
          </w:tcPr>
          <w:p w14:paraId="5B4A1957"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44BB14C4"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58188E33"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4114230D"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3C919279"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37AD0340"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0362792F"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hideMark/>
          </w:tcPr>
          <w:p w14:paraId="73CFA5C3"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076" w:type="dxa"/>
            <w:tcBorders>
              <w:top w:val="nil"/>
              <w:left w:val="nil"/>
              <w:bottom w:val="nil"/>
              <w:right w:val="nil"/>
            </w:tcBorders>
            <w:shd w:val="clear" w:color="FFFFFF" w:fill="FFFFFF"/>
            <w:noWrap/>
            <w:hideMark/>
          </w:tcPr>
          <w:p w14:paraId="001711B2"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hideMark/>
          </w:tcPr>
          <w:p w14:paraId="100E83DA"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D182D17" w14:textId="77777777">
        <w:trPr>
          <w:trHeight w:val="238"/>
        </w:trPr>
        <w:tc>
          <w:tcPr>
            <w:tcW w:w="2629" w:type="dxa"/>
            <w:tcBorders>
              <w:top w:val="nil"/>
              <w:left w:val="nil"/>
              <w:bottom w:val="nil"/>
              <w:right w:val="nil"/>
            </w:tcBorders>
            <w:shd w:val="clear" w:color="FFFFFF" w:fill="FFFFFF"/>
            <w:hideMark/>
          </w:tcPr>
          <w:p w14:paraId="4735B55A"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Surplus/(Deficit) for the period</w:t>
            </w:r>
          </w:p>
        </w:tc>
        <w:tc>
          <w:tcPr>
            <w:tcW w:w="1006" w:type="dxa"/>
            <w:tcBorders>
              <w:top w:val="nil"/>
              <w:left w:val="nil"/>
              <w:bottom w:val="nil"/>
              <w:right w:val="nil"/>
            </w:tcBorders>
            <w:shd w:val="clear" w:color="FFFFFF" w:fill="FFFFFF"/>
            <w:noWrap/>
            <w:hideMark/>
          </w:tcPr>
          <w:p w14:paraId="727B2496"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102,218</w:t>
            </w:r>
          </w:p>
        </w:tc>
        <w:tc>
          <w:tcPr>
            <w:tcW w:w="998" w:type="dxa"/>
            <w:tcBorders>
              <w:top w:val="nil"/>
              <w:left w:val="nil"/>
              <w:bottom w:val="nil"/>
              <w:right w:val="nil"/>
            </w:tcBorders>
            <w:shd w:val="clear" w:color="FFFFFF" w:fill="FFFFFF"/>
            <w:noWrap/>
            <w:hideMark/>
          </w:tcPr>
          <w:p w14:paraId="793795E2"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1,002,584</w:t>
            </w:r>
          </w:p>
        </w:tc>
        <w:tc>
          <w:tcPr>
            <w:tcW w:w="998" w:type="dxa"/>
            <w:tcBorders>
              <w:top w:val="nil"/>
              <w:left w:val="nil"/>
              <w:bottom w:val="nil"/>
              <w:right w:val="nil"/>
            </w:tcBorders>
            <w:shd w:val="clear" w:color="FFFFFF" w:fill="FFFFFF"/>
            <w:noWrap/>
            <w:hideMark/>
          </w:tcPr>
          <w:p w14:paraId="647E07F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(70,558)</w:t>
            </w:r>
          </w:p>
        </w:tc>
        <w:tc>
          <w:tcPr>
            <w:tcW w:w="997" w:type="dxa"/>
            <w:tcBorders>
              <w:top w:val="nil"/>
              <w:left w:val="nil"/>
              <w:bottom w:val="nil"/>
              <w:right w:val="nil"/>
            </w:tcBorders>
            <w:shd w:val="clear" w:color="FFFFFF" w:fill="FFFFFF"/>
            <w:noWrap/>
            <w:hideMark/>
          </w:tcPr>
          <w:p w14:paraId="5205961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xml:space="preserve"> -</w:t>
            </w:r>
          </w:p>
        </w:tc>
        <w:tc>
          <w:tcPr>
            <w:tcW w:w="997" w:type="dxa"/>
            <w:tcBorders>
              <w:top w:val="nil"/>
              <w:left w:val="nil"/>
              <w:bottom w:val="nil"/>
              <w:right w:val="nil"/>
            </w:tcBorders>
            <w:shd w:val="clear" w:color="FFFFFF" w:fill="FFFFFF"/>
            <w:noWrap/>
            <w:hideMark/>
          </w:tcPr>
          <w:p w14:paraId="3B5B724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3E3CE989"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41D80662"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997" w:type="dxa"/>
            <w:tcBorders>
              <w:top w:val="nil"/>
              <w:left w:val="nil"/>
              <w:bottom w:val="nil"/>
              <w:right w:val="nil"/>
            </w:tcBorders>
            <w:shd w:val="clear" w:color="FFFFFF" w:fill="FFFFFF"/>
            <w:noWrap/>
            <w:hideMark/>
          </w:tcPr>
          <w:p w14:paraId="1779C0BC"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34E3ABB0"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1D3E4C0B"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102,218</w:t>
            </w:r>
          </w:p>
        </w:tc>
        <w:tc>
          <w:tcPr>
            <w:tcW w:w="1076" w:type="dxa"/>
            <w:tcBorders>
              <w:top w:val="nil"/>
              <w:left w:val="nil"/>
              <w:bottom w:val="nil"/>
              <w:right w:val="nil"/>
            </w:tcBorders>
            <w:shd w:val="clear" w:color="FFFFFF" w:fill="FFFFFF"/>
            <w:noWrap/>
            <w:hideMark/>
          </w:tcPr>
          <w:p w14:paraId="79F7F1F2"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1,002,584</w:t>
            </w:r>
          </w:p>
        </w:tc>
        <w:tc>
          <w:tcPr>
            <w:tcW w:w="997" w:type="dxa"/>
            <w:tcBorders>
              <w:top w:val="nil"/>
              <w:left w:val="nil"/>
              <w:bottom w:val="nil"/>
              <w:right w:val="nil"/>
            </w:tcBorders>
            <w:shd w:val="clear" w:color="FFFFFF" w:fill="FFFFFF"/>
            <w:noWrap/>
            <w:hideMark/>
          </w:tcPr>
          <w:p w14:paraId="3809DAB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(70,558)</w:t>
            </w:r>
          </w:p>
        </w:tc>
      </w:tr>
      <w:tr w:rsidR="0082424C" w:rsidRPr="007A3600" w14:paraId="4CB18874" w14:textId="77777777">
        <w:trPr>
          <w:trHeight w:val="238"/>
        </w:trPr>
        <w:tc>
          <w:tcPr>
            <w:tcW w:w="2629" w:type="dxa"/>
            <w:tcBorders>
              <w:top w:val="nil"/>
              <w:left w:val="nil"/>
              <w:bottom w:val="nil"/>
              <w:right w:val="nil"/>
            </w:tcBorders>
            <w:shd w:val="clear" w:color="FFFFFF" w:fill="FFFFFF"/>
            <w:hideMark/>
          </w:tcPr>
          <w:p w14:paraId="5386B54E" w14:textId="77777777" w:rsidR="0082424C" w:rsidRPr="007A3600" w:rsidRDefault="0082424C" w:rsidP="00AD3197">
            <w:pPr>
              <w:spacing w:after="0" w:line="240" w:lineRule="auto"/>
              <w:rPr>
                <w:rFonts w:eastAsia="Times New Roman" w:cs="Arial"/>
                <w:sz w:val="18"/>
                <w:szCs w:val="18"/>
                <w:lang w:eastAsia="en-US"/>
              </w:rPr>
            </w:pPr>
            <w:r w:rsidRPr="007A3600">
              <w:rPr>
                <w:rFonts w:eastAsia="Times New Roman" w:cs="Arial"/>
                <w:sz w:val="18"/>
                <w:szCs w:val="18"/>
                <w:lang w:eastAsia="en-US"/>
              </w:rPr>
              <w:t>Other comprehensive income</w:t>
            </w:r>
          </w:p>
        </w:tc>
        <w:tc>
          <w:tcPr>
            <w:tcW w:w="1006" w:type="dxa"/>
            <w:tcBorders>
              <w:top w:val="nil"/>
              <w:left w:val="nil"/>
              <w:bottom w:val="nil"/>
              <w:right w:val="nil"/>
            </w:tcBorders>
            <w:shd w:val="clear" w:color="FFFFFF" w:fill="FFFFFF"/>
            <w:noWrap/>
            <w:hideMark/>
          </w:tcPr>
          <w:p w14:paraId="71E6452E"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xml:space="preserve"> -</w:t>
            </w:r>
          </w:p>
        </w:tc>
        <w:tc>
          <w:tcPr>
            <w:tcW w:w="998" w:type="dxa"/>
            <w:tcBorders>
              <w:top w:val="nil"/>
              <w:left w:val="nil"/>
              <w:bottom w:val="nil"/>
              <w:right w:val="nil"/>
            </w:tcBorders>
            <w:shd w:val="clear" w:color="FFFFFF" w:fill="FFFFFF"/>
            <w:noWrap/>
            <w:hideMark/>
          </w:tcPr>
          <w:p w14:paraId="29F8D95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8" w:type="dxa"/>
            <w:tcBorders>
              <w:top w:val="nil"/>
              <w:left w:val="nil"/>
              <w:bottom w:val="nil"/>
              <w:right w:val="nil"/>
            </w:tcBorders>
            <w:shd w:val="clear" w:color="FFFFFF" w:fill="FFFFFF"/>
            <w:noWrap/>
            <w:hideMark/>
          </w:tcPr>
          <w:p w14:paraId="4AB7B51A"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04AB8B01"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997" w:type="dxa"/>
            <w:tcBorders>
              <w:top w:val="nil"/>
              <w:left w:val="nil"/>
              <w:bottom w:val="nil"/>
              <w:right w:val="nil"/>
            </w:tcBorders>
            <w:shd w:val="clear" w:color="FFFFFF" w:fill="FFFFFF"/>
            <w:noWrap/>
            <w:hideMark/>
          </w:tcPr>
          <w:p w14:paraId="44004FB3"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8,552</w:t>
            </w:r>
          </w:p>
        </w:tc>
        <w:tc>
          <w:tcPr>
            <w:tcW w:w="997" w:type="dxa"/>
            <w:tcBorders>
              <w:top w:val="nil"/>
              <w:left w:val="nil"/>
              <w:bottom w:val="nil"/>
              <w:right w:val="nil"/>
            </w:tcBorders>
            <w:shd w:val="clear" w:color="FFFFFF" w:fill="FFFFFF"/>
            <w:noWrap/>
            <w:hideMark/>
          </w:tcPr>
          <w:p w14:paraId="5AFE518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698B920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997" w:type="dxa"/>
            <w:tcBorders>
              <w:top w:val="nil"/>
              <w:left w:val="nil"/>
              <w:bottom w:val="nil"/>
              <w:right w:val="nil"/>
            </w:tcBorders>
            <w:shd w:val="clear" w:color="FFFFFF" w:fill="FFFFFF"/>
            <w:noWrap/>
            <w:hideMark/>
          </w:tcPr>
          <w:p w14:paraId="2A6DB710"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4E14B43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997" w:type="dxa"/>
            <w:tcBorders>
              <w:top w:val="nil"/>
              <w:left w:val="nil"/>
              <w:bottom w:val="nil"/>
              <w:right w:val="nil"/>
            </w:tcBorders>
            <w:shd w:val="clear" w:color="FFFFFF" w:fill="FFFFFF"/>
            <w:noWrap/>
            <w:hideMark/>
          </w:tcPr>
          <w:p w14:paraId="0B523577"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1076" w:type="dxa"/>
            <w:tcBorders>
              <w:top w:val="nil"/>
              <w:left w:val="nil"/>
              <w:bottom w:val="nil"/>
              <w:right w:val="nil"/>
            </w:tcBorders>
            <w:shd w:val="clear" w:color="FFFFFF" w:fill="FFFFFF"/>
            <w:noWrap/>
            <w:hideMark/>
          </w:tcPr>
          <w:p w14:paraId="6BD9D26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8,552</w:t>
            </w:r>
          </w:p>
        </w:tc>
        <w:tc>
          <w:tcPr>
            <w:tcW w:w="997" w:type="dxa"/>
            <w:tcBorders>
              <w:top w:val="nil"/>
              <w:left w:val="nil"/>
              <w:bottom w:val="nil"/>
              <w:right w:val="nil"/>
            </w:tcBorders>
            <w:shd w:val="clear" w:color="FFFFFF" w:fill="FFFFFF"/>
            <w:noWrap/>
            <w:hideMark/>
          </w:tcPr>
          <w:p w14:paraId="1E69676D"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2CBC325A" w14:textId="77777777">
        <w:trPr>
          <w:trHeight w:val="238"/>
        </w:trPr>
        <w:tc>
          <w:tcPr>
            <w:tcW w:w="2629" w:type="dxa"/>
            <w:tcBorders>
              <w:top w:val="single" w:sz="4" w:space="0" w:color="auto"/>
              <w:left w:val="nil"/>
              <w:bottom w:val="single" w:sz="4" w:space="0" w:color="auto"/>
              <w:right w:val="nil"/>
            </w:tcBorders>
            <w:shd w:val="clear" w:color="FFFFFF" w:fill="FFFFFF"/>
            <w:hideMark/>
          </w:tcPr>
          <w:p w14:paraId="51CCAB66"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Total comprehensive income/(loss)</w:t>
            </w:r>
          </w:p>
        </w:tc>
        <w:tc>
          <w:tcPr>
            <w:tcW w:w="1006" w:type="dxa"/>
            <w:tcBorders>
              <w:top w:val="single" w:sz="4" w:space="0" w:color="auto"/>
              <w:left w:val="nil"/>
              <w:bottom w:val="single" w:sz="4" w:space="0" w:color="auto"/>
              <w:right w:val="nil"/>
            </w:tcBorders>
            <w:shd w:val="clear" w:color="FFFFFF" w:fill="FFFFFF"/>
            <w:noWrap/>
            <w:hideMark/>
          </w:tcPr>
          <w:p w14:paraId="33D8390E"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102,218</w:t>
            </w:r>
          </w:p>
        </w:tc>
        <w:tc>
          <w:tcPr>
            <w:tcW w:w="998" w:type="dxa"/>
            <w:tcBorders>
              <w:top w:val="single" w:sz="4" w:space="0" w:color="auto"/>
              <w:left w:val="nil"/>
              <w:bottom w:val="single" w:sz="4" w:space="0" w:color="auto"/>
              <w:right w:val="nil"/>
            </w:tcBorders>
            <w:shd w:val="clear" w:color="FFFFFF" w:fill="FFFFFF"/>
            <w:noWrap/>
            <w:hideMark/>
          </w:tcPr>
          <w:p w14:paraId="09118F21"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1,002,584</w:t>
            </w:r>
          </w:p>
        </w:tc>
        <w:tc>
          <w:tcPr>
            <w:tcW w:w="998" w:type="dxa"/>
            <w:tcBorders>
              <w:top w:val="single" w:sz="4" w:space="0" w:color="auto"/>
              <w:left w:val="nil"/>
              <w:bottom w:val="single" w:sz="4" w:space="0" w:color="auto"/>
              <w:right w:val="nil"/>
            </w:tcBorders>
            <w:shd w:val="clear" w:color="FFFFFF" w:fill="FFFFFF"/>
            <w:noWrap/>
            <w:hideMark/>
          </w:tcPr>
          <w:p w14:paraId="01AC8B9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(70,558)</w:t>
            </w:r>
          </w:p>
        </w:tc>
        <w:tc>
          <w:tcPr>
            <w:tcW w:w="997" w:type="dxa"/>
            <w:tcBorders>
              <w:top w:val="single" w:sz="4" w:space="0" w:color="auto"/>
              <w:left w:val="nil"/>
              <w:bottom w:val="single" w:sz="4" w:space="0" w:color="auto"/>
              <w:right w:val="nil"/>
            </w:tcBorders>
            <w:shd w:val="clear" w:color="FFFFFF" w:fill="FFFFFF"/>
            <w:noWrap/>
            <w:hideMark/>
          </w:tcPr>
          <w:p w14:paraId="53737525"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997" w:type="dxa"/>
            <w:tcBorders>
              <w:top w:val="single" w:sz="4" w:space="0" w:color="auto"/>
              <w:left w:val="nil"/>
              <w:bottom w:val="single" w:sz="4" w:space="0" w:color="auto"/>
              <w:right w:val="nil"/>
            </w:tcBorders>
            <w:shd w:val="clear" w:color="FFFFFF" w:fill="FFFFFF"/>
            <w:noWrap/>
            <w:hideMark/>
          </w:tcPr>
          <w:p w14:paraId="0F61F81E"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8,552</w:t>
            </w:r>
          </w:p>
        </w:tc>
        <w:tc>
          <w:tcPr>
            <w:tcW w:w="997" w:type="dxa"/>
            <w:tcBorders>
              <w:top w:val="single" w:sz="4" w:space="0" w:color="auto"/>
              <w:left w:val="nil"/>
              <w:bottom w:val="single" w:sz="4" w:space="0" w:color="auto"/>
              <w:right w:val="nil"/>
            </w:tcBorders>
            <w:shd w:val="clear" w:color="FFFFFF" w:fill="FFFFFF"/>
            <w:noWrap/>
            <w:hideMark/>
          </w:tcPr>
          <w:p w14:paraId="3C78620D"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w:t>
            </w:r>
          </w:p>
        </w:tc>
        <w:tc>
          <w:tcPr>
            <w:tcW w:w="997" w:type="dxa"/>
            <w:tcBorders>
              <w:top w:val="single" w:sz="4" w:space="0" w:color="auto"/>
              <w:left w:val="nil"/>
              <w:bottom w:val="single" w:sz="4" w:space="0" w:color="auto"/>
              <w:right w:val="nil"/>
            </w:tcBorders>
            <w:shd w:val="clear" w:color="FFFFFF" w:fill="FFFFFF"/>
            <w:noWrap/>
            <w:hideMark/>
          </w:tcPr>
          <w:p w14:paraId="71566DAD"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997" w:type="dxa"/>
            <w:tcBorders>
              <w:top w:val="single" w:sz="4" w:space="0" w:color="auto"/>
              <w:left w:val="nil"/>
              <w:bottom w:val="single" w:sz="4" w:space="0" w:color="auto"/>
              <w:right w:val="nil"/>
            </w:tcBorders>
            <w:shd w:val="clear" w:color="FFFFFF" w:fill="FFFFFF"/>
            <w:noWrap/>
            <w:hideMark/>
          </w:tcPr>
          <w:p w14:paraId="1BBA87B3"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w:t>
            </w:r>
          </w:p>
        </w:tc>
        <w:tc>
          <w:tcPr>
            <w:tcW w:w="997" w:type="dxa"/>
            <w:tcBorders>
              <w:top w:val="single" w:sz="4" w:space="0" w:color="auto"/>
              <w:left w:val="nil"/>
              <w:bottom w:val="single" w:sz="4" w:space="0" w:color="auto"/>
              <w:right w:val="nil"/>
            </w:tcBorders>
            <w:shd w:val="clear" w:color="FFFFFF" w:fill="FFFFFF"/>
            <w:noWrap/>
            <w:hideMark/>
          </w:tcPr>
          <w:p w14:paraId="5DF4AF9F"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w:t>
            </w:r>
          </w:p>
        </w:tc>
        <w:tc>
          <w:tcPr>
            <w:tcW w:w="997" w:type="dxa"/>
            <w:tcBorders>
              <w:top w:val="single" w:sz="4" w:space="0" w:color="auto"/>
              <w:left w:val="nil"/>
              <w:bottom w:val="single" w:sz="4" w:space="0" w:color="auto"/>
              <w:right w:val="nil"/>
            </w:tcBorders>
            <w:shd w:val="clear" w:color="FFFFFF" w:fill="FFFFFF"/>
            <w:noWrap/>
            <w:hideMark/>
          </w:tcPr>
          <w:p w14:paraId="0F025F8D"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112,704</w:t>
            </w:r>
          </w:p>
        </w:tc>
        <w:tc>
          <w:tcPr>
            <w:tcW w:w="1076" w:type="dxa"/>
            <w:tcBorders>
              <w:top w:val="single" w:sz="4" w:space="0" w:color="auto"/>
              <w:left w:val="nil"/>
              <w:bottom w:val="single" w:sz="4" w:space="0" w:color="auto"/>
              <w:right w:val="nil"/>
            </w:tcBorders>
            <w:shd w:val="clear" w:color="FFFFFF" w:fill="FFFFFF"/>
            <w:noWrap/>
            <w:hideMark/>
          </w:tcPr>
          <w:p w14:paraId="69185034"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1,011,136</w:t>
            </w:r>
          </w:p>
        </w:tc>
        <w:tc>
          <w:tcPr>
            <w:tcW w:w="997" w:type="dxa"/>
            <w:tcBorders>
              <w:top w:val="single" w:sz="4" w:space="0" w:color="auto"/>
              <w:left w:val="nil"/>
              <w:bottom w:val="single" w:sz="4" w:space="0" w:color="auto"/>
              <w:right w:val="nil"/>
            </w:tcBorders>
            <w:shd w:val="clear" w:color="FFFFFF" w:fill="FFFFFF"/>
            <w:noWrap/>
            <w:hideMark/>
          </w:tcPr>
          <w:p w14:paraId="64C9CCA1"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(70,558)</w:t>
            </w:r>
          </w:p>
        </w:tc>
      </w:tr>
      <w:tr w:rsidR="0082424C" w:rsidRPr="007A3600" w14:paraId="43C802EA" w14:textId="77777777">
        <w:trPr>
          <w:trHeight w:val="238"/>
        </w:trPr>
        <w:tc>
          <w:tcPr>
            <w:tcW w:w="2629" w:type="dxa"/>
            <w:tcBorders>
              <w:top w:val="nil"/>
              <w:left w:val="nil"/>
              <w:bottom w:val="nil"/>
              <w:right w:val="nil"/>
            </w:tcBorders>
            <w:shd w:val="clear" w:color="FFFFFF" w:fill="FFFFFF"/>
            <w:vAlign w:val="bottom"/>
            <w:hideMark/>
          </w:tcPr>
          <w:p w14:paraId="4AE475D2"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 </w:t>
            </w:r>
          </w:p>
        </w:tc>
        <w:tc>
          <w:tcPr>
            <w:tcW w:w="1006" w:type="dxa"/>
            <w:tcBorders>
              <w:top w:val="nil"/>
              <w:left w:val="nil"/>
              <w:bottom w:val="nil"/>
              <w:right w:val="nil"/>
            </w:tcBorders>
            <w:shd w:val="clear" w:color="FFFFFF" w:fill="FFFFFF"/>
            <w:noWrap/>
            <w:vAlign w:val="bottom"/>
            <w:hideMark/>
          </w:tcPr>
          <w:p w14:paraId="3988CBF0"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8" w:type="dxa"/>
            <w:tcBorders>
              <w:top w:val="nil"/>
              <w:left w:val="nil"/>
              <w:bottom w:val="nil"/>
              <w:right w:val="nil"/>
            </w:tcBorders>
            <w:shd w:val="clear" w:color="FFFFFF" w:fill="FFFFFF"/>
            <w:noWrap/>
            <w:vAlign w:val="bottom"/>
            <w:hideMark/>
          </w:tcPr>
          <w:p w14:paraId="50047713"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8" w:type="dxa"/>
            <w:tcBorders>
              <w:top w:val="nil"/>
              <w:left w:val="nil"/>
              <w:bottom w:val="nil"/>
              <w:right w:val="nil"/>
            </w:tcBorders>
            <w:shd w:val="clear" w:color="FFFFFF" w:fill="FFFFFF"/>
            <w:noWrap/>
            <w:vAlign w:val="bottom"/>
            <w:hideMark/>
          </w:tcPr>
          <w:p w14:paraId="5658F947"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2E600FC8"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vAlign w:val="bottom"/>
            <w:hideMark/>
          </w:tcPr>
          <w:p w14:paraId="364A3037"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57288F89"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4A1767A4"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997" w:type="dxa"/>
            <w:tcBorders>
              <w:top w:val="nil"/>
              <w:left w:val="nil"/>
              <w:bottom w:val="nil"/>
              <w:right w:val="nil"/>
            </w:tcBorders>
            <w:shd w:val="clear" w:color="FFFFFF" w:fill="FFFFFF"/>
            <w:noWrap/>
            <w:vAlign w:val="bottom"/>
            <w:hideMark/>
          </w:tcPr>
          <w:p w14:paraId="7EEFD57E"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51DE3796"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55075639"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076" w:type="dxa"/>
            <w:tcBorders>
              <w:top w:val="nil"/>
              <w:left w:val="nil"/>
              <w:bottom w:val="nil"/>
              <w:right w:val="nil"/>
            </w:tcBorders>
            <w:shd w:val="clear" w:color="FFFFFF" w:fill="FFFFFF"/>
            <w:noWrap/>
            <w:vAlign w:val="bottom"/>
            <w:hideMark/>
          </w:tcPr>
          <w:p w14:paraId="1583B5A8"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c>
          <w:tcPr>
            <w:tcW w:w="997" w:type="dxa"/>
            <w:tcBorders>
              <w:top w:val="nil"/>
              <w:left w:val="nil"/>
              <w:bottom w:val="nil"/>
              <w:right w:val="nil"/>
            </w:tcBorders>
            <w:shd w:val="clear" w:color="FFFFFF" w:fill="FFFFFF"/>
            <w:noWrap/>
            <w:vAlign w:val="bottom"/>
            <w:hideMark/>
          </w:tcPr>
          <w:p w14:paraId="78DCA58D"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106AB8D" w14:textId="77777777">
        <w:trPr>
          <w:trHeight w:val="238"/>
        </w:trPr>
        <w:tc>
          <w:tcPr>
            <w:tcW w:w="2629" w:type="dxa"/>
            <w:tcBorders>
              <w:top w:val="single" w:sz="4" w:space="0" w:color="auto"/>
              <w:left w:val="nil"/>
              <w:bottom w:val="single" w:sz="4" w:space="0" w:color="auto"/>
              <w:right w:val="nil"/>
            </w:tcBorders>
            <w:shd w:val="clear" w:color="FFFFFF" w:fill="FFFFFF"/>
            <w:vAlign w:val="bottom"/>
            <w:hideMark/>
          </w:tcPr>
          <w:p w14:paraId="6B24AC0A" w14:textId="77777777" w:rsidR="0082424C" w:rsidRPr="007A3600" w:rsidRDefault="0082424C" w:rsidP="00AD3197">
            <w:pPr>
              <w:spacing w:after="0" w:line="240" w:lineRule="auto"/>
              <w:rPr>
                <w:rFonts w:eastAsia="Times New Roman" w:cs="Arial"/>
                <w:b/>
                <w:bCs/>
                <w:sz w:val="18"/>
                <w:szCs w:val="18"/>
                <w:lang w:eastAsia="en-US"/>
              </w:rPr>
            </w:pPr>
            <w:r w:rsidRPr="007A3600">
              <w:rPr>
                <w:rFonts w:eastAsia="Times New Roman" w:cs="Arial"/>
                <w:b/>
                <w:bCs/>
                <w:sz w:val="18"/>
                <w:szCs w:val="18"/>
                <w:lang w:eastAsia="en-US"/>
              </w:rPr>
              <w:t>Closing balance</w:t>
            </w:r>
          </w:p>
        </w:tc>
        <w:tc>
          <w:tcPr>
            <w:tcW w:w="1006" w:type="dxa"/>
            <w:tcBorders>
              <w:top w:val="single" w:sz="4" w:space="0" w:color="auto"/>
              <w:left w:val="nil"/>
              <w:bottom w:val="single" w:sz="4" w:space="0" w:color="auto"/>
              <w:right w:val="nil"/>
            </w:tcBorders>
            <w:shd w:val="clear" w:color="FFFFFF" w:fill="FFFFFF"/>
            <w:noWrap/>
            <w:vAlign w:val="bottom"/>
            <w:hideMark/>
          </w:tcPr>
          <w:p w14:paraId="78E8DE16"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2,136,962</w:t>
            </w:r>
          </w:p>
        </w:tc>
        <w:tc>
          <w:tcPr>
            <w:tcW w:w="998" w:type="dxa"/>
            <w:tcBorders>
              <w:top w:val="single" w:sz="4" w:space="0" w:color="auto"/>
              <w:left w:val="nil"/>
              <w:bottom w:val="single" w:sz="4" w:space="0" w:color="auto"/>
              <w:right w:val="nil"/>
            </w:tcBorders>
            <w:shd w:val="clear" w:color="FFFFFF" w:fill="FFFFFF"/>
            <w:noWrap/>
            <w:vAlign w:val="bottom"/>
            <w:hideMark/>
          </w:tcPr>
          <w:p w14:paraId="189CE5E9"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2,034,744</w:t>
            </w:r>
          </w:p>
        </w:tc>
        <w:tc>
          <w:tcPr>
            <w:tcW w:w="998" w:type="dxa"/>
            <w:tcBorders>
              <w:top w:val="single" w:sz="4" w:space="0" w:color="auto"/>
              <w:left w:val="nil"/>
              <w:bottom w:val="single" w:sz="4" w:space="0" w:color="auto"/>
              <w:right w:val="nil"/>
            </w:tcBorders>
            <w:shd w:val="clear" w:color="FFFFFF" w:fill="FFFFFF"/>
            <w:noWrap/>
            <w:vAlign w:val="bottom"/>
            <w:hideMark/>
          </w:tcPr>
          <w:p w14:paraId="562CCF1F"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1,159,284</w:t>
            </w:r>
          </w:p>
        </w:tc>
        <w:tc>
          <w:tcPr>
            <w:tcW w:w="997" w:type="dxa"/>
            <w:tcBorders>
              <w:top w:val="single" w:sz="4" w:space="0" w:color="auto"/>
              <w:left w:val="nil"/>
              <w:bottom w:val="single" w:sz="4" w:space="0" w:color="auto"/>
              <w:right w:val="nil"/>
            </w:tcBorders>
            <w:shd w:val="clear" w:color="FFFFFF" w:fill="FFFFFF"/>
            <w:noWrap/>
            <w:vAlign w:val="bottom"/>
            <w:hideMark/>
          </w:tcPr>
          <w:p w14:paraId="1012A9F0"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57,402</w:t>
            </w:r>
          </w:p>
        </w:tc>
        <w:tc>
          <w:tcPr>
            <w:tcW w:w="997" w:type="dxa"/>
            <w:tcBorders>
              <w:top w:val="single" w:sz="4" w:space="0" w:color="auto"/>
              <w:left w:val="nil"/>
              <w:bottom w:val="single" w:sz="4" w:space="0" w:color="auto"/>
              <w:right w:val="nil"/>
            </w:tcBorders>
            <w:shd w:val="clear" w:color="FFFFFF" w:fill="FFFFFF"/>
            <w:noWrap/>
            <w:vAlign w:val="bottom"/>
            <w:hideMark/>
          </w:tcPr>
          <w:p w14:paraId="370E0F37"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46,916</w:t>
            </w:r>
          </w:p>
        </w:tc>
        <w:tc>
          <w:tcPr>
            <w:tcW w:w="997" w:type="dxa"/>
            <w:tcBorders>
              <w:top w:val="single" w:sz="4" w:space="0" w:color="auto"/>
              <w:left w:val="nil"/>
              <w:bottom w:val="single" w:sz="4" w:space="0" w:color="auto"/>
              <w:right w:val="nil"/>
            </w:tcBorders>
            <w:shd w:val="clear" w:color="FFFFFF" w:fill="FFFFFF"/>
            <w:noWrap/>
            <w:vAlign w:val="bottom"/>
            <w:hideMark/>
          </w:tcPr>
          <w:p w14:paraId="316A7F35"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38,363</w:t>
            </w:r>
          </w:p>
        </w:tc>
        <w:tc>
          <w:tcPr>
            <w:tcW w:w="997" w:type="dxa"/>
            <w:tcBorders>
              <w:top w:val="single" w:sz="4" w:space="0" w:color="auto"/>
              <w:left w:val="nil"/>
              <w:bottom w:val="single" w:sz="4" w:space="0" w:color="auto"/>
              <w:right w:val="nil"/>
            </w:tcBorders>
            <w:shd w:val="clear" w:color="FFFFFF" w:fill="FFFFFF"/>
            <w:noWrap/>
            <w:vAlign w:val="bottom"/>
            <w:hideMark/>
          </w:tcPr>
          <w:p w14:paraId="5D9EE001"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205,733</w:t>
            </w:r>
          </w:p>
        </w:tc>
        <w:tc>
          <w:tcPr>
            <w:tcW w:w="997" w:type="dxa"/>
            <w:tcBorders>
              <w:top w:val="single" w:sz="4" w:space="0" w:color="auto"/>
              <w:left w:val="nil"/>
              <w:bottom w:val="single" w:sz="4" w:space="0" w:color="auto"/>
              <w:right w:val="nil"/>
            </w:tcBorders>
            <w:shd w:val="clear" w:color="FFFFFF" w:fill="FFFFFF"/>
            <w:noWrap/>
            <w:vAlign w:val="bottom"/>
            <w:hideMark/>
          </w:tcPr>
          <w:p w14:paraId="330478B4"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205,733</w:t>
            </w:r>
          </w:p>
        </w:tc>
        <w:tc>
          <w:tcPr>
            <w:tcW w:w="997" w:type="dxa"/>
            <w:tcBorders>
              <w:top w:val="single" w:sz="4" w:space="0" w:color="auto"/>
              <w:left w:val="nil"/>
              <w:bottom w:val="single" w:sz="4" w:space="0" w:color="auto"/>
              <w:right w:val="nil"/>
            </w:tcBorders>
            <w:shd w:val="clear" w:color="FFFFFF" w:fill="FFFFFF"/>
            <w:noWrap/>
            <w:vAlign w:val="bottom"/>
            <w:hideMark/>
          </w:tcPr>
          <w:p w14:paraId="4D977246"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205,732</w:t>
            </w:r>
          </w:p>
        </w:tc>
        <w:tc>
          <w:tcPr>
            <w:tcW w:w="997" w:type="dxa"/>
            <w:tcBorders>
              <w:top w:val="single" w:sz="4" w:space="0" w:color="auto"/>
              <w:left w:val="nil"/>
              <w:bottom w:val="single" w:sz="4" w:space="0" w:color="auto"/>
              <w:right w:val="nil"/>
            </w:tcBorders>
            <w:shd w:val="clear" w:color="FFFFFF" w:fill="FFFFFF"/>
            <w:noWrap/>
            <w:vAlign w:val="bottom"/>
            <w:hideMark/>
          </w:tcPr>
          <w:p w14:paraId="4607BBF3" w14:textId="77777777" w:rsidR="0082424C" w:rsidRPr="007A3600" w:rsidRDefault="0082424C" w:rsidP="00AD3197">
            <w:pPr>
              <w:spacing w:after="0" w:line="240" w:lineRule="auto"/>
              <w:jc w:val="right"/>
              <w:rPr>
                <w:rFonts w:eastAsia="Times New Roman" w:cs="Arial"/>
                <w:b/>
                <w:bCs/>
                <w:sz w:val="18"/>
                <w:szCs w:val="18"/>
                <w:lang w:eastAsia="en-US"/>
              </w:rPr>
            </w:pPr>
            <w:r w:rsidRPr="007A3600">
              <w:rPr>
                <w:rFonts w:eastAsia="Times New Roman" w:cs="Arial"/>
                <w:b/>
                <w:bCs/>
                <w:sz w:val="18"/>
                <w:szCs w:val="18"/>
                <w:lang w:eastAsia="en-US"/>
              </w:rPr>
              <w:t>2,400,097</w:t>
            </w:r>
          </w:p>
        </w:tc>
        <w:tc>
          <w:tcPr>
            <w:tcW w:w="1076" w:type="dxa"/>
            <w:tcBorders>
              <w:top w:val="single" w:sz="4" w:space="0" w:color="auto"/>
              <w:left w:val="nil"/>
              <w:bottom w:val="single" w:sz="4" w:space="0" w:color="auto"/>
              <w:right w:val="nil"/>
            </w:tcBorders>
            <w:shd w:val="clear" w:color="FFFFFF" w:fill="FFFFFF"/>
            <w:noWrap/>
            <w:vAlign w:val="bottom"/>
            <w:hideMark/>
          </w:tcPr>
          <w:p w14:paraId="31C22EEC"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2,287,393</w:t>
            </w:r>
          </w:p>
        </w:tc>
        <w:tc>
          <w:tcPr>
            <w:tcW w:w="997" w:type="dxa"/>
            <w:tcBorders>
              <w:top w:val="single" w:sz="4" w:space="0" w:color="auto"/>
              <w:left w:val="nil"/>
              <w:bottom w:val="single" w:sz="4" w:space="0" w:color="auto"/>
              <w:right w:val="nil"/>
            </w:tcBorders>
            <w:shd w:val="clear" w:color="FFFFFF" w:fill="FFFFFF"/>
            <w:noWrap/>
            <w:vAlign w:val="bottom"/>
            <w:hideMark/>
          </w:tcPr>
          <w:p w14:paraId="018EDED1" w14:textId="77777777" w:rsidR="0082424C" w:rsidRPr="007A3600" w:rsidRDefault="0082424C" w:rsidP="00AD3197">
            <w:pPr>
              <w:spacing w:after="0" w:line="240" w:lineRule="auto"/>
              <w:jc w:val="right"/>
              <w:rPr>
                <w:rFonts w:eastAsia="Times New Roman" w:cs="Arial"/>
                <w:sz w:val="18"/>
                <w:szCs w:val="18"/>
                <w:lang w:eastAsia="en-US"/>
              </w:rPr>
            </w:pPr>
            <w:r w:rsidRPr="007A3600">
              <w:rPr>
                <w:rFonts w:eastAsia="Times New Roman" w:cs="Arial"/>
                <w:sz w:val="18"/>
                <w:szCs w:val="18"/>
                <w:lang w:eastAsia="en-US"/>
              </w:rPr>
              <w:t>1,403,379</w:t>
            </w:r>
          </w:p>
        </w:tc>
      </w:tr>
    </w:tbl>
    <w:p w14:paraId="57F01FD5" w14:textId="77777777" w:rsidR="0082424C" w:rsidRPr="007A3600" w:rsidRDefault="0082424C" w:rsidP="00AD3197">
      <w:pPr>
        <w:spacing w:before="120" w:after="120" w:line="260" w:lineRule="atLeast"/>
        <w:rPr>
          <w:rFonts w:eastAsia="Times New Roman" w:cs="Arial"/>
          <w:sz w:val="18"/>
          <w:szCs w:val="18"/>
          <w:lang w:eastAsia="en-US"/>
        </w:rPr>
      </w:pPr>
      <w:r w:rsidRPr="007A3600">
        <w:rPr>
          <w:rFonts w:eastAsia="Times New Roman" w:cs="Arial"/>
          <w:sz w:val="18"/>
          <w:szCs w:val="18"/>
          <w:lang w:eastAsia="en-US"/>
        </w:rPr>
        <w:t>The above statement should be read in conjunction with the accompanying notes.</w:t>
      </w:r>
    </w:p>
    <w:p w14:paraId="32020AF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
          <w:bCs/>
          <w:sz w:val="18"/>
          <w:szCs w:val="18"/>
          <w:lang w:eastAsia="en-US"/>
        </w:rPr>
      </w:pPr>
      <w:r w:rsidRPr="007A3600">
        <w:rPr>
          <w:rFonts w:eastAsia="Times New Roman" w:cs="Arial"/>
          <w:b/>
          <w:bCs/>
          <w:sz w:val="18"/>
          <w:szCs w:val="18"/>
          <w:lang w:eastAsia="en-US"/>
        </w:rPr>
        <w:t>Budget Variances Commentary</w:t>
      </w:r>
    </w:p>
    <w:p w14:paraId="136C793C"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
          <w:bCs/>
          <w:sz w:val="18"/>
          <w:szCs w:val="18"/>
          <w:lang w:eastAsia="en-US"/>
        </w:rPr>
      </w:pPr>
      <w:r w:rsidRPr="007A3600">
        <w:rPr>
          <w:rFonts w:eastAsia="Times New Roman" w:cs="Arial"/>
          <w:b/>
          <w:bCs/>
          <w:sz w:val="18"/>
          <w:szCs w:val="18"/>
          <w:lang w:eastAsia="en-US"/>
        </w:rPr>
        <w:t>Statement of Changes in Equity</w:t>
      </w:r>
    </w:p>
    <w:p w14:paraId="4373A6CC"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40" w:line="240" w:lineRule="auto"/>
        <w:rPr>
          <w:rFonts w:eastAsia="Times New Roman" w:cs="Arial"/>
          <w:bCs/>
          <w:sz w:val="18"/>
          <w:szCs w:val="18"/>
          <w:lang w:eastAsia="en-US"/>
        </w:rPr>
      </w:pPr>
      <w:r w:rsidRPr="007A3600">
        <w:rPr>
          <w:rFonts w:eastAsia="Times New Roman" w:cs="Arial"/>
          <w:bCs/>
          <w:sz w:val="18"/>
          <w:szCs w:val="18"/>
          <w:lang w:eastAsia="en-US"/>
        </w:rPr>
        <w:t xml:space="preserve">Major budget variances for balances contained in the Statement of Changes in Equity have been included in the budget variances commentary for the Statement of Comprehensive Income and the Statement of Financial Position. </w:t>
      </w:r>
    </w:p>
    <w:p w14:paraId="46D2BC32" w14:textId="77777777" w:rsidR="0082424C" w:rsidRPr="007A3600" w:rsidRDefault="0082424C" w:rsidP="00AD3197">
      <w:pPr>
        <w:spacing w:before="120" w:after="0" w:line="240" w:lineRule="auto"/>
        <w:rPr>
          <w:rFonts w:eastAsia="Times New Roman"/>
          <w:sz w:val="18"/>
          <w:szCs w:val="20"/>
        </w:rPr>
      </w:pPr>
      <w:r w:rsidRPr="007A3600">
        <w:rPr>
          <w:rFonts w:eastAsia="Times New Roman"/>
          <w:sz w:val="18"/>
          <w:szCs w:val="20"/>
          <w:vertAlign w:val="superscript"/>
        </w:rPr>
        <w:t xml:space="preserve">1 </w:t>
      </w:r>
      <w:r w:rsidRPr="007A3600">
        <w:rPr>
          <w:rFonts w:eastAsia="Times New Roman"/>
          <w:sz w:val="18"/>
          <w:szCs w:val="20"/>
        </w:rPr>
        <w:t>Original Budget refers to the figures published in the 2024–25 Portfolio Budget Statements.</w:t>
      </w:r>
    </w:p>
    <w:p w14:paraId="1D8AAD12" w14:textId="77777777" w:rsidR="0082424C" w:rsidRPr="007A3600" w:rsidRDefault="0082424C" w:rsidP="00AD3197">
      <w:pPr>
        <w:spacing w:before="120" w:after="0" w:line="260" w:lineRule="atLeast"/>
        <w:rPr>
          <w:rFonts w:eastAsia="Times New Roman" w:cs="Arial"/>
          <w:sz w:val="18"/>
          <w:szCs w:val="18"/>
          <w:lang w:eastAsia="en-US"/>
        </w:rPr>
        <w:sectPr w:rsidR="0082424C" w:rsidRPr="007A3600" w:rsidSect="0082424C">
          <w:headerReference w:type="even" r:id="rId130"/>
          <w:headerReference w:type="default" r:id="rId131"/>
          <w:footerReference w:type="default" r:id="rId132"/>
          <w:headerReference w:type="first" r:id="rId133"/>
          <w:pgSz w:w="16838" w:h="11906" w:orient="landscape" w:code="9"/>
          <w:pgMar w:top="1134" w:right="1103" w:bottom="851" w:left="1134" w:header="561" w:footer="737" w:gutter="0"/>
          <w:cols w:space="708"/>
          <w:docGrid w:linePitch="360"/>
        </w:sectPr>
      </w:pPr>
    </w:p>
    <w:p w14:paraId="6C1E5C62"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63CB1B6D" w14:textId="77777777" w:rsidR="0082424C" w:rsidRPr="007A3600" w:rsidRDefault="0082424C" w:rsidP="00AD3197">
      <w:pPr>
        <w:spacing w:after="0" w:line="260" w:lineRule="atLeast"/>
        <w:rPr>
          <w:rFonts w:eastAsia="Times New Roman" w:cs="Arial"/>
          <w:b/>
          <w:lang w:eastAsia="en-US"/>
        </w:rPr>
      </w:pPr>
      <w:r w:rsidRPr="007A3600">
        <w:rPr>
          <w:rFonts w:eastAsia="Times New Roman"/>
          <w:b/>
          <w:lang w:eastAsia="en-US"/>
        </w:rPr>
        <w:t>CASH FLOW STATEMENT</w:t>
      </w:r>
    </w:p>
    <w:p w14:paraId="01E8204F" w14:textId="77777777" w:rsidR="0082424C" w:rsidRPr="007A3600" w:rsidRDefault="0082424C" w:rsidP="00AD3197">
      <w:pPr>
        <w:pBdr>
          <w:bottom w:val="single" w:sz="4" w:space="1" w:color="auto"/>
        </w:pBdr>
        <w:spacing w:after="120" w:line="260" w:lineRule="atLeast"/>
        <w:rPr>
          <w:rFonts w:eastAsia="Times New Roman"/>
          <w:i/>
          <w:szCs w:val="20"/>
          <w:lang w:eastAsia="en-US"/>
        </w:rPr>
      </w:pPr>
      <w:r w:rsidRPr="007A3600">
        <w:rPr>
          <w:rFonts w:eastAsia="Times New Roman"/>
          <w:i/>
          <w:lang w:eastAsia="en-US"/>
        </w:rPr>
        <w:t xml:space="preserve">for the year ended </w:t>
      </w:r>
      <w:r w:rsidRPr="007A3600">
        <w:rPr>
          <w:rFonts w:eastAsia="Times New Roman"/>
          <w:szCs w:val="20"/>
          <w:lang w:eastAsia="en-US"/>
        </w:rPr>
        <w:fldChar w:fldCharType="begin"/>
      </w:r>
      <w:r w:rsidRPr="007A3600">
        <w:rPr>
          <w:rFonts w:eastAsia="Times New Roman"/>
          <w:i/>
          <w:szCs w:val="20"/>
          <w:lang w:eastAsia="en-US"/>
        </w:rPr>
        <w:instrText>DOCPROPERTY  pEnd  \* MERGEFORMAT</w:instrText>
      </w:r>
      <w:r w:rsidRPr="007A3600">
        <w:rPr>
          <w:rFonts w:eastAsia="Times New Roman"/>
          <w:szCs w:val="20"/>
          <w:lang w:eastAsia="en-US"/>
        </w:rPr>
        <w:fldChar w:fldCharType="separate"/>
      </w:r>
      <w:r w:rsidRPr="007A3600">
        <w:rPr>
          <w:rFonts w:eastAsia="Times New Roman"/>
          <w:i/>
          <w:szCs w:val="20"/>
          <w:lang w:eastAsia="en-US"/>
        </w:rPr>
        <w:t>30 June</w:t>
      </w:r>
      <w:r w:rsidRPr="007A3600">
        <w:rPr>
          <w:rFonts w:eastAsia="Times New Roman"/>
          <w:szCs w:val="20"/>
          <w:lang w:eastAsia="en-US"/>
        </w:rPr>
        <w:fldChar w:fldCharType="end"/>
      </w:r>
      <w:r w:rsidRPr="007A3600">
        <w:rPr>
          <w:rFonts w:eastAsia="Times New Roman"/>
          <w:i/>
          <w:szCs w:val="20"/>
          <w:lang w:eastAsia="en-US"/>
        </w:rPr>
        <w:t xml:space="preserve"> </w:t>
      </w:r>
      <w:r w:rsidRPr="007A3600">
        <w:rPr>
          <w:rFonts w:eastAsia="Times New Roman"/>
          <w:szCs w:val="20"/>
          <w:lang w:eastAsia="en-US"/>
        </w:rPr>
        <w:fldChar w:fldCharType="begin"/>
      </w:r>
      <w:r w:rsidRPr="007A3600">
        <w:rPr>
          <w:rFonts w:eastAsia="Times New Roman"/>
          <w:i/>
          <w:lang w:eastAsia="en-US"/>
        </w:rPr>
        <w:instrText xml:space="preserve"> DOCPROPERTY  crYear  \* MERGEFORMAT </w:instrText>
      </w:r>
      <w:r w:rsidRPr="007A3600">
        <w:rPr>
          <w:rFonts w:eastAsia="Times New Roman"/>
          <w:szCs w:val="20"/>
          <w:lang w:eastAsia="en-US"/>
        </w:rPr>
        <w:fldChar w:fldCharType="separate"/>
      </w:r>
      <w:r w:rsidRPr="007A3600">
        <w:rPr>
          <w:rFonts w:eastAsia="Times New Roman"/>
          <w:i/>
          <w:lang w:eastAsia="en-US"/>
        </w:rPr>
        <w:t>2025</w:t>
      </w:r>
      <w:r w:rsidRPr="007A3600">
        <w:rPr>
          <w:rFonts w:eastAsia="Times New Roman"/>
          <w:szCs w:val="20"/>
          <w:lang w:eastAsia="en-US"/>
        </w:rPr>
        <w:fldChar w:fldCharType="end"/>
      </w:r>
    </w:p>
    <w:tbl>
      <w:tblPr>
        <w:tblW w:w="9087" w:type="dxa"/>
        <w:tblLayout w:type="fixed"/>
        <w:tblCellMar>
          <w:left w:w="57" w:type="dxa"/>
          <w:right w:w="57" w:type="dxa"/>
        </w:tblCellMar>
        <w:tblLook w:val="04A0" w:firstRow="1" w:lastRow="0" w:firstColumn="1" w:lastColumn="0" w:noHBand="0" w:noVBand="1"/>
      </w:tblPr>
      <w:tblGrid>
        <w:gridCol w:w="4241"/>
        <w:gridCol w:w="1242"/>
        <w:gridCol w:w="1044"/>
        <w:gridCol w:w="236"/>
        <w:gridCol w:w="1044"/>
        <w:gridCol w:w="236"/>
        <w:gridCol w:w="1044"/>
      </w:tblGrid>
      <w:tr w:rsidR="0082424C" w:rsidRPr="007A3600" w14:paraId="3B3841C2" w14:textId="77777777">
        <w:trPr>
          <w:trHeight w:val="20"/>
        </w:trPr>
        <w:tc>
          <w:tcPr>
            <w:tcW w:w="4241" w:type="dxa"/>
            <w:tcBorders>
              <w:top w:val="single" w:sz="8" w:space="0" w:color="800080"/>
              <w:left w:val="nil"/>
              <w:bottom w:val="nil"/>
              <w:right w:val="nil"/>
            </w:tcBorders>
            <w:shd w:val="clear" w:color="FFFFFF" w:fill="FFFFFF"/>
            <w:noWrap/>
            <w:vAlign w:val="bottom"/>
            <w:hideMark/>
          </w:tcPr>
          <w:p w14:paraId="412C25E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single" w:sz="8" w:space="0" w:color="800080"/>
              <w:left w:val="nil"/>
              <w:bottom w:val="nil"/>
              <w:right w:val="nil"/>
            </w:tcBorders>
            <w:shd w:val="clear" w:color="FFFFFF" w:fill="FFFFFF"/>
            <w:noWrap/>
            <w:vAlign w:val="bottom"/>
            <w:hideMark/>
          </w:tcPr>
          <w:p w14:paraId="55B6F96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678A667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4388D33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noWrap/>
            <w:vAlign w:val="bottom"/>
            <w:hideMark/>
          </w:tcPr>
          <w:p w14:paraId="731BE0D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single" w:sz="8" w:space="0" w:color="800080"/>
              <w:left w:val="nil"/>
              <w:bottom w:val="nil"/>
              <w:right w:val="nil"/>
            </w:tcBorders>
            <w:shd w:val="clear" w:color="FFFFFF" w:fill="FFFFFF"/>
            <w:noWrap/>
            <w:vAlign w:val="bottom"/>
            <w:hideMark/>
          </w:tcPr>
          <w:p w14:paraId="0F8D554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8" w:space="0" w:color="800080"/>
              <w:left w:val="nil"/>
              <w:bottom w:val="nil"/>
              <w:right w:val="nil"/>
            </w:tcBorders>
            <w:shd w:val="clear" w:color="FFFFFF" w:fill="FFFFFF"/>
            <w:vAlign w:val="center"/>
            <w:hideMark/>
          </w:tcPr>
          <w:p w14:paraId="3C0C341E" w14:textId="77777777" w:rsidR="0082424C" w:rsidRPr="007A3600" w:rsidRDefault="0082424C" w:rsidP="00AD3197">
            <w:pPr>
              <w:spacing w:after="0" w:line="240" w:lineRule="atLeast"/>
              <w:jc w:val="center"/>
              <w:rPr>
                <w:rFonts w:eastAsia="Times New Roman" w:cs="Arial"/>
                <w:color w:val="800080"/>
                <w:sz w:val="18"/>
                <w:szCs w:val="18"/>
                <w:lang w:eastAsia="en-US"/>
              </w:rPr>
            </w:pPr>
            <w:r w:rsidRPr="007A3600">
              <w:rPr>
                <w:rFonts w:eastAsia="Times New Roman" w:cs="Arial"/>
                <w:color w:val="800080"/>
                <w:sz w:val="18"/>
                <w:szCs w:val="18"/>
                <w:lang w:eastAsia="en-US"/>
              </w:rPr>
              <w:t>Original</w:t>
            </w:r>
            <w:r w:rsidRPr="007A3600">
              <w:rPr>
                <w:rFonts w:eastAsia="Times New Roman" w:cs="Arial"/>
                <w:color w:val="800080"/>
                <w:sz w:val="18"/>
                <w:szCs w:val="18"/>
                <w:lang w:eastAsia="en-US"/>
              </w:rPr>
              <w:br/>
              <w:t>Budget</w:t>
            </w:r>
            <w:r w:rsidRPr="007A3600">
              <w:rPr>
                <w:rFonts w:eastAsia="Times New Roman" w:cs="Arial"/>
                <w:color w:val="800080"/>
                <w:sz w:val="18"/>
                <w:szCs w:val="18"/>
                <w:vertAlign w:val="superscript"/>
                <w:lang w:eastAsia="en-US"/>
              </w:rPr>
              <w:t>1</w:t>
            </w:r>
          </w:p>
        </w:tc>
      </w:tr>
      <w:tr w:rsidR="0082424C" w:rsidRPr="007A3600" w14:paraId="00AD93BF" w14:textId="77777777">
        <w:trPr>
          <w:trHeight w:val="20"/>
        </w:trPr>
        <w:tc>
          <w:tcPr>
            <w:tcW w:w="4241" w:type="dxa"/>
            <w:tcBorders>
              <w:top w:val="nil"/>
              <w:left w:val="nil"/>
              <w:bottom w:val="nil"/>
              <w:right w:val="nil"/>
            </w:tcBorders>
            <w:shd w:val="clear" w:color="FFFFFF" w:fill="FFFFFF"/>
            <w:noWrap/>
            <w:vAlign w:val="bottom"/>
            <w:hideMark/>
          </w:tcPr>
          <w:p w14:paraId="783F87A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38447CF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67A10E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03E64DB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5407EB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2024</w:t>
            </w:r>
          </w:p>
        </w:tc>
        <w:tc>
          <w:tcPr>
            <w:tcW w:w="236" w:type="dxa"/>
            <w:tcBorders>
              <w:top w:val="nil"/>
              <w:left w:val="nil"/>
              <w:bottom w:val="nil"/>
              <w:right w:val="nil"/>
            </w:tcBorders>
            <w:shd w:val="clear" w:color="FFFFFF" w:fill="FFFFFF"/>
            <w:noWrap/>
            <w:vAlign w:val="bottom"/>
            <w:hideMark/>
          </w:tcPr>
          <w:p w14:paraId="0649D10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8E5BDC2" w14:textId="77777777" w:rsidR="0082424C" w:rsidRPr="007A3600" w:rsidRDefault="0082424C" w:rsidP="00AD3197">
            <w:pPr>
              <w:spacing w:after="0" w:line="240" w:lineRule="atLeast"/>
              <w:jc w:val="center"/>
              <w:rPr>
                <w:rFonts w:eastAsia="Times New Roman" w:cs="Arial"/>
                <w:color w:val="800080"/>
                <w:sz w:val="18"/>
                <w:szCs w:val="18"/>
                <w:lang w:eastAsia="en-US"/>
              </w:rPr>
            </w:pPr>
            <w:r w:rsidRPr="007A3600">
              <w:rPr>
                <w:rFonts w:eastAsia="Times New Roman" w:cs="Arial"/>
                <w:color w:val="800080"/>
                <w:sz w:val="18"/>
                <w:szCs w:val="18"/>
                <w:lang w:eastAsia="en-US"/>
              </w:rPr>
              <w:t>2025</w:t>
            </w:r>
          </w:p>
        </w:tc>
      </w:tr>
      <w:tr w:rsidR="0082424C" w:rsidRPr="007A3600" w14:paraId="7CFE8BCD" w14:textId="77777777">
        <w:trPr>
          <w:trHeight w:val="20"/>
        </w:trPr>
        <w:tc>
          <w:tcPr>
            <w:tcW w:w="4241" w:type="dxa"/>
            <w:tcBorders>
              <w:top w:val="nil"/>
              <w:left w:val="nil"/>
              <w:bottom w:val="single" w:sz="8" w:space="0" w:color="800080"/>
              <w:right w:val="nil"/>
            </w:tcBorders>
            <w:shd w:val="clear" w:color="FFFFFF" w:fill="FFFFFF"/>
            <w:noWrap/>
            <w:vAlign w:val="bottom"/>
            <w:hideMark/>
          </w:tcPr>
          <w:p w14:paraId="1E09B8D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single" w:sz="8" w:space="0" w:color="800080"/>
              <w:right w:val="nil"/>
            </w:tcBorders>
            <w:shd w:val="clear" w:color="FFFFFF" w:fill="FFFFFF"/>
            <w:noWrap/>
            <w:vAlign w:val="bottom"/>
            <w:hideMark/>
          </w:tcPr>
          <w:p w14:paraId="7603E6C4" w14:textId="77777777" w:rsidR="0082424C" w:rsidRPr="007A3600" w:rsidRDefault="0082424C" w:rsidP="00AD3197">
            <w:pPr>
              <w:spacing w:after="0" w:line="240" w:lineRule="atLeast"/>
              <w:jc w:val="center"/>
              <w:rPr>
                <w:rFonts w:eastAsia="Times New Roman" w:cs="Arial"/>
                <w:b/>
                <w:bCs/>
                <w:sz w:val="18"/>
                <w:szCs w:val="18"/>
                <w:lang w:eastAsia="en-US"/>
              </w:rPr>
            </w:pPr>
            <w:r w:rsidRPr="007A3600">
              <w:rPr>
                <w:rFonts w:eastAsia="Times New Roman" w:cs="Arial"/>
                <w:b/>
                <w:bCs/>
                <w:sz w:val="18"/>
                <w:szCs w:val="18"/>
                <w:lang w:eastAsia="en-US"/>
              </w:rPr>
              <w:t>Notes</w:t>
            </w:r>
          </w:p>
        </w:tc>
        <w:tc>
          <w:tcPr>
            <w:tcW w:w="1044" w:type="dxa"/>
            <w:tcBorders>
              <w:top w:val="nil"/>
              <w:left w:val="nil"/>
              <w:bottom w:val="single" w:sz="8" w:space="0" w:color="800080"/>
              <w:right w:val="nil"/>
            </w:tcBorders>
            <w:shd w:val="clear" w:color="FFFFFF" w:fill="FFFFFF"/>
            <w:noWrap/>
            <w:vAlign w:val="bottom"/>
            <w:hideMark/>
          </w:tcPr>
          <w:p w14:paraId="0EB8E56E"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66465E5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bottom"/>
            <w:hideMark/>
          </w:tcPr>
          <w:p w14:paraId="349DFDF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$'000</w:t>
            </w:r>
          </w:p>
        </w:tc>
        <w:tc>
          <w:tcPr>
            <w:tcW w:w="236" w:type="dxa"/>
            <w:tcBorders>
              <w:top w:val="nil"/>
              <w:left w:val="nil"/>
              <w:bottom w:val="single" w:sz="8" w:space="0" w:color="800080"/>
              <w:right w:val="nil"/>
            </w:tcBorders>
            <w:shd w:val="clear" w:color="FFFFFF" w:fill="FFFFFF"/>
            <w:noWrap/>
            <w:vAlign w:val="bottom"/>
            <w:hideMark/>
          </w:tcPr>
          <w:p w14:paraId="2C255FE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8" w:space="0" w:color="800080"/>
              <w:right w:val="nil"/>
            </w:tcBorders>
            <w:shd w:val="clear" w:color="FFFFFF" w:fill="FFFFFF"/>
            <w:noWrap/>
            <w:vAlign w:val="center"/>
            <w:hideMark/>
          </w:tcPr>
          <w:p w14:paraId="30DBD81D" w14:textId="77777777" w:rsidR="0082424C" w:rsidRPr="007A3600" w:rsidRDefault="0082424C" w:rsidP="00AD3197">
            <w:pPr>
              <w:spacing w:after="0" w:line="240" w:lineRule="atLeast"/>
              <w:jc w:val="center"/>
              <w:rPr>
                <w:rFonts w:eastAsia="Times New Roman" w:cs="Arial"/>
                <w:color w:val="800080"/>
                <w:sz w:val="18"/>
                <w:szCs w:val="18"/>
                <w:lang w:eastAsia="en-US"/>
              </w:rPr>
            </w:pPr>
            <w:r w:rsidRPr="007A3600">
              <w:rPr>
                <w:rFonts w:eastAsia="Times New Roman" w:cs="Arial"/>
                <w:color w:val="800080"/>
                <w:sz w:val="18"/>
                <w:szCs w:val="18"/>
                <w:lang w:eastAsia="en-US"/>
              </w:rPr>
              <w:t>$'000</w:t>
            </w:r>
          </w:p>
        </w:tc>
      </w:tr>
      <w:tr w:rsidR="0082424C" w:rsidRPr="007A3600" w14:paraId="67730D76" w14:textId="77777777">
        <w:trPr>
          <w:trHeight w:val="20"/>
        </w:trPr>
        <w:tc>
          <w:tcPr>
            <w:tcW w:w="4241" w:type="dxa"/>
            <w:tcBorders>
              <w:top w:val="nil"/>
              <w:left w:val="nil"/>
              <w:bottom w:val="nil"/>
              <w:right w:val="nil"/>
            </w:tcBorders>
            <w:shd w:val="clear" w:color="FFFFFF" w:fill="FFFFFF"/>
            <w:noWrap/>
            <w:vAlign w:val="bottom"/>
            <w:hideMark/>
          </w:tcPr>
          <w:p w14:paraId="4C462B5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3AF86F0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7C77C7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AFF9C4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B1C2E7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32F1B5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138B48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F3183A7" w14:textId="77777777">
        <w:trPr>
          <w:trHeight w:val="20"/>
        </w:trPr>
        <w:tc>
          <w:tcPr>
            <w:tcW w:w="4241" w:type="dxa"/>
            <w:tcBorders>
              <w:top w:val="nil"/>
              <w:left w:val="nil"/>
              <w:bottom w:val="nil"/>
              <w:right w:val="nil"/>
            </w:tcBorders>
            <w:shd w:val="clear" w:color="FFFFFF" w:fill="FFFFFF"/>
            <w:vAlign w:val="bottom"/>
            <w:hideMark/>
          </w:tcPr>
          <w:p w14:paraId="43D86752"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OPERATING ACTIVITIES</w:t>
            </w:r>
          </w:p>
        </w:tc>
        <w:tc>
          <w:tcPr>
            <w:tcW w:w="1242" w:type="dxa"/>
            <w:tcBorders>
              <w:top w:val="nil"/>
              <w:left w:val="nil"/>
              <w:bottom w:val="nil"/>
              <w:right w:val="nil"/>
            </w:tcBorders>
            <w:shd w:val="clear" w:color="FFFFFF" w:fill="FFFFFF"/>
            <w:noWrap/>
            <w:vAlign w:val="bottom"/>
            <w:hideMark/>
          </w:tcPr>
          <w:p w14:paraId="60008D8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0416A1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89031E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ED819B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35EE89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B0E507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FAA2070" w14:textId="77777777">
        <w:trPr>
          <w:trHeight w:val="20"/>
        </w:trPr>
        <w:tc>
          <w:tcPr>
            <w:tcW w:w="4241" w:type="dxa"/>
            <w:tcBorders>
              <w:top w:val="nil"/>
              <w:left w:val="nil"/>
              <w:bottom w:val="nil"/>
              <w:right w:val="nil"/>
            </w:tcBorders>
            <w:shd w:val="clear" w:color="FFFFFF" w:fill="FFFFFF"/>
            <w:vAlign w:val="bottom"/>
            <w:hideMark/>
          </w:tcPr>
          <w:p w14:paraId="19946DC5"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received</w:t>
            </w:r>
          </w:p>
        </w:tc>
        <w:tc>
          <w:tcPr>
            <w:tcW w:w="1242" w:type="dxa"/>
            <w:tcBorders>
              <w:top w:val="nil"/>
              <w:left w:val="nil"/>
              <w:bottom w:val="nil"/>
              <w:right w:val="nil"/>
            </w:tcBorders>
            <w:shd w:val="clear" w:color="FFFFFF" w:fill="FFFFFF"/>
            <w:noWrap/>
            <w:vAlign w:val="bottom"/>
            <w:hideMark/>
          </w:tcPr>
          <w:p w14:paraId="6E43D8B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BDD962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ED666D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234AFB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A46806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DB9101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3062A0C" w14:textId="77777777">
        <w:trPr>
          <w:trHeight w:val="20"/>
        </w:trPr>
        <w:tc>
          <w:tcPr>
            <w:tcW w:w="4241" w:type="dxa"/>
            <w:tcBorders>
              <w:top w:val="nil"/>
              <w:left w:val="nil"/>
              <w:bottom w:val="nil"/>
              <w:right w:val="nil"/>
            </w:tcBorders>
            <w:shd w:val="clear" w:color="FFFFFF" w:fill="FFFFFF"/>
            <w:vAlign w:val="bottom"/>
            <w:hideMark/>
          </w:tcPr>
          <w:p w14:paraId="7CAB2E71"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Receipts from Government</w:t>
            </w:r>
          </w:p>
        </w:tc>
        <w:tc>
          <w:tcPr>
            <w:tcW w:w="1242" w:type="dxa"/>
            <w:tcBorders>
              <w:top w:val="nil"/>
              <w:left w:val="nil"/>
              <w:bottom w:val="nil"/>
              <w:right w:val="nil"/>
            </w:tcBorders>
            <w:shd w:val="clear" w:color="FFFFFF" w:fill="FFFFFF"/>
            <w:noWrap/>
            <w:vAlign w:val="bottom"/>
            <w:hideMark/>
          </w:tcPr>
          <w:p w14:paraId="4E21A96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C6B995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2,252,660</w:t>
            </w:r>
          </w:p>
        </w:tc>
        <w:tc>
          <w:tcPr>
            <w:tcW w:w="236" w:type="dxa"/>
            <w:tcBorders>
              <w:top w:val="nil"/>
              <w:left w:val="nil"/>
              <w:bottom w:val="nil"/>
              <w:right w:val="nil"/>
            </w:tcBorders>
            <w:shd w:val="clear" w:color="FFFFFF" w:fill="FFFFFF"/>
            <w:noWrap/>
            <w:vAlign w:val="bottom"/>
            <w:hideMark/>
          </w:tcPr>
          <w:p w14:paraId="46E5C9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8754CF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2,032,420</w:t>
            </w:r>
          </w:p>
        </w:tc>
        <w:tc>
          <w:tcPr>
            <w:tcW w:w="236" w:type="dxa"/>
            <w:tcBorders>
              <w:top w:val="nil"/>
              <w:left w:val="nil"/>
              <w:bottom w:val="nil"/>
              <w:right w:val="nil"/>
            </w:tcBorders>
            <w:shd w:val="clear" w:color="FFFFFF" w:fill="FFFFFF"/>
            <w:noWrap/>
            <w:vAlign w:val="bottom"/>
            <w:hideMark/>
          </w:tcPr>
          <w:p w14:paraId="4716053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2D290B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2,190,431</w:t>
            </w:r>
          </w:p>
        </w:tc>
      </w:tr>
      <w:tr w:rsidR="0082424C" w:rsidRPr="007A3600" w14:paraId="60296421" w14:textId="77777777">
        <w:trPr>
          <w:trHeight w:val="20"/>
        </w:trPr>
        <w:tc>
          <w:tcPr>
            <w:tcW w:w="4241" w:type="dxa"/>
            <w:tcBorders>
              <w:top w:val="nil"/>
              <w:left w:val="nil"/>
              <w:bottom w:val="nil"/>
              <w:right w:val="nil"/>
            </w:tcBorders>
            <w:shd w:val="clear" w:color="FFFFFF" w:fill="FFFFFF"/>
            <w:vAlign w:val="bottom"/>
            <w:hideMark/>
          </w:tcPr>
          <w:p w14:paraId="2E87F457"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Rendering of services</w:t>
            </w:r>
          </w:p>
        </w:tc>
        <w:tc>
          <w:tcPr>
            <w:tcW w:w="1242" w:type="dxa"/>
            <w:tcBorders>
              <w:top w:val="nil"/>
              <w:left w:val="nil"/>
              <w:bottom w:val="nil"/>
              <w:right w:val="nil"/>
            </w:tcBorders>
            <w:shd w:val="clear" w:color="FFFFFF" w:fill="FFFFFF"/>
            <w:noWrap/>
            <w:vAlign w:val="bottom"/>
            <w:hideMark/>
          </w:tcPr>
          <w:p w14:paraId="30B5694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noWrap/>
            <w:vAlign w:val="bottom"/>
            <w:hideMark/>
          </w:tcPr>
          <w:p w14:paraId="3A938634"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45,258,424</w:t>
            </w:r>
          </w:p>
        </w:tc>
        <w:tc>
          <w:tcPr>
            <w:tcW w:w="236" w:type="dxa"/>
            <w:tcBorders>
              <w:top w:val="nil"/>
              <w:left w:val="nil"/>
              <w:bottom w:val="nil"/>
              <w:right w:val="nil"/>
            </w:tcBorders>
            <w:shd w:val="clear" w:color="FFFFFF" w:fill="FFFFFF"/>
            <w:noWrap/>
            <w:vAlign w:val="bottom"/>
            <w:hideMark/>
          </w:tcPr>
          <w:p w14:paraId="48905D7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55DAF1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41,305,772</w:t>
            </w:r>
          </w:p>
        </w:tc>
        <w:tc>
          <w:tcPr>
            <w:tcW w:w="236" w:type="dxa"/>
            <w:tcBorders>
              <w:top w:val="nil"/>
              <w:left w:val="nil"/>
              <w:bottom w:val="nil"/>
              <w:right w:val="nil"/>
            </w:tcBorders>
            <w:shd w:val="clear" w:color="FFFFFF" w:fill="FFFFFF"/>
            <w:noWrap/>
            <w:vAlign w:val="bottom"/>
            <w:hideMark/>
          </w:tcPr>
          <w:p w14:paraId="5613B71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D62BE3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45,787,401</w:t>
            </w:r>
          </w:p>
        </w:tc>
      </w:tr>
      <w:tr w:rsidR="0082424C" w:rsidRPr="007A3600" w14:paraId="00C9F70B" w14:textId="77777777">
        <w:trPr>
          <w:trHeight w:val="20"/>
        </w:trPr>
        <w:tc>
          <w:tcPr>
            <w:tcW w:w="4241" w:type="dxa"/>
            <w:tcBorders>
              <w:top w:val="nil"/>
              <w:left w:val="nil"/>
              <w:bottom w:val="nil"/>
              <w:right w:val="nil"/>
            </w:tcBorders>
            <w:shd w:val="clear" w:color="FFFFFF" w:fill="FFFFFF"/>
            <w:vAlign w:val="bottom"/>
            <w:hideMark/>
          </w:tcPr>
          <w:p w14:paraId="2EF33FC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Interest received</w:t>
            </w:r>
          </w:p>
        </w:tc>
        <w:tc>
          <w:tcPr>
            <w:tcW w:w="1242" w:type="dxa"/>
            <w:tcBorders>
              <w:top w:val="nil"/>
              <w:left w:val="nil"/>
              <w:bottom w:val="nil"/>
              <w:right w:val="nil"/>
            </w:tcBorders>
            <w:shd w:val="clear" w:color="FFFFFF" w:fill="FFFFFF"/>
            <w:noWrap/>
            <w:vAlign w:val="bottom"/>
            <w:hideMark/>
          </w:tcPr>
          <w:p w14:paraId="44E1629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59043C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491,103</w:t>
            </w:r>
          </w:p>
        </w:tc>
        <w:tc>
          <w:tcPr>
            <w:tcW w:w="236" w:type="dxa"/>
            <w:tcBorders>
              <w:top w:val="nil"/>
              <w:left w:val="nil"/>
              <w:bottom w:val="nil"/>
              <w:right w:val="nil"/>
            </w:tcBorders>
            <w:shd w:val="clear" w:color="FFFFFF" w:fill="FFFFFF"/>
            <w:noWrap/>
            <w:vAlign w:val="bottom"/>
            <w:hideMark/>
          </w:tcPr>
          <w:p w14:paraId="5A83F11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C5F9F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408,467</w:t>
            </w:r>
          </w:p>
        </w:tc>
        <w:tc>
          <w:tcPr>
            <w:tcW w:w="236" w:type="dxa"/>
            <w:tcBorders>
              <w:top w:val="nil"/>
              <w:left w:val="nil"/>
              <w:bottom w:val="nil"/>
              <w:right w:val="nil"/>
            </w:tcBorders>
            <w:shd w:val="clear" w:color="FFFFFF" w:fill="FFFFFF"/>
            <w:noWrap/>
            <w:vAlign w:val="bottom"/>
            <w:hideMark/>
          </w:tcPr>
          <w:p w14:paraId="5013726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51925C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402,246</w:t>
            </w:r>
          </w:p>
        </w:tc>
      </w:tr>
      <w:tr w:rsidR="0082424C" w:rsidRPr="007A3600" w14:paraId="49FD7F04" w14:textId="77777777">
        <w:trPr>
          <w:trHeight w:val="20"/>
        </w:trPr>
        <w:tc>
          <w:tcPr>
            <w:tcW w:w="4241" w:type="dxa"/>
            <w:tcBorders>
              <w:top w:val="nil"/>
              <w:left w:val="nil"/>
              <w:bottom w:val="nil"/>
              <w:right w:val="nil"/>
            </w:tcBorders>
            <w:shd w:val="clear" w:color="FFFFFF" w:fill="FFFFFF"/>
            <w:vAlign w:val="bottom"/>
            <w:hideMark/>
          </w:tcPr>
          <w:p w14:paraId="5F170EA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GST received</w:t>
            </w:r>
          </w:p>
        </w:tc>
        <w:tc>
          <w:tcPr>
            <w:tcW w:w="1242" w:type="dxa"/>
            <w:tcBorders>
              <w:top w:val="nil"/>
              <w:left w:val="nil"/>
              <w:bottom w:val="nil"/>
              <w:right w:val="nil"/>
            </w:tcBorders>
            <w:shd w:val="clear" w:color="FFFFFF" w:fill="FFFFFF"/>
            <w:noWrap/>
            <w:vAlign w:val="bottom"/>
            <w:hideMark/>
          </w:tcPr>
          <w:p w14:paraId="129901B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E3BCE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153,479</w:t>
            </w:r>
          </w:p>
        </w:tc>
        <w:tc>
          <w:tcPr>
            <w:tcW w:w="236" w:type="dxa"/>
            <w:tcBorders>
              <w:top w:val="nil"/>
              <w:left w:val="nil"/>
              <w:bottom w:val="nil"/>
              <w:right w:val="nil"/>
            </w:tcBorders>
            <w:shd w:val="clear" w:color="FFFFFF" w:fill="FFFFFF"/>
            <w:noWrap/>
            <w:vAlign w:val="bottom"/>
            <w:hideMark/>
          </w:tcPr>
          <w:p w14:paraId="45D1865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21C5EF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144,321</w:t>
            </w:r>
          </w:p>
        </w:tc>
        <w:tc>
          <w:tcPr>
            <w:tcW w:w="236" w:type="dxa"/>
            <w:tcBorders>
              <w:top w:val="nil"/>
              <w:left w:val="nil"/>
              <w:bottom w:val="nil"/>
              <w:right w:val="nil"/>
            </w:tcBorders>
            <w:shd w:val="clear" w:color="FFFFFF" w:fill="FFFFFF"/>
            <w:noWrap/>
            <w:vAlign w:val="bottom"/>
            <w:hideMark/>
          </w:tcPr>
          <w:p w14:paraId="6574515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A61837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97,202</w:t>
            </w:r>
          </w:p>
        </w:tc>
      </w:tr>
      <w:tr w:rsidR="0082424C" w:rsidRPr="007A3600" w14:paraId="07821BF8" w14:textId="77777777">
        <w:trPr>
          <w:trHeight w:val="20"/>
        </w:trPr>
        <w:tc>
          <w:tcPr>
            <w:tcW w:w="4241" w:type="dxa"/>
            <w:tcBorders>
              <w:top w:val="nil"/>
              <w:left w:val="nil"/>
              <w:bottom w:val="nil"/>
              <w:right w:val="nil"/>
            </w:tcBorders>
            <w:shd w:val="clear" w:color="FFFFFF" w:fill="FFFFFF"/>
            <w:vAlign w:val="bottom"/>
            <w:hideMark/>
          </w:tcPr>
          <w:p w14:paraId="1CFE8FED"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w:t>
            </w:r>
          </w:p>
        </w:tc>
        <w:tc>
          <w:tcPr>
            <w:tcW w:w="1242" w:type="dxa"/>
            <w:tcBorders>
              <w:top w:val="nil"/>
              <w:left w:val="nil"/>
              <w:bottom w:val="nil"/>
              <w:right w:val="nil"/>
            </w:tcBorders>
            <w:shd w:val="clear" w:color="FFFFFF" w:fill="FFFFFF"/>
            <w:noWrap/>
            <w:vAlign w:val="bottom"/>
            <w:hideMark/>
          </w:tcPr>
          <w:p w14:paraId="6CE437E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noWrap/>
            <w:vAlign w:val="bottom"/>
            <w:hideMark/>
          </w:tcPr>
          <w:p w14:paraId="0A41C40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70,431</w:t>
            </w:r>
          </w:p>
        </w:tc>
        <w:tc>
          <w:tcPr>
            <w:tcW w:w="236" w:type="dxa"/>
            <w:tcBorders>
              <w:top w:val="nil"/>
              <w:left w:val="nil"/>
              <w:bottom w:val="nil"/>
              <w:right w:val="nil"/>
            </w:tcBorders>
            <w:shd w:val="clear" w:color="FFFFFF" w:fill="FFFFFF"/>
            <w:noWrap/>
            <w:vAlign w:val="bottom"/>
            <w:hideMark/>
          </w:tcPr>
          <w:p w14:paraId="180B21D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E1DAC8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48,699</w:t>
            </w:r>
          </w:p>
        </w:tc>
        <w:tc>
          <w:tcPr>
            <w:tcW w:w="236" w:type="dxa"/>
            <w:tcBorders>
              <w:top w:val="nil"/>
              <w:left w:val="nil"/>
              <w:bottom w:val="nil"/>
              <w:right w:val="nil"/>
            </w:tcBorders>
            <w:shd w:val="clear" w:color="FFFFFF" w:fill="FFFFFF"/>
            <w:noWrap/>
            <w:vAlign w:val="bottom"/>
            <w:hideMark/>
          </w:tcPr>
          <w:p w14:paraId="5371F56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5DFD88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441360BF" w14:textId="77777777">
        <w:trPr>
          <w:trHeight w:val="20"/>
        </w:trPr>
        <w:tc>
          <w:tcPr>
            <w:tcW w:w="4241" w:type="dxa"/>
            <w:tcBorders>
              <w:top w:val="nil"/>
              <w:left w:val="nil"/>
              <w:bottom w:val="nil"/>
              <w:right w:val="nil"/>
            </w:tcBorders>
            <w:shd w:val="clear" w:color="FFFFFF" w:fill="FFFFFF"/>
            <w:vAlign w:val="bottom"/>
            <w:hideMark/>
          </w:tcPr>
          <w:p w14:paraId="2577AEA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cash received</w:t>
            </w:r>
          </w:p>
        </w:tc>
        <w:tc>
          <w:tcPr>
            <w:tcW w:w="1242" w:type="dxa"/>
            <w:tcBorders>
              <w:top w:val="nil"/>
              <w:left w:val="nil"/>
              <w:bottom w:val="nil"/>
              <w:right w:val="nil"/>
            </w:tcBorders>
            <w:shd w:val="clear" w:color="FFFFFF" w:fill="FFFFFF"/>
            <w:noWrap/>
            <w:vAlign w:val="bottom"/>
            <w:hideMark/>
          </w:tcPr>
          <w:p w14:paraId="7B74AB1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5D46A7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48,226,097</w:t>
            </w:r>
          </w:p>
        </w:tc>
        <w:tc>
          <w:tcPr>
            <w:tcW w:w="236" w:type="dxa"/>
            <w:tcBorders>
              <w:top w:val="nil"/>
              <w:left w:val="nil"/>
              <w:bottom w:val="nil"/>
              <w:right w:val="nil"/>
            </w:tcBorders>
            <w:shd w:val="clear" w:color="FFFFFF" w:fill="FFFFFF"/>
            <w:noWrap/>
            <w:vAlign w:val="bottom"/>
            <w:hideMark/>
          </w:tcPr>
          <w:p w14:paraId="0104703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22515E1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43,939,679</w:t>
            </w:r>
          </w:p>
        </w:tc>
        <w:tc>
          <w:tcPr>
            <w:tcW w:w="236" w:type="dxa"/>
            <w:tcBorders>
              <w:top w:val="nil"/>
              <w:left w:val="nil"/>
              <w:bottom w:val="nil"/>
              <w:right w:val="nil"/>
            </w:tcBorders>
            <w:shd w:val="clear" w:color="FFFFFF" w:fill="FFFFFF"/>
            <w:noWrap/>
            <w:vAlign w:val="bottom"/>
            <w:hideMark/>
          </w:tcPr>
          <w:p w14:paraId="2693AB7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A24E28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48,477,280</w:t>
            </w:r>
          </w:p>
        </w:tc>
      </w:tr>
      <w:tr w:rsidR="0082424C" w:rsidRPr="007A3600" w14:paraId="0141F4F8" w14:textId="77777777">
        <w:trPr>
          <w:trHeight w:val="20"/>
        </w:trPr>
        <w:tc>
          <w:tcPr>
            <w:tcW w:w="4241" w:type="dxa"/>
            <w:tcBorders>
              <w:top w:val="nil"/>
              <w:left w:val="nil"/>
              <w:bottom w:val="nil"/>
              <w:right w:val="nil"/>
            </w:tcBorders>
            <w:shd w:val="clear" w:color="FFFFFF" w:fill="FFFFFF"/>
            <w:noWrap/>
            <w:vAlign w:val="bottom"/>
            <w:hideMark/>
          </w:tcPr>
          <w:p w14:paraId="36735FB5" w14:textId="77777777" w:rsidR="0082424C" w:rsidRPr="007A3600" w:rsidRDefault="0082424C" w:rsidP="00AD3197">
            <w:pPr>
              <w:spacing w:after="0" w:line="240" w:lineRule="atLeast"/>
              <w:rPr>
                <w:rFonts w:eastAsia="Times New Roman" w:cs="Arial"/>
                <w:sz w:val="16"/>
                <w:szCs w:val="16"/>
                <w:lang w:eastAsia="en-US"/>
              </w:rPr>
            </w:pPr>
            <w:r w:rsidRPr="007A3600">
              <w:rPr>
                <w:rFonts w:eastAsia="Times New Roman" w:cs="Arial"/>
                <w:sz w:val="16"/>
                <w:szCs w:val="16"/>
                <w:lang w:eastAsia="en-US"/>
              </w:rPr>
              <w:t> </w:t>
            </w:r>
          </w:p>
        </w:tc>
        <w:tc>
          <w:tcPr>
            <w:tcW w:w="1242" w:type="dxa"/>
            <w:tcBorders>
              <w:top w:val="nil"/>
              <w:left w:val="nil"/>
              <w:bottom w:val="nil"/>
              <w:right w:val="nil"/>
            </w:tcBorders>
            <w:shd w:val="clear" w:color="FFFFFF" w:fill="FFFFFF"/>
            <w:noWrap/>
            <w:vAlign w:val="bottom"/>
            <w:hideMark/>
          </w:tcPr>
          <w:p w14:paraId="032B7C8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654C50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D172E5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D59315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1C7CFD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97E66F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7E53CC3" w14:textId="77777777">
        <w:trPr>
          <w:trHeight w:val="20"/>
        </w:trPr>
        <w:tc>
          <w:tcPr>
            <w:tcW w:w="4241" w:type="dxa"/>
            <w:tcBorders>
              <w:top w:val="nil"/>
              <w:left w:val="nil"/>
              <w:bottom w:val="nil"/>
              <w:right w:val="nil"/>
            </w:tcBorders>
            <w:shd w:val="clear" w:color="FFFFFF" w:fill="FFFFFF"/>
            <w:vAlign w:val="bottom"/>
            <w:hideMark/>
          </w:tcPr>
          <w:p w14:paraId="5A5F87B6"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used</w:t>
            </w:r>
          </w:p>
        </w:tc>
        <w:tc>
          <w:tcPr>
            <w:tcW w:w="1242" w:type="dxa"/>
            <w:tcBorders>
              <w:top w:val="nil"/>
              <w:left w:val="nil"/>
              <w:bottom w:val="nil"/>
              <w:right w:val="nil"/>
            </w:tcBorders>
            <w:shd w:val="clear" w:color="FFFFFF" w:fill="FFFFFF"/>
            <w:noWrap/>
            <w:vAlign w:val="bottom"/>
            <w:hideMark/>
          </w:tcPr>
          <w:p w14:paraId="1DE6451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5F6090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AC4504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8491A6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7877E8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40D93A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829FDF9" w14:textId="77777777">
        <w:trPr>
          <w:trHeight w:val="20"/>
        </w:trPr>
        <w:tc>
          <w:tcPr>
            <w:tcW w:w="4241" w:type="dxa"/>
            <w:tcBorders>
              <w:top w:val="nil"/>
              <w:left w:val="nil"/>
              <w:bottom w:val="nil"/>
              <w:right w:val="nil"/>
            </w:tcBorders>
            <w:shd w:val="clear" w:color="FFFFFF" w:fill="FFFFFF"/>
            <w:vAlign w:val="bottom"/>
            <w:hideMark/>
          </w:tcPr>
          <w:p w14:paraId="7058E44C"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Employee benefits</w:t>
            </w:r>
          </w:p>
        </w:tc>
        <w:tc>
          <w:tcPr>
            <w:tcW w:w="1242" w:type="dxa"/>
            <w:tcBorders>
              <w:top w:val="nil"/>
              <w:left w:val="nil"/>
              <w:bottom w:val="nil"/>
              <w:right w:val="nil"/>
            </w:tcBorders>
            <w:shd w:val="clear" w:color="FFFFFF" w:fill="FFFFFF"/>
            <w:noWrap/>
            <w:vAlign w:val="bottom"/>
            <w:hideMark/>
          </w:tcPr>
          <w:p w14:paraId="1D3B213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noWrap/>
            <w:vAlign w:val="bottom"/>
            <w:hideMark/>
          </w:tcPr>
          <w:p w14:paraId="0074DF5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1,010,521</w:t>
            </w:r>
          </w:p>
        </w:tc>
        <w:tc>
          <w:tcPr>
            <w:tcW w:w="236" w:type="dxa"/>
            <w:tcBorders>
              <w:top w:val="nil"/>
              <w:left w:val="nil"/>
              <w:bottom w:val="nil"/>
              <w:right w:val="nil"/>
            </w:tcBorders>
            <w:shd w:val="clear" w:color="FFFFFF" w:fill="FFFFFF"/>
            <w:noWrap/>
            <w:vAlign w:val="bottom"/>
            <w:hideMark/>
          </w:tcPr>
          <w:p w14:paraId="1EA9E41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69F9F5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710,428</w:t>
            </w:r>
          </w:p>
        </w:tc>
        <w:tc>
          <w:tcPr>
            <w:tcW w:w="236" w:type="dxa"/>
            <w:tcBorders>
              <w:top w:val="nil"/>
              <w:left w:val="nil"/>
              <w:bottom w:val="nil"/>
              <w:right w:val="nil"/>
            </w:tcBorders>
            <w:shd w:val="clear" w:color="FFFFFF" w:fill="FFFFFF"/>
            <w:noWrap/>
            <w:vAlign w:val="bottom"/>
            <w:hideMark/>
          </w:tcPr>
          <w:p w14:paraId="64AFD9C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942866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800,597</w:t>
            </w:r>
          </w:p>
        </w:tc>
      </w:tr>
      <w:tr w:rsidR="0082424C" w:rsidRPr="007A3600" w14:paraId="36537BA2" w14:textId="77777777">
        <w:trPr>
          <w:trHeight w:val="20"/>
        </w:trPr>
        <w:tc>
          <w:tcPr>
            <w:tcW w:w="4241" w:type="dxa"/>
            <w:tcBorders>
              <w:top w:val="nil"/>
              <w:left w:val="nil"/>
              <w:bottom w:val="nil"/>
              <w:right w:val="nil"/>
            </w:tcBorders>
            <w:shd w:val="clear" w:color="FFFFFF" w:fill="FFFFFF"/>
            <w:vAlign w:val="bottom"/>
            <w:hideMark/>
          </w:tcPr>
          <w:p w14:paraId="1E00FEEB"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Supplier expenses</w:t>
            </w:r>
          </w:p>
        </w:tc>
        <w:tc>
          <w:tcPr>
            <w:tcW w:w="1242" w:type="dxa"/>
            <w:tcBorders>
              <w:top w:val="nil"/>
              <w:left w:val="nil"/>
              <w:bottom w:val="nil"/>
              <w:right w:val="nil"/>
            </w:tcBorders>
            <w:shd w:val="clear" w:color="FFFFFF" w:fill="FFFFFF"/>
            <w:noWrap/>
            <w:vAlign w:val="bottom"/>
            <w:hideMark/>
          </w:tcPr>
          <w:p w14:paraId="27403F7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6CF4D4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919,408</w:t>
            </w:r>
          </w:p>
        </w:tc>
        <w:tc>
          <w:tcPr>
            <w:tcW w:w="236" w:type="dxa"/>
            <w:tcBorders>
              <w:top w:val="nil"/>
              <w:left w:val="nil"/>
              <w:bottom w:val="nil"/>
              <w:right w:val="nil"/>
            </w:tcBorders>
            <w:shd w:val="clear" w:color="FFFFFF" w:fill="FFFFFF"/>
            <w:noWrap/>
            <w:vAlign w:val="bottom"/>
            <w:hideMark/>
          </w:tcPr>
          <w:p w14:paraId="39D4C4E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293CF6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766,421</w:t>
            </w:r>
          </w:p>
        </w:tc>
        <w:tc>
          <w:tcPr>
            <w:tcW w:w="236" w:type="dxa"/>
            <w:tcBorders>
              <w:top w:val="nil"/>
              <w:left w:val="nil"/>
              <w:bottom w:val="nil"/>
              <w:right w:val="nil"/>
            </w:tcBorders>
            <w:shd w:val="clear" w:color="FFFFFF" w:fill="FFFFFF"/>
            <w:noWrap/>
            <w:vAlign w:val="bottom"/>
            <w:hideMark/>
          </w:tcPr>
          <w:p w14:paraId="6B878BC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A0B80A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2,853,123</w:t>
            </w:r>
          </w:p>
        </w:tc>
      </w:tr>
      <w:tr w:rsidR="0082424C" w:rsidRPr="007A3600" w14:paraId="30771926" w14:textId="77777777">
        <w:trPr>
          <w:trHeight w:val="20"/>
        </w:trPr>
        <w:tc>
          <w:tcPr>
            <w:tcW w:w="4241" w:type="dxa"/>
            <w:tcBorders>
              <w:top w:val="nil"/>
              <w:left w:val="nil"/>
              <w:bottom w:val="nil"/>
              <w:right w:val="nil"/>
            </w:tcBorders>
            <w:shd w:val="clear" w:color="FFFFFF" w:fill="FFFFFF"/>
            <w:vAlign w:val="bottom"/>
            <w:hideMark/>
          </w:tcPr>
          <w:p w14:paraId="3BBABE15"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Interest payments on lease liabilities</w:t>
            </w:r>
          </w:p>
        </w:tc>
        <w:tc>
          <w:tcPr>
            <w:tcW w:w="1242" w:type="dxa"/>
            <w:tcBorders>
              <w:top w:val="nil"/>
              <w:left w:val="nil"/>
              <w:bottom w:val="nil"/>
              <w:right w:val="nil"/>
            </w:tcBorders>
            <w:shd w:val="clear" w:color="FFFFFF" w:fill="FFFFFF"/>
            <w:noWrap/>
            <w:vAlign w:val="bottom"/>
            <w:hideMark/>
          </w:tcPr>
          <w:p w14:paraId="061B095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643178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3,805</w:t>
            </w:r>
          </w:p>
        </w:tc>
        <w:tc>
          <w:tcPr>
            <w:tcW w:w="236" w:type="dxa"/>
            <w:tcBorders>
              <w:top w:val="nil"/>
              <w:left w:val="nil"/>
              <w:bottom w:val="nil"/>
              <w:right w:val="nil"/>
            </w:tcBorders>
            <w:shd w:val="clear" w:color="FFFFFF" w:fill="FFFFFF"/>
            <w:noWrap/>
            <w:vAlign w:val="bottom"/>
            <w:hideMark/>
          </w:tcPr>
          <w:p w14:paraId="66EAF26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E62617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3,000</w:t>
            </w:r>
          </w:p>
        </w:tc>
        <w:tc>
          <w:tcPr>
            <w:tcW w:w="236" w:type="dxa"/>
            <w:tcBorders>
              <w:top w:val="nil"/>
              <w:left w:val="nil"/>
              <w:bottom w:val="nil"/>
              <w:right w:val="nil"/>
            </w:tcBorders>
            <w:shd w:val="clear" w:color="FFFFFF" w:fill="FFFFFF"/>
            <w:noWrap/>
            <w:vAlign w:val="bottom"/>
            <w:hideMark/>
          </w:tcPr>
          <w:p w14:paraId="7F42CCD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0B9BC3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2,536</w:t>
            </w:r>
          </w:p>
        </w:tc>
      </w:tr>
      <w:tr w:rsidR="0082424C" w:rsidRPr="007A3600" w14:paraId="3CE70A3E" w14:textId="77777777">
        <w:trPr>
          <w:trHeight w:val="20"/>
        </w:trPr>
        <w:tc>
          <w:tcPr>
            <w:tcW w:w="4241" w:type="dxa"/>
            <w:tcBorders>
              <w:top w:val="nil"/>
              <w:left w:val="nil"/>
              <w:bottom w:val="nil"/>
              <w:right w:val="nil"/>
            </w:tcBorders>
            <w:shd w:val="clear" w:color="FFFFFF" w:fill="FFFFFF"/>
            <w:vAlign w:val="bottom"/>
            <w:hideMark/>
          </w:tcPr>
          <w:p w14:paraId="640C87FE"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Community partnership costs</w:t>
            </w:r>
          </w:p>
        </w:tc>
        <w:tc>
          <w:tcPr>
            <w:tcW w:w="1242" w:type="dxa"/>
            <w:tcBorders>
              <w:top w:val="nil"/>
              <w:left w:val="nil"/>
              <w:bottom w:val="nil"/>
              <w:right w:val="nil"/>
            </w:tcBorders>
            <w:shd w:val="clear" w:color="FFFFFF" w:fill="FFFFFF"/>
            <w:noWrap/>
            <w:vAlign w:val="bottom"/>
            <w:hideMark/>
          </w:tcPr>
          <w:p w14:paraId="4FC9F62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1F5696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654,096</w:t>
            </w:r>
          </w:p>
        </w:tc>
        <w:tc>
          <w:tcPr>
            <w:tcW w:w="236" w:type="dxa"/>
            <w:tcBorders>
              <w:top w:val="nil"/>
              <w:left w:val="nil"/>
              <w:bottom w:val="nil"/>
              <w:right w:val="nil"/>
            </w:tcBorders>
            <w:shd w:val="clear" w:color="FFFFFF" w:fill="FFFFFF"/>
            <w:noWrap/>
            <w:vAlign w:val="bottom"/>
            <w:hideMark/>
          </w:tcPr>
          <w:p w14:paraId="0ED9341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DB1100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606,488</w:t>
            </w:r>
          </w:p>
        </w:tc>
        <w:tc>
          <w:tcPr>
            <w:tcW w:w="236" w:type="dxa"/>
            <w:tcBorders>
              <w:top w:val="nil"/>
              <w:left w:val="nil"/>
              <w:bottom w:val="nil"/>
              <w:right w:val="nil"/>
            </w:tcBorders>
            <w:shd w:val="clear" w:color="FFFFFF" w:fill="FFFFFF"/>
            <w:noWrap/>
            <w:vAlign w:val="bottom"/>
            <w:hideMark/>
          </w:tcPr>
          <w:p w14:paraId="4CBFDD8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7A2D58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419A5BFF" w14:textId="77777777">
        <w:trPr>
          <w:trHeight w:val="20"/>
        </w:trPr>
        <w:tc>
          <w:tcPr>
            <w:tcW w:w="4241" w:type="dxa"/>
            <w:tcBorders>
              <w:top w:val="nil"/>
              <w:left w:val="nil"/>
              <w:bottom w:val="nil"/>
              <w:right w:val="nil"/>
            </w:tcBorders>
            <w:shd w:val="clear" w:color="FFFFFF" w:fill="FFFFFF"/>
            <w:vAlign w:val="bottom"/>
            <w:hideMark/>
          </w:tcPr>
          <w:p w14:paraId="0680B0C9"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plan expenses</w:t>
            </w:r>
          </w:p>
        </w:tc>
        <w:tc>
          <w:tcPr>
            <w:tcW w:w="1242" w:type="dxa"/>
            <w:tcBorders>
              <w:top w:val="nil"/>
              <w:left w:val="nil"/>
              <w:bottom w:val="nil"/>
              <w:right w:val="nil"/>
            </w:tcBorders>
            <w:shd w:val="clear" w:color="FFFFFF" w:fill="FFFFFF"/>
            <w:noWrap/>
            <w:vAlign w:val="bottom"/>
            <w:hideMark/>
          </w:tcPr>
          <w:p w14:paraId="120AD4B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48ED46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45,000,879</w:t>
            </w:r>
          </w:p>
        </w:tc>
        <w:tc>
          <w:tcPr>
            <w:tcW w:w="236" w:type="dxa"/>
            <w:tcBorders>
              <w:top w:val="nil"/>
              <w:left w:val="nil"/>
              <w:bottom w:val="nil"/>
              <w:right w:val="nil"/>
            </w:tcBorders>
            <w:shd w:val="clear" w:color="FFFFFF" w:fill="FFFFFF"/>
            <w:noWrap/>
            <w:vAlign w:val="bottom"/>
            <w:hideMark/>
          </w:tcPr>
          <w:p w14:paraId="3676890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C73615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40,365,869</w:t>
            </w:r>
          </w:p>
        </w:tc>
        <w:tc>
          <w:tcPr>
            <w:tcW w:w="236" w:type="dxa"/>
            <w:tcBorders>
              <w:top w:val="nil"/>
              <w:left w:val="nil"/>
              <w:bottom w:val="nil"/>
              <w:right w:val="nil"/>
            </w:tcBorders>
            <w:shd w:val="clear" w:color="FFFFFF" w:fill="FFFFFF"/>
            <w:noWrap/>
            <w:vAlign w:val="bottom"/>
            <w:hideMark/>
          </w:tcPr>
          <w:p w14:paraId="716AA00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28ACAF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45,203,275</w:t>
            </w:r>
          </w:p>
        </w:tc>
      </w:tr>
      <w:tr w:rsidR="0082424C" w:rsidRPr="007A3600" w14:paraId="09A277C0" w14:textId="77777777">
        <w:trPr>
          <w:trHeight w:val="20"/>
        </w:trPr>
        <w:tc>
          <w:tcPr>
            <w:tcW w:w="4241" w:type="dxa"/>
            <w:tcBorders>
              <w:top w:val="nil"/>
              <w:left w:val="nil"/>
              <w:bottom w:val="nil"/>
              <w:right w:val="nil"/>
            </w:tcBorders>
            <w:shd w:val="clear" w:color="FFFFFF" w:fill="FFFFFF"/>
            <w:vAlign w:val="bottom"/>
            <w:hideMark/>
          </w:tcPr>
          <w:p w14:paraId="59C82ACA"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GST paid</w:t>
            </w:r>
          </w:p>
        </w:tc>
        <w:tc>
          <w:tcPr>
            <w:tcW w:w="1242" w:type="dxa"/>
            <w:tcBorders>
              <w:top w:val="nil"/>
              <w:left w:val="nil"/>
              <w:bottom w:val="nil"/>
              <w:right w:val="nil"/>
            </w:tcBorders>
            <w:shd w:val="clear" w:color="FFFFFF" w:fill="FFFFFF"/>
            <w:noWrap/>
            <w:vAlign w:val="bottom"/>
            <w:hideMark/>
          </w:tcPr>
          <w:p w14:paraId="6F1E697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CC0CB2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0B3E779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67F201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05FF07B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3D6FC86"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94,840</w:t>
            </w:r>
          </w:p>
        </w:tc>
      </w:tr>
      <w:tr w:rsidR="0082424C" w:rsidRPr="007A3600" w14:paraId="25977EB4" w14:textId="77777777">
        <w:trPr>
          <w:trHeight w:val="20"/>
        </w:trPr>
        <w:tc>
          <w:tcPr>
            <w:tcW w:w="4241" w:type="dxa"/>
            <w:tcBorders>
              <w:top w:val="nil"/>
              <w:left w:val="nil"/>
              <w:bottom w:val="nil"/>
              <w:right w:val="nil"/>
            </w:tcBorders>
            <w:shd w:val="clear" w:color="FFFFFF" w:fill="FFFFFF"/>
            <w:vAlign w:val="bottom"/>
            <w:hideMark/>
          </w:tcPr>
          <w:p w14:paraId="38D8B6C6"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Grant payments</w:t>
            </w:r>
          </w:p>
        </w:tc>
        <w:tc>
          <w:tcPr>
            <w:tcW w:w="1242" w:type="dxa"/>
            <w:tcBorders>
              <w:top w:val="nil"/>
              <w:left w:val="nil"/>
              <w:bottom w:val="nil"/>
              <w:right w:val="nil"/>
            </w:tcBorders>
            <w:shd w:val="clear" w:color="FFFFFF" w:fill="FFFFFF"/>
            <w:noWrap/>
            <w:vAlign w:val="bottom"/>
            <w:hideMark/>
          </w:tcPr>
          <w:p w14:paraId="6CE8A25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3A8F0B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13,269</w:t>
            </w:r>
          </w:p>
        </w:tc>
        <w:tc>
          <w:tcPr>
            <w:tcW w:w="236" w:type="dxa"/>
            <w:tcBorders>
              <w:top w:val="nil"/>
              <w:left w:val="nil"/>
              <w:bottom w:val="nil"/>
              <w:right w:val="nil"/>
            </w:tcBorders>
            <w:shd w:val="clear" w:color="FFFFFF" w:fill="FFFFFF"/>
            <w:noWrap/>
            <w:vAlign w:val="bottom"/>
            <w:hideMark/>
          </w:tcPr>
          <w:p w14:paraId="7326B7B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F62427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5,237</w:t>
            </w:r>
          </w:p>
        </w:tc>
        <w:tc>
          <w:tcPr>
            <w:tcW w:w="236" w:type="dxa"/>
            <w:tcBorders>
              <w:top w:val="nil"/>
              <w:left w:val="nil"/>
              <w:bottom w:val="nil"/>
              <w:right w:val="nil"/>
            </w:tcBorders>
            <w:shd w:val="clear" w:color="FFFFFF" w:fill="FFFFFF"/>
            <w:noWrap/>
            <w:vAlign w:val="bottom"/>
            <w:hideMark/>
          </w:tcPr>
          <w:p w14:paraId="679CB38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1A1571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35960F72" w14:textId="77777777">
        <w:trPr>
          <w:trHeight w:val="20"/>
        </w:trPr>
        <w:tc>
          <w:tcPr>
            <w:tcW w:w="4241" w:type="dxa"/>
            <w:tcBorders>
              <w:top w:val="nil"/>
              <w:left w:val="nil"/>
              <w:bottom w:val="nil"/>
              <w:right w:val="nil"/>
            </w:tcBorders>
            <w:shd w:val="clear" w:color="FFFFFF" w:fill="FFFFFF"/>
            <w:vAlign w:val="bottom"/>
            <w:hideMark/>
          </w:tcPr>
          <w:p w14:paraId="3FE47557"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cash used</w:t>
            </w:r>
          </w:p>
        </w:tc>
        <w:tc>
          <w:tcPr>
            <w:tcW w:w="1242" w:type="dxa"/>
            <w:tcBorders>
              <w:top w:val="nil"/>
              <w:left w:val="nil"/>
              <w:bottom w:val="nil"/>
              <w:right w:val="nil"/>
            </w:tcBorders>
            <w:shd w:val="clear" w:color="FFFFFF" w:fill="FFFFFF"/>
            <w:noWrap/>
            <w:vAlign w:val="bottom"/>
            <w:hideMark/>
          </w:tcPr>
          <w:p w14:paraId="3A76678E"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B6F85C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47,601,978</w:t>
            </w:r>
          </w:p>
        </w:tc>
        <w:tc>
          <w:tcPr>
            <w:tcW w:w="236" w:type="dxa"/>
            <w:tcBorders>
              <w:top w:val="nil"/>
              <w:left w:val="nil"/>
              <w:bottom w:val="nil"/>
              <w:right w:val="nil"/>
            </w:tcBorders>
            <w:shd w:val="clear" w:color="FFFFFF" w:fill="FFFFFF"/>
            <w:noWrap/>
            <w:vAlign w:val="bottom"/>
            <w:hideMark/>
          </w:tcPr>
          <w:p w14:paraId="306B2EC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1AEE7744"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42,457,443</w:t>
            </w:r>
          </w:p>
        </w:tc>
        <w:tc>
          <w:tcPr>
            <w:tcW w:w="236" w:type="dxa"/>
            <w:tcBorders>
              <w:top w:val="nil"/>
              <w:left w:val="nil"/>
              <w:bottom w:val="nil"/>
              <w:right w:val="nil"/>
            </w:tcBorders>
            <w:shd w:val="clear" w:color="FFFFFF" w:fill="FFFFFF"/>
            <w:noWrap/>
            <w:vAlign w:val="bottom"/>
            <w:hideMark/>
          </w:tcPr>
          <w:p w14:paraId="49621F8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46158B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48,954,371</w:t>
            </w:r>
          </w:p>
        </w:tc>
      </w:tr>
      <w:tr w:rsidR="0082424C" w:rsidRPr="007A3600" w14:paraId="496C531A" w14:textId="77777777">
        <w:trPr>
          <w:trHeight w:val="20"/>
        </w:trPr>
        <w:tc>
          <w:tcPr>
            <w:tcW w:w="4241" w:type="dxa"/>
            <w:tcBorders>
              <w:top w:val="nil"/>
              <w:left w:val="nil"/>
              <w:bottom w:val="nil"/>
              <w:right w:val="nil"/>
            </w:tcBorders>
            <w:shd w:val="clear" w:color="FFFFFF" w:fill="FFFFFF"/>
            <w:vAlign w:val="bottom"/>
            <w:hideMark/>
          </w:tcPr>
          <w:p w14:paraId="58DB5883"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cash from / (used by) operating activities</w:t>
            </w:r>
          </w:p>
        </w:tc>
        <w:tc>
          <w:tcPr>
            <w:tcW w:w="1242" w:type="dxa"/>
            <w:tcBorders>
              <w:top w:val="nil"/>
              <w:left w:val="nil"/>
              <w:bottom w:val="nil"/>
              <w:right w:val="nil"/>
            </w:tcBorders>
            <w:shd w:val="clear" w:color="FFFFFF" w:fill="FFFFFF"/>
            <w:noWrap/>
            <w:vAlign w:val="bottom"/>
            <w:hideMark/>
          </w:tcPr>
          <w:p w14:paraId="71DF7A1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255BE92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624,119</w:t>
            </w:r>
          </w:p>
        </w:tc>
        <w:tc>
          <w:tcPr>
            <w:tcW w:w="236" w:type="dxa"/>
            <w:tcBorders>
              <w:top w:val="nil"/>
              <w:left w:val="nil"/>
              <w:bottom w:val="nil"/>
              <w:right w:val="nil"/>
            </w:tcBorders>
            <w:shd w:val="clear" w:color="FFFFFF" w:fill="FFFFFF"/>
            <w:noWrap/>
            <w:vAlign w:val="bottom"/>
            <w:hideMark/>
          </w:tcPr>
          <w:p w14:paraId="520B349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12ED2EA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1,482,236</w:t>
            </w:r>
          </w:p>
        </w:tc>
        <w:tc>
          <w:tcPr>
            <w:tcW w:w="236" w:type="dxa"/>
            <w:tcBorders>
              <w:top w:val="nil"/>
              <w:left w:val="nil"/>
              <w:bottom w:val="nil"/>
              <w:right w:val="nil"/>
            </w:tcBorders>
            <w:shd w:val="clear" w:color="FFFFFF" w:fill="FFFFFF"/>
            <w:noWrap/>
            <w:vAlign w:val="bottom"/>
            <w:hideMark/>
          </w:tcPr>
          <w:p w14:paraId="3024173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739C2CB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(477,091)</w:t>
            </w:r>
          </w:p>
        </w:tc>
      </w:tr>
      <w:tr w:rsidR="0082424C" w:rsidRPr="007A3600" w14:paraId="12914101" w14:textId="77777777">
        <w:trPr>
          <w:trHeight w:val="20"/>
        </w:trPr>
        <w:tc>
          <w:tcPr>
            <w:tcW w:w="4241" w:type="dxa"/>
            <w:tcBorders>
              <w:top w:val="nil"/>
              <w:left w:val="nil"/>
              <w:bottom w:val="nil"/>
              <w:right w:val="nil"/>
            </w:tcBorders>
            <w:shd w:val="clear" w:color="FFFFFF" w:fill="FFFFFF"/>
            <w:noWrap/>
            <w:vAlign w:val="bottom"/>
            <w:hideMark/>
          </w:tcPr>
          <w:p w14:paraId="5BBCF89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7B98B0A2"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BBD2E8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3AE349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D23D53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2B6F1A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F614B4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2385748" w14:textId="77777777">
        <w:trPr>
          <w:trHeight w:val="20"/>
        </w:trPr>
        <w:tc>
          <w:tcPr>
            <w:tcW w:w="4241" w:type="dxa"/>
            <w:tcBorders>
              <w:top w:val="nil"/>
              <w:left w:val="nil"/>
              <w:bottom w:val="nil"/>
              <w:right w:val="nil"/>
            </w:tcBorders>
            <w:shd w:val="clear" w:color="FFFFFF" w:fill="FFFFFF"/>
            <w:vAlign w:val="bottom"/>
            <w:hideMark/>
          </w:tcPr>
          <w:p w14:paraId="697790E9"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INVESTING ACTIVITIES</w:t>
            </w:r>
          </w:p>
        </w:tc>
        <w:tc>
          <w:tcPr>
            <w:tcW w:w="1242" w:type="dxa"/>
            <w:tcBorders>
              <w:top w:val="nil"/>
              <w:left w:val="nil"/>
              <w:bottom w:val="nil"/>
              <w:right w:val="nil"/>
            </w:tcBorders>
            <w:shd w:val="clear" w:color="FFFFFF" w:fill="FFFFFF"/>
            <w:noWrap/>
            <w:vAlign w:val="bottom"/>
            <w:hideMark/>
          </w:tcPr>
          <w:p w14:paraId="2AFF3AC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C7E88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D4C8C5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CB199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45FD17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AF488F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F7EA815" w14:textId="77777777">
        <w:trPr>
          <w:trHeight w:val="20"/>
        </w:trPr>
        <w:tc>
          <w:tcPr>
            <w:tcW w:w="4241" w:type="dxa"/>
            <w:tcBorders>
              <w:top w:val="nil"/>
              <w:left w:val="nil"/>
              <w:bottom w:val="nil"/>
              <w:right w:val="nil"/>
            </w:tcBorders>
            <w:shd w:val="clear" w:color="FFFFFF" w:fill="FFFFFF"/>
            <w:vAlign w:val="bottom"/>
            <w:hideMark/>
          </w:tcPr>
          <w:p w14:paraId="06794B4A"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received</w:t>
            </w:r>
          </w:p>
        </w:tc>
        <w:tc>
          <w:tcPr>
            <w:tcW w:w="1242" w:type="dxa"/>
            <w:tcBorders>
              <w:top w:val="nil"/>
              <w:left w:val="nil"/>
              <w:bottom w:val="nil"/>
              <w:right w:val="nil"/>
            </w:tcBorders>
            <w:shd w:val="clear" w:color="FFFFFF" w:fill="FFFFFF"/>
            <w:noWrap/>
            <w:vAlign w:val="bottom"/>
            <w:hideMark/>
          </w:tcPr>
          <w:p w14:paraId="7649F919"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EE61C2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CD30FE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8162E4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5F9D1A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BEBC8A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380BD29" w14:textId="77777777">
        <w:trPr>
          <w:trHeight w:val="20"/>
        </w:trPr>
        <w:tc>
          <w:tcPr>
            <w:tcW w:w="4241" w:type="dxa"/>
            <w:tcBorders>
              <w:top w:val="nil"/>
              <w:left w:val="nil"/>
              <w:bottom w:val="nil"/>
              <w:right w:val="nil"/>
            </w:tcBorders>
            <w:shd w:val="clear" w:color="FFFFFF" w:fill="FFFFFF"/>
            <w:vAlign w:val="bottom"/>
            <w:hideMark/>
          </w:tcPr>
          <w:p w14:paraId="7903048B"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 xml:space="preserve">Proceeds from sales of property, plant and </w:t>
            </w:r>
            <w:r w:rsidRPr="007A3600">
              <w:rPr>
                <w:rFonts w:eastAsia="Times New Roman" w:cs="Arial"/>
                <w:sz w:val="18"/>
                <w:szCs w:val="18"/>
                <w:lang w:eastAsia="en-US"/>
              </w:rPr>
              <w:br/>
              <w:t xml:space="preserve">    equipment</w:t>
            </w:r>
          </w:p>
        </w:tc>
        <w:tc>
          <w:tcPr>
            <w:tcW w:w="1242" w:type="dxa"/>
            <w:tcBorders>
              <w:top w:val="nil"/>
              <w:left w:val="nil"/>
              <w:bottom w:val="nil"/>
              <w:right w:val="nil"/>
            </w:tcBorders>
            <w:shd w:val="clear" w:color="FFFFFF" w:fill="FFFFFF"/>
            <w:noWrap/>
            <w:vAlign w:val="bottom"/>
            <w:hideMark/>
          </w:tcPr>
          <w:p w14:paraId="03D23D50"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386E06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1,014</w:t>
            </w:r>
          </w:p>
        </w:tc>
        <w:tc>
          <w:tcPr>
            <w:tcW w:w="236" w:type="dxa"/>
            <w:tcBorders>
              <w:top w:val="nil"/>
              <w:left w:val="nil"/>
              <w:bottom w:val="nil"/>
              <w:right w:val="nil"/>
            </w:tcBorders>
            <w:shd w:val="clear" w:color="FFFFFF" w:fill="FFFFFF"/>
            <w:noWrap/>
            <w:vAlign w:val="bottom"/>
            <w:hideMark/>
          </w:tcPr>
          <w:p w14:paraId="585CC8E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A944A2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6</w:t>
            </w:r>
          </w:p>
        </w:tc>
        <w:tc>
          <w:tcPr>
            <w:tcW w:w="236" w:type="dxa"/>
            <w:tcBorders>
              <w:top w:val="nil"/>
              <w:left w:val="nil"/>
              <w:bottom w:val="nil"/>
              <w:right w:val="nil"/>
            </w:tcBorders>
            <w:shd w:val="clear" w:color="FFFFFF" w:fill="FFFFFF"/>
            <w:noWrap/>
            <w:vAlign w:val="bottom"/>
            <w:hideMark/>
          </w:tcPr>
          <w:p w14:paraId="25EE1DF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AFFD44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2605F9F7" w14:textId="77777777">
        <w:trPr>
          <w:trHeight w:val="20"/>
        </w:trPr>
        <w:tc>
          <w:tcPr>
            <w:tcW w:w="4241" w:type="dxa"/>
            <w:tcBorders>
              <w:top w:val="nil"/>
              <w:left w:val="nil"/>
              <w:bottom w:val="nil"/>
              <w:right w:val="nil"/>
            </w:tcBorders>
            <w:shd w:val="clear" w:color="FFFFFF" w:fill="FFFFFF"/>
            <w:vAlign w:val="bottom"/>
            <w:hideMark/>
          </w:tcPr>
          <w:p w14:paraId="7CE574EE"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Proceeds from sales of financial instruments</w:t>
            </w:r>
          </w:p>
        </w:tc>
        <w:tc>
          <w:tcPr>
            <w:tcW w:w="1242" w:type="dxa"/>
            <w:tcBorders>
              <w:top w:val="nil"/>
              <w:left w:val="nil"/>
              <w:bottom w:val="nil"/>
              <w:right w:val="nil"/>
            </w:tcBorders>
            <w:shd w:val="clear" w:color="FFFFFF" w:fill="FFFFFF"/>
            <w:noWrap/>
            <w:vAlign w:val="bottom"/>
            <w:hideMark/>
          </w:tcPr>
          <w:p w14:paraId="09C3C0A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5C2999D"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058BF8C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5D47F0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1,500,000</w:t>
            </w:r>
          </w:p>
        </w:tc>
        <w:tc>
          <w:tcPr>
            <w:tcW w:w="236" w:type="dxa"/>
            <w:tcBorders>
              <w:top w:val="nil"/>
              <w:left w:val="nil"/>
              <w:bottom w:val="nil"/>
              <w:right w:val="nil"/>
            </w:tcBorders>
            <w:shd w:val="clear" w:color="FFFFFF" w:fill="FFFFFF"/>
            <w:noWrap/>
            <w:vAlign w:val="bottom"/>
            <w:hideMark/>
          </w:tcPr>
          <w:p w14:paraId="24191B7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724040E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715478BF" w14:textId="77777777">
        <w:trPr>
          <w:trHeight w:val="20"/>
        </w:trPr>
        <w:tc>
          <w:tcPr>
            <w:tcW w:w="4241" w:type="dxa"/>
            <w:tcBorders>
              <w:top w:val="nil"/>
              <w:left w:val="nil"/>
              <w:bottom w:val="nil"/>
              <w:right w:val="nil"/>
            </w:tcBorders>
            <w:shd w:val="clear" w:color="FFFFFF" w:fill="FFFFFF"/>
            <w:vAlign w:val="bottom"/>
            <w:hideMark/>
          </w:tcPr>
          <w:p w14:paraId="4E5346E1"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used</w:t>
            </w:r>
          </w:p>
        </w:tc>
        <w:tc>
          <w:tcPr>
            <w:tcW w:w="1242" w:type="dxa"/>
            <w:tcBorders>
              <w:top w:val="nil"/>
              <w:left w:val="nil"/>
              <w:bottom w:val="nil"/>
              <w:right w:val="nil"/>
            </w:tcBorders>
            <w:shd w:val="clear" w:color="FFFFFF" w:fill="FFFFFF"/>
            <w:noWrap/>
            <w:vAlign w:val="bottom"/>
            <w:hideMark/>
          </w:tcPr>
          <w:p w14:paraId="6BD310E2"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B3BA49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A2508E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9D3183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25442A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58DF09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C0204A5" w14:textId="77777777">
        <w:trPr>
          <w:trHeight w:val="20"/>
        </w:trPr>
        <w:tc>
          <w:tcPr>
            <w:tcW w:w="4241" w:type="dxa"/>
            <w:tcBorders>
              <w:top w:val="nil"/>
              <w:left w:val="nil"/>
              <w:bottom w:val="nil"/>
              <w:right w:val="nil"/>
            </w:tcBorders>
            <w:shd w:val="clear" w:color="FFFFFF" w:fill="FFFFFF"/>
            <w:vAlign w:val="bottom"/>
            <w:hideMark/>
          </w:tcPr>
          <w:p w14:paraId="50A91CB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Purchase of property, plant &amp; equipment</w:t>
            </w:r>
          </w:p>
        </w:tc>
        <w:tc>
          <w:tcPr>
            <w:tcW w:w="1242" w:type="dxa"/>
            <w:tcBorders>
              <w:top w:val="nil"/>
              <w:left w:val="nil"/>
              <w:bottom w:val="nil"/>
              <w:right w:val="nil"/>
            </w:tcBorders>
            <w:shd w:val="clear" w:color="FFFFFF" w:fill="FFFFFF"/>
            <w:noWrap/>
            <w:vAlign w:val="bottom"/>
            <w:hideMark/>
          </w:tcPr>
          <w:p w14:paraId="02BE7BF6"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0A62EAF"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18,077</w:t>
            </w:r>
          </w:p>
        </w:tc>
        <w:tc>
          <w:tcPr>
            <w:tcW w:w="236" w:type="dxa"/>
            <w:tcBorders>
              <w:top w:val="nil"/>
              <w:left w:val="nil"/>
              <w:bottom w:val="nil"/>
              <w:right w:val="nil"/>
            </w:tcBorders>
            <w:shd w:val="clear" w:color="FFFFFF" w:fill="FFFFFF"/>
            <w:noWrap/>
            <w:vAlign w:val="bottom"/>
            <w:hideMark/>
          </w:tcPr>
          <w:p w14:paraId="6259D0C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AAA838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25,779</w:t>
            </w:r>
          </w:p>
        </w:tc>
        <w:tc>
          <w:tcPr>
            <w:tcW w:w="236" w:type="dxa"/>
            <w:tcBorders>
              <w:top w:val="nil"/>
              <w:left w:val="nil"/>
              <w:bottom w:val="nil"/>
              <w:right w:val="nil"/>
            </w:tcBorders>
            <w:shd w:val="clear" w:color="FFFFFF" w:fill="FFFFFF"/>
            <w:noWrap/>
            <w:vAlign w:val="bottom"/>
            <w:hideMark/>
          </w:tcPr>
          <w:p w14:paraId="6A83F4A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34EAAF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23,019</w:t>
            </w:r>
          </w:p>
        </w:tc>
      </w:tr>
      <w:tr w:rsidR="0082424C" w:rsidRPr="007A3600" w14:paraId="32FC3C84" w14:textId="77777777">
        <w:trPr>
          <w:trHeight w:val="20"/>
        </w:trPr>
        <w:tc>
          <w:tcPr>
            <w:tcW w:w="4241" w:type="dxa"/>
            <w:tcBorders>
              <w:top w:val="nil"/>
              <w:left w:val="nil"/>
              <w:bottom w:val="nil"/>
              <w:right w:val="nil"/>
            </w:tcBorders>
            <w:shd w:val="clear" w:color="FFFFFF" w:fill="FFFFFF"/>
            <w:vAlign w:val="bottom"/>
            <w:hideMark/>
          </w:tcPr>
          <w:p w14:paraId="54792740"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Purchase of financial instruments</w:t>
            </w:r>
          </w:p>
        </w:tc>
        <w:tc>
          <w:tcPr>
            <w:tcW w:w="1242" w:type="dxa"/>
            <w:tcBorders>
              <w:top w:val="nil"/>
              <w:left w:val="nil"/>
              <w:bottom w:val="nil"/>
              <w:right w:val="nil"/>
            </w:tcBorders>
            <w:shd w:val="clear" w:color="FFFFFF" w:fill="FFFFFF"/>
            <w:noWrap/>
            <w:vAlign w:val="bottom"/>
            <w:hideMark/>
          </w:tcPr>
          <w:p w14:paraId="46E39F03"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5580AFC"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3,700,000</w:t>
            </w:r>
          </w:p>
        </w:tc>
        <w:tc>
          <w:tcPr>
            <w:tcW w:w="236" w:type="dxa"/>
            <w:tcBorders>
              <w:top w:val="nil"/>
              <w:left w:val="nil"/>
              <w:bottom w:val="nil"/>
              <w:right w:val="nil"/>
            </w:tcBorders>
            <w:shd w:val="clear" w:color="FFFFFF" w:fill="FFFFFF"/>
            <w:noWrap/>
            <w:vAlign w:val="bottom"/>
            <w:hideMark/>
          </w:tcPr>
          <w:p w14:paraId="3DAA37AB"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62677F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c>
          <w:tcPr>
            <w:tcW w:w="236" w:type="dxa"/>
            <w:tcBorders>
              <w:top w:val="nil"/>
              <w:left w:val="nil"/>
              <w:bottom w:val="nil"/>
              <w:right w:val="nil"/>
            </w:tcBorders>
            <w:shd w:val="clear" w:color="FFFFFF" w:fill="FFFFFF"/>
            <w:noWrap/>
            <w:vAlign w:val="bottom"/>
            <w:hideMark/>
          </w:tcPr>
          <w:p w14:paraId="4CD4CDD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AEA8BA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xml:space="preserve"> -</w:t>
            </w:r>
          </w:p>
        </w:tc>
      </w:tr>
      <w:tr w:rsidR="0082424C" w:rsidRPr="007A3600" w14:paraId="70135198" w14:textId="77777777">
        <w:trPr>
          <w:trHeight w:val="20"/>
        </w:trPr>
        <w:tc>
          <w:tcPr>
            <w:tcW w:w="4241" w:type="dxa"/>
            <w:tcBorders>
              <w:top w:val="nil"/>
              <w:left w:val="nil"/>
              <w:bottom w:val="nil"/>
              <w:right w:val="nil"/>
            </w:tcBorders>
            <w:shd w:val="clear" w:color="FFFFFF" w:fill="FFFFFF"/>
            <w:vAlign w:val="bottom"/>
            <w:hideMark/>
          </w:tcPr>
          <w:p w14:paraId="11AA6C4C"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cash used</w:t>
            </w:r>
          </w:p>
        </w:tc>
        <w:tc>
          <w:tcPr>
            <w:tcW w:w="1242" w:type="dxa"/>
            <w:tcBorders>
              <w:top w:val="nil"/>
              <w:left w:val="nil"/>
              <w:bottom w:val="nil"/>
              <w:right w:val="nil"/>
            </w:tcBorders>
            <w:shd w:val="clear" w:color="FFFFFF" w:fill="FFFFFF"/>
            <w:noWrap/>
            <w:vAlign w:val="bottom"/>
            <w:hideMark/>
          </w:tcPr>
          <w:p w14:paraId="5209590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BA85A7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3,718,077</w:t>
            </w:r>
          </w:p>
        </w:tc>
        <w:tc>
          <w:tcPr>
            <w:tcW w:w="236" w:type="dxa"/>
            <w:tcBorders>
              <w:top w:val="nil"/>
              <w:left w:val="nil"/>
              <w:bottom w:val="nil"/>
              <w:right w:val="nil"/>
            </w:tcBorders>
            <w:shd w:val="clear" w:color="FFFFFF" w:fill="FFFFFF"/>
            <w:noWrap/>
            <w:vAlign w:val="bottom"/>
            <w:hideMark/>
          </w:tcPr>
          <w:p w14:paraId="14A2B48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0F3CB0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25,779</w:t>
            </w:r>
          </w:p>
        </w:tc>
        <w:tc>
          <w:tcPr>
            <w:tcW w:w="236" w:type="dxa"/>
            <w:tcBorders>
              <w:top w:val="nil"/>
              <w:left w:val="nil"/>
              <w:bottom w:val="nil"/>
              <w:right w:val="nil"/>
            </w:tcBorders>
            <w:shd w:val="clear" w:color="FFFFFF" w:fill="FFFFFF"/>
            <w:noWrap/>
            <w:vAlign w:val="bottom"/>
            <w:hideMark/>
          </w:tcPr>
          <w:p w14:paraId="63C173C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0F84ADF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23,019</w:t>
            </w:r>
          </w:p>
        </w:tc>
      </w:tr>
      <w:tr w:rsidR="0082424C" w:rsidRPr="007A3600" w14:paraId="264D44A1" w14:textId="77777777">
        <w:trPr>
          <w:trHeight w:val="20"/>
        </w:trPr>
        <w:tc>
          <w:tcPr>
            <w:tcW w:w="4241" w:type="dxa"/>
            <w:tcBorders>
              <w:top w:val="nil"/>
              <w:left w:val="nil"/>
              <w:bottom w:val="nil"/>
              <w:right w:val="nil"/>
            </w:tcBorders>
            <w:shd w:val="clear" w:color="FFFFFF" w:fill="FFFFFF"/>
            <w:vAlign w:val="bottom"/>
            <w:hideMark/>
          </w:tcPr>
          <w:p w14:paraId="302E2523"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cash from / (used by) investing activities</w:t>
            </w:r>
          </w:p>
        </w:tc>
        <w:tc>
          <w:tcPr>
            <w:tcW w:w="1242" w:type="dxa"/>
            <w:tcBorders>
              <w:top w:val="nil"/>
              <w:left w:val="nil"/>
              <w:bottom w:val="nil"/>
              <w:right w:val="nil"/>
            </w:tcBorders>
            <w:shd w:val="clear" w:color="FFFFFF" w:fill="FFFFFF"/>
            <w:noWrap/>
            <w:vAlign w:val="bottom"/>
            <w:hideMark/>
          </w:tcPr>
          <w:p w14:paraId="75537F5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1F49EFD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(3,717,063)</w:t>
            </w:r>
          </w:p>
        </w:tc>
        <w:tc>
          <w:tcPr>
            <w:tcW w:w="236" w:type="dxa"/>
            <w:tcBorders>
              <w:top w:val="nil"/>
              <w:left w:val="nil"/>
              <w:bottom w:val="nil"/>
              <w:right w:val="nil"/>
            </w:tcBorders>
            <w:shd w:val="clear" w:color="FFFFFF" w:fill="FFFFFF"/>
            <w:noWrap/>
            <w:vAlign w:val="bottom"/>
            <w:hideMark/>
          </w:tcPr>
          <w:p w14:paraId="7283226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2BCAFF8A"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1,474,227</w:t>
            </w:r>
          </w:p>
        </w:tc>
        <w:tc>
          <w:tcPr>
            <w:tcW w:w="236" w:type="dxa"/>
            <w:tcBorders>
              <w:top w:val="nil"/>
              <w:left w:val="nil"/>
              <w:bottom w:val="nil"/>
              <w:right w:val="nil"/>
            </w:tcBorders>
            <w:shd w:val="clear" w:color="FFFFFF" w:fill="FFFFFF"/>
            <w:noWrap/>
            <w:vAlign w:val="bottom"/>
            <w:hideMark/>
          </w:tcPr>
          <w:p w14:paraId="25BA276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71856A55"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(23,019)</w:t>
            </w:r>
          </w:p>
        </w:tc>
      </w:tr>
      <w:tr w:rsidR="0082424C" w:rsidRPr="007A3600" w14:paraId="01104299" w14:textId="77777777">
        <w:trPr>
          <w:trHeight w:val="20"/>
        </w:trPr>
        <w:tc>
          <w:tcPr>
            <w:tcW w:w="4241" w:type="dxa"/>
            <w:tcBorders>
              <w:top w:val="nil"/>
              <w:left w:val="nil"/>
              <w:bottom w:val="nil"/>
              <w:right w:val="nil"/>
            </w:tcBorders>
            <w:shd w:val="clear" w:color="FFFFFF" w:fill="FFFFFF"/>
            <w:noWrap/>
            <w:vAlign w:val="bottom"/>
            <w:hideMark/>
          </w:tcPr>
          <w:p w14:paraId="7D4E90C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4A161124"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B9C77E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CB0D35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6A8F5E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AEE0FA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9DA919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4F8297B" w14:textId="77777777">
        <w:trPr>
          <w:trHeight w:val="20"/>
        </w:trPr>
        <w:tc>
          <w:tcPr>
            <w:tcW w:w="4241" w:type="dxa"/>
            <w:tcBorders>
              <w:top w:val="nil"/>
              <w:left w:val="nil"/>
              <w:bottom w:val="nil"/>
              <w:right w:val="nil"/>
            </w:tcBorders>
            <w:shd w:val="clear" w:color="FFFFFF" w:fill="FFFFFF"/>
            <w:vAlign w:val="bottom"/>
            <w:hideMark/>
          </w:tcPr>
          <w:p w14:paraId="67D79AE8"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FINANCING ACTIVITIES</w:t>
            </w:r>
          </w:p>
        </w:tc>
        <w:tc>
          <w:tcPr>
            <w:tcW w:w="1242" w:type="dxa"/>
            <w:tcBorders>
              <w:top w:val="nil"/>
              <w:left w:val="nil"/>
              <w:bottom w:val="nil"/>
              <w:right w:val="nil"/>
            </w:tcBorders>
            <w:shd w:val="clear" w:color="FFFFFF" w:fill="FFFFFF"/>
            <w:noWrap/>
            <w:vAlign w:val="bottom"/>
            <w:hideMark/>
          </w:tcPr>
          <w:p w14:paraId="555EA06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A3B965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B0326B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52F0897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0D6EF1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09F93D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8AEC110" w14:textId="77777777">
        <w:trPr>
          <w:trHeight w:val="20"/>
        </w:trPr>
        <w:tc>
          <w:tcPr>
            <w:tcW w:w="4241" w:type="dxa"/>
            <w:tcBorders>
              <w:top w:val="nil"/>
              <w:left w:val="nil"/>
              <w:bottom w:val="nil"/>
              <w:right w:val="nil"/>
            </w:tcBorders>
            <w:shd w:val="clear" w:color="FFFFFF" w:fill="FFFFFF"/>
            <w:vAlign w:val="bottom"/>
            <w:hideMark/>
          </w:tcPr>
          <w:p w14:paraId="3F5BFCE5"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used</w:t>
            </w:r>
          </w:p>
        </w:tc>
        <w:tc>
          <w:tcPr>
            <w:tcW w:w="1242" w:type="dxa"/>
            <w:tcBorders>
              <w:top w:val="nil"/>
              <w:left w:val="nil"/>
              <w:bottom w:val="nil"/>
              <w:right w:val="nil"/>
            </w:tcBorders>
            <w:shd w:val="clear" w:color="FFFFFF" w:fill="FFFFFF"/>
            <w:noWrap/>
            <w:vAlign w:val="bottom"/>
            <w:hideMark/>
          </w:tcPr>
          <w:p w14:paraId="4701BEC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900D43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FDA792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1B67B7D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503D285"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EB0335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0AB946A" w14:textId="77777777">
        <w:trPr>
          <w:trHeight w:val="20"/>
        </w:trPr>
        <w:tc>
          <w:tcPr>
            <w:tcW w:w="4241" w:type="dxa"/>
            <w:tcBorders>
              <w:top w:val="nil"/>
              <w:left w:val="nil"/>
              <w:bottom w:val="nil"/>
              <w:right w:val="nil"/>
            </w:tcBorders>
            <w:shd w:val="clear" w:color="FFFFFF" w:fill="FFFFFF"/>
            <w:vAlign w:val="bottom"/>
            <w:hideMark/>
          </w:tcPr>
          <w:p w14:paraId="2331539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xml:space="preserve">   Return of contributed equity</w:t>
            </w:r>
          </w:p>
        </w:tc>
        <w:tc>
          <w:tcPr>
            <w:tcW w:w="1242" w:type="dxa"/>
            <w:tcBorders>
              <w:top w:val="nil"/>
              <w:left w:val="nil"/>
              <w:bottom w:val="nil"/>
              <w:right w:val="nil"/>
            </w:tcBorders>
            <w:shd w:val="clear" w:color="FFFFFF" w:fill="FFFFFF"/>
            <w:noWrap/>
            <w:vAlign w:val="bottom"/>
            <w:hideMark/>
          </w:tcPr>
          <w:p w14:paraId="366073F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D4E8A3A"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9199A5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642586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A45BFE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0E0F1D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4639C4F" w14:textId="77777777">
        <w:trPr>
          <w:trHeight w:val="20"/>
        </w:trPr>
        <w:tc>
          <w:tcPr>
            <w:tcW w:w="4241" w:type="dxa"/>
            <w:tcBorders>
              <w:top w:val="nil"/>
              <w:left w:val="nil"/>
              <w:bottom w:val="nil"/>
              <w:right w:val="nil"/>
            </w:tcBorders>
            <w:shd w:val="clear" w:color="FFFFFF" w:fill="FFFFFF"/>
            <w:vAlign w:val="bottom"/>
            <w:hideMark/>
          </w:tcPr>
          <w:p w14:paraId="216953EB" w14:textId="77777777" w:rsidR="0082424C" w:rsidRPr="007A3600" w:rsidRDefault="0082424C" w:rsidP="00AD3197">
            <w:pPr>
              <w:spacing w:after="0" w:line="240" w:lineRule="atLeast"/>
              <w:ind w:firstLineChars="100" w:firstLine="180"/>
              <w:rPr>
                <w:rFonts w:eastAsia="Times New Roman" w:cs="Arial"/>
                <w:sz w:val="18"/>
                <w:szCs w:val="18"/>
                <w:lang w:eastAsia="en-US"/>
              </w:rPr>
            </w:pPr>
            <w:r w:rsidRPr="007A3600">
              <w:rPr>
                <w:rFonts w:eastAsia="Times New Roman" w:cs="Arial"/>
                <w:sz w:val="18"/>
                <w:szCs w:val="18"/>
                <w:lang w:eastAsia="en-US"/>
              </w:rPr>
              <w:t>Principal payments of lease liabilities</w:t>
            </w:r>
          </w:p>
        </w:tc>
        <w:tc>
          <w:tcPr>
            <w:tcW w:w="1242" w:type="dxa"/>
            <w:tcBorders>
              <w:top w:val="nil"/>
              <w:left w:val="nil"/>
              <w:bottom w:val="nil"/>
              <w:right w:val="nil"/>
            </w:tcBorders>
            <w:shd w:val="clear" w:color="FFFFFF" w:fill="FFFFFF"/>
            <w:noWrap/>
            <w:vAlign w:val="bottom"/>
            <w:hideMark/>
          </w:tcPr>
          <w:p w14:paraId="60C514B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3B7BE98"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37,646</w:t>
            </w:r>
          </w:p>
        </w:tc>
        <w:tc>
          <w:tcPr>
            <w:tcW w:w="236" w:type="dxa"/>
            <w:tcBorders>
              <w:top w:val="nil"/>
              <w:left w:val="nil"/>
              <w:bottom w:val="nil"/>
              <w:right w:val="nil"/>
            </w:tcBorders>
            <w:shd w:val="clear" w:color="FFFFFF" w:fill="FFFFFF"/>
            <w:noWrap/>
            <w:vAlign w:val="bottom"/>
            <w:hideMark/>
          </w:tcPr>
          <w:p w14:paraId="3B177D1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F27048C"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26,694</w:t>
            </w:r>
          </w:p>
        </w:tc>
        <w:tc>
          <w:tcPr>
            <w:tcW w:w="236" w:type="dxa"/>
            <w:tcBorders>
              <w:top w:val="nil"/>
              <w:left w:val="nil"/>
              <w:bottom w:val="nil"/>
              <w:right w:val="nil"/>
            </w:tcBorders>
            <w:shd w:val="clear" w:color="FFFFFF" w:fill="FFFFFF"/>
            <w:noWrap/>
            <w:vAlign w:val="bottom"/>
            <w:hideMark/>
          </w:tcPr>
          <w:p w14:paraId="66E627E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694C55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43,917</w:t>
            </w:r>
          </w:p>
        </w:tc>
      </w:tr>
      <w:tr w:rsidR="0082424C" w:rsidRPr="007A3600" w14:paraId="7DECFF78" w14:textId="77777777">
        <w:trPr>
          <w:trHeight w:val="20"/>
        </w:trPr>
        <w:tc>
          <w:tcPr>
            <w:tcW w:w="4241" w:type="dxa"/>
            <w:tcBorders>
              <w:top w:val="nil"/>
              <w:left w:val="nil"/>
              <w:bottom w:val="nil"/>
              <w:right w:val="nil"/>
            </w:tcBorders>
            <w:shd w:val="clear" w:color="FFFFFF" w:fill="FFFFFF"/>
            <w:vAlign w:val="bottom"/>
            <w:hideMark/>
          </w:tcPr>
          <w:p w14:paraId="6C704648"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cash used</w:t>
            </w:r>
          </w:p>
        </w:tc>
        <w:tc>
          <w:tcPr>
            <w:tcW w:w="1242" w:type="dxa"/>
            <w:tcBorders>
              <w:top w:val="nil"/>
              <w:left w:val="nil"/>
              <w:bottom w:val="nil"/>
              <w:right w:val="nil"/>
            </w:tcBorders>
            <w:shd w:val="clear" w:color="FFFFFF" w:fill="FFFFFF"/>
            <w:noWrap/>
            <w:vAlign w:val="bottom"/>
            <w:hideMark/>
          </w:tcPr>
          <w:p w14:paraId="2A453237"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3BA43DC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37,646</w:t>
            </w:r>
          </w:p>
        </w:tc>
        <w:tc>
          <w:tcPr>
            <w:tcW w:w="236" w:type="dxa"/>
            <w:tcBorders>
              <w:top w:val="nil"/>
              <w:left w:val="nil"/>
              <w:bottom w:val="nil"/>
              <w:right w:val="nil"/>
            </w:tcBorders>
            <w:shd w:val="clear" w:color="FFFFFF" w:fill="FFFFFF"/>
            <w:noWrap/>
            <w:vAlign w:val="bottom"/>
            <w:hideMark/>
          </w:tcPr>
          <w:p w14:paraId="26E2ADF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137EEA9"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26,694</w:t>
            </w:r>
          </w:p>
        </w:tc>
        <w:tc>
          <w:tcPr>
            <w:tcW w:w="236" w:type="dxa"/>
            <w:tcBorders>
              <w:top w:val="nil"/>
              <w:left w:val="nil"/>
              <w:bottom w:val="nil"/>
              <w:right w:val="nil"/>
            </w:tcBorders>
            <w:shd w:val="clear" w:color="FFFFFF" w:fill="FFFFFF"/>
            <w:noWrap/>
            <w:vAlign w:val="bottom"/>
            <w:hideMark/>
          </w:tcPr>
          <w:p w14:paraId="39CBA9C1"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553C1B3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43,917</w:t>
            </w:r>
          </w:p>
        </w:tc>
      </w:tr>
      <w:tr w:rsidR="0082424C" w:rsidRPr="007A3600" w14:paraId="7A433248" w14:textId="77777777">
        <w:trPr>
          <w:trHeight w:val="20"/>
        </w:trPr>
        <w:tc>
          <w:tcPr>
            <w:tcW w:w="4241" w:type="dxa"/>
            <w:tcBorders>
              <w:top w:val="nil"/>
              <w:left w:val="nil"/>
              <w:bottom w:val="nil"/>
              <w:right w:val="nil"/>
            </w:tcBorders>
            <w:shd w:val="clear" w:color="FFFFFF" w:fill="FFFFFF"/>
            <w:vAlign w:val="bottom"/>
            <w:hideMark/>
          </w:tcPr>
          <w:p w14:paraId="08118D6B"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cash from / (used by) financing activities</w:t>
            </w:r>
          </w:p>
        </w:tc>
        <w:tc>
          <w:tcPr>
            <w:tcW w:w="1242" w:type="dxa"/>
            <w:tcBorders>
              <w:top w:val="nil"/>
              <w:left w:val="nil"/>
              <w:bottom w:val="nil"/>
              <w:right w:val="nil"/>
            </w:tcBorders>
            <w:shd w:val="clear" w:color="FFFFFF" w:fill="FFFFFF"/>
            <w:noWrap/>
            <w:vAlign w:val="bottom"/>
            <w:hideMark/>
          </w:tcPr>
          <w:p w14:paraId="246AE7DD"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344DC04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(37,646)</w:t>
            </w:r>
          </w:p>
        </w:tc>
        <w:tc>
          <w:tcPr>
            <w:tcW w:w="236" w:type="dxa"/>
            <w:tcBorders>
              <w:top w:val="nil"/>
              <w:left w:val="nil"/>
              <w:bottom w:val="nil"/>
              <w:right w:val="nil"/>
            </w:tcBorders>
            <w:shd w:val="clear" w:color="FFFFFF" w:fill="FFFFFF"/>
            <w:noWrap/>
            <w:vAlign w:val="bottom"/>
            <w:hideMark/>
          </w:tcPr>
          <w:p w14:paraId="25D6706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2EA429D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(26,694)</w:t>
            </w:r>
          </w:p>
        </w:tc>
        <w:tc>
          <w:tcPr>
            <w:tcW w:w="236" w:type="dxa"/>
            <w:tcBorders>
              <w:top w:val="nil"/>
              <w:left w:val="nil"/>
              <w:bottom w:val="nil"/>
              <w:right w:val="nil"/>
            </w:tcBorders>
            <w:shd w:val="clear" w:color="FFFFFF" w:fill="FFFFFF"/>
            <w:noWrap/>
            <w:vAlign w:val="bottom"/>
            <w:hideMark/>
          </w:tcPr>
          <w:p w14:paraId="6AE5FCF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single" w:sz="4" w:space="0" w:color="auto"/>
              <w:right w:val="nil"/>
            </w:tcBorders>
            <w:shd w:val="clear" w:color="FFFFFF" w:fill="FFFFFF"/>
            <w:noWrap/>
            <w:vAlign w:val="bottom"/>
            <w:hideMark/>
          </w:tcPr>
          <w:p w14:paraId="1425693E"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(43,917)</w:t>
            </w:r>
          </w:p>
        </w:tc>
      </w:tr>
      <w:tr w:rsidR="0082424C" w:rsidRPr="007A3600" w14:paraId="39A9134A" w14:textId="77777777">
        <w:trPr>
          <w:trHeight w:val="20"/>
        </w:trPr>
        <w:tc>
          <w:tcPr>
            <w:tcW w:w="4241" w:type="dxa"/>
            <w:tcBorders>
              <w:top w:val="nil"/>
              <w:left w:val="nil"/>
              <w:bottom w:val="nil"/>
              <w:right w:val="nil"/>
            </w:tcBorders>
            <w:shd w:val="clear" w:color="FFFFFF" w:fill="FFFFFF"/>
            <w:noWrap/>
            <w:vAlign w:val="bottom"/>
            <w:hideMark/>
          </w:tcPr>
          <w:p w14:paraId="7EECEE49"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42" w:type="dxa"/>
            <w:tcBorders>
              <w:top w:val="nil"/>
              <w:left w:val="nil"/>
              <w:bottom w:val="nil"/>
              <w:right w:val="nil"/>
            </w:tcBorders>
            <w:shd w:val="clear" w:color="FFFFFF" w:fill="FFFFFF"/>
            <w:noWrap/>
            <w:vAlign w:val="bottom"/>
            <w:hideMark/>
          </w:tcPr>
          <w:p w14:paraId="627E69B8"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26AA93C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8F4349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4B93B73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CE891C4"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12D15C7"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0ACD285" w14:textId="77777777">
        <w:trPr>
          <w:trHeight w:val="20"/>
        </w:trPr>
        <w:tc>
          <w:tcPr>
            <w:tcW w:w="4241" w:type="dxa"/>
            <w:tcBorders>
              <w:top w:val="nil"/>
              <w:left w:val="nil"/>
              <w:bottom w:val="nil"/>
              <w:right w:val="nil"/>
            </w:tcBorders>
            <w:shd w:val="clear" w:color="FFFFFF" w:fill="FFFFFF"/>
            <w:vAlign w:val="bottom"/>
            <w:hideMark/>
          </w:tcPr>
          <w:p w14:paraId="2655C6DE"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Net increase / (decrease) in cash held</w:t>
            </w:r>
          </w:p>
        </w:tc>
        <w:tc>
          <w:tcPr>
            <w:tcW w:w="1242" w:type="dxa"/>
            <w:tcBorders>
              <w:top w:val="nil"/>
              <w:left w:val="nil"/>
              <w:bottom w:val="nil"/>
              <w:right w:val="nil"/>
            </w:tcBorders>
            <w:shd w:val="clear" w:color="FFFFFF" w:fill="FFFFFF"/>
            <w:noWrap/>
            <w:vAlign w:val="bottom"/>
            <w:hideMark/>
          </w:tcPr>
          <w:p w14:paraId="43BAEE71"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755A3CF0"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(3,130,590)</w:t>
            </w:r>
          </w:p>
        </w:tc>
        <w:tc>
          <w:tcPr>
            <w:tcW w:w="236" w:type="dxa"/>
            <w:tcBorders>
              <w:top w:val="nil"/>
              <w:left w:val="nil"/>
              <w:bottom w:val="nil"/>
              <w:right w:val="nil"/>
            </w:tcBorders>
            <w:shd w:val="clear" w:color="FFFFFF" w:fill="FFFFFF"/>
            <w:noWrap/>
            <w:vAlign w:val="bottom"/>
            <w:hideMark/>
          </w:tcPr>
          <w:p w14:paraId="21E0C5D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71380BB"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2,929,769</w:t>
            </w:r>
          </w:p>
        </w:tc>
        <w:tc>
          <w:tcPr>
            <w:tcW w:w="236" w:type="dxa"/>
            <w:tcBorders>
              <w:top w:val="nil"/>
              <w:left w:val="nil"/>
              <w:bottom w:val="nil"/>
              <w:right w:val="nil"/>
            </w:tcBorders>
            <w:shd w:val="clear" w:color="FFFFFF" w:fill="FFFFFF"/>
            <w:noWrap/>
            <w:vAlign w:val="bottom"/>
            <w:hideMark/>
          </w:tcPr>
          <w:p w14:paraId="523E70C8"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079833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(544,027)</w:t>
            </w:r>
          </w:p>
        </w:tc>
      </w:tr>
      <w:tr w:rsidR="0082424C" w:rsidRPr="007A3600" w14:paraId="77397CF1" w14:textId="77777777">
        <w:trPr>
          <w:trHeight w:val="20"/>
        </w:trPr>
        <w:tc>
          <w:tcPr>
            <w:tcW w:w="4241" w:type="dxa"/>
            <w:tcBorders>
              <w:top w:val="nil"/>
              <w:left w:val="nil"/>
              <w:bottom w:val="nil"/>
              <w:right w:val="nil"/>
            </w:tcBorders>
            <w:shd w:val="clear" w:color="FFFFFF" w:fill="FFFFFF"/>
            <w:vAlign w:val="bottom"/>
            <w:hideMark/>
          </w:tcPr>
          <w:p w14:paraId="5114E87F"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Cash and cash equivalents at the beginning of the reporting period</w:t>
            </w:r>
          </w:p>
        </w:tc>
        <w:tc>
          <w:tcPr>
            <w:tcW w:w="1242" w:type="dxa"/>
            <w:tcBorders>
              <w:top w:val="nil"/>
              <w:left w:val="nil"/>
              <w:bottom w:val="nil"/>
              <w:right w:val="nil"/>
            </w:tcBorders>
            <w:shd w:val="clear" w:color="FFFFFF" w:fill="FFFFFF"/>
            <w:noWrap/>
            <w:vAlign w:val="bottom"/>
            <w:hideMark/>
          </w:tcPr>
          <w:p w14:paraId="2A28221C"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60B15B1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5,659,548</w:t>
            </w:r>
          </w:p>
        </w:tc>
        <w:tc>
          <w:tcPr>
            <w:tcW w:w="236" w:type="dxa"/>
            <w:tcBorders>
              <w:top w:val="nil"/>
              <w:left w:val="nil"/>
              <w:bottom w:val="nil"/>
              <w:right w:val="nil"/>
            </w:tcBorders>
            <w:shd w:val="clear" w:color="FFFFFF" w:fill="FFFFFF"/>
            <w:noWrap/>
            <w:vAlign w:val="bottom"/>
            <w:hideMark/>
          </w:tcPr>
          <w:p w14:paraId="0EFFA5A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0082783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2,729,779</w:t>
            </w:r>
          </w:p>
        </w:tc>
        <w:tc>
          <w:tcPr>
            <w:tcW w:w="236" w:type="dxa"/>
            <w:tcBorders>
              <w:top w:val="nil"/>
              <w:left w:val="nil"/>
              <w:bottom w:val="nil"/>
              <w:right w:val="nil"/>
            </w:tcBorders>
            <w:shd w:val="clear" w:color="FFFFFF" w:fill="FFFFFF"/>
            <w:noWrap/>
            <w:vAlign w:val="bottom"/>
            <w:hideMark/>
          </w:tcPr>
          <w:p w14:paraId="2849D40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nil"/>
              <w:left w:val="nil"/>
              <w:bottom w:val="nil"/>
              <w:right w:val="nil"/>
            </w:tcBorders>
            <w:shd w:val="clear" w:color="FFFFFF" w:fill="FFFFFF"/>
            <w:noWrap/>
            <w:vAlign w:val="bottom"/>
            <w:hideMark/>
          </w:tcPr>
          <w:p w14:paraId="3358F847"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5,094,105</w:t>
            </w:r>
          </w:p>
        </w:tc>
      </w:tr>
      <w:tr w:rsidR="0082424C" w:rsidRPr="007A3600" w14:paraId="368E95F4" w14:textId="77777777">
        <w:trPr>
          <w:trHeight w:val="20"/>
        </w:trPr>
        <w:tc>
          <w:tcPr>
            <w:tcW w:w="4241" w:type="dxa"/>
            <w:tcBorders>
              <w:top w:val="nil"/>
              <w:left w:val="nil"/>
              <w:bottom w:val="nil"/>
              <w:right w:val="nil"/>
            </w:tcBorders>
            <w:shd w:val="clear" w:color="FFFFFF" w:fill="FFFFFF"/>
            <w:vAlign w:val="bottom"/>
            <w:hideMark/>
          </w:tcPr>
          <w:p w14:paraId="737B1422"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Cash and cash equivalents at the end of the reporting period</w:t>
            </w:r>
          </w:p>
        </w:tc>
        <w:tc>
          <w:tcPr>
            <w:tcW w:w="1242" w:type="dxa"/>
            <w:tcBorders>
              <w:top w:val="nil"/>
              <w:left w:val="nil"/>
              <w:bottom w:val="nil"/>
              <w:right w:val="nil"/>
            </w:tcBorders>
            <w:shd w:val="clear" w:color="FFFFFF" w:fill="FFFFFF"/>
            <w:noWrap/>
            <w:vAlign w:val="bottom"/>
            <w:hideMark/>
          </w:tcPr>
          <w:p w14:paraId="53C05835" w14:textId="77777777" w:rsidR="0082424C" w:rsidRPr="007A3600" w:rsidRDefault="0082424C" w:rsidP="00AD3197">
            <w:pPr>
              <w:spacing w:after="0" w:line="240" w:lineRule="atLeast"/>
              <w:jc w:val="center"/>
              <w:rPr>
                <w:rFonts w:eastAsia="Times New Roman" w:cs="Arial"/>
                <w:sz w:val="18"/>
                <w:szCs w:val="18"/>
                <w:lang w:eastAsia="en-US"/>
              </w:rPr>
            </w:pPr>
            <w:r w:rsidRPr="007A3600">
              <w:rPr>
                <w:rFonts w:eastAsia="Times New Roman" w:cs="Arial"/>
                <w:sz w:val="18"/>
                <w:szCs w:val="18"/>
                <w:lang w:eastAsia="en-US"/>
              </w:rPr>
              <w:t>2.1A</w:t>
            </w:r>
          </w:p>
        </w:tc>
        <w:tc>
          <w:tcPr>
            <w:tcW w:w="1044" w:type="dxa"/>
            <w:tcBorders>
              <w:top w:val="single" w:sz="4" w:space="0" w:color="auto"/>
              <w:left w:val="nil"/>
              <w:bottom w:val="single" w:sz="4" w:space="0" w:color="auto"/>
              <w:right w:val="nil"/>
            </w:tcBorders>
            <w:shd w:val="clear" w:color="FFFFFF" w:fill="FFFFFF"/>
            <w:noWrap/>
            <w:vAlign w:val="bottom"/>
            <w:hideMark/>
          </w:tcPr>
          <w:p w14:paraId="1504CCD6"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2,528,958</w:t>
            </w:r>
          </w:p>
        </w:tc>
        <w:tc>
          <w:tcPr>
            <w:tcW w:w="236" w:type="dxa"/>
            <w:tcBorders>
              <w:top w:val="nil"/>
              <w:left w:val="nil"/>
              <w:bottom w:val="nil"/>
              <w:right w:val="nil"/>
            </w:tcBorders>
            <w:shd w:val="clear" w:color="FFFFFF" w:fill="FFFFFF"/>
            <w:noWrap/>
            <w:vAlign w:val="bottom"/>
            <w:hideMark/>
          </w:tcPr>
          <w:p w14:paraId="7432F093"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61443881"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5,659,548</w:t>
            </w:r>
          </w:p>
        </w:tc>
        <w:tc>
          <w:tcPr>
            <w:tcW w:w="236" w:type="dxa"/>
            <w:tcBorders>
              <w:top w:val="nil"/>
              <w:left w:val="nil"/>
              <w:bottom w:val="nil"/>
              <w:right w:val="nil"/>
            </w:tcBorders>
            <w:shd w:val="clear" w:color="FFFFFF" w:fill="FFFFFF"/>
            <w:noWrap/>
            <w:vAlign w:val="bottom"/>
            <w:hideMark/>
          </w:tcPr>
          <w:p w14:paraId="11388582"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044" w:type="dxa"/>
            <w:tcBorders>
              <w:top w:val="single" w:sz="4" w:space="0" w:color="auto"/>
              <w:left w:val="nil"/>
              <w:bottom w:val="single" w:sz="4" w:space="0" w:color="auto"/>
              <w:right w:val="nil"/>
            </w:tcBorders>
            <w:shd w:val="clear" w:color="FFFFFF" w:fill="FFFFFF"/>
            <w:noWrap/>
            <w:vAlign w:val="bottom"/>
            <w:hideMark/>
          </w:tcPr>
          <w:p w14:paraId="40667B2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4,550,078</w:t>
            </w:r>
          </w:p>
        </w:tc>
      </w:tr>
    </w:tbl>
    <w:p w14:paraId="171B79E0" w14:textId="77777777" w:rsidR="0082424C" w:rsidRPr="007A3600" w:rsidRDefault="0082424C" w:rsidP="00AD3197">
      <w:pPr>
        <w:spacing w:before="120" w:after="0" w:line="240" w:lineRule="auto"/>
        <w:rPr>
          <w:rFonts w:eastAsia="Times New Roman"/>
          <w:sz w:val="18"/>
          <w:szCs w:val="20"/>
        </w:rPr>
      </w:pPr>
      <w:r w:rsidRPr="007A3600">
        <w:rPr>
          <w:rFonts w:eastAsia="Times New Roman"/>
          <w:sz w:val="18"/>
          <w:szCs w:val="20"/>
        </w:rPr>
        <w:t>The above statement should be read in conjunction with the accompanying notes.</w:t>
      </w:r>
    </w:p>
    <w:p w14:paraId="141F3DC0" w14:textId="77777777" w:rsidR="0082424C" w:rsidRPr="007A3600" w:rsidRDefault="0082424C" w:rsidP="00AD3197">
      <w:pPr>
        <w:spacing w:after="0" w:line="240" w:lineRule="auto"/>
        <w:rPr>
          <w:rFonts w:eastAsia="Times New Roman"/>
          <w:sz w:val="18"/>
          <w:szCs w:val="20"/>
        </w:rPr>
      </w:pPr>
      <w:r w:rsidRPr="007A3600">
        <w:rPr>
          <w:rFonts w:eastAsia="Times New Roman"/>
          <w:sz w:val="16"/>
          <w:szCs w:val="18"/>
          <w:vertAlign w:val="superscript"/>
        </w:rPr>
        <w:t>1</w:t>
      </w:r>
      <w:r w:rsidRPr="007A3600">
        <w:rPr>
          <w:rFonts w:eastAsia="Times New Roman"/>
          <w:sz w:val="18"/>
          <w:szCs w:val="20"/>
        </w:rPr>
        <w:t>Original Budget refers to the figures published in the 2024–25 Portfolio Budget Statements.</w:t>
      </w:r>
    </w:p>
    <w:p w14:paraId="0D90AB25" w14:textId="77777777" w:rsidR="0082424C" w:rsidRPr="007A3600" w:rsidRDefault="0082424C" w:rsidP="00AD3197">
      <w:pPr>
        <w:spacing w:before="120" w:after="120"/>
        <w:rPr>
          <w:rFonts w:eastAsia="Times New Roman" w:cs="Arial"/>
          <w:b/>
          <w:lang w:eastAsia="en-US"/>
        </w:rPr>
      </w:pPr>
      <w:r w:rsidRPr="007A3600">
        <w:rPr>
          <w:rFonts w:cs="Arial"/>
        </w:rPr>
        <w:br w:type="page"/>
      </w:r>
    </w:p>
    <w:p w14:paraId="02026D5B" w14:textId="77777777" w:rsidR="0082424C" w:rsidRPr="007A3600" w:rsidRDefault="0082424C" w:rsidP="00AD3197">
      <w:pPr>
        <w:spacing w:after="0" w:line="260" w:lineRule="atLeast"/>
        <w:rPr>
          <w:rFonts w:eastAsia="Times New Roman" w:cs="Arial"/>
          <w:b/>
          <w:lang w:eastAsia="en-US"/>
        </w:rPr>
      </w:pPr>
      <w:r w:rsidRPr="007A3600">
        <w:rPr>
          <w:rFonts w:eastAsia="Times New Roman" w:cs="Arial"/>
          <w:lang w:eastAsia="en-US"/>
        </w:rPr>
        <w:lastRenderedPageBreak/>
        <w:fldChar w:fldCharType="begin"/>
      </w:r>
      <w:r w:rsidRPr="007A3600">
        <w:rPr>
          <w:rFonts w:eastAsia="Times New Roman" w:cs="Arial"/>
          <w:b/>
          <w:lang w:eastAsia="en-US"/>
        </w:rPr>
        <w:instrText xml:space="preserve"> DOCPROPERTY  longName  \* MERGEFORMAT </w:instrText>
      </w:r>
      <w:r w:rsidRPr="007A3600">
        <w:rPr>
          <w:rFonts w:eastAsia="Times New Roman" w:cs="Arial"/>
          <w:lang w:eastAsia="en-US"/>
        </w:rPr>
        <w:fldChar w:fldCharType="separate"/>
      </w:r>
      <w:r w:rsidRPr="007A3600">
        <w:rPr>
          <w:rFonts w:eastAsia="Times New Roman" w:cs="Arial"/>
          <w:b/>
          <w:lang w:eastAsia="en-US"/>
        </w:rPr>
        <w:t>National Disability Insurance</w:t>
      </w:r>
      <w:r w:rsidRPr="007A3600">
        <w:rPr>
          <w:rFonts w:eastAsia="Times New Roman"/>
          <w:b/>
          <w:szCs w:val="20"/>
          <w:lang w:eastAsia="en-US"/>
        </w:rPr>
        <w:t xml:space="preserve"> Agency</w:t>
      </w:r>
      <w:r w:rsidRPr="007A3600">
        <w:rPr>
          <w:rFonts w:eastAsia="Times New Roman"/>
          <w:szCs w:val="20"/>
          <w:lang w:eastAsia="en-US"/>
        </w:rPr>
        <w:fldChar w:fldCharType="end"/>
      </w:r>
    </w:p>
    <w:p w14:paraId="3229F767" w14:textId="77777777" w:rsidR="0082424C" w:rsidRPr="007A3600" w:rsidRDefault="0082424C" w:rsidP="00AD3197">
      <w:pPr>
        <w:spacing w:after="0" w:line="260" w:lineRule="atLeast"/>
        <w:rPr>
          <w:rFonts w:eastAsia="Times New Roman" w:cs="Arial"/>
          <w:b/>
          <w:lang w:eastAsia="en-US"/>
        </w:rPr>
      </w:pPr>
      <w:r w:rsidRPr="007A3600">
        <w:rPr>
          <w:rFonts w:eastAsia="Times New Roman"/>
          <w:b/>
          <w:lang w:eastAsia="en-US"/>
        </w:rPr>
        <w:t>CASH FLOW STATEMENT</w:t>
      </w:r>
    </w:p>
    <w:p w14:paraId="0F04FEDE" w14:textId="77777777" w:rsidR="0082424C" w:rsidRPr="007A3600" w:rsidRDefault="0082424C" w:rsidP="00AD3197">
      <w:pPr>
        <w:pBdr>
          <w:bottom w:val="single" w:sz="4" w:space="1" w:color="auto"/>
        </w:pBdr>
        <w:spacing w:after="120" w:line="260" w:lineRule="atLeast"/>
        <w:rPr>
          <w:rFonts w:eastAsia="Times New Roman"/>
          <w:i/>
          <w:szCs w:val="20"/>
          <w:lang w:eastAsia="en-US"/>
        </w:rPr>
      </w:pPr>
      <w:r w:rsidRPr="007A3600">
        <w:rPr>
          <w:rFonts w:eastAsia="Times New Roman"/>
          <w:i/>
          <w:lang w:eastAsia="en-US"/>
        </w:rPr>
        <w:t xml:space="preserve">for the year ended </w:t>
      </w:r>
      <w:r w:rsidRPr="007A3600">
        <w:rPr>
          <w:rFonts w:eastAsia="Times New Roman"/>
          <w:szCs w:val="20"/>
          <w:lang w:eastAsia="en-US"/>
        </w:rPr>
        <w:fldChar w:fldCharType="begin"/>
      </w:r>
      <w:r w:rsidRPr="007A3600">
        <w:rPr>
          <w:rFonts w:eastAsia="Times New Roman"/>
          <w:i/>
          <w:szCs w:val="20"/>
          <w:lang w:eastAsia="en-US"/>
        </w:rPr>
        <w:instrText>DOCPROPERTY  pEnd  \* MERGEFORMAT</w:instrText>
      </w:r>
      <w:r w:rsidRPr="007A3600">
        <w:rPr>
          <w:rFonts w:eastAsia="Times New Roman"/>
          <w:szCs w:val="20"/>
          <w:lang w:eastAsia="en-US"/>
        </w:rPr>
        <w:fldChar w:fldCharType="separate"/>
      </w:r>
      <w:r w:rsidRPr="007A3600">
        <w:rPr>
          <w:rFonts w:eastAsia="Times New Roman"/>
          <w:i/>
          <w:szCs w:val="20"/>
          <w:lang w:eastAsia="en-US"/>
        </w:rPr>
        <w:t>30 June</w:t>
      </w:r>
      <w:r w:rsidRPr="007A3600">
        <w:rPr>
          <w:rFonts w:eastAsia="Times New Roman"/>
          <w:szCs w:val="20"/>
          <w:lang w:eastAsia="en-US"/>
        </w:rPr>
        <w:fldChar w:fldCharType="end"/>
      </w:r>
      <w:r w:rsidRPr="007A3600">
        <w:rPr>
          <w:rFonts w:eastAsia="Times New Roman"/>
          <w:i/>
          <w:szCs w:val="20"/>
          <w:lang w:eastAsia="en-US"/>
        </w:rPr>
        <w:t xml:space="preserve"> </w:t>
      </w:r>
      <w:r w:rsidRPr="007A3600">
        <w:rPr>
          <w:rFonts w:eastAsia="Times New Roman"/>
          <w:szCs w:val="20"/>
          <w:lang w:eastAsia="en-US"/>
        </w:rPr>
        <w:fldChar w:fldCharType="begin"/>
      </w:r>
      <w:r w:rsidRPr="007A3600">
        <w:rPr>
          <w:rFonts w:eastAsia="Times New Roman"/>
          <w:i/>
          <w:lang w:eastAsia="en-US"/>
        </w:rPr>
        <w:instrText xml:space="preserve"> DOCPROPERTY  crYear  \* MERGEFORMAT </w:instrText>
      </w:r>
      <w:r w:rsidRPr="007A3600">
        <w:rPr>
          <w:rFonts w:eastAsia="Times New Roman"/>
          <w:szCs w:val="20"/>
          <w:lang w:eastAsia="en-US"/>
        </w:rPr>
        <w:fldChar w:fldCharType="separate"/>
      </w:r>
      <w:r w:rsidRPr="007A3600">
        <w:rPr>
          <w:rFonts w:eastAsia="Times New Roman"/>
          <w:i/>
          <w:lang w:eastAsia="en-US"/>
        </w:rPr>
        <w:t>2025</w:t>
      </w:r>
      <w:r w:rsidRPr="007A3600">
        <w:rPr>
          <w:rFonts w:eastAsia="Times New Roman"/>
          <w:szCs w:val="20"/>
          <w:lang w:eastAsia="en-US"/>
        </w:rPr>
        <w:fldChar w:fldCharType="end"/>
      </w:r>
    </w:p>
    <w:p w14:paraId="4DB249F6"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Budget Variances Commentary </w:t>
      </w:r>
    </w:p>
    <w:p w14:paraId="4BCC4EDD"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Cash Flow Statement</w:t>
      </w:r>
    </w:p>
    <w:p w14:paraId="77FA4EB8" w14:textId="77777777" w:rsidR="0082424C" w:rsidRPr="007A3600" w:rsidRDefault="0082424C" w:rsidP="00AD3197">
      <w:pPr>
        <w:spacing w:after="180" w:line="240" w:lineRule="auto"/>
        <w:rPr>
          <w:rFonts w:eastAsia="Times New Roman" w:cs="Arial"/>
          <w:sz w:val="18"/>
          <w:szCs w:val="18"/>
        </w:rPr>
      </w:pPr>
      <w:r w:rsidRPr="007A3600">
        <w:rPr>
          <w:rFonts w:eastAsia="Times New Roman" w:cs="Arial"/>
          <w:sz w:val="18"/>
          <w:szCs w:val="18"/>
        </w:rPr>
        <w:t>The following major variance explanations between the Original Budget as presented in the 2024–25 Portfolio Budget Statements and the 2024–25 financial statements are presented in accordance with Australian Accounting Standards. The 2024–25 Portfolio Budget Statements contain the original financial statements’ budget estimates presented to Parliament in respect of the 2024–25 financial year. The information presented below should be read in the context of the following:</w:t>
      </w:r>
    </w:p>
    <w:p w14:paraId="58AAF243" w14:textId="521981D6" w:rsidR="0082424C" w:rsidRPr="007A3600" w:rsidRDefault="0082424C" w:rsidP="00C125CB">
      <w:pPr>
        <w:pStyle w:val="Financialstatementbulletpoint"/>
      </w:pPr>
      <w:r w:rsidRPr="007A3600">
        <w:t>major variances are determined in accordance with Department of Finance guidelines;</w:t>
      </w:r>
    </w:p>
    <w:p w14:paraId="311CD346" w14:textId="3796E235" w:rsidR="0082424C" w:rsidRPr="007A3600" w:rsidRDefault="0082424C" w:rsidP="00C125CB">
      <w:pPr>
        <w:pStyle w:val="Financialstatementbulletpoint"/>
      </w:pPr>
      <w:r w:rsidRPr="007A3600">
        <w:t>variances relating to cash flows are a result of the factors explained for net cost of services, assets or liabilities variations. Unless otherwise individually significant, no additional commentary has been included; and</w:t>
      </w:r>
    </w:p>
    <w:p w14:paraId="39E20397" w14:textId="3270E193" w:rsidR="0082424C" w:rsidRPr="007A3600" w:rsidRDefault="0082424C" w:rsidP="00C125CB">
      <w:pPr>
        <w:pStyle w:val="Financialstatementbulletpoint"/>
        <w:rPr>
          <w:rFonts w:eastAsia="Calibri"/>
        </w:rPr>
      </w:pPr>
      <w:r w:rsidRPr="007A3600">
        <w:t>the Budget is not audited.</w:t>
      </w:r>
    </w:p>
    <w:tbl>
      <w:tblPr>
        <w:tblW w:w="9077" w:type="dxa"/>
        <w:tblInd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273"/>
        <w:gridCol w:w="6804"/>
      </w:tblGrid>
      <w:tr w:rsidR="003D092D" w:rsidRPr="007A3600" w14:paraId="3F465958" w14:textId="77777777" w:rsidTr="00C125CB">
        <w:trPr>
          <w:cantSplit/>
          <w:trHeight w:val="340"/>
          <w:tblHeader/>
        </w:trPr>
        <w:tc>
          <w:tcPr>
            <w:tcW w:w="2273" w:type="dxa"/>
            <w:shd w:val="clear" w:color="FFFFFF" w:fill="FFFFFF"/>
            <w:noWrap/>
            <w:vAlign w:val="center"/>
          </w:tcPr>
          <w:p w14:paraId="2EB0858F" w14:textId="77777777" w:rsidR="0082424C" w:rsidRPr="007A3600" w:rsidRDefault="0082424C" w:rsidP="00AD3197">
            <w:pPr>
              <w:spacing w:after="0" w:line="260" w:lineRule="atLeast"/>
              <w:rPr>
                <w:rFonts w:eastAsia="Calibri" w:cs="Arial"/>
                <w:b/>
                <w:sz w:val="18"/>
                <w:szCs w:val="18"/>
                <w:lang w:eastAsia="en-US"/>
              </w:rPr>
            </w:pPr>
            <w:r w:rsidRPr="007A3600">
              <w:rPr>
                <w:rFonts w:eastAsia="Calibri" w:cs="Arial"/>
                <w:b/>
                <w:sz w:val="18"/>
                <w:szCs w:val="18"/>
                <w:lang w:eastAsia="en-US"/>
              </w:rPr>
              <w:t>Affected line items</w:t>
            </w:r>
          </w:p>
        </w:tc>
        <w:tc>
          <w:tcPr>
            <w:tcW w:w="6804" w:type="dxa"/>
            <w:shd w:val="clear" w:color="FFFFFF" w:fill="FFFFFF"/>
            <w:vAlign w:val="center"/>
          </w:tcPr>
          <w:p w14:paraId="45008049" w14:textId="77777777" w:rsidR="0082424C" w:rsidRPr="007A3600" w:rsidRDefault="0082424C" w:rsidP="00AD3197">
            <w:pPr>
              <w:spacing w:after="0" w:line="260" w:lineRule="atLeast"/>
              <w:rPr>
                <w:rFonts w:eastAsia="Calibri" w:cs="Arial"/>
                <w:b/>
                <w:sz w:val="18"/>
                <w:szCs w:val="18"/>
                <w:lang w:eastAsia="en-US"/>
              </w:rPr>
            </w:pPr>
            <w:r w:rsidRPr="007A3600">
              <w:rPr>
                <w:rFonts w:eastAsia="Calibri" w:cs="Arial"/>
                <w:b/>
                <w:bCs/>
                <w:sz w:val="18"/>
                <w:szCs w:val="18"/>
                <w:lang w:eastAsia="en-US"/>
              </w:rPr>
              <w:t>Explanations of major variances</w:t>
            </w:r>
          </w:p>
        </w:tc>
      </w:tr>
      <w:tr w:rsidR="00E2079D" w:rsidRPr="007A3600" w14:paraId="57CA499B" w14:textId="77777777">
        <w:trPr>
          <w:cantSplit/>
          <w:trHeight w:val="255"/>
        </w:trPr>
        <w:tc>
          <w:tcPr>
            <w:tcW w:w="2273" w:type="dxa"/>
            <w:noWrap/>
          </w:tcPr>
          <w:p w14:paraId="08DE633B"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Received</w:t>
            </w:r>
          </w:p>
          <w:p w14:paraId="5691953D" w14:textId="77777777" w:rsidR="0082424C" w:rsidRPr="007A3600" w:rsidRDefault="0082424C" w:rsidP="00AD3197">
            <w:pPr>
              <w:spacing w:after="0" w:line="260" w:lineRule="atLeast"/>
              <w:rPr>
                <w:rFonts w:eastAsia="Calibri" w:cs="Arial"/>
                <w:i/>
                <w:sz w:val="18"/>
                <w:szCs w:val="18"/>
                <w:lang w:eastAsia="en-US"/>
              </w:rPr>
            </w:pPr>
            <w:r w:rsidRPr="007A3600">
              <w:rPr>
                <w:rFonts w:eastAsia="Calibri" w:cs="Arial"/>
                <w:i/>
                <w:sz w:val="18"/>
                <w:szCs w:val="18"/>
                <w:lang w:eastAsia="en-US"/>
              </w:rPr>
              <w:t>Interest Received</w:t>
            </w:r>
          </w:p>
        </w:tc>
        <w:tc>
          <w:tcPr>
            <w:tcW w:w="6804" w:type="dxa"/>
            <w:noWrap/>
          </w:tcPr>
          <w:p w14:paraId="2A1737F4"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variance to the Original Budget reflects higher than anticipated interest revenue receipts from Cash at Bank and Term Deposit balances.</w:t>
            </w:r>
          </w:p>
        </w:tc>
      </w:tr>
      <w:tr w:rsidR="00E2079D" w:rsidRPr="007A3600" w14:paraId="0E8CAFDA" w14:textId="77777777">
        <w:trPr>
          <w:cantSplit/>
          <w:trHeight w:val="255"/>
        </w:trPr>
        <w:tc>
          <w:tcPr>
            <w:tcW w:w="2273" w:type="dxa"/>
            <w:noWrap/>
          </w:tcPr>
          <w:p w14:paraId="0676A178"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Received</w:t>
            </w:r>
          </w:p>
          <w:p w14:paraId="101D2A20"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GST Received</w:t>
            </w:r>
          </w:p>
        </w:tc>
        <w:tc>
          <w:tcPr>
            <w:tcW w:w="6804" w:type="dxa"/>
            <w:noWrap/>
          </w:tcPr>
          <w:p w14:paraId="49E5C393"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variance to the Original Budget reflects higher than anticipated net GST Refunds driven by timing of payments to Suppliers.</w:t>
            </w:r>
          </w:p>
        </w:tc>
      </w:tr>
      <w:tr w:rsidR="00E2079D" w:rsidRPr="007A3600" w14:paraId="2FB971FD" w14:textId="77777777">
        <w:trPr>
          <w:cantSplit/>
          <w:trHeight w:val="255"/>
        </w:trPr>
        <w:tc>
          <w:tcPr>
            <w:tcW w:w="2273" w:type="dxa"/>
            <w:noWrap/>
          </w:tcPr>
          <w:p w14:paraId="464302AE"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Received</w:t>
            </w:r>
          </w:p>
          <w:p w14:paraId="13CAA7CD"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Cash Received Other</w:t>
            </w:r>
          </w:p>
        </w:tc>
        <w:tc>
          <w:tcPr>
            <w:tcW w:w="6804" w:type="dxa"/>
            <w:noWrap/>
          </w:tcPr>
          <w:p w14:paraId="60942E19"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Variance to Original Budget is largely attributable to an increase in compensation receipts from Participants. This increase was not anticipated in the original budget, as compensation receipts are inherently variable and fluctuate on a case-by-case basis, making budgeting difficult.</w:t>
            </w:r>
          </w:p>
        </w:tc>
      </w:tr>
      <w:tr w:rsidR="00E2079D" w:rsidRPr="007A3600" w14:paraId="36EB49EE" w14:textId="77777777">
        <w:trPr>
          <w:cantSplit/>
          <w:trHeight w:val="255"/>
        </w:trPr>
        <w:tc>
          <w:tcPr>
            <w:tcW w:w="2273" w:type="dxa"/>
            <w:noWrap/>
          </w:tcPr>
          <w:p w14:paraId="7856C8E1"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Used</w:t>
            </w:r>
          </w:p>
          <w:p w14:paraId="34655501"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Employee Benefits</w:t>
            </w:r>
          </w:p>
        </w:tc>
        <w:tc>
          <w:tcPr>
            <w:tcW w:w="6804" w:type="dxa"/>
            <w:noWrap/>
          </w:tcPr>
          <w:p w14:paraId="2E7AC52E"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variance to Original Budget is largely attributable to higher than expected staff payments due to increases throughout the year to APS staffing numbers. The Agency has sought to prioritise recruitment activity towards APS employees under the Government’s Strategic Commissioning Framework.</w:t>
            </w:r>
          </w:p>
        </w:tc>
      </w:tr>
      <w:tr w:rsidR="00E2079D" w:rsidRPr="007A3600" w14:paraId="0910404A" w14:textId="77777777">
        <w:trPr>
          <w:cantSplit/>
          <w:trHeight w:val="255"/>
        </w:trPr>
        <w:tc>
          <w:tcPr>
            <w:tcW w:w="2273" w:type="dxa"/>
            <w:noWrap/>
          </w:tcPr>
          <w:p w14:paraId="7B800F97"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Used</w:t>
            </w:r>
          </w:p>
          <w:p w14:paraId="7AE315C7"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Supplier Expenses</w:t>
            </w:r>
          </w:p>
        </w:tc>
        <w:tc>
          <w:tcPr>
            <w:tcW w:w="6804" w:type="dxa"/>
            <w:noWrap/>
          </w:tcPr>
          <w:p w14:paraId="74C7724B" w14:textId="77777777" w:rsidR="0082424C" w:rsidRPr="007A3600" w:rsidRDefault="0082424C" w:rsidP="00AD3197">
            <w:pPr>
              <w:spacing w:after="0" w:line="260" w:lineRule="atLeast"/>
              <w:jc w:val="both"/>
              <w:rPr>
                <w:rFonts w:eastAsia="Times New Roman" w:cs="Arial"/>
                <w:color w:val="000000"/>
                <w:sz w:val="18"/>
                <w:szCs w:val="18"/>
                <w:lang w:eastAsia="en-US"/>
              </w:rPr>
            </w:pPr>
            <w:r w:rsidRPr="007A3600">
              <w:rPr>
                <w:rFonts w:eastAsia="Times New Roman" w:cs="Arial"/>
                <w:color w:val="000000"/>
                <w:sz w:val="18"/>
                <w:szCs w:val="18"/>
                <w:lang w:eastAsia="en-US"/>
              </w:rPr>
              <w:t>The variance to Original Budget for Supplier Expenses is largely driven by lower than expected cash payments to Labour Hire and Contracting Staff.</w:t>
            </w:r>
          </w:p>
          <w:p w14:paraId="2278A2F4"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Total combined cash used (i.e., Supplier Expenses plus Community Partnership Costs) is lower than anticipated in the Original Budget.</w:t>
            </w:r>
          </w:p>
        </w:tc>
      </w:tr>
      <w:tr w:rsidR="00E2079D" w:rsidRPr="007A3600" w14:paraId="23F10C1E" w14:textId="77777777">
        <w:trPr>
          <w:cantSplit/>
          <w:trHeight w:val="255"/>
        </w:trPr>
        <w:tc>
          <w:tcPr>
            <w:tcW w:w="2273" w:type="dxa"/>
            <w:noWrap/>
          </w:tcPr>
          <w:p w14:paraId="4F7EFB99"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Used</w:t>
            </w:r>
          </w:p>
          <w:p w14:paraId="5586F692"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Community Partnership Costs</w:t>
            </w:r>
          </w:p>
        </w:tc>
        <w:tc>
          <w:tcPr>
            <w:tcW w:w="6804" w:type="dxa"/>
            <w:noWrap/>
          </w:tcPr>
          <w:p w14:paraId="35AE1EA6" w14:textId="77777777" w:rsidR="0082424C" w:rsidRPr="007A3600" w:rsidRDefault="0082424C" w:rsidP="00AD3197">
            <w:pPr>
              <w:spacing w:after="0" w:line="260" w:lineRule="atLeast"/>
              <w:jc w:val="both"/>
              <w:rPr>
                <w:rFonts w:eastAsia="Times New Roman" w:cs="Arial"/>
                <w:color w:val="000000"/>
                <w:sz w:val="18"/>
                <w:szCs w:val="18"/>
                <w:lang w:eastAsia="en-US"/>
              </w:rPr>
            </w:pPr>
            <w:r w:rsidRPr="007A3600">
              <w:rPr>
                <w:rFonts w:eastAsia="Times New Roman" w:cs="Arial"/>
                <w:color w:val="000000"/>
                <w:sz w:val="18"/>
                <w:szCs w:val="18"/>
                <w:lang w:eastAsia="en-US"/>
              </w:rPr>
              <w:t>The variance to Original Budget for Community Partnership Costs is due to the budget for Community Partnership Costs being included as part of Supplier Expenses.</w:t>
            </w:r>
          </w:p>
          <w:p w14:paraId="73DA9773"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Total combined cash used (i.e., Supplier Expenses plus Community Partnership Costs) is lower than anticipated in the Original Budget.</w:t>
            </w:r>
          </w:p>
        </w:tc>
      </w:tr>
      <w:tr w:rsidR="00E2079D" w:rsidRPr="007A3600" w14:paraId="22CB7243" w14:textId="77777777">
        <w:trPr>
          <w:cantSplit/>
          <w:trHeight w:val="255"/>
        </w:trPr>
        <w:tc>
          <w:tcPr>
            <w:tcW w:w="2273" w:type="dxa"/>
            <w:noWrap/>
          </w:tcPr>
          <w:p w14:paraId="716A9FC1"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Operating Activities – Cash Used</w:t>
            </w:r>
          </w:p>
          <w:p w14:paraId="227FAC8C"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Interest Payments on Lease Liabilities</w:t>
            </w:r>
          </w:p>
        </w:tc>
        <w:tc>
          <w:tcPr>
            <w:tcW w:w="6804" w:type="dxa"/>
            <w:noWrap/>
          </w:tcPr>
          <w:p w14:paraId="170B2D09"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Additional motor vehicle fleet leases and variations to existing Right of Use building leases have driven higher interest payments on the Agency's asset leases.</w:t>
            </w:r>
          </w:p>
        </w:tc>
      </w:tr>
      <w:tr w:rsidR="00E2079D" w:rsidRPr="007A3600" w14:paraId="309EB741" w14:textId="77777777">
        <w:trPr>
          <w:cantSplit/>
          <w:trHeight w:val="255"/>
        </w:trPr>
        <w:tc>
          <w:tcPr>
            <w:tcW w:w="2273" w:type="dxa"/>
            <w:noWrap/>
          </w:tcPr>
          <w:p w14:paraId="71EB2C75"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Investing Activities – Cash Used</w:t>
            </w:r>
          </w:p>
          <w:p w14:paraId="66158694"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Purchase of property, plant &amp; equipment</w:t>
            </w:r>
          </w:p>
        </w:tc>
        <w:tc>
          <w:tcPr>
            <w:tcW w:w="6804" w:type="dxa"/>
            <w:noWrap/>
          </w:tcPr>
          <w:p w14:paraId="62D8C231"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variance to Original Budget is largely attributable to a lower than expected cash outflow for capital purchases of property, plant, and equipment.</w:t>
            </w:r>
          </w:p>
        </w:tc>
      </w:tr>
      <w:tr w:rsidR="00E2079D" w:rsidRPr="007A3600" w14:paraId="52CFD1C8" w14:textId="77777777">
        <w:trPr>
          <w:cantSplit/>
          <w:trHeight w:val="255"/>
        </w:trPr>
        <w:tc>
          <w:tcPr>
            <w:tcW w:w="2273" w:type="dxa"/>
            <w:noWrap/>
          </w:tcPr>
          <w:p w14:paraId="53E91034"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t>Investing Activities – Cash Used</w:t>
            </w:r>
          </w:p>
          <w:p w14:paraId="2F1F81B2"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Purchase of financial instruments</w:t>
            </w:r>
          </w:p>
        </w:tc>
        <w:tc>
          <w:tcPr>
            <w:tcW w:w="6804" w:type="dxa"/>
            <w:noWrap/>
          </w:tcPr>
          <w:p w14:paraId="66BF453B"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Original Budget did not anticipate the Agency investing in term deposits.</w:t>
            </w:r>
          </w:p>
        </w:tc>
      </w:tr>
      <w:tr w:rsidR="00E2079D" w:rsidRPr="007A3600" w14:paraId="2AEA393B" w14:textId="77777777">
        <w:trPr>
          <w:cantSplit/>
          <w:trHeight w:val="255"/>
        </w:trPr>
        <w:tc>
          <w:tcPr>
            <w:tcW w:w="2273" w:type="dxa"/>
            <w:noWrap/>
          </w:tcPr>
          <w:p w14:paraId="09AFCE56"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sz w:val="18"/>
                <w:szCs w:val="18"/>
                <w:lang w:eastAsia="en-US"/>
              </w:rPr>
              <w:lastRenderedPageBreak/>
              <w:t>Financing Activities – Cash Used</w:t>
            </w:r>
          </w:p>
          <w:p w14:paraId="388B6334" w14:textId="77777777" w:rsidR="0082424C" w:rsidRPr="007A3600" w:rsidRDefault="0082424C" w:rsidP="00AD3197">
            <w:pPr>
              <w:spacing w:after="0" w:line="260" w:lineRule="atLeast"/>
              <w:rPr>
                <w:rFonts w:eastAsia="Calibri" w:cs="Arial"/>
                <w:sz w:val="18"/>
                <w:szCs w:val="18"/>
                <w:lang w:eastAsia="en-US"/>
              </w:rPr>
            </w:pPr>
            <w:r w:rsidRPr="007A3600">
              <w:rPr>
                <w:rFonts w:eastAsia="Calibri" w:cs="Arial"/>
                <w:i/>
                <w:sz w:val="18"/>
                <w:szCs w:val="18"/>
                <w:lang w:eastAsia="en-US"/>
              </w:rPr>
              <w:t>Principal payments of lease liabilities</w:t>
            </w:r>
          </w:p>
        </w:tc>
        <w:tc>
          <w:tcPr>
            <w:tcW w:w="6804" w:type="dxa"/>
            <w:noWrap/>
          </w:tcPr>
          <w:p w14:paraId="566990F0" w14:textId="77777777" w:rsidR="0082424C" w:rsidRPr="007A3600" w:rsidRDefault="0082424C" w:rsidP="00AD3197">
            <w:pPr>
              <w:spacing w:after="0" w:line="260" w:lineRule="atLeast"/>
              <w:rPr>
                <w:rFonts w:eastAsia="Calibri" w:cs="Arial"/>
                <w:sz w:val="18"/>
                <w:szCs w:val="18"/>
                <w:lang w:eastAsia="en-US"/>
              </w:rPr>
            </w:pPr>
            <w:r w:rsidRPr="007A3600">
              <w:rPr>
                <w:rFonts w:eastAsia="Times New Roman" w:cs="Arial"/>
                <w:color w:val="000000"/>
                <w:sz w:val="18"/>
                <w:szCs w:val="18"/>
                <w:lang w:eastAsia="en-US"/>
              </w:rPr>
              <w:t>The variance to Original Budget is largely attributable to lease incentives received in 2024–25 contributing to a reduction in principal lease repayments.</w:t>
            </w:r>
          </w:p>
        </w:tc>
      </w:tr>
    </w:tbl>
    <w:p w14:paraId="76A25171" w14:textId="77777777" w:rsidR="0082424C" w:rsidRPr="007A3600" w:rsidRDefault="0082424C" w:rsidP="00AD3197">
      <w:pPr>
        <w:spacing w:after="0" w:line="260" w:lineRule="atLeast"/>
        <w:rPr>
          <w:rFonts w:eastAsia="Calibri" w:cs="Arial"/>
          <w:sz w:val="18"/>
          <w:szCs w:val="18"/>
          <w:lang w:eastAsia="en-US"/>
        </w:rPr>
        <w:sectPr w:rsidR="0082424C" w:rsidRPr="007A3600" w:rsidSect="0082424C">
          <w:headerReference w:type="even" r:id="rId134"/>
          <w:headerReference w:type="default" r:id="rId135"/>
          <w:footerReference w:type="default" r:id="rId136"/>
          <w:headerReference w:type="first" r:id="rId137"/>
          <w:pgSz w:w="11906" w:h="16838" w:code="9"/>
          <w:pgMar w:top="1134" w:right="1700" w:bottom="1134" w:left="1134" w:header="561" w:footer="737" w:gutter="0"/>
          <w:cols w:space="708"/>
          <w:docGrid w:linePitch="360"/>
        </w:sectPr>
      </w:pPr>
    </w:p>
    <w:p w14:paraId="4C1B410E"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4C9B8A3B"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0612D29A" w14:textId="77777777" w:rsidR="0082424C" w:rsidRPr="007A3600" w:rsidRDefault="0082424C" w:rsidP="00AD3197">
      <w:pPr>
        <w:tabs>
          <w:tab w:val="left" w:pos="9214"/>
        </w:tabs>
        <w:spacing w:before="240" w:after="120" w:line="240" w:lineRule="auto"/>
        <w:rPr>
          <w:rFonts w:eastAsia="Times New Roman" w:cs="Arial"/>
          <w:b/>
          <w:bCs/>
          <w:sz w:val="18"/>
          <w:szCs w:val="18"/>
          <w:lang w:eastAsia="en-US"/>
        </w:rPr>
      </w:pPr>
      <w:r w:rsidRPr="007A3600">
        <w:rPr>
          <w:rFonts w:eastAsia="Times New Roman" w:cs="Arial"/>
          <w:b/>
          <w:bCs/>
          <w:sz w:val="18"/>
          <w:szCs w:val="18"/>
          <w:lang w:eastAsia="en-US"/>
        </w:rPr>
        <w:t>Table of Contents</w:t>
      </w:r>
    </w:p>
    <w:p w14:paraId="05AAD823" w14:textId="77777777" w:rsidR="00825182" w:rsidRPr="00496458" w:rsidRDefault="00825182" w:rsidP="00650C5C">
      <w:pPr>
        <w:shd w:val="clear" w:color="auto" w:fill="FFFFFF"/>
        <w:tabs>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Overview</w:t>
      </w:r>
      <w:r w:rsidRPr="00496458">
        <w:rPr>
          <w:rFonts w:eastAsia="Times New Roman" w:cs="Arial"/>
          <w:b/>
          <w:bCs/>
          <w:sz w:val="18"/>
          <w:szCs w:val="18"/>
          <w:lang w:eastAsia="en-US"/>
        </w:rPr>
        <w:tab/>
        <w:t>98</w:t>
      </w:r>
    </w:p>
    <w:p w14:paraId="0632610E" w14:textId="77777777" w:rsidR="00825182" w:rsidRPr="00496458" w:rsidRDefault="00825182" w:rsidP="00650C5C">
      <w:pPr>
        <w:shd w:val="clear" w:color="auto" w:fill="FFFFFF"/>
        <w:tabs>
          <w:tab w:val="left" w:pos="567"/>
          <w:tab w:val="left" w:pos="1134"/>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1.</w:t>
      </w:r>
      <w:r w:rsidRPr="00496458">
        <w:rPr>
          <w:rFonts w:eastAsia="Times New Roman" w:cs="Arial"/>
          <w:b/>
          <w:bCs/>
          <w:sz w:val="18"/>
          <w:szCs w:val="18"/>
          <w:lang w:eastAsia="en-US"/>
        </w:rPr>
        <w:tab/>
        <w:t>Financial Performance</w:t>
      </w:r>
      <w:r w:rsidRPr="00496458">
        <w:rPr>
          <w:rFonts w:eastAsia="Times New Roman" w:cs="Arial"/>
          <w:b/>
          <w:bCs/>
          <w:sz w:val="18"/>
          <w:szCs w:val="18"/>
          <w:lang w:eastAsia="en-US"/>
        </w:rPr>
        <w:tab/>
        <w:t>99</w:t>
      </w:r>
    </w:p>
    <w:p w14:paraId="55C1FB40" w14:textId="0339C2F3"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1.1</w:t>
      </w:r>
      <w:r w:rsidRPr="00496458">
        <w:rPr>
          <w:rFonts w:eastAsia="Times New Roman" w:cs="Arial"/>
          <w:sz w:val="18"/>
          <w:szCs w:val="18"/>
          <w:lang w:eastAsia="en-US"/>
        </w:rPr>
        <w:tab/>
        <w:t>Expenses</w:t>
      </w:r>
      <w:r w:rsidRPr="00496458">
        <w:rPr>
          <w:rFonts w:eastAsia="Times New Roman" w:cs="Arial"/>
          <w:sz w:val="18"/>
          <w:szCs w:val="18"/>
          <w:lang w:eastAsia="en-US"/>
        </w:rPr>
        <w:tab/>
        <w:t>99</w:t>
      </w:r>
    </w:p>
    <w:p w14:paraId="0DD0A3B0" w14:textId="59F895E1"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1.2</w:t>
      </w:r>
      <w:r w:rsidRPr="00496458">
        <w:rPr>
          <w:rFonts w:eastAsia="Times New Roman" w:cs="Arial"/>
          <w:sz w:val="18"/>
          <w:szCs w:val="18"/>
          <w:lang w:eastAsia="en-US"/>
        </w:rPr>
        <w:tab/>
        <w:t>Own-Source Revenue and Gains</w:t>
      </w:r>
      <w:r w:rsidRPr="00496458">
        <w:rPr>
          <w:rFonts w:eastAsia="Times New Roman" w:cs="Arial"/>
          <w:sz w:val="18"/>
          <w:szCs w:val="18"/>
          <w:lang w:eastAsia="en-US"/>
        </w:rPr>
        <w:tab/>
        <w:t>102</w:t>
      </w:r>
    </w:p>
    <w:p w14:paraId="18245DD3" w14:textId="77777777" w:rsidR="00825182" w:rsidRPr="00496458" w:rsidRDefault="00825182" w:rsidP="00650C5C">
      <w:pPr>
        <w:shd w:val="clear" w:color="auto" w:fill="FFFFFF"/>
        <w:tabs>
          <w:tab w:val="left" w:pos="567"/>
          <w:tab w:val="left" w:pos="1134"/>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2.</w:t>
      </w:r>
      <w:r w:rsidRPr="00496458">
        <w:rPr>
          <w:rFonts w:eastAsia="Times New Roman" w:cs="Arial"/>
          <w:b/>
          <w:bCs/>
          <w:sz w:val="18"/>
          <w:szCs w:val="18"/>
          <w:lang w:eastAsia="en-US"/>
        </w:rPr>
        <w:tab/>
        <w:t>Financial Position</w:t>
      </w:r>
      <w:r w:rsidRPr="00496458">
        <w:rPr>
          <w:rFonts w:eastAsia="Times New Roman" w:cs="Arial"/>
          <w:b/>
          <w:bCs/>
          <w:sz w:val="18"/>
          <w:szCs w:val="18"/>
          <w:lang w:eastAsia="en-US"/>
        </w:rPr>
        <w:tab/>
        <w:t>105</w:t>
      </w:r>
    </w:p>
    <w:p w14:paraId="463014AF" w14:textId="309ABC06"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2.1</w:t>
      </w:r>
      <w:r w:rsidRPr="00496458">
        <w:rPr>
          <w:rFonts w:eastAsia="Times New Roman" w:cs="Arial"/>
          <w:sz w:val="18"/>
          <w:szCs w:val="18"/>
          <w:lang w:eastAsia="en-US"/>
        </w:rPr>
        <w:tab/>
        <w:t>Financial Assets</w:t>
      </w:r>
      <w:r w:rsidRPr="00496458">
        <w:rPr>
          <w:rFonts w:eastAsia="Times New Roman" w:cs="Arial"/>
          <w:sz w:val="18"/>
          <w:szCs w:val="18"/>
          <w:lang w:eastAsia="en-US"/>
        </w:rPr>
        <w:tab/>
        <w:t>105</w:t>
      </w:r>
    </w:p>
    <w:p w14:paraId="3D965DC8" w14:textId="3B2BF025"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2.2</w:t>
      </w:r>
      <w:r w:rsidRPr="00496458">
        <w:rPr>
          <w:rFonts w:eastAsia="Times New Roman" w:cs="Arial"/>
          <w:sz w:val="18"/>
          <w:szCs w:val="18"/>
          <w:lang w:eastAsia="en-US"/>
        </w:rPr>
        <w:tab/>
        <w:t>Non-Financial Assets</w:t>
      </w:r>
      <w:r w:rsidRPr="00496458">
        <w:rPr>
          <w:rFonts w:eastAsia="Times New Roman" w:cs="Arial"/>
          <w:sz w:val="18"/>
          <w:szCs w:val="18"/>
          <w:lang w:eastAsia="en-US"/>
        </w:rPr>
        <w:tab/>
        <w:t>107</w:t>
      </w:r>
    </w:p>
    <w:p w14:paraId="4C98A430" w14:textId="1FA89D9A"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2.3</w:t>
      </w:r>
      <w:r w:rsidRPr="00496458">
        <w:rPr>
          <w:rFonts w:eastAsia="Times New Roman" w:cs="Arial"/>
          <w:sz w:val="18"/>
          <w:szCs w:val="18"/>
          <w:lang w:eastAsia="en-US"/>
        </w:rPr>
        <w:tab/>
        <w:t>Payables</w:t>
      </w:r>
      <w:r w:rsidRPr="00496458">
        <w:rPr>
          <w:rFonts w:eastAsia="Times New Roman" w:cs="Arial"/>
          <w:sz w:val="18"/>
          <w:szCs w:val="18"/>
          <w:lang w:eastAsia="en-US"/>
        </w:rPr>
        <w:tab/>
        <w:t>110</w:t>
      </w:r>
    </w:p>
    <w:p w14:paraId="16DF99CF" w14:textId="22B2CE7A"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2.4</w:t>
      </w:r>
      <w:r w:rsidRPr="00496458">
        <w:rPr>
          <w:rFonts w:eastAsia="Times New Roman" w:cs="Arial"/>
          <w:sz w:val="18"/>
          <w:szCs w:val="18"/>
          <w:lang w:eastAsia="en-US"/>
        </w:rPr>
        <w:tab/>
        <w:t>Unearned Income</w:t>
      </w:r>
      <w:r w:rsidRPr="00496458">
        <w:rPr>
          <w:rFonts w:eastAsia="Times New Roman" w:cs="Arial"/>
          <w:sz w:val="18"/>
          <w:szCs w:val="18"/>
          <w:lang w:eastAsia="en-US"/>
        </w:rPr>
        <w:tab/>
        <w:t>110</w:t>
      </w:r>
    </w:p>
    <w:p w14:paraId="1B1C61E8" w14:textId="40A7D445"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2.5</w:t>
      </w:r>
      <w:r w:rsidRPr="00496458">
        <w:rPr>
          <w:rFonts w:eastAsia="Times New Roman" w:cs="Arial"/>
          <w:sz w:val="18"/>
          <w:szCs w:val="18"/>
          <w:lang w:eastAsia="en-US"/>
        </w:rPr>
        <w:tab/>
        <w:t>Interest Bearing Liabilities</w:t>
      </w:r>
      <w:r w:rsidRPr="00496458">
        <w:rPr>
          <w:rFonts w:eastAsia="Times New Roman" w:cs="Arial"/>
          <w:sz w:val="18"/>
          <w:szCs w:val="18"/>
          <w:lang w:eastAsia="en-US"/>
        </w:rPr>
        <w:tab/>
        <w:t>110</w:t>
      </w:r>
    </w:p>
    <w:p w14:paraId="2AE4D49A" w14:textId="01872C85"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2.6</w:t>
      </w:r>
      <w:r w:rsidRPr="00496458">
        <w:rPr>
          <w:rFonts w:eastAsia="Times New Roman" w:cs="Arial"/>
          <w:sz w:val="18"/>
          <w:szCs w:val="18"/>
          <w:lang w:eastAsia="en-US"/>
        </w:rPr>
        <w:tab/>
        <w:t>Provisions</w:t>
      </w:r>
      <w:r w:rsidRPr="00496458">
        <w:rPr>
          <w:rFonts w:eastAsia="Times New Roman" w:cs="Arial"/>
          <w:sz w:val="18"/>
          <w:szCs w:val="18"/>
          <w:lang w:eastAsia="en-US"/>
        </w:rPr>
        <w:tab/>
        <w:t>111</w:t>
      </w:r>
    </w:p>
    <w:p w14:paraId="27BCF130" w14:textId="77777777" w:rsidR="00825182" w:rsidRPr="00496458" w:rsidRDefault="00825182" w:rsidP="00650C5C">
      <w:pPr>
        <w:shd w:val="clear" w:color="auto" w:fill="FFFFFF"/>
        <w:tabs>
          <w:tab w:val="left" w:pos="567"/>
          <w:tab w:val="left" w:pos="1134"/>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3.</w:t>
      </w:r>
      <w:r w:rsidRPr="00496458">
        <w:rPr>
          <w:rFonts w:eastAsia="Times New Roman" w:cs="Arial"/>
          <w:b/>
          <w:bCs/>
          <w:sz w:val="18"/>
          <w:szCs w:val="18"/>
          <w:lang w:eastAsia="en-US"/>
        </w:rPr>
        <w:tab/>
        <w:t>People and Relationships</w:t>
      </w:r>
      <w:r w:rsidRPr="00496458">
        <w:rPr>
          <w:rFonts w:eastAsia="Times New Roman" w:cs="Arial"/>
          <w:b/>
          <w:bCs/>
          <w:sz w:val="18"/>
          <w:szCs w:val="18"/>
          <w:lang w:eastAsia="en-US"/>
        </w:rPr>
        <w:tab/>
        <w:t>113</w:t>
      </w:r>
    </w:p>
    <w:p w14:paraId="167D7EBB" w14:textId="39C38870"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3.1</w:t>
      </w:r>
      <w:r w:rsidRPr="00496458">
        <w:rPr>
          <w:rFonts w:eastAsia="Times New Roman" w:cs="Arial"/>
          <w:sz w:val="18"/>
          <w:szCs w:val="18"/>
          <w:lang w:eastAsia="en-US"/>
        </w:rPr>
        <w:tab/>
        <w:t>Key Management Personnel Remuneration</w:t>
      </w:r>
      <w:r w:rsidRPr="00496458">
        <w:rPr>
          <w:rFonts w:eastAsia="Times New Roman" w:cs="Arial"/>
          <w:sz w:val="18"/>
          <w:szCs w:val="18"/>
          <w:lang w:eastAsia="en-US"/>
        </w:rPr>
        <w:tab/>
        <w:t>114</w:t>
      </w:r>
    </w:p>
    <w:p w14:paraId="67737990" w14:textId="1D560B48"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3.2</w:t>
      </w:r>
      <w:r w:rsidRPr="00496458">
        <w:rPr>
          <w:rFonts w:eastAsia="Times New Roman" w:cs="Arial"/>
          <w:sz w:val="18"/>
          <w:szCs w:val="18"/>
          <w:lang w:eastAsia="en-US"/>
        </w:rPr>
        <w:tab/>
        <w:t>Related Party Disclosures</w:t>
      </w:r>
      <w:r w:rsidRPr="00496458">
        <w:rPr>
          <w:rFonts w:eastAsia="Times New Roman" w:cs="Arial"/>
          <w:sz w:val="18"/>
          <w:szCs w:val="18"/>
          <w:lang w:eastAsia="en-US"/>
        </w:rPr>
        <w:tab/>
        <w:t>114</w:t>
      </w:r>
    </w:p>
    <w:p w14:paraId="540B7AE7" w14:textId="77777777" w:rsidR="00825182" w:rsidRPr="00496458" w:rsidRDefault="00825182" w:rsidP="00650C5C">
      <w:pPr>
        <w:shd w:val="clear" w:color="auto" w:fill="FFFFFF"/>
        <w:tabs>
          <w:tab w:val="left" w:pos="567"/>
          <w:tab w:val="left" w:pos="1134"/>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4.</w:t>
      </w:r>
      <w:r w:rsidRPr="00496458">
        <w:rPr>
          <w:rFonts w:eastAsia="Times New Roman" w:cs="Arial"/>
          <w:b/>
          <w:bCs/>
          <w:sz w:val="18"/>
          <w:szCs w:val="18"/>
          <w:lang w:eastAsia="en-US"/>
        </w:rPr>
        <w:tab/>
        <w:t>Managing Uncertainties</w:t>
      </w:r>
      <w:r w:rsidRPr="00496458">
        <w:rPr>
          <w:rFonts w:eastAsia="Times New Roman" w:cs="Arial"/>
          <w:b/>
          <w:bCs/>
          <w:sz w:val="18"/>
          <w:szCs w:val="18"/>
          <w:lang w:eastAsia="en-US"/>
        </w:rPr>
        <w:tab/>
        <w:t>116</w:t>
      </w:r>
    </w:p>
    <w:p w14:paraId="5776D7D8" w14:textId="08FB78E4"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4.1</w:t>
      </w:r>
      <w:r w:rsidRPr="00496458">
        <w:rPr>
          <w:rFonts w:eastAsia="Times New Roman" w:cs="Arial"/>
          <w:sz w:val="18"/>
          <w:szCs w:val="18"/>
          <w:lang w:eastAsia="en-US"/>
        </w:rPr>
        <w:tab/>
        <w:t>Contingent Assets and Liabilities</w:t>
      </w:r>
      <w:r w:rsidRPr="00496458">
        <w:rPr>
          <w:rFonts w:eastAsia="Times New Roman" w:cs="Arial"/>
          <w:sz w:val="18"/>
          <w:szCs w:val="18"/>
          <w:lang w:eastAsia="en-US"/>
        </w:rPr>
        <w:tab/>
        <w:t>116</w:t>
      </w:r>
    </w:p>
    <w:p w14:paraId="054350D7" w14:textId="32596AFE" w:rsidR="00825182" w:rsidRPr="00496458"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4.2</w:t>
      </w:r>
      <w:r w:rsidRPr="00496458">
        <w:rPr>
          <w:rFonts w:eastAsia="Times New Roman" w:cs="Arial"/>
          <w:sz w:val="18"/>
          <w:szCs w:val="18"/>
          <w:lang w:eastAsia="en-US"/>
        </w:rPr>
        <w:tab/>
        <w:t>Financial Instruments</w:t>
      </w:r>
      <w:r w:rsidRPr="00496458">
        <w:rPr>
          <w:rFonts w:eastAsia="Times New Roman" w:cs="Arial"/>
          <w:sz w:val="18"/>
          <w:szCs w:val="18"/>
          <w:lang w:eastAsia="en-US"/>
        </w:rPr>
        <w:tab/>
        <w:t>117</w:t>
      </w:r>
    </w:p>
    <w:p w14:paraId="0280F3A5" w14:textId="77777777" w:rsidR="00825182" w:rsidRPr="00496458" w:rsidRDefault="00825182" w:rsidP="00650C5C">
      <w:pPr>
        <w:shd w:val="clear" w:color="auto" w:fill="FFFFFF"/>
        <w:tabs>
          <w:tab w:val="left" w:pos="567"/>
          <w:tab w:val="left" w:pos="1134"/>
          <w:tab w:val="right" w:pos="9071"/>
        </w:tabs>
        <w:spacing w:before="240" w:line="240" w:lineRule="auto"/>
        <w:rPr>
          <w:rFonts w:eastAsia="Times New Roman" w:cs="Arial"/>
          <w:b/>
          <w:bCs/>
          <w:sz w:val="18"/>
          <w:szCs w:val="18"/>
          <w:lang w:eastAsia="en-US"/>
        </w:rPr>
      </w:pPr>
      <w:r w:rsidRPr="00496458">
        <w:rPr>
          <w:rFonts w:eastAsia="Times New Roman" w:cs="Arial"/>
          <w:b/>
          <w:bCs/>
          <w:sz w:val="18"/>
          <w:szCs w:val="18"/>
          <w:lang w:eastAsia="en-US"/>
        </w:rPr>
        <w:t>5.</w:t>
      </w:r>
      <w:r w:rsidRPr="00496458">
        <w:rPr>
          <w:rFonts w:eastAsia="Times New Roman" w:cs="Arial"/>
          <w:b/>
          <w:bCs/>
          <w:sz w:val="18"/>
          <w:szCs w:val="18"/>
          <w:lang w:eastAsia="en-US"/>
        </w:rPr>
        <w:tab/>
        <w:t>Other Information</w:t>
      </w:r>
      <w:r w:rsidRPr="00496458">
        <w:rPr>
          <w:rFonts w:eastAsia="Times New Roman" w:cs="Arial"/>
          <w:b/>
          <w:bCs/>
          <w:sz w:val="18"/>
          <w:szCs w:val="18"/>
          <w:lang w:eastAsia="en-US"/>
        </w:rPr>
        <w:tab/>
        <w:t>119</w:t>
      </w:r>
    </w:p>
    <w:p w14:paraId="280FA283" w14:textId="2B6A538A" w:rsidR="00825182" w:rsidRPr="00974C6F" w:rsidRDefault="00825182" w:rsidP="00650C5C">
      <w:pPr>
        <w:shd w:val="clear" w:color="auto" w:fill="FFFFFF"/>
        <w:tabs>
          <w:tab w:val="left" w:pos="1134"/>
          <w:tab w:val="right" w:pos="9071"/>
        </w:tabs>
        <w:spacing w:before="120" w:after="120" w:line="240" w:lineRule="auto"/>
        <w:ind w:left="567"/>
        <w:rPr>
          <w:rFonts w:eastAsia="Times New Roman" w:cs="Arial"/>
          <w:sz w:val="18"/>
          <w:szCs w:val="18"/>
          <w:lang w:eastAsia="en-US"/>
        </w:rPr>
      </w:pPr>
      <w:r w:rsidRPr="00496458">
        <w:rPr>
          <w:rFonts w:eastAsia="Times New Roman" w:cs="Arial"/>
          <w:sz w:val="18"/>
          <w:szCs w:val="18"/>
          <w:lang w:eastAsia="en-US"/>
        </w:rPr>
        <w:t>5.1</w:t>
      </w:r>
      <w:r w:rsidRPr="00496458">
        <w:rPr>
          <w:rFonts w:eastAsia="Times New Roman" w:cs="Arial"/>
          <w:sz w:val="18"/>
          <w:szCs w:val="18"/>
          <w:lang w:eastAsia="en-US"/>
        </w:rPr>
        <w:tab/>
        <w:t>Current/Non-current Distinction for Assets and Liabilities</w:t>
      </w:r>
      <w:r w:rsidRPr="00496458">
        <w:rPr>
          <w:rFonts w:eastAsia="Times New Roman" w:cs="Arial"/>
          <w:sz w:val="18"/>
          <w:szCs w:val="18"/>
          <w:lang w:eastAsia="en-US"/>
        </w:rPr>
        <w:tab/>
        <w:t>119</w:t>
      </w:r>
    </w:p>
    <w:p w14:paraId="6CDBE56B" w14:textId="77777777" w:rsidR="0082424C" w:rsidRPr="007A3600" w:rsidRDefault="0082424C" w:rsidP="00825182">
      <w:pPr>
        <w:spacing w:after="0" w:line="240" w:lineRule="auto"/>
        <w:rPr>
          <w:rFonts w:ascii="Times New Roman" w:eastAsia="Times New Roman" w:hAnsi="Times New Roman"/>
          <w:sz w:val="22"/>
          <w:szCs w:val="20"/>
          <w:lang w:eastAsia="en-US"/>
        </w:rPr>
      </w:pPr>
    </w:p>
    <w:p w14:paraId="4AFD1D9A" w14:textId="77777777" w:rsidR="0082424C" w:rsidRPr="007A3600" w:rsidRDefault="0082424C" w:rsidP="00AD3197">
      <w:pPr>
        <w:tabs>
          <w:tab w:val="left" w:pos="9214"/>
        </w:tabs>
        <w:spacing w:after="0" w:line="240" w:lineRule="auto"/>
        <w:rPr>
          <w:rFonts w:ascii="Times New Roman" w:eastAsia="Times New Roman" w:hAnsi="Times New Roman"/>
          <w:sz w:val="22"/>
          <w:szCs w:val="20"/>
          <w:lang w:eastAsia="en-US"/>
        </w:rPr>
        <w:sectPr w:rsidR="0082424C" w:rsidRPr="007A3600" w:rsidSect="00650C5C">
          <w:headerReference w:type="even" r:id="rId138"/>
          <w:headerReference w:type="default" r:id="rId139"/>
          <w:headerReference w:type="first" r:id="rId140"/>
          <w:pgSz w:w="11906" w:h="16838" w:code="9"/>
          <w:pgMar w:top="1134" w:right="1701" w:bottom="1134" w:left="1134" w:header="561" w:footer="737" w:gutter="0"/>
          <w:cols w:space="708"/>
          <w:docGrid w:linePitch="360"/>
        </w:sectPr>
      </w:pPr>
    </w:p>
    <w:p w14:paraId="6B656DCA" w14:textId="77777777" w:rsidR="0082424C" w:rsidRPr="007A3600" w:rsidRDefault="0082424C" w:rsidP="00AD3197">
      <w:pPr>
        <w:spacing w:after="0" w:line="240" w:lineRule="auto"/>
        <w:rPr>
          <w:rFonts w:ascii="Times New Roman" w:eastAsia="Times New Roman" w:hAnsi="Times New Roman" w:cs="Arial"/>
          <w:sz w:val="18"/>
          <w:szCs w:val="18"/>
          <w:lang w:eastAsia="en-US"/>
        </w:rPr>
        <w:sectPr w:rsidR="0082424C" w:rsidRPr="007A3600" w:rsidSect="00650C5C">
          <w:type w:val="continuous"/>
          <w:pgSz w:w="11906" w:h="16838" w:code="9"/>
          <w:pgMar w:top="1134" w:right="1701" w:bottom="1134" w:left="1134" w:header="958" w:footer="737" w:gutter="0"/>
          <w:cols w:space="708"/>
          <w:docGrid w:linePitch="360"/>
        </w:sectPr>
      </w:pPr>
      <w:r w:rsidRPr="007A3600">
        <w:rPr>
          <w:rFonts w:ascii="Times New Roman" w:eastAsia="Times New Roman" w:hAnsi="Times New Roman"/>
          <w:sz w:val="22"/>
          <w:szCs w:val="20"/>
          <w:lang w:eastAsia="en-US"/>
        </w:rPr>
        <w:br w:type="page"/>
      </w:r>
      <w:bookmarkStart w:id="152" w:name="_Toc393360771"/>
      <w:bookmarkStart w:id="153" w:name="_Toc393784905"/>
    </w:p>
    <w:p w14:paraId="2D31DE3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154" w:name="_Toc443469521"/>
      <w:bookmarkStart w:id="155" w:name="_Toc444065769"/>
      <w:bookmarkStart w:id="156" w:name="_Toc444077331"/>
      <w:bookmarkStart w:id="157" w:name="_Toc447030534"/>
      <w:bookmarkStart w:id="158" w:name="_Toc447030686"/>
      <w:bookmarkStart w:id="159" w:name="_Toc447030779"/>
      <w:bookmarkStart w:id="160" w:name="_Toc65742842"/>
      <w:bookmarkStart w:id="161" w:name="_Toc195692031"/>
      <w:r w:rsidRPr="007A3600">
        <w:rPr>
          <w:rFonts w:eastAsia="Times New Roman" w:cs="Arial"/>
          <w:b/>
          <w:lang w:eastAsia="en-US"/>
        </w:rPr>
        <w:lastRenderedPageBreak/>
        <w:t>National Disability Insurance Agency</w:t>
      </w:r>
    </w:p>
    <w:p w14:paraId="6D2692F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7BE0BCEF" w14:textId="77777777" w:rsidR="0082424C" w:rsidRPr="007A3600" w:rsidRDefault="0082424C" w:rsidP="006E754F">
      <w:pPr>
        <w:shd w:val="clear" w:color="auto" w:fill="800080"/>
        <w:tabs>
          <w:tab w:val="right" w:pos="9072"/>
        </w:tabs>
        <w:spacing w:before="240" w:after="120" w:line="260" w:lineRule="atLeast"/>
        <w:rPr>
          <w:rFonts w:ascii="Arial Bold" w:eastAsia="Times New Roman" w:hAnsi="Arial Bold"/>
          <w:b/>
          <w:color w:val="FFFFFF"/>
          <w:szCs w:val="20"/>
          <w:lang w:eastAsia="en-US"/>
        </w:rPr>
      </w:pPr>
      <w:r w:rsidRPr="007A3600">
        <w:rPr>
          <w:rFonts w:ascii="Arial Bold" w:eastAsia="Times New Roman" w:hAnsi="Arial Bold"/>
          <w:b/>
          <w:color w:val="FFFFFF"/>
          <w:szCs w:val="20"/>
          <w:lang w:eastAsia="en-US"/>
        </w:rPr>
        <w:t>Overview</w:t>
      </w:r>
      <w:bookmarkEnd w:id="154"/>
      <w:bookmarkEnd w:id="155"/>
      <w:bookmarkEnd w:id="156"/>
      <w:bookmarkEnd w:id="157"/>
      <w:bookmarkEnd w:id="158"/>
      <w:bookmarkEnd w:id="159"/>
      <w:bookmarkEnd w:id="160"/>
      <w:bookmarkEnd w:id="161"/>
    </w:p>
    <w:p w14:paraId="77BD0772"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General information</w:t>
      </w:r>
    </w:p>
    <w:p w14:paraId="29D38C8A" w14:textId="77777777" w:rsidR="0082424C" w:rsidRPr="007A3600" w:rsidRDefault="0082424C" w:rsidP="00AD3197">
      <w:pPr>
        <w:tabs>
          <w:tab w:val="left" w:pos="9504"/>
        </w:tabs>
        <w:spacing w:before="120" w:after="120" w:line="240" w:lineRule="auto"/>
        <w:jc w:val="both"/>
        <w:rPr>
          <w:rFonts w:eastAsia="Times New Roman" w:cs="Arial"/>
          <w:sz w:val="18"/>
          <w:szCs w:val="18"/>
        </w:rPr>
      </w:pPr>
      <w:r w:rsidRPr="007A3600">
        <w:rPr>
          <w:rFonts w:eastAsia="Times New Roman" w:cs="Arial"/>
          <w:sz w:val="18"/>
          <w:szCs w:val="18"/>
        </w:rPr>
        <w:t xml:space="preserve">The National Disability Insurance Agency (‘the Agency’) was established on 29 March 2013 by the </w:t>
      </w:r>
      <w:r w:rsidRPr="007A3600">
        <w:rPr>
          <w:rFonts w:eastAsia="Times New Roman" w:cs="Arial"/>
          <w:i/>
          <w:sz w:val="18"/>
          <w:szCs w:val="18"/>
        </w:rPr>
        <w:t>National Disability Insurance Scheme Act 2013</w:t>
      </w:r>
      <w:r w:rsidRPr="007A3600">
        <w:rPr>
          <w:rFonts w:eastAsia="Times New Roman" w:cs="Arial"/>
          <w:sz w:val="18"/>
          <w:szCs w:val="18"/>
        </w:rPr>
        <w:t xml:space="preserve"> (‘the Act’). The Agency is an Australian Government controlled not-for-profit corporate entity.</w:t>
      </w:r>
    </w:p>
    <w:p w14:paraId="33C341CE" w14:textId="77777777" w:rsidR="0082424C" w:rsidRPr="007A3600" w:rsidRDefault="0082424C" w:rsidP="00AD3197">
      <w:pPr>
        <w:tabs>
          <w:tab w:val="left" w:pos="7230"/>
          <w:tab w:val="left" w:pos="9504"/>
        </w:tabs>
        <w:spacing w:before="120" w:after="120" w:line="240" w:lineRule="auto"/>
        <w:jc w:val="both"/>
        <w:rPr>
          <w:rFonts w:eastAsia="Times New Roman" w:cs="Arial"/>
          <w:sz w:val="18"/>
          <w:szCs w:val="18"/>
        </w:rPr>
      </w:pPr>
      <w:r w:rsidRPr="007A3600">
        <w:rPr>
          <w:rFonts w:eastAsia="Times New Roman" w:cs="Arial"/>
          <w:sz w:val="18"/>
          <w:szCs w:val="18"/>
        </w:rPr>
        <w:t>The Scheme has operations in all states and territories of Australia, with its national office at 13 – 19 Malop Street, Geelong, Victoria, 3220.</w:t>
      </w:r>
    </w:p>
    <w:p w14:paraId="64C05419"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Objectives of the Agency</w:t>
      </w:r>
    </w:p>
    <w:p w14:paraId="4167423C" w14:textId="77777777" w:rsidR="0082424C" w:rsidRPr="007A3600" w:rsidRDefault="0082424C" w:rsidP="00AD3197">
      <w:pPr>
        <w:spacing w:before="120" w:after="120" w:line="240" w:lineRule="auto"/>
        <w:jc w:val="both"/>
        <w:rPr>
          <w:rFonts w:eastAsia="Times New Roman" w:cs="Arial"/>
          <w:sz w:val="18"/>
          <w:szCs w:val="18"/>
        </w:rPr>
      </w:pPr>
      <w:r w:rsidRPr="007A3600">
        <w:rPr>
          <w:rFonts w:eastAsia="Times New Roman" w:cs="Arial"/>
          <w:sz w:val="18"/>
          <w:szCs w:val="18"/>
        </w:rPr>
        <w:t xml:space="preserve">The objective of the Agency is to operate under the Act, and in conjunction with other legislation, to give effect to Australia’s obligations under the Convention on the Rights of Persons with Disabilities. In doing so, the Agency supports the independence, social and economic participation of people with a disability. </w:t>
      </w:r>
    </w:p>
    <w:p w14:paraId="3164DB01" w14:textId="77777777" w:rsidR="0082424C" w:rsidRPr="007A3600" w:rsidRDefault="0082424C" w:rsidP="00AD3197">
      <w:pPr>
        <w:spacing w:before="120" w:after="120" w:line="240" w:lineRule="auto"/>
        <w:jc w:val="both"/>
        <w:rPr>
          <w:rFonts w:eastAsia="Times New Roman" w:cs="Arial"/>
          <w:sz w:val="18"/>
          <w:szCs w:val="18"/>
        </w:rPr>
      </w:pPr>
      <w:r w:rsidRPr="007A3600">
        <w:rPr>
          <w:rFonts w:eastAsia="Times New Roman" w:cs="Arial"/>
          <w:sz w:val="18"/>
          <w:szCs w:val="18"/>
        </w:rPr>
        <w:t>The Agency is structured to meet the following outcome:</w:t>
      </w:r>
    </w:p>
    <w:p w14:paraId="05327BBA" w14:textId="77777777" w:rsidR="0082424C" w:rsidRPr="007A3600" w:rsidRDefault="0082424C" w:rsidP="00AD3197">
      <w:pPr>
        <w:spacing w:before="120" w:after="120" w:line="240" w:lineRule="auto"/>
        <w:jc w:val="both"/>
        <w:rPr>
          <w:rFonts w:eastAsia="Times New Roman" w:cs="Arial"/>
          <w:i/>
          <w:sz w:val="18"/>
          <w:szCs w:val="18"/>
        </w:rPr>
      </w:pPr>
      <w:r w:rsidRPr="007A3600">
        <w:rPr>
          <w:rFonts w:eastAsia="Times New Roman" w:cs="Arial"/>
          <w:i/>
          <w:sz w:val="18"/>
          <w:szCs w:val="18"/>
        </w:rPr>
        <w:t>Improve the independence and the social and economic participation of eligible people with disability through the management of a financially sustainable National Disability Insurance Scheme with proper, efficient and effective use of resources.</w:t>
      </w:r>
    </w:p>
    <w:p w14:paraId="7CC1312F" w14:textId="77777777" w:rsidR="0082424C" w:rsidRPr="007A3600" w:rsidRDefault="0082424C" w:rsidP="00AD3197">
      <w:pPr>
        <w:spacing w:before="120" w:after="120" w:line="240" w:lineRule="auto"/>
        <w:jc w:val="both"/>
        <w:rPr>
          <w:rFonts w:eastAsia="Times New Roman" w:cs="Arial"/>
          <w:sz w:val="18"/>
          <w:szCs w:val="18"/>
        </w:rPr>
      </w:pPr>
      <w:r w:rsidRPr="007A3600">
        <w:rPr>
          <w:rFonts w:eastAsia="Times New Roman" w:cs="Arial"/>
          <w:sz w:val="18"/>
          <w:szCs w:val="18"/>
        </w:rPr>
        <w:t>The continued existence of the Agency in its present form and with its present programs is dependent on Commonwealth Government policy, continuing funding by Parliament for the Agency’s administration and programs and agreement with state and territory governments. States and territories have continued to provide funding as set out in the bilateral agreements between each state and territory and the Commonwealth.</w:t>
      </w:r>
    </w:p>
    <w:p w14:paraId="1A88D522"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The Basis of Preparation</w:t>
      </w:r>
    </w:p>
    <w:p w14:paraId="0E6532FA" w14:textId="77777777" w:rsidR="0082424C" w:rsidRPr="007A3600" w:rsidRDefault="0082424C" w:rsidP="00AD3197">
      <w:pPr>
        <w:spacing w:before="120" w:after="120" w:line="240" w:lineRule="auto"/>
        <w:jc w:val="both"/>
        <w:rPr>
          <w:rFonts w:eastAsia="Times New Roman" w:cs="Arial"/>
          <w:bCs/>
          <w:sz w:val="18"/>
          <w:szCs w:val="18"/>
        </w:rPr>
      </w:pPr>
      <w:r w:rsidRPr="007A3600">
        <w:rPr>
          <w:rFonts w:eastAsia="Times New Roman" w:cs="Arial"/>
          <w:bCs/>
          <w:sz w:val="18"/>
          <w:szCs w:val="18"/>
        </w:rPr>
        <w:t xml:space="preserve">The financial statements are required by section 42 of the </w:t>
      </w:r>
      <w:r w:rsidRPr="007A3600">
        <w:rPr>
          <w:rFonts w:eastAsia="Times New Roman" w:cs="Arial"/>
          <w:bCs/>
          <w:i/>
          <w:sz w:val="18"/>
          <w:szCs w:val="18"/>
        </w:rPr>
        <w:t>Public Governance, Performance and Accountability Act 2013</w:t>
      </w:r>
      <w:r w:rsidRPr="007A3600">
        <w:rPr>
          <w:rFonts w:eastAsia="Times New Roman" w:cs="Arial"/>
          <w:bCs/>
          <w:sz w:val="18"/>
          <w:szCs w:val="18"/>
        </w:rPr>
        <w:t>.</w:t>
      </w:r>
    </w:p>
    <w:p w14:paraId="5B614815" w14:textId="77777777" w:rsidR="0082424C" w:rsidRPr="007A3600" w:rsidRDefault="0082424C" w:rsidP="00AD3197">
      <w:pPr>
        <w:spacing w:before="120" w:after="120" w:line="240" w:lineRule="auto"/>
        <w:jc w:val="both"/>
        <w:rPr>
          <w:rFonts w:eastAsia="Times New Roman" w:cs="Arial"/>
          <w:sz w:val="18"/>
          <w:szCs w:val="18"/>
        </w:rPr>
      </w:pPr>
      <w:r w:rsidRPr="007A3600">
        <w:rPr>
          <w:rFonts w:eastAsia="Times New Roman" w:cs="Arial"/>
          <w:sz w:val="18"/>
          <w:szCs w:val="18"/>
        </w:rPr>
        <w:t>The financial statements have been prepared in accordance with:</w:t>
      </w:r>
    </w:p>
    <w:p w14:paraId="3E172E5D" w14:textId="77777777" w:rsidR="0082424C" w:rsidRPr="007A3600" w:rsidRDefault="0082424C" w:rsidP="00AD3197">
      <w:pPr>
        <w:numPr>
          <w:ilvl w:val="0"/>
          <w:numId w:val="19"/>
        </w:numPr>
        <w:spacing w:before="120" w:after="120" w:line="240" w:lineRule="auto"/>
        <w:jc w:val="both"/>
        <w:rPr>
          <w:rFonts w:eastAsia="Times New Roman" w:cs="Arial"/>
          <w:sz w:val="18"/>
          <w:szCs w:val="18"/>
        </w:rPr>
      </w:pPr>
      <w:r w:rsidRPr="007A3600">
        <w:rPr>
          <w:rFonts w:eastAsia="Times New Roman" w:cs="Arial"/>
          <w:i/>
          <w:sz w:val="18"/>
          <w:szCs w:val="18"/>
        </w:rPr>
        <w:t>Public Governance, Performance and Accountability (Financial Reporting) Rule 2015</w:t>
      </w:r>
      <w:r w:rsidRPr="007A3600">
        <w:rPr>
          <w:rFonts w:eastAsia="Times New Roman" w:cs="Arial"/>
          <w:sz w:val="18"/>
          <w:szCs w:val="18"/>
        </w:rPr>
        <w:t xml:space="preserve"> (FRR); and  </w:t>
      </w:r>
    </w:p>
    <w:p w14:paraId="1A5A6C5F" w14:textId="77777777" w:rsidR="0082424C" w:rsidRPr="007A3600" w:rsidRDefault="0082424C" w:rsidP="00AD3197">
      <w:pPr>
        <w:numPr>
          <w:ilvl w:val="0"/>
          <w:numId w:val="19"/>
        </w:numPr>
        <w:spacing w:before="120" w:after="120" w:line="240" w:lineRule="auto"/>
        <w:jc w:val="both"/>
        <w:rPr>
          <w:rFonts w:eastAsia="Times New Roman" w:cs="Arial"/>
          <w:sz w:val="18"/>
          <w:szCs w:val="18"/>
        </w:rPr>
      </w:pPr>
      <w:r w:rsidRPr="007A3600">
        <w:rPr>
          <w:rFonts w:eastAsia="Times New Roman" w:cs="Arial"/>
          <w:sz w:val="18"/>
          <w:szCs w:val="18"/>
        </w:rPr>
        <w:t>Australian Accounting Standards and Interpretations – including simplified disclosures for Tier 2 Entities under AASB 1060 issued by the Australian Accounting Standards Board (AASB) that apply for the reporting period.</w:t>
      </w:r>
      <w:r w:rsidRPr="007A3600">
        <w:rPr>
          <w:rFonts w:eastAsia="Times New Roman" w:cs="Arial"/>
          <w:sz w:val="18"/>
          <w:szCs w:val="18"/>
        </w:rPr>
        <w:tab/>
      </w:r>
    </w:p>
    <w:p w14:paraId="19FC3009" w14:textId="77777777" w:rsidR="0082424C" w:rsidRPr="007A3600" w:rsidRDefault="0082424C" w:rsidP="00AD3197">
      <w:pPr>
        <w:spacing w:before="120" w:after="120" w:line="240" w:lineRule="auto"/>
        <w:jc w:val="both"/>
        <w:rPr>
          <w:rFonts w:eastAsia="Times New Roman" w:cs="Arial"/>
          <w:sz w:val="18"/>
          <w:szCs w:val="18"/>
        </w:rPr>
      </w:pPr>
      <w:r w:rsidRPr="007A3600">
        <w:rPr>
          <w:rFonts w:eastAsia="Times New Roman" w:cs="Arial"/>
          <w:sz w:val="18"/>
          <w:szCs w:val="18"/>
        </w:rPr>
        <w:t>The financial statements have been prepared on an accrual basis and in accordance with the historical cost convention, except for certain assets and liabilities, which are measured at fair value. Except where stated, no allowance is made for the effect of changing prices on the results or the financial position. The financial statements are presented in Australian dollars and values are rounded to the nearest thousand dollars, unless otherwise specified.</w:t>
      </w:r>
    </w:p>
    <w:p w14:paraId="7ACB9398"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New Accounting Standards</w:t>
      </w:r>
    </w:p>
    <w:p w14:paraId="6EEA359D" w14:textId="77777777" w:rsidR="0082424C" w:rsidRPr="007A3600" w:rsidRDefault="0082424C" w:rsidP="00AD3197">
      <w:pPr>
        <w:spacing w:before="120" w:after="120" w:line="240" w:lineRule="auto"/>
        <w:rPr>
          <w:rFonts w:eastAsia="Times New Roman" w:cs="Arial"/>
          <w:sz w:val="18"/>
          <w:szCs w:val="18"/>
        </w:rPr>
      </w:pPr>
      <w:r w:rsidRPr="007A3600">
        <w:rPr>
          <w:rFonts w:eastAsia="Times New Roman" w:cs="Arial"/>
          <w:sz w:val="18"/>
          <w:szCs w:val="18"/>
        </w:rPr>
        <w:t>All new, revised or amending standards that were issued prior to the sign-off date and are applicable to the current reporting period did not have a material effect on the entity’s financial statements.</w:t>
      </w:r>
    </w:p>
    <w:p w14:paraId="2A17AA91"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Taxation</w:t>
      </w:r>
    </w:p>
    <w:p w14:paraId="68F7511E" w14:textId="77777777" w:rsidR="0082424C" w:rsidRPr="007A3600" w:rsidRDefault="0082424C" w:rsidP="00AD3197">
      <w:pPr>
        <w:keepNext/>
        <w:spacing w:before="120" w:after="120" w:line="240" w:lineRule="auto"/>
        <w:jc w:val="both"/>
        <w:rPr>
          <w:rFonts w:eastAsia="Times New Roman" w:cs="Arial"/>
          <w:sz w:val="18"/>
          <w:szCs w:val="18"/>
        </w:rPr>
      </w:pPr>
      <w:r w:rsidRPr="007A3600">
        <w:rPr>
          <w:rFonts w:eastAsia="Times New Roman" w:cs="Arial"/>
          <w:sz w:val="18"/>
          <w:szCs w:val="18"/>
        </w:rPr>
        <w:t>The Agency is exempt from all forms of Commonwealth, state, and territory taxation except Fringe Benefits Tax (FBT) and the Goods and Services Tax (GST).</w:t>
      </w:r>
    </w:p>
    <w:p w14:paraId="72EFE0EF" w14:textId="77777777" w:rsidR="0082424C" w:rsidRPr="007A3600" w:rsidRDefault="0082424C" w:rsidP="00AD3197">
      <w:pPr>
        <w:spacing w:before="240" w:after="120" w:line="240" w:lineRule="auto"/>
        <w:rPr>
          <w:rFonts w:eastAsia="Times New Roman" w:cs="Arial"/>
          <w:b/>
          <w:bCs/>
          <w:color w:val="800080"/>
          <w:sz w:val="18"/>
          <w:szCs w:val="18"/>
        </w:rPr>
      </w:pPr>
      <w:r w:rsidRPr="007A3600">
        <w:rPr>
          <w:rFonts w:eastAsia="Times New Roman" w:cs="Arial"/>
          <w:b/>
          <w:bCs/>
          <w:color w:val="800080"/>
          <w:sz w:val="18"/>
          <w:szCs w:val="18"/>
        </w:rPr>
        <w:t>Events after the reporting period</w:t>
      </w:r>
    </w:p>
    <w:p w14:paraId="77952662" w14:textId="77777777" w:rsidR="0082424C" w:rsidRPr="007A3600" w:rsidRDefault="0082424C" w:rsidP="00AD3197">
      <w:pPr>
        <w:keepNext/>
        <w:spacing w:before="120" w:after="120" w:line="240" w:lineRule="auto"/>
        <w:jc w:val="both"/>
        <w:rPr>
          <w:rFonts w:ascii="Times New Roman" w:eastAsia="Times New Roman" w:hAnsi="Times New Roman"/>
          <w:sz w:val="22"/>
          <w:szCs w:val="20"/>
          <w:lang w:eastAsia="en-US"/>
        </w:rPr>
        <w:sectPr w:rsidR="0082424C" w:rsidRPr="007A3600" w:rsidSect="00650C5C">
          <w:type w:val="continuous"/>
          <w:pgSz w:w="11906" w:h="16838" w:code="9"/>
          <w:pgMar w:top="1134" w:right="1701" w:bottom="1134" w:left="1134" w:header="561" w:footer="737" w:gutter="0"/>
          <w:cols w:space="708"/>
          <w:docGrid w:linePitch="360"/>
        </w:sectPr>
      </w:pPr>
      <w:bookmarkStart w:id="162" w:name="_Toc444065770"/>
      <w:bookmarkStart w:id="163" w:name="_Toc444077332"/>
      <w:bookmarkEnd w:id="152"/>
      <w:bookmarkEnd w:id="153"/>
      <w:r w:rsidRPr="007A3600">
        <w:rPr>
          <w:rFonts w:eastAsia="Times New Roman" w:cs="Arial"/>
          <w:sz w:val="18"/>
          <w:szCs w:val="18"/>
        </w:rPr>
        <w:t>There are no known events occurring after the reporting period that could have a material impact on the financial statements.</w:t>
      </w:r>
    </w:p>
    <w:p w14:paraId="2FEE7DA8" w14:textId="77777777" w:rsidR="0082424C" w:rsidRPr="007A3600" w:rsidRDefault="0082424C" w:rsidP="00AD3197">
      <w:pPr>
        <w:spacing w:after="0" w:line="240" w:lineRule="auto"/>
        <w:rPr>
          <w:rFonts w:ascii="Times New Roman" w:eastAsia="Times New Roman" w:hAnsi="Times New Roman"/>
          <w:sz w:val="22"/>
          <w:szCs w:val="20"/>
          <w:lang w:eastAsia="en-US"/>
        </w:rPr>
        <w:sectPr w:rsidR="0082424C" w:rsidRPr="007A3600" w:rsidSect="00650C5C">
          <w:type w:val="continuous"/>
          <w:pgSz w:w="11906" w:h="16838" w:code="9"/>
          <w:pgMar w:top="1134" w:right="1701" w:bottom="1134" w:left="1134" w:header="958" w:footer="737" w:gutter="0"/>
          <w:cols w:space="708"/>
          <w:docGrid w:linePitch="360"/>
        </w:sectPr>
      </w:pPr>
    </w:p>
    <w:p w14:paraId="6B5759D7"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164" w:name="_Toc447030535"/>
      <w:bookmarkStart w:id="165" w:name="_Toc447030687"/>
      <w:bookmarkStart w:id="166" w:name="_Toc447030780"/>
      <w:bookmarkStart w:id="167" w:name="_Toc65742843"/>
      <w:bookmarkStart w:id="168" w:name="_Toc195692032"/>
      <w:r w:rsidRPr="007A3600">
        <w:rPr>
          <w:rFonts w:eastAsia="Times New Roman" w:cs="Arial"/>
          <w:b/>
          <w:lang w:eastAsia="en-US"/>
        </w:rPr>
        <w:lastRenderedPageBreak/>
        <w:t>National Disability Insurance Agency</w:t>
      </w:r>
    </w:p>
    <w:p w14:paraId="111E75B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bookmarkEnd w:id="162"/>
    <w:bookmarkEnd w:id="163"/>
    <w:bookmarkEnd w:id="164"/>
    <w:bookmarkEnd w:id="165"/>
    <w:bookmarkEnd w:id="166"/>
    <w:bookmarkEnd w:id="167"/>
    <w:bookmarkEnd w:id="168"/>
    <w:p w14:paraId="08F737B8" w14:textId="77777777" w:rsidR="00B364FA" w:rsidRPr="00974C6F" w:rsidRDefault="00B364FA" w:rsidP="00242A32">
      <w:pPr>
        <w:shd w:val="clear" w:color="00CC99" w:fill="800080"/>
        <w:spacing w:before="240" w:after="0" w:line="260" w:lineRule="atLeast"/>
        <w:ind w:left="360" w:hanging="360"/>
        <w:rPr>
          <w:rFonts w:ascii="Arial Bold" w:eastAsia="Times New Roman" w:hAnsi="Arial Bold"/>
          <w:b/>
          <w:color w:val="FFFFFF"/>
          <w:szCs w:val="20"/>
          <w:lang w:eastAsia="en-US"/>
        </w:rPr>
      </w:pPr>
      <w:r>
        <w:rPr>
          <w:rFonts w:ascii="Arial Bold" w:eastAsia="Times New Roman" w:hAnsi="Arial Bold"/>
          <w:b/>
          <w:color w:val="FFFFFF"/>
          <w:szCs w:val="20"/>
          <w:lang w:eastAsia="en-US"/>
        </w:rPr>
        <w:t>1.</w:t>
      </w:r>
      <w:r>
        <w:rPr>
          <w:rFonts w:ascii="Arial Bold" w:eastAsia="Times New Roman" w:hAnsi="Arial Bold"/>
          <w:b/>
          <w:color w:val="FFFFFF"/>
          <w:szCs w:val="20"/>
          <w:lang w:eastAsia="en-US"/>
        </w:rPr>
        <w:tab/>
      </w:r>
      <w:r w:rsidRPr="00974C6F">
        <w:rPr>
          <w:rFonts w:ascii="Arial Bold" w:eastAsia="Times New Roman" w:hAnsi="Arial Bold"/>
          <w:b/>
          <w:color w:val="FFFFFF"/>
          <w:szCs w:val="20"/>
          <w:lang w:eastAsia="en-US"/>
        </w:rPr>
        <w:t>Financial Performance</w:t>
      </w:r>
    </w:p>
    <w:p w14:paraId="0F214179" w14:textId="77777777" w:rsidR="00B364FA" w:rsidRPr="00974C6F" w:rsidRDefault="00B364FA" w:rsidP="00242A32">
      <w:pPr>
        <w:shd w:val="clear" w:color="00CC99" w:fill="800080"/>
        <w:spacing w:after="0" w:line="260" w:lineRule="atLeast"/>
        <w:rPr>
          <w:rFonts w:eastAsia="Times New Roman"/>
          <w:color w:val="FFFFFF"/>
          <w:sz w:val="18"/>
          <w:szCs w:val="18"/>
          <w:lang w:eastAsia="en-US"/>
        </w:rPr>
      </w:pPr>
      <w:bookmarkStart w:id="169" w:name="_Toc444065771"/>
      <w:r w:rsidRPr="00974C6F">
        <w:rPr>
          <w:rFonts w:eastAsia="Times New Roman"/>
          <w:color w:val="FFFFFF"/>
          <w:sz w:val="18"/>
          <w:szCs w:val="18"/>
          <w:lang w:eastAsia="en-US"/>
        </w:rPr>
        <w:t xml:space="preserve">This section analyses the financial performance of the Agency for the year ended </w:t>
      </w:r>
      <w:r w:rsidRPr="00974C6F">
        <w:rPr>
          <w:rFonts w:eastAsia="Times New Roman"/>
          <w:color w:val="FFFFFF"/>
          <w:sz w:val="18"/>
          <w:szCs w:val="18"/>
          <w:lang w:eastAsia="en-US"/>
        </w:rPr>
        <w:fldChar w:fldCharType="begin"/>
      </w:r>
      <w:r w:rsidRPr="00974C6F">
        <w:rPr>
          <w:rFonts w:eastAsia="Times New Roman"/>
          <w:color w:val="FFFFFF"/>
          <w:sz w:val="18"/>
          <w:szCs w:val="18"/>
          <w:lang w:eastAsia="en-US"/>
        </w:rPr>
        <w:instrText>DOCPROPERTY  pEnd  \* MERGEFORMAT</w:instrText>
      </w:r>
      <w:r w:rsidRPr="00974C6F">
        <w:rPr>
          <w:rFonts w:eastAsia="Times New Roman"/>
          <w:color w:val="FFFFFF"/>
          <w:sz w:val="18"/>
          <w:szCs w:val="18"/>
          <w:lang w:eastAsia="en-US"/>
        </w:rPr>
        <w:fldChar w:fldCharType="separate"/>
      </w:r>
      <w:r w:rsidRPr="00974C6F">
        <w:rPr>
          <w:rFonts w:eastAsia="Times New Roman"/>
          <w:color w:val="FFFFFF"/>
          <w:sz w:val="18"/>
          <w:szCs w:val="18"/>
          <w:lang w:eastAsia="en-US"/>
        </w:rPr>
        <w:t>30 June</w:t>
      </w:r>
      <w:r w:rsidRPr="00974C6F">
        <w:rPr>
          <w:rFonts w:eastAsia="Times New Roman"/>
          <w:color w:val="FFFFFF"/>
          <w:sz w:val="18"/>
          <w:szCs w:val="18"/>
          <w:lang w:eastAsia="en-US"/>
        </w:rPr>
        <w:fldChar w:fldCharType="end"/>
      </w:r>
      <w:r w:rsidRPr="00974C6F">
        <w:rPr>
          <w:rFonts w:eastAsia="Times New Roman"/>
          <w:color w:val="FFFFFF"/>
          <w:sz w:val="18"/>
          <w:szCs w:val="18"/>
          <w:lang w:eastAsia="en-US"/>
        </w:rPr>
        <w:t xml:space="preserve"> </w:t>
      </w:r>
      <w:r w:rsidRPr="00974C6F">
        <w:rPr>
          <w:rFonts w:eastAsia="Times New Roman"/>
          <w:color w:val="FFFFFF"/>
          <w:sz w:val="18"/>
          <w:szCs w:val="18"/>
          <w:lang w:eastAsia="en-US"/>
        </w:rPr>
        <w:fldChar w:fldCharType="begin"/>
      </w:r>
      <w:r w:rsidRPr="00974C6F">
        <w:rPr>
          <w:rFonts w:eastAsia="Times New Roman"/>
          <w:color w:val="FFFFFF"/>
          <w:sz w:val="18"/>
          <w:szCs w:val="18"/>
          <w:lang w:eastAsia="en-US"/>
        </w:rPr>
        <w:instrText>DOCPROPERTY  crYear  \* MERGEFORMAT</w:instrText>
      </w:r>
      <w:r w:rsidRPr="00974C6F">
        <w:rPr>
          <w:rFonts w:eastAsia="Times New Roman"/>
          <w:color w:val="FFFFFF"/>
          <w:sz w:val="18"/>
          <w:szCs w:val="18"/>
          <w:lang w:eastAsia="en-US"/>
        </w:rPr>
        <w:fldChar w:fldCharType="separate"/>
      </w:r>
      <w:r w:rsidRPr="00974C6F">
        <w:rPr>
          <w:rFonts w:eastAsia="Times New Roman"/>
          <w:color w:val="FFFFFF"/>
          <w:sz w:val="18"/>
          <w:szCs w:val="18"/>
          <w:lang w:eastAsia="en-US"/>
        </w:rPr>
        <w:t>2025</w:t>
      </w:r>
      <w:r w:rsidRPr="00974C6F">
        <w:rPr>
          <w:rFonts w:eastAsia="Times New Roman"/>
          <w:color w:val="FFFFFF"/>
          <w:sz w:val="18"/>
          <w:szCs w:val="18"/>
          <w:lang w:eastAsia="en-US"/>
        </w:rPr>
        <w:fldChar w:fldCharType="end"/>
      </w:r>
      <w:r w:rsidRPr="00974C6F">
        <w:rPr>
          <w:rFonts w:eastAsia="Times New Roman"/>
          <w:color w:val="FFFFFF"/>
          <w:sz w:val="18"/>
          <w:szCs w:val="18"/>
          <w:lang w:eastAsia="en-US"/>
        </w:rPr>
        <w:t>.</w:t>
      </w:r>
      <w:bookmarkStart w:id="170" w:name="_Toc443469523"/>
      <w:bookmarkStart w:id="171" w:name="_Toc444065772"/>
      <w:bookmarkStart w:id="172" w:name="_Toc444077333"/>
      <w:bookmarkEnd w:id="169"/>
    </w:p>
    <w:p w14:paraId="09D97835" w14:textId="77777777" w:rsidR="00B364FA" w:rsidRPr="00974C6F" w:rsidRDefault="00B364FA" w:rsidP="00B364FA">
      <w:pPr>
        <w:numPr>
          <w:ilvl w:val="1"/>
          <w:numId w:val="0"/>
        </w:numPr>
        <w:shd w:val="clear" w:color="auto" w:fill="000000"/>
        <w:spacing w:after="0" w:line="260" w:lineRule="atLeast"/>
        <w:ind w:left="426" w:hanging="426"/>
        <w:rPr>
          <w:rFonts w:eastAsia="Times New Roman" w:cs="Arial"/>
          <w:b/>
          <w:color w:val="FFFFFF"/>
          <w:sz w:val="20"/>
          <w:szCs w:val="20"/>
          <w:lang w:eastAsia="en-US"/>
        </w:rPr>
      </w:pPr>
      <w:bookmarkStart w:id="173" w:name="_Toc447030536"/>
      <w:bookmarkStart w:id="174" w:name="_Toc447030688"/>
      <w:bookmarkStart w:id="175" w:name="_Toc447030781"/>
      <w:bookmarkStart w:id="176" w:name="_Toc65742844"/>
      <w:bookmarkStart w:id="177" w:name="_Toc195692033"/>
      <w:r>
        <w:rPr>
          <w:rFonts w:eastAsia="Times New Roman" w:cs="Arial"/>
          <w:b/>
          <w:color w:val="FFFFFF"/>
          <w:sz w:val="20"/>
          <w:szCs w:val="20"/>
          <w:lang w:eastAsia="en-US"/>
        </w:rPr>
        <w:t>1.1</w:t>
      </w:r>
      <w:r>
        <w:rPr>
          <w:rFonts w:eastAsia="Times New Roman" w:cs="Arial"/>
          <w:b/>
          <w:color w:val="FFFFFF"/>
          <w:sz w:val="20"/>
          <w:szCs w:val="20"/>
          <w:lang w:eastAsia="en-US"/>
        </w:rPr>
        <w:tab/>
      </w:r>
      <w:r w:rsidRPr="00974C6F">
        <w:rPr>
          <w:rFonts w:eastAsia="Times New Roman" w:cs="Arial"/>
          <w:b/>
          <w:color w:val="FFFFFF"/>
          <w:sz w:val="20"/>
          <w:szCs w:val="20"/>
          <w:lang w:eastAsia="en-US"/>
        </w:rPr>
        <w:t>Expenses</w:t>
      </w:r>
      <w:bookmarkEnd w:id="170"/>
      <w:bookmarkEnd w:id="171"/>
      <w:bookmarkEnd w:id="172"/>
      <w:bookmarkEnd w:id="173"/>
      <w:bookmarkEnd w:id="174"/>
      <w:bookmarkEnd w:id="175"/>
      <w:bookmarkEnd w:id="176"/>
      <w:bookmarkEnd w:id="177"/>
    </w:p>
    <w:tbl>
      <w:tblPr>
        <w:tblW w:w="9087" w:type="dxa"/>
        <w:tblLayout w:type="fixed"/>
        <w:tblLook w:val="04A0" w:firstRow="1" w:lastRow="0" w:firstColumn="1" w:lastColumn="0" w:noHBand="0" w:noVBand="1"/>
      </w:tblPr>
      <w:tblGrid>
        <w:gridCol w:w="6380"/>
        <w:gridCol w:w="1245"/>
        <w:gridCol w:w="236"/>
        <w:gridCol w:w="1226"/>
      </w:tblGrid>
      <w:tr w:rsidR="0082424C" w:rsidRPr="007A3600" w14:paraId="1EEAF2AF" w14:textId="77777777">
        <w:trPr>
          <w:trHeight w:val="253"/>
        </w:trPr>
        <w:tc>
          <w:tcPr>
            <w:tcW w:w="6380" w:type="dxa"/>
            <w:tcBorders>
              <w:top w:val="nil"/>
              <w:left w:val="nil"/>
              <w:bottom w:val="nil"/>
              <w:right w:val="nil"/>
            </w:tcBorders>
            <w:shd w:val="clear" w:color="FFFFFF" w:fill="FFFFFF"/>
            <w:noWrap/>
            <w:vAlign w:val="bottom"/>
            <w:hideMark/>
          </w:tcPr>
          <w:p w14:paraId="769773F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5" w:type="dxa"/>
            <w:tcBorders>
              <w:top w:val="nil"/>
              <w:left w:val="nil"/>
              <w:bottom w:val="nil"/>
              <w:right w:val="nil"/>
            </w:tcBorders>
            <w:shd w:val="clear" w:color="FFFFFF" w:fill="FFFFFF"/>
            <w:vAlign w:val="bottom"/>
            <w:hideMark/>
          </w:tcPr>
          <w:p w14:paraId="2B48779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1621946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vAlign w:val="bottom"/>
            <w:hideMark/>
          </w:tcPr>
          <w:p w14:paraId="21463EF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07AC8A79" w14:textId="77777777">
        <w:trPr>
          <w:trHeight w:val="253"/>
        </w:trPr>
        <w:tc>
          <w:tcPr>
            <w:tcW w:w="6380" w:type="dxa"/>
            <w:tcBorders>
              <w:top w:val="nil"/>
              <w:left w:val="nil"/>
              <w:bottom w:val="nil"/>
              <w:right w:val="nil"/>
            </w:tcBorders>
            <w:shd w:val="clear" w:color="FFFFFF" w:fill="FFFFFF"/>
            <w:noWrap/>
            <w:vAlign w:val="bottom"/>
            <w:hideMark/>
          </w:tcPr>
          <w:p w14:paraId="366CF2B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5" w:type="dxa"/>
            <w:tcBorders>
              <w:top w:val="nil"/>
              <w:left w:val="nil"/>
              <w:bottom w:val="nil"/>
              <w:right w:val="nil"/>
            </w:tcBorders>
            <w:shd w:val="clear" w:color="FFFFFF" w:fill="FFFFFF"/>
            <w:vAlign w:val="bottom"/>
            <w:hideMark/>
          </w:tcPr>
          <w:p w14:paraId="0CA78FA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133FA0B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vAlign w:val="bottom"/>
            <w:hideMark/>
          </w:tcPr>
          <w:p w14:paraId="0B0631A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ECB95A9" w14:textId="77777777">
        <w:trPr>
          <w:trHeight w:val="253"/>
        </w:trPr>
        <w:tc>
          <w:tcPr>
            <w:tcW w:w="6380" w:type="dxa"/>
            <w:tcBorders>
              <w:top w:val="nil"/>
              <w:left w:val="nil"/>
              <w:bottom w:val="nil"/>
              <w:right w:val="nil"/>
            </w:tcBorders>
            <w:shd w:val="clear" w:color="FFFFFF" w:fill="FFFFFF"/>
            <w:noWrap/>
            <w:vAlign w:val="bottom"/>
            <w:hideMark/>
          </w:tcPr>
          <w:p w14:paraId="01490885"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1.1A: Employee benefits</w:t>
            </w:r>
          </w:p>
        </w:tc>
        <w:tc>
          <w:tcPr>
            <w:tcW w:w="1245" w:type="dxa"/>
            <w:tcBorders>
              <w:top w:val="nil"/>
              <w:left w:val="nil"/>
              <w:bottom w:val="nil"/>
              <w:right w:val="nil"/>
            </w:tcBorders>
            <w:shd w:val="clear" w:color="FFFFFF" w:fill="FFFFFF"/>
            <w:vAlign w:val="bottom"/>
            <w:hideMark/>
          </w:tcPr>
          <w:p w14:paraId="69D8918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453151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vAlign w:val="bottom"/>
            <w:hideMark/>
          </w:tcPr>
          <w:p w14:paraId="725D427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023521B" w14:textId="77777777">
        <w:trPr>
          <w:trHeight w:val="253"/>
        </w:trPr>
        <w:tc>
          <w:tcPr>
            <w:tcW w:w="6380" w:type="dxa"/>
            <w:tcBorders>
              <w:top w:val="nil"/>
              <w:left w:val="nil"/>
              <w:bottom w:val="nil"/>
              <w:right w:val="nil"/>
            </w:tcBorders>
            <w:shd w:val="clear" w:color="FFFFFF" w:fill="FFFFFF"/>
            <w:vAlign w:val="bottom"/>
            <w:hideMark/>
          </w:tcPr>
          <w:p w14:paraId="63396AB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Wages and salaries</w:t>
            </w:r>
          </w:p>
        </w:tc>
        <w:tc>
          <w:tcPr>
            <w:tcW w:w="1245" w:type="dxa"/>
            <w:tcBorders>
              <w:top w:val="nil"/>
              <w:left w:val="nil"/>
              <w:bottom w:val="nil"/>
              <w:right w:val="nil"/>
            </w:tcBorders>
            <w:shd w:val="clear" w:color="FFFFFF" w:fill="FFFFFF"/>
            <w:noWrap/>
            <w:vAlign w:val="bottom"/>
            <w:hideMark/>
          </w:tcPr>
          <w:p w14:paraId="2CBF746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827,723</w:t>
            </w:r>
          </w:p>
        </w:tc>
        <w:tc>
          <w:tcPr>
            <w:tcW w:w="236" w:type="dxa"/>
            <w:tcBorders>
              <w:top w:val="nil"/>
              <w:left w:val="nil"/>
              <w:bottom w:val="nil"/>
              <w:right w:val="nil"/>
            </w:tcBorders>
            <w:shd w:val="clear" w:color="FFFFFF" w:fill="FFFFFF"/>
            <w:noWrap/>
            <w:vAlign w:val="bottom"/>
            <w:hideMark/>
          </w:tcPr>
          <w:p w14:paraId="47E1544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A6C19B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577,795</w:t>
            </w:r>
          </w:p>
        </w:tc>
      </w:tr>
      <w:tr w:rsidR="0082424C" w:rsidRPr="007A3600" w14:paraId="5FC1926D" w14:textId="77777777">
        <w:trPr>
          <w:trHeight w:val="253"/>
        </w:trPr>
        <w:tc>
          <w:tcPr>
            <w:tcW w:w="6380" w:type="dxa"/>
            <w:tcBorders>
              <w:top w:val="nil"/>
              <w:left w:val="nil"/>
              <w:bottom w:val="nil"/>
              <w:right w:val="nil"/>
            </w:tcBorders>
            <w:shd w:val="clear" w:color="FFFFFF" w:fill="FFFFFF"/>
            <w:vAlign w:val="bottom"/>
            <w:hideMark/>
          </w:tcPr>
          <w:p w14:paraId="36119A5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Superannuation</w:t>
            </w:r>
          </w:p>
        </w:tc>
        <w:tc>
          <w:tcPr>
            <w:tcW w:w="1245" w:type="dxa"/>
            <w:tcBorders>
              <w:top w:val="nil"/>
              <w:left w:val="nil"/>
              <w:bottom w:val="nil"/>
              <w:right w:val="nil"/>
            </w:tcBorders>
            <w:shd w:val="clear" w:color="FFFFFF" w:fill="FFFFFF"/>
            <w:noWrap/>
            <w:vAlign w:val="bottom"/>
            <w:hideMark/>
          </w:tcPr>
          <w:p w14:paraId="5C5BE9B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D218B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1AE8604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BD6D1B8" w14:textId="77777777">
        <w:trPr>
          <w:trHeight w:val="253"/>
        </w:trPr>
        <w:tc>
          <w:tcPr>
            <w:tcW w:w="6380" w:type="dxa"/>
            <w:tcBorders>
              <w:top w:val="nil"/>
              <w:left w:val="nil"/>
              <w:bottom w:val="nil"/>
              <w:right w:val="nil"/>
            </w:tcBorders>
            <w:shd w:val="clear" w:color="FFFFFF" w:fill="FFFFFF"/>
            <w:noWrap/>
            <w:vAlign w:val="bottom"/>
            <w:hideMark/>
          </w:tcPr>
          <w:p w14:paraId="201B4042"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Defined contribution plans</w:t>
            </w:r>
          </w:p>
        </w:tc>
        <w:tc>
          <w:tcPr>
            <w:tcW w:w="1245" w:type="dxa"/>
            <w:tcBorders>
              <w:top w:val="nil"/>
              <w:left w:val="nil"/>
              <w:bottom w:val="nil"/>
              <w:right w:val="nil"/>
            </w:tcBorders>
            <w:shd w:val="clear" w:color="FFFFFF" w:fill="FFFFFF"/>
            <w:noWrap/>
            <w:vAlign w:val="bottom"/>
            <w:hideMark/>
          </w:tcPr>
          <w:p w14:paraId="507CE39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119,725</w:t>
            </w:r>
          </w:p>
        </w:tc>
        <w:tc>
          <w:tcPr>
            <w:tcW w:w="236" w:type="dxa"/>
            <w:tcBorders>
              <w:top w:val="nil"/>
              <w:left w:val="nil"/>
              <w:bottom w:val="nil"/>
              <w:right w:val="nil"/>
            </w:tcBorders>
            <w:shd w:val="clear" w:color="FFFFFF" w:fill="FFFFFF"/>
            <w:noWrap/>
            <w:vAlign w:val="bottom"/>
            <w:hideMark/>
          </w:tcPr>
          <w:p w14:paraId="6233F9D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7F055D3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82,486</w:t>
            </w:r>
          </w:p>
        </w:tc>
      </w:tr>
      <w:tr w:rsidR="0082424C" w:rsidRPr="007A3600" w14:paraId="4DB73E5D" w14:textId="77777777">
        <w:trPr>
          <w:trHeight w:val="253"/>
        </w:trPr>
        <w:tc>
          <w:tcPr>
            <w:tcW w:w="6380" w:type="dxa"/>
            <w:tcBorders>
              <w:top w:val="nil"/>
              <w:left w:val="nil"/>
              <w:bottom w:val="nil"/>
              <w:right w:val="nil"/>
            </w:tcBorders>
            <w:shd w:val="clear" w:color="FFFFFF" w:fill="FFFFFF"/>
            <w:noWrap/>
            <w:vAlign w:val="bottom"/>
            <w:hideMark/>
          </w:tcPr>
          <w:p w14:paraId="4B382A54"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Defined benefit plans</w:t>
            </w:r>
          </w:p>
        </w:tc>
        <w:tc>
          <w:tcPr>
            <w:tcW w:w="1245" w:type="dxa"/>
            <w:tcBorders>
              <w:top w:val="nil"/>
              <w:left w:val="nil"/>
              <w:bottom w:val="nil"/>
              <w:right w:val="nil"/>
            </w:tcBorders>
            <w:shd w:val="clear" w:color="FFFFFF" w:fill="FFFFFF"/>
            <w:noWrap/>
            <w:vAlign w:val="bottom"/>
            <w:hideMark/>
          </w:tcPr>
          <w:p w14:paraId="44BCB1F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19,058</w:t>
            </w:r>
          </w:p>
        </w:tc>
        <w:tc>
          <w:tcPr>
            <w:tcW w:w="236" w:type="dxa"/>
            <w:tcBorders>
              <w:top w:val="nil"/>
              <w:left w:val="nil"/>
              <w:bottom w:val="nil"/>
              <w:right w:val="nil"/>
            </w:tcBorders>
            <w:shd w:val="clear" w:color="FFFFFF" w:fill="FFFFFF"/>
            <w:noWrap/>
            <w:vAlign w:val="bottom"/>
            <w:hideMark/>
          </w:tcPr>
          <w:p w14:paraId="1604BF6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F2EB3D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13,926</w:t>
            </w:r>
          </w:p>
        </w:tc>
      </w:tr>
      <w:tr w:rsidR="0082424C" w:rsidRPr="007A3600" w14:paraId="6C063ABD" w14:textId="77777777">
        <w:trPr>
          <w:trHeight w:val="253"/>
        </w:trPr>
        <w:tc>
          <w:tcPr>
            <w:tcW w:w="6380" w:type="dxa"/>
            <w:tcBorders>
              <w:top w:val="nil"/>
              <w:left w:val="nil"/>
              <w:bottom w:val="nil"/>
              <w:right w:val="nil"/>
            </w:tcBorders>
            <w:shd w:val="clear" w:color="FFFFFF" w:fill="FFFFFF"/>
            <w:vAlign w:val="bottom"/>
            <w:hideMark/>
          </w:tcPr>
          <w:p w14:paraId="09E0532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Leave and other entitlements</w:t>
            </w:r>
          </w:p>
        </w:tc>
        <w:tc>
          <w:tcPr>
            <w:tcW w:w="1245" w:type="dxa"/>
            <w:tcBorders>
              <w:top w:val="nil"/>
              <w:left w:val="nil"/>
              <w:bottom w:val="nil"/>
              <w:right w:val="nil"/>
            </w:tcBorders>
            <w:shd w:val="clear" w:color="FFFFFF" w:fill="FFFFFF"/>
            <w:noWrap/>
            <w:vAlign w:val="bottom"/>
            <w:hideMark/>
          </w:tcPr>
          <w:p w14:paraId="7DE298B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99,682</w:t>
            </w:r>
          </w:p>
        </w:tc>
        <w:tc>
          <w:tcPr>
            <w:tcW w:w="236" w:type="dxa"/>
            <w:tcBorders>
              <w:top w:val="nil"/>
              <w:left w:val="nil"/>
              <w:bottom w:val="nil"/>
              <w:right w:val="nil"/>
            </w:tcBorders>
            <w:shd w:val="clear" w:color="FFFFFF" w:fill="FFFFFF"/>
            <w:noWrap/>
            <w:vAlign w:val="bottom"/>
            <w:hideMark/>
          </w:tcPr>
          <w:p w14:paraId="7909A25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01A6834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82,810</w:t>
            </w:r>
          </w:p>
        </w:tc>
      </w:tr>
      <w:tr w:rsidR="0082424C" w:rsidRPr="007A3600" w14:paraId="4D754247" w14:textId="77777777">
        <w:trPr>
          <w:trHeight w:val="253"/>
        </w:trPr>
        <w:tc>
          <w:tcPr>
            <w:tcW w:w="6380" w:type="dxa"/>
            <w:tcBorders>
              <w:top w:val="nil"/>
              <w:left w:val="nil"/>
              <w:bottom w:val="nil"/>
              <w:right w:val="nil"/>
            </w:tcBorders>
            <w:shd w:val="clear" w:color="FFFFFF" w:fill="FFFFFF"/>
            <w:vAlign w:val="bottom"/>
            <w:hideMark/>
          </w:tcPr>
          <w:p w14:paraId="4608549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Separation and redundancies</w:t>
            </w:r>
          </w:p>
        </w:tc>
        <w:tc>
          <w:tcPr>
            <w:tcW w:w="1245" w:type="dxa"/>
            <w:tcBorders>
              <w:top w:val="nil"/>
              <w:left w:val="nil"/>
              <w:bottom w:val="nil"/>
              <w:right w:val="nil"/>
            </w:tcBorders>
            <w:shd w:val="clear" w:color="FFFFFF" w:fill="FFFFFF"/>
            <w:noWrap/>
            <w:vAlign w:val="bottom"/>
            <w:hideMark/>
          </w:tcPr>
          <w:p w14:paraId="48A28B8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631</w:t>
            </w:r>
          </w:p>
        </w:tc>
        <w:tc>
          <w:tcPr>
            <w:tcW w:w="236" w:type="dxa"/>
            <w:tcBorders>
              <w:top w:val="nil"/>
              <w:left w:val="nil"/>
              <w:bottom w:val="nil"/>
              <w:right w:val="nil"/>
            </w:tcBorders>
            <w:shd w:val="clear" w:color="FFFFFF" w:fill="FFFFFF"/>
            <w:noWrap/>
            <w:vAlign w:val="bottom"/>
            <w:hideMark/>
          </w:tcPr>
          <w:p w14:paraId="1ED0D13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BF6931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1,586</w:t>
            </w:r>
          </w:p>
        </w:tc>
      </w:tr>
      <w:tr w:rsidR="0082424C" w:rsidRPr="007A3600" w14:paraId="4EEBB649" w14:textId="77777777">
        <w:trPr>
          <w:trHeight w:val="253"/>
        </w:trPr>
        <w:tc>
          <w:tcPr>
            <w:tcW w:w="6380" w:type="dxa"/>
            <w:tcBorders>
              <w:top w:val="nil"/>
              <w:left w:val="nil"/>
              <w:bottom w:val="nil"/>
              <w:right w:val="nil"/>
            </w:tcBorders>
            <w:shd w:val="clear" w:color="FFFFFF" w:fill="FFFFFF"/>
            <w:vAlign w:val="bottom"/>
            <w:hideMark/>
          </w:tcPr>
          <w:p w14:paraId="267C79B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employee expenses</w:t>
            </w:r>
          </w:p>
        </w:tc>
        <w:tc>
          <w:tcPr>
            <w:tcW w:w="1245" w:type="dxa"/>
            <w:tcBorders>
              <w:top w:val="nil"/>
              <w:left w:val="nil"/>
              <w:bottom w:val="nil"/>
              <w:right w:val="nil"/>
            </w:tcBorders>
            <w:shd w:val="clear" w:color="FFFFFF" w:fill="FFFFFF"/>
            <w:noWrap/>
            <w:vAlign w:val="bottom"/>
            <w:hideMark/>
          </w:tcPr>
          <w:p w14:paraId="1056CFE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65</w:t>
            </w:r>
          </w:p>
        </w:tc>
        <w:tc>
          <w:tcPr>
            <w:tcW w:w="236" w:type="dxa"/>
            <w:tcBorders>
              <w:top w:val="nil"/>
              <w:left w:val="nil"/>
              <w:bottom w:val="nil"/>
              <w:right w:val="nil"/>
            </w:tcBorders>
            <w:shd w:val="clear" w:color="FFFFFF" w:fill="FFFFFF"/>
            <w:noWrap/>
            <w:vAlign w:val="bottom"/>
            <w:hideMark/>
          </w:tcPr>
          <w:p w14:paraId="6D72AA0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62F0E77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3B6D4C17" w14:textId="77777777">
        <w:trPr>
          <w:trHeight w:val="253"/>
        </w:trPr>
        <w:tc>
          <w:tcPr>
            <w:tcW w:w="6380" w:type="dxa"/>
            <w:tcBorders>
              <w:top w:val="nil"/>
              <w:left w:val="nil"/>
              <w:bottom w:val="nil"/>
              <w:right w:val="nil"/>
            </w:tcBorders>
            <w:shd w:val="clear" w:color="FFFFFF" w:fill="FFFFFF"/>
            <w:vAlign w:val="bottom"/>
            <w:hideMark/>
          </w:tcPr>
          <w:p w14:paraId="43BCFF5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employee benefits</w:t>
            </w:r>
          </w:p>
        </w:tc>
        <w:tc>
          <w:tcPr>
            <w:tcW w:w="1245" w:type="dxa"/>
            <w:tcBorders>
              <w:top w:val="single" w:sz="4" w:space="0" w:color="auto"/>
              <w:left w:val="nil"/>
              <w:bottom w:val="single" w:sz="4" w:space="0" w:color="auto"/>
              <w:right w:val="nil"/>
            </w:tcBorders>
            <w:shd w:val="clear" w:color="FFFFFF" w:fill="FFFFFF"/>
            <w:noWrap/>
            <w:vAlign w:val="bottom"/>
            <w:hideMark/>
          </w:tcPr>
          <w:p w14:paraId="449D5B6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1,066,884</w:t>
            </w:r>
          </w:p>
        </w:tc>
        <w:tc>
          <w:tcPr>
            <w:tcW w:w="236" w:type="dxa"/>
            <w:tcBorders>
              <w:top w:val="nil"/>
              <w:left w:val="nil"/>
              <w:bottom w:val="nil"/>
              <w:right w:val="nil"/>
            </w:tcBorders>
            <w:shd w:val="clear" w:color="FFFFFF" w:fill="FFFFFF"/>
            <w:noWrap/>
            <w:vAlign w:val="bottom"/>
            <w:hideMark/>
          </w:tcPr>
          <w:p w14:paraId="63C7E58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single" w:sz="4" w:space="0" w:color="auto"/>
              <w:left w:val="nil"/>
              <w:bottom w:val="single" w:sz="4" w:space="0" w:color="auto"/>
              <w:right w:val="nil"/>
            </w:tcBorders>
            <w:shd w:val="clear" w:color="FFFFFF" w:fill="FFFFFF"/>
            <w:noWrap/>
            <w:vAlign w:val="bottom"/>
            <w:hideMark/>
          </w:tcPr>
          <w:p w14:paraId="06BDD3A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758,603</w:t>
            </w:r>
          </w:p>
        </w:tc>
      </w:tr>
    </w:tbl>
    <w:p w14:paraId="6B0CDE74" w14:textId="77777777" w:rsidR="0082424C" w:rsidRPr="007A3600" w:rsidRDefault="0082424C" w:rsidP="00AD3197">
      <w:pPr>
        <w:spacing w:after="0" w:line="240" w:lineRule="auto"/>
        <w:rPr>
          <w:rFonts w:eastAsia="Times New Roman"/>
          <w:sz w:val="18"/>
          <w:szCs w:val="20"/>
        </w:rPr>
      </w:pPr>
    </w:p>
    <w:p w14:paraId="67BEE8A5"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21F00059"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Accounting policies for employee related expenses are contained in Section 3. People and Relationships. </w:t>
      </w:r>
    </w:p>
    <w:tbl>
      <w:tblPr>
        <w:tblW w:w="9087" w:type="dxa"/>
        <w:tblLayout w:type="fixed"/>
        <w:tblLook w:val="04A0" w:firstRow="1" w:lastRow="0" w:firstColumn="1" w:lastColumn="0" w:noHBand="0" w:noVBand="1"/>
      </w:tblPr>
      <w:tblGrid>
        <w:gridCol w:w="6380"/>
        <w:gridCol w:w="1245"/>
        <w:gridCol w:w="236"/>
        <w:gridCol w:w="1226"/>
      </w:tblGrid>
      <w:tr w:rsidR="0082424C" w:rsidRPr="007A3600" w14:paraId="1AB0D782" w14:textId="77777777">
        <w:trPr>
          <w:trHeight w:val="260"/>
        </w:trPr>
        <w:tc>
          <w:tcPr>
            <w:tcW w:w="6380" w:type="dxa"/>
            <w:tcBorders>
              <w:top w:val="nil"/>
              <w:left w:val="nil"/>
              <w:bottom w:val="nil"/>
              <w:right w:val="nil"/>
            </w:tcBorders>
            <w:shd w:val="clear" w:color="FFFFFF" w:fill="FFFFFF"/>
            <w:noWrap/>
            <w:vAlign w:val="bottom"/>
            <w:hideMark/>
          </w:tcPr>
          <w:p w14:paraId="0F4A1A38"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1.1B: Suppliers</w:t>
            </w:r>
          </w:p>
        </w:tc>
        <w:tc>
          <w:tcPr>
            <w:tcW w:w="1245" w:type="dxa"/>
            <w:tcBorders>
              <w:top w:val="nil"/>
              <w:left w:val="nil"/>
              <w:bottom w:val="nil"/>
              <w:right w:val="nil"/>
            </w:tcBorders>
            <w:shd w:val="clear" w:color="FFFFFF" w:fill="FFFFFF"/>
            <w:vAlign w:val="bottom"/>
            <w:hideMark/>
          </w:tcPr>
          <w:p w14:paraId="28DC9F8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2E1A97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vAlign w:val="bottom"/>
            <w:hideMark/>
          </w:tcPr>
          <w:p w14:paraId="162EC10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644F2DE" w14:textId="77777777">
        <w:trPr>
          <w:trHeight w:val="260"/>
        </w:trPr>
        <w:tc>
          <w:tcPr>
            <w:tcW w:w="6380" w:type="dxa"/>
            <w:tcBorders>
              <w:top w:val="nil"/>
              <w:left w:val="nil"/>
              <w:bottom w:val="nil"/>
              <w:right w:val="nil"/>
            </w:tcBorders>
            <w:shd w:val="clear" w:color="FFFFFF" w:fill="FFFFFF"/>
            <w:vAlign w:val="bottom"/>
            <w:hideMark/>
          </w:tcPr>
          <w:p w14:paraId="0D484A2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Services rendered</w:t>
            </w:r>
          </w:p>
        </w:tc>
        <w:tc>
          <w:tcPr>
            <w:tcW w:w="1245" w:type="dxa"/>
            <w:tcBorders>
              <w:top w:val="nil"/>
              <w:left w:val="nil"/>
              <w:bottom w:val="nil"/>
              <w:right w:val="nil"/>
            </w:tcBorders>
            <w:shd w:val="clear" w:color="FFFFFF" w:fill="FFFFFF"/>
            <w:noWrap/>
            <w:vAlign w:val="bottom"/>
            <w:hideMark/>
          </w:tcPr>
          <w:p w14:paraId="29518F4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8F2CA8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55512D5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30FFC6B" w14:textId="77777777">
        <w:trPr>
          <w:trHeight w:val="270"/>
        </w:trPr>
        <w:tc>
          <w:tcPr>
            <w:tcW w:w="6380" w:type="dxa"/>
            <w:tcBorders>
              <w:top w:val="nil"/>
              <w:left w:val="nil"/>
              <w:bottom w:val="nil"/>
              <w:right w:val="nil"/>
            </w:tcBorders>
            <w:shd w:val="clear" w:color="FFFFFF" w:fill="FFFFFF"/>
            <w:noWrap/>
            <w:vAlign w:val="bottom"/>
            <w:hideMark/>
          </w:tcPr>
          <w:p w14:paraId="3E25F21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Service providers</w:t>
            </w:r>
            <w:r w:rsidRPr="007A3600">
              <w:rPr>
                <w:rFonts w:eastAsia="Times New Roman" w:cs="Arial"/>
                <w:sz w:val="18"/>
                <w:szCs w:val="18"/>
                <w:vertAlign w:val="superscript"/>
                <w:lang w:eastAsia="en-US"/>
              </w:rPr>
              <w:t>1</w:t>
            </w:r>
          </w:p>
        </w:tc>
        <w:tc>
          <w:tcPr>
            <w:tcW w:w="1245" w:type="dxa"/>
            <w:tcBorders>
              <w:top w:val="nil"/>
              <w:left w:val="nil"/>
              <w:bottom w:val="nil"/>
              <w:right w:val="nil"/>
            </w:tcBorders>
            <w:shd w:val="clear" w:color="FFFFFF" w:fill="FFFFFF"/>
            <w:noWrap/>
            <w:vAlign w:val="bottom"/>
            <w:hideMark/>
          </w:tcPr>
          <w:p w14:paraId="50C4FBC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446,144</w:t>
            </w:r>
          </w:p>
        </w:tc>
        <w:tc>
          <w:tcPr>
            <w:tcW w:w="236" w:type="dxa"/>
            <w:tcBorders>
              <w:top w:val="nil"/>
              <w:left w:val="nil"/>
              <w:bottom w:val="nil"/>
              <w:right w:val="nil"/>
            </w:tcBorders>
            <w:shd w:val="clear" w:color="FFFFFF" w:fill="FFFFFF"/>
            <w:noWrap/>
            <w:vAlign w:val="bottom"/>
            <w:hideMark/>
          </w:tcPr>
          <w:p w14:paraId="2FFAD2B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472616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395,558</w:t>
            </w:r>
          </w:p>
        </w:tc>
      </w:tr>
      <w:tr w:rsidR="0082424C" w:rsidRPr="007A3600" w14:paraId="4D6E2FC4" w14:textId="77777777">
        <w:trPr>
          <w:trHeight w:val="250"/>
        </w:trPr>
        <w:tc>
          <w:tcPr>
            <w:tcW w:w="6380" w:type="dxa"/>
            <w:tcBorders>
              <w:top w:val="nil"/>
              <w:left w:val="nil"/>
              <w:bottom w:val="nil"/>
              <w:right w:val="nil"/>
            </w:tcBorders>
            <w:shd w:val="clear" w:color="FFFFFF" w:fill="FFFFFF"/>
            <w:noWrap/>
            <w:vAlign w:val="bottom"/>
            <w:hideMark/>
          </w:tcPr>
          <w:p w14:paraId="475377B4"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Legal expenses</w:t>
            </w:r>
          </w:p>
        </w:tc>
        <w:tc>
          <w:tcPr>
            <w:tcW w:w="1245" w:type="dxa"/>
            <w:tcBorders>
              <w:top w:val="nil"/>
              <w:left w:val="nil"/>
              <w:bottom w:val="nil"/>
              <w:right w:val="nil"/>
            </w:tcBorders>
            <w:shd w:val="clear" w:color="FFFFFF" w:fill="FFFFFF"/>
            <w:noWrap/>
            <w:vAlign w:val="bottom"/>
            <w:hideMark/>
          </w:tcPr>
          <w:p w14:paraId="6823FE5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75,414</w:t>
            </w:r>
          </w:p>
        </w:tc>
        <w:tc>
          <w:tcPr>
            <w:tcW w:w="236" w:type="dxa"/>
            <w:tcBorders>
              <w:top w:val="nil"/>
              <w:left w:val="nil"/>
              <w:bottom w:val="nil"/>
              <w:right w:val="nil"/>
            </w:tcBorders>
            <w:shd w:val="clear" w:color="FFFFFF" w:fill="FFFFFF"/>
            <w:noWrap/>
            <w:vAlign w:val="bottom"/>
            <w:hideMark/>
          </w:tcPr>
          <w:p w14:paraId="47E15A8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B5A976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51,899</w:t>
            </w:r>
          </w:p>
        </w:tc>
      </w:tr>
      <w:tr w:rsidR="0082424C" w:rsidRPr="007A3600" w14:paraId="43511243" w14:textId="77777777">
        <w:trPr>
          <w:trHeight w:val="250"/>
        </w:trPr>
        <w:tc>
          <w:tcPr>
            <w:tcW w:w="6380" w:type="dxa"/>
            <w:tcBorders>
              <w:top w:val="nil"/>
              <w:left w:val="nil"/>
              <w:bottom w:val="nil"/>
              <w:right w:val="nil"/>
            </w:tcBorders>
            <w:shd w:val="clear" w:color="FFFFFF" w:fill="FFFFFF"/>
            <w:noWrap/>
            <w:vAlign w:val="bottom"/>
            <w:hideMark/>
          </w:tcPr>
          <w:p w14:paraId="172B4FA4"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Information technology expenses</w:t>
            </w:r>
          </w:p>
        </w:tc>
        <w:tc>
          <w:tcPr>
            <w:tcW w:w="1245" w:type="dxa"/>
            <w:tcBorders>
              <w:top w:val="nil"/>
              <w:left w:val="nil"/>
              <w:bottom w:val="nil"/>
              <w:right w:val="nil"/>
            </w:tcBorders>
            <w:shd w:val="clear" w:color="FFFFFF" w:fill="FFFFFF"/>
            <w:noWrap/>
            <w:vAlign w:val="bottom"/>
            <w:hideMark/>
          </w:tcPr>
          <w:p w14:paraId="739B0D7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91,133</w:t>
            </w:r>
          </w:p>
        </w:tc>
        <w:tc>
          <w:tcPr>
            <w:tcW w:w="236" w:type="dxa"/>
            <w:tcBorders>
              <w:top w:val="nil"/>
              <w:left w:val="nil"/>
              <w:bottom w:val="nil"/>
              <w:right w:val="nil"/>
            </w:tcBorders>
            <w:shd w:val="clear" w:color="FFFFFF" w:fill="FFFFFF"/>
            <w:noWrap/>
            <w:vAlign w:val="bottom"/>
            <w:hideMark/>
          </w:tcPr>
          <w:p w14:paraId="1E603B4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6CCE599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76,518</w:t>
            </w:r>
          </w:p>
        </w:tc>
      </w:tr>
      <w:tr w:rsidR="0082424C" w:rsidRPr="007A3600" w14:paraId="276FF4F8" w14:textId="77777777">
        <w:trPr>
          <w:trHeight w:val="270"/>
        </w:trPr>
        <w:tc>
          <w:tcPr>
            <w:tcW w:w="6380" w:type="dxa"/>
            <w:tcBorders>
              <w:top w:val="nil"/>
              <w:left w:val="nil"/>
              <w:bottom w:val="nil"/>
              <w:right w:val="nil"/>
            </w:tcBorders>
            <w:shd w:val="clear" w:color="FFFFFF" w:fill="FFFFFF"/>
            <w:noWrap/>
            <w:vAlign w:val="bottom"/>
            <w:hideMark/>
          </w:tcPr>
          <w:p w14:paraId="18366497"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Shared Services</w:t>
            </w:r>
            <w:r w:rsidRPr="007A3600">
              <w:rPr>
                <w:rFonts w:eastAsia="Times New Roman" w:cs="Arial"/>
                <w:sz w:val="18"/>
                <w:szCs w:val="18"/>
                <w:vertAlign w:val="superscript"/>
                <w:lang w:eastAsia="en-US"/>
              </w:rPr>
              <w:t>2</w:t>
            </w:r>
          </w:p>
        </w:tc>
        <w:tc>
          <w:tcPr>
            <w:tcW w:w="1245" w:type="dxa"/>
            <w:tcBorders>
              <w:top w:val="nil"/>
              <w:left w:val="nil"/>
              <w:bottom w:val="nil"/>
              <w:right w:val="nil"/>
            </w:tcBorders>
            <w:noWrap/>
            <w:vAlign w:val="bottom"/>
            <w:hideMark/>
          </w:tcPr>
          <w:p w14:paraId="79BDBCE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46,503</w:t>
            </w:r>
          </w:p>
        </w:tc>
        <w:tc>
          <w:tcPr>
            <w:tcW w:w="236" w:type="dxa"/>
            <w:tcBorders>
              <w:top w:val="nil"/>
              <w:left w:val="nil"/>
              <w:bottom w:val="nil"/>
              <w:right w:val="nil"/>
            </w:tcBorders>
            <w:shd w:val="clear" w:color="FFFFFF" w:fill="FFFFFF"/>
            <w:noWrap/>
            <w:vAlign w:val="bottom"/>
            <w:hideMark/>
          </w:tcPr>
          <w:p w14:paraId="7F0612F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713389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35,006</w:t>
            </w:r>
          </w:p>
        </w:tc>
      </w:tr>
      <w:tr w:rsidR="0082424C" w:rsidRPr="007A3600" w14:paraId="442C3758" w14:textId="77777777">
        <w:trPr>
          <w:trHeight w:val="250"/>
        </w:trPr>
        <w:tc>
          <w:tcPr>
            <w:tcW w:w="6380" w:type="dxa"/>
            <w:tcBorders>
              <w:top w:val="nil"/>
              <w:left w:val="nil"/>
              <w:bottom w:val="nil"/>
              <w:right w:val="nil"/>
            </w:tcBorders>
            <w:shd w:val="clear" w:color="FFFFFF" w:fill="FFFFFF"/>
            <w:noWrap/>
            <w:vAlign w:val="bottom"/>
            <w:hideMark/>
          </w:tcPr>
          <w:p w14:paraId="0D159355"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Community connector management fees</w:t>
            </w:r>
          </w:p>
        </w:tc>
        <w:tc>
          <w:tcPr>
            <w:tcW w:w="1245" w:type="dxa"/>
            <w:tcBorders>
              <w:top w:val="nil"/>
              <w:left w:val="nil"/>
              <w:bottom w:val="nil"/>
              <w:right w:val="nil"/>
            </w:tcBorders>
            <w:shd w:val="clear" w:color="FFFFFF" w:fill="FFFFFF"/>
            <w:noWrap/>
            <w:vAlign w:val="bottom"/>
            <w:hideMark/>
          </w:tcPr>
          <w:p w14:paraId="0FC1D11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23,461</w:t>
            </w:r>
          </w:p>
        </w:tc>
        <w:tc>
          <w:tcPr>
            <w:tcW w:w="236" w:type="dxa"/>
            <w:tcBorders>
              <w:top w:val="nil"/>
              <w:left w:val="nil"/>
              <w:bottom w:val="nil"/>
              <w:right w:val="nil"/>
            </w:tcBorders>
            <w:shd w:val="clear" w:color="FFFFFF" w:fill="FFFFFF"/>
            <w:noWrap/>
            <w:vAlign w:val="bottom"/>
            <w:hideMark/>
          </w:tcPr>
          <w:p w14:paraId="197E1A9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15CF138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21,098</w:t>
            </w:r>
          </w:p>
        </w:tc>
      </w:tr>
      <w:tr w:rsidR="0082424C" w:rsidRPr="007A3600" w14:paraId="265C696C" w14:textId="77777777">
        <w:trPr>
          <w:trHeight w:val="250"/>
        </w:trPr>
        <w:tc>
          <w:tcPr>
            <w:tcW w:w="6380" w:type="dxa"/>
            <w:tcBorders>
              <w:top w:val="nil"/>
              <w:left w:val="nil"/>
              <w:bottom w:val="nil"/>
              <w:right w:val="nil"/>
            </w:tcBorders>
            <w:shd w:val="clear" w:color="FFFFFF" w:fill="FFFFFF"/>
            <w:noWrap/>
            <w:vAlign w:val="bottom"/>
            <w:hideMark/>
          </w:tcPr>
          <w:p w14:paraId="6F5411FE"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Property operating expenses</w:t>
            </w:r>
          </w:p>
        </w:tc>
        <w:tc>
          <w:tcPr>
            <w:tcW w:w="1245" w:type="dxa"/>
            <w:tcBorders>
              <w:top w:val="nil"/>
              <w:left w:val="nil"/>
              <w:bottom w:val="nil"/>
              <w:right w:val="nil"/>
            </w:tcBorders>
            <w:shd w:val="clear" w:color="FFFFFF" w:fill="FFFFFF"/>
            <w:noWrap/>
            <w:vAlign w:val="bottom"/>
            <w:hideMark/>
          </w:tcPr>
          <w:p w14:paraId="0743341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11,707</w:t>
            </w:r>
          </w:p>
        </w:tc>
        <w:tc>
          <w:tcPr>
            <w:tcW w:w="236" w:type="dxa"/>
            <w:tcBorders>
              <w:top w:val="nil"/>
              <w:left w:val="nil"/>
              <w:bottom w:val="nil"/>
              <w:right w:val="nil"/>
            </w:tcBorders>
            <w:shd w:val="clear" w:color="FFFFFF" w:fill="FFFFFF"/>
            <w:noWrap/>
            <w:vAlign w:val="bottom"/>
            <w:hideMark/>
          </w:tcPr>
          <w:p w14:paraId="3832F34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15ACEF1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11,183</w:t>
            </w:r>
          </w:p>
        </w:tc>
      </w:tr>
      <w:tr w:rsidR="0082424C" w:rsidRPr="007A3600" w14:paraId="11664303" w14:textId="77777777">
        <w:trPr>
          <w:trHeight w:val="250"/>
        </w:trPr>
        <w:tc>
          <w:tcPr>
            <w:tcW w:w="6380" w:type="dxa"/>
            <w:tcBorders>
              <w:top w:val="nil"/>
              <w:left w:val="nil"/>
              <w:bottom w:val="nil"/>
              <w:right w:val="nil"/>
            </w:tcBorders>
            <w:shd w:val="clear" w:color="FFFFFF" w:fill="FFFFFF"/>
            <w:noWrap/>
            <w:vAlign w:val="bottom"/>
            <w:hideMark/>
          </w:tcPr>
          <w:p w14:paraId="42450C95"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 xml:space="preserve">Other </w:t>
            </w:r>
          </w:p>
        </w:tc>
        <w:tc>
          <w:tcPr>
            <w:tcW w:w="1245" w:type="dxa"/>
            <w:tcBorders>
              <w:top w:val="nil"/>
              <w:left w:val="nil"/>
              <w:bottom w:val="nil"/>
              <w:right w:val="nil"/>
            </w:tcBorders>
            <w:noWrap/>
            <w:vAlign w:val="bottom"/>
            <w:hideMark/>
          </w:tcPr>
          <w:p w14:paraId="6E007A6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26,607</w:t>
            </w:r>
          </w:p>
        </w:tc>
        <w:tc>
          <w:tcPr>
            <w:tcW w:w="236" w:type="dxa"/>
            <w:tcBorders>
              <w:top w:val="nil"/>
              <w:left w:val="nil"/>
              <w:bottom w:val="nil"/>
              <w:right w:val="nil"/>
            </w:tcBorders>
            <w:shd w:val="clear" w:color="FFFFFF" w:fill="FFFFFF"/>
            <w:noWrap/>
            <w:vAlign w:val="bottom"/>
            <w:hideMark/>
          </w:tcPr>
          <w:p w14:paraId="2363DBA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8EEEF7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20,496</w:t>
            </w:r>
          </w:p>
        </w:tc>
      </w:tr>
      <w:tr w:rsidR="0082424C" w:rsidRPr="007A3600" w14:paraId="3AB193C1" w14:textId="77777777">
        <w:trPr>
          <w:trHeight w:val="250"/>
        </w:trPr>
        <w:tc>
          <w:tcPr>
            <w:tcW w:w="6380" w:type="dxa"/>
            <w:tcBorders>
              <w:top w:val="nil"/>
              <w:left w:val="nil"/>
              <w:bottom w:val="nil"/>
              <w:right w:val="nil"/>
            </w:tcBorders>
            <w:shd w:val="clear" w:color="FFFFFF" w:fill="FFFFFF"/>
            <w:noWrap/>
            <w:vAlign w:val="bottom"/>
            <w:hideMark/>
          </w:tcPr>
          <w:p w14:paraId="1B259133"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Travel</w:t>
            </w:r>
          </w:p>
        </w:tc>
        <w:tc>
          <w:tcPr>
            <w:tcW w:w="1245" w:type="dxa"/>
            <w:tcBorders>
              <w:top w:val="nil"/>
              <w:left w:val="nil"/>
              <w:bottom w:val="nil"/>
              <w:right w:val="nil"/>
            </w:tcBorders>
            <w:shd w:val="clear" w:color="FFFFFF" w:fill="FFFFFF"/>
            <w:noWrap/>
            <w:vAlign w:val="bottom"/>
            <w:hideMark/>
          </w:tcPr>
          <w:p w14:paraId="0B40137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8,399</w:t>
            </w:r>
          </w:p>
        </w:tc>
        <w:tc>
          <w:tcPr>
            <w:tcW w:w="236" w:type="dxa"/>
            <w:tcBorders>
              <w:top w:val="nil"/>
              <w:left w:val="nil"/>
              <w:bottom w:val="nil"/>
              <w:right w:val="nil"/>
            </w:tcBorders>
            <w:shd w:val="clear" w:color="FFFFFF" w:fill="FFFFFF"/>
            <w:noWrap/>
            <w:vAlign w:val="bottom"/>
            <w:hideMark/>
          </w:tcPr>
          <w:p w14:paraId="3437901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529F0C8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5,201</w:t>
            </w:r>
          </w:p>
        </w:tc>
      </w:tr>
      <w:tr w:rsidR="0082424C" w:rsidRPr="007A3600" w14:paraId="3FE9011C" w14:textId="77777777">
        <w:trPr>
          <w:trHeight w:val="250"/>
        </w:trPr>
        <w:tc>
          <w:tcPr>
            <w:tcW w:w="6380" w:type="dxa"/>
            <w:tcBorders>
              <w:top w:val="nil"/>
              <w:left w:val="nil"/>
              <w:bottom w:val="nil"/>
              <w:right w:val="nil"/>
            </w:tcBorders>
            <w:shd w:val="clear" w:color="FFFFFF" w:fill="FFFFFF"/>
            <w:noWrap/>
            <w:vAlign w:val="bottom"/>
            <w:hideMark/>
          </w:tcPr>
          <w:p w14:paraId="497E29BB"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Comcover</w:t>
            </w:r>
          </w:p>
        </w:tc>
        <w:tc>
          <w:tcPr>
            <w:tcW w:w="1245" w:type="dxa"/>
            <w:tcBorders>
              <w:top w:val="nil"/>
              <w:left w:val="nil"/>
              <w:bottom w:val="nil"/>
              <w:right w:val="nil"/>
            </w:tcBorders>
            <w:shd w:val="clear" w:color="FFFFFF" w:fill="FFFFFF"/>
            <w:noWrap/>
            <w:vAlign w:val="bottom"/>
            <w:hideMark/>
          </w:tcPr>
          <w:p w14:paraId="0813C3E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6,358</w:t>
            </w:r>
          </w:p>
        </w:tc>
        <w:tc>
          <w:tcPr>
            <w:tcW w:w="236" w:type="dxa"/>
            <w:tcBorders>
              <w:top w:val="nil"/>
              <w:left w:val="nil"/>
              <w:bottom w:val="nil"/>
              <w:right w:val="nil"/>
            </w:tcBorders>
            <w:shd w:val="clear" w:color="FFFFFF" w:fill="FFFFFF"/>
            <w:noWrap/>
            <w:vAlign w:val="bottom"/>
            <w:hideMark/>
          </w:tcPr>
          <w:p w14:paraId="794E332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80D43A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6,296</w:t>
            </w:r>
          </w:p>
        </w:tc>
      </w:tr>
      <w:tr w:rsidR="0082424C" w:rsidRPr="007A3600" w14:paraId="37621248" w14:textId="77777777">
        <w:trPr>
          <w:trHeight w:val="250"/>
        </w:trPr>
        <w:tc>
          <w:tcPr>
            <w:tcW w:w="6380" w:type="dxa"/>
            <w:tcBorders>
              <w:top w:val="nil"/>
              <w:left w:val="nil"/>
              <w:bottom w:val="nil"/>
              <w:right w:val="nil"/>
            </w:tcBorders>
            <w:shd w:val="clear" w:color="FFFFFF" w:fill="FFFFFF"/>
            <w:noWrap/>
            <w:vAlign w:val="bottom"/>
            <w:hideMark/>
          </w:tcPr>
          <w:p w14:paraId="68DC65C9"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Staff welfare and training</w:t>
            </w:r>
          </w:p>
        </w:tc>
        <w:tc>
          <w:tcPr>
            <w:tcW w:w="1245" w:type="dxa"/>
            <w:tcBorders>
              <w:top w:val="nil"/>
              <w:left w:val="nil"/>
              <w:bottom w:val="nil"/>
              <w:right w:val="nil"/>
            </w:tcBorders>
            <w:shd w:val="clear" w:color="FFFFFF" w:fill="FFFFFF"/>
            <w:noWrap/>
            <w:vAlign w:val="bottom"/>
            <w:hideMark/>
          </w:tcPr>
          <w:p w14:paraId="6A39CF5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10,014</w:t>
            </w:r>
          </w:p>
        </w:tc>
        <w:tc>
          <w:tcPr>
            <w:tcW w:w="236" w:type="dxa"/>
            <w:tcBorders>
              <w:top w:val="nil"/>
              <w:left w:val="nil"/>
              <w:bottom w:val="nil"/>
              <w:right w:val="nil"/>
            </w:tcBorders>
            <w:shd w:val="clear" w:color="FFFFFF" w:fill="FFFFFF"/>
            <w:noWrap/>
            <w:vAlign w:val="bottom"/>
            <w:hideMark/>
          </w:tcPr>
          <w:p w14:paraId="46D36DE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382D27F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7,067</w:t>
            </w:r>
          </w:p>
        </w:tc>
      </w:tr>
      <w:tr w:rsidR="0082424C" w:rsidRPr="007A3600" w14:paraId="2A8D0AB3" w14:textId="77777777">
        <w:trPr>
          <w:trHeight w:val="250"/>
        </w:trPr>
        <w:tc>
          <w:tcPr>
            <w:tcW w:w="6380" w:type="dxa"/>
            <w:tcBorders>
              <w:top w:val="nil"/>
              <w:left w:val="nil"/>
              <w:bottom w:val="nil"/>
              <w:right w:val="nil"/>
            </w:tcBorders>
            <w:shd w:val="clear" w:color="FFFFFF" w:fill="FFFFFF"/>
            <w:noWrap/>
            <w:vAlign w:val="bottom"/>
            <w:hideMark/>
          </w:tcPr>
          <w:p w14:paraId="486423CE"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Market research</w:t>
            </w:r>
          </w:p>
        </w:tc>
        <w:tc>
          <w:tcPr>
            <w:tcW w:w="1245" w:type="dxa"/>
            <w:tcBorders>
              <w:top w:val="nil"/>
              <w:left w:val="nil"/>
              <w:bottom w:val="nil"/>
              <w:right w:val="nil"/>
            </w:tcBorders>
            <w:shd w:val="clear" w:color="FFFFFF" w:fill="FFFFFF"/>
            <w:noWrap/>
            <w:vAlign w:val="bottom"/>
            <w:hideMark/>
          </w:tcPr>
          <w:p w14:paraId="44BE72E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3,602</w:t>
            </w:r>
          </w:p>
        </w:tc>
        <w:tc>
          <w:tcPr>
            <w:tcW w:w="236" w:type="dxa"/>
            <w:tcBorders>
              <w:top w:val="nil"/>
              <w:left w:val="nil"/>
              <w:bottom w:val="nil"/>
              <w:right w:val="nil"/>
            </w:tcBorders>
            <w:shd w:val="clear" w:color="FFFFFF" w:fill="FFFFFF"/>
            <w:noWrap/>
            <w:vAlign w:val="bottom"/>
            <w:hideMark/>
          </w:tcPr>
          <w:p w14:paraId="594AABF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0B3BE0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3,724</w:t>
            </w:r>
          </w:p>
        </w:tc>
      </w:tr>
      <w:tr w:rsidR="0082424C" w:rsidRPr="007A3600" w14:paraId="240EFB6D" w14:textId="77777777">
        <w:trPr>
          <w:trHeight w:val="250"/>
        </w:trPr>
        <w:tc>
          <w:tcPr>
            <w:tcW w:w="6380" w:type="dxa"/>
            <w:tcBorders>
              <w:top w:val="nil"/>
              <w:left w:val="nil"/>
              <w:bottom w:val="nil"/>
              <w:right w:val="nil"/>
            </w:tcBorders>
            <w:shd w:val="clear" w:color="FFFFFF" w:fill="FFFFFF"/>
            <w:noWrap/>
            <w:vAlign w:val="bottom"/>
            <w:hideMark/>
          </w:tcPr>
          <w:p w14:paraId="7FE042CD"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Staff recruitment and relocation</w:t>
            </w:r>
          </w:p>
        </w:tc>
        <w:tc>
          <w:tcPr>
            <w:tcW w:w="1245" w:type="dxa"/>
            <w:tcBorders>
              <w:top w:val="nil"/>
              <w:left w:val="nil"/>
              <w:bottom w:val="nil"/>
              <w:right w:val="nil"/>
            </w:tcBorders>
            <w:shd w:val="clear" w:color="FFFFFF" w:fill="FFFFFF"/>
            <w:noWrap/>
            <w:vAlign w:val="bottom"/>
            <w:hideMark/>
          </w:tcPr>
          <w:p w14:paraId="596FA12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6,098</w:t>
            </w:r>
          </w:p>
        </w:tc>
        <w:tc>
          <w:tcPr>
            <w:tcW w:w="236" w:type="dxa"/>
            <w:tcBorders>
              <w:top w:val="nil"/>
              <w:left w:val="nil"/>
              <w:bottom w:val="nil"/>
              <w:right w:val="nil"/>
            </w:tcBorders>
            <w:shd w:val="clear" w:color="FFFFFF" w:fill="FFFFFF"/>
            <w:noWrap/>
            <w:vAlign w:val="bottom"/>
            <w:hideMark/>
          </w:tcPr>
          <w:p w14:paraId="2A85C6D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692AA52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3,959</w:t>
            </w:r>
          </w:p>
        </w:tc>
      </w:tr>
      <w:tr w:rsidR="0082424C" w:rsidRPr="007A3600" w14:paraId="719D2558" w14:textId="77777777">
        <w:trPr>
          <w:trHeight w:val="250"/>
        </w:trPr>
        <w:tc>
          <w:tcPr>
            <w:tcW w:w="6380" w:type="dxa"/>
            <w:tcBorders>
              <w:top w:val="nil"/>
              <w:left w:val="nil"/>
              <w:bottom w:val="nil"/>
              <w:right w:val="nil"/>
            </w:tcBorders>
            <w:shd w:val="clear" w:color="FFFFFF" w:fill="FFFFFF"/>
            <w:noWrap/>
            <w:vAlign w:val="bottom"/>
            <w:hideMark/>
          </w:tcPr>
          <w:p w14:paraId="6DD03CCB"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Translator and interpreter services</w:t>
            </w:r>
          </w:p>
        </w:tc>
        <w:tc>
          <w:tcPr>
            <w:tcW w:w="1245" w:type="dxa"/>
            <w:tcBorders>
              <w:top w:val="nil"/>
              <w:left w:val="nil"/>
              <w:bottom w:val="nil"/>
              <w:right w:val="nil"/>
            </w:tcBorders>
            <w:shd w:val="clear" w:color="FFFFFF" w:fill="FFFFFF"/>
            <w:noWrap/>
            <w:vAlign w:val="bottom"/>
            <w:hideMark/>
          </w:tcPr>
          <w:p w14:paraId="68B91A6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2,347</w:t>
            </w:r>
          </w:p>
        </w:tc>
        <w:tc>
          <w:tcPr>
            <w:tcW w:w="236" w:type="dxa"/>
            <w:tcBorders>
              <w:top w:val="nil"/>
              <w:left w:val="nil"/>
              <w:bottom w:val="nil"/>
              <w:right w:val="nil"/>
            </w:tcBorders>
            <w:shd w:val="clear" w:color="FFFFFF" w:fill="FFFFFF"/>
            <w:noWrap/>
            <w:vAlign w:val="bottom"/>
            <w:hideMark/>
          </w:tcPr>
          <w:p w14:paraId="2037A9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1280C89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2,371</w:t>
            </w:r>
          </w:p>
        </w:tc>
      </w:tr>
      <w:tr w:rsidR="0082424C" w:rsidRPr="007A3600" w14:paraId="44E59D4F" w14:textId="77777777">
        <w:trPr>
          <w:trHeight w:val="250"/>
        </w:trPr>
        <w:tc>
          <w:tcPr>
            <w:tcW w:w="6380" w:type="dxa"/>
            <w:tcBorders>
              <w:top w:val="nil"/>
              <w:left w:val="nil"/>
              <w:bottom w:val="nil"/>
              <w:right w:val="nil"/>
            </w:tcBorders>
            <w:shd w:val="clear" w:color="FFFFFF" w:fill="FFFFFF"/>
            <w:noWrap/>
            <w:vAlign w:val="bottom"/>
            <w:hideMark/>
          </w:tcPr>
          <w:p w14:paraId="34AE99E7"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Repairs and maintenance</w:t>
            </w:r>
          </w:p>
        </w:tc>
        <w:tc>
          <w:tcPr>
            <w:tcW w:w="1245" w:type="dxa"/>
            <w:tcBorders>
              <w:top w:val="nil"/>
              <w:left w:val="nil"/>
              <w:bottom w:val="nil"/>
              <w:right w:val="nil"/>
            </w:tcBorders>
            <w:shd w:val="clear" w:color="FFFFFF" w:fill="FFFFFF"/>
            <w:noWrap/>
            <w:vAlign w:val="bottom"/>
            <w:hideMark/>
          </w:tcPr>
          <w:p w14:paraId="2953135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1,377</w:t>
            </w:r>
          </w:p>
        </w:tc>
        <w:tc>
          <w:tcPr>
            <w:tcW w:w="236" w:type="dxa"/>
            <w:tcBorders>
              <w:top w:val="nil"/>
              <w:left w:val="nil"/>
              <w:bottom w:val="nil"/>
              <w:right w:val="nil"/>
            </w:tcBorders>
            <w:shd w:val="clear" w:color="FFFFFF" w:fill="FFFFFF"/>
            <w:noWrap/>
            <w:vAlign w:val="bottom"/>
            <w:hideMark/>
          </w:tcPr>
          <w:p w14:paraId="731A34C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F67319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732</w:t>
            </w:r>
          </w:p>
        </w:tc>
      </w:tr>
      <w:tr w:rsidR="0082424C" w:rsidRPr="007A3600" w14:paraId="13D0BB8D" w14:textId="77777777">
        <w:trPr>
          <w:trHeight w:val="250"/>
        </w:trPr>
        <w:tc>
          <w:tcPr>
            <w:tcW w:w="6380" w:type="dxa"/>
            <w:tcBorders>
              <w:top w:val="nil"/>
              <w:left w:val="nil"/>
              <w:bottom w:val="nil"/>
              <w:right w:val="nil"/>
            </w:tcBorders>
            <w:shd w:val="clear" w:color="FFFFFF" w:fill="FFFFFF"/>
            <w:noWrap/>
            <w:vAlign w:val="bottom"/>
            <w:hideMark/>
          </w:tcPr>
          <w:p w14:paraId="37D0AF6C"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Audit fees</w:t>
            </w:r>
          </w:p>
        </w:tc>
        <w:tc>
          <w:tcPr>
            <w:tcW w:w="1245" w:type="dxa"/>
            <w:tcBorders>
              <w:top w:val="nil"/>
              <w:left w:val="nil"/>
              <w:bottom w:val="nil"/>
              <w:right w:val="nil"/>
            </w:tcBorders>
            <w:shd w:val="clear" w:color="FFFFFF" w:fill="FFFFFF"/>
            <w:noWrap/>
            <w:vAlign w:val="bottom"/>
            <w:hideMark/>
          </w:tcPr>
          <w:p w14:paraId="5BE6A64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780</w:t>
            </w:r>
          </w:p>
        </w:tc>
        <w:tc>
          <w:tcPr>
            <w:tcW w:w="236" w:type="dxa"/>
            <w:tcBorders>
              <w:top w:val="nil"/>
              <w:left w:val="nil"/>
              <w:bottom w:val="nil"/>
              <w:right w:val="nil"/>
            </w:tcBorders>
            <w:shd w:val="clear" w:color="FFFFFF" w:fill="FFFFFF"/>
            <w:noWrap/>
            <w:vAlign w:val="bottom"/>
            <w:hideMark/>
          </w:tcPr>
          <w:p w14:paraId="3A8544F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5B45FE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762</w:t>
            </w:r>
          </w:p>
        </w:tc>
      </w:tr>
      <w:tr w:rsidR="0082424C" w:rsidRPr="007A3600" w14:paraId="4EB808E1" w14:textId="77777777">
        <w:trPr>
          <w:trHeight w:val="250"/>
        </w:trPr>
        <w:tc>
          <w:tcPr>
            <w:tcW w:w="6380" w:type="dxa"/>
            <w:tcBorders>
              <w:top w:val="nil"/>
              <w:left w:val="nil"/>
              <w:bottom w:val="nil"/>
              <w:right w:val="nil"/>
            </w:tcBorders>
            <w:shd w:val="clear" w:color="FFFFFF" w:fill="FFFFFF"/>
            <w:vAlign w:val="bottom"/>
            <w:hideMark/>
          </w:tcPr>
          <w:p w14:paraId="49B7C96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services rendered</w:t>
            </w:r>
          </w:p>
        </w:tc>
        <w:tc>
          <w:tcPr>
            <w:tcW w:w="1245" w:type="dxa"/>
            <w:tcBorders>
              <w:top w:val="single" w:sz="4" w:space="0" w:color="auto"/>
              <w:left w:val="nil"/>
              <w:bottom w:val="single" w:sz="4" w:space="0" w:color="auto"/>
              <w:right w:val="nil"/>
            </w:tcBorders>
            <w:shd w:val="clear" w:color="FFFFFF" w:fill="FFFFFF"/>
            <w:noWrap/>
            <w:vAlign w:val="bottom"/>
            <w:hideMark/>
          </w:tcPr>
          <w:p w14:paraId="2AB5F1D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759,944</w:t>
            </w:r>
          </w:p>
        </w:tc>
        <w:tc>
          <w:tcPr>
            <w:tcW w:w="236" w:type="dxa"/>
            <w:tcBorders>
              <w:top w:val="nil"/>
              <w:left w:val="nil"/>
              <w:bottom w:val="nil"/>
              <w:right w:val="nil"/>
            </w:tcBorders>
            <w:shd w:val="clear" w:color="FFFFFF" w:fill="FFFFFF"/>
            <w:noWrap/>
            <w:vAlign w:val="bottom"/>
            <w:hideMark/>
          </w:tcPr>
          <w:p w14:paraId="210CCB1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single" w:sz="4" w:space="0" w:color="auto"/>
              <w:left w:val="nil"/>
              <w:bottom w:val="single" w:sz="4" w:space="0" w:color="auto"/>
              <w:right w:val="nil"/>
            </w:tcBorders>
            <w:shd w:val="clear" w:color="FFFFFF" w:fill="FFFFFF"/>
            <w:noWrap/>
            <w:vAlign w:val="bottom"/>
            <w:hideMark/>
          </w:tcPr>
          <w:p w14:paraId="02D8B58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641,870</w:t>
            </w:r>
          </w:p>
        </w:tc>
      </w:tr>
      <w:tr w:rsidR="0082424C" w:rsidRPr="007A3600" w14:paraId="6CC10D9B" w14:textId="77777777">
        <w:trPr>
          <w:trHeight w:val="210"/>
        </w:trPr>
        <w:tc>
          <w:tcPr>
            <w:tcW w:w="6380" w:type="dxa"/>
            <w:tcBorders>
              <w:top w:val="nil"/>
              <w:left w:val="nil"/>
              <w:bottom w:val="nil"/>
              <w:right w:val="nil"/>
            </w:tcBorders>
            <w:shd w:val="clear" w:color="FFFFFF" w:fill="FFFFFF"/>
            <w:vAlign w:val="bottom"/>
            <w:hideMark/>
          </w:tcPr>
          <w:p w14:paraId="0539729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5" w:type="dxa"/>
            <w:tcBorders>
              <w:top w:val="nil"/>
              <w:left w:val="nil"/>
              <w:bottom w:val="nil"/>
              <w:right w:val="nil"/>
            </w:tcBorders>
            <w:shd w:val="clear" w:color="FFFFFF" w:fill="FFFFFF"/>
            <w:noWrap/>
            <w:vAlign w:val="bottom"/>
            <w:hideMark/>
          </w:tcPr>
          <w:p w14:paraId="07EEB77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C01468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07FC151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FB3C39E" w14:textId="77777777">
        <w:trPr>
          <w:trHeight w:val="250"/>
        </w:trPr>
        <w:tc>
          <w:tcPr>
            <w:tcW w:w="6380" w:type="dxa"/>
            <w:tcBorders>
              <w:top w:val="nil"/>
              <w:left w:val="nil"/>
              <w:bottom w:val="nil"/>
              <w:right w:val="nil"/>
            </w:tcBorders>
            <w:shd w:val="clear" w:color="FFFFFF" w:fill="FFFFFF"/>
            <w:vAlign w:val="bottom"/>
            <w:hideMark/>
          </w:tcPr>
          <w:p w14:paraId="4533EAB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Other suppliers</w:t>
            </w:r>
          </w:p>
        </w:tc>
        <w:tc>
          <w:tcPr>
            <w:tcW w:w="1245" w:type="dxa"/>
            <w:tcBorders>
              <w:top w:val="nil"/>
              <w:left w:val="nil"/>
              <w:bottom w:val="nil"/>
              <w:right w:val="nil"/>
            </w:tcBorders>
            <w:shd w:val="clear" w:color="FFFFFF" w:fill="FFFFFF"/>
            <w:noWrap/>
            <w:vAlign w:val="bottom"/>
            <w:hideMark/>
          </w:tcPr>
          <w:p w14:paraId="73C1698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DFAD0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7A14815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8EFDADC" w14:textId="77777777">
        <w:trPr>
          <w:trHeight w:val="250"/>
        </w:trPr>
        <w:tc>
          <w:tcPr>
            <w:tcW w:w="6380" w:type="dxa"/>
            <w:tcBorders>
              <w:top w:val="nil"/>
              <w:left w:val="nil"/>
              <w:bottom w:val="nil"/>
              <w:right w:val="nil"/>
            </w:tcBorders>
            <w:shd w:val="clear" w:color="FFFFFF" w:fill="FFFFFF"/>
            <w:noWrap/>
            <w:vAlign w:val="bottom"/>
            <w:hideMark/>
          </w:tcPr>
          <w:p w14:paraId="2E6487E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Short-term leases</w:t>
            </w:r>
          </w:p>
        </w:tc>
        <w:tc>
          <w:tcPr>
            <w:tcW w:w="1245" w:type="dxa"/>
            <w:tcBorders>
              <w:top w:val="nil"/>
              <w:left w:val="nil"/>
              <w:bottom w:val="nil"/>
              <w:right w:val="nil"/>
            </w:tcBorders>
            <w:noWrap/>
            <w:vAlign w:val="bottom"/>
            <w:hideMark/>
          </w:tcPr>
          <w:p w14:paraId="61BE540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2,575</w:t>
            </w:r>
          </w:p>
        </w:tc>
        <w:tc>
          <w:tcPr>
            <w:tcW w:w="236" w:type="dxa"/>
            <w:tcBorders>
              <w:top w:val="nil"/>
              <w:left w:val="nil"/>
              <w:bottom w:val="nil"/>
              <w:right w:val="nil"/>
            </w:tcBorders>
            <w:shd w:val="clear" w:color="FFFFFF" w:fill="FFFFFF"/>
            <w:noWrap/>
            <w:vAlign w:val="bottom"/>
            <w:hideMark/>
          </w:tcPr>
          <w:p w14:paraId="5DA96ED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480E556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1,987</w:t>
            </w:r>
          </w:p>
        </w:tc>
      </w:tr>
      <w:tr w:rsidR="0082424C" w:rsidRPr="007A3600" w14:paraId="36336E75" w14:textId="77777777">
        <w:trPr>
          <w:trHeight w:val="250"/>
        </w:trPr>
        <w:tc>
          <w:tcPr>
            <w:tcW w:w="6380" w:type="dxa"/>
            <w:tcBorders>
              <w:top w:val="nil"/>
              <w:left w:val="nil"/>
              <w:bottom w:val="nil"/>
              <w:right w:val="nil"/>
            </w:tcBorders>
            <w:shd w:val="clear" w:color="FFFFFF" w:fill="FFFFFF"/>
            <w:vAlign w:val="bottom"/>
            <w:hideMark/>
          </w:tcPr>
          <w:p w14:paraId="54AC26D4"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Workers compensation expenses</w:t>
            </w:r>
          </w:p>
        </w:tc>
        <w:tc>
          <w:tcPr>
            <w:tcW w:w="1245" w:type="dxa"/>
            <w:tcBorders>
              <w:top w:val="nil"/>
              <w:left w:val="nil"/>
              <w:bottom w:val="nil"/>
              <w:right w:val="nil"/>
            </w:tcBorders>
            <w:shd w:val="clear" w:color="FFFFFF" w:fill="FFFFFF"/>
            <w:noWrap/>
            <w:vAlign w:val="bottom"/>
            <w:hideMark/>
          </w:tcPr>
          <w:p w14:paraId="6B5A64F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18,093</w:t>
            </w:r>
          </w:p>
        </w:tc>
        <w:tc>
          <w:tcPr>
            <w:tcW w:w="236" w:type="dxa"/>
            <w:tcBorders>
              <w:top w:val="nil"/>
              <w:left w:val="nil"/>
              <w:bottom w:val="nil"/>
              <w:right w:val="nil"/>
            </w:tcBorders>
            <w:shd w:val="clear" w:color="FFFFFF" w:fill="FFFFFF"/>
            <w:noWrap/>
            <w:vAlign w:val="bottom"/>
            <w:hideMark/>
          </w:tcPr>
          <w:p w14:paraId="05E10CD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25B5456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10,093</w:t>
            </w:r>
          </w:p>
        </w:tc>
      </w:tr>
      <w:tr w:rsidR="0082424C" w:rsidRPr="007A3600" w14:paraId="746C5551" w14:textId="77777777">
        <w:trPr>
          <w:trHeight w:val="250"/>
        </w:trPr>
        <w:tc>
          <w:tcPr>
            <w:tcW w:w="6380" w:type="dxa"/>
            <w:tcBorders>
              <w:top w:val="nil"/>
              <w:left w:val="nil"/>
              <w:bottom w:val="nil"/>
              <w:right w:val="nil"/>
            </w:tcBorders>
            <w:shd w:val="clear" w:color="FFFFFF" w:fill="FFFFFF"/>
            <w:vAlign w:val="bottom"/>
            <w:hideMark/>
          </w:tcPr>
          <w:p w14:paraId="6E215EA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other suppliers</w:t>
            </w:r>
          </w:p>
        </w:tc>
        <w:tc>
          <w:tcPr>
            <w:tcW w:w="1245" w:type="dxa"/>
            <w:tcBorders>
              <w:top w:val="single" w:sz="4" w:space="0" w:color="auto"/>
              <w:left w:val="nil"/>
              <w:bottom w:val="single" w:sz="4" w:space="0" w:color="auto"/>
              <w:right w:val="nil"/>
            </w:tcBorders>
            <w:shd w:val="clear" w:color="FFFFFF" w:fill="FFFFFF"/>
            <w:noWrap/>
            <w:vAlign w:val="bottom"/>
            <w:hideMark/>
          </w:tcPr>
          <w:p w14:paraId="11386EC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20,668</w:t>
            </w:r>
          </w:p>
        </w:tc>
        <w:tc>
          <w:tcPr>
            <w:tcW w:w="236" w:type="dxa"/>
            <w:tcBorders>
              <w:top w:val="nil"/>
              <w:left w:val="nil"/>
              <w:bottom w:val="nil"/>
              <w:right w:val="nil"/>
            </w:tcBorders>
            <w:shd w:val="clear" w:color="FFFFFF" w:fill="FFFFFF"/>
            <w:noWrap/>
            <w:vAlign w:val="bottom"/>
            <w:hideMark/>
          </w:tcPr>
          <w:p w14:paraId="3CFEA0E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single" w:sz="4" w:space="0" w:color="auto"/>
              <w:left w:val="nil"/>
              <w:bottom w:val="single" w:sz="4" w:space="0" w:color="auto"/>
              <w:right w:val="nil"/>
            </w:tcBorders>
            <w:shd w:val="clear" w:color="FFFFFF" w:fill="FFFFFF"/>
            <w:noWrap/>
            <w:vAlign w:val="bottom"/>
            <w:hideMark/>
          </w:tcPr>
          <w:p w14:paraId="0F70C61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12,080</w:t>
            </w:r>
          </w:p>
        </w:tc>
      </w:tr>
      <w:tr w:rsidR="0082424C" w:rsidRPr="007A3600" w14:paraId="2F2A7330" w14:textId="77777777">
        <w:trPr>
          <w:trHeight w:val="250"/>
        </w:trPr>
        <w:tc>
          <w:tcPr>
            <w:tcW w:w="6380" w:type="dxa"/>
            <w:tcBorders>
              <w:top w:val="nil"/>
              <w:left w:val="nil"/>
              <w:bottom w:val="nil"/>
              <w:right w:val="nil"/>
            </w:tcBorders>
            <w:shd w:val="clear" w:color="FFFFFF" w:fill="FFFFFF"/>
            <w:vAlign w:val="bottom"/>
            <w:hideMark/>
          </w:tcPr>
          <w:p w14:paraId="7B11F30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suppliers</w:t>
            </w:r>
          </w:p>
        </w:tc>
        <w:tc>
          <w:tcPr>
            <w:tcW w:w="1245" w:type="dxa"/>
            <w:tcBorders>
              <w:top w:val="nil"/>
              <w:left w:val="nil"/>
              <w:bottom w:val="single" w:sz="4" w:space="0" w:color="auto"/>
              <w:right w:val="nil"/>
            </w:tcBorders>
            <w:shd w:val="clear" w:color="FFFFFF" w:fill="FFFFFF"/>
            <w:noWrap/>
            <w:vAlign w:val="bottom"/>
            <w:hideMark/>
          </w:tcPr>
          <w:p w14:paraId="7AA4E48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780,612</w:t>
            </w:r>
          </w:p>
        </w:tc>
        <w:tc>
          <w:tcPr>
            <w:tcW w:w="236" w:type="dxa"/>
            <w:tcBorders>
              <w:top w:val="nil"/>
              <w:left w:val="nil"/>
              <w:bottom w:val="nil"/>
              <w:right w:val="nil"/>
            </w:tcBorders>
            <w:shd w:val="clear" w:color="FFFFFF" w:fill="FFFFFF"/>
            <w:noWrap/>
            <w:vAlign w:val="bottom"/>
            <w:hideMark/>
          </w:tcPr>
          <w:p w14:paraId="22E0D80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single" w:sz="4" w:space="0" w:color="auto"/>
              <w:right w:val="nil"/>
            </w:tcBorders>
            <w:shd w:val="clear" w:color="FFFFFF" w:fill="FFFFFF"/>
            <w:noWrap/>
            <w:vAlign w:val="bottom"/>
            <w:hideMark/>
          </w:tcPr>
          <w:p w14:paraId="26CD5B0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653,950</w:t>
            </w:r>
          </w:p>
        </w:tc>
      </w:tr>
    </w:tbl>
    <w:p w14:paraId="0A91C924" w14:textId="77777777" w:rsidR="0082424C" w:rsidRPr="007A3600" w:rsidRDefault="0082424C" w:rsidP="00AD3197">
      <w:pPr>
        <w:spacing w:before="120" w:after="0" w:line="240" w:lineRule="auto"/>
        <w:ind w:right="607"/>
        <w:rPr>
          <w:rFonts w:eastAsia="Times New Roman" w:cs="Arial"/>
          <w:bCs/>
          <w:sz w:val="18"/>
          <w:szCs w:val="18"/>
          <w:lang w:eastAsia="en-US"/>
        </w:rPr>
      </w:pPr>
      <w:r w:rsidRPr="007A3600">
        <w:rPr>
          <w:rFonts w:eastAsia="Times New Roman" w:cs="Arial"/>
          <w:bCs/>
          <w:sz w:val="18"/>
          <w:szCs w:val="18"/>
          <w:lang w:eastAsia="en-US"/>
        </w:rPr>
        <w:t>The above lease disclosures should be read in conjunction with the accompanying notes 1.1D, 1.2B, 2.2A &amp; 2.5.</w:t>
      </w:r>
    </w:p>
    <w:p w14:paraId="15DE0F3F" w14:textId="77777777" w:rsidR="0082424C" w:rsidRPr="007A3600" w:rsidRDefault="0082424C" w:rsidP="00AD3197">
      <w:pPr>
        <w:spacing w:before="120" w:after="0" w:line="260" w:lineRule="atLeast"/>
        <w:rPr>
          <w:rFonts w:eastAsia="Times New Roman" w:cs="Arial"/>
          <w:sz w:val="14"/>
          <w:szCs w:val="14"/>
          <w:lang w:eastAsia="en-US"/>
        </w:rPr>
      </w:pPr>
      <w:r w:rsidRPr="007A3600">
        <w:rPr>
          <w:rFonts w:eastAsia="Times New Roman" w:cs="Arial"/>
          <w:sz w:val="16"/>
          <w:szCs w:val="16"/>
          <w:vertAlign w:val="superscript"/>
          <w:lang w:eastAsia="en-US"/>
        </w:rPr>
        <w:t xml:space="preserve">1 </w:t>
      </w:r>
      <w:r w:rsidRPr="007A3600">
        <w:rPr>
          <w:rFonts w:eastAsia="Times New Roman" w:cs="Arial"/>
          <w:sz w:val="14"/>
          <w:szCs w:val="14"/>
          <w:lang w:eastAsia="en-US"/>
        </w:rPr>
        <w:t>Balance includes contractor and consultant related expenses.</w:t>
      </w:r>
    </w:p>
    <w:p w14:paraId="02FB9AF7" w14:textId="77777777" w:rsidR="0082424C" w:rsidRPr="007A3600" w:rsidRDefault="0082424C" w:rsidP="00AD3197">
      <w:pPr>
        <w:spacing w:after="0" w:line="260" w:lineRule="atLeast"/>
        <w:rPr>
          <w:rFonts w:eastAsia="Times New Roman" w:cs="Arial"/>
          <w:sz w:val="14"/>
          <w:szCs w:val="16"/>
          <w:lang w:eastAsia="en-US"/>
        </w:rPr>
      </w:pPr>
      <w:r w:rsidRPr="007A3600">
        <w:rPr>
          <w:rFonts w:eastAsia="Times New Roman" w:cs="Arial"/>
          <w:sz w:val="16"/>
          <w:szCs w:val="18"/>
          <w:vertAlign w:val="superscript"/>
          <w:lang w:eastAsia="en-US"/>
        </w:rPr>
        <w:t>2</w:t>
      </w:r>
      <w:r w:rsidRPr="007A3600">
        <w:rPr>
          <w:rFonts w:eastAsia="Times New Roman" w:cs="Arial"/>
          <w:sz w:val="16"/>
          <w:szCs w:val="18"/>
          <w:lang w:eastAsia="en-US"/>
        </w:rPr>
        <w:t xml:space="preserve"> </w:t>
      </w:r>
      <w:r w:rsidRPr="007A3600">
        <w:rPr>
          <w:rFonts w:eastAsia="Times New Roman" w:cs="Arial"/>
          <w:sz w:val="14"/>
          <w:szCs w:val="16"/>
          <w:lang w:eastAsia="en-US"/>
        </w:rPr>
        <w:t xml:space="preserve">During </w:t>
      </w:r>
      <w:r w:rsidRPr="007A3600">
        <w:rPr>
          <w:rFonts w:eastAsia="Times New Roman" w:cs="Arial"/>
          <w:sz w:val="14"/>
          <w:szCs w:val="16"/>
          <w:lang w:eastAsia="en-US"/>
        </w:rPr>
        <w:fldChar w:fldCharType="begin"/>
      </w:r>
      <w:r w:rsidRPr="007A3600">
        <w:rPr>
          <w:rFonts w:eastAsia="Times New Roman" w:cs="Arial"/>
          <w:sz w:val="14"/>
          <w:szCs w:val="16"/>
          <w:lang w:eastAsia="en-US"/>
        </w:rPr>
        <w:instrText xml:space="preserve"> DOCPROPERTY  prYear  \* MERGEFORMAT </w:instrText>
      </w:r>
      <w:r w:rsidRPr="007A3600">
        <w:rPr>
          <w:rFonts w:eastAsia="Times New Roman" w:cs="Arial"/>
          <w:sz w:val="14"/>
          <w:szCs w:val="16"/>
          <w:lang w:eastAsia="en-US"/>
        </w:rPr>
        <w:fldChar w:fldCharType="separate"/>
      </w:r>
      <w:r w:rsidRPr="007A3600">
        <w:rPr>
          <w:rFonts w:eastAsia="Times New Roman" w:cs="Arial"/>
          <w:sz w:val="14"/>
          <w:szCs w:val="16"/>
          <w:lang w:eastAsia="en-US"/>
        </w:rPr>
        <w:t>2024</w:t>
      </w:r>
      <w:r w:rsidRPr="007A3600">
        <w:rPr>
          <w:rFonts w:eastAsia="Times New Roman" w:cs="Arial"/>
          <w:sz w:val="14"/>
          <w:szCs w:val="16"/>
          <w:lang w:eastAsia="en-US"/>
        </w:rPr>
        <w:fldChar w:fldCharType="end"/>
      </w:r>
      <w:r w:rsidRPr="007A3600">
        <w:rPr>
          <w:rFonts w:eastAsia="Times New Roman" w:cs="Arial"/>
          <w:sz w:val="14"/>
          <w:szCs w:val="16"/>
          <w:lang w:eastAsia="en-US"/>
        </w:rPr>
        <w:t>–25 the Agency had a Memorandum of Understanding in place that covered the provision of various administrative and operational support services provided by Services Australia.</w:t>
      </w:r>
      <w:r w:rsidRPr="007A3600">
        <w:rPr>
          <w:rFonts w:eastAsia="Times New Roman" w:cs="Arial"/>
          <w:b/>
          <w:bCs/>
          <w:sz w:val="18"/>
          <w:szCs w:val="18"/>
          <w:lang w:eastAsia="en-US"/>
        </w:rPr>
        <w:br w:type="page"/>
      </w:r>
    </w:p>
    <w:p w14:paraId="09749641"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58B4E8A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2F4DF925"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5D5BCA9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u w:val="single"/>
          <w:lang w:eastAsia="en-US"/>
        </w:rPr>
      </w:pPr>
      <w:r w:rsidRPr="007A3600">
        <w:rPr>
          <w:rFonts w:eastAsia="Times New Roman" w:cs="Arial"/>
          <w:bCs/>
          <w:sz w:val="18"/>
          <w:szCs w:val="18"/>
          <w:u w:val="single"/>
          <w:lang w:eastAsia="en-US"/>
        </w:rPr>
        <w:t>Short-term leases and leases of low-value assets</w:t>
      </w:r>
    </w:p>
    <w:p w14:paraId="257908DC"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trike/>
          <w:sz w:val="10"/>
          <w:szCs w:val="18"/>
          <w:lang w:eastAsia="en-US"/>
        </w:rPr>
      </w:pPr>
      <w:r w:rsidRPr="007A3600">
        <w:rPr>
          <w:rFonts w:eastAsia="Times New Roman" w:cs="Arial"/>
          <w:bCs/>
          <w:sz w:val="18"/>
          <w:szCs w:val="18"/>
          <w:lang w:eastAsia="en-US"/>
        </w:rPr>
        <w:t xml:space="preserve">The Agency has elected not to recognise right-of-use assets and lease liabilities for short-term leases of assets that have a lease term of 12 months or less and leases of low-value assets (less than $10,000 per asset). The Agency recognises the lease payments associated with these leases as an expense on a straight-line basis over the lease term. </w:t>
      </w:r>
    </w:p>
    <w:p w14:paraId="2F55A442" w14:textId="77777777" w:rsidR="0082424C" w:rsidRPr="007A3600" w:rsidRDefault="0082424C" w:rsidP="00AD3197">
      <w:pPr>
        <w:spacing w:after="0" w:line="260" w:lineRule="atLeast"/>
        <w:rPr>
          <w:rFonts w:eastAsia="Times New Roman" w:cs="Arial"/>
          <w:sz w:val="14"/>
          <w:szCs w:val="14"/>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3F092062" w14:textId="77777777">
        <w:trPr>
          <w:trHeight w:val="253"/>
        </w:trPr>
        <w:tc>
          <w:tcPr>
            <w:tcW w:w="6365" w:type="dxa"/>
            <w:tcBorders>
              <w:top w:val="nil"/>
              <w:left w:val="nil"/>
              <w:bottom w:val="nil"/>
              <w:right w:val="nil"/>
            </w:tcBorders>
            <w:shd w:val="clear" w:color="FFFFFF" w:fill="FFFFFF"/>
            <w:noWrap/>
            <w:vAlign w:val="bottom"/>
            <w:hideMark/>
          </w:tcPr>
          <w:p w14:paraId="038B44A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0D4A75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49254A3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69CF8F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6457CC0D" w14:textId="77777777">
        <w:trPr>
          <w:trHeight w:val="260"/>
        </w:trPr>
        <w:tc>
          <w:tcPr>
            <w:tcW w:w="6365" w:type="dxa"/>
            <w:tcBorders>
              <w:top w:val="nil"/>
              <w:left w:val="nil"/>
              <w:bottom w:val="nil"/>
              <w:right w:val="nil"/>
            </w:tcBorders>
            <w:shd w:val="clear" w:color="FFFFFF" w:fill="FFFFFF"/>
            <w:noWrap/>
            <w:vAlign w:val="bottom"/>
            <w:hideMark/>
          </w:tcPr>
          <w:p w14:paraId="5C2C2FF5"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1.1C: Grants</w:t>
            </w:r>
          </w:p>
        </w:tc>
        <w:tc>
          <w:tcPr>
            <w:tcW w:w="1243" w:type="dxa"/>
            <w:tcBorders>
              <w:top w:val="nil"/>
              <w:left w:val="nil"/>
              <w:bottom w:val="nil"/>
              <w:right w:val="nil"/>
            </w:tcBorders>
            <w:shd w:val="clear" w:color="FFFFFF" w:fill="FFFFFF"/>
            <w:noWrap/>
            <w:vAlign w:val="bottom"/>
            <w:hideMark/>
          </w:tcPr>
          <w:p w14:paraId="2638BA7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6956801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67C947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1D9A0616" w14:textId="77777777">
        <w:trPr>
          <w:trHeight w:val="250"/>
        </w:trPr>
        <w:tc>
          <w:tcPr>
            <w:tcW w:w="6365" w:type="dxa"/>
            <w:tcBorders>
              <w:top w:val="nil"/>
              <w:left w:val="nil"/>
              <w:bottom w:val="nil"/>
              <w:right w:val="nil"/>
            </w:tcBorders>
            <w:shd w:val="clear" w:color="FFFFFF" w:fill="FFFFFF"/>
            <w:noWrap/>
            <w:vAlign w:val="bottom"/>
            <w:hideMark/>
          </w:tcPr>
          <w:p w14:paraId="173C0B7B"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Private sector</w:t>
            </w:r>
          </w:p>
        </w:tc>
        <w:tc>
          <w:tcPr>
            <w:tcW w:w="1243" w:type="dxa"/>
            <w:tcBorders>
              <w:top w:val="nil"/>
              <w:left w:val="nil"/>
              <w:bottom w:val="nil"/>
              <w:right w:val="nil"/>
            </w:tcBorders>
            <w:shd w:val="clear" w:color="FFFFFF" w:fill="FFFFFF"/>
            <w:noWrap/>
            <w:vAlign w:val="bottom"/>
            <w:hideMark/>
          </w:tcPr>
          <w:p w14:paraId="759131B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E2D36F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7A344F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3D358AF" w14:textId="77777777">
        <w:trPr>
          <w:trHeight w:val="268"/>
        </w:trPr>
        <w:tc>
          <w:tcPr>
            <w:tcW w:w="6365" w:type="dxa"/>
            <w:tcBorders>
              <w:top w:val="nil"/>
              <w:left w:val="nil"/>
              <w:bottom w:val="nil"/>
              <w:right w:val="nil"/>
            </w:tcBorders>
            <w:shd w:val="clear" w:color="FFFFFF" w:fill="FFFFFF"/>
            <w:noWrap/>
            <w:vAlign w:val="bottom"/>
            <w:hideMark/>
          </w:tcPr>
          <w:p w14:paraId="38E8369C" w14:textId="77777777" w:rsidR="0082424C" w:rsidRPr="007A3600" w:rsidRDefault="0082424C" w:rsidP="00AD3197">
            <w:pPr>
              <w:spacing w:after="0" w:line="260" w:lineRule="atLeast"/>
              <w:ind w:firstLineChars="200" w:firstLine="360"/>
              <w:rPr>
                <w:rFonts w:eastAsia="Times New Roman" w:cs="Arial"/>
                <w:sz w:val="18"/>
                <w:szCs w:val="18"/>
                <w:lang w:eastAsia="en-US"/>
              </w:rPr>
            </w:pPr>
            <w:r w:rsidRPr="007A3600">
              <w:rPr>
                <w:rFonts w:eastAsia="Times New Roman" w:cs="Arial"/>
                <w:sz w:val="18"/>
                <w:szCs w:val="18"/>
                <w:lang w:eastAsia="en-US"/>
              </w:rPr>
              <w:t>Not for profit organisations</w:t>
            </w:r>
          </w:p>
        </w:tc>
        <w:tc>
          <w:tcPr>
            <w:tcW w:w="1243" w:type="dxa"/>
            <w:tcBorders>
              <w:top w:val="nil"/>
              <w:left w:val="nil"/>
              <w:bottom w:val="nil"/>
              <w:right w:val="nil"/>
            </w:tcBorders>
            <w:shd w:val="clear" w:color="FFFFFF" w:fill="FFFFFF"/>
            <w:noWrap/>
            <w:vAlign w:val="bottom"/>
            <w:hideMark/>
          </w:tcPr>
          <w:p w14:paraId="3F83D67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11,916</w:t>
            </w:r>
          </w:p>
        </w:tc>
        <w:tc>
          <w:tcPr>
            <w:tcW w:w="236" w:type="dxa"/>
            <w:tcBorders>
              <w:top w:val="nil"/>
              <w:left w:val="nil"/>
              <w:bottom w:val="nil"/>
              <w:right w:val="nil"/>
            </w:tcBorders>
            <w:shd w:val="clear" w:color="FFFFFF" w:fill="FFFFFF"/>
            <w:noWrap/>
            <w:vAlign w:val="bottom"/>
            <w:hideMark/>
          </w:tcPr>
          <w:p w14:paraId="3FC84EC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28217A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5,306</w:t>
            </w:r>
          </w:p>
        </w:tc>
      </w:tr>
      <w:tr w:rsidR="0082424C" w:rsidRPr="007A3600" w14:paraId="00743C4E" w14:textId="77777777">
        <w:trPr>
          <w:trHeight w:val="250"/>
        </w:trPr>
        <w:tc>
          <w:tcPr>
            <w:tcW w:w="6365" w:type="dxa"/>
            <w:tcBorders>
              <w:top w:val="nil"/>
              <w:left w:val="nil"/>
              <w:bottom w:val="nil"/>
              <w:right w:val="nil"/>
            </w:tcBorders>
            <w:shd w:val="clear" w:color="FFFFFF" w:fill="FFFFFF"/>
            <w:vAlign w:val="bottom"/>
            <w:hideMark/>
          </w:tcPr>
          <w:p w14:paraId="6DFE0FA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grants</w:t>
            </w:r>
          </w:p>
        </w:tc>
        <w:tc>
          <w:tcPr>
            <w:tcW w:w="1243" w:type="dxa"/>
            <w:tcBorders>
              <w:top w:val="single" w:sz="4" w:space="0" w:color="auto"/>
              <w:left w:val="nil"/>
              <w:bottom w:val="single" w:sz="4" w:space="0" w:color="auto"/>
              <w:right w:val="nil"/>
            </w:tcBorders>
            <w:shd w:val="clear" w:color="FFFFFF" w:fill="FFFFFF"/>
            <w:noWrap/>
            <w:vAlign w:val="bottom"/>
            <w:hideMark/>
          </w:tcPr>
          <w:p w14:paraId="46ACA2D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11,916</w:t>
            </w:r>
          </w:p>
        </w:tc>
        <w:tc>
          <w:tcPr>
            <w:tcW w:w="236" w:type="dxa"/>
            <w:tcBorders>
              <w:top w:val="nil"/>
              <w:left w:val="nil"/>
              <w:bottom w:val="nil"/>
              <w:right w:val="nil"/>
            </w:tcBorders>
            <w:shd w:val="clear" w:color="FFFFFF" w:fill="FFFFFF"/>
            <w:noWrap/>
            <w:vAlign w:val="bottom"/>
            <w:hideMark/>
          </w:tcPr>
          <w:p w14:paraId="67EED15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FE0DC6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5,306</w:t>
            </w:r>
          </w:p>
        </w:tc>
      </w:tr>
    </w:tbl>
    <w:p w14:paraId="063A2A7F"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before="240" w:after="120" w:line="120" w:lineRule="atLeast"/>
        <w:rPr>
          <w:rFonts w:eastAsia="Times New Roman" w:cs="Arial"/>
          <w:b/>
          <w:sz w:val="18"/>
          <w:szCs w:val="18"/>
          <w:lang w:eastAsia="en-US"/>
        </w:rPr>
      </w:pPr>
      <w:r w:rsidRPr="007A3600">
        <w:rPr>
          <w:rFonts w:eastAsia="Times New Roman" w:cs="Arial"/>
          <w:b/>
          <w:sz w:val="18"/>
          <w:szCs w:val="18"/>
          <w:lang w:eastAsia="en-US"/>
        </w:rPr>
        <w:t>Accounting Policy</w:t>
      </w:r>
    </w:p>
    <w:p w14:paraId="007CF96C"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u w:val="single"/>
          <w:lang w:eastAsia="en-US"/>
        </w:rPr>
      </w:pPr>
      <w:r w:rsidRPr="007A3600">
        <w:rPr>
          <w:rFonts w:eastAsia="Times New Roman" w:cs="Arial"/>
          <w:bCs/>
          <w:sz w:val="18"/>
          <w:szCs w:val="18"/>
          <w:u w:val="single"/>
          <w:lang w:eastAsia="en-US"/>
        </w:rPr>
        <w:t>Grants</w:t>
      </w:r>
    </w:p>
    <w:p w14:paraId="55795472"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Agency administers a number of grant schemes. Grant liabilities are recognised to the extent that (i) the services required to be performed by the grantee have been performed or (ii) the grant eligibility criteria have been satisfied, but payments due have not been made.</w:t>
      </w:r>
    </w:p>
    <w:p w14:paraId="2AA97A6D"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When the Agency enters into an agreement to make these grants and services, but services have not been performed or criteria satisfied, this is considered a commitment.</w:t>
      </w:r>
    </w:p>
    <w:p w14:paraId="42CA6F61" w14:textId="77777777" w:rsidR="0082424C" w:rsidRPr="007A3600" w:rsidRDefault="0082424C" w:rsidP="00AD3197">
      <w:pPr>
        <w:spacing w:after="0" w:line="240" w:lineRule="auto"/>
        <w:rPr>
          <w:rFonts w:ascii="Times New Roman" w:eastAsia="Times New Roman" w:hAnsi="Times New Roman"/>
          <w:b/>
          <w:bCs/>
          <w:sz w:val="12"/>
          <w:szCs w:val="12"/>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2BBF0D3E" w14:textId="77777777">
        <w:trPr>
          <w:trHeight w:val="210"/>
        </w:trPr>
        <w:tc>
          <w:tcPr>
            <w:tcW w:w="6365" w:type="dxa"/>
            <w:tcBorders>
              <w:top w:val="nil"/>
              <w:left w:val="nil"/>
              <w:bottom w:val="nil"/>
              <w:right w:val="nil"/>
            </w:tcBorders>
            <w:shd w:val="clear" w:color="FFFFFF" w:fill="FFFFFF"/>
            <w:noWrap/>
            <w:vAlign w:val="bottom"/>
            <w:hideMark/>
          </w:tcPr>
          <w:p w14:paraId="6B1FB686"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1.1D: Finance costs</w:t>
            </w:r>
          </w:p>
        </w:tc>
        <w:tc>
          <w:tcPr>
            <w:tcW w:w="1243" w:type="dxa"/>
            <w:tcBorders>
              <w:top w:val="nil"/>
              <w:left w:val="nil"/>
              <w:bottom w:val="nil"/>
              <w:right w:val="nil"/>
            </w:tcBorders>
            <w:shd w:val="clear" w:color="FFFFFF" w:fill="FFFFFF"/>
            <w:noWrap/>
            <w:vAlign w:val="bottom"/>
            <w:hideMark/>
          </w:tcPr>
          <w:p w14:paraId="3AAA2E2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DB9C1E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A514B3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DB8E75E" w14:textId="77777777">
        <w:trPr>
          <w:trHeight w:val="250"/>
        </w:trPr>
        <w:tc>
          <w:tcPr>
            <w:tcW w:w="6365" w:type="dxa"/>
            <w:tcBorders>
              <w:top w:val="nil"/>
              <w:left w:val="nil"/>
              <w:bottom w:val="nil"/>
              <w:right w:val="nil"/>
            </w:tcBorders>
            <w:shd w:val="clear" w:color="FFFFFF" w:fill="FFFFFF"/>
            <w:vAlign w:val="bottom"/>
            <w:hideMark/>
          </w:tcPr>
          <w:p w14:paraId="5B6BC6F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Interest on lease liabilities</w:t>
            </w:r>
          </w:p>
        </w:tc>
        <w:tc>
          <w:tcPr>
            <w:tcW w:w="1243" w:type="dxa"/>
            <w:tcBorders>
              <w:top w:val="nil"/>
              <w:left w:val="nil"/>
              <w:bottom w:val="nil"/>
              <w:right w:val="nil"/>
            </w:tcBorders>
            <w:shd w:val="clear" w:color="FFFFFF" w:fill="FFFFFF"/>
            <w:noWrap/>
            <w:vAlign w:val="bottom"/>
            <w:hideMark/>
          </w:tcPr>
          <w:p w14:paraId="50BC912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3,805</w:t>
            </w:r>
          </w:p>
        </w:tc>
        <w:tc>
          <w:tcPr>
            <w:tcW w:w="236" w:type="dxa"/>
            <w:tcBorders>
              <w:top w:val="nil"/>
              <w:left w:val="nil"/>
              <w:bottom w:val="nil"/>
              <w:right w:val="nil"/>
            </w:tcBorders>
            <w:shd w:val="clear" w:color="FFFFFF" w:fill="FFFFFF"/>
            <w:noWrap/>
            <w:vAlign w:val="bottom"/>
            <w:hideMark/>
          </w:tcPr>
          <w:p w14:paraId="6D18569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9BE89C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3,000</w:t>
            </w:r>
          </w:p>
        </w:tc>
      </w:tr>
      <w:tr w:rsidR="0082424C" w:rsidRPr="007A3600" w14:paraId="01A613D9" w14:textId="77777777">
        <w:trPr>
          <w:trHeight w:val="250"/>
        </w:trPr>
        <w:tc>
          <w:tcPr>
            <w:tcW w:w="6365" w:type="dxa"/>
            <w:tcBorders>
              <w:top w:val="nil"/>
              <w:left w:val="nil"/>
              <w:bottom w:val="nil"/>
              <w:right w:val="nil"/>
            </w:tcBorders>
            <w:shd w:val="clear" w:color="FFFFFF" w:fill="FFFFFF"/>
            <w:vAlign w:val="bottom"/>
            <w:hideMark/>
          </w:tcPr>
          <w:p w14:paraId="3990EAF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interest payments</w:t>
            </w:r>
          </w:p>
        </w:tc>
        <w:tc>
          <w:tcPr>
            <w:tcW w:w="1243" w:type="dxa"/>
            <w:tcBorders>
              <w:top w:val="nil"/>
              <w:left w:val="nil"/>
              <w:bottom w:val="nil"/>
              <w:right w:val="nil"/>
            </w:tcBorders>
            <w:shd w:val="clear" w:color="FFFFFF" w:fill="FFFFFF"/>
            <w:noWrap/>
            <w:vAlign w:val="bottom"/>
            <w:hideMark/>
          </w:tcPr>
          <w:p w14:paraId="0792320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1,365</w:t>
            </w:r>
          </w:p>
        </w:tc>
        <w:tc>
          <w:tcPr>
            <w:tcW w:w="236" w:type="dxa"/>
            <w:tcBorders>
              <w:top w:val="nil"/>
              <w:left w:val="nil"/>
              <w:bottom w:val="nil"/>
              <w:right w:val="nil"/>
            </w:tcBorders>
            <w:shd w:val="clear" w:color="FFFFFF" w:fill="FFFFFF"/>
            <w:noWrap/>
            <w:vAlign w:val="bottom"/>
            <w:hideMark/>
          </w:tcPr>
          <w:p w14:paraId="0E96613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A1CE5B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0574E4C0" w14:textId="77777777">
        <w:trPr>
          <w:trHeight w:val="250"/>
        </w:trPr>
        <w:tc>
          <w:tcPr>
            <w:tcW w:w="6365" w:type="dxa"/>
            <w:tcBorders>
              <w:top w:val="nil"/>
              <w:left w:val="nil"/>
              <w:bottom w:val="nil"/>
              <w:right w:val="nil"/>
            </w:tcBorders>
            <w:shd w:val="clear" w:color="FFFFFF" w:fill="FFFFFF"/>
            <w:vAlign w:val="bottom"/>
            <w:hideMark/>
          </w:tcPr>
          <w:p w14:paraId="5B54284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Unwinding of discount and discount rate movement</w:t>
            </w:r>
          </w:p>
        </w:tc>
        <w:tc>
          <w:tcPr>
            <w:tcW w:w="1243" w:type="dxa"/>
            <w:tcBorders>
              <w:top w:val="nil"/>
              <w:left w:val="nil"/>
              <w:bottom w:val="nil"/>
              <w:right w:val="nil"/>
            </w:tcBorders>
            <w:shd w:val="clear" w:color="FFFFFF" w:fill="FFFFFF"/>
            <w:noWrap/>
            <w:vAlign w:val="bottom"/>
            <w:hideMark/>
          </w:tcPr>
          <w:p w14:paraId="469ADBD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293</w:t>
            </w:r>
          </w:p>
        </w:tc>
        <w:tc>
          <w:tcPr>
            <w:tcW w:w="236" w:type="dxa"/>
            <w:tcBorders>
              <w:top w:val="nil"/>
              <w:left w:val="nil"/>
              <w:bottom w:val="nil"/>
              <w:right w:val="nil"/>
            </w:tcBorders>
            <w:shd w:val="clear" w:color="FFFFFF" w:fill="FFFFFF"/>
            <w:noWrap/>
            <w:vAlign w:val="bottom"/>
            <w:hideMark/>
          </w:tcPr>
          <w:p w14:paraId="3DF1233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6E1F4B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1,342</w:t>
            </w:r>
          </w:p>
        </w:tc>
      </w:tr>
      <w:tr w:rsidR="0082424C" w:rsidRPr="007A3600" w14:paraId="2B608C51" w14:textId="77777777">
        <w:trPr>
          <w:trHeight w:val="260"/>
        </w:trPr>
        <w:tc>
          <w:tcPr>
            <w:tcW w:w="6365" w:type="dxa"/>
            <w:tcBorders>
              <w:top w:val="nil"/>
              <w:left w:val="nil"/>
              <w:bottom w:val="nil"/>
              <w:right w:val="nil"/>
            </w:tcBorders>
            <w:shd w:val="clear" w:color="FFFFFF" w:fill="FFFFFF"/>
            <w:vAlign w:val="bottom"/>
            <w:hideMark/>
          </w:tcPr>
          <w:p w14:paraId="707840E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finance costs</w:t>
            </w:r>
          </w:p>
        </w:tc>
        <w:tc>
          <w:tcPr>
            <w:tcW w:w="1243" w:type="dxa"/>
            <w:tcBorders>
              <w:top w:val="single" w:sz="4" w:space="0" w:color="auto"/>
              <w:left w:val="nil"/>
              <w:bottom w:val="single" w:sz="4" w:space="0" w:color="auto"/>
              <w:right w:val="nil"/>
            </w:tcBorders>
            <w:shd w:val="clear" w:color="FFFFFF" w:fill="FFFFFF"/>
            <w:noWrap/>
            <w:vAlign w:val="bottom"/>
            <w:hideMark/>
          </w:tcPr>
          <w:p w14:paraId="506010F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5,463</w:t>
            </w:r>
          </w:p>
        </w:tc>
        <w:tc>
          <w:tcPr>
            <w:tcW w:w="236" w:type="dxa"/>
            <w:tcBorders>
              <w:top w:val="nil"/>
              <w:left w:val="nil"/>
              <w:bottom w:val="nil"/>
              <w:right w:val="nil"/>
            </w:tcBorders>
            <w:shd w:val="clear" w:color="FFFFFF" w:fill="FFFFFF"/>
            <w:noWrap/>
            <w:vAlign w:val="bottom"/>
            <w:hideMark/>
          </w:tcPr>
          <w:p w14:paraId="10772B7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6CC6C3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4,342</w:t>
            </w:r>
          </w:p>
        </w:tc>
      </w:tr>
      <w:tr w:rsidR="0082424C" w:rsidRPr="007A3600" w14:paraId="716A4850" w14:textId="77777777">
        <w:trPr>
          <w:trHeight w:val="585"/>
        </w:trPr>
        <w:tc>
          <w:tcPr>
            <w:tcW w:w="9087" w:type="dxa"/>
            <w:gridSpan w:val="4"/>
            <w:tcBorders>
              <w:top w:val="nil"/>
              <w:left w:val="nil"/>
              <w:bottom w:val="nil"/>
              <w:right w:val="nil"/>
            </w:tcBorders>
            <w:shd w:val="clear" w:color="FFFFFF" w:fill="FFFFFF"/>
            <w:vAlign w:val="center"/>
            <w:hideMark/>
          </w:tcPr>
          <w:p w14:paraId="31F3CF7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The above lease disclosures should be read in conjunction with the accompanying notes 1.1B, 1.2B, 2.2A and 2.5.</w:t>
            </w:r>
          </w:p>
        </w:tc>
      </w:tr>
    </w:tbl>
    <w:p w14:paraId="15652797" w14:textId="77777777" w:rsidR="0082424C" w:rsidRPr="007A3600" w:rsidRDefault="0082424C" w:rsidP="00AD3197">
      <w:pPr>
        <w:spacing w:after="0" w:line="240" w:lineRule="auto"/>
        <w:rPr>
          <w:rFonts w:ascii="Times New Roman" w:eastAsia="Times New Roman" w:hAnsi="Times New Roman"/>
          <w:b/>
          <w:bCs/>
          <w:sz w:val="12"/>
          <w:szCs w:val="12"/>
          <w:lang w:eastAsia="en-US"/>
        </w:rPr>
      </w:pPr>
    </w:p>
    <w:p w14:paraId="64AC8F84"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4B0A959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Cs/>
          <w:sz w:val="18"/>
          <w:szCs w:val="18"/>
          <w:lang w:eastAsia="en-US"/>
        </w:rPr>
        <w:t>All borrowing costs are expensed as incurred</w:t>
      </w:r>
      <w:r w:rsidRPr="007A3600">
        <w:rPr>
          <w:rFonts w:eastAsia="Times New Roman" w:cs="Arial"/>
          <w:b/>
          <w:bCs/>
          <w:sz w:val="18"/>
          <w:szCs w:val="18"/>
          <w:lang w:eastAsia="en-US"/>
        </w:rPr>
        <w:t xml:space="preserve">. </w:t>
      </w:r>
    </w:p>
    <w:tbl>
      <w:tblPr>
        <w:tblW w:w="9087" w:type="dxa"/>
        <w:tblLayout w:type="fixed"/>
        <w:tblLook w:val="04A0" w:firstRow="1" w:lastRow="0" w:firstColumn="1" w:lastColumn="0" w:noHBand="0" w:noVBand="1"/>
      </w:tblPr>
      <w:tblGrid>
        <w:gridCol w:w="6380"/>
        <w:gridCol w:w="1245"/>
        <w:gridCol w:w="236"/>
        <w:gridCol w:w="1226"/>
      </w:tblGrid>
      <w:tr w:rsidR="0082424C" w:rsidRPr="007A3600" w14:paraId="64CBA8E8" w14:textId="77777777">
        <w:trPr>
          <w:trHeight w:val="260"/>
        </w:trPr>
        <w:tc>
          <w:tcPr>
            <w:tcW w:w="6380" w:type="dxa"/>
            <w:tcBorders>
              <w:top w:val="nil"/>
              <w:left w:val="nil"/>
              <w:bottom w:val="nil"/>
              <w:right w:val="nil"/>
            </w:tcBorders>
            <w:shd w:val="clear" w:color="FFFFFF" w:fill="FFFFFF"/>
            <w:noWrap/>
            <w:vAlign w:val="bottom"/>
            <w:hideMark/>
          </w:tcPr>
          <w:p w14:paraId="701A9FFE"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1.1E: Write-down and impairment of other assets</w:t>
            </w:r>
          </w:p>
        </w:tc>
        <w:tc>
          <w:tcPr>
            <w:tcW w:w="1245" w:type="dxa"/>
            <w:tcBorders>
              <w:top w:val="nil"/>
              <w:left w:val="nil"/>
              <w:bottom w:val="nil"/>
              <w:right w:val="nil"/>
            </w:tcBorders>
            <w:shd w:val="clear" w:color="FFFFFF" w:fill="FFFFFF"/>
            <w:noWrap/>
            <w:vAlign w:val="bottom"/>
            <w:hideMark/>
          </w:tcPr>
          <w:p w14:paraId="4878CC0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D392DC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759EB67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A94AD89" w14:textId="77777777">
        <w:trPr>
          <w:trHeight w:val="250"/>
        </w:trPr>
        <w:tc>
          <w:tcPr>
            <w:tcW w:w="6380" w:type="dxa"/>
            <w:tcBorders>
              <w:top w:val="nil"/>
              <w:left w:val="nil"/>
              <w:bottom w:val="nil"/>
              <w:right w:val="nil"/>
            </w:tcBorders>
            <w:shd w:val="clear" w:color="FFFFFF" w:fill="FFFFFF"/>
            <w:noWrap/>
            <w:vAlign w:val="bottom"/>
            <w:hideMark/>
          </w:tcPr>
          <w:p w14:paraId="741BC1D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Goods and Services - external parties</w:t>
            </w:r>
          </w:p>
        </w:tc>
        <w:tc>
          <w:tcPr>
            <w:tcW w:w="1245" w:type="dxa"/>
            <w:tcBorders>
              <w:top w:val="nil"/>
              <w:left w:val="nil"/>
              <w:bottom w:val="nil"/>
              <w:right w:val="nil"/>
            </w:tcBorders>
            <w:shd w:val="clear" w:color="FFFFFF" w:fill="FFFFFF"/>
            <w:noWrap/>
            <w:vAlign w:val="bottom"/>
            <w:hideMark/>
          </w:tcPr>
          <w:p w14:paraId="67E8551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5714E9C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58589D3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35,939</w:t>
            </w:r>
          </w:p>
        </w:tc>
      </w:tr>
      <w:tr w:rsidR="0082424C" w:rsidRPr="007A3600" w14:paraId="3F8361CA" w14:textId="77777777">
        <w:trPr>
          <w:trHeight w:val="250"/>
        </w:trPr>
        <w:tc>
          <w:tcPr>
            <w:tcW w:w="6380" w:type="dxa"/>
            <w:tcBorders>
              <w:top w:val="nil"/>
              <w:left w:val="nil"/>
              <w:bottom w:val="nil"/>
              <w:right w:val="nil"/>
            </w:tcBorders>
            <w:shd w:val="clear" w:color="FFFFFF" w:fill="FFFFFF"/>
            <w:noWrap/>
            <w:vAlign w:val="bottom"/>
            <w:hideMark/>
          </w:tcPr>
          <w:p w14:paraId="14D2371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Participant and provider receivables</w:t>
            </w:r>
          </w:p>
        </w:tc>
        <w:tc>
          <w:tcPr>
            <w:tcW w:w="1245" w:type="dxa"/>
            <w:tcBorders>
              <w:top w:val="nil"/>
              <w:left w:val="nil"/>
              <w:bottom w:val="nil"/>
              <w:right w:val="nil"/>
            </w:tcBorders>
            <w:shd w:val="clear" w:color="FFFFFF" w:fill="FFFFFF"/>
            <w:noWrap/>
            <w:vAlign w:val="bottom"/>
            <w:hideMark/>
          </w:tcPr>
          <w:p w14:paraId="5F982A6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70,556</w:t>
            </w:r>
          </w:p>
        </w:tc>
        <w:tc>
          <w:tcPr>
            <w:tcW w:w="236" w:type="dxa"/>
            <w:tcBorders>
              <w:top w:val="nil"/>
              <w:left w:val="nil"/>
              <w:bottom w:val="nil"/>
              <w:right w:val="nil"/>
            </w:tcBorders>
            <w:shd w:val="clear" w:color="FFFFFF" w:fill="FFFFFF"/>
            <w:noWrap/>
            <w:vAlign w:val="bottom"/>
            <w:hideMark/>
          </w:tcPr>
          <w:p w14:paraId="6BA04C7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7FA3871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6,761</w:t>
            </w:r>
          </w:p>
        </w:tc>
      </w:tr>
      <w:tr w:rsidR="0082424C" w:rsidRPr="007A3600" w14:paraId="1AF222C8" w14:textId="77777777">
        <w:trPr>
          <w:trHeight w:val="250"/>
        </w:trPr>
        <w:tc>
          <w:tcPr>
            <w:tcW w:w="6380" w:type="dxa"/>
            <w:tcBorders>
              <w:top w:val="nil"/>
              <w:left w:val="nil"/>
              <w:bottom w:val="nil"/>
              <w:right w:val="nil"/>
            </w:tcBorders>
            <w:shd w:val="clear" w:color="FFFFFF" w:fill="FFFFFF"/>
            <w:noWrap/>
            <w:vAlign w:val="bottom"/>
            <w:hideMark/>
          </w:tcPr>
          <w:p w14:paraId="2E4B5EC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receivables</w:t>
            </w:r>
          </w:p>
        </w:tc>
        <w:tc>
          <w:tcPr>
            <w:tcW w:w="1245" w:type="dxa"/>
            <w:tcBorders>
              <w:top w:val="nil"/>
              <w:left w:val="nil"/>
              <w:bottom w:val="nil"/>
              <w:right w:val="nil"/>
            </w:tcBorders>
            <w:shd w:val="clear" w:color="FFFFFF" w:fill="FFFFFF"/>
            <w:noWrap/>
            <w:vAlign w:val="bottom"/>
            <w:hideMark/>
          </w:tcPr>
          <w:p w14:paraId="1C7F83F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42</w:t>
            </w:r>
          </w:p>
        </w:tc>
        <w:tc>
          <w:tcPr>
            <w:tcW w:w="236" w:type="dxa"/>
            <w:tcBorders>
              <w:top w:val="nil"/>
              <w:left w:val="nil"/>
              <w:bottom w:val="nil"/>
              <w:right w:val="nil"/>
            </w:tcBorders>
            <w:shd w:val="clear" w:color="FFFFFF" w:fill="FFFFFF"/>
            <w:noWrap/>
            <w:vAlign w:val="bottom"/>
            <w:hideMark/>
          </w:tcPr>
          <w:p w14:paraId="62F71AE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nil"/>
              <w:left w:val="nil"/>
              <w:bottom w:val="nil"/>
              <w:right w:val="nil"/>
            </w:tcBorders>
            <w:shd w:val="clear" w:color="FFFFFF" w:fill="FFFFFF"/>
            <w:noWrap/>
            <w:vAlign w:val="bottom"/>
            <w:hideMark/>
          </w:tcPr>
          <w:p w14:paraId="3CD0379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17</w:t>
            </w:r>
          </w:p>
        </w:tc>
      </w:tr>
      <w:tr w:rsidR="0082424C" w:rsidRPr="007A3600" w14:paraId="1D105CAD" w14:textId="77777777">
        <w:trPr>
          <w:trHeight w:val="250"/>
        </w:trPr>
        <w:tc>
          <w:tcPr>
            <w:tcW w:w="6380" w:type="dxa"/>
            <w:tcBorders>
              <w:top w:val="nil"/>
              <w:left w:val="nil"/>
              <w:bottom w:val="nil"/>
              <w:right w:val="nil"/>
            </w:tcBorders>
            <w:shd w:val="clear" w:color="FFFFFF" w:fill="FFFFFF"/>
            <w:vAlign w:val="bottom"/>
            <w:hideMark/>
          </w:tcPr>
          <w:p w14:paraId="562D149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write-down and impairment of other assets</w:t>
            </w:r>
          </w:p>
        </w:tc>
        <w:tc>
          <w:tcPr>
            <w:tcW w:w="1245" w:type="dxa"/>
            <w:tcBorders>
              <w:top w:val="single" w:sz="4" w:space="0" w:color="auto"/>
              <w:left w:val="nil"/>
              <w:bottom w:val="single" w:sz="4" w:space="0" w:color="auto"/>
              <w:right w:val="nil"/>
            </w:tcBorders>
            <w:shd w:val="clear" w:color="FFFFFF" w:fill="FFFFFF"/>
            <w:noWrap/>
            <w:vAlign w:val="bottom"/>
            <w:hideMark/>
          </w:tcPr>
          <w:p w14:paraId="1A7BDF1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70,598</w:t>
            </w:r>
          </w:p>
        </w:tc>
        <w:tc>
          <w:tcPr>
            <w:tcW w:w="236" w:type="dxa"/>
            <w:tcBorders>
              <w:top w:val="nil"/>
              <w:left w:val="nil"/>
              <w:bottom w:val="nil"/>
              <w:right w:val="nil"/>
            </w:tcBorders>
            <w:shd w:val="clear" w:color="FFFFFF" w:fill="FFFFFF"/>
            <w:noWrap/>
            <w:vAlign w:val="bottom"/>
            <w:hideMark/>
          </w:tcPr>
          <w:p w14:paraId="1D294C7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26" w:type="dxa"/>
            <w:tcBorders>
              <w:top w:val="single" w:sz="4" w:space="0" w:color="auto"/>
              <w:left w:val="nil"/>
              <w:bottom w:val="single" w:sz="4" w:space="0" w:color="auto"/>
              <w:right w:val="nil"/>
            </w:tcBorders>
            <w:shd w:val="clear" w:color="FFFFFF" w:fill="FFFFFF"/>
            <w:noWrap/>
            <w:vAlign w:val="bottom"/>
            <w:hideMark/>
          </w:tcPr>
          <w:p w14:paraId="5467616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42,717</w:t>
            </w:r>
          </w:p>
        </w:tc>
      </w:tr>
    </w:tbl>
    <w:p w14:paraId="17C00B6D" w14:textId="77777777" w:rsidR="0082424C" w:rsidRPr="007A3600" w:rsidRDefault="0082424C" w:rsidP="00AD3197">
      <w:pPr>
        <w:spacing w:after="120" w:line="120" w:lineRule="atLeast"/>
        <w:rPr>
          <w:rFonts w:eastAsia="Times New Roman" w:cs="Arial"/>
          <w:b/>
          <w:bCs/>
          <w:sz w:val="18"/>
          <w:szCs w:val="18"/>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71D32EF7" w14:textId="77777777">
        <w:trPr>
          <w:trHeight w:val="253"/>
        </w:trPr>
        <w:tc>
          <w:tcPr>
            <w:tcW w:w="6365" w:type="dxa"/>
            <w:tcBorders>
              <w:top w:val="nil"/>
              <w:left w:val="nil"/>
              <w:bottom w:val="nil"/>
              <w:right w:val="nil"/>
            </w:tcBorders>
            <w:shd w:val="clear" w:color="FFFFFF" w:fill="FFFFFF"/>
            <w:noWrap/>
            <w:vAlign w:val="bottom"/>
            <w:hideMark/>
          </w:tcPr>
          <w:p w14:paraId="3D831F60"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1.1F: Community partnership costs</w:t>
            </w:r>
          </w:p>
        </w:tc>
        <w:tc>
          <w:tcPr>
            <w:tcW w:w="1243" w:type="dxa"/>
            <w:tcBorders>
              <w:top w:val="nil"/>
              <w:left w:val="nil"/>
              <w:bottom w:val="nil"/>
              <w:right w:val="nil"/>
            </w:tcBorders>
            <w:shd w:val="clear" w:color="FFFFFF" w:fill="FFFFFF"/>
            <w:noWrap/>
            <w:vAlign w:val="bottom"/>
            <w:hideMark/>
          </w:tcPr>
          <w:p w14:paraId="6A578A5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B638EC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569AB0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6890335" w14:textId="77777777">
        <w:trPr>
          <w:trHeight w:val="253"/>
        </w:trPr>
        <w:tc>
          <w:tcPr>
            <w:tcW w:w="6365" w:type="dxa"/>
            <w:tcBorders>
              <w:top w:val="nil"/>
              <w:left w:val="nil"/>
              <w:bottom w:val="nil"/>
              <w:right w:val="nil"/>
            </w:tcBorders>
            <w:shd w:val="clear" w:color="FFFFFF" w:fill="FFFFFF"/>
            <w:vAlign w:val="bottom"/>
            <w:hideMark/>
          </w:tcPr>
          <w:p w14:paraId="4DBDAAA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Early Childhood costs</w:t>
            </w:r>
          </w:p>
        </w:tc>
        <w:tc>
          <w:tcPr>
            <w:tcW w:w="1243" w:type="dxa"/>
            <w:tcBorders>
              <w:top w:val="nil"/>
              <w:left w:val="nil"/>
              <w:bottom w:val="nil"/>
              <w:right w:val="nil"/>
            </w:tcBorders>
            <w:shd w:val="clear" w:color="FFFFFF" w:fill="FFFFFF"/>
            <w:noWrap/>
            <w:vAlign w:val="bottom"/>
            <w:hideMark/>
          </w:tcPr>
          <w:p w14:paraId="004871F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238,225</w:t>
            </w:r>
          </w:p>
        </w:tc>
        <w:tc>
          <w:tcPr>
            <w:tcW w:w="236" w:type="dxa"/>
            <w:tcBorders>
              <w:top w:val="nil"/>
              <w:left w:val="nil"/>
              <w:bottom w:val="nil"/>
              <w:right w:val="nil"/>
            </w:tcBorders>
            <w:shd w:val="clear" w:color="FFFFFF" w:fill="FFFFFF"/>
            <w:noWrap/>
            <w:vAlign w:val="bottom"/>
            <w:hideMark/>
          </w:tcPr>
          <w:p w14:paraId="76487AB3"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559815C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211,281</w:t>
            </w:r>
          </w:p>
        </w:tc>
      </w:tr>
      <w:tr w:rsidR="0082424C" w:rsidRPr="007A3600" w14:paraId="0BFB6C23" w14:textId="77777777">
        <w:trPr>
          <w:trHeight w:val="253"/>
        </w:trPr>
        <w:tc>
          <w:tcPr>
            <w:tcW w:w="6365" w:type="dxa"/>
            <w:tcBorders>
              <w:top w:val="nil"/>
              <w:left w:val="nil"/>
              <w:bottom w:val="nil"/>
              <w:right w:val="nil"/>
            </w:tcBorders>
            <w:shd w:val="clear" w:color="FFFFFF" w:fill="FFFFFF"/>
            <w:vAlign w:val="bottom"/>
            <w:hideMark/>
          </w:tcPr>
          <w:p w14:paraId="114CE8C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Local Area Coordination costs</w:t>
            </w:r>
          </w:p>
        </w:tc>
        <w:tc>
          <w:tcPr>
            <w:tcW w:w="1243" w:type="dxa"/>
            <w:tcBorders>
              <w:top w:val="nil"/>
              <w:left w:val="nil"/>
              <w:bottom w:val="nil"/>
              <w:right w:val="nil"/>
            </w:tcBorders>
            <w:shd w:val="clear" w:color="FFFFFF" w:fill="FFFFFF"/>
            <w:noWrap/>
            <w:vAlign w:val="bottom"/>
            <w:hideMark/>
          </w:tcPr>
          <w:p w14:paraId="4E8A58E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389,186</w:t>
            </w:r>
          </w:p>
        </w:tc>
        <w:tc>
          <w:tcPr>
            <w:tcW w:w="236" w:type="dxa"/>
            <w:tcBorders>
              <w:top w:val="nil"/>
              <w:left w:val="nil"/>
              <w:bottom w:val="nil"/>
              <w:right w:val="nil"/>
            </w:tcBorders>
            <w:shd w:val="clear" w:color="FFFFFF" w:fill="FFFFFF"/>
            <w:noWrap/>
            <w:vAlign w:val="bottom"/>
            <w:hideMark/>
          </w:tcPr>
          <w:p w14:paraId="2C8099F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5CA0481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394,458</w:t>
            </w:r>
          </w:p>
        </w:tc>
      </w:tr>
      <w:tr w:rsidR="0082424C" w:rsidRPr="007A3600" w14:paraId="5F5910B4" w14:textId="77777777">
        <w:trPr>
          <w:trHeight w:val="253"/>
        </w:trPr>
        <w:tc>
          <w:tcPr>
            <w:tcW w:w="6365" w:type="dxa"/>
            <w:tcBorders>
              <w:top w:val="nil"/>
              <w:left w:val="nil"/>
              <w:bottom w:val="nil"/>
              <w:right w:val="nil"/>
            </w:tcBorders>
            <w:shd w:val="clear" w:color="FFFFFF" w:fill="FFFFFF"/>
            <w:vAlign w:val="bottom"/>
            <w:hideMark/>
          </w:tcPr>
          <w:p w14:paraId="477027E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Community partnership costs</w:t>
            </w:r>
          </w:p>
        </w:tc>
        <w:tc>
          <w:tcPr>
            <w:tcW w:w="1243" w:type="dxa"/>
            <w:tcBorders>
              <w:top w:val="single" w:sz="4" w:space="0" w:color="auto"/>
              <w:left w:val="nil"/>
              <w:bottom w:val="single" w:sz="4" w:space="0" w:color="auto"/>
              <w:right w:val="nil"/>
            </w:tcBorders>
            <w:shd w:val="clear" w:color="FFFFFF" w:fill="FFFFFF"/>
            <w:noWrap/>
            <w:vAlign w:val="bottom"/>
            <w:hideMark/>
          </w:tcPr>
          <w:p w14:paraId="34B76A5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627,411</w:t>
            </w:r>
          </w:p>
        </w:tc>
        <w:tc>
          <w:tcPr>
            <w:tcW w:w="236" w:type="dxa"/>
            <w:tcBorders>
              <w:top w:val="nil"/>
              <w:left w:val="nil"/>
              <w:bottom w:val="nil"/>
              <w:right w:val="nil"/>
            </w:tcBorders>
            <w:shd w:val="clear" w:color="FFFFFF" w:fill="FFFFFF"/>
            <w:noWrap/>
            <w:vAlign w:val="bottom"/>
            <w:hideMark/>
          </w:tcPr>
          <w:p w14:paraId="7B773F8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8CD198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605,739</w:t>
            </w:r>
          </w:p>
        </w:tc>
      </w:tr>
    </w:tbl>
    <w:p w14:paraId="76E2C039" w14:textId="77777777" w:rsidR="0082424C" w:rsidRPr="007A3600" w:rsidRDefault="0082424C" w:rsidP="00AD3197">
      <w:pPr>
        <w:spacing w:after="0" w:line="240" w:lineRule="auto"/>
        <w:rPr>
          <w:rFonts w:eastAsia="Times New Roman" w:cs="Arial"/>
          <w:b/>
          <w:bCs/>
          <w:sz w:val="18"/>
          <w:szCs w:val="18"/>
          <w:lang w:eastAsia="en-US"/>
        </w:rPr>
      </w:pPr>
      <w:r w:rsidRPr="007A3600">
        <w:rPr>
          <w:rFonts w:ascii="Times New Roman" w:eastAsia="Times New Roman" w:hAnsi="Times New Roman"/>
          <w:b/>
          <w:sz w:val="22"/>
          <w:szCs w:val="20"/>
          <w:lang w:eastAsia="en-US"/>
        </w:rPr>
        <w:br w:type="page"/>
      </w:r>
    </w:p>
    <w:p w14:paraId="73F54E0E"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24C058F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0221A22C" w14:textId="77777777" w:rsidR="0082424C" w:rsidRPr="007A3600" w:rsidRDefault="0082424C" w:rsidP="00AD3197">
      <w:pPr>
        <w:spacing w:before="240" w:after="120" w:line="120" w:lineRule="atLeast"/>
        <w:rPr>
          <w:rFonts w:eastAsia="Times New Roman" w:cs="Arial"/>
          <w:b/>
          <w:bCs/>
          <w:sz w:val="18"/>
          <w:szCs w:val="18"/>
          <w:lang w:eastAsia="en-US"/>
        </w:rPr>
      </w:pPr>
      <w:r w:rsidRPr="007A3600">
        <w:rPr>
          <w:rFonts w:eastAsia="Times New Roman" w:cs="Arial"/>
          <w:b/>
          <w:bCs/>
          <w:sz w:val="18"/>
          <w:szCs w:val="18"/>
          <w:lang w:eastAsia="en-US"/>
        </w:rPr>
        <w:t>Early Childhood Costs</w:t>
      </w:r>
    </w:p>
    <w:p w14:paraId="5F572C6D" w14:textId="77777777" w:rsidR="0082424C" w:rsidRPr="007A3600" w:rsidRDefault="0082424C" w:rsidP="00AD3197">
      <w:pPr>
        <w:spacing w:after="120" w:line="120" w:lineRule="atLeast"/>
        <w:rPr>
          <w:rFonts w:eastAsia="Times New Roman" w:cs="Arial"/>
          <w:bCs/>
          <w:sz w:val="18"/>
          <w:szCs w:val="18"/>
          <w:lang w:eastAsia="en-US"/>
        </w:rPr>
      </w:pPr>
      <w:r w:rsidRPr="007A3600">
        <w:rPr>
          <w:rFonts w:eastAsia="Times New Roman" w:cs="Arial"/>
          <w:sz w:val="18"/>
          <w:szCs w:val="18"/>
          <w:lang w:eastAsia="en-US"/>
        </w:rPr>
        <w:t>Reflects the costs incurred by the Agency of engaging Early Childhood partners to support families of children aged 0-8 years to connect to supports that best meet their child’s needs. This includes connecting families to</w:t>
      </w:r>
      <w:r w:rsidRPr="007A3600">
        <w:rPr>
          <w:rFonts w:eastAsia="Times New Roman" w:cs="Arial"/>
          <w:bCs/>
          <w:sz w:val="18"/>
          <w:szCs w:val="18"/>
          <w:lang w:eastAsia="en-US"/>
        </w:rPr>
        <w:t xml:space="preserve"> community and other government services, providing early support or helping to apply to the NDIS.</w:t>
      </w:r>
    </w:p>
    <w:p w14:paraId="2E504584" w14:textId="77777777" w:rsidR="0082424C" w:rsidRPr="007A3600" w:rsidRDefault="0082424C" w:rsidP="00AD3197">
      <w:pP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Local Area Coordination Costs </w:t>
      </w:r>
    </w:p>
    <w:p w14:paraId="5887A35B" w14:textId="77777777" w:rsidR="0082424C" w:rsidRPr="007A3600" w:rsidRDefault="0082424C" w:rsidP="00AD3197">
      <w:pPr>
        <w:spacing w:after="120" w:line="240" w:lineRule="auto"/>
        <w:rPr>
          <w:rFonts w:eastAsia="Times New Roman" w:cs="Arial"/>
          <w:sz w:val="18"/>
          <w:szCs w:val="18"/>
          <w:lang w:eastAsia="en-US"/>
        </w:rPr>
      </w:pPr>
      <w:r w:rsidRPr="007A3600">
        <w:rPr>
          <w:rFonts w:eastAsia="Times New Roman" w:cs="Arial"/>
          <w:sz w:val="18"/>
          <w:szCs w:val="18"/>
          <w:lang w:eastAsia="en-US"/>
        </w:rPr>
        <w:t>This reflects the costs incurred in funding Local Area Coordination (LAC) services.</w:t>
      </w:r>
    </w:p>
    <w:p w14:paraId="6692C20F" w14:textId="77777777" w:rsidR="0082424C" w:rsidRPr="007A3600" w:rsidRDefault="0082424C" w:rsidP="00AD3197">
      <w:pPr>
        <w:spacing w:after="120" w:line="240" w:lineRule="auto"/>
        <w:rPr>
          <w:rFonts w:eastAsia="Times New Roman" w:cs="Arial"/>
          <w:bCs/>
          <w:sz w:val="18"/>
          <w:szCs w:val="18"/>
          <w:lang w:eastAsia="en-US"/>
        </w:rPr>
      </w:pPr>
      <w:r w:rsidRPr="007A3600">
        <w:rPr>
          <w:rFonts w:eastAsia="Times New Roman" w:cs="Arial"/>
          <w:sz w:val="18"/>
          <w:szCs w:val="18"/>
          <w:lang w:eastAsia="en-US"/>
        </w:rPr>
        <w:t>LAC Partners support people 9 years and over to understand and access the NDIS, implement their NDIS plan and build capacity within the community. LAC supports the inclusion of all people with disability by developing</w:t>
      </w:r>
      <w:r w:rsidRPr="007A3600">
        <w:rPr>
          <w:rFonts w:eastAsia="Times New Roman" w:cs="Arial"/>
          <w:bCs/>
          <w:sz w:val="18"/>
          <w:szCs w:val="18"/>
          <w:lang w:eastAsia="en-US"/>
        </w:rPr>
        <w:t xml:space="preserve"> community connections.</w:t>
      </w:r>
    </w:p>
    <w:p w14:paraId="272B97C9"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4E6AC7CB"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costs associated with community partnerships are recognised in accordance with contractual arrangements.</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3D0F93BD" w14:textId="77777777">
        <w:trPr>
          <w:trHeight w:val="253"/>
        </w:trPr>
        <w:tc>
          <w:tcPr>
            <w:tcW w:w="6365" w:type="dxa"/>
            <w:tcBorders>
              <w:top w:val="nil"/>
              <w:left w:val="nil"/>
              <w:bottom w:val="nil"/>
              <w:right w:val="nil"/>
            </w:tcBorders>
            <w:shd w:val="clear" w:color="FFFFFF" w:fill="FFFFFF"/>
            <w:noWrap/>
            <w:vAlign w:val="bottom"/>
            <w:hideMark/>
          </w:tcPr>
          <w:p w14:paraId="717FA56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8F9B83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2F1CCE4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F2156E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5B83E173" w14:textId="77777777">
        <w:trPr>
          <w:trHeight w:val="253"/>
        </w:trPr>
        <w:tc>
          <w:tcPr>
            <w:tcW w:w="6365" w:type="dxa"/>
            <w:tcBorders>
              <w:top w:val="nil"/>
              <w:left w:val="nil"/>
              <w:bottom w:val="nil"/>
              <w:right w:val="nil"/>
            </w:tcBorders>
            <w:shd w:val="clear" w:color="FFFFFF" w:fill="FFFFFF"/>
            <w:noWrap/>
            <w:vAlign w:val="bottom"/>
            <w:hideMark/>
          </w:tcPr>
          <w:p w14:paraId="19A39FF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53B91B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4951863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7971EC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7DE5AFB" w14:textId="77777777">
        <w:trPr>
          <w:trHeight w:val="260"/>
        </w:trPr>
        <w:tc>
          <w:tcPr>
            <w:tcW w:w="6365" w:type="dxa"/>
            <w:tcBorders>
              <w:top w:val="nil"/>
              <w:left w:val="nil"/>
              <w:bottom w:val="nil"/>
              <w:right w:val="nil"/>
            </w:tcBorders>
            <w:shd w:val="clear" w:color="FFFFFF" w:fill="FFFFFF"/>
            <w:noWrap/>
            <w:vAlign w:val="bottom"/>
            <w:hideMark/>
          </w:tcPr>
          <w:p w14:paraId="6D6CE4F9"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1.1G: Participant plan expenses</w:t>
            </w:r>
          </w:p>
        </w:tc>
        <w:tc>
          <w:tcPr>
            <w:tcW w:w="1243" w:type="dxa"/>
            <w:tcBorders>
              <w:top w:val="nil"/>
              <w:left w:val="nil"/>
              <w:bottom w:val="nil"/>
              <w:right w:val="nil"/>
            </w:tcBorders>
            <w:shd w:val="clear" w:color="FFFFFF" w:fill="FFFFFF"/>
            <w:noWrap/>
            <w:vAlign w:val="bottom"/>
            <w:hideMark/>
          </w:tcPr>
          <w:p w14:paraId="0599096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B09E83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61E6A3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70918F8" w14:textId="77777777">
        <w:trPr>
          <w:trHeight w:val="253"/>
        </w:trPr>
        <w:tc>
          <w:tcPr>
            <w:tcW w:w="6365" w:type="dxa"/>
            <w:tcBorders>
              <w:top w:val="nil"/>
              <w:left w:val="nil"/>
              <w:bottom w:val="nil"/>
              <w:right w:val="nil"/>
            </w:tcBorders>
            <w:shd w:val="clear" w:color="FFFFFF" w:fill="FFFFFF"/>
            <w:vAlign w:val="bottom"/>
            <w:hideMark/>
          </w:tcPr>
          <w:p w14:paraId="2855519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Claims received from participants and providers</w:t>
            </w:r>
          </w:p>
        </w:tc>
        <w:tc>
          <w:tcPr>
            <w:tcW w:w="1243" w:type="dxa"/>
            <w:tcBorders>
              <w:top w:val="nil"/>
              <w:left w:val="nil"/>
              <w:bottom w:val="nil"/>
              <w:right w:val="nil"/>
            </w:tcBorders>
            <w:shd w:val="clear" w:color="FFFFFF" w:fill="FFFFFF"/>
            <w:noWrap/>
            <w:vAlign w:val="bottom"/>
            <w:hideMark/>
          </w:tcPr>
          <w:p w14:paraId="6C26B6E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45,417,395</w:t>
            </w:r>
          </w:p>
        </w:tc>
        <w:tc>
          <w:tcPr>
            <w:tcW w:w="236" w:type="dxa"/>
            <w:tcBorders>
              <w:top w:val="nil"/>
              <w:left w:val="nil"/>
              <w:bottom w:val="nil"/>
              <w:right w:val="nil"/>
            </w:tcBorders>
            <w:shd w:val="clear" w:color="FFFFFF" w:fill="FFFFFF"/>
            <w:noWrap/>
            <w:vAlign w:val="bottom"/>
            <w:hideMark/>
          </w:tcPr>
          <w:p w14:paraId="2442F77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381B369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40,775,754</w:t>
            </w:r>
          </w:p>
        </w:tc>
      </w:tr>
      <w:tr w:rsidR="0082424C" w:rsidRPr="007A3600" w14:paraId="0EEBA670" w14:textId="77777777">
        <w:trPr>
          <w:trHeight w:val="253"/>
        </w:trPr>
        <w:tc>
          <w:tcPr>
            <w:tcW w:w="6365" w:type="dxa"/>
            <w:tcBorders>
              <w:top w:val="nil"/>
              <w:left w:val="nil"/>
              <w:bottom w:val="nil"/>
              <w:right w:val="nil"/>
            </w:tcBorders>
            <w:shd w:val="clear" w:color="FFFFFF" w:fill="FFFFFF"/>
            <w:vAlign w:val="bottom"/>
            <w:hideMark/>
          </w:tcPr>
          <w:p w14:paraId="030F8FB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Cost of services received in-kind</w:t>
            </w:r>
          </w:p>
        </w:tc>
        <w:tc>
          <w:tcPr>
            <w:tcW w:w="1243" w:type="dxa"/>
            <w:tcBorders>
              <w:top w:val="nil"/>
              <w:left w:val="nil"/>
              <w:bottom w:val="nil"/>
              <w:right w:val="nil"/>
            </w:tcBorders>
            <w:shd w:val="clear" w:color="FFFFFF" w:fill="FFFFFF"/>
            <w:noWrap/>
            <w:vAlign w:val="bottom"/>
            <w:hideMark/>
          </w:tcPr>
          <w:p w14:paraId="07099DC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927,547</w:t>
            </w:r>
          </w:p>
        </w:tc>
        <w:tc>
          <w:tcPr>
            <w:tcW w:w="236" w:type="dxa"/>
            <w:tcBorders>
              <w:top w:val="nil"/>
              <w:left w:val="nil"/>
              <w:bottom w:val="nil"/>
              <w:right w:val="nil"/>
            </w:tcBorders>
            <w:shd w:val="clear" w:color="FFFFFF" w:fill="FFFFFF"/>
            <w:noWrap/>
            <w:vAlign w:val="bottom"/>
            <w:hideMark/>
          </w:tcPr>
          <w:p w14:paraId="16F7830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306ADEA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952,388</w:t>
            </w:r>
          </w:p>
        </w:tc>
      </w:tr>
      <w:tr w:rsidR="0082424C" w:rsidRPr="007A3600" w14:paraId="129C9BCC" w14:textId="77777777">
        <w:trPr>
          <w:trHeight w:val="253"/>
        </w:trPr>
        <w:tc>
          <w:tcPr>
            <w:tcW w:w="6365" w:type="dxa"/>
            <w:tcBorders>
              <w:top w:val="nil"/>
              <w:left w:val="nil"/>
              <w:bottom w:val="nil"/>
              <w:right w:val="nil"/>
            </w:tcBorders>
            <w:shd w:val="clear" w:color="FFFFFF" w:fill="FFFFFF"/>
            <w:vAlign w:val="bottom"/>
            <w:hideMark/>
          </w:tcPr>
          <w:p w14:paraId="015CCDA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xml:space="preserve">Other changes to participant plan provisions </w:t>
            </w:r>
          </w:p>
        </w:tc>
        <w:tc>
          <w:tcPr>
            <w:tcW w:w="1243" w:type="dxa"/>
            <w:tcBorders>
              <w:top w:val="nil"/>
              <w:left w:val="nil"/>
              <w:bottom w:val="nil"/>
              <w:right w:val="nil"/>
            </w:tcBorders>
            <w:shd w:val="clear" w:color="FFFFFF" w:fill="FFFFFF"/>
            <w:noWrap/>
            <w:vAlign w:val="bottom"/>
            <w:hideMark/>
          </w:tcPr>
          <w:p w14:paraId="604A28E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7,236</w:t>
            </w:r>
          </w:p>
        </w:tc>
        <w:tc>
          <w:tcPr>
            <w:tcW w:w="236" w:type="dxa"/>
            <w:tcBorders>
              <w:top w:val="nil"/>
              <w:left w:val="nil"/>
              <w:bottom w:val="nil"/>
              <w:right w:val="nil"/>
            </w:tcBorders>
            <w:shd w:val="clear" w:color="FFFFFF" w:fill="FFFFFF"/>
            <w:noWrap/>
            <w:vAlign w:val="bottom"/>
            <w:hideMark/>
          </w:tcPr>
          <w:p w14:paraId="181085C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4CE89B5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117,515</w:t>
            </w:r>
          </w:p>
        </w:tc>
      </w:tr>
      <w:tr w:rsidR="0082424C" w:rsidRPr="007A3600" w14:paraId="2A21D700" w14:textId="77777777">
        <w:trPr>
          <w:trHeight w:val="253"/>
        </w:trPr>
        <w:tc>
          <w:tcPr>
            <w:tcW w:w="6365" w:type="dxa"/>
            <w:tcBorders>
              <w:top w:val="nil"/>
              <w:left w:val="nil"/>
              <w:bottom w:val="nil"/>
              <w:right w:val="nil"/>
            </w:tcBorders>
            <w:shd w:val="clear" w:color="FFFFFF" w:fill="FFFFFF"/>
            <w:vAlign w:val="bottom"/>
            <w:hideMark/>
          </w:tcPr>
          <w:p w14:paraId="1D119B4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participant plan expenses</w:t>
            </w:r>
          </w:p>
        </w:tc>
        <w:tc>
          <w:tcPr>
            <w:tcW w:w="1243" w:type="dxa"/>
            <w:tcBorders>
              <w:top w:val="single" w:sz="4" w:space="0" w:color="auto"/>
              <w:left w:val="nil"/>
              <w:bottom w:val="single" w:sz="4" w:space="0" w:color="auto"/>
              <w:right w:val="nil"/>
            </w:tcBorders>
            <w:shd w:val="clear" w:color="FFFFFF" w:fill="FFFFFF"/>
            <w:noWrap/>
            <w:vAlign w:val="bottom"/>
            <w:hideMark/>
          </w:tcPr>
          <w:p w14:paraId="477DE4A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46,352,178</w:t>
            </w:r>
          </w:p>
        </w:tc>
        <w:tc>
          <w:tcPr>
            <w:tcW w:w="236" w:type="dxa"/>
            <w:tcBorders>
              <w:top w:val="nil"/>
              <w:left w:val="nil"/>
              <w:bottom w:val="nil"/>
              <w:right w:val="nil"/>
            </w:tcBorders>
            <w:shd w:val="clear" w:color="FFFFFF" w:fill="FFFFFF"/>
            <w:noWrap/>
            <w:vAlign w:val="bottom"/>
            <w:hideMark/>
          </w:tcPr>
          <w:p w14:paraId="43B9C4E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8C4349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41,845,657</w:t>
            </w:r>
          </w:p>
        </w:tc>
      </w:tr>
    </w:tbl>
    <w:p w14:paraId="6F41EE8B" w14:textId="77777777" w:rsidR="0082424C" w:rsidRPr="007A3600" w:rsidRDefault="0082424C" w:rsidP="00AD3197">
      <w:pPr>
        <w:spacing w:after="0" w:line="240" w:lineRule="auto"/>
        <w:rPr>
          <w:rFonts w:ascii="Times New Roman" w:eastAsia="Times New Roman" w:hAnsi="Times New Roman"/>
          <w:sz w:val="22"/>
          <w:szCs w:val="20"/>
          <w:lang w:eastAsia="en-US"/>
        </w:rPr>
      </w:pPr>
    </w:p>
    <w:p w14:paraId="4F6938A4" w14:textId="77777777"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12AEC605" w14:textId="77777777"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costs associated with participant plan expenses are recognised as and when the Agency receives claims from participants and providers. Accounting policies for expenses resulting from adjustment to the participant plan provision are contained in Section 2.6 – Provisions.</w:t>
      </w:r>
    </w:p>
    <w:p w14:paraId="55EF6A82" w14:textId="77777777" w:rsidR="0082424C" w:rsidRPr="007A3600" w:rsidRDefault="0082424C" w:rsidP="00AD3197">
      <w:pPr>
        <w:spacing w:after="120" w:line="120" w:lineRule="atLeast"/>
        <w:rPr>
          <w:rFonts w:eastAsia="Times New Roman" w:cs="Arial"/>
          <w:b/>
          <w:bCs/>
          <w:sz w:val="18"/>
          <w:szCs w:val="18"/>
          <w:lang w:eastAsia="en-US"/>
        </w:rPr>
      </w:pPr>
      <w:bookmarkStart w:id="178" w:name="_Hlk111208298"/>
      <w:r w:rsidRPr="007A3600">
        <w:rPr>
          <w:rFonts w:eastAsia="Times New Roman" w:cs="Arial"/>
          <w:b/>
          <w:bCs/>
          <w:sz w:val="18"/>
          <w:szCs w:val="18"/>
          <w:lang w:eastAsia="en-US"/>
        </w:rPr>
        <w:t>Participant plan expenses</w:t>
      </w:r>
    </w:p>
    <w:p w14:paraId="5CD5DC02" w14:textId="5A978248" w:rsidR="0082424C" w:rsidRPr="007A3600" w:rsidRDefault="0082424C" w:rsidP="00AD3197">
      <w:pPr>
        <w:spacing w:after="120" w:line="260" w:lineRule="atLeast"/>
        <w:rPr>
          <w:rFonts w:eastAsia="Times New Roman" w:cs="Arial"/>
          <w:bCs/>
          <w:sz w:val="18"/>
          <w:szCs w:val="18"/>
          <w:lang w:eastAsia="en-US"/>
        </w:rPr>
      </w:pPr>
      <w:bookmarkStart w:id="179" w:name="_Hlk176947070"/>
      <w:r w:rsidRPr="007A3600">
        <w:rPr>
          <w:rFonts w:eastAsia="Times New Roman" w:cs="Arial"/>
          <w:bCs/>
          <w:sz w:val="18"/>
          <w:szCs w:val="18"/>
          <w:lang w:eastAsia="en-US"/>
        </w:rPr>
        <w:t>The Agency makes payments to registered providers and participants with self-managed plans for supports delivered in line with a participant’s approved plan. Registered providers (for plan- and Agency-Managed plans) and self-managing participants can access NDIS portals to submit payment claims for delivered supports.</w:t>
      </w:r>
      <w:r w:rsidR="00172825">
        <w:rPr>
          <w:rFonts w:eastAsia="Times New Roman" w:cs="Arial"/>
          <w:bCs/>
          <w:sz w:val="18"/>
          <w:szCs w:val="18"/>
          <w:lang w:eastAsia="en-US"/>
        </w:rPr>
        <w:t xml:space="preserve"> </w:t>
      </w:r>
      <w:r w:rsidRPr="007A3600">
        <w:rPr>
          <w:rFonts w:eastAsia="Times New Roman" w:cs="Arial"/>
          <w:bCs/>
          <w:sz w:val="18"/>
          <w:szCs w:val="18"/>
          <w:lang w:eastAsia="en-US"/>
        </w:rPr>
        <w:t>Self-lodgement of claims from providers and participants can lead to payments that are inconsistent with Agency guidance, even where no deliberate fraud is intended by the claimant. To mitigate this risk and to assess the potential financial impact, the Agency maintains an assurance testing program, with monthly reviews completed throughout the corresponding financial year. The methodology for calculating and reporting errors is periodically reviewed.</w:t>
      </w:r>
    </w:p>
    <w:p w14:paraId="13663051" w14:textId="159C401B" w:rsidR="0082424C" w:rsidRPr="007A3600" w:rsidRDefault="0082424C" w:rsidP="00AD3197">
      <w:pPr>
        <w:spacing w:after="120" w:line="260" w:lineRule="atLeast"/>
        <w:rPr>
          <w:rFonts w:eastAsia="Times New Roman" w:cs="Arial"/>
          <w:bCs/>
          <w:sz w:val="18"/>
          <w:szCs w:val="18"/>
          <w:lang w:eastAsia="en-US"/>
        </w:rPr>
      </w:pPr>
      <w:bookmarkStart w:id="180" w:name="_Hlk176947138"/>
      <w:bookmarkEnd w:id="179"/>
      <w:r w:rsidRPr="007A3600">
        <w:rPr>
          <w:rFonts w:eastAsia="Times New Roman" w:cs="Arial"/>
          <w:bCs/>
          <w:sz w:val="18"/>
          <w:szCs w:val="18"/>
          <w:lang w:eastAsia="en-US"/>
        </w:rPr>
        <w:t>Errors identified in the review process can be either critical (having a potential financial impact) or non-critical (having no direct financial impact e.g. keying errors like incomplete ABN, provider name or date of service etc). All critical errors are subject to further validation, with recovery action, where required and considered to be economical, undertaken in accordance with the Agency’s Debt Management Procedures. The outcomes of this testing are extrapolated to indicate an annualised potential financial impact.</w:t>
      </w:r>
    </w:p>
    <w:p w14:paraId="52584301" w14:textId="265412FE" w:rsidR="0082424C" w:rsidRPr="007A3600" w:rsidRDefault="0082424C" w:rsidP="00AD3197">
      <w:pPr>
        <w:spacing w:after="120" w:line="260" w:lineRule="atLeast"/>
        <w:rPr>
          <w:rFonts w:eastAsia="Times New Roman" w:cs="Arial"/>
          <w:bCs/>
          <w:sz w:val="18"/>
          <w:szCs w:val="18"/>
          <w:lang w:eastAsia="en-US"/>
        </w:rPr>
      </w:pPr>
      <w:r w:rsidRPr="007A3600">
        <w:rPr>
          <w:rFonts w:eastAsia="Times New Roman" w:cs="Arial"/>
          <w:bCs/>
          <w:sz w:val="18"/>
          <w:szCs w:val="18"/>
          <w:lang w:eastAsia="en-US"/>
        </w:rPr>
        <w:t xml:space="preserve">For </w:t>
      </w:r>
      <w:r w:rsidRPr="007A3600">
        <w:rPr>
          <w:rFonts w:eastAsia="Times New Roman" w:cs="Arial"/>
          <w:bCs/>
          <w:sz w:val="18"/>
          <w:szCs w:val="18"/>
          <w:lang w:eastAsia="en-US"/>
        </w:rPr>
        <w:fldChar w:fldCharType="begin"/>
      </w:r>
      <w:r w:rsidRPr="007A3600">
        <w:rPr>
          <w:rFonts w:eastAsia="Times New Roman" w:cs="Arial"/>
          <w:bCs/>
          <w:sz w:val="18"/>
          <w:szCs w:val="18"/>
          <w:lang w:eastAsia="en-US"/>
        </w:rPr>
        <w:instrText xml:space="preserve"> DOCPROPERTY  prYear  \* MERGEFORMAT </w:instrText>
      </w:r>
      <w:r w:rsidRPr="007A3600">
        <w:rPr>
          <w:rFonts w:eastAsia="Times New Roman" w:cs="Arial"/>
          <w:bCs/>
          <w:sz w:val="18"/>
          <w:szCs w:val="18"/>
          <w:lang w:eastAsia="en-US"/>
        </w:rPr>
        <w:fldChar w:fldCharType="separate"/>
      </w:r>
      <w:r w:rsidRPr="007A3600">
        <w:rPr>
          <w:rFonts w:eastAsia="Times New Roman" w:cs="Arial"/>
          <w:bCs/>
          <w:sz w:val="18"/>
          <w:szCs w:val="18"/>
          <w:lang w:eastAsia="en-US"/>
        </w:rPr>
        <w:t>2024</w:t>
      </w:r>
      <w:r w:rsidRPr="007A3600">
        <w:rPr>
          <w:rFonts w:eastAsia="Times New Roman" w:cs="Arial"/>
          <w:bCs/>
          <w:sz w:val="18"/>
          <w:szCs w:val="18"/>
          <w:lang w:eastAsia="en-US"/>
        </w:rPr>
        <w:fldChar w:fldCharType="end"/>
      </w:r>
      <w:r w:rsidRPr="007A3600">
        <w:rPr>
          <w:rFonts w:eastAsia="Times New Roman" w:cs="Arial"/>
          <w:bCs/>
          <w:sz w:val="18"/>
          <w:szCs w:val="18"/>
          <w:lang w:eastAsia="en-US"/>
        </w:rPr>
        <w:t>–25, the estimated potential financial impact of the provider (plan- and Agency-managed) critical error rates was assessed as being $1,550.6m (3.9% of total provider payments) compared to $1,688.2m (4.7% of total provider payments) in 2023–24.</w:t>
      </w:r>
    </w:p>
    <w:p w14:paraId="1F0F6451" w14:textId="77777777" w:rsidR="0082424C" w:rsidRPr="007A3600" w:rsidRDefault="0082424C" w:rsidP="00AD3197">
      <w:pPr>
        <w:spacing w:after="120" w:line="260" w:lineRule="atLeast"/>
        <w:rPr>
          <w:rFonts w:eastAsia="Times New Roman" w:cs="Arial"/>
          <w:bCs/>
          <w:sz w:val="18"/>
          <w:szCs w:val="18"/>
          <w:lang w:eastAsia="en-US"/>
        </w:rPr>
      </w:pPr>
      <w:r w:rsidRPr="007A3600">
        <w:rPr>
          <w:rFonts w:eastAsia="Times New Roman" w:cs="Arial"/>
          <w:bCs/>
          <w:sz w:val="18"/>
          <w:szCs w:val="18"/>
          <w:lang w:eastAsia="en-US"/>
        </w:rPr>
        <w:t>The estimated potential financial impact of the participant self-managed plan critical error rates was assessed as being $408.9m (8.5% of total self-managed participant payments) compared to $312.6m (6.7% of total self-managed participant payments) in 2023–24.</w:t>
      </w:r>
      <w:bookmarkStart w:id="181" w:name="_Toc443469524"/>
      <w:bookmarkStart w:id="182" w:name="_Toc444065773"/>
      <w:bookmarkStart w:id="183" w:name="_Toc444077334"/>
      <w:bookmarkStart w:id="184" w:name="_Toc447030537"/>
      <w:bookmarkStart w:id="185" w:name="_Toc447030689"/>
      <w:bookmarkStart w:id="186" w:name="_Toc447030782"/>
      <w:bookmarkStart w:id="187" w:name="_Toc65742845"/>
      <w:bookmarkStart w:id="188" w:name="_Toc195692034"/>
      <w:bookmarkEnd w:id="178"/>
      <w:bookmarkEnd w:id="180"/>
    </w:p>
    <w:p w14:paraId="2C8840EF" w14:textId="77777777" w:rsidR="0082424C" w:rsidRPr="007A3600" w:rsidRDefault="0082424C" w:rsidP="00AD3197">
      <w:pPr>
        <w:spacing w:after="120" w:line="260" w:lineRule="atLeast"/>
        <w:rPr>
          <w:rFonts w:eastAsia="Times New Roman" w:cs="Arial"/>
          <w:bCs/>
          <w:sz w:val="18"/>
          <w:szCs w:val="18"/>
          <w:lang w:eastAsia="en-US"/>
        </w:rPr>
      </w:pPr>
      <w:r w:rsidRPr="007A3600">
        <w:rPr>
          <w:rFonts w:eastAsia="Times New Roman" w:cs="Arial"/>
          <w:bCs/>
          <w:sz w:val="18"/>
          <w:szCs w:val="18"/>
          <w:lang w:eastAsia="en-US"/>
        </w:rPr>
        <w:t xml:space="preserve">For provider (plan- and Agency-managed) payments, the primary factor driving the decrease in estimated error value is the decrease in the number of errors found together with the proportional decrease in the average error value over the sample group applied against the total value of payments made by the Agency in 2024–25. For self-managed payments, the primary factor driving the increase in estimated error value is the increase in the </w:t>
      </w:r>
      <w:r w:rsidRPr="007A3600">
        <w:rPr>
          <w:rFonts w:eastAsia="Times New Roman" w:cs="Arial"/>
          <w:bCs/>
          <w:sz w:val="18"/>
          <w:szCs w:val="18"/>
          <w:lang w:eastAsia="en-US"/>
        </w:rPr>
        <w:lastRenderedPageBreak/>
        <w:t>number of errors found together with the proportional increase in the average error value over the sample group applied against the total value of payments made by the Agency in 2024–25.</w:t>
      </w:r>
    </w:p>
    <w:p w14:paraId="022FCB92" w14:textId="016DFBF9" w:rsidR="0082424C" w:rsidRPr="007A3600" w:rsidRDefault="0082424C" w:rsidP="00AD3197">
      <w:pPr>
        <w:spacing w:after="120" w:line="260" w:lineRule="atLeast"/>
        <w:rPr>
          <w:rFonts w:eastAsia="Times New Roman" w:cs="Arial"/>
          <w:bCs/>
          <w:sz w:val="18"/>
          <w:szCs w:val="18"/>
          <w:lang w:eastAsia="en-US"/>
        </w:rPr>
      </w:pPr>
      <w:r w:rsidRPr="007A3600">
        <w:rPr>
          <w:rFonts w:eastAsia="Times New Roman" w:cs="Arial"/>
          <w:bCs/>
          <w:sz w:val="18"/>
          <w:szCs w:val="18"/>
          <w:lang w:eastAsia="en-US"/>
        </w:rPr>
        <w:t>The Agency also undertakes additional business assurance and integrity testing activities as part of the management of the Scheme. The Fraud Fusion Taskforce (FFT), a whole-of-government multi-agency response program, is used by the Agency to provide additional assurance on the integrity of the Scheme and the reported participant plan expense. The FFT is developing a scalable and repeatable assurance and prevention model to facilitate payment integrity across Government services. Crackdown on Fraud (program) is a multi-year program established by the Agency to implement system improvements in the NDIA to strengthen the prevention and detection of and response to fraud. Additional Agency activity on the integrity of the Scheme is achieved through fraud investigations and prosecutions, often with FFT partners. Results achieved from the FFT and the Crackdown on Fraud program have included:</w:t>
      </w:r>
    </w:p>
    <w:p w14:paraId="7EA16319" w14:textId="77777777" w:rsidR="0082424C" w:rsidRPr="007A3600" w:rsidRDefault="0082424C" w:rsidP="00DD1C0E">
      <w:pPr>
        <w:pStyle w:val="Financialstatementbulletpoint"/>
      </w:pPr>
      <w:r w:rsidRPr="007A3600">
        <w:t>Improved integrity of identity information for participants, while providing a familiar, consistent and secure experience for participants and nominees accessing NDIS digital platforms through myGov;</w:t>
      </w:r>
    </w:p>
    <w:p w14:paraId="1063A5BB" w14:textId="77777777" w:rsidR="0082424C" w:rsidRPr="007A3600" w:rsidRDefault="0082424C" w:rsidP="00AD3197">
      <w:pPr>
        <w:numPr>
          <w:ilvl w:val="0"/>
          <w:numId w:val="23"/>
        </w:numPr>
        <w:spacing w:after="0" w:line="260" w:lineRule="atLeast"/>
        <w:rPr>
          <w:rFonts w:eastAsia="Times New Roman" w:cs="Arial"/>
          <w:bCs/>
          <w:sz w:val="18"/>
          <w:szCs w:val="18"/>
          <w:lang w:eastAsia="en-US"/>
        </w:rPr>
      </w:pPr>
      <w:r w:rsidRPr="007A3600">
        <w:rPr>
          <w:rFonts w:eastAsia="Times New Roman" w:cs="Arial"/>
          <w:bCs/>
          <w:sz w:val="18"/>
          <w:szCs w:val="18"/>
          <w:lang w:eastAsia="en-US"/>
        </w:rPr>
        <w:t>Enhanced systems, processes, and analytics capabilities of the Agency. This has included the delivery of a new data-lake to support fraud detection and a new integrity management system to transform how the Agency does investigations, and strengthened the NDIA’s capability to detect and analyse cyber events:</w:t>
      </w:r>
    </w:p>
    <w:p w14:paraId="59D9B3D9" w14:textId="77777777" w:rsidR="0082424C" w:rsidRPr="007A3600" w:rsidRDefault="0082424C" w:rsidP="00AD3197">
      <w:pPr>
        <w:numPr>
          <w:ilvl w:val="0"/>
          <w:numId w:val="23"/>
        </w:numPr>
        <w:spacing w:after="0" w:line="260" w:lineRule="atLeast"/>
        <w:rPr>
          <w:rFonts w:eastAsia="Times New Roman" w:cs="Arial"/>
          <w:bCs/>
          <w:sz w:val="18"/>
          <w:szCs w:val="18"/>
          <w:lang w:eastAsia="en-US"/>
        </w:rPr>
      </w:pPr>
      <w:r w:rsidRPr="007A3600">
        <w:rPr>
          <w:rFonts w:eastAsia="Times New Roman" w:cs="Arial"/>
          <w:bCs/>
          <w:sz w:val="18"/>
          <w:szCs w:val="18"/>
          <w:lang w:eastAsia="en-US"/>
        </w:rPr>
        <w:t>Significantly increased reviews of claims from providers, plan managers and participants;</w:t>
      </w:r>
    </w:p>
    <w:p w14:paraId="0FD57F86" w14:textId="77777777" w:rsidR="0082424C" w:rsidRPr="007A3600" w:rsidRDefault="0082424C" w:rsidP="00AD3197">
      <w:pPr>
        <w:numPr>
          <w:ilvl w:val="0"/>
          <w:numId w:val="23"/>
        </w:numPr>
        <w:spacing w:after="0" w:line="260" w:lineRule="atLeast"/>
        <w:rPr>
          <w:rFonts w:eastAsia="Times New Roman" w:cs="Arial"/>
          <w:bCs/>
          <w:sz w:val="18"/>
          <w:szCs w:val="18"/>
          <w:lang w:eastAsia="en-US"/>
        </w:rPr>
      </w:pPr>
      <w:r w:rsidRPr="007A3600">
        <w:rPr>
          <w:rFonts w:eastAsia="Times New Roman" w:cs="Arial"/>
          <w:bCs/>
          <w:sz w:val="18"/>
          <w:szCs w:val="18"/>
          <w:lang w:eastAsia="en-US"/>
        </w:rPr>
        <w:t>Disruption of providers submissions with incorrect and non-compliant claims to the NDIS;</w:t>
      </w:r>
    </w:p>
    <w:p w14:paraId="0C89FC8B" w14:textId="77777777" w:rsidR="0082424C" w:rsidRPr="007A3600" w:rsidRDefault="0082424C" w:rsidP="00AD3197">
      <w:pPr>
        <w:numPr>
          <w:ilvl w:val="0"/>
          <w:numId w:val="23"/>
        </w:numPr>
        <w:spacing w:after="0" w:line="260" w:lineRule="atLeast"/>
        <w:rPr>
          <w:rFonts w:eastAsia="Times New Roman" w:cs="Arial"/>
          <w:bCs/>
          <w:sz w:val="18"/>
          <w:szCs w:val="18"/>
          <w:lang w:eastAsia="en-US"/>
        </w:rPr>
      </w:pPr>
      <w:r w:rsidRPr="007A3600">
        <w:rPr>
          <w:rFonts w:eastAsia="Times New Roman" w:cs="Arial"/>
          <w:bCs/>
          <w:sz w:val="18"/>
          <w:szCs w:val="18"/>
          <w:lang w:eastAsia="en-US"/>
        </w:rPr>
        <w:t>Improved warrant execution, in partnership with Commonwealth and State law-enforcement agencies;</w:t>
      </w:r>
    </w:p>
    <w:p w14:paraId="24AA1134" w14:textId="77777777" w:rsidR="0082424C" w:rsidRPr="007A3600" w:rsidRDefault="0082424C" w:rsidP="00AD3197">
      <w:pPr>
        <w:numPr>
          <w:ilvl w:val="0"/>
          <w:numId w:val="23"/>
        </w:numPr>
        <w:spacing w:after="120" w:line="260" w:lineRule="atLeast"/>
        <w:ind w:left="714" w:hanging="357"/>
        <w:rPr>
          <w:rFonts w:eastAsia="Times New Roman" w:cs="Arial"/>
          <w:bCs/>
          <w:sz w:val="18"/>
          <w:szCs w:val="18"/>
          <w:lang w:eastAsia="en-US"/>
        </w:rPr>
      </w:pPr>
      <w:r w:rsidRPr="007A3600">
        <w:rPr>
          <w:rFonts w:eastAsia="Times New Roman" w:cs="Arial"/>
          <w:bCs/>
          <w:sz w:val="18"/>
          <w:szCs w:val="18"/>
          <w:lang w:eastAsia="en-US"/>
        </w:rPr>
        <w:t>Detecting and reducing the misuse of funds by conducting disruption campaigns (such as for short-term accommodation (STA)).</w:t>
      </w:r>
    </w:p>
    <w:p w14:paraId="2B62ADEA" w14:textId="77777777" w:rsidR="0082424C" w:rsidRPr="007A3600" w:rsidRDefault="0082424C" w:rsidP="00132695">
      <w:pPr>
        <w:numPr>
          <w:ilvl w:val="1"/>
          <w:numId w:val="0"/>
        </w:numPr>
        <w:shd w:val="clear" w:color="auto" w:fill="000000"/>
        <w:spacing w:after="0" w:line="260" w:lineRule="atLeast"/>
        <w:ind w:left="425" w:hanging="425"/>
        <w:rPr>
          <w:rFonts w:eastAsia="Times New Roman" w:cs="Arial"/>
          <w:b/>
          <w:color w:val="FFFFFF"/>
          <w:sz w:val="20"/>
          <w:szCs w:val="20"/>
          <w:lang w:eastAsia="en-US"/>
        </w:rPr>
      </w:pPr>
      <w:r w:rsidRPr="007A3600">
        <w:rPr>
          <w:rFonts w:eastAsia="Times New Roman" w:cs="Arial"/>
          <w:b/>
          <w:color w:val="FFFFFF"/>
          <w:sz w:val="20"/>
          <w:szCs w:val="20"/>
          <w:lang w:eastAsia="en-US"/>
        </w:rPr>
        <w:t>1.2</w:t>
      </w:r>
      <w:r w:rsidRPr="007A3600">
        <w:rPr>
          <w:rFonts w:eastAsia="Times New Roman" w:cs="Arial"/>
          <w:b/>
          <w:color w:val="FFFFFF"/>
          <w:sz w:val="20"/>
          <w:szCs w:val="20"/>
          <w:lang w:eastAsia="en-US"/>
        </w:rPr>
        <w:tab/>
        <w:t>Own-Source Revenue and Gains</w:t>
      </w:r>
      <w:bookmarkEnd w:id="181"/>
      <w:bookmarkEnd w:id="182"/>
      <w:bookmarkEnd w:id="183"/>
      <w:bookmarkEnd w:id="184"/>
      <w:bookmarkEnd w:id="185"/>
      <w:bookmarkEnd w:id="186"/>
      <w:bookmarkEnd w:id="187"/>
      <w:bookmarkEnd w:id="188"/>
    </w:p>
    <w:p w14:paraId="03B6C26D" w14:textId="77777777" w:rsidR="0082424C" w:rsidRPr="007A3600" w:rsidRDefault="0082424C" w:rsidP="00AD3197">
      <w:pPr>
        <w:spacing w:after="0" w:line="260" w:lineRule="atLeast"/>
        <w:rPr>
          <w:rFonts w:ascii="Times New Roman" w:eastAsia="Times New Roman" w:hAnsi="Times New Roman"/>
          <w:sz w:val="22"/>
          <w:szCs w:val="20"/>
          <w:lang w:eastAsia="en-US"/>
        </w:rPr>
      </w:pPr>
    </w:p>
    <w:tbl>
      <w:tblPr>
        <w:tblW w:w="9087" w:type="dxa"/>
        <w:tblLayout w:type="fixed"/>
        <w:tblLook w:val="04A0" w:firstRow="1" w:lastRow="0" w:firstColumn="1" w:lastColumn="0" w:noHBand="0" w:noVBand="1"/>
      </w:tblPr>
      <w:tblGrid>
        <w:gridCol w:w="6352"/>
        <w:gridCol w:w="1268"/>
        <w:gridCol w:w="236"/>
        <w:gridCol w:w="1231"/>
      </w:tblGrid>
      <w:tr w:rsidR="0082424C" w:rsidRPr="007A3600" w14:paraId="5C49A9AD" w14:textId="77777777">
        <w:trPr>
          <w:trHeight w:val="250"/>
        </w:trPr>
        <w:tc>
          <w:tcPr>
            <w:tcW w:w="6352" w:type="dxa"/>
            <w:tcBorders>
              <w:top w:val="nil"/>
              <w:left w:val="nil"/>
              <w:bottom w:val="nil"/>
              <w:right w:val="nil"/>
            </w:tcBorders>
            <w:shd w:val="clear" w:color="FFFFFF" w:fill="FFFFFF"/>
            <w:vAlign w:val="bottom"/>
            <w:hideMark/>
          </w:tcPr>
          <w:p w14:paraId="154D8FF7"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OWN SOURCE REVENUE</w:t>
            </w:r>
          </w:p>
        </w:tc>
        <w:tc>
          <w:tcPr>
            <w:tcW w:w="1268" w:type="dxa"/>
            <w:tcBorders>
              <w:top w:val="nil"/>
              <w:left w:val="nil"/>
              <w:bottom w:val="nil"/>
              <w:right w:val="nil"/>
            </w:tcBorders>
            <w:shd w:val="clear" w:color="FFFFFF" w:fill="FFFFFF"/>
            <w:noWrap/>
            <w:vAlign w:val="bottom"/>
            <w:hideMark/>
          </w:tcPr>
          <w:p w14:paraId="5B98AB54"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0AF1A2F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730685D8"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6429D617" w14:textId="77777777">
        <w:trPr>
          <w:trHeight w:val="250"/>
        </w:trPr>
        <w:tc>
          <w:tcPr>
            <w:tcW w:w="6352" w:type="dxa"/>
            <w:tcBorders>
              <w:top w:val="nil"/>
              <w:left w:val="nil"/>
              <w:bottom w:val="nil"/>
              <w:right w:val="nil"/>
            </w:tcBorders>
            <w:shd w:val="clear" w:color="FFFFFF" w:fill="FFFFFF"/>
            <w:vAlign w:val="bottom"/>
            <w:hideMark/>
          </w:tcPr>
          <w:p w14:paraId="10FF3595"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68" w:type="dxa"/>
            <w:tcBorders>
              <w:top w:val="nil"/>
              <w:left w:val="nil"/>
              <w:bottom w:val="nil"/>
              <w:right w:val="nil"/>
            </w:tcBorders>
            <w:shd w:val="clear" w:color="FFFFFF" w:fill="FFFFFF"/>
            <w:noWrap/>
            <w:vAlign w:val="bottom"/>
            <w:hideMark/>
          </w:tcPr>
          <w:p w14:paraId="29B73F8A"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760D63A0"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7AB3F0CD"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552D6FBC" w14:textId="77777777">
        <w:trPr>
          <w:trHeight w:val="260"/>
        </w:trPr>
        <w:tc>
          <w:tcPr>
            <w:tcW w:w="6352" w:type="dxa"/>
            <w:tcBorders>
              <w:top w:val="nil"/>
              <w:left w:val="nil"/>
              <w:bottom w:val="nil"/>
              <w:right w:val="nil"/>
            </w:tcBorders>
            <w:shd w:val="clear" w:color="FFFFFF" w:fill="FFFFFF"/>
            <w:noWrap/>
            <w:vAlign w:val="bottom"/>
            <w:hideMark/>
          </w:tcPr>
          <w:p w14:paraId="340726AB" w14:textId="77777777" w:rsidR="0082424C" w:rsidRPr="007A3600" w:rsidRDefault="0082424C" w:rsidP="00AD3197">
            <w:pPr>
              <w:spacing w:after="0" w:line="24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1.2A: Rendering of services</w:t>
            </w:r>
          </w:p>
        </w:tc>
        <w:tc>
          <w:tcPr>
            <w:tcW w:w="1268" w:type="dxa"/>
            <w:tcBorders>
              <w:top w:val="nil"/>
              <w:left w:val="nil"/>
              <w:bottom w:val="nil"/>
              <w:right w:val="nil"/>
            </w:tcBorders>
            <w:shd w:val="clear" w:color="FFFFFF" w:fill="FFFFFF"/>
            <w:noWrap/>
            <w:vAlign w:val="bottom"/>
            <w:hideMark/>
          </w:tcPr>
          <w:p w14:paraId="116340B2"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7B5A696"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7EC48BA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C265B1E" w14:textId="77777777">
        <w:trPr>
          <w:trHeight w:val="260"/>
        </w:trPr>
        <w:tc>
          <w:tcPr>
            <w:tcW w:w="6352" w:type="dxa"/>
            <w:tcBorders>
              <w:top w:val="nil"/>
              <w:left w:val="nil"/>
              <w:bottom w:val="nil"/>
              <w:right w:val="nil"/>
            </w:tcBorders>
            <w:shd w:val="clear" w:color="FFFFFF" w:fill="FFFFFF"/>
            <w:noWrap/>
            <w:vAlign w:val="bottom"/>
            <w:hideMark/>
          </w:tcPr>
          <w:p w14:paraId="4B246DD1" w14:textId="77777777" w:rsidR="0082424C" w:rsidRPr="007A3600" w:rsidRDefault="0082424C" w:rsidP="00AD3197">
            <w:pPr>
              <w:spacing w:after="0" w:line="240" w:lineRule="atLeast"/>
              <w:ind w:leftChars="100" w:left="240"/>
              <w:rPr>
                <w:rFonts w:eastAsia="Times New Roman" w:cs="Arial"/>
                <w:b/>
                <w:bCs/>
                <w:sz w:val="18"/>
                <w:szCs w:val="18"/>
                <w:lang w:eastAsia="en-US"/>
              </w:rPr>
            </w:pPr>
            <w:r w:rsidRPr="007A3600">
              <w:rPr>
                <w:rFonts w:eastAsia="Times New Roman" w:cs="Arial"/>
                <w:b/>
                <w:bCs/>
                <w:sz w:val="18"/>
                <w:szCs w:val="18"/>
                <w:lang w:eastAsia="en-US"/>
              </w:rPr>
              <w:t xml:space="preserve">Rendering of services in connection with: </w:t>
            </w:r>
          </w:p>
        </w:tc>
        <w:tc>
          <w:tcPr>
            <w:tcW w:w="1268" w:type="dxa"/>
            <w:tcBorders>
              <w:top w:val="nil"/>
              <w:left w:val="nil"/>
              <w:bottom w:val="nil"/>
              <w:right w:val="nil"/>
            </w:tcBorders>
            <w:shd w:val="clear" w:color="FFFFFF" w:fill="FFFFFF"/>
            <w:noWrap/>
            <w:vAlign w:val="bottom"/>
            <w:hideMark/>
          </w:tcPr>
          <w:p w14:paraId="4F95C1B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3F348A2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5DA5C93F"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68415FB" w14:textId="77777777">
        <w:trPr>
          <w:trHeight w:val="250"/>
        </w:trPr>
        <w:tc>
          <w:tcPr>
            <w:tcW w:w="6352" w:type="dxa"/>
            <w:tcBorders>
              <w:top w:val="nil"/>
              <w:left w:val="nil"/>
              <w:bottom w:val="nil"/>
              <w:right w:val="nil"/>
            </w:tcBorders>
            <w:shd w:val="clear" w:color="FFFFFF" w:fill="FFFFFF"/>
            <w:vAlign w:val="bottom"/>
            <w:hideMark/>
          </w:tcPr>
          <w:p w14:paraId="26825096" w14:textId="77777777" w:rsidR="0082424C" w:rsidRPr="007A3600" w:rsidRDefault="0082424C" w:rsidP="00AD3197">
            <w:pPr>
              <w:spacing w:after="0" w:line="240" w:lineRule="atLeast"/>
              <w:ind w:leftChars="200" w:left="480"/>
              <w:rPr>
                <w:rFonts w:eastAsia="Times New Roman" w:cs="Arial"/>
                <w:sz w:val="18"/>
                <w:szCs w:val="18"/>
                <w:lang w:eastAsia="en-US"/>
              </w:rPr>
            </w:pPr>
            <w:r w:rsidRPr="007A3600">
              <w:rPr>
                <w:rFonts w:eastAsia="Times New Roman" w:cs="Arial"/>
                <w:sz w:val="18"/>
                <w:szCs w:val="18"/>
                <w:lang w:eastAsia="en-US"/>
              </w:rPr>
              <w:t>Related parties - contributions from Commonwealth</w:t>
            </w:r>
          </w:p>
        </w:tc>
        <w:tc>
          <w:tcPr>
            <w:tcW w:w="1268" w:type="dxa"/>
            <w:tcBorders>
              <w:top w:val="nil"/>
              <w:left w:val="nil"/>
              <w:bottom w:val="nil"/>
              <w:right w:val="nil"/>
            </w:tcBorders>
            <w:shd w:val="clear" w:color="FFFFFF" w:fill="FFFFFF"/>
            <w:noWrap/>
            <w:vAlign w:val="bottom"/>
            <w:hideMark/>
          </w:tcPr>
          <w:p w14:paraId="705A574B"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33,561,217</w:t>
            </w:r>
          </w:p>
        </w:tc>
        <w:tc>
          <w:tcPr>
            <w:tcW w:w="236" w:type="dxa"/>
            <w:tcBorders>
              <w:top w:val="nil"/>
              <w:left w:val="nil"/>
              <w:bottom w:val="nil"/>
              <w:right w:val="nil"/>
            </w:tcBorders>
            <w:shd w:val="clear" w:color="FFFFFF" w:fill="FFFFFF"/>
            <w:noWrap/>
            <w:vAlign w:val="bottom"/>
            <w:hideMark/>
          </w:tcPr>
          <w:p w14:paraId="54D3B90D"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596F1BA3"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30,279,923</w:t>
            </w:r>
          </w:p>
        </w:tc>
      </w:tr>
      <w:tr w:rsidR="0082424C" w:rsidRPr="007A3600" w14:paraId="78F4650E" w14:textId="77777777">
        <w:trPr>
          <w:trHeight w:val="250"/>
        </w:trPr>
        <w:tc>
          <w:tcPr>
            <w:tcW w:w="6352" w:type="dxa"/>
            <w:tcBorders>
              <w:top w:val="nil"/>
              <w:left w:val="nil"/>
              <w:bottom w:val="nil"/>
              <w:right w:val="nil"/>
            </w:tcBorders>
            <w:shd w:val="clear" w:color="FFFFFF" w:fill="FFFFFF"/>
            <w:vAlign w:val="bottom"/>
            <w:hideMark/>
          </w:tcPr>
          <w:p w14:paraId="644C08E3" w14:textId="77777777" w:rsidR="0082424C" w:rsidRPr="007A3600" w:rsidRDefault="0082424C" w:rsidP="00AD3197">
            <w:pPr>
              <w:spacing w:after="0" w:line="240" w:lineRule="atLeast"/>
              <w:ind w:leftChars="200" w:left="480"/>
              <w:rPr>
                <w:rFonts w:eastAsia="Times New Roman" w:cs="Arial"/>
                <w:sz w:val="18"/>
                <w:szCs w:val="18"/>
                <w:lang w:eastAsia="en-US"/>
              </w:rPr>
            </w:pPr>
            <w:r w:rsidRPr="007A3600">
              <w:rPr>
                <w:rFonts w:eastAsia="Times New Roman" w:cs="Arial"/>
                <w:sz w:val="18"/>
                <w:szCs w:val="18"/>
                <w:lang w:eastAsia="en-US"/>
              </w:rPr>
              <w:t>External parties - contributions from state and territory governments</w:t>
            </w:r>
          </w:p>
        </w:tc>
        <w:tc>
          <w:tcPr>
            <w:tcW w:w="1268" w:type="dxa"/>
            <w:tcBorders>
              <w:top w:val="nil"/>
              <w:left w:val="nil"/>
              <w:bottom w:val="nil"/>
              <w:right w:val="nil"/>
            </w:tcBorders>
            <w:shd w:val="clear" w:color="FFFFFF" w:fill="FFFFFF"/>
            <w:noWrap/>
            <w:vAlign w:val="bottom"/>
            <w:hideMark/>
          </w:tcPr>
          <w:p w14:paraId="53FDC9F9"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11,656,741</w:t>
            </w:r>
          </w:p>
        </w:tc>
        <w:tc>
          <w:tcPr>
            <w:tcW w:w="236" w:type="dxa"/>
            <w:tcBorders>
              <w:top w:val="nil"/>
              <w:left w:val="nil"/>
              <w:bottom w:val="nil"/>
              <w:right w:val="nil"/>
            </w:tcBorders>
            <w:shd w:val="clear" w:color="FFFFFF" w:fill="FFFFFF"/>
            <w:noWrap/>
            <w:vAlign w:val="bottom"/>
            <w:hideMark/>
          </w:tcPr>
          <w:p w14:paraId="4A3A49AC"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nil"/>
              <w:left w:val="nil"/>
              <w:bottom w:val="nil"/>
              <w:right w:val="nil"/>
            </w:tcBorders>
            <w:shd w:val="clear" w:color="FFFFFF" w:fill="FFFFFF"/>
            <w:noWrap/>
            <w:vAlign w:val="bottom"/>
            <w:hideMark/>
          </w:tcPr>
          <w:p w14:paraId="39291AC2"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11,149,138</w:t>
            </w:r>
          </w:p>
        </w:tc>
      </w:tr>
      <w:tr w:rsidR="0082424C" w:rsidRPr="007A3600" w14:paraId="6CE20750" w14:textId="77777777">
        <w:trPr>
          <w:trHeight w:val="250"/>
        </w:trPr>
        <w:tc>
          <w:tcPr>
            <w:tcW w:w="6352" w:type="dxa"/>
            <w:tcBorders>
              <w:top w:val="nil"/>
              <w:left w:val="nil"/>
              <w:bottom w:val="nil"/>
              <w:right w:val="nil"/>
            </w:tcBorders>
            <w:shd w:val="clear" w:color="FFFFFF" w:fill="FFFFFF"/>
            <w:vAlign w:val="bottom"/>
            <w:hideMark/>
          </w:tcPr>
          <w:p w14:paraId="52D5CF75" w14:textId="77777777" w:rsidR="0082424C" w:rsidRPr="007A3600" w:rsidRDefault="0082424C" w:rsidP="00AD3197">
            <w:pPr>
              <w:spacing w:after="0" w:line="240" w:lineRule="atLeast"/>
              <w:rPr>
                <w:rFonts w:eastAsia="Times New Roman" w:cs="Arial"/>
                <w:b/>
                <w:bCs/>
                <w:sz w:val="18"/>
                <w:szCs w:val="18"/>
                <w:lang w:eastAsia="en-US"/>
              </w:rPr>
            </w:pPr>
            <w:r w:rsidRPr="007A3600">
              <w:rPr>
                <w:rFonts w:eastAsia="Times New Roman" w:cs="Arial"/>
                <w:b/>
                <w:bCs/>
                <w:sz w:val="18"/>
                <w:szCs w:val="18"/>
                <w:lang w:eastAsia="en-US"/>
              </w:rPr>
              <w:t>Total revenue from rendering of services</w:t>
            </w:r>
          </w:p>
        </w:tc>
        <w:tc>
          <w:tcPr>
            <w:tcW w:w="1268" w:type="dxa"/>
            <w:tcBorders>
              <w:top w:val="single" w:sz="4" w:space="0" w:color="auto"/>
              <w:left w:val="nil"/>
              <w:bottom w:val="single" w:sz="4" w:space="0" w:color="auto"/>
              <w:right w:val="nil"/>
            </w:tcBorders>
            <w:shd w:val="clear" w:color="FFFFFF" w:fill="FFFFFF"/>
            <w:noWrap/>
            <w:vAlign w:val="bottom"/>
            <w:hideMark/>
          </w:tcPr>
          <w:p w14:paraId="6F84A1A1" w14:textId="77777777" w:rsidR="0082424C" w:rsidRPr="007A3600" w:rsidRDefault="0082424C" w:rsidP="00AD3197">
            <w:pPr>
              <w:spacing w:after="0" w:line="240" w:lineRule="atLeast"/>
              <w:jc w:val="right"/>
              <w:rPr>
                <w:rFonts w:eastAsia="Times New Roman" w:cs="Arial"/>
                <w:b/>
                <w:bCs/>
                <w:sz w:val="18"/>
                <w:szCs w:val="18"/>
                <w:lang w:eastAsia="en-US"/>
              </w:rPr>
            </w:pPr>
            <w:r w:rsidRPr="007A3600">
              <w:rPr>
                <w:rFonts w:eastAsia="Times New Roman" w:cs="Arial"/>
                <w:b/>
                <w:bCs/>
                <w:sz w:val="18"/>
                <w:szCs w:val="18"/>
                <w:lang w:eastAsia="en-US"/>
              </w:rPr>
              <w:t>45,217,958</w:t>
            </w:r>
          </w:p>
        </w:tc>
        <w:tc>
          <w:tcPr>
            <w:tcW w:w="236" w:type="dxa"/>
            <w:tcBorders>
              <w:top w:val="nil"/>
              <w:left w:val="nil"/>
              <w:bottom w:val="nil"/>
              <w:right w:val="nil"/>
            </w:tcBorders>
            <w:shd w:val="clear" w:color="FFFFFF" w:fill="FFFFFF"/>
            <w:noWrap/>
            <w:vAlign w:val="bottom"/>
            <w:hideMark/>
          </w:tcPr>
          <w:p w14:paraId="4E398D6E" w14:textId="77777777" w:rsidR="0082424C" w:rsidRPr="007A3600" w:rsidRDefault="0082424C" w:rsidP="00AD3197">
            <w:pPr>
              <w:spacing w:after="0" w:line="240" w:lineRule="atLeast"/>
              <w:rPr>
                <w:rFonts w:eastAsia="Times New Roman" w:cs="Arial"/>
                <w:sz w:val="18"/>
                <w:szCs w:val="18"/>
                <w:lang w:eastAsia="en-US"/>
              </w:rPr>
            </w:pPr>
            <w:r w:rsidRPr="007A3600">
              <w:rPr>
                <w:rFonts w:eastAsia="Times New Roman" w:cs="Arial"/>
                <w:sz w:val="18"/>
                <w:szCs w:val="18"/>
                <w:lang w:eastAsia="en-US"/>
              </w:rPr>
              <w:t> </w:t>
            </w:r>
          </w:p>
        </w:tc>
        <w:tc>
          <w:tcPr>
            <w:tcW w:w="1231" w:type="dxa"/>
            <w:tcBorders>
              <w:top w:val="single" w:sz="4" w:space="0" w:color="auto"/>
              <w:left w:val="nil"/>
              <w:bottom w:val="single" w:sz="4" w:space="0" w:color="auto"/>
              <w:right w:val="nil"/>
            </w:tcBorders>
            <w:shd w:val="clear" w:color="FFFFFF" w:fill="FFFFFF"/>
            <w:noWrap/>
            <w:vAlign w:val="bottom"/>
            <w:hideMark/>
          </w:tcPr>
          <w:p w14:paraId="10F39D30" w14:textId="77777777" w:rsidR="0082424C" w:rsidRPr="007A3600" w:rsidRDefault="0082424C" w:rsidP="00AD3197">
            <w:pPr>
              <w:spacing w:after="0" w:line="240" w:lineRule="atLeast"/>
              <w:jc w:val="right"/>
              <w:rPr>
                <w:rFonts w:eastAsia="Times New Roman" w:cs="Arial"/>
                <w:sz w:val="18"/>
                <w:szCs w:val="18"/>
                <w:lang w:eastAsia="en-US"/>
              </w:rPr>
            </w:pPr>
            <w:r w:rsidRPr="007A3600">
              <w:rPr>
                <w:rFonts w:eastAsia="Times New Roman" w:cs="Arial"/>
                <w:sz w:val="18"/>
                <w:szCs w:val="18"/>
                <w:lang w:eastAsia="en-US"/>
              </w:rPr>
              <w:t>41,429,061</w:t>
            </w:r>
          </w:p>
        </w:tc>
      </w:tr>
    </w:tbl>
    <w:p w14:paraId="363F6FD7" w14:textId="77777777" w:rsidR="0082424C" w:rsidRPr="007A3600" w:rsidRDefault="0082424C" w:rsidP="00AD3197">
      <w:pPr>
        <w:spacing w:after="0" w:line="260" w:lineRule="atLeast"/>
        <w:rPr>
          <w:rFonts w:ascii="Times New Roman" w:eastAsia="Times New Roman" w:hAnsi="Times New Roman"/>
          <w:sz w:val="22"/>
          <w:szCs w:val="20"/>
          <w:lang w:eastAsia="en-US"/>
        </w:rPr>
      </w:pPr>
    </w:p>
    <w:p w14:paraId="3AB2549C" w14:textId="77777777"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bookmarkStart w:id="189" w:name="_Hlk109999023"/>
      <w:r w:rsidRPr="007A3600">
        <w:rPr>
          <w:rFonts w:eastAsia="Times New Roman" w:cs="Arial"/>
          <w:b/>
          <w:bCs/>
          <w:sz w:val="18"/>
          <w:szCs w:val="18"/>
          <w:lang w:eastAsia="en-US"/>
        </w:rPr>
        <w:t>Accounting Policy</w:t>
      </w:r>
    </w:p>
    <w:bookmarkEnd w:id="189"/>
    <w:p w14:paraId="6664C5C7" w14:textId="77777777"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260" w:lineRule="atLeast"/>
        <w:rPr>
          <w:rFonts w:eastAsia="Times New Roman" w:cs="Arial"/>
          <w:bCs/>
          <w:sz w:val="18"/>
          <w:szCs w:val="18"/>
          <w:lang w:eastAsia="en-US"/>
        </w:rPr>
      </w:pPr>
      <w:r w:rsidRPr="007A3600">
        <w:rPr>
          <w:rFonts w:eastAsia="Times New Roman" w:cs="Arial"/>
          <w:bCs/>
          <w:sz w:val="18"/>
          <w:szCs w:val="18"/>
          <w:lang w:eastAsia="en-US"/>
        </w:rPr>
        <w:t>Payments to the Agency from the Commonwealth, state and territory governments are recognised as revenue when they become payable to the Agency under the relevant signed agreement. These include payments outlined in the bilateral agreements for the funding of the Scheme. Payments received in advance and any outstanding offsets to be deducted from future period receipts are treated as unearned revenue (refer note 2.4).</w:t>
      </w:r>
    </w:p>
    <w:p w14:paraId="43044CB8" w14:textId="77777777"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260" w:lineRule="atLeast"/>
        <w:rPr>
          <w:rFonts w:eastAsia="Times New Roman" w:cs="Arial"/>
          <w:bCs/>
          <w:sz w:val="18"/>
          <w:szCs w:val="18"/>
          <w:lang w:eastAsia="en-US"/>
        </w:rPr>
      </w:pPr>
      <w:r w:rsidRPr="007A3600">
        <w:rPr>
          <w:rFonts w:eastAsia="Times New Roman" w:cs="Arial"/>
          <w:bCs/>
          <w:sz w:val="18"/>
          <w:szCs w:val="18"/>
          <w:lang w:eastAsia="en-US"/>
        </w:rPr>
        <w:t>The transaction price for the Scheme contributions is the total amount payable by the jurisdictions to fund the Scheme under their bilateral agreements. The bilateral agreements have annual performance obligations.</w:t>
      </w:r>
    </w:p>
    <w:p w14:paraId="16FFF820" w14:textId="73681D93" w:rsidR="0082424C" w:rsidRPr="007A3600" w:rsidRDefault="0082424C" w:rsidP="00AD3197">
      <w:pPr>
        <w:pBdr>
          <w:top w:val="single" w:sz="4" w:space="0" w:color="800080"/>
          <w:left w:val="single" w:sz="4" w:space="4" w:color="800080"/>
          <w:bottom w:val="single" w:sz="4" w:space="1" w:color="800080"/>
          <w:right w:val="single" w:sz="4" w:space="4" w:color="800080"/>
        </w:pBdr>
        <w:spacing w:after="120" w:line="260" w:lineRule="atLeast"/>
        <w:rPr>
          <w:rFonts w:eastAsia="Times New Roman" w:cs="Arial"/>
          <w:bCs/>
          <w:sz w:val="18"/>
          <w:szCs w:val="18"/>
          <w:lang w:eastAsia="en-US"/>
        </w:rPr>
      </w:pPr>
      <w:r w:rsidRPr="007A3600">
        <w:rPr>
          <w:rFonts w:eastAsia="Times New Roman" w:cs="Arial"/>
          <w:bCs/>
          <w:sz w:val="18"/>
          <w:szCs w:val="18"/>
          <w:lang w:eastAsia="en-US"/>
        </w:rPr>
        <w:t>Total contributions revenue from state and territories governments comprises cash and non-cash components. Non-cash contributions (i.e. In-kind) are reported as non-cash revenue in Note 1.2D Other gains. In-Kind contributions reduce the total cash contributions payable by state and territory governments to the Scheme under the bilateral agreements.</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046EC0B2" w14:textId="77777777">
        <w:trPr>
          <w:trHeight w:val="260"/>
        </w:trPr>
        <w:tc>
          <w:tcPr>
            <w:tcW w:w="6365" w:type="dxa"/>
            <w:tcBorders>
              <w:top w:val="nil"/>
              <w:left w:val="nil"/>
              <w:bottom w:val="nil"/>
              <w:right w:val="nil"/>
            </w:tcBorders>
            <w:shd w:val="clear" w:color="FFFFFF" w:fill="FFFFFF"/>
            <w:noWrap/>
            <w:vAlign w:val="bottom"/>
            <w:hideMark/>
          </w:tcPr>
          <w:p w14:paraId="74DEAFD3"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1.2B: Rental income</w:t>
            </w:r>
          </w:p>
        </w:tc>
        <w:tc>
          <w:tcPr>
            <w:tcW w:w="1243" w:type="dxa"/>
            <w:tcBorders>
              <w:top w:val="nil"/>
              <w:left w:val="nil"/>
              <w:bottom w:val="nil"/>
              <w:right w:val="nil"/>
            </w:tcBorders>
            <w:shd w:val="clear" w:color="FFFFFF" w:fill="FFFFFF"/>
            <w:vAlign w:val="bottom"/>
            <w:hideMark/>
          </w:tcPr>
          <w:p w14:paraId="1E0C277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351E23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075FE20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D792142" w14:textId="77777777">
        <w:trPr>
          <w:trHeight w:val="260"/>
        </w:trPr>
        <w:tc>
          <w:tcPr>
            <w:tcW w:w="6365" w:type="dxa"/>
            <w:tcBorders>
              <w:top w:val="nil"/>
              <w:left w:val="nil"/>
              <w:bottom w:val="nil"/>
              <w:right w:val="nil"/>
            </w:tcBorders>
            <w:shd w:val="clear" w:color="FFFFFF" w:fill="FFFFFF"/>
            <w:vAlign w:val="bottom"/>
            <w:hideMark/>
          </w:tcPr>
          <w:p w14:paraId="27E32F3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Operating lease:</w:t>
            </w:r>
          </w:p>
        </w:tc>
        <w:tc>
          <w:tcPr>
            <w:tcW w:w="1243" w:type="dxa"/>
            <w:tcBorders>
              <w:top w:val="nil"/>
              <w:left w:val="nil"/>
              <w:bottom w:val="nil"/>
              <w:right w:val="nil"/>
            </w:tcBorders>
            <w:shd w:val="clear" w:color="FFFFFF" w:fill="FFFFFF"/>
            <w:noWrap/>
            <w:vAlign w:val="bottom"/>
            <w:hideMark/>
          </w:tcPr>
          <w:p w14:paraId="51969CC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1A08812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34FF50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7C6C5BF" w14:textId="77777777">
        <w:trPr>
          <w:trHeight w:val="250"/>
        </w:trPr>
        <w:tc>
          <w:tcPr>
            <w:tcW w:w="6365" w:type="dxa"/>
            <w:tcBorders>
              <w:top w:val="nil"/>
              <w:left w:val="nil"/>
              <w:bottom w:val="nil"/>
              <w:right w:val="nil"/>
            </w:tcBorders>
            <w:shd w:val="clear" w:color="FFFFFF" w:fill="FFFFFF"/>
            <w:vAlign w:val="bottom"/>
            <w:hideMark/>
          </w:tcPr>
          <w:p w14:paraId="6AFDAE8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Subleasing right-of-use assets</w:t>
            </w:r>
          </w:p>
        </w:tc>
        <w:tc>
          <w:tcPr>
            <w:tcW w:w="1243" w:type="dxa"/>
            <w:tcBorders>
              <w:top w:val="nil"/>
              <w:left w:val="nil"/>
              <w:bottom w:val="nil"/>
              <w:right w:val="nil"/>
            </w:tcBorders>
            <w:shd w:val="clear" w:color="FFFFFF" w:fill="FFFFFF"/>
            <w:noWrap/>
            <w:vAlign w:val="bottom"/>
            <w:hideMark/>
          </w:tcPr>
          <w:p w14:paraId="211D4AC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468</w:t>
            </w:r>
          </w:p>
        </w:tc>
        <w:tc>
          <w:tcPr>
            <w:tcW w:w="236" w:type="dxa"/>
            <w:tcBorders>
              <w:top w:val="nil"/>
              <w:left w:val="nil"/>
              <w:bottom w:val="nil"/>
              <w:right w:val="nil"/>
            </w:tcBorders>
            <w:shd w:val="clear" w:color="FFFFFF" w:fill="FFFFFF"/>
            <w:noWrap/>
            <w:vAlign w:val="bottom"/>
            <w:hideMark/>
          </w:tcPr>
          <w:p w14:paraId="7BCBB20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07A882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478</w:t>
            </w:r>
          </w:p>
        </w:tc>
      </w:tr>
      <w:tr w:rsidR="0082424C" w:rsidRPr="007A3600" w14:paraId="5C0FD02E" w14:textId="77777777">
        <w:trPr>
          <w:trHeight w:val="260"/>
        </w:trPr>
        <w:tc>
          <w:tcPr>
            <w:tcW w:w="6365" w:type="dxa"/>
            <w:tcBorders>
              <w:top w:val="nil"/>
              <w:left w:val="nil"/>
              <w:bottom w:val="nil"/>
              <w:right w:val="nil"/>
            </w:tcBorders>
            <w:shd w:val="clear" w:color="FFFFFF" w:fill="FFFFFF"/>
            <w:vAlign w:val="bottom"/>
            <w:hideMark/>
          </w:tcPr>
          <w:p w14:paraId="6F9CE7F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rental income</w:t>
            </w:r>
          </w:p>
        </w:tc>
        <w:tc>
          <w:tcPr>
            <w:tcW w:w="1243" w:type="dxa"/>
            <w:tcBorders>
              <w:top w:val="single" w:sz="4" w:space="0" w:color="auto"/>
              <w:left w:val="nil"/>
              <w:bottom w:val="single" w:sz="4" w:space="0" w:color="auto"/>
              <w:right w:val="nil"/>
            </w:tcBorders>
            <w:shd w:val="clear" w:color="FFFFFF" w:fill="FFFFFF"/>
            <w:noWrap/>
            <w:vAlign w:val="bottom"/>
            <w:hideMark/>
          </w:tcPr>
          <w:p w14:paraId="717C7FD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468</w:t>
            </w:r>
          </w:p>
        </w:tc>
        <w:tc>
          <w:tcPr>
            <w:tcW w:w="236" w:type="dxa"/>
            <w:tcBorders>
              <w:top w:val="nil"/>
              <w:left w:val="nil"/>
              <w:bottom w:val="nil"/>
              <w:right w:val="nil"/>
            </w:tcBorders>
            <w:shd w:val="clear" w:color="FFFFFF" w:fill="FFFFFF"/>
            <w:noWrap/>
            <w:vAlign w:val="bottom"/>
            <w:hideMark/>
          </w:tcPr>
          <w:p w14:paraId="50415E7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76D1720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478</w:t>
            </w:r>
          </w:p>
        </w:tc>
      </w:tr>
    </w:tbl>
    <w:p w14:paraId="65B24E8C" w14:textId="77777777" w:rsidR="0082424C" w:rsidRPr="007A3600" w:rsidRDefault="0082424C" w:rsidP="00AD3197">
      <w:pPr>
        <w:spacing w:before="120" w:after="120"/>
        <w:rPr>
          <w:rFonts w:eastAsia="Times New Roman" w:cs="Arial"/>
          <w:b/>
          <w:bCs/>
          <w:sz w:val="18"/>
          <w:szCs w:val="18"/>
          <w:lang w:eastAsia="en-US"/>
        </w:rPr>
      </w:pPr>
      <w:r w:rsidRPr="007A3600">
        <w:rPr>
          <w:rFonts w:eastAsia="Times New Roman" w:cs="Arial"/>
          <w:b/>
          <w:bCs/>
          <w:sz w:val="18"/>
          <w:szCs w:val="18"/>
          <w:lang w:eastAsia="en-US"/>
        </w:rPr>
        <w:br w:type="page"/>
      </w:r>
    </w:p>
    <w:p w14:paraId="047C48E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2F05529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7A3DEC5A" w14:textId="77777777" w:rsidR="0082424C" w:rsidRPr="007A3600" w:rsidRDefault="0082424C" w:rsidP="00AD3197">
      <w:pPr>
        <w:spacing w:before="240" w:after="0" w:line="260" w:lineRule="atLeast"/>
        <w:rPr>
          <w:rFonts w:eastAsia="Times New Roman" w:cs="Arial"/>
          <w:sz w:val="18"/>
          <w:szCs w:val="18"/>
          <w:lang w:eastAsia="en-US"/>
        </w:rPr>
      </w:pPr>
      <w:r w:rsidRPr="007A3600">
        <w:rPr>
          <w:rFonts w:eastAsia="Times New Roman" w:cs="Arial"/>
          <w:b/>
          <w:bCs/>
          <w:sz w:val="18"/>
          <w:szCs w:val="18"/>
          <w:lang w:eastAsia="en-US"/>
        </w:rPr>
        <w:t>Operating Leases</w:t>
      </w:r>
    </w:p>
    <w:p w14:paraId="34A12AD0" w14:textId="77777777" w:rsidR="0082424C" w:rsidRPr="007A3600" w:rsidRDefault="0082424C" w:rsidP="00AD3197">
      <w:pPr>
        <w:spacing w:after="120" w:line="240" w:lineRule="auto"/>
        <w:rPr>
          <w:rFonts w:eastAsia="Times New Roman" w:cs="Arial"/>
          <w:sz w:val="6"/>
          <w:szCs w:val="6"/>
          <w:vertAlign w:val="superscript"/>
          <w:lang w:eastAsia="en-US"/>
        </w:rPr>
      </w:pPr>
      <w:r w:rsidRPr="007A3600">
        <w:rPr>
          <w:rFonts w:eastAsia="Times New Roman" w:cs="Arial"/>
          <w:sz w:val="18"/>
          <w:szCs w:val="18"/>
          <w:lang w:eastAsia="en-US"/>
        </w:rPr>
        <w:t>The NDIA entered into agreements with the Department of Social Services, the Department of Health, Disability and Ageing and the NDIS Quality and Safeguard Commission to occupy some of the NDIA’s properties. The NDIA retains the rights and risks in underlying assets associated with these leases. There are established risk management processes and a governance structure for escalation of issues. As the sublet arrangements are Commonwealth entity to Commonwealth entity, the risk was deemed to be low and could be facilitated through the existing relationship with these entities.</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6A423EE4" w14:textId="77777777">
        <w:trPr>
          <w:trHeight w:val="250"/>
        </w:trPr>
        <w:tc>
          <w:tcPr>
            <w:tcW w:w="6365" w:type="dxa"/>
            <w:tcBorders>
              <w:top w:val="nil"/>
              <w:left w:val="nil"/>
              <w:bottom w:val="nil"/>
              <w:right w:val="nil"/>
            </w:tcBorders>
            <w:shd w:val="clear" w:color="FFFFFF" w:fill="FFFFFF"/>
            <w:vAlign w:val="bottom"/>
            <w:hideMark/>
          </w:tcPr>
          <w:p w14:paraId="25F4399E"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Maturity analysis of operating lease receivables</w:t>
            </w:r>
          </w:p>
        </w:tc>
        <w:tc>
          <w:tcPr>
            <w:tcW w:w="1243" w:type="dxa"/>
            <w:tcBorders>
              <w:top w:val="nil"/>
              <w:left w:val="nil"/>
              <w:bottom w:val="nil"/>
              <w:right w:val="nil"/>
            </w:tcBorders>
            <w:shd w:val="clear" w:color="FFFFFF" w:fill="FFFFFF"/>
            <w:noWrap/>
            <w:vAlign w:val="bottom"/>
            <w:hideMark/>
          </w:tcPr>
          <w:p w14:paraId="255323E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1948BD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AC6734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E9D19F3" w14:textId="77777777">
        <w:trPr>
          <w:trHeight w:val="250"/>
        </w:trPr>
        <w:tc>
          <w:tcPr>
            <w:tcW w:w="6365" w:type="dxa"/>
            <w:tcBorders>
              <w:top w:val="nil"/>
              <w:left w:val="nil"/>
              <w:bottom w:val="nil"/>
              <w:right w:val="nil"/>
            </w:tcBorders>
            <w:shd w:val="clear" w:color="FFFFFF" w:fill="FFFFFF"/>
            <w:vAlign w:val="bottom"/>
            <w:hideMark/>
          </w:tcPr>
          <w:p w14:paraId="0A73A80B"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Within one year</w:t>
            </w:r>
          </w:p>
        </w:tc>
        <w:tc>
          <w:tcPr>
            <w:tcW w:w="1243" w:type="dxa"/>
            <w:tcBorders>
              <w:top w:val="nil"/>
              <w:left w:val="nil"/>
              <w:bottom w:val="nil"/>
              <w:right w:val="nil"/>
            </w:tcBorders>
            <w:shd w:val="clear" w:color="FFFFFF" w:fill="FFFFFF"/>
            <w:noWrap/>
            <w:vAlign w:val="bottom"/>
            <w:hideMark/>
          </w:tcPr>
          <w:p w14:paraId="1202611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468</w:t>
            </w:r>
          </w:p>
        </w:tc>
        <w:tc>
          <w:tcPr>
            <w:tcW w:w="236" w:type="dxa"/>
            <w:tcBorders>
              <w:top w:val="nil"/>
              <w:left w:val="nil"/>
              <w:bottom w:val="nil"/>
              <w:right w:val="nil"/>
            </w:tcBorders>
            <w:shd w:val="clear" w:color="FFFFFF" w:fill="FFFFFF"/>
            <w:noWrap/>
            <w:vAlign w:val="bottom"/>
            <w:hideMark/>
          </w:tcPr>
          <w:p w14:paraId="0053D148" w14:textId="77777777" w:rsidR="0082424C" w:rsidRPr="007A3600" w:rsidRDefault="0082424C" w:rsidP="00AD3197">
            <w:pPr>
              <w:spacing w:after="0" w:line="260" w:lineRule="atLeast"/>
              <w:rPr>
                <w:rFonts w:eastAsia="Times New Roman" w:cs="Arial"/>
                <w:sz w:val="20"/>
                <w:szCs w:val="20"/>
                <w:lang w:eastAsia="en-US"/>
              </w:rPr>
            </w:pPr>
            <w:r w:rsidRPr="007A3600">
              <w:rPr>
                <w:rFonts w:eastAsia="Times New Roman" w:cs="Arial"/>
                <w:sz w:val="20"/>
                <w:szCs w:val="20"/>
                <w:lang w:eastAsia="en-US"/>
              </w:rPr>
              <w:t> </w:t>
            </w:r>
          </w:p>
        </w:tc>
        <w:tc>
          <w:tcPr>
            <w:tcW w:w="1243" w:type="dxa"/>
            <w:tcBorders>
              <w:top w:val="nil"/>
              <w:left w:val="nil"/>
              <w:bottom w:val="nil"/>
              <w:right w:val="nil"/>
            </w:tcBorders>
            <w:shd w:val="clear" w:color="FFFFFF" w:fill="FFFFFF"/>
            <w:noWrap/>
            <w:vAlign w:val="bottom"/>
            <w:hideMark/>
          </w:tcPr>
          <w:p w14:paraId="2A90586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468</w:t>
            </w:r>
          </w:p>
        </w:tc>
      </w:tr>
      <w:tr w:rsidR="0082424C" w:rsidRPr="007A3600" w14:paraId="41893DAD" w14:textId="77777777">
        <w:trPr>
          <w:trHeight w:val="250"/>
        </w:trPr>
        <w:tc>
          <w:tcPr>
            <w:tcW w:w="6365" w:type="dxa"/>
            <w:tcBorders>
              <w:top w:val="nil"/>
              <w:left w:val="nil"/>
              <w:bottom w:val="nil"/>
              <w:right w:val="nil"/>
            </w:tcBorders>
            <w:shd w:val="clear" w:color="FFFFFF" w:fill="FFFFFF"/>
            <w:vAlign w:val="bottom"/>
            <w:hideMark/>
          </w:tcPr>
          <w:p w14:paraId="6BF96B0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One to two years</w:t>
            </w:r>
          </w:p>
        </w:tc>
        <w:tc>
          <w:tcPr>
            <w:tcW w:w="1243" w:type="dxa"/>
            <w:tcBorders>
              <w:top w:val="nil"/>
              <w:left w:val="nil"/>
              <w:bottom w:val="nil"/>
              <w:right w:val="nil"/>
            </w:tcBorders>
            <w:shd w:val="clear" w:color="FFFFFF" w:fill="FFFFFF"/>
            <w:noWrap/>
            <w:vAlign w:val="bottom"/>
            <w:hideMark/>
          </w:tcPr>
          <w:p w14:paraId="5A8BA6C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128</w:t>
            </w:r>
          </w:p>
        </w:tc>
        <w:tc>
          <w:tcPr>
            <w:tcW w:w="236" w:type="dxa"/>
            <w:tcBorders>
              <w:top w:val="nil"/>
              <w:left w:val="nil"/>
              <w:bottom w:val="nil"/>
              <w:right w:val="nil"/>
            </w:tcBorders>
            <w:shd w:val="clear" w:color="FFFFFF" w:fill="FFFFFF"/>
            <w:noWrap/>
            <w:vAlign w:val="bottom"/>
            <w:hideMark/>
          </w:tcPr>
          <w:p w14:paraId="3A8B471D" w14:textId="77777777" w:rsidR="0082424C" w:rsidRPr="007A3600" w:rsidRDefault="0082424C" w:rsidP="00AD3197">
            <w:pPr>
              <w:spacing w:after="0" w:line="260" w:lineRule="atLeast"/>
              <w:rPr>
                <w:rFonts w:eastAsia="Times New Roman" w:cs="Arial"/>
                <w:sz w:val="20"/>
                <w:szCs w:val="20"/>
                <w:lang w:eastAsia="en-US"/>
              </w:rPr>
            </w:pPr>
            <w:r w:rsidRPr="007A3600">
              <w:rPr>
                <w:rFonts w:eastAsia="Times New Roman" w:cs="Arial"/>
                <w:sz w:val="20"/>
                <w:szCs w:val="20"/>
                <w:lang w:eastAsia="en-US"/>
              </w:rPr>
              <w:t> </w:t>
            </w:r>
          </w:p>
        </w:tc>
        <w:tc>
          <w:tcPr>
            <w:tcW w:w="1243" w:type="dxa"/>
            <w:tcBorders>
              <w:top w:val="nil"/>
              <w:left w:val="nil"/>
              <w:bottom w:val="nil"/>
              <w:right w:val="nil"/>
            </w:tcBorders>
            <w:shd w:val="clear" w:color="FFFFFF" w:fill="FFFFFF"/>
            <w:noWrap/>
            <w:vAlign w:val="bottom"/>
            <w:hideMark/>
          </w:tcPr>
          <w:p w14:paraId="0C33FD4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257</w:t>
            </w:r>
          </w:p>
        </w:tc>
      </w:tr>
      <w:tr w:rsidR="0082424C" w:rsidRPr="007A3600" w14:paraId="42900677" w14:textId="77777777">
        <w:trPr>
          <w:trHeight w:val="250"/>
        </w:trPr>
        <w:tc>
          <w:tcPr>
            <w:tcW w:w="6365" w:type="dxa"/>
            <w:tcBorders>
              <w:top w:val="nil"/>
              <w:left w:val="nil"/>
              <w:bottom w:val="nil"/>
              <w:right w:val="nil"/>
            </w:tcBorders>
            <w:shd w:val="clear" w:color="FFFFFF" w:fill="FFFFFF"/>
            <w:vAlign w:val="bottom"/>
            <w:hideMark/>
          </w:tcPr>
          <w:p w14:paraId="490FF35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undiscounted lease payments receivable</w:t>
            </w:r>
          </w:p>
        </w:tc>
        <w:tc>
          <w:tcPr>
            <w:tcW w:w="1243" w:type="dxa"/>
            <w:tcBorders>
              <w:top w:val="single" w:sz="4" w:space="0" w:color="auto"/>
              <w:left w:val="nil"/>
              <w:bottom w:val="single" w:sz="4" w:space="0" w:color="auto"/>
              <w:right w:val="nil"/>
            </w:tcBorders>
            <w:shd w:val="clear" w:color="FFFFFF" w:fill="FFFFFF"/>
            <w:noWrap/>
            <w:vAlign w:val="bottom"/>
            <w:hideMark/>
          </w:tcPr>
          <w:p w14:paraId="03F7DE4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596</w:t>
            </w:r>
          </w:p>
        </w:tc>
        <w:tc>
          <w:tcPr>
            <w:tcW w:w="236" w:type="dxa"/>
            <w:tcBorders>
              <w:top w:val="nil"/>
              <w:left w:val="nil"/>
              <w:bottom w:val="nil"/>
              <w:right w:val="nil"/>
            </w:tcBorders>
            <w:shd w:val="clear" w:color="FFFFFF" w:fill="FFFFFF"/>
            <w:noWrap/>
            <w:vAlign w:val="bottom"/>
            <w:hideMark/>
          </w:tcPr>
          <w:p w14:paraId="5716F2B4" w14:textId="77777777" w:rsidR="0082424C" w:rsidRPr="007A3600" w:rsidRDefault="0082424C" w:rsidP="00AD3197">
            <w:pPr>
              <w:spacing w:after="0" w:line="260" w:lineRule="atLeast"/>
              <w:rPr>
                <w:rFonts w:eastAsia="Times New Roman" w:cs="Arial"/>
                <w:sz w:val="20"/>
                <w:szCs w:val="20"/>
                <w:lang w:eastAsia="en-US"/>
              </w:rPr>
            </w:pPr>
            <w:r w:rsidRPr="007A3600">
              <w:rPr>
                <w:rFonts w:eastAsia="Times New Roman" w:cs="Arial"/>
                <w:sz w:val="20"/>
                <w:szCs w:val="20"/>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669C3F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725</w:t>
            </w:r>
          </w:p>
        </w:tc>
      </w:tr>
    </w:tbl>
    <w:p w14:paraId="2A54E95C" w14:textId="77777777" w:rsidR="0082424C" w:rsidRPr="007A3600" w:rsidRDefault="0082424C" w:rsidP="00AD3197">
      <w:pPr>
        <w:spacing w:before="60" w:after="120" w:line="260" w:lineRule="atLeast"/>
        <w:rPr>
          <w:rFonts w:eastAsia="Times New Roman" w:cs="Arial"/>
          <w:sz w:val="18"/>
          <w:szCs w:val="18"/>
          <w:lang w:eastAsia="en-US"/>
        </w:rPr>
      </w:pPr>
      <w:r w:rsidRPr="007A3600">
        <w:rPr>
          <w:rFonts w:eastAsia="Times New Roman" w:cs="Arial"/>
          <w:sz w:val="18"/>
          <w:szCs w:val="18"/>
          <w:lang w:eastAsia="en-US"/>
        </w:rPr>
        <w:t>The above lease disclosures should be read in conjunction with the accompanying notes 1.1B, 1.1D, 2.2A &amp; 2.5.</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1604B354" w14:textId="77777777">
        <w:trPr>
          <w:trHeight w:val="260"/>
        </w:trPr>
        <w:tc>
          <w:tcPr>
            <w:tcW w:w="6365" w:type="dxa"/>
            <w:tcBorders>
              <w:top w:val="nil"/>
              <w:left w:val="nil"/>
              <w:bottom w:val="nil"/>
              <w:right w:val="nil"/>
            </w:tcBorders>
            <w:shd w:val="clear" w:color="FFFFFF" w:fill="FFFFFF"/>
            <w:noWrap/>
            <w:vAlign w:val="bottom"/>
            <w:hideMark/>
          </w:tcPr>
          <w:p w14:paraId="16893801" w14:textId="77777777" w:rsidR="0082424C" w:rsidRPr="007A3600" w:rsidRDefault="0082424C" w:rsidP="00AD3197">
            <w:pPr>
              <w:spacing w:after="0" w:line="260" w:lineRule="atLeast"/>
              <w:rPr>
                <w:rFonts w:eastAsia="Times New Roman" w:cs="Arial"/>
                <w:sz w:val="16"/>
                <w:szCs w:val="16"/>
                <w:lang w:eastAsia="en-US"/>
              </w:rPr>
            </w:pPr>
            <w:r w:rsidRPr="007A3600">
              <w:rPr>
                <w:rFonts w:eastAsia="Times New Roman" w:cs="Arial"/>
                <w:sz w:val="16"/>
                <w:szCs w:val="16"/>
                <w:lang w:eastAsia="en-US"/>
              </w:rPr>
              <w:t> </w:t>
            </w:r>
          </w:p>
        </w:tc>
        <w:tc>
          <w:tcPr>
            <w:tcW w:w="1243" w:type="dxa"/>
            <w:tcBorders>
              <w:top w:val="nil"/>
              <w:left w:val="nil"/>
              <w:bottom w:val="nil"/>
              <w:right w:val="nil"/>
            </w:tcBorders>
            <w:shd w:val="clear" w:color="FFFFFF" w:fill="FFFFFF"/>
            <w:vAlign w:val="bottom"/>
            <w:hideMark/>
          </w:tcPr>
          <w:p w14:paraId="2936401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2144FE3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6ED900E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1220C0F8" w14:textId="77777777">
        <w:trPr>
          <w:trHeight w:val="250"/>
        </w:trPr>
        <w:tc>
          <w:tcPr>
            <w:tcW w:w="6365" w:type="dxa"/>
            <w:tcBorders>
              <w:top w:val="nil"/>
              <w:left w:val="nil"/>
              <w:bottom w:val="nil"/>
              <w:right w:val="nil"/>
            </w:tcBorders>
            <w:shd w:val="clear" w:color="FFFFFF" w:fill="FFFFFF"/>
            <w:noWrap/>
            <w:vAlign w:val="bottom"/>
            <w:hideMark/>
          </w:tcPr>
          <w:p w14:paraId="4D60587C" w14:textId="77777777" w:rsidR="0082424C" w:rsidRPr="007A3600" w:rsidRDefault="0082424C" w:rsidP="00AD3197">
            <w:pPr>
              <w:spacing w:after="0" w:line="260" w:lineRule="atLeast"/>
              <w:rPr>
                <w:rFonts w:eastAsia="Times New Roman" w:cs="Arial"/>
                <w:sz w:val="16"/>
                <w:szCs w:val="16"/>
                <w:lang w:eastAsia="en-US"/>
              </w:rPr>
            </w:pPr>
            <w:r w:rsidRPr="007A3600">
              <w:rPr>
                <w:rFonts w:eastAsia="Times New Roman" w:cs="Arial"/>
                <w:sz w:val="16"/>
                <w:szCs w:val="16"/>
                <w:lang w:eastAsia="en-US"/>
              </w:rPr>
              <w:t> </w:t>
            </w:r>
          </w:p>
        </w:tc>
        <w:tc>
          <w:tcPr>
            <w:tcW w:w="1243" w:type="dxa"/>
            <w:tcBorders>
              <w:top w:val="nil"/>
              <w:left w:val="nil"/>
              <w:bottom w:val="nil"/>
              <w:right w:val="nil"/>
            </w:tcBorders>
            <w:shd w:val="clear" w:color="FFFFFF" w:fill="FFFFFF"/>
            <w:vAlign w:val="bottom"/>
            <w:hideMark/>
          </w:tcPr>
          <w:p w14:paraId="042F650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2943075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0B7E94D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6F829050" w14:textId="77777777">
        <w:trPr>
          <w:trHeight w:val="250"/>
        </w:trPr>
        <w:tc>
          <w:tcPr>
            <w:tcW w:w="6365" w:type="dxa"/>
            <w:tcBorders>
              <w:top w:val="nil"/>
              <w:left w:val="nil"/>
              <w:bottom w:val="nil"/>
              <w:right w:val="nil"/>
            </w:tcBorders>
            <w:shd w:val="clear" w:color="FFFFFF" w:fill="FFFFFF"/>
            <w:noWrap/>
            <w:vAlign w:val="bottom"/>
            <w:hideMark/>
          </w:tcPr>
          <w:p w14:paraId="0D979ACD"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1.2C: Other revenue</w:t>
            </w:r>
          </w:p>
        </w:tc>
        <w:tc>
          <w:tcPr>
            <w:tcW w:w="1243" w:type="dxa"/>
            <w:tcBorders>
              <w:top w:val="nil"/>
              <w:left w:val="nil"/>
              <w:bottom w:val="nil"/>
              <w:right w:val="nil"/>
            </w:tcBorders>
            <w:shd w:val="clear" w:color="FFFFFF" w:fill="FFFFFF"/>
            <w:noWrap/>
            <w:vAlign w:val="bottom"/>
            <w:hideMark/>
          </w:tcPr>
          <w:p w14:paraId="0C1A608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6AF4C08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A8BC7F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9FBB493" w14:textId="77777777">
        <w:trPr>
          <w:trHeight w:val="250"/>
        </w:trPr>
        <w:tc>
          <w:tcPr>
            <w:tcW w:w="6365" w:type="dxa"/>
            <w:tcBorders>
              <w:top w:val="nil"/>
              <w:left w:val="nil"/>
              <w:bottom w:val="nil"/>
              <w:right w:val="nil"/>
            </w:tcBorders>
            <w:shd w:val="clear" w:color="FFFFFF" w:fill="FFFFFF"/>
            <w:vAlign w:val="bottom"/>
            <w:hideMark/>
          </w:tcPr>
          <w:p w14:paraId="7EE7417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External parties - Contributions in-kind from state and territory governments</w:t>
            </w:r>
          </w:p>
        </w:tc>
        <w:tc>
          <w:tcPr>
            <w:tcW w:w="1243" w:type="dxa"/>
            <w:tcBorders>
              <w:top w:val="nil"/>
              <w:left w:val="nil"/>
              <w:bottom w:val="nil"/>
              <w:right w:val="nil"/>
            </w:tcBorders>
            <w:shd w:val="clear" w:color="FFFFFF" w:fill="FFFFFF"/>
            <w:noWrap/>
            <w:vAlign w:val="bottom"/>
            <w:hideMark/>
          </w:tcPr>
          <w:p w14:paraId="08C8AFD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927,547</w:t>
            </w:r>
          </w:p>
        </w:tc>
        <w:tc>
          <w:tcPr>
            <w:tcW w:w="236" w:type="dxa"/>
            <w:tcBorders>
              <w:top w:val="nil"/>
              <w:left w:val="nil"/>
              <w:bottom w:val="nil"/>
              <w:right w:val="nil"/>
            </w:tcBorders>
            <w:shd w:val="clear" w:color="FFFFFF" w:fill="FFFFFF"/>
            <w:noWrap/>
            <w:vAlign w:val="bottom"/>
            <w:hideMark/>
          </w:tcPr>
          <w:p w14:paraId="160E3A4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ADD61B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952,388</w:t>
            </w:r>
          </w:p>
        </w:tc>
      </w:tr>
      <w:tr w:rsidR="0082424C" w:rsidRPr="007A3600" w14:paraId="61DE407F" w14:textId="77777777">
        <w:trPr>
          <w:trHeight w:val="250"/>
        </w:trPr>
        <w:tc>
          <w:tcPr>
            <w:tcW w:w="6365" w:type="dxa"/>
            <w:tcBorders>
              <w:top w:val="nil"/>
              <w:left w:val="nil"/>
              <w:bottom w:val="nil"/>
              <w:right w:val="nil"/>
            </w:tcBorders>
            <w:shd w:val="clear" w:color="FFFFFF" w:fill="FFFFFF"/>
            <w:vAlign w:val="bottom"/>
            <w:hideMark/>
          </w:tcPr>
          <w:p w14:paraId="284B639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Compensation receipts</w:t>
            </w:r>
          </w:p>
        </w:tc>
        <w:tc>
          <w:tcPr>
            <w:tcW w:w="1243" w:type="dxa"/>
            <w:tcBorders>
              <w:top w:val="nil"/>
              <w:left w:val="nil"/>
              <w:bottom w:val="nil"/>
              <w:right w:val="nil"/>
            </w:tcBorders>
            <w:shd w:val="clear" w:color="FFFFFF" w:fill="FFFFFF"/>
            <w:noWrap/>
            <w:vAlign w:val="bottom"/>
            <w:hideMark/>
          </w:tcPr>
          <w:p w14:paraId="6F3858D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69,234</w:t>
            </w:r>
          </w:p>
        </w:tc>
        <w:tc>
          <w:tcPr>
            <w:tcW w:w="236" w:type="dxa"/>
            <w:tcBorders>
              <w:top w:val="nil"/>
              <w:left w:val="nil"/>
              <w:bottom w:val="nil"/>
              <w:right w:val="nil"/>
            </w:tcBorders>
            <w:shd w:val="clear" w:color="FFFFFF" w:fill="FFFFFF"/>
            <w:noWrap/>
            <w:vAlign w:val="bottom"/>
            <w:hideMark/>
          </w:tcPr>
          <w:p w14:paraId="5FB4364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F92E81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48,140</w:t>
            </w:r>
          </w:p>
        </w:tc>
      </w:tr>
      <w:tr w:rsidR="0082424C" w:rsidRPr="007A3600" w14:paraId="7309F0CC" w14:textId="77777777">
        <w:trPr>
          <w:trHeight w:val="250"/>
        </w:trPr>
        <w:tc>
          <w:tcPr>
            <w:tcW w:w="6365" w:type="dxa"/>
            <w:tcBorders>
              <w:top w:val="nil"/>
              <w:left w:val="nil"/>
              <w:bottom w:val="nil"/>
              <w:right w:val="nil"/>
            </w:tcBorders>
            <w:shd w:val="clear" w:color="FFFFFF" w:fill="FFFFFF"/>
            <w:vAlign w:val="bottom"/>
            <w:hideMark/>
          </w:tcPr>
          <w:p w14:paraId="265D444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Cost recoveries</w:t>
            </w:r>
          </w:p>
        </w:tc>
        <w:tc>
          <w:tcPr>
            <w:tcW w:w="1243" w:type="dxa"/>
            <w:tcBorders>
              <w:top w:val="nil"/>
              <w:left w:val="nil"/>
              <w:bottom w:val="nil"/>
              <w:right w:val="nil"/>
            </w:tcBorders>
            <w:shd w:val="clear" w:color="FFFFFF" w:fill="FFFFFF"/>
            <w:noWrap/>
            <w:vAlign w:val="bottom"/>
            <w:hideMark/>
          </w:tcPr>
          <w:p w14:paraId="6311CA4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w:t>
            </w:r>
          </w:p>
        </w:tc>
        <w:tc>
          <w:tcPr>
            <w:tcW w:w="236" w:type="dxa"/>
            <w:tcBorders>
              <w:top w:val="nil"/>
              <w:left w:val="nil"/>
              <w:bottom w:val="nil"/>
              <w:right w:val="nil"/>
            </w:tcBorders>
            <w:shd w:val="clear" w:color="FFFFFF" w:fill="FFFFFF"/>
            <w:noWrap/>
            <w:vAlign w:val="bottom"/>
            <w:hideMark/>
          </w:tcPr>
          <w:p w14:paraId="3C893E1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81FB25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w:t>
            </w:r>
          </w:p>
        </w:tc>
      </w:tr>
      <w:tr w:rsidR="0082424C" w:rsidRPr="007A3600" w14:paraId="022B5523" w14:textId="77777777">
        <w:trPr>
          <w:trHeight w:val="250"/>
        </w:trPr>
        <w:tc>
          <w:tcPr>
            <w:tcW w:w="6365" w:type="dxa"/>
            <w:tcBorders>
              <w:top w:val="nil"/>
              <w:left w:val="nil"/>
              <w:bottom w:val="nil"/>
              <w:right w:val="nil"/>
            </w:tcBorders>
            <w:shd w:val="clear" w:color="FFFFFF" w:fill="FFFFFF"/>
            <w:vAlign w:val="bottom"/>
            <w:hideMark/>
          </w:tcPr>
          <w:p w14:paraId="5F67B4A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NDIS Trial Blended Payments Model</w:t>
            </w:r>
          </w:p>
        </w:tc>
        <w:tc>
          <w:tcPr>
            <w:tcW w:w="1243" w:type="dxa"/>
            <w:tcBorders>
              <w:top w:val="nil"/>
              <w:left w:val="nil"/>
              <w:bottom w:val="nil"/>
              <w:right w:val="nil"/>
            </w:tcBorders>
            <w:shd w:val="clear" w:color="FFFFFF" w:fill="FFFFFF"/>
            <w:noWrap/>
            <w:vAlign w:val="bottom"/>
            <w:hideMark/>
          </w:tcPr>
          <w:p w14:paraId="288B205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7C64C57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0F7EC2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512</w:t>
            </w:r>
          </w:p>
        </w:tc>
      </w:tr>
      <w:tr w:rsidR="0082424C" w:rsidRPr="007A3600" w14:paraId="65887C59" w14:textId="77777777">
        <w:trPr>
          <w:trHeight w:val="250"/>
        </w:trPr>
        <w:tc>
          <w:tcPr>
            <w:tcW w:w="6365" w:type="dxa"/>
            <w:tcBorders>
              <w:top w:val="nil"/>
              <w:left w:val="nil"/>
              <w:bottom w:val="nil"/>
              <w:right w:val="nil"/>
            </w:tcBorders>
            <w:shd w:val="clear" w:color="FFFFFF" w:fill="FFFFFF"/>
            <w:vAlign w:val="bottom"/>
            <w:hideMark/>
          </w:tcPr>
          <w:p w14:paraId="536DBF5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xml:space="preserve">Other miscellaneous revenue </w:t>
            </w:r>
          </w:p>
        </w:tc>
        <w:tc>
          <w:tcPr>
            <w:tcW w:w="1243" w:type="dxa"/>
            <w:tcBorders>
              <w:top w:val="nil"/>
              <w:left w:val="nil"/>
              <w:bottom w:val="nil"/>
              <w:right w:val="nil"/>
            </w:tcBorders>
            <w:shd w:val="clear" w:color="FFFFFF" w:fill="FFFFFF"/>
            <w:noWrap/>
            <w:vAlign w:val="bottom"/>
            <w:hideMark/>
          </w:tcPr>
          <w:p w14:paraId="345212B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770</w:t>
            </w:r>
          </w:p>
        </w:tc>
        <w:tc>
          <w:tcPr>
            <w:tcW w:w="236" w:type="dxa"/>
            <w:tcBorders>
              <w:top w:val="nil"/>
              <w:left w:val="nil"/>
              <w:bottom w:val="nil"/>
              <w:right w:val="nil"/>
            </w:tcBorders>
            <w:shd w:val="clear" w:color="FFFFFF" w:fill="FFFFFF"/>
            <w:noWrap/>
            <w:vAlign w:val="bottom"/>
            <w:hideMark/>
          </w:tcPr>
          <w:p w14:paraId="4BA6055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B27161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134</w:t>
            </w:r>
          </w:p>
        </w:tc>
      </w:tr>
      <w:tr w:rsidR="0082424C" w:rsidRPr="007A3600" w14:paraId="66444102" w14:textId="77777777">
        <w:trPr>
          <w:trHeight w:val="250"/>
        </w:trPr>
        <w:tc>
          <w:tcPr>
            <w:tcW w:w="6365" w:type="dxa"/>
            <w:tcBorders>
              <w:top w:val="nil"/>
              <w:left w:val="nil"/>
              <w:bottom w:val="nil"/>
              <w:right w:val="nil"/>
            </w:tcBorders>
            <w:shd w:val="clear" w:color="FFFFFF" w:fill="FFFFFF"/>
            <w:vAlign w:val="bottom"/>
            <w:hideMark/>
          </w:tcPr>
          <w:p w14:paraId="40176169"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other revenue</w:t>
            </w:r>
          </w:p>
        </w:tc>
        <w:tc>
          <w:tcPr>
            <w:tcW w:w="1243" w:type="dxa"/>
            <w:tcBorders>
              <w:top w:val="single" w:sz="4" w:space="0" w:color="auto"/>
              <w:left w:val="nil"/>
              <w:bottom w:val="single" w:sz="4" w:space="0" w:color="auto"/>
              <w:right w:val="nil"/>
            </w:tcBorders>
            <w:shd w:val="clear" w:color="FFFFFF" w:fill="FFFFFF"/>
            <w:noWrap/>
            <w:vAlign w:val="bottom"/>
            <w:hideMark/>
          </w:tcPr>
          <w:p w14:paraId="5C00D56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997,556</w:t>
            </w:r>
          </w:p>
        </w:tc>
        <w:tc>
          <w:tcPr>
            <w:tcW w:w="236" w:type="dxa"/>
            <w:tcBorders>
              <w:top w:val="nil"/>
              <w:left w:val="nil"/>
              <w:bottom w:val="nil"/>
              <w:right w:val="nil"/>
            </w:tcBorders>
            <w:shd w:val="clear" w:color="FFFFFF" w:fill="FFFFFF"/>
            <w:noWrap/>
            <w:vAlign w:val="bottom"/>
            <w:hideMark/>
          </w:tcPr>
          <w:p w14:paraId="2706DB1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D0F7D3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1,001,180</w:t>
            </w:r>
          </w:p>
        </w:tc>
      </w:tr>
    </w:tbl>
    <w:p w14:paraId="637EDE3D" w14:textId="77777777" w:rsidR="0082424C" w:rsidRPr="007A3600" w:rsidRDefault="0082424C" w:rsidP="00AD3197">
      <w:pPr>
        <w:spacing w:after="0" w:line="240" w:lineRule="auto"/>
        <w:ind w:right="607"/>
        <w:rPr>
          <w:rFonts w:eastAsia="Times New Roman"/>
          <w:b/>
          <w:sz w:val="20"/>
          <w:szCs w:val="20"/>
          <w:lang w:eastAsia="en-US"/>
        </w:rPr>
      </w:pPr>
    </w:p>
    <w:p w14:paraId="1520B550"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iCs/>
          <w:sz w:val="18"/>
          <w:szCs w:val="18"/>
          <w:lang w:eastAsia="en-US"/>
        </w:rPr>
      </w:pPr>
      <w:r w:rsidRPr="007A3600">
        <w:rPr>
          <w:rFonts w:eastAsia="Times New Roman" w:cs="Arial"/>
          <w:b/>
          <w:iCs/>
          <w:sz w:val="18"/>
          <w:szCs w:val="18"/>
          <w:lang w:eastAsia="en-US"/>
        </w:rPr>
        <w:t xml:space="preserve">Accounting Policy </w:t>
      </w:r>
    </w:p>
    <w:p w14:paraId="22D867CD"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 xml:space="preserve">Contributions in-kind from state and territory governments </w:t>
      </w:r>
    </w:p>
    <w:p w14:paraId="6312DD9D"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Contributions in-kind from state and territory governments are termed volunteer services under Australian Accounting Standards as they are received free of charge. Volunteer services are recognised as own-source income when, and only when, a fair value can be reliably determined, and the services would have been purchased if they had not been contributed. Use of these services is recognised as an expense. Volunteer services are recorded as either revenue or gains depending on their nature.</w:t>
      </w:r>
    </w:p>
    <w:p w14:paraId="65CCCE70"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Prior to the commencement of the Scheme, each state and territory government had committed to provide (directly or by engaging service providers) agreed items such as disability services, health services, family support, education, employment, transport and/or housing to people with a disability. The on-going provision of these agreed services on behalf of the Agency is regarded as an in-kind contribution under Australian Accounting Standards and is accounted for as income from the contribution of services at the date when the services are provided. The fair value of these contributions is the unit cost provided by the jurisdiction which is based on the value the jurisdiction has paid under its funding arrangements with the provider.</w:t>
      </w:r>
    </w:p>
    <w:p w14:paraId="7D1888EF"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sz w:val="18"/>
          <w:szCs w:val="18"/>
          <w:lang w:eastAsia="en-US"/>
        </w:rPr>
      </w:pPr>
      <w:r w:rsidRPr="007A3600">
        <w:rPr>
          <w:rFonts w:eastAsia="Times New Roman" w:cs="Arial"/>
          <w:sz w:val="18"/>
          <w:szCs w:val="18"/>
          <w:lang w:eastAsia="en-US"/>
        </w:rPr>
        <w:t>Total contributions revenue from state and territories governments comprises cash and non-cash components. Cash contributions are reported as revenue in Note 1.2A Rendering of services. Total cash received from state and territories governments is reduced (i.e. off-set) by the total value of In-Kind contributions under the bilateral agreements.</w:t>
      </w:r>
    </w:p>
    <w:p w14:paraId="314A2865"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Key judgements and estimates</w:t>
      </w:r>
    </w:p>
    <w:p w14:paraId="04FC7001"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Contributions in-kind from state and territory governments</w:t>
      </w:r>
    </w:p>
    <w:p w14:paraId="63618A83" w14:textId="77777777" w:rsidR="0082424C" w:rsidRPr="007A3600" w:rsidRDefault="0082424C" w:rsidP="00AD3197">
      <w:pPr>
        <w:pBdr>
          <w:top w:val="single" w:sz="4" w:space="1" w:color="800080"/>
          <w:left w:val="single" w:sz="4" w:space="4" w:color="800080"/>
          <w:bottom w:val="single" w:sz="4" w:space="0"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Agency records income in relation to non-cash or in-kind contributions from state and territory governments at the time when the services are provided to participants. In some cases, the Agency may not have been formally notified that the state or territory government has provided or funded a contribution to a participant. In this circumstance, the Agency makes an estimate of the amount of in-kind contributions provided to participants during the period but not yet notified to the Agency. These estimates are based on the latest available evidence of in-kind supports provided to participants by the state and territory governments.</w:t>
      </w:r>
    </w:p>
    <w:p w14:paraId="4B103AB3" w14:textId="16FF1292" w:rsidR="0082424C" w:rsidRPr="007A3600" w:rsidRDefault="0082424C" w:rsidP="00AD3197">
      <w:pPr>
        <w:pBdr>
          <w:top w:val="single" w:sz="4" w:space="1" w:color="800080"/>
          <w:left w:val="single" w:sz="4" w:space="4" w:color="800080"/>
          <w:bottom w:val="single" w:sz="4" w:space="0" w:color="800080"/>
          <w:right w:val="single" w:sz="4" w:space="4" w:color="800080"/>
        </w:pBdr>
        <w:spacing w:after="0" w:line="120" w:lineRule="atLeast"/>
        <w:rPr>
          <w:rFonts w:eastAsia="Times New Roman" w:cs="Arial"/>
          <w:sz w:val="14"/>
          <w:szCs w:val="14"/>
          <w:lang w:eastAsia="en-US"/>
        </w:rPr>
      </w:pPr>
      <w:r w:rsidRPr="007A3600">
        <w:rPr>
          <w:rFonts w:eastAsia="Times New Roman" w:cs="Arial"/>
          <w:sz w:val="14"/>
          <w:szCs w:val="14"/>
          <w:lang w:eastAsia="en-US"/>
        </w:rPr>
        <w:t>* Note: Line item ‘</w:t>
      </w:r>
      <w:r w:rsidRPr="007A3600">
        <w:rPr>
          <w:rFonts w:eastAsia="Times New Roman" w:cs="Arial"/>
          <w:i/>
          <w:iCs/>
          <w:sz w:val="14"/>
          <w:szCs w:val="14"/>
          <w:lang w:eastAsia="en-US"/>
        </w:rPr>
        <w:t>External parties – Contributions in-kind from state and territory governments</w:t>
      </w:r>
      <w:r w:rsidRPr="007A3600">
        <w:rPr>
          <w:rFonts w:eastAsia="Times New Roman" w:cs="Arial"/>
          <w:sz w:val="14"/>
          <w:szCs w:val="14"/>
          <w:lang w:eastAsia="en-US"/>
        </w:rPr>
        <w:t>’ that was previously reported in Note 1.2D Other Gains has now been reclassified to revenue from FY 2024/25. The FY 2023/24 comparative has also been reclassified.</w:t>
      </w:r>
      <w:r w:rsidRPr="007A3600">
        <w:rPr>
          <w:rFonts w:eastAsia="Times New Roman" w:cs="Arial"/>
          <w:sz w:val="14"/>
          <w:szCs w:val="14"/>
          <w:lang w:eastAsia="en-US"/>
        </w:rPr>
        <w:br/>
      </w:r>
    </w:p>
    <w:p w14:paraId="48A8B6A0" w14:textId="77777777" w:rsidR="0082424C" w:rsidRPr="007A3600" w:rsidRDefault="0082424C" w:rsidP="00AD3197">
      <w:pPr>
        <w:spacing w:before="120" w:after="120"/>
        <w:rPr>
          <w:rFonts w:eastAsia="Times New Roman" w:cs="Arial"/>
          <w:b/>
          <w:iCs/>
          <w:sz w:val="18"/>
          <w:szCs w:val="18"/>
          <w:lang w:eastAsia="en-US"/>
        </w:rPr>
      </w:pPr>
      <w:r w:rsidRPr="007A3600">
        <w:rPr>
          <w:rFonts w:eastAsia="Times New Roman" w:cs="Arial"/>
          <w:b/>
          <w:iCs/>
          <w:sz w:val="18"/>
          <w:szCs w:val="18"/>
          <w:lang w:eastAsia="en-US"/>
        </w:rPr>
        <w:br w:type="page"/>
      </w:r>
    </w:p>
    <w:p w14:paraId="0B72EA8D"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529CCF34"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64C5EFA1"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
          <w:iCs/>
          <w:sz w:val="18"/>
          <w:szCs w:val="18"/>
          <w:lang w:eastAsia="en-US"/>
        </w:rPr>
      </w:pPr>
      <w:r w:rsidRPr="007A3600">
        <w:rPr>
          <w:rFonts w:eastAsia="Times New Roman" w:cs="Arial"/>
          <w:b/>
          <w:iCs/>
          <w:sz w:val="18"/>
          <w:szCs w:val="18"/>
          <w:lang w:eastAsia="en-US"/>
        </w:rPr>
        <w:t>Accounting Policy</w:t>
      </w:r>
    </w:p>
    <w:p w14:paraId="1886E95A"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Compensation</w:t>
      </w:r>
    </w:p>
    <w:p w14:paraId="0AB2F0D3"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The Agency has powers set out in the NDIS Act and the NDIS Compensation Rules to recover compensation settlements that have been made to participants in certain circumstances. This legislation and its interaction with general compensation law is highly complex. As a result, the Agency’s entitlement to, and the value of, compensation revenue cannot be reliably determined until the circumstances of each case are fully analysed. The legislation also provides the Agency with the option to apply a compensation reduction amount (CRA) to participant plans in lieu of recovering the compensation in a lump sum. Where the Agency elects to apply a CRA to a participant’s plan, a lower level of supports will be provided to the participant in future periods, resulting in a reduction in future participant plan expenses, rather than the recognition of compensation revenue. </w:t>
      </w:r>
    </w:p>
    <w:p w14:paraId="0DCD7AF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Compensation revenue is recognised when the delegate determines that a specified debt recovery amount is appropriate. </w:t>
      </w:r>
    </w:p>
    <w:p w14:paraId="1EF20A14"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From time to time, some compensation debt recovery amounts are subject to the reviewable decisions under section 100 of the NDIS Act and which result in partial or full refunds of the compensation receipts. If a refund is related to compensation receipts initially raised in a previous financial year, the amount is reported in Note 1.1E: Write-down and impairment of other assets, instead of a reversal of compensation receipts in Note 1.2C: Other Revenue.</w:t>
      </w:r>
    </w:p>
    <w:p w14:paraId="46796048"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color w:val="000000" w:themeColor="accent6"/>
          <w:sz w:val="18"/>
          <w:szCs w:val="18"/>
          <w:lang w:eastAsia="en-US"/>
        </w:rPr>
      </w:pPr>
      <w:r w:rsidRPr="007A3600">
        <w:rPr>
          <w:rFonts w:eastAsia="Times New Roman" w:cs="Arial"/>
          <w:bCs/>
          <w:sz w:val="18"/>
          <w:szCs w:val="18"/>
          <w:lang w:eastAsia="en-US"/>
        </w:rPr>
        <w:t>Further discussion on the recognition and valuation of compensation recoveries is included in Section 4 Managing Uncertainties.</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1A93307F" w14:textId="77777777">
        <w:trPr>
          <w:trHeight w:val="253"/>
        </w:trPr>
        <w:tc>
          <w:tcPr>
            <w:tcW w:w="6365" w:type="dxa"/>
            <w:tcBorders>
              <w:top w:val="nil"/>
              <w:left w:val="nil"/>
              <w:bottom w:val="nil"/>
              <w:right w:val="nil"/>
            </w:tcBorders>
            <w:shd w:val="clear" w:color="FFFFFF" w:fill="FFFFFF"/>
            <w:noWrap/>
            <w:vAlign w:val="bottom"/>
            <w:hideMark/>
          </w:tcPr>
          <w:p w14:paraId="396F7AC8"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1.2D: Other gains</w:t>
            </w:r>
          </w:p>
        </w:tc>
        <w:tc>
          <w:tcPr>
            <w:tcW w:w="1243" w:type="dxa"/>
            <w:tcBorders>
              <w:top w:val="nil"/>
              <w:left w:val="nil"/>
              <w:bottom w:val="nil"/>
              <w:right w:val="nil"/>
            </w:tcBorders>
            <w:shd w:val="clear" w:color="FFFFFF" w:fill="FFFFFF"/>
            <w:noWrap/>
            <w:vAlign w:val="bottom"/>
            <w:hideMark/>
          </w:tcPr>
          <w:p w14:paraId="04C60F3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D42928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DFC7EA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78AF1B7" w14:textId="77777777">
        <w:trPr>
          <w:trHeight w:val="255"/>
        </w:trPr>
        <w:tc>
          <w:tcPr>
            <w:tcW w:w="6365" w:type="dxa"/>
            <w:tcBorders>
              <w:top w:val="nil"/>
              <w:left w:val="nil"/>
              <w:bottom w:val="nil"/>
              <w:right w:val="nil"/>
            </w:tcBorders>
            <w:shd w:val="clear" w:color="FFFFFF" w:fill="FFFFFF"/>
            <w:hideMark/>
          </w:tcPr>
          <w:p w14:paraId="1BB8469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Reversal/write back of provisions</w:t>
            </w:r>
          </w:p>
        </w:tc>
        <w:tc>
          <w:tcPr>
            <w:tcW w:w="1243" w:type="dxa"/>
            <w:tcBorders>
              <w:top w:val="nil"/>
              <w:left w:val="nil"/>
              <w:bottom w:val="nil"/>
              <w:right w:val="nil"/>
            </w:tcBorders>
            <w:shd w:val="clear" w:color="FFFFFF" w:fill="FFFFFF"/>
            <w:noWrap/>
            <w:vAlign w:val="bottom"/>
            <w:hideMark/>
          </w:tcPr>
          <w:p w14:paraId="0778C92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526</w:t>
            </w:r>
          </w:p>
        </w:tc>
        <w:tc>
          <w:tcPr>
            <w:tcW w:w="236" w:type="dxa"/>
            <w:tcBorders>
              <w:top w:val="nil"/>
              <w:left w:val="nil"/>
              <w:bottom w:val="nil"/>
              <w:right w:val="nil"/>
            </w:tcBorders>
            <w:shd w:val="clear" w:color="FFFFFF" w:fill="FFFFFF"/>
            <w:noWrap/>
            <w:vAlign w:val="bottom"/>
            <w:hideMark/>
          </w:tcPr>
          <w:p w14:paraId="3FC99CC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49086A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227</w:t>
            </w:r>
          </w:p>
        </w:tc>
      </w:tr>
      <w:tr w:rsidR="0082424C" w:rsidRPr="007A3600" w14:paraId="08876390" w14:textId="77777777">
        <w:trPr>
          <w:trHeight w:val="253"/>
        </w:trPr>
        <w:tc>
          <w:tcPr>
            <w:tcW w:w="6365" w:type="dxa"/>
            <w:tcBorders>
              <w:top w:val="nil"/>
              <w:left w:val="nil"/>
              <w:bottom w:val="nil"/>
              <w:right w:val="nil"/>
            </w:tcBorders>
            <w:shd w:val="clear" w:color="FFFFFF" w:fill="FFFFFF"/>
            <w:hideMark/>
          </w:tcPr>
          <w:p w14:paraId="1867B7A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Reversal of impairment losses</w:t>
            </w:r>
          </w:p>
        </w:tc>
        <w:tc>
          <w:tcPr>
            <w:tcW w:w="1243" w:type="dxa"/>
            <w:tcBorders>
              <w:top w:val="nil"/>
              <w:left w:val="nil"/>
              <w:bottom w:val="nil"/>
              <w:right w:val="nil"/>
            </w:tcBorders>
            <w:shd w:val="clear" w:color="FFFFFF" w:fill="FFFFFF"/>
            <w:noWrap/>
            <w:vAlign w:val="bottom"/>
            <w:hideMark/>
          </w:tcPr>
          <w:p w14:paraId="5DFE122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770C609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0E2D16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489</w:t>
            </w:r>
          </w:p>
        </w:tc>
      </w:tr>
      <w:tr w:rsidR="0082424C" w:rsidRPr="007A3600" w14:paraId="2AE3BB33" w14:textId="77777777">
        <w:trPr>
          <w:trHeight w:val="253"/>
        </w:trPr>
        <w:tc>
          <w:tcPr>
            <w:tcW w:w="6365" w:type="dxa"/>
            <w:tcBorders>
              <w:top w:val="nil"/>
              <w:left w:val="nil"/>
              <w:bottom w:val="nil"/>
              <w:right w:val="nil"/>
            </w:tcBorders>
            <w:shd w:val="clear" w:color="FFFFFF" w:fill="FFFFFF"/>
            <w:hideMark/>
          </w:tcPr>
          <w:p w14:paraId="4D033F5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Scheme payment cancellations</w:t>
            </w:r>
          </w:p>
        </w:tc>
        <w:tc>
          <w:tcPr>
            <w:tcW w:w="1243" w:type="dxa"/>
            <w:tcBorders>
              <w:top w:val="nil"/>
              <w:left w:val="nil"/>
              <w:bottom w:val="nil"/>
              <w:right w:val="nil"/>
            </w:tcBorders>
            <w:shd w:val="clear" w:color="FFFFFF" w:fill="FFFFFF"/>
            <w:noWrap/>
            <w:vAlign w:val="bottom"/>
            <w:hideMark/>
          </w:tcPr>
          <w:p w14:paraId="10A0BC2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105,792</w:t>
            </w:r>
          </w:p>
        </w:tc>
        <w:tc>
          <w:tcPr>
            <w:tcW w:w="236" w:type="dxa"/>
            <w:tcBorders>
              <w:top w:val="nil"/>
              <w:left w:val="nil"/>
              <w:bottom w:val="nil"/>
              <w:right w:val="nil"/>
            </w:tcBorders>
            <w:shd w:val="clear" w:color="FFFFFF" w:fill="FFFFFF"/>
            <w:noWrap/>
            <w:vAlign w:val="bottom"/>
            <w:hideMark/>
          </w:tcPr>
          <w:p w14:paraId="015EE0B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FDF76F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126,789</w:t>
            </w:r>
          </w:p>
        </w:tc>
      </w:tr>
      <w:tr w:rsidR="0082424C" w:rsidRPr="007A3600" w14:paraId="25C0DCB9" w14:textId="77777777">
        <w:trPr>
          <w:trHeight w:val="255"/>
        </w:trPr>
        <w:tc>
          <w:tcPr>
            <w:tcW w:w="6365" w:type="dxa"/>
            <w:tcBorders>
              <w:top w:val="nil"/>
              <w:left w:val="nil"/>
              <w:bottom w:val="nil"/>
              <w:right w:val="nil"/>
            </w:tcBorders>
            <w:shd w:val="clear" w:color="FFFFFF" w:fill="FFFFFF"/>
            <w:hideMark/>
          </w:tcPr>
          <w:p w14:paraId="7D914DD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w:t>
            </w:r>
          </w:p>
        </w:tc>
        <w:tc>
          <w:tcPr>
            <w:tcW w:w="1243" w:type="dxa"/>
            <w:tcBorders>
              <w:top w:val="nil"/>
              <w:left w:val="nil"/>
              <w:bottom w:val="nil"/>
              <w:right w:val="nil"/>
            </w:tcBorders>
            <w:shd w:val="clear" w:color="FFFFFF" w:fill="FFFFFF"/>
            <w:noWrap/>
            <w:vAlign w:val="bottom"/>
            <w:hideMark/>
          </w:tcPr>
          <w:p w14:paraId="4A64C73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725</w:t>
            </w:r>
          </w:p>
        </w:tc>
        <w:tc>
          <w:tcPr>
            <w:tcW w:w="236" w:type="dxa"/>
            <w:tcBorders>
              <w:top w:val="nil"/>
              <w:left w:val="nil"/>
              <w:bottom w:val="nil"/>
              <w:right w:val="nil"/>
            </w:tcBorders>
            <w:shd w:val="clear" w:color="FFFFFF" w:fill="FFFFFF"/>
            <w:noWrap/>
            <w:vAlign w:val="bottom"/>
            <w:hideMark/>
          </w:tcPr>
          <w:p w14:paraId="173AE2B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917811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25</w:t>
            </w:r>
          </w:p>
        </w:tc>
      </w:tr>
      <w:tr w:rsidR="0082424C" w:rsidRPr="007A3600" w14:paraId="2BDF6E05" w14:textId="77777777">
        <w:trPr>
          <w:trHeight w:val="253"/>
        </w:trPr>
        <w:tc>
          <w:tcPr>
            <w:tcW w:w="6365" w:type="dxa"/>
            <w:tcBorders>
              <w:top w:val="nil"/>
              <w:left w:val="nil"/>
              <w:bottom w:val="nil"/>
              <w:right w:val="nil"/>
            </w:tcBorders>
            <w:shd w:val="clear" w:color="FFFFFF" w:fill="FFFFFF"/>
            <w:vAlign w:val="bottom"/>
            <w:hideMark/>
          </w:tcPr>
          <w:p w14:paraId="72E07EF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gains</w:t>
            </w:r>
          </w:p>
        </w:tc>
        <w:tc>
          <w:tcPr>
            <w:tcW w:w="1243" w:type="dxa"/>
            <w:tcBorders>
              <w:top w:val="single" w:sz="4" w:space="0" w:color="auto"/>
              <w:left w:val="nil"/>
              <w:bottom w:val="single" w:sz="4" w:space="0" w:color="auto"/>
              <w:right w:val="nil"/>
            </w:tcBorders>
            <w:shd w:val="clear" w:color="FFFFFF" w:fill="FFFFFF"/>
            <w:noWrap/>
            <w:vAlign w:val="bottom"/>
            <w:hideMark/>
          </w:tcPr>
          <w:p w14:paraId="2973E12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107,043</w:t>
            </w:r>
          </w:p>
        </w:tc>
        <w:tc>
          <w:tcPr>
            <w:tcW w:w="236" w:type="dxa"/>
            <w:tcBorders>
              <w:top w:val="nil"/>
              <w:left w:val="nil"/>
              <w:bottom w:val="nil"/>
              <w:right w:val="nil"/>
            </w:tcBorders>
            <w:shd w:val="clear" w:color="FFFFFF" w:fill="FFFFFF"/>
            <w:noWrap/>
            <w:vAlign w:val="bottom"/>
            <w:hideMark/>
          </w:tcPr>
          <w:p w14:paraId="5D91BF7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B6BA68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127,530</w:t>
            </w:r>
          </w:p>
        </w:tc>
      </w:tr>
    </w:tbl>
    <w:p w14:paraId="358C7069"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67C147A1"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iCs/>
          <w:sz w:val="18"/>
          <w:szCs w:val="18"/>
          <w:u w:val="single"/>
          <w:lang w:eastAsia="en-US"/>
        </w:rPr>
      </w:pPr>
      <w:r w:rsidRPr="007A3600">
        <w:rPr>
          <w:rFonts w:eastAsia="Times New Roman" w:cs="Arial"/>
          <w:bCs/>
          <w:i/>
          <w:iCs/>
          <w:sz w:val="18"/>
          <w:szCs w:val="18"/>
          <w:u w:val="single"/>
          <w:lang w:eastAsia="en-US"/>
        </w:rPr>
        <w:t xml:space="preserve">Revenue from Government </w:t>
      </w:r>
    </w:p>
    <w:p w14:paraId="7CE5E35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eastAsia="en-US"/>
        </w:rPr>
      </w:pPr>
      <w:r w:rsidRPr="007A3600">
        <w:rPr>
          <w:rFonts w:eastAsia="Times New Roman" w:cs="Arial"/>
          <w:bCs/>
          <w:iCs/>
          <w:sz w:val="18"/>
          <w:szCs w:val="18"/>
          <w:lang w:eastAsia="en-US"/>
        </w:rPr>
        <w:t xml:space="preserve">Funding received from Commonwealth (received by the Agency as a corporate Commonwealth entity payment item) is recognised as Revenue from Government unless the funding is in the nature of an equity injection or a loan. </w:t>
      </w:r>
    </w:p>
    <w:p w14:paraId="1A50A555"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eastAsia="en-US"/>
        </w:rPr>
      </w:pPr>
      <w:r w:rsidRPr="007A3600">
        <w:rPr>
          <w:rFonts w:eastAsia="Times New Roman" w:cs="Arial"/>
          <w:bCs/>
          <w:iCs/>
          <w:sz w:val="18"/>
          <w:szCs w:val="18"/>
          <w:lang w:eastAsia="en-US"/>
        </w:rPr>
        <w:t>Revenue from Government should be read in conjunction with the Statement of Comprehensive Income Budget Variances Commentary.</w:t>
      </w:r>
    </w:p>
    <w:p w14:paraId="22E35E0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lang w:eastAsia="en-US"/>
        </w:rPr>
      </w:pPr>
      <w:r w:rsidRPr="007A3600">
        <w:rPr>
          <w:rFonts w:eastAsia="Times New Roman" w:cs="Arial"/>
          <w:sz w:val="14"/>
          <w:szCs w:val="14"/>
          <w:lang w:eastAsia="en-US"/>
        </w:rPr>
        <w:t>Note: Line item ‘</w:t>
      </w:r>
      <w:r w:rsidRPr="007A3600">
        <w:rPr>
          <w:rFonts w:eastAsia="Times New Roman" w:cs="Arial"/>
          <w:i/>
          <w:iCs/>
          <w:sz w:val="14"/>
          <w:szCs w:val="14"/>
          <w:lang w:eastAsia="en-US"/>
        </w:rPr>
        <w:t>External parties – Contributions in-kind from state and territory governments</w:t>
      </w:r>
      <w:r w:rsidRPr="007A3600">
        <w:rPr>
          <w:rFonts w:eastAsia="Times New Roman" w:cs="Arial"/>
          <w:sz w:val="14"/>
          <w:szCs w:val="14"/>
          <w:lang w:eastAsia="en-US"/>
        </w:rPr>
        <w:t>’ that was previously reported in Note 1.2D Other Gains has now been reclassified to revenue (Note 1.2C) from FY 2024/25. The FY 2023/24 comparative has also been reclassified.</w:t>
      </w:r>
    </w:p>
    <w:p w14:paraId="079C376D" w14:textId="77777777" w:rsidR="0082424C" w:rsidRPr="007A3600" w:rsidRDefault="0082424C" w:rsidP="00AD3197">
      <w:pPr>
        <w:spacing w:after="0" w:line="240" w:lineRule="auto"/>
        <w:rPr>
          <w:rFonts w:ascii="Times New Roman" w:eastAsia="Times New Roman" w:hAnsi="Times New Roman"/>
          <w:sz w:val="22"/>
          <w:szCs w:val="20"/>
          <w:lang w:eastAsia="en-US"/>
        </w:rPr>
      </w:pPr>
      <w:r w:rsidRPr="007A3600">
        <w:rPr>
          <w:rFonts w:ascii="Times New Roman" w:eastAsia="Times New Roman" w:hAnsi="Times New Roman"/>
          <w:sz w:val="22"/>
          <w:szCs w:val="20"/>
          <w:lang w:eastAsia="en-US"/>
        </w:rPr>
        <w:br w:type="page"/>
      </w:r>
    </w:p>
    <w:p w14:paraId="0F06F923"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190" w:name="_Toc65742846"/>
      <w:bookmarkStart w:id="191" w:name="_Toc195692035"/>
      <w:r w:rsidRPr="007A3600">
        <w:rPr>
          <w:rFonts w:eastAsia="Times New Roman" w:cs="Arial"/>
          <w:b/>
          <w:lang w:eastAsia="en-US"/>
        </w:rPr>
        <w:lastRenderedPageBreak/>
        <w:t>National Disability Insurance Agency</w:t>
      </w:r>
    </w:p>
    <w:p w14:paraId="1990717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bookmarkEnd w:id="190"/>
    <w:bookmarkEnd w:id="191"/>
    <w:p w14:paraId="78F4E163" w14:textId="77777777" w:rsidR="00F653C2" w:rsidRPr="00974C6F" w:rsidRDefault="00F653C2" w:rsidP="00242A32">
      <w:pPr>
        <w:shd w:val="clear" w:color="00CC99" w:fill="800080"/>
        <w:spacing w:before="240" w:after="0" w:line="260" w:lineRule="atLeast"/>
        <w:ind w:left="360" w:hanging="360"/>
        <w:rPr>
          <w:rFonts w:ascii="Arial Bold" w:eastAsia="Times New Roman" w:hAnsi="Arial Bold"/>
          <w:b/>
          <w:color w:val="FFFFFF"/>
          <w:szCs w:val="20"/>
          <w:lang w:eastAsia="en-US"/>
        </w:rPr>
      </w:pPr>
      <w:r>
        <w:rPr>
          <w:rFonts w:ascii="Arial Bold" w:eastAsia="Times New Roman" w:hAnsi="Arial Bold"/>
          <w:b/>
          <w:color w:val="FFFFFF"/>
          <w:szCs w:val="20"/>
          <w:lang w:eastAsia="en-US"/>
        </w:rPr>
        <w:t>2.</w:t>
      </w:r>
      <w:r>
        <w:rPr>
          <w:rFonts w:ascii="Arial Bold" w:eastAsia="Times New Roman" w:hAnsi="Arial Bold"/>
          <w:b/>
          <w:color w:val="FFFFFF"/>
          <w:szCs w:val="20"/>
          <w:lang w:eastAsia="en-US"/>
        </w:rPr>
        <w:tab/>
      </w:r>
      <w:r w:rsidRPr="00974C6F">
        <w:rPr>
          <w:rFonts w:ascii="Arial Bold" w:eastAsia="Times New Roman" w:hAnsi="Arial Bold"/>
          <w:b/>
          <w:color w:val="FFFFFF"/>
          <w:szCs w:val="20"/>
          <w:lang w:eastAsia="en-US"/>
        </w:rPr>
        <w:t>Financial Position</w:t>
      </w:r>
    </w:p>
    <w:p w14:paraId="65778348" w14:textId="77777777" w:rsidR="00F653C2" w:rsidRPr="00974C6F" w:rsidRDefault="00F653C2" w:rsidP="00242A32">
      <w:pPr>
        <w:shd w:val="clear" w:color="00CC99" w:fill="800080"/>
        <w:spacing w:after="0" w:line="260" w:lineRule="atLeast"/>
        <w:rPr>
          <w:rFonts w:eastAsia="Times New Roman"/>
          <w:color w:val="FFFFFF"/>
          <w:sz w:val="18"/>
          <w:szCs w:val="18"/>
          <w:lang w:eastAsia="en-US"/>
        </w:rPr>
      </w:pPr>
      <w:r w:rsidRPr="00974C6F">
        <w:rPr>
          <w:rFonts w:eastAsia="Times New Roman"/>
          <w:color w:val="FFFFFF"/>
          <w:sz w:val="18"/>
          <w:szCs w:val="18"/>
          <w:lang w:eastAsia="en-US"/>
        </w:rPr>
        <w:t>This section analyses the Agency’s assets used to conduct its operations and the operating liabilities incurred as a result.</w:t>
      </w:r>
    </w:p>
    <w:p w14:paraId="34F445C9" w14:textId="77777777" w:rsidR="00F653C2" w:rsidRPr="00974C6F" w:rsidRDefault="00F653C2" w:rsidP="00242A32">
      <w:pPr>
        <w:shd w:val="clear" w:color="00CC99" w:fill="800080"/>
        <w:spacing w:after="0" w:line="260" w:lineRule="atLeast"/>
        <w:rPr>
          <w:rFonts w:eastAsia="Times New Roman"/>
          <w:color w:val="FFFFFF"/>
          <w:sz w:val="18"/>
          <w:szCs w:val="18"/>
          <w:lang w:eastAsia="en-US"/>
        </w:rPr>
      </w:pPr>
      <w:r w:rsidRPr="00974C6F">
        <w:rPr>
          <w:rFonts w:eastAsia="Times New Roman"/>
          <w:color w:val="FFFFFF"/>
          <w:sz w:val="18"/>
          <w:szCs w:val="18"/>
          <w:lang w:eastAsia="en-US"/>
        </w:rPr>
        <w:t xml:space="preserve">Buildings and plant and equipment, other than right-of-use buildings and vehicles, are carried at fair value in accordance with AASB 13 </w:t>
      </w:r>
      <w:r w:rsidRPr="00974C6F">
        <w:rPr>
          <w:rFonts w:eastAsia="Times New Roman"/>
          <w:i/>
          <w:color w:val="FFFFFF"/>
          <w:sz w:val="18"/>
          <w:szCs w:val="18"/>
          <w:lang w:eastAsia="en-US"/>
        </w:rPr>
        <w:t>Fair Value Measurement.</w:t>
      </w:r>
      <w:r w:rsidRPr="00974C6F">
        <w:rPr>
          <w:rFonts w:eastAsia="Times New Roman"/>
          <w:color w:val="FFFFFF"/>
          <w:sz w:val="18"/>
          <w:szCs w:val="18"/>
          <w:lang w:eastAsia="en-US"/>
        </w:rPr>
        <w:t xml:space="preserve"> The remaining assets and liabilities disclosed in the statement of financial position do not apply the fair value hierarchy.</w:t>
      </w:r>
    </w:p>
    <w:p w14:paraId="1A2607B0" w14:textId="77777777" w:rsidR="00F653C2" w:rsidRPr="00974C6F" w:rsidRDefault="00F653C2" w:rsidP="00242A32">
      <w:pPr>
        <w:shd w:val="clear" w:color="00CC99" w:fill="800080"/>
        <w:spacing w:after="0" w:line="260" w:lineRule="atLeast"/>
        <w:rPr>
          <w:rFonts w:eastAsia="Times New Roman"/>
          <w:color w:val="FFFFFF"/>
          <w:sz w:val="18"/>
          <w:szCs w:val="18"/>
          <w:lang w:eastAsia="en-US"/>
        </w:rPr>
      </w:pPr>
      <w:r w:rsidRPr="00974C6F">
        <w:rPr>
          <w:rFonts w:eastAsia="Times New Roman"/>
          <w:color w:val="FFFFFF"/>
          <w:sz w:val="18"/>
          <w:szCs w:val="18"/>
          <w:lang w:eastAsia="en-US"/>
        </w:rPr>
        <w:t>Employee related information is disclosed in Section 3. People and Relationships.</w:t>
      </w:r>
    </w:p>
    <w:p w14:paraId="4001B258" w14:textId="77777777" w:rsidR="00F653C2" w:rsidRPr="00974C6F" w:rsidRDefault="00F653C2" w:rsidP="00F653C2">
      <w:pPr>
        <w:numPr>
          <w:ilvl w:val="1"/>
          <w:numId w:val="0"/>
        </w:numPr>
        <w:shd w:val="clear" w:color="auto" w:fill="000000"/>
        <w:spacing w:after="0" w:line="260" w:lineRule="atLeast"/>
        <w:ind w:left="426" w:hanging="426"/>
        <w:rPr>
          <w:rFonts w:eastAsia="Times New Roman" w:cs="Arial"/>
          <w:b/>
          <w:color w:val="FFFFFF"/>
          <w:sz w:val="20"/>
          <w:szCs w:val="20"/>
          <w:lang w:eastAsia="en-US"/>
        </w:rPr>
      </w:pPr>
      <w:bookmarkStart w:id="192" w:name="_Toc65742847"/>
      <w:bookmarkStart w:id="193" w:name="_Toc195692036"/>
      <w:r>
        <w:rPr>
          <w:rFonts w:eastAsia="Times New Roman" w:cs="Arial"/>
          <w:b/>
          <w:color w:val="FFFFFF"/>
          <w:sz w:val="20"/>
          <w:szCs w:val="20"/>
          <w:lang w:eastAsia="en-US"/>
        </w:rPr>
        <w:t>2.1</w:t>
      </w:r>
      <w:r>
        <w:rPr>
          <w:rFonts w:eastAsia="Times New Roman" w:cs="Arial"/>
          <w:b/>
          <w:color w:val="FFFFFF"/>
          <w:sz w:val="20"/>
          <w:szCs w:val="20"/>
          <w:lang w:eastAsia="en-US"/>
        </w:rPr>
        <w:tab/>
      </w:r>
      <w:r w:rsidRPr="00974C6F">
        <w:rPr>
          <w:rFonts w:eastAsia="Times New Roman" w:cs="Arial"/>
          <w:b/>
          <w:color w:val="FFFFFF"/>
          <w:sz w:val="20"/>
          <w:szCs w:val="20"/>
          <w:lang w:eastAsia="en-US"/>
        </w:rPr>
        <w:t>Financial Assets</w:t>
      </w:r>
      <w:bookmarkEnd w:id="192"/>
      <w:bookmarkEnd w:id="193"/>
    </w:p>
    <w:tbl>
      <w:tblPr>
        <w:tblW w:w="9087" w:type="dxa"/>
        <w:tblLayout w:type="fixed"/>
        <w:tblLook w:val="04A0" w:firstRow="1" w:lastRow="0" w:firstColumn="1" w:lastColumn="0" w:noHBand="0" w:noVBand="1"/>
      </w:tblPr>
      <w:tblGrid>
        <w:gridCol w:w="6365"/>
        <w:gridCol w:w="1243"/>
        <w:gridCol w:w="236"/>
        <w:gridCol w:w="1243"/>
      </w:tblGrid>
      <w:tr w:rsidR="0082424C" w:rsidRPr="007A3600" w14:paraId="090556B7" w14:textId="77777777">
        <w:trPr>
          <w:trHeight w:val="250"/>
        </w:trPr>
        <w:tc>
          <w:tcPr>
            <w:tcW w:w="6365" w:type="dxa"/>
            <w:tcBorders>
              <w:top w:val="nil"/>
              <w:left w:val="nil"/>
              <w:bottom w:val="nil"/>
              <w:right w:val="nil"/>
            </w:tcBorders>
            <w:shd w:val="clear" w:color="FFFFFF" w:fill="FFFFFF"/>
            <w:noWrap/>
            <w:vAlign w:val="bottom"/>
            <w:hideMark/>
          </w:tcPr>
          <w:p w14:paraId="739B2B1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2D09E1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384DD41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CCD3F6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14FA8AC1" w14:textId="77777777">
        <w:trPr>
          <w:trHeight w:val="260"/>
        </w:trPr>
        <w:tc>
          <w:tcPr>
            <w:tcW w:w="6365" w:type="dxa"/>
            <w:tcBorders>
              <w:top w:val="nil"/>
              <w:left w:val="nil"/>
              <w:bottom w:val="nil"/>
              <w:right w:val="nil"/>
            </w:tcBorders>
            <w:shd w:val="clear" w:color="FFFFFF" w:fill="FFFFFF"/>
            <w:noWrap/>
            <w:vAlign w:val="bottom"/>
            <w:hideMark/>
          </w:tcPr>
          <w:p w14:paraId="2CDC623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DB12A4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30B0C70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8CF54F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7B93466" w14:textId="77777777">
        <w:trPr>
          <w:trHeight w:val="260"/>
        </w:trPr>
        <w:tc>
          <w:tcPr>
            <w:tcW w:w="6365" w:type="dxa"/>
            <w:tcBorders>
              <w:top w:val="nil"/>
              <w:left w:val="nil"/>
              <w:bottom w:val="nil"/>
              <w:right w:val="nil"/>
            </w:tcBorders>
            <w:shd w:val="clear" w:color="FFFFFF" w:fill="FFFFFF"/>
            <w:noWrap/>
            <w:vAlign w:val="bottom"/>
            <w:hideMark/>
          </w:tcPr>
          <w:p w14:paraId="6AA9C27C"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2.1A: Cash and cash equivalents</w:t>
            </w:r>
          </w:p>
        </w:tc>
        <w:tc>
          <w:tcPr>
            <w:tcW w:w="1243" w:type="dxa"/>
            <w:tcBorders>
              <w:top w:val="nil"/>
              <w:left w:val="nil"/>
              <w:bottom w:val="nil"/>
              <w:right w:val="nil"/>
            </w:tcBorders>
            <w:shd w:val="clear" w:color="FFFFFF" w:fill="FFFFFF"/>
            <w:noWrap/>
            <w:vAlign w:val="bottom"/>
            <w:hideMark/>
          </w:tcPr>
          <w:p w14:paraId="0D970D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6FFFE1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5C4BD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496B997" w14:textId="77777777">
        <w:trPr>
          <w:trHeight w:val="250"/>
        </w:trPr>
        <w:tc>
          <w:tcPr>
            <w:tcW w:w="6365" w:type="dxa"/>
            <w:tcBorders>
              <w:top w:val="nil"/>
              <w:left w:val="nil"/>
              <w:bottom w:val="nil"/>
              <w:right w:val="nil"/>
            </w:tcBorders>
            <w:shd w:val="clear" w:color="FFFFFF" w:fill="FFFFFF"/>
            <w:vAlign w:val="bottom"/>
            <w:hideMark/>
          </w:tcPr>
          <w:p w14:paraId="171C34A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Cash on hand</w:t>
            </w:r>
          </w:p>
        </w:tc>
        <w:tc>
          <w:tcPr>
            <w:tcW w:w="1243" w:type="dxa"/>
            <w:tcBorders>
              <w:top w:val="nil"/>
              <w:left w:val="nil"/>
              <w:bottom w:val="nil"/>
              <w:right w:val="nil"/>
            </w:tcBorders>
            <w:shd w:val="clear" w:color="FFFFFF" w:fill="FFFFFF"/>
            <w:noWrap/>
            <w:vAlign w:val="bottom"/>
            <w:hideMark/>
          </w:tcPr>
          <w:p w14:paraId="301DA1F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2,528,958</w:t>
            </w:r>
          </w:p>
        </w:tc>
        <w:tc>
          <w:tcPr>
            <w:tcW w:w="236" w:type="dxa"/>
            <w:tcBorders>
              <w:top w:val="nil"/>
              <w:left w:val="nil"/>
              <w:bottom w:val="nil"/>
              <w:right w:val="nil"/>
            </w:tcBorders>
            <w:shd w:val="clear" w:color="FFFFFF" w:fill="FFFFFF"/>
            <w:noWrap/>
            <w:vAlign w:val="bottom"/>
            <w:hideMark/>
          </w:tcPr>
          <w:p w14:paraId="7BDC829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58B85B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5,659,548</w:t>
            </w:r>
          </w:p>
        </w:tc>
      </w:tr>
      <w:tr w:rsidR="0082424C" w:rsidRPr="007A3600" w14:paraId="1E35BF79" w14:textId="77777777">
        <w:trPr>
          <w:trHeight w:val="250"/>
        </w:trPr>
        <w:tc>
          <w:tcPr>
            <w:tcW w:w="6365" w:type="dxa"/>
            <w:tcBorders>
              <w:top w:val="nil"/>
              <w:left w:val="nil"/>
              <w:bottom w:val="nil"/>
              <w:right w:val="nil"/>
            </w:tcBorders>
            <w:shd w:val="clear" w:color="FFFFFF" w:fill="FFFFFF"/>
            <w:vAlign w:val="bottom"/>
            <w:hideMark/>
          </w:tcPr>
          <w:p w14:paraId="055AC17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Term deposits</w:t>
            </w:r>
          </w:p>
        </w:tc>
        <w:tc>
          <w:tcPr>
            <w:tcW w:w="1243" w:type="dxa"/>
            <w:tcBorders>
              <w:top w:val="nil"/>
              <w:left w:val="nil"/>
              <w:bottom w:val="nil"/>
              <w:right w:val="nil"/>
            </w:tcBorders>
            <w:shd w:val="clear" w:color="FFFFFF" w:fill="FFFFFF"/>
            <w:noWrap/>
            <w:vAlign w:val="bottom"/>
            <w:hideMark/>
          </w:tcPr>
          <w:p w14:paraId="05BC52B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3,700,000</w:t>
            </w:r>
          </w:p>
        </w:tc>
        <w:tc>
          <w:tcPr>
            <w:tcW w:w="236" w:type="dxa"/>
            <w:tcBorders>
              <w:top w:val="nil"/>
              <w:left w:val="nil"/>
              <w:bottom w:val="nil"/>
              <w:right w:val="nil"/>
            </w:tcBorders>
            <w:shd w:val="clear" w:color="FFFFFF" w:fill="FFFFFF"/>
            <w:noWrap/>
            <w:vAlign w:val="bottom"/>
            <w:hideMark/>
          </w:tcPr>
          <w:p w14:paraId="24BCF1B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F91FA2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4A5CFB22" w14:textId="77777777">
        <w:trPr>
          <w:trHeight w:val="250"/>
        </w:trPr>
        <w:tc>
          <w:tcPr>
            <w:tcW w:w="6365" w:type="dxa"/>
            <w:tcBorders>
              <w:top w:val="nil"/>
              <w:left w:val="nil"/>
              <w:bottom w:val="nil"/>
              <w:right w:val="nil"/>
            </w:tcBorders>
            <w:shd w:val="clear" w:color="FFFFFF" w:fill="FFFFFF"/>
            <w:vAlign w:val="bottom"/>
            <w:hideMark/>
          </w:tcPr>
          <w:p w14:paraId="0EFF45A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cash and cash equivalents</w:t>
            </w:r>
          </w:p>
        </w:tc>
        <w:tc>
          <w:tcPr>
            <w:tcW w:w="1243" w:type="dxa"/>
            <w:tcBorders>
              <w:top w:val="single" w:sz="4" w:space="0" w:color="auto"/>
              <w:left w:val="nil"/>
              <w:bottom w:val="single" w:sz="4" w:space="0" w:color="auto"/>
              <w:right w:val="nil"/>
            </w:tcBorders>
            <w:shd w:val="clear" w:color="FFFFFF" w:fill="FFFFFF"/>
            <w:noWrap/>
            <w:vAlign w:val="bottom"/>
            <w:hideMark/>
          </w:tcPr>
          <w:p w14:paraId="721EB53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6,228,958</w:t>
            </w:r>
          </w:p>
        </w:tc>
        <w:tc>
          <w:tcPr>
            <w:tcW w:w="236" w:type="dxa"/>
            <w:tcBorders>
              <w:top w:val="nil"/>
              <w:left w:val="nil"/>
              <w:bottom w:val="nil"/>
              <w:right w:val="nil"/>
            </w:tcBorders>
            <w:shd w:val="clear" w:color="FFFFFF" w:fill="FFFFFF"/>
            <w:noWrap/>
            <w:vAlign w:val="bottom"/>
            <w:hideMark/>
          </w:tcPr>
          <w:p w14:paraId="1F1B9BC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0134318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5,659,548</w:t>
            </w:r>
          </w:p>
        </w:tc>
      </w:tr>
    </w:tbl>
    <w:p w14:paraId="6C1B2130" w14:textId="77777777" w:rsidR="0082424C" w:rsidRPr="007A3600" w:rsidRDefault="0082424C" w:rsidP="00AD3197">
      <w:pPr>
        <w:spacing w:after="0" w:line="260" w:lineRule="atLeast"/>
        <w:rPr>
          <w:rFonts w:ascii="Times New Roman" w:eastAsia="Times New Roman" w:hAnsi="Times New Roman"/>
          <w:sz w:val="22"/>
          <w:szCs w:val="20"/>
          <w:lang w:eastAsia="en-US"/>
        </w:rPr>
      </w:pPr>
    </w:p>
    <w:p w14:paraId="67D531E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lang w:eastAsia="en-US"/>
        </w:rPr>
      </w:pPr>
      <w:r w:rsidRPr="007A3600">
        <w:rPr>
          <w:rFonts w:eastAsia="Times New Roman" w:cs="Arial"/>
          <w:b/>
          <w:bCs/>
          <w:sz w:val="18"/>
          <w:szCs w:val="18"/>
          <w:lang w:eastAsia="en-US"/>
        </w:rPr>
        <w:t>Accounting Policy</w:t>
      </w:r>
    </w:p>
    <w:p w14:paraId="78E995A2"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Cash is recognised at its nominal amount. This includes cash on hand and term deposits in bank accounts with an original maturity of one year or less that are readily convertible to cash and subject to insignificant risk of changes in value. Term deposits with an original maturity greater than one year are included in Note 2.1C.</w:t>
      </w:r>
    </w:p>
    <w:p w14:paraId="341E52B3"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*Note: Total cash and cash equivalents of $6,229m (2024: $5,660m), as shown in Note 2.1A, includes Term Deposits of $3,700m (2024: nil), that are less than one year to maturity in tenure and considered to be ‘cash equivalents’ and available as cash to the Agency. ‘Cash and cash equivalents at the end of the reporting period’ of $2,529m, as shown on the Cash Flow Statement, reconciles to ‘Cash on hand’ of $2,529m (2024: $5,660m) as shown in Note 2.1A.</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2CD9C45F" w14:textId="77777777">
        <w:trPr>
          <w:trHeight w:val="260"/>
        </w:trPr>
        <w:tc>
          <w:tcPr>
            <w:tcW w:w="6365" w:type="dxa"/>
            <w:tcBorders>
              <w:top w:val="nil"/>
              <w:left w:val="nil"/>
              <w:bottom w:val="nil"/>
              <w:right w:val="nil"/>
            </w:tcBorders>
            <w:shd w:val="clear" w:color="FFFFFF" w:fill="FFFFFF"/>
            <w:noWrap/>
            <w:vAlign w:val="bottom"/>
            <w:hideMark/>
          </w:tcPr>
          <w:p w14:paraId="0A5777C5"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2.1B: Trade and other receivables</w:t>
            </w:r>
          </w:p>
        </w:tc>
        <w:tc>
          <w:tcPr>
            <w:tcW w:w="1243" w:type="dxa"/>
            <w:tcBorders>
              <w:top w:val="nil"/>
              <w:left w:val="nil"/>
              <w:bottom w:val="nil"/>
              <w:right w:val="nil"/>
            </w:tcBorders>
            <w:shd w:val="clear" w:color="FFFFFF" w:fill="FFFFFF"/>
            <w:noWrap/>
            <w:vAlign w:val="bottom"/>
            <w:hideMark/>
          </w:tcPr>
          <w:p w14:paraId="589A72C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831BDD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74DC05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7BEC4C8" w14:textId="77777777">
        <w:trPr>
          <w:trHeight w:val="260"/>
        </w:trPr>
        <w:tc>
          <w:tcPr>
            <w:tcW w:w="6365" w:type="dxa"/>
            <w:tcBorders>
              <w:top w:val="nil"/>
              <w:left w:val="nil"/>
              <w:bottom w:val="nil"/>
              <w:right w:val="nil"/>
            </w:tcBorders>
            <w:shd w:val="clear" w:color="FFFFFF" w:fill="FFFFFF"/>
            <w:vAlign w:val="bottom"/>
            <w:hideMark/>
          </w:tcPr>
          <w:p w14:paraId="394F2B6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Goods and services receivables</w:t>
            </w:r>
          </w:p>
        </w:tc>
        <w:tc>
          <w:tcPr>
            <w:tcW w:w="1243" w:type="dxa"/>
            <w:tcBorders>
              <w:top w:val="nil"/>
              <w:left w:val="nil"/>
              <w:bottom w:val="nil"/>
              <w:right w:val="nil"/>
            </w:tcBorders>
            <w:shd w:val="clear" w:color="FFFFFF" w:fill="FFFFFF"/>
            <w:noWrap/>
            <w:vAlign w:val="bottom"/>
            <w:hideMark/>
          </w:tcPr>
          <w:p w14:paraId="2D4105C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2878AB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4E09B9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3C31225" w14:textId="77777777">
        <w:trPr>
          <w:trHeight w:val="268"/>
        </w:trPr>
        <w:tc>
          <w:tcPr>
            <w:tcW w:w="6365" w:type="dxa"/>
            <w:tcBorders>
              <w:top w:val="nil"/>
              <w:left w:val="nil"/>
              <w:bottom w:val="nil"/>
              <w:right w:val="nil"/>
            </w:tcBorders>
            <w:shd w:val="clear" w:color="FFFFFF" w:fill="FFFFFF"/>
            <w:noWrap/>
            <w:vAlign w:val="bottom"/>
            <w:hideMark/>
          </w:tcPr>
          <w:p w14:paraId="3C8FF1F7"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Goods and services receivables</w:t>
            </w:r>
          </w:p>
        </w:tc>
        <w:tc>
          <w:tcPr>
            <w:tcW w:w="1243" w:type="dxa"/>
            <w:tcBorders>
              <w:top w:val="nil"/>
              <w:left w:val="nil"/>
              <w:bottom w:val="single" w:sz="4" w:space="0" w:color="auto"/>
              <w:right w:val="nil"/>
            </w:tcBorders>
            <w:shd w:val="clear" w:color="FFFFFF" w:fill="FFFFFF"/>
            <w:noWrap/>
            <w:vAlign w:val="bottom"/>
            <w:hideMark/>
          </w:tcPr>
          <w:p w14:paraId="79426B3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9,075</w:t>
            </w:r>
          </w:p>
        </w:tc>
        <w:tc>
          <w:tcPr>
            <w:tcW w:w="236" w:type="dxa"/>
            <w:tcBorders>
              <w:top w:val="nil"/>
              <w:left w:val="nil"/>
              <w:bottom w:val="nil"/>
              <w:right w:val="nil"/>
            </w:tcBorders>
            <w:shd w:val="clear" w:color="FFFFFF" w:fill="FFFFFF"/>
            <w:noWrap/>
            <w:vAlign w:val="bottom"/>
            <w:hideMark/>
          </w:tcPr>
          <w:p w14:paraId="0419138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single" w:sz="4" w:space="0" w:color="auto"/>
              <w:right w:val="nil"/>
            </w:tcBorders>
            <w:shd w:val="clear" w:color="FFFFFF" w:fill="FFFFFF"/>
            <w:noWrap/>
            <w:vAlign w:val="bottom"/>
            <w:hideMark/>
          </w:tcPr>
          <w:p w14:paraId="510FBC9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107,550</w:t>
            </w:r>
          </w:p>
        </w:tc>
      </w:tr>
      <w:tr w:rsidR="0082424C" w:rsidRPr="007A3600" w14:paraId="4BD8AE73" w14:textId="77777777">
        <w:trPr>
          <w:trHeight w:val="268"/>
        </w:trPr>
        <w:tc>
          <w:tcPr>
            <w:tcW w:w="6365" w:type="dxa"/>
            <w:tcBorders>
              <w:top w:val="nil"/>
              <w:left w:val="nil"/>
              <w:bottom w:val="nil"/>
              <w:right w:val="nil"/>
            </w:tcBorders>
            <w:shd w:val="clear" w:color="FFFFFF" w:fill="FFFFFF"/>
            <w:vAlign w:val="bottom"/>
            <w:hideMark/>
          </w:tcPr>
          <w:p w14:paraId="4D9C0A1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goods and services receivables</w:t>
            </w:r>
          </w:p>
        </w:tc>
        <w:tc>
          <w:tcPr>
            <w:tcW w:w="1243" w:type="dxa"/>
            <w:tcBorders>
              <w:top w:val="single" w:sz="4" w:space="0" w:color="auto"/>
              <w:left w:val="nil"/>
              <w:bottom w:val="single" w:sz="4" w:space="0" w:color="auto"/>
              <w:right w:val="nil"/>
            </w:tcBorders>
            <w:shd w:val="clear" w:color="FFFFFF" w:fill="FFFFFF"/>
            <w:noWrap/>
            <w:vAlign w:val="bottom"/>
            <w:hideMark/>
          </w:tcPr>
          <w:p w14:paraId="763C808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9,075</w:t>
            </w:r>
          </w:p>
        </w:tc>
        <w:tc>
          <w:tcPr>
            <w:tcW w:w="236" w:type="dxa"/>
            <w:tcBorders>
              <w:top w:val="nil"/>
              <w:left w:val="nil"/>
              <w:bottom w:val="nil"/>
              <w:right w:val="nil"/>
            </w:tcBorders>
            <w:shd w:val="clear" w:color="FFFFFF" w:fill="FFFFFF"/>
            <w:noWrap/>
            <w:vAlign w:val="bottom"/>
            <w:hideMark/>
          </w:tcPr>
          <w:p w14:paraId="0A1BA94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623950A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107,550</w:t>
            </w:r>
          </w:p>
        </w:tc>
      </w:tr>
      <w:tr w:rsidR="0082424C" w:rsidRPr="007A3600" w14:paraId="0FE19D30" w14:textId="77777777">
        <w:trPr>
          <w:trHeight w:val="250"/>
        </w:trPr>
        <w:tc>
          <w:tcPr>
            <w:tcW w:w="6365" w:type="dxa"/>
            <w:tcBorders>
              <w:top w:val="nil"/>
              <w:left w:val="nil"/>
              <w:bottom w:val="nil"/>
              <w:right w:val="nil"/>
            </w:tcBorders>
            <w:shd w:val="clear" w:color="FFFFFF" w:fill="FFFFFF"/>
            <w:vAlign w:val="bottom"/>
            <w:hideMark/>
          </w:tcPr>
          <w:p w14:paraId="52A9550E"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Other receivables</w:t>
            </w:r>
          </w:p>
        </w:tc>
        <w:tc>
          <w:tcPr>
            <w:tcW w:w="1243" w:type="dxa"/>
            <w:tcBorders>
              <w:top w:val="nil"/>
              <w:left w:val="nil"/>
              <w:bottom w:val="nil"/>
              <w:right w:val="nil"/>
            </w:tcBorders>
            <w:shd w:val="clear" w:color="FFFFFF" w:fill="FFFFFF"/>
            <w:noWrap/>
            <w:vAlign w:val="bottom"/>
            <w:hideMark/>
          </w:tcPr>
          <w:p w14:paraId="4530EDC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11EB02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1589F3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ABB0CD1" w14:textId="77777777">
        <w:trPr>
          <w:trHeight w:val="253"/>
        </w:trPr>
        <w:tc>
          <w:tcPr>
            <w:tcW w:w="6365" w:type="dxa"/>
            <w:tcBorders>
              <w:top w:val="nil"/>
              <w:left w:val="nil"/>
              <w:bottom w:val="nil"/>
              <w:right w:val="nil"/>
            </w:tcBorders>
            <w:shd w:val="clear" w:color="FFFFFF" w:fill="FFFFFF"/>
            <w:noWrap/>
            <w:vAlign w:val="bottom"/>
            <w:hideMark/>
          </w:tcPr>
          <w:p w14:paraId="5D57F7FD"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GST receivable from the Australian Taxation Office</w:t>
            </w:r>
          </w:p>
        </w:tc>
        <w:tc>
          <w:tcPr>
            <w:tcW w:w="1243" w:type="dxa"/>
            <w:tcBorders>
              <w:top w:val="nil"/>
              <w:left w:val="nil"/>
              <w:bottom w:val="nil"/>
              <w:right w:val="nil"/>
            </w:tcBorders>
            <w:shd w:val="clear" w:color="FFFFFF" w:fill="FFFFFF"/>
            <w:noWrap/>
            <w:vAlign w:val="bottom"/>
            <w:hideMark/>
          </w:tcPr>
          <w:p w14:paraId="12D19A4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11,780</w:t>
            </w:r>
          </w:p>
        </w:tc>
        <w:tc>
          <w:tcPr>
            <w:tcW w:w="236" w:type="dxa"/>
            <w:tcBorders>
              <w:top w:val="nil"/>
              <w:left w:val="nil"/>
              <w:bottom w:val="nil"/>
              <w:right w:val="nil"/>
            </w:tcBorders>
            <w:shd w:val="clear" w:color="FFFFFF" w:fill="FFFFFF"/>
            <w:noWrap/>
            <w:vAlign w:val="bottom"/>
            <w:hideMark/>
          </w:tcPr>
          <w:p w14:paraId="0E18BDE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63B446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11,931</w:t>
            </w:r>
          </w:p>
        </w:tc>
      </w:tr>
      <w:tr w:rsidR="0082424C" w:rsidRPr="007A3600" w14:paraId="36641436" w14:textId="77777777">
        <w:trPr>
          <w:trHeight w:val="270"/>
        </w:trPr>
        <w:tc>
          <w:tcPr>
            <w:tcW w:w="6365" w:type="dxa"/>
            <w:tcBorders>
              <w:top w:val="nil"/>
              <w:left w:val="nil"/>
              <w:bottom w:val="nil"/>
              <w:right w:val="nil"/>
            </w:tcBorders>
            <w:shd w:val="clear" w:color="FFFFFF" w:fill="FFFFFF"/>
            <w:noWrap/>
            <w:vAlign w:val="bottom"/>
            <w:hideMark/>
          </w:tcPr>
          <w:p w14:paraId="44E75DA8"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Pandemic plan provider receivables</w:t>
            </w:r>
            <w:r w:rsidRPr="007A3600">
              <w:rPr>
                <w:rFonts w:eastAsia="Times New Roman" w:cs="Arial"/>
                <w:sz w:val="18"/>
                <w:szCs w:val="18"/>
                <w:vertAlign w:val="superscript"/>
                <w:lang w:eastAsia="en-US"/>
              </w:rPr>
              <w:t>1</w:t>
            </w:r>
          </w:p>
        </w:tc>
        <w:tc>
          <w:tcPr>
            <w:tcW w:w="1243" w:type="dxa"/>
            <w:tcBorders>
              <w:top w:val="nil"/>
              <w:left w:val="nil"/>
              <w:bottom w:val="nil"/>
              <w:right w:val="nil"/>
            </w:tcBorders>
            <w:shd w:val="clear" w:color="FFFFFF" w:fill="FFFFFF"/>
            <w:noWrap/>
            <w:vAlign w:val="bottom"/>
            <w:hideMark/>
          </w:tcPr>
          <w:p w14:paraId="7B00C48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348</w:t>
            </w:r>
          </w:p>
        </w:tc>
        <w:tc>
          <w:tcPr>
            <w:tcW w:w="236" w:type="dxa"/>
            <w:tcBorders>
              <w:top w:val="nil"/>
              <w:left w:val="nil"/>
              <w:bottom w:val="nil"/>
              <w:right w:val="nil"/>
            </w:tcBorders>
            <w:shd w:val="clear" w:color="FFFFFF" w:fill="FFFFFF"/>
            <w:noWrap/>
            <w:vAlign w:val="bottom"/>
            <w:hideMark/>
          </w:tcPr>
          <w:p w14:paraId="6781633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9C7F08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349</w:t>
            </w:r>
          </w:p>
        </w:tc>
      </w:tr>
      <w:tr w:rsidR="0082424C" w:rsidRPr="007A3600" w14:paraId="5AC1DC80" w14:textId="77777777">
        <w:trPr>
          <w:trHeight w:val="268"/>
        </w:trPr>
        <w:tc>
          <w:tcPr>
            <w:tcW w:w="6365" w:type="dxa"/>
            <w:tcBorders>
              <w:top w:val="nil"/>
              <w:left w:val="nil"/>
              <w:bottom w:val="nil"/>
              <w:right w:val="nil"/>
            </w:tcBorders>
            <w:shd w:val="clear" w:color="FFFFFF" w:fill="FFFFFF"/>
            <w:noWrap/>
            <w:vAlign w:val="bottom"/>
            <w:hideMark/>
          </w:tcPr>
          <w:p w14:paraId="38681DEE"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and other provider receivables</w:t>
            </w:r>
          </w:p>
        </w:tc>
        <w:tc>
          <w:tcPr>
            <w:tcW w:w="1243" w:type="dxa"/>
            <w:tcBorders>
              <w:top w:val="nil"/>
              <w:left w:val="nil"/>
              <w:bottom w:val="nil"/>
              <w:right w:val="nil"/>
            </w:tcBorders>
            <w:shd w:val="clear" w:color="FFFFFF" w:fill="FFFFFF"/>
            <w:noWrap/>
            <w:vAlign w:val="bottom"/>
            <w:hideMark/>
          </w:tcPr>
          <w:p w14:paraId="0D5103C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74,885</w:t>
            </w:r>
          </w:p>
        </w:tc>
        <w:tc>
          <w:tcPr>
            <w:tcW w:w="236" w:type="dxa"/>
            <w:tcBorders>
              <w:top w:val="nil"/>
              <w:left w:val="nil"/>
              <w:bottom w:val="nil"/>
              <w:right w:val="nil"/>
            </w:tcBorders>
            <w:shd w:val="clear" w:color="FFFFFF" w:fill="FFFFFF"/>
            <w:noWrap/>
            <w:vAlign w:val="bottom"/>
            <w:hideMark/>
          </w:tcPr>
          <w:p w14:paraId="780B051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9CE4F3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75,649</w:t>
            </w:r>
          </w:p>
        </w:tc>
      </w:tr>
      <w:tr w:rsidR="0082424C" w:rsidRPr="007A3600" w14:paraId="1EB89F57" w14:textId="77777777">
        <w:trPr>
          <w:trHeight w:val="250"/>
        </w:trPr>
        <w:tc>
          <w:tcPr>
            <w:tcW w:w="6365" w:type="dxa"/>
            <w:tcBorders>
              <w:top w:val="nil"/>
              <w:left w:val="nil"/>
              <w:bottom w:val="nil"/>
              <w:right w:val="nil"/>
            </w:tcBorders>
            <w:shd w:val="clear" w:color="FFFFFF" w:fill="FFFFFF"/>
            <w:noWrap/>
            <w:vAlign w:val="bottom"/>
            <w:hideMark/>
          </w:tcPr>
          <w:p w14:paraId="5A350D70"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w:t>
            </w:r>
          </w:p>
        </w:tc>
        <w:tc>
          <w:tcPr>
            <w:tcW w:w="1243" w:type="dxa"/>
            <w:tcBorders>
              <w:top w:val="nil"/>
              <w:left w:val="nil"/>
              <w:bottom w:val="nil"/>
              <w:right w:val="nil"/>
            </w:tcBorders>
            <w:shd w:val="clear" w:color="FFFFFF" w:fill="FFFFFF"/>
            <w:noWrap/>
            <w:vAlign w:val="bottom"/>
            <w:hideMark/>
          </w:tcPr>
          <w:p w14:paraId="405173F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35,142</w:t>
            </w:r>
          </w:p>
        </w:tc>
        <w:tc>
          <w:tcPr>
            <w:tcW w:w="236" w:type="dxa"/>
            <w:tcBorders>
              <w:top w:val="nil"/>
              <w:left w:val="nil"/>
              <w:bottom w:val="nil"/>
              <w:right w:val="nil"/>
            </w:tcBorders>
            <w:shd w:val="clear" w:color="FFFFFF" w:fill="FFFFFF"/>
            <w:noWrap/>
            <w:vAlign w:val="bottom"/>
            <w:hideMark/>
          </w:tcPr>
          <w:p w14:paraId="0FDA318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40ABED3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22,937</w:t>
            </w:r>
          </w:p>
        </w:tc>
      </w:tr>
      <w:tr w:rsidR="0082424C" w:rsidRPr="007A3600" w14:paraId="37AADE92" w14:textId="77777777">
        <w:trPr>
          <w:trHeight w:val="250"/>
        </w:trPr>
        <w:tc>
          <w:tcPr>
            <w:tcW w:w="6365" w:type="dxa"/>
            <w:tcBorders>
              <w:top w:val="nil"/>
              <w:left w:val="nil"/>
              <w:bottom w:val="nil"/>
              <w:right w:val="nil"/>
            </w:tcBorders>
            <w:shd w:val="clear" w:color="FFFFFF" w:fill="FFFFFF"/>
            <w:vAlign w:val="bottom"/>
            <w:hideMark/>
          </w:tcPr>
          <w:p w14:paraId="2BC59B3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other receivables</w:t>
            </w:r>
          </w:p>
        </w:tc>
        <w:tc>
          <w:tcPr>
            <w:tcW w:w="1243" w:type="dxa"/>
            <w:tcBorders>
              <w:top w:val="single" w:sz="4" w:space="0" w:color="auto"/>
              <w:left w:val="nil"/>
              <w:bottom w:val="single" w:sz="4" w:space="0" w:color="auto"/>
              <w:right w:val="nil"/>
            </w:tcBorders>
            <w:shd w:val="clear" w:color="FFFFFF" w:fill="FFFFFF"/>
            <w:noWrap/>
            <w:vAlign w:val="bottom"/>
            <w:hideMark/>
          </w:tcPr>
          <w:p w14:paraId="56E0087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122,155</w:t>
            </w:r>
          </w:p>
        </w:tc>
        <w:tc>
          <w:tcPr>
            <w:tcW w:w="236" w:type="dxa"/>
            <w:tcBorders>
              <w:top w:val="nil"/>
              <w:left w:val="nil"/>
              <w:bottom w:val="nil"/>
              <w:right w:val="nil"/>
            </w:tcBorders>
            <w:shd w:val="clear" w:color="FFFFFF" w:fill="FFFFFF"/>
            <w:noWrap/>
            <w:vAlign w:val="bottom"/>
            <w:hideMark/>
          </w:tcPr>
          <w:p w14:paraId="6BB25AC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4518D6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110,866</w:t>
            </w:r>
          </w:p>
        </w:tc>
      </w:tr>
      <w:tr w:rsidR="0082424C" w:rsidRPr="007A3600" w14:paraId="54DD00EA" w14:textId="77777777">
        <w:trPr>
          <w:trHeight w:val="250"/>
        </w:trPr>
        <w:tc>
          <w:tcPr>
            <w:tcW w:w="6365" w:type="dxa"/>
            <w:tcBorders>
              <w:top w:val="nil"/>
              <w:left w:val="nil"/>
              <w:bottom w:val="nil"/>
              <w:right w:val="nil"/>
            </w:tcBorders>
            <w:shd w:val="clear" w:color="FFFFFF" w:fill="FFFFFF"/>
            <w:vAlign w:val="bottom"/>
            <w:hideMark/>
          </w:tcPr>
          <w:p w14:paraId="3129505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trade and other receivables (gross)</w:t>
            </w:r>
          </w:p>
        </w:tc>
        <w:tc>
          <w:tcPr>
            <w:tcW w:w="1243" w:type="dxa"/>
            <w:tcBorders>
              <w:top w:val="nil"/>
              <w:left w:val="nil"/>
              <w:bottom w:val="single" w:sz="4" w:space="0" w:color="auto"/>
              <w:right w:val="nil"/>
            </w:tcBorders>
            <w:shd w:val="clear" w:color="FFFFFF" w:fill="FFFFFF"/>
            <w:noWrap/>
            <w:vAlign w:val="bottom"/>
            <w:hideMark/>
          </w:tcPr>
          <w:p w14:paraId="18FB25F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131,230</w:t>
            </w:r>
          </w:p>
        </w:tc>
        <w:tc>
          <w:tcPr>
            <w:tcW w:w="236" w:type="dxa"/>
            <w:tcBorders>
              <w:top w:val="nil"/>
              <w:left w:val="nil"/>
              <w:bottom w:val="nil"/>
              <w:right w:val="nil"/>
            </w:tcBorders>
            <w:shd w:val="clear" w:color="FFFFFF" w:fill="FFFFFF"/>
            <w:noWrap/>
            <w:vAlign w:val="bottom"/>
            <w:hideMark/>
          </w:tcPr>
          <w:p w14:paraId="75ED50B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single" w:sz="4" w:space="0" w:color="auto"/>
              <w:right w:val="nil"/>
            </w:tcBorders>
            <w:shd w:val="clear" w:color="FFFFFF" w:fill="FFFFFF"/>
            <w:noWrap/>
            <w:vAlign w:val="bottom"/>
            <w:hideMark/>
          </w:tcPr>
          <w:p w14:paraId="2C3DAB2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218,416</w:t>
            </w:r>
          </w:p>
        </w:tc>
      </w:tr>
      <w:tr w:rsidR="0082424C" w:rsidRPr="007A3600" w14:paraId="7FE9F860" w14:textId="77777777">
        <w:trPr>
          <w:trHeight w:val="250"/>
        </w:trPr>
        <w:tc>
          <w:tcPr>
            <w:tcW w:w="6365" w:type="dxa"/>
            <w:tcBorders>
              <w:top w:val="nil"/>
              <w:left w:val="nil"/>
              <w:bottom w:val="nil"/>
              <w:right w:val="nil"/>
            </w:tcBorders>
            <w:shd w:val="clear" w:color="FFFFFF" w:fill="FFFFFF"/>
            <w:noWrap/>
            <w:vAlign w:val="bottom"/>
            <w:hideMark/>
          </w:tcPr>
          <w:p w14:paraId="3D78FED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5D5D5F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77E970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E75FFF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2376BC4" w14:textId="77777777">
        <w:trPr>
          <w:trHeight w:val="270"/>
        </w:trPr>
        <w:tc>
          <w:tcPr>
            <w:tcW w:w="6365" w:type="dxa"/>
            <w:tcBorders>
              <w:top w:val="nil"/>
              <w:left w:val="nil"/>
              <w:bottom w:val="nil"/>
              <w:right w:val="nil"/>
            </w:tcBorders>
            <w:shd w:val="clear" w:color="FFFFFF" w:fill="FFFFFF"/>
            <w:vAlign w:val="bottom"/>
            <w:hideMark/>
          </w:tcPr>
          <w:p w14:paraId="4DEA83E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Less expected credit loss allowance</w:t>
            </w:r>
            <w:r w:rsidRPr="007A3600">
              <w:rPr>
                <w:rFonts w:eastAsia="Times New Roman" w:cs="Arial"/>
                <w:b/>
                <w:bCs/>
                <w:sz w:val="18"/>
                <w:szCs w:val="18"/>
                <w:vertAlign w:val="superscript"/>
                <w:lang w:eastAsia="en-US"/>
              </w:rPr>
              <w:t>2</w:t>
            </w:r>
          </w:p>
        </w:tc>
        <w:tc>
          <w:tcPr>
            <w:tcW w:w="1243" w:type="dxa"/>
            <w:tcBorders>
              <w:top w:val="nil"/>
              <w:left w:val="nil"/>
              <w:bottom w:val="nil"/>
              <w:right w:val="nil"/>
            </w:tcBorders>
            <w:shd w:val="clear" w:color="FFFFFF" w:fill="FFFFFF"/>
            <w:noWrap/>
            <w:vAlign w:val="bottom"/>
            <w:hideMark/>
          </w:tcPr>
          <w:p w14:paraId="38D3B0C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C30A28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0D8A4C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285C39E" w14:textId="77777777">
        <w:trPr>
          <w:trHeight w:val="250"/>
        </w:trPr>
        <w:tc>
          <w:tcPr>
            <w:tcW w:w="6365" w:type="dxa"/>
            <w:tcBorders>
              <w:top w:val="nil"/>
              <w:left w:val="nil"/>
              <w:bottom w:val="nil"/>
              <w:right w:val="nil"/>
            </w:tcBorders>
            <w:shd w:val="clear" w:color="FFFFFF" w:fill="FFFFFF"/>
            <w:noWrap/>
            <w:vAlign w:val="bottom"/>
            <w:hideMark/>
          </w:tcPr>
          <w:p w14:paraId="532E44D9"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Goods and services receivables</w:t>
            </w:r>
          </w:p>
        </w:tc>
        <w:tc>
          <w:tcPr>
            <w:tcW w:w="1243" w:type="dxa"/>
            <w:tcBorders>
              <w:top w:val="nil"/>
              <w:left w:val="nil"/>
              <w:bottom w:val="nil"/>
              <w:right w:val="nil"/>
            </w:tcBorders>
            <w:shd w:val="clear" w:color="FFFFFF" w:fill="FFFFFF"/>
            <w:noWrap/>
            <w:vAlign w:val="bottom"/>
            <w:hideMark/>
          </w:tcPr>
          <w:p w14:paraId="3114226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6C78C6F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0770EF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98,757</w:t>
            </w:r>
          </w:p>
        </w:tc>
      </w:tr>
      <w:tr w:rsidR="0082424C" w:rsidRPr="007A3600" w14:paraId="5A2B0AB4" w14:textId="77777777">
        <w:trPr>
          <w:trHeight w:val="250"/>
        </w:trPr>
        <w:tc>
          <w:tcPr>
            <w:tcW w:w="6365" w:type="dxa"/>
            <w:tcBorders>
              <w:top w:val="nil"/>
              <w:left w:val="nil"/>
              <w:bottom w:val="nil"/>
              <w:right w:val="nil"/>
            </w:tcBorders>
            <w:shd w:val="clear" w:color="FFFFFF" w:fill="FFFFFF"/>
            <w:noWrap/>
            <w:vAlign w:val="bottom"/>
            <w:hideMark/>
          </w:tcPr>
          <w:p w14:paraId="00AE4C8F"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and other provider receivables</w:t>
            </w:r>
          </w:p>
        </w:tc>
        <w:tc>
          <w:tcPr>
            <w:tcW w:w="1243" w:type="dxa"/>
            <w:tcBorders>
              <w:top w:val="nil"/>
              <w:left w:val="nil"/>
              <w:bottom w:val="nil"/>
              <w:right w:val="nil"/>
            </w:tcBorders>
            <w:shd w:val="clear" w:color="FFFFFF" w:fill="FFFFFF"/>
            <w:noWrap/>
            <w:vAlign w:val="bottom"/>
            <w:hideMark/>
          </w:tcPr>
          <w:p w14:paraId="39BBBA5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22,149</w:t>
            </w:r>
          </w:p>
        </w:tc>
        <w:tc>
          <w:tcPr>
            <w:tcW w:w="236" w:type="dxa"/>
            <w:tcBorders>
              <w:top w:val="nil"/>
              <w:left w:val="nil"/>
              <w:bottom w:val="nil"/>
              <w:right w:val="nil"/>
            </w:tcBorders>
            <w:shd w:val="clear" w:color="FFFFFF" w:fill="FFFFFF"/>
            <w:noWrap/>
            <w:vAlign w:val="bottom"/>
            <w:hideMark/>
          </w:tcPr>
          <w:p w14:paraId="71E8F59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121D66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19,113</w:t>
            </w:r>
          </w:p>
        </w:tc>
      </w:tr>
      <w:tr w:rsidR="0082424C" w:rsidRPr="007A3600" w14:paraId="23C7EA8C" w14:textId="77777777">
        <w:trPr>
          <w:trHeight w:val="268"/>
        </w:trPr>
        <w:tc>
          <w:tcPr>
            <w:tcW w:w="6365" w:type="dxa"/>
            <w:tcBorders>
              <w:top w:val="nil"/>
              <w:left w:val="nil"/>
              <w:bottom w:val="nil"/>
              <w:right w:val="nil"/>
            </w:tcBorders>
            <w:shd w:val="clear" w:color="FFFFFF" w:fill="FFFFFF"/>
            <w:noWrap/>
            <w:vAlign w:val="bottom"/>
            <w:hideMark/>
          </w:tcPr>
          <w:p w14:paraId="40467AB3"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receivables</w:t>
            </w:r>
          </w:p>
        </w:tc>
        <w:tc>
          <w:tcPr>
            <w:tcW w:w="1243" w:type="dxa"/>
            <w:tcBorders>
              <w:top w:val="nil"/>
              <w:left w:val="nil"/>
              <w:bottom w:val="nil"/>
              <w:right w:val="nil"/>
            </w:tcBorders>
            <w:shd w:val="clear" w:color="FFFFFF" w:fill="FFFFFF"/>
            <w:noWrap/>
            <w:vAlign w:val="bottom"/>
            <w:hideMark/>
          </w:tcPr>
          <w:p w14:paraId="6ADE00A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206</w:t>
            </w:r>
          </w:p>
        </w:tc>
        <w:tc>
          <w:tcPr>
            <w:tcW w:w="236" w:type="dxa"/>
            <w:tcBorders>
              <w:top w:val="nil"/>
              <w:left w:val="nil"/>
              <w:bottom w:val="nil"/>
              <w:right w:val="nil"/>
            </w:tcBorders>
            <w:shd w:val="clear" w:color="FFFFFF" w:fill="FFFFFF"/>
            <w:noWrap/>
            <w:vAlign w:val="bottom"/>
            <w:hideMark/>
          </w:tcPr>
          <w:p w14:paraId="61CC593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7877CB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203</w:t>
            </w:r>
          </w:p>
        </w:tc>
      </w:tr>
      <w:tr w:rsidR="0082424C" w:rsidRPr="007A3600" w14:paraId="3C02183D" w14:textId="77777777">
        <w:trPr>
          <w:trHeight w:val="270"/>
        </w:trPr>
        <w:tc>
          <w:tcPr>
            <w:tcW w:w="6365" w:type="dxa"/>
            <w:tcBorders>
              <w:top w:val="nil"/>
              <w:left w:val="nil"/>
              <w:bottom w:val="nil"/>
              <w:right w:val="nil"/>
            </w:tcBorders>
            <w:shd w:val="clear" w:color="FFFFFF" w:fill="FFFFFF"/>
            <w:noWrap/>
            <w:vAlign w:val="bottom"/>
            <w:hideMark/>
          </w:tcPr>
          <w:p w14:paraId="477DB8BA"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Pandemic plan provider receivables</w:t>
            </w:r>
            <w:r w:rsidRPr="007A3600">
              <w:rPr>
                <w:rFonts w:eastAsia="Times New Roman" w:cs="Arial"/>
                <w:sz w:val="18"/>
                <w:szCs w:val="18"/>
                <w:vertAlign w:val="superscript"/>
                <w:lang w:eastAsia="en-US"/>
              </w:rPr>
              <w:t>1</w:t>
            </w:r>
          </w:p>
        </w:tc>
        <w:tc>
          <w:tcPr>
            <w:tcW w:w="1243" w:type="dxa"/>
            <w:tcBorders>
              <w:top w:val="nil"/>
              <w:left w:val="nil"/>
              <w:bottom w:val="nil"/>
              <w:right w:val="nil"/>
            </w:tcBorders>
            <w:shd w:val="clear" w:color="FFFFFF" w:fill="FFFFFF"/>
            <w:noWrap/>
            <w:vAlign w:val="bottom"/>
            <w:hideMark/>
          </w:tcPr>
          <w:p w14:paraId="3D24966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348</w:t>
            </w:r>
          </w:p>
        </w:tc>
        <w:tc>
          <w:tcPr>
            <w:tcW w:w="236" w:type="dxa"/>
            <w:tcBorders>
              <w:top w:val="nil"/>
              <w:left w:val="nil"/>
              <w:bottom w:val="nil"/>
              <w:right w:val="nil"/>
            </w:tcBorders>
            <w:shd w:val="clear" w:color="FFFFFF" w:fill="FFFFFF"/>
            <w:noWrap/>
            <w:vAlign w:val="bottom"/>
            <w:hideMark/>
          </w:tcPr>
          <w:p w14:paraId="3FABD22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DA9F3F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349</w:t>
            </w:r>
          </w:p>
        </w:tc>
      </w:tr>
      <w:tr w:rsidR="0082424C" w:rsidRPr="007A3600" w14:paraId="618BF3EA" w14:textId="77777777">
        <w:trPr>
          <w:trHeight w:val="250"/>
        </w:trPr>
        <w:tc>
          <w:tcPr>
            <w:tcW w:w="6365" w:type="dxa"/>
            <w:tcBorders>
              <w:top w:val="nil"/>
              <w:left w:val="nil"/>
              <w:bottom w:val="nil"/>
              <w:right w:val="nil"/>
            </w:tcBorders>
            <w:shd w:val="clear" w:color="FFFFFF" w:fill="FFFFFF"/>
            <w:vAlign w:val="bottom"/>
            <w:hideMark/>
          </w:tcPr>
          <w:p w14:paraId="3768A22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expected credit loss allowance</w:t>
            </w:r>
          </w:p>
        </w:tc>
        <w:tc>
          <w:tcPr>
            <w:tcW w:w="1243" w:type="dxa"/>
            <w:tcBorders>
              <w:top w:val="single" w:sz="4" w:space="0" w:color="auto"/>
              <w:left w:val="nil"/>
              <w:bottom w:val="single" w:sz="4" w:space="0" w:color="auto"/>
              <w:right w:val="nil"/>
            </w:tcBorders>
            <w:shd w:val="clear" w:color="FFFFFF" w:fill="FFFFFF"/>
            <w:noWrap/>
            <w:vAlign w:val="bottom"/>
            <w:hideMark/>
          </w:tcPr>
          <w:p w14:paraId="442131F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22,703</w:t>
            </w:r>
          </w:p>
        </w:tc>
        <w:tc>
          <w:tcPr>
            <w:tcW w:w="236" w:type="dxa"/>
            <w:tcBorders>
              <w:top w:val="nil"/>
              <w:left w:val="nil"/>
              <w:bottom w:val="nil"/>
              <w:right w:val="nil"/>
            </w:tcBorders>
            <w:shd w:val="clear" w:color="FFFFFF" w:fill="FFFFFF"/>
            <w:noWrap/>
            <w:vAlign w:val="bottom"/>
            <w:hideMark/>
          </w:tcPr>
          <w:p w14:paraId="4885D5D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169C3D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118,422</w:t>
            </w:r>
          </w:p>
        </w:tc>
      </w:tr>
      <w:tr w:rsidR="0082424C" w:rsidRPr="007A3600" w14:paraId="1BC888B2" w14:textId="77777777">
        <w:trPr>
          <w:trHeight w:val="260"/>
        </w:trPr>
        <w:tc>
          <w:tcPr>
            <w:tcW w:w="6365" w:type="dxa"/>
            <w:tcBorders>
              <w:top w:val="nil"/>
              <w:left w:val="nil"/>
              <w:bottom w:val="nil"/>
              <w:right w:val="nil"/>
            </w:tcBorders>
            <w:shd w:val="clear" w:color="FFFFFF" w:fill="FFFFFF"/>
            <w:vAlign w:val="bottom"/>
            <w:hideMark/>
          </w:tcPr>
          <w:p w14:paraId="511930C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trade and other receivables (net)</w:t>
            </w:r>
          </w:p>
        </w:tc>
        <w:tc>
          <w:tcPr>
            <w:tcW w:w="1243" w:type="dxa"/>
            <w:tcBorders>
              <w:top w:val="nil"/>
              <w:left w:val="nil"/>
              <w:bottom w:val="single" w:sz="4" w:space="0" w:color="auto"/>
              <w:right w:val="nil"/>
            </w:tcBorders>
            <w:shd w:val="clear" w:color="FFFFFF" w:fill="FFFFFF"/>
            <w:noWrap/>
            <w:vAlign w:val="bottom"/>
            <w:hideMark/>
          </w:tcPr>
          <w:p w14:paraId="4E71E55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108,527</w:t>
            </w:r>
          </w:p>
        </w:tc>
        <w:tc>
          <w:tcPr>
            <w:tcW w:w="236" w:type="dxa"/>
            <w:tcBorders>
              <w:top w:val="nil"/>
              <w:left w:val="nil"/>
              <w:bottom w:val="nil"/>
              <w:right w:val="nil"/>
            </w:tcBorders>
            <w:shd w:val="clear" w:color="FFFFFF" w:fill="FFFFFF"/>
            <w:noWrap/>
            <w:vAlign w:val="bottom"/>
            <w:hideMark/>
          </w:tcPr>
          <w:p w14:paraId="02771AC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single" w:sz="4" w:space="0" w:color="auto"/>
              <w:right w:val="nil"/>
            </w:tcBorders>
            <w:shd w:val="clear" w:color="FFFFFF" w:fill="FFFFFF"/>
            <w:noWrap/>
            <w:vAlign w:val="bottom"/>
            <w:hideMark/>
          </w:tcPr>
          <w:p w14:paraId="2E4B5A0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99,994</w:t>
            </w:r>
          </w:p>
        </w:tc>
      </w:tr>
    </w:tbl>
    <w:p w14:paraId="7730E535"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 xml:space="preserve">During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credit terms for goods and services were within 28 days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28 days).</w:t>
      </w:r>
    </w:p>
    <w:p w14:paraId="29D62C93" w14:textId="77777777" w:rsidR="0082424C" w:rsidRPr="007A3600" w:rsidRDefault="0082424C" w:rsidP="00AD3197">
      <w:pPr>
        <w:spacing w:before="60" w:after="0" w:line="240" w:lineRule="auto"/>
        <w:ind w:left="142" w:hanging="142"/>
        <w:rPr>
          <w:rFonts w:eastAsia="Times New Roman" w:cs="Arial"/>
          <w:sz w:val="14"/>
          <w:szCs w:val="16"/>
          <w:lang w:eastAsia="en-US"/>
        </w:rPr>
      </w:pPr>
      <w:r w:rsidRPr="007A3600">
        <w:rPr>
          <w:rFonts w:eastAsia="Times New Roman" w:cs="Arial"/>
          <w:sz w:val="16"/>
          <w:szCs w:val="18"/>
          <w:vertAlign w:val="superscript"/>
          <w:lang w:eastAsia="en-US"/>
        </w:rPr>
        <w:t>1</w:t>
      </w:r>
      <w:r w:rsidRPr="007A3600">
        <w:rPr>
          <w:rFonts w:eastAsia="Times New Roman" w:cs="Arial"/>
          <w:sz w:val="16"/>
          <w:szCs w:val="18"/>
          <w:lang w:eastAsia="en-US"/>
        </w:rPr>
        <w:t xml:space="preserve"> </w:t>
      </w:r>
      <w:r w:rsidRPr="007A3600">
        <w:rPr>
          <w:rFonts w:eastAsia="Times New Roman" w:cs="Arial"/>
          <w:sz w:val="14"/>
          <w:szCs w:val="16"/>
          <w:lang w:eastAsia="en-US"/>
        </w:rPr>
        <w:t xml:space="preserve">Pandemic plan provider receivables represent optional advances made by the Agency to eligible registered providers to assist with cash flow and continuity of supports during the COVID-19 pandemic. </w:t>
      </w:r>
    </w:p>
    <w:p w14:paraId="1878C2DF" w14:textId="77777777" w:rsidR="0082424C" w:rsidRPr="007A3600" w:rsidRDefault="0082424C" w:rsidP="00AD3197">
      <w:pPr>
        <w:spacing w:before="60" w:after="0" w:line="240" w:lineRule="auto"/>
        <w:ind w:left="142" w:hanging="142"/>
        <w:rPr>
          <w:rFonts w:eastAsia="Times New Roman" w:cs="Arial"/>
          <w:sz w:val="18"/>
          <w:szCs w:val="18"/>
          <w:lang w:eastAsia="en-US"/>
        </w:rPr>
      </w:pPr>
      <w:r w:rsidRPr="007A3600">
        <w:rPr>
          <w:rFonts w:eastAsia="Times New Roman" w:cs="Arial"/>
          <w:sz w:val="16"/>
          <w:szCs w:val="18"/>
          <w:vertAlign w:val="superscript"/>
          <w:lang w:eastAsia="en-US"/>
        </w:rPr>
        <w:t>2</w:t>
      </w:r>
      <w:r w:rsidRPr="007A3600">
        <w:rPr>
          <w:rFonts w:eastAsia="Times New Roman" w:cs="Arial"/>
          <w:sz w:val="16"/>
          <w:szCs w:val="18"/>
          <w:lang w:eastAsia="en-US"/>
        </w:rPr>
        <w:t xml:space="preserve"> </w:t>
      </w:r>
      <w:r w:rsidRPr="007A3600">
        <w:rPr>
          <w:rFonts w:eastAsia="Times New Roman" w:cs="Arial"/>
          <w:sz w:val="14"/>
          <w:szCs w:val="16"/>
          <w:lang w:eastAsia="en-US"/>
        </w:rPr>
        <w:t xml:space="preserve">Refer to the Impairment of financial assets section as part of the Accounting Policy Note 4.2. </w:t>
      </w:r>
      <w:r w:rsidRPr="007A3600">
        <w:rPr>
          <w:rFonts w:eastAsia="Times New Roman" w:cs="Arial"/>
          <w:sz w:val="18"/>
          <w:szCs w:val="18"/>
          <w:lang w:eastAsia="en-US"/>
        </w:rPr>
        <w:br w:type="page"/>
      </w:r>
    </w:p>
    <w:p w14:paraId="6BD892B7"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6E816F0A"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768DB682" w14:textId="2F8A8178"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359F9E6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rPr>
      </w:pPr>
      <w:r w:rsidRPr="007A3600">
        <w:rPr>
          <w:rFonts w:eastAsia="Times New Roman" w:cs="Arial"/>
          <w:bCs/>
          <w:iCs/>
          <w:sz w:val="18"/>
          <w:szCs w:val="18"/>
        </w:rPr>
        <w:t>Receivables for goods and services, which have 28-day terms, are recognised at the nominal amounts due less any expected credit loss allowance account. Collectability of debts is reviewed at end of the reporting period. Allowances are made when collectability of the debt is no longer probable.</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1E8BDF30" w14:textId="77777777">
        <w:trPr>
          <w:trHeight w:val="250"/>
        </w:trPr>
        <w:tc>
          <w:tcPr>
            <w:tcW w:w="6365" w:type="dxa"/>
            <w:tcBorders>
              <w:top w:val="nil"/>
              <w:left w:val="nil"/>
              <w:bottom w:val="nil"/>
              <w:right w:val="nil"/>
            </w:tcBorders>
            <w:shd w:val="clear" w:color="FFFFFF" w:fill="FFFFFF"/>
            <w:noWrap/>
            <w:vAlign w:val="bottom"/>
            <w:hideMark/>
          </w:tcPr>
          <w:p w14:paraId="478B9A2C"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2.1C: Other financial assets</w:t>
            </w:r>
          </w:p>
        </w:tc>
        <w:tc>
          <w:tcPr>
            <w:tcW w:w="1243" w:type="dxa"/>
            <w:tcBorders>
              <w:top w:val="nil"/>
              <w:left w:val="nil"/>
              <w:right w:val="nil"/>
            </w:tcBorders>
            <w:shd w:val="clear" w:color="FFFFFF" w:fill="FFFFFF"/>
            <w:noWrap/>
            <w:vAlign w:val="bottom"/>
            <w:hideMark/>
          </w:tcPr>
          <w:p w14:paraId="51A666E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7C6420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right w:val="nil"/>
            </w:tcBorders>
            <w:shd w:val="clear" w:color="FFFFFF" w:fill="FFFFFF"/>
            <w:noWrap/>
            <w:vAlign w:val="bottom"/>
            <w:hideMark/>
          </w:tcPr>
          <w:p w14:paraId="0BDFAA1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5338518A" w14:textId="77777777">
        <w:trPr>
          <w:trHeight w:val="250"/>
        </w:trPr>
        <w:tc>
          <w:tcPr>
            <w:tcW w:w="6365" w:type="dxa"/>
            <w:tcBorders>
              <w:top w:val="nil"/>
              <w:left w:val="nil"/>
              <w:bottom w:val="nil"/>
              <w:right w:val="nil"/>
            </w:tcBorders>
            <w:shd w:val="clear" w:color="FFFFFF" w:fill="FFFFFF"/>
            <w:vAlign w:val="bottom"/>
          </w:tcPr>
          <w:p w14:paraId="76FDF0D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Term Deposits</w:t>
            </w:r>
          </w:p>
        </w:tc>
        <w:tc>
          <w:tcPr>
            <w:tcW w:w="1243" w:type="dxa"/>
            <w:tcBorders>
              <w:left w:val="nil"/>
              <w:bottom w:val="single" w:sz="4" w:space="0" w:color="auto"/>
              <w:right w:val="nil"/>
            </w:tcBorders>
            <w:shd w:val="clear" w:color="FFFFFF" w:fill="FFFFFF"/>
            <w:noWrap/>
            <w:vAlign w:val="bottom"/>
          </w:tcPr>
          <w:p w14:paraId="070CDE4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tcPr>
          <w:p w14:paraId="13B89EAB" w14:textId="77777777" w:rsidR="0082424C" w:rsidRPr="007A3600" w:rsidRDefault="0082424C" w:rsidP="00AD3197">
            <w:pPr>
              <w:spacing w:after="0" w:line="260" w:lineRule="atLeast"/>
              <w:rPr>
                <w:rFonts w:eastAsia="Times New Roman" w:cs="Arial"/>
                <w:sz w:val="18"/>
                <w:szCs w:val="18"/>
                <w:lang w:eastAsia="en-US"/>
              </w:rPr>
            </w:pPr>
          </w:p>
        </w:tc>
        <w:tc>
          <w:tcPr>
            <w:tcW w:w="1243" w:type="dxa"/>
            <w:tcBorders>
              <w:left w:val="nil"/>
              <w:bottom w:val="single" w:sz="4" w:space="0" w:color="auto"/>
              <w:right w:val="nil"/>
            </w:tcBorders>
            <w:shd w:val="clear" w:color="FFFFFF" w:fill="FFFFFF"/>
            <w:noWrap/>
            <w:vAlign w:val="bottom"/>
          </w:tcPr>
          <w:p w14:paraId="2CABBB2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00953B6F" w14:textId="77777777">
        <w:trPr>
          <w:trHeight w:val="250"/>
        </w:trPr>
        <w:tc>
          <w:tcPr>
            <w:tcW w:w="6365" w:type="dxa"/>
            <w:tcBorders>
              <w:top w:val="nil"/>
              <w:left w:val="nil"/>
              <w:bottom w:val="nil"/>
              <w:right w:val="nil"/>
            </w:tcBorders>
            <w:shd w:val="clear" w:color="FFFFFF" w:fill="FFFFFF"/>
            <w:vAlign w:val="bottom"/>
            <w:hideMark/>
          </w:tcPr>
          <w:p w14:paraId="329CEAB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other financial assets</w:t>
            </w:r>
          </w:p>
        </w:tc>
        <w:tc>
          <w:tcPr>
            <w:tcW w:w="1243" w:type="dxa"/>
            <w:tcBorders>
              <w:top w:val="single" w:sz="4" w:space="0" w:color="auto"/>
              <w:left w:val="nil"/>
              <w:bottom w:val="single" w:sz="4" w:space="0" w:color="auto"/>
              <w:right w:val="nil"/>
            </w:tcBorders>
            <w:shd w:val="clear" w:color="FFFFFF" w:fill="FFFFFF"/>
            <w:noWrap/>
            <w:vAlign w:val="bottom"/>
            <w:hideMark/>
          </w:tcPr>
          <w:p w14:paraId="48E4F7D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236" w:type="dxa"/>
            <w:tcBorders>
              <w:top w:val="nil"/>
              <w:left w:val="nil"/>
              <w:bottom w:val="nil"/>
              <w:right w:val="nil"/>
            </w:tcBorders>
            <w:shd w:val="clear" w:color="FFFFFF" w:fill="FFFFFF"/>
            <w:noWrap/>
            <w:vAlign w:val="bottom"/>
            <w:hideMark/>
          </w:tcPr>
          <w:p w14:paraId="13050E5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404A0A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6E66F028" w14:textId="77777777">
        <w:trPr>
          <w:trHeight w:val="250"/>
        </w:trPr>
        <w:tc>
          <w:tcPr>
            <w:tcW w:w="6365" w:type="dxa"/>
            <w:tcBorders>
              <w:top w:val="nil"/>
              <w:left w:val="nil"/>
              <w:bottom w:val="nil"/>
              <w:right w:val="nil"/>
            </w:tcBorders>
            <w:shd w:val="clear" w:color="FFFFFF" w:fill="FFFFFF"/>
            <w:noWrap/>
            <w:vAlign w:val="bottom"/>
            <w:hideMark/>
          </w:tcPr>
          <w:p w14:paraId="7815CD5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7736F6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2859DE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B079EE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bl>
    <w:p w14:paraId="7E18273D" w14:textId="77777777" w:rsidR="0082424C" w:rsidRPr="007A3600" w:rsidRDefault="0082424C" w:rsidP="00AD3197">
      <w:pPr>
        <w:spacing w:after="0" w:line="240" w:lineRule="auto"/>
        <w:ind w:right="607"/>
        <w:rPr>
          <w:rFonts w:eastAsia="Times New Roman"/>
          <w:bCs/>
          <w:sz w:val="18"/>
          <w:szCs w:val="18"/>
          <w:lang w:eastAsia="en-US"/>
        </w:rPr>
      </w:pPr>
    </w:p>
    <w:p w14:paraId="7FA640F9"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Accounting Policy </w:t>
      </w:r>
    </w:p>
    <w:p w14:paraId="28178D5D"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Cs/>
          <w:sz w:val="18"/>
          <w:szCs w:val="18"/>
        </w:rPr>
      </w:pPr>
      <w:r w:rsidRPr="007A3600">
        <w:rPr>
          <w:rFonts w:eastAsia="Times New Roman" w:cs="Arial"/>
          <w:bCs/>
          <w:iCs/>
          <w:sz w:val="18"/>
          <w:szCs w:val="18"/>
        </w:rPr>
        <w:t>Term deposits with an original maturity of one year or less are classified as cash and cash equivalents and are included in Note 2.1A.</w:t>
      </w:r>
    </w:p>
    <w:p w14:paraId="2A96FAD5" w14:textId="77777777" w:rsidR="0082424C" w:rsidRPr="007A3600" w:rsidRDefault="0082424C" w:rsidP="00AD3197">
      <w:pPr>
        <w:spacing w:after="0" w:line="240" w:lineRule="auto"/>
        <w:rPr>
          <w:rFonts w:ascii="Times New Roman" w:eastAsia="Times New Roman" w:hAnsi="Times New Roman" w:cs="Arial"/>
          <w:sz w:val="18"/>
          <w:szCs w:val="18"/>
          <w:lang w:eastAsia="en-US"/>
        </w:rPr>
      </w:pPr>
    </w:p>
    <w:p w14:paraId="7D21933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sectPr w:rsidR="0082424C" w:rsidRPr="007A3600" w:rsidSect="00650C5C">
          <w:headerReference w:type="even" r:id="rId141"/>
          <w:headerReference w:type="default" r:id="rId142"/>
          <w:footerReference w:type="default" r:id="rId143"/>
          <w:headerReference w:type="first" r:id="rId144"/>
          <w:pgSz w:w="11906" w:h="16838" w:code="9"/>
          <w:pgMar w:top="1134" w:right="1701" w:bottom="1134" w:left="1134" w:header="561" w:footer="737" w:gutter="0"/>
          <w:cols w:space="708"/>
          <w:docGrid w:linePitch="360"/>
        </w:sectPr>
      </w:pPr>
    </w:p>
    <w:p w14:paraId="0C1AB7E0"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194" w:name="_Toc443469530"/>
      <w:bookmarkStart w:id="195" w:name="_Toc443577404"/>
      <w:bookmarkStart w:id="196" w:name="_Toc445194082"/>
      <w:bookmarkStart w:id="197" w:name="_Toc447030540"/>
      <w:bookmarkStart w:id="198" w:name="_Toc447030692"/>
      <w:bookmarkStart w:id="199" w:name="_Toc447030785"/>
      <w:bookmarkStart w:id="200" w:name="_Toc65742848"/>
      <w:bookmarkStart w:id="201" w:name="_Toc195692037"/>
      <w:r w:rsidRPr="007A3600">
        <w:rPr>
          <w:rFonts w:eastAsia="Times New Roman" w:cs="Arial"/>
          <w:b/>
          <w:lang w:eastAsia="en-US"/>
        </w:rPr>
        <w:lastRenderedPageBreak/>
        <w:t>National Disability Insurance Agency</w:t>
      </w:r>
    </w:p>
    <w:p w14:paraId="780CB3B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bookmarkEnd w:id="194"/>
    <w:bookmarkEnd w:id="195"/>
    <w:bookmarkEnd w:id="196"/>
    <w:bookmarkEnd w:id="197"/>
    <w:bookmarkEnd w:id="198"/>
    <w:bookmarkEnd w:id="199"/>
    <w:bookmarkEnd w:id="200"/>
    <w:bookmarkEnd w:id="201"/>
    <w:p w14:paraId="44B7CC47" w14:textId="77777777" w:rsidR="001F2B98" w:rsidRPr="00974C6F" w:rsidRDefault="001F2B98" w:rsidP="001F2B98">
      <w:pPr>
        <w:numPr>
          <w:ilvl w:val="1"/>
          <w:numId w:val="0"/>
        </w:numPr>
        <w:shd w:val="clear" w:color="auto" w:fill="000000"/>
        <w:spacing w:before="240" w:after="0" w:line="260" w:lineRule="atLeast"/>
        <w:ind w:left="425" w:hanging="425"/>
        <w:rPr>
          <w:rFonts w:eastAsia="Times New Roman" w:cs="Arial"/>
          <w:b/>
          <w:color w:val="FFFFFF"/>
          <w:sz w:val="20"/>
          <w:szCs w:val="20"/>
          <w:lang w:eastAsia="en-US"/>
        </w:rPr>
      </w:pPr>
      <w:r>
        <w:rPr>
          <w:rFonts w:eastAsia="Times New Roman" w:cs="Arial"/>
          <w:b/>
          <w:color w:val="FFFFFF"/>
          <w:sz w:val="20"/>
          <w:szCs w:val="20"/>
          <w:lang w:eastAsia="en-US"/>
        </w:rPr>
        <w:t>2.2</w:t>
      </w:r>
      <w:r>
        <w:rPr>
          <w:rFonts w:eastAsia="Times New Roman" w:cs="Arial"/>
          <w:b/>
          <w:color w:val="FFFFFF"/>
          <w:sz w:val="20"/>
          <w:szCs w:val="20"/>
          <w:lang w:eastAsia="en-US"/>
        </w:rPr>
        <w:tab/>
      </w:r>
      <w:r w:rsidRPr="00974C6F">
        <w:rPr>
          <w:rFonts w:eastAsia="Times New Roman" w:cs="Arial"/>
          <w:b/>
          <w:color w:val="FFFFFF"/>
          <w:sz w:val="20"/>
          <w:szCs w:val="20"/>
          <w:lang w:eastAsia="en-US"/>
        </w:rPr>
        <w:t>Non-Financial Assets</w:t>
      </w:r>
    </w:p>
    <w:tbl>
      <w:tblPr>
        <w:tblW w:w="9214" w:type="dxa"/>
        <w:tblLayout w:type="fixed"/>
        <w:tblCellMar>
          <w:left w:w="57" w:type="dxa"/>
          <w:right w:w="57" w:type="dxa"/>
        </w:tblCellMar>
        <w:tblLook w:val="04A0" w:firstRow="1" w:lastRow="0" w:firstColumn="1" w:lastColumn="0" w:noHBand="0" w:noVBand="1"/>
      </w:tblPr>
      <w:tblGrid>
        <w:gridCol w:w="5103"/>
        <w:gridCol w:w="1418"/>
        <w:gridCol w:w="1379"/>
        <w:gridCol w:w="1314"/>
      </w:tblGrid>
      <w:tr w:rsidR="0082424C" w:rsidRPr="007A3600" w14:paraId="66B28A02" w14:textId="77777777" w:rsidTr="00042990">
        <w:trPr>
          <w:trHeight w:val="495"/>
        </w:trPr>
        <w:tc>
          <w:tcPr>
            <w:tcW w:w="9214" w:type="dxa"/>
            <w:gridSpan w:val="4"/>
            <w:tcBorders>
              <w:top w:val="nil"/>
              <w:left w:val="nil"/>
              <w:bottom w:val="nil"/>
              <w:right w:val="nil"/>
            </w:tcBorders>
            <w:shd w:val="clear" w:color="FFFFFF" w:fill="FFFFFF"/>
            <w:vAlign w:val="bottom"/>
            <w:hideMark/>
          </w:tcPr>
          <w:p w14:paraId="1E921EC1"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2.2A: Reconciliation of the opening and closing balances of Buildings and Plant and equipment 2025</w:t>
            </w:r>
          </w:p>
        </w:tc>
      </w:tr>
      <w:tr w:rsidR="0082424C" w:rsidRPr="007A3600" w14:paraId="5DEFF147" w14:textId="77777777" w:rsidTr="00042990">
        <w:trPr>
          <w:trHeight w:val="250"/>
        </w:trPr>
        <w:tc>
          <w:tcPr>
            <w:tcW w:w="5103" w:type="dxa"/>
            <w:tcBorders>
              <w:top w:val="nil"/>
              <w:left w:val="nil"/>
              <w:bottom w:val="nil"/>
              <w:right w:val="nil"/>
            </w:tcBorders>
            <w:shd w:val="clear" w:color="FFFFFF" w:fill="FFFFFF"/>
            <w:noWrap/>
            <w:vAlign w:val="bottom"/>
            <w:hideMark/>
          </w:tcPr>
          <w:p w14:paraId="6A655BE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418" w:type="dxa"/>
            <w:tcBorders>
              <w:top w:val="nil"/>
              <w:left w:val="nil"/>
              <w:bottom w:val="nil"/>
              <w:right w:val="nil"/>
            </w:tcBorders>
            <w:shd w:val="clear" w:color="FFFFFF" w:fill="FFFFFF"/>
            <w:noWrap/>
            <w:vAlign w:val="bottom"/>
            <w:hideMark/>
          </w:tcPr>
          <w:p w14:paraId="4D8352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79" w:type="dxa"/>
            <w:tcBorders>
              <w:top w:val="nil"/>
              <w:left w:val="nil"/>
              <w:bottom w:val="nil"/>
              <w:right w:val="nil"/>
            </w:tcBorders>
            <w:shd w:val="clear" w:color="FFFFFF" w:fill="FFFFFF"/>
            <w:noWrap/>
            <w:vAlign w:val="bottom"/>
            <w:hideMark/>
          </w:tcPr>
          <w:p w14:paraId="42134B8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14" w:type="dxa"/>
            <w:tcBorders>
              <w:top w:val="nil"/>
              <w:left w:val="nil"/>
              <w:bottom w:val="nil"/>
              <w:right w:val="nil"/>
            </w:tcBorders>
            <w:shd w:val="clear" w:color="FFFFFF" w:fill="FFFFFF"/>
            <w:noWrap/>
            <w:vAlign w:val="bottom"/>
            <w:hideMark/>
          </w:tcPr>
          <w:p w14:paraId="7944C2B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2C8C5A7" w14:textId="77777777" w:rsidTr="00042990">
        <w:trPr>
          <w:trHeight w:val="493"/>
        </w:trPr>
        <w:tc>
          <w:tcPr>
            <w:tcW w:w="5103" w:type="dxa"/>
            <w:tcBorders>
              <w:top w:val="single" w:sz="4" w:space="0" w:color="auto"/>
              <w:left w:val="nil"/>
              <w:bottom w:val="nil"/>
              <w:right w:val="nil"/>
            </w:tcBorders>
            <w:shd w:val="clear" w:color="FFFFFF" w:fill="FFFFFF"/>
            <w:noWrap/>
            <w:vAlign w:val="bottom"/>
            <w:hideMark/>
          </w:tcPr>
          <w:p w14:paraId="59080D2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418" w:type="dxa"/>
            <w:tcBorders>
              <w:top w:val="single" w:sz="4" w:space="0" w:color="auto"/>
              <w:left w:val="nil"/>
              <w:bottom w:val="nil"/>
              <w:right w:val="nil"/>
            </w:tcBorders>
            <w:shd w:val="clear" w:color="FFFFFF" w:fill="FFFFFF"/>
            <w:vAlign w:val="bottom"/>
            <w:hideMark/>
          </w:tcPr>
          <w:p w14:paraId="24EE762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xml:space="preserve">Buildings </w:t>
            </w:r>
          </w:p>
        </w:tc>
        <w:tc>
          <w:tcPr>
            <w:tcW w:w="1379" w:type="dxa"/>
            <w:tcBorders>
              <w:top w:val="single" w:sz="4" w:space="0" w:color="auto"/>
              <w:left w:val="nil"/>
              <w:bottom w:val="nil"/>
              <w:right w:val="nil"/>
            </w:tcBorders>
            <w:shd w:val="clear" w:color="FFFFFF" w:fill="FFFFFF"/>
            <w:hideMark/>
          </w:tcPr>
          <w:p w14:paraId="6B36905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Plant and equipment</w:t>
            </w:r>
          </w:p>
        </w:tc>
        <w:tc>
          <w:tcPr>
            <w:tcW w:w="1314" w:type="dxa"/>
            <w:tcBorders>
              <w:top w:val="single" w:sz="4" w:space="0" w:color="auto"/>
              <w:left w:val="nil"/>
              <w:bottom w:val="nil"/>
              <w:right w:val="nil"/>
            </w:tcBorders>
            <w:shd w:val="clear" w:color="FFFFFF" w:fill="FFFFFF"/>
            <w:vAlign w:val="bottom"/>
            <w:hideMark/>
          </w:tcPr>
          <w:p w14:paraId="274CA7A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Total</w:t>
            </w:r>
          </w:p>
        </w:tc>
      </w:tr>
      <w:tr w:rsidR="0082424C" w:rsidRPr="007A3600" w14:paraId="41CF63C1" w14:textId="77777777" w:rsidTr="00042990">
        <w:trPr>
          <w:trHeight w:val="250"/>
        </w:trPr>
        <w:tc>
          <w:tcPr>
            <w:tcW w:w="5103" w:type="dxa"/>
            <w:tcBorders>
              <w:top w:val="nil"/>
              <w:left w:val="nil"/>
              <w:bottom w:val="single" w:sz="4" w:space="0" w:color="auto"/>
              <w:right w:val="nil"/>
            </w:tcBorders>
            <w:shd w:val="clear" w:color="FFFFFF" w:fill="FFFFFF"/>
            <w:noWrap/>
            <w:vAlign w:val="bottom"/>
            <w:hideMark/>
          </w:tcPr>
          <w:p w14:paraId="2B53678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418" w:type="dxa"/>
            <w:tcBorders>
              <w:top w:val="nil"/>
              <w:left w:val="nil"/>
              <w:bottom w:val="single" w:sz="4" w:space="0" w:color="auto"/>
              <w:right w:val="nil"/>
            </w:tcBorders>
            <w:shd w:val="clear" w:color="FFFFFF" w:fill="FFFFFF"/>
            <w:vAlign w:val="bottom"/>
            <w:hideMark/>
          </w:tcPr>
          <w:p w14:paraId="39B80B1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379" w:type="dxa"/>
            <w:tcBorders>
              <w:top w:val="nil"/>
              <w:left w:val="nil"/>
              <w:bottom w:val="single" w:sz="4" w:space="0" w:color="auto"/>
              <w:right w:val="nil"/>
            </w:tcBorders>
            <w:shd w:val="clear" w:color="FFFFFF" w:fill="FFFFFF"/>
            <w:vAlign w:val="bottom"/>
            <w:hideMark/>
          </w:tcPr>
          <w:p w14:paraId="648EA27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314" w:type="dxa"/>
            <w:tcBorders>
              <w:top w:val="nil"/>
              <w:left w:val="nil"/>
              <w:bottom w:val="single" w:sz="4" w:space="0" w:color="auto"/>
              <w:right w:val="nil"/>
            </w:tcBorders>
            <w:shd w:val="clear" w:color="FFFFFF" w:fill="FFFFFF"/>
            <w:vAlign w:val="bottom"/>
            <w:hideMark/>
          </w:tcPr>
          <w:p w14:paraId="4EFC582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r>
      <w:tr w:rsidR="0082424C" w:rsidRPr="007A3600" w14:paraId="3426B5EC" w14:textId="77777777" w:rsidTr="00042990">
        <w:trPr>
          <w:trHeight w:val="250"/>
        </w:trPr>
        <w:tc>
          <w:tcPr>
            <w:tcW w:w="5103" w:type="dxa"/>
            <w:tcBorders>
              <w:top w:val="nil"/>
              <w:left w:val="nil"/>
              <w:bottom w:val="nil"/>
              <w:right w:val="nil"/>
            </w:tcBorders>
            <w:shd w:val="clear" w:color="FFFFFF" w:fill="FFFFFF"/>
            <w:vAlign w:val="bottom"/>
            <w:hideMark/>
          </w:tcPr>
          <w:p w14:paraId="4C32BFC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As at 1 July 2024</w:t>
            </w:r>
          </w:p>
        </w:tc>
        <w:tc>
          <w:tcPr>
            <w:tcW w:w="1418" w:type="dxa"/>
            <w:tcBorders>
              <w:top w:val="nil"/>
              <w:left w:val="nil"/>
              <w:bottom w:val="nil"/>
              <w:right w:val="nil"/>
            </w:tcBorders>
            <w:shd w:val="clear" w:color="FFFFFF" w:fill="FFFFFF"/>
            <w:noWrap/>
            <w:vAlign w:val="bottom"/>
            <w:hideMark/>
          </w:tcPr>
          <w:p w14:paraId="51F4E96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79" w:type="dxa"/>
            <w:tcBorders>
              <w:top w:val="nil"/>
              <w:left w:val="nil"/>
              <w:bottom w:val="nil"/>
              <w:right w:val="nil"/>
            </w:tcBorders>
            <w:shd w:val="clear" w:color="FFFFFF" w:fill="FFFFFF"/>
            <w:noWrap/>
            <w:vAlign w:val="bottom"/>
            <w:hideMark/>
          </w:tcPr>
          <w:p w14:paraId="3BAAC44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14" w:type="dxa"/>
            <w:tcBorders>
              <w:top w:val="nil"/>
              <w:left w:val="nil"/>
              <w:bottom w:val="nil"/>
              <w:right w:val="nil"/>
            </w:tcBorders>
            <w:shd w:val="clear" w:color="FFFFFF" w:fill="FFFFFF"/>
            <w:noWrap/>
            <w:vAlign w:val="bottom"/>
            <w:hideMark/>
          </w:tcPr>
          <w:p w14:paraId="2139741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F31D1F4" w14:textId="77777777" w:rsidTr="00042990">
        <w:trPr>
          <w:trHeight w:val="250"/>
        </w:trPr>
        <w:tc>
          <w:tcPr>
            <w:tcW w:w="5103" w:type="dxa"/>
            <w:tcBorders>
              <w:top w:val="nil"/>
              <w:left w:val="nil"/>
              <w:bottom w:val="nil"/>
              <w:right w:val="nil"/>
            </w:tcBorders>
            <w:shd w:val="clear" w:color="FFFFFF" w:fill="FFFFFF"/>
            <w:vAlign w:val="bottom"/>
            <w:hideMark/>
          </w:tcPr>
          <w:p w14:paraId="4C1E015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Gross book value</w:t>
            </w:r>
          </w:p>
        </w:tc>
        <w:tc>
          <w:tcPr>
            <w:tcW w:w="1418" w:type="dxa"/>
            <w:tcBorders>
              <w:top w:val="nil"/>
              <w:left w:val="nil"/>
              <w:bottom w:val="nil"/>
              <w:right w:val="nil"/>
            </w:tcBorders>
            <w:shd w:val="clear" w:color="FFFFFF" w:fill="FFFFFF"/>
            <w:noWrap/>
            <w:vAlign w:val="bottom"/>
            <w:hideMark/>
          </w:tcPr>
          <w:p w14:paraId="362641F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425,803</w:t>
            </w:r>
          </w:p>
        </w:tc>
        <w:tc>
          <w:tcPr>
            <w:tcW w:w="1379" w:type="dxa"/>
            <w:tcBorders>
              <w:top w:val="nil"/>
              <w:left w:val="nil"/>
              <w:bottom w:val="nil"/>
              <w:right w:val="nil"/>
            </w:tcBorders>
            <w:shd w:val="clear" w:color="FFFFFF" w:fill="FFFFFF"/>
            <w:noWrap/>
            <w:vAlign w:val="bottom"/>
            <w:hideMark/>
          </w:tcPr>
          <w:p w14:paraId="74BCA47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24,627</w:t>
            </w:r>
          </w:p>
        </w:tc>
        <w:tc>
          <w:tcPr>
            <w:tcW w:w="1314" w:type="dxa"/>
            <w:tcBorders>
              <w:top w:val="nil"/>
              <w:left w:val="nil"/>
              <w:bottom w:val="nil"/>
              <w:right w:val="nil"/>
            </w:tcBorders>
            <w:shd w:val="clear" w:color="FFFFFF" w:fill="FFFFFF"/>
            <w:noWrap/>
            <w:vAlign w:val="bottom"/>
            <w:hideMark/>
          </w:tcPr>
          <w:p w14:paraId="03FF963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450,430</w:t>
            </w:r>
          </w:p>
        </w:tc>
      </w:tr>
      <w:tr w:rsidR="0082424C" w:rsidRPr="007A3600" w14:paraId="27C972CD" w14:textId="77777777" w:rsidTr="00042990">
        <w:trPr>
          <w:trHeight w:val="250"/>
        </w:trPr>
        <w:tc>
          <w:tcPr>
            <w:tcW w:w="5103" w:type="dxa"/>
            <w:tcBorders>
              <w:top w:val="nil"/>
              <w:left w:val="nil"/>
              <w:bottom w:val="nil"/>
              <w:right w:val="nil"/>
            </w:tcBorders>
            <w:shd w:val="clear" w:color="FFFFFF" w:fill="FFFFFF"/>
            <w:vAlign w:val="bottom"/>
            <w:hideMark/>
          </w:tcPr>
          <w:p w14:paraId="35507D0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Accumulated depreciation and impairment</w:t>
            </w:r>
          </w:p>
        </w:tc>
        <w:tc>
          <w:tcPr>
            <w:tcW w:w="1418" w:type="dxa"/>
            <w:tcBorders>
              <w:top w:val="nil"/>
              <w:left w:val="nil"/>
              <w:bottom w:val="nil"/>
              <w:right w:val="nil"/>
            </w:tcBorders>
            <w:shd w:val="clear" w:color="FFFFFF" w:fill="FFFFFF"/>
            <w:noWrap/>
            <w:vAlign w:val="bottom"/>
            <w:hideMark/>
          </w:tcPr>
          <w:p w14:paraId="6BD8FA9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(187,911)</w:t>
            </w:r>
          </w:p>
        </w:tc>
        <w:tc>
          <w:tcPr>
            <w:tcW w:w="1379" w:type="dxa"/>
            <w:tcBorders>
              <w:top w:val="nil"/>
              <w:left w:val="nil"/>
              <w:bottom w:val="nil"/>
              <w:right w:val="nil"/>
            </w:tcBorders>
            <w:shd w:val="clear" w:color="FFFFFF" w:fill="FFFFFF"/>
            <w:noWrap/>
            <w:vAlign w:val="bottom"/>
            <w:hideMark/>
          </w:tcPr>
          <w:p w14:paraId="7E1146A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(15,263)</w:t>
            </w:r>
          </w:p>
        </w:tc>
        <w:tc>
          <w:tcPr>
            <w:tcW w:w="1314" w:type="dxa"/>
            <w:tcBorders>
              <w:top w:val="nil"/>
              <w:left w:val="nil"/>
              <w:bottom w:val="nil"/>
              <w:right w:val="nil"/>
            </w:tcBorders>
            <w:shd w:val="clear" w:color="FFFFFF" w:fill="FFFFFF"/>
            <w:noWrap/>
            <w:vAlign w:val="bottom"/>
            <w:hideMark/>
          </w:tcPr>
          <w:p w14:paraId="77D0FEB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(203,174)</w:t>
            </w:r>
          </w:p>
        </w:tc>
      </w:tr>
      <w:tr w:rsidR="0082424C" w:rsidRPr="007A3600" w14:paraId="7ABA8C26" w14:textId="77777777" w:rsidTr="00042990">
        <w:trPr>
          <w:trHeight w:val="250"/>
        </w:trPr>
        <w:tc>
          <w:tcPr>
            <w:tcW w:w="5103" w:type="dxa"/>
            <w:tcBorders>
              <w:top w:val="single" w:sz="4" w:space="0" w:color="auto"/>
              <w:left w:val="nil"/>
              <w:bottom w:val="single" w:sz="4" w:space="0" w:color="auto"/>
              <w:right w:val="nil"/>
            </w:tcBorders>
            <w:shd w:val="clear" w:color="FFFFFF" w:fill="FFFFFF"/>
            <w:vAlign w:val="bottom"/>
            <w:hideMark/>
          </w:tcPr>
          <w:p w14:paraId="7645E9B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Net book value as at 1 July 2024</w:t>
            </w:r>
          </w:p>
        </w:tc>
        <w:tc>
          <w:tcPr>
            <w:tcW w:w="1418" w:type="dxa"/>
            <w:tcBorders>
              <w:top w:val="single" w:sz="4" w:space="0" w:color="auto"/>
              <w:left w:val="nil"/>
              <w:bottom w:val="single" w:sz="4" w:space="0" w:color="auto"/>
              <w:right w:val="nil"/>
            </w:tcBorders>
            <w:shd w:val="clear" w:color="FFFFFF" w:fill="FFFFFF"/>
            <w:noWrap/>
            <w:vAlign w:val="bottom"/>
            <w:hideMark/>
          </w:tcPr>
          <w:p w14:paraId="73247AC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237,892</w:t>
            </w:r>
          </w:p>
        </w:tc>
        <w:tc>
          <w:tcPr>
            <w:tcW w:w="1379" w:type="dxa"/>
            <w:tcBorders>
              <w:top w:val="single" w:sz="4" w:space="0" w:color="auto"/>
              <w:left w:val="nil"/>
              <w:bottom w:val="single" w:sz="4" w:space="0" w:color="auto"/>
              <w:right w:val="nil"/>
            </w:tcBorders>
            <w:shd w:val="clear" w:color="FFFFFF" w:fill="FFFFFF"/>
            <w:noWrap/>
            <w:vAlign w:val="bottom"/>
            <w:hideMark/>
          </w:tcPr>
          <w:p w14:paraId="598822F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9,364</w:t>
            </w:r>
          </w:p>
        </w:tc>
        <w:tc>
          <w:tcPr>
            <w:tcW w:w="1314" w:type="dxa"/>
            <w:tcBorders>
              <w:top w:val="single" w:sz="4" w:space="0" w:color="auto"/>
              <w:left w:val="nil"/>
              <w:bottom w:val="single" w:sz="4" w:space="0" w:color="auto"/>
              <w:right w:val="nil"/>
            </w:tcBorders>
            <w:shd w:val="clear" w:color="FFFFFF" w:fill="FFFFFF"/>
            <w:noWrap/>
            <w:vAlign w:val="bottom"/>
            <w:hideMark/>
          </w:tcPr>
          <w:p w14:paraId="56B1B6B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247,256</w:t>
            </w:r>
          </w:p>
        </w:tc>
      </w:tr>
      <w:tr w:rsidR="0082424C" w:rsidRPr="007A3600" w14:paraId="371C5C1E" w14:textId="77777777" w:rsidTr="00042990">
        <w:trPr>
          <w:trHeight w:val="250"/>
        </w:trPr>
        <w:tc>
          <w:tcPr>
            <w:tcW w:w="5103" w:type="dxa"/>
            <w:tcBorders>
              <w:top w:val="nil"/>
              <w:left w:val="nil"/>
              <w:bottom w:val="nil"/>
              <w:right w:val="nil"/>
            </w:tcBorders>
            <w:shd w:val="clear" w:color="FFFFFF" w:fill="FFFFFF"/>
            <w:noWrap/>
            <w:vAlign w:val="bottom"/>
            <w:hideMark/>
          </w:tcPr>
          <w:p w14:paraId="619F849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418" w:type="dxa"/>
            <w:tcBorders>
              <w:top w:val="nil"/>
              <w:left w:val="nil"/>
              <w:bottom w:val="nil"/>
              <w:right w:val="nil"/>
            </w:tcBorders>
            <w:shd w:val="clear" w:color="FFFFFF" w:fill="FFFFFF"/>
            <w:noWrap/>
            <w:vAlign w:val="bottom"/>
            <w:hideMark/>
          </w:tcPr>
          <w:p w14:paraId="3FAD84C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379" w:type="dxa"/>
            <w:tcBorders>
              <w:top w:val="nil"/>
              <w:left w:val="nil"/>
              <w:bottom w:val="nil"/>
              <w:right w:val="nil"/>
            </w:tcBorders>
            <w:shd w:val="clear" w:color="FFFFFF" w:fill="FFFFFF"/>
            <w:noWrap/>
            <w:vAlign w:val="bottom"/>
            <w:hideMark/>
          </w:tcPr>
          <w:p w14:paraId="7ECB481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314" w:type="dxa"/>
            <w:tcBorders>
              <w:top w:val="nil"/>
              <w:left w:val="nil"/>
              <w:bottom w:val="nil"/>
              <w:right w:val="nil"/>
            </w:tcBorders>
            <w:shd w:val="clear" w:color="FFFFFF" w:fill="FFFFFF"/>
            <w:noWrap/>
            <w:vAlign w:val="bottom"/>
            <w:hideMark/>
          </w:tcPr>
          <w:p w14:paraId="579981F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5D826087" w14:textId="77777777" w:rsidTr="00042990">
        <w:trPr>
          <w:trHeight w:val="250"/>
        </w:trPr>
        <w:tc>
          <w:tcPr>
            <w:tcW w:w="5103" w:type="dxa"/>
            <w:tcBorders>
              <w:top w:val="nil"/>
              <w:left w:val="nil"/>
              <w:bottom w:val="nil"/>
              <w:right w:val="nil"/>
            </w:tcBorders>
            <w:shd w:val="clear" w:color="FFFFFF" w:fill="FFFFFF"/>
            <w:vAlign w:val="bottom"/>
            <w:hideMark/>
          </w:tcPr>
          <w:p w14:paraId="5606ADE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Additions</w:t>
            </w:r>
          </w:p>
        </w:tc>
        <w:tc>
          <w:tcPr>
            <w:tcW w:w="1418" w:type="dxa"/>
            <w:tcBorders>
              <w:top w:val="nil"/>
              <w:left w:val="nil"/>
              <w:bottom w:val="nil"/>
              <w:right w:val="nil"/>
            </w:tcBorders>
            <w:shd w:val="clear" w:color="FFFFFF" w:fill="FFFFFF"/>
            <w:noWrap/>
            <w:vAlign w:val="bottom"/>
            <w:hideMark/>
          </w:tcPr>
          <w:p w14:paraId="59499FC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379" w:type="dxa"/>
            <w:tcBorders>
              <w:top w:val="nil"/>
              <w:left w:val="nil"/>
              <w:bottom w:val="nil"/>
              <w:right w:val="nil"/>
            </w:tcBorders>
            <w:shd w:val="clear" w:color="FFFFFF" w:fill="FFFFFF"/>
            <w:noWrap/>
            <w:vAlign w:val="bottom"/>
            <w:hideMark/>
          </w:tcPr>
          <w:p w14:paraId="7883659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1314" w:type="dxa"/>
            <w:tcBorders>
              <w:top w:val="nil"/>
              <w:left w:val="nil"/>
              <w:bottom w:val="nil"/>
              <w:right w:val="nil"/>
            </w:tcBorders>
            <w:shd w:val="clear" w:color="FFFFFF" w:fill="FFFFFF"/>
            <w:noWrap/>
            <w:vAlign w:val="bottom"/>
            <w:hideMark/>
          </w:tcPr>
          <w:p w14:paraId="63DE2D7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48E9ACC2" w14:textId="77777777" w:rsidTr="00042990">
        <w:trPr>
          <w:trHeight w:val="250"/>
        </w:trPr>
        <w:tc>
          <w:tcPr>
            <w:tcW w:w="5103" w:type="dxa"/>
            <w:tcBorders>
              <w:top w:val="nil"/>
              <w:left w:val="nil"/>
              <w:bottom w:val="nil"/>
              <w:right w:val="nil"/>
            </w:tcBorders>
            <w:shd w:val="clear" w:color="FFFFFF" w:fill="FFFFFF"/>
            <w:noWrap/>
            <w:vAlign w:val="bottom"/>
            <w:hideMark/>
          </w:tcPr>
          <w:p w14:paraId="6DBE0D62" w14:textId="77777777" w:rsidR="0082424C" w:rsidRPr="007A3600" w:rsidRDefault="0082424C" w:rsidP="00AD3197">
            <w:pPr>
              <w:spacing w:after="0" w:line="260" w:lineRule="atLeast"/>
              <w:ind w:leftChars="100" w:left="240"/>
              <w:rPr>
                <w:rFonts w:eastAsia="Times New Roman" w:cs="Arial"/>
                <w:sz w:val="18"/>
                <w:szCs w:val="18"/>
                <w:lang w:eastAsia="en-US"/>
              </w:rPr>
            </w:pPr>
            <w:r w:rsidRPr="007A3600">
              <w:rPr>
                <w:rFonts w:eastAsia="Times New Roman" w:cs="Arial"/>
                <w:sz w:val="18"/>
                <w:szCs w:val="18"/>
                <w:lang w:eastAsia="en-US"/>
              </w:rPr>
              <w:t>Purchases</w:t>
            </w:r>
          </w:p>
        </w:tc>
        <w:tc>
          <w:tcPr>
            <w:tcW w:w="1418" w:type="dxa"/>
            <w:tcBorders>
              <w:top w:val="nil"/>
              <w:left w:val="nil"/>
              <w:bottom w:val="nil"/>
              <w:right w:val="nil"/>
            </w:tcBorders>
            <w:shd w:val="clear" w:color="FFFFFF" w:fill="FFFFFF"/>
            <w:noWrap/>
            <w:vAlign w:val="bottom"/>
            <w:hideMark/>
          </w:tcPr>
          <w:p w14:paraId="2F14497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5,446</w:t>
            </w:r>
          </w:p>
        </w:tc>
        <w:tc>
          <w:tcPr>
            <w:tcW w:w="1379" w:type="dxa"/>
            <w:tcBorders>
              <w:top w:val="nil"/>
              <w:left w:val="nil"/>
              <w:bottom w:val="nil"/>
              <w:right w:val="nil"/>
            </w:tcBorders>
            <w:shd w:val="clear" w:color="FFFFFF" w:fill="FFFFFF"/>
            <w:noWrap/>
            <w:vAlign w:val="bottom"/>
            <w:hideMark/>
          </w:tcPr>
          <w:p w14:paraId="3853EEA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12,468</w:t>
            </w:r>
          </w:p>
        </w:tc>
        <w:tc>
          <w:tcPr>
            <w:tcW w:w="1314" w:type="dxa"/>
            <w:tcBorders>
              <w:top w:val="nil"/>
              <w:left w:val="nil"/>
              <w:bottom w:val="nil"/>
              <w:right w:val="nil"/>
            </w:tcBorders>
            <w:shd w:val="clear" w:color="FFFFFF" w:fill="FFFFFF"/>
            <w:noWrap/>
            <w:vAlign w:val="bottom"/>
            <w:hideMark/>
          </w:tcPr>
          <w:p w14:paraId="06F6E63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17,914</w:t>
            </w:r>
          </w:p>
        </w:tc>
      </w:tr>
      <w:tr w:rsidR="0082424C" w:rsidRPr="007A3600" w14:paraId="274CF369" w14:textId="77777777" w:rsidTr="00042990">
        <w:trPr>
          <w:trHeight w:val="250"/>
        </w:trPr>
        <w:tc>
          <w:tcPr>
            <w:tcW w:w="5103" w:type="dxa"/>
            <w:tcBorders>
              <w:top w:val="nil"/>
              <w:left w:val="nil"/>
              <w:bottom w:val="nil"/>
              <w:right w:val="nil"/>
            </w:tcBorders>
            <w:shd w:val="clear" w:color="FFFFFF" w:fill="FFFFFF"/>
            <w:noWrap/>
            <w:vAlign w:val="bottom"/>
            <w:hideMark/>
          </w:tcPr>
          <w:p w14:paraId="479568D7" w14:textId="77777777" w:rsidR="0082424C" w:rsidRPr="007A3600" w:rsidRDefault="0082424C" w:rsidP="00AD3197">
            <w:pPr>
              <w:spacing w:after="0" w:line="260" w:lineRule="atLeast"/>
              <w:ind w:leftChars="100" w:left="240"/>
              <w:rPr>
                <w:rFonts w:eastAsia="Times New Roman" w:cs="Arial"/>
                <w:sz w:val="18"/>
                <w:szCs w:val="18"/>
                <w:lang w:eastAsia="en-US"/>
              </w:rPr>
            </w:pPr>
            <w:r w:rsidRPr="007A3600">
              <w:rPr>
                <w:rFonts w:eastAsia="Times New Roman" w:cs="Arial"/>
                <w:sz w:val="18"/>
                <w:szCs w:val="18"/>
                <w:lang w:eastAsia="en-US"/>
              </w:rPr>
              <w:t>Right-of-use assets</w:t>
            </w:r>
          </w:p>
        </w:tc>
        <w:tc>
          <w:tcPr>
            <w:tcW w:w="1418" w:type="dxa"/>
            <w:tcBorders>
              <w:top w:val="nil"/>
              <w:left w:val="nil"/>
              <w:bottom w:val="nil"/>
              <w:right w:val="nil"/>
            </w:tcBorders>
            <w:shd w:val="clear" w:color="FFFFFF" w:fill="FFFFFF"/>
            <w:noWrap/>
            <w:vAlign w:val="bottom"/>
            <w:hideMark/>
          </w:tcPr>
          <w:p w14:paraId="49E3DC3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8,102</w:t>
            </w:r>
          </w:p>
        </w:tc>
        <w:tc>
          <w:tcPr>
            <w:tcW w:w="1379" w:type="dxa"/>
            <w:tcBorders>
              <w:top w:val="nil"/>
              <w:left w:val="nil"/>
              <w:bottom w:val="nil"/>
              <w:right w:val="nil"/>
            </w:tcBorders>
            <w:shd w:val="clear" w:color="FFFFFF" w:fill="FFFFFF"/>
            <w:noWrap/>
            <w:vAlign w:val="bottom"/>
            <w:hideMark/>
          </w:tcPr>
          <w:p w14:paraId="458326B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1,827</w:t>
            </w:r>
          </w:p>
        </w:tc>
        <w:tc>
          <w:tcPr>
            <w:tcW w:w="1314" w:type="dxa"/>
            <w:tcBorders>
              <w:top w:val="nil"/>
              <w:left w:val="nil"/>
              <w:bottom w:val="nil"/>
              <w:right w:val="nil"/>
            </w:tcBorders>
            <w:shd w:val="clear" w:color="FFFFFF" w:fill="FFFFFF"/>
            <w:noWrap/>
            <w:vAlign w:val="bottom"/>
            <w:hideMark/>
          </w:tcPr>
          <w:p w14:paraId="5370BE9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9,929</w:t>
            </w:r>
          </w:p>
        </w:tc>
      </w:tr>
      <w:tr w:rsidR="0082424C" w:rsidRPr="007A3600" w14:paraId="143FF38F" w14:textId="77777777" w:rsidTr="00042990">
        <w:trPr>
          <w:trHeight w:val="250"/>
        </w:trPr>
        <w:tc>
          <w:tcPr>
            <w:tcW w:w="5103" w:type="dxa"/>
            <w:tcBorders>
              <w:top w:val="nil"/>
              <w:left w:val="nil"/>
              <w:bottom w:val="nil"/>
              <w:right w:val="nil"/>
            </w:tcBorders>
            <w:shd w:val="clear" w:color="FFFFFF" w:fill="FFFFFF"/>
            <w:vAlign w:val="bottom"/>
            <w:hideMark/>
          </w:tcPr>
          <w:p w14:paraId="4E22D856"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Depreciation expense</w:t>
            </w:r>
          </w:p>
        </w:tc>
        <w:tc>
          <w:tcPr>
            <w:tcW w:w="1418" w:type="dxa"/>
            <w:tcBorders>
              <w:top w:val="nil"/>
              <w:left w:val="nil"/>
              <w:bottom w:val="nil"/>
              <w:right w:val="nil"/>
            </w:tcBorders>
            <w:shd w:val="clear" w:color="FFFFFF" w:fill="FFFFFF"/>
            <w:noWrap/>
            <w:vAlign w:val="bottom"/>
            <w:hideMark/>
          </w:tcPr>
          <w:p w14:paraId="29D2493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(21,485)</w:t>
            </w:r>
          </w:p>
        </w:tc>
        <w:tc>
          <w:tcPr>
            <w:tcW w:w="1379" w:type="dxa"/>
            <w:tcBorders>
              <w:top w:val="nil"/>
              <w:left w:val="nil"/>
              <w:bottom w:val="nil"/>
              <w:right w:val="nil"/>
            </w:tcBorders>
            <w:shd w:val="clear" w:color="FFFFFF" w:fill="FFFFFF"/>
            <w:noWrap/>
            <w:vAlign w:val="bottom"/>
            <w:hideMark/>
          </w:tcPr>
          <w:p w14:paraId="0350758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(6,320)</w:t>
            </w:r>
          </w:p>
        </w:tc>
        <w:tc>
          <w:tcPr>
            <w:tcW w:w="1314" w:type="dxa"/>
            <w:tcBorders>
              <w:top w:val="nil"/>
              <w:left w:val="nil"/>
              <w:bottom w:val="nil"/>
              <w:right w:val="nil"/>
            </w:tcBorders>
            <w:shd w:val="clear" w:color="FFFFFF" w:fill="FFFFFF"/>
            <w:noWrap/>
            <w:vAlign w:val="bottom"/>
            <w:hideMark/>
          </w:tcPr>
          <w:p w14:paraId="40B8FFF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(27,805)</w:t>
            </w:r>
          </w:p>
        </w:tc>
      </w:tr>
      <w:tr w:rsidR="0082424C" w:rsidRPr="007A3600" w14:paraId="00645043" w14:textId="77777777" w:rsidTr="00042990">
        <w:trPr>
          <w:trHeight w:val="250"/>
        </w:trPr>
        <w:tc>
          <w:tcPr>
            <w:tcW w:w="5103" w:type="dxa"/>
            <w:tcBorders>
              <w:top w:val="nil"/>
              <w:left w:val="nil"/>
              <w:bottom w:val="nil"/>
              <w:right w:val="nil"/>
            </w:tcBorders>
            <w:shd w:val="clear" w:color="FFFFFF" w:fill="FFFFFF"/>
            <w:vAlign w:val="bottom"/>
            <w:hideMark/>
          </w:tcPr>
          <w:p w14:paraId="746F7D1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ROU Depreciation expense</w:t>
            </w:r>
          </w:p>
        </w:tc>
        <w:tc>
          <w:tcPr>
            <w:tcW w:w="1418" w:type="dxa"/>
            <w:tcBorders>
              <w:top w:val="nil"/>
              <w:left w:val="nil"/>
              <w:bottom w:val="nil"/>
              <w:right w:val="nil"/>
            </w:tcBorders>
            <w:shd w:val="clear" w:color="FFFFFF" w:fill="FFFFFF"/>
            <w:noWrap/>
            <w:vAlign w:val="bottom"/>
            <w:hideMark/>
          </w:tcPr>
          <w:p w14:paraId="741F4B9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(32,831)</w:t>
            </w:r>
          </w:p>
        </w:tc>
        <w:tc>
          <w:tcPr>
            <w:tcW w:w="1379" w:type="dxa"/>
            <w:tcBorders>
              <w:top w:val="nil"/>
              <w:left w:val="nil"/>
              <w:bottom w:val="nil"/>
              <w:right w:val="nil"/>
            </w:tcBorders>
            <w:shd w:val="clear" w:color="FFFFFF" w:fill="FFFFFF"/>
            <w:noWrap/>
            <w:vAlign w:val="bottom"/>
            <w:hideMark/>
          </w:tcPr>
          <w:p w14:paraId="6FA32D6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(928)</w:t>
            </w:r>
          </w:p>
        </w:tc>
        <w:tc>
          <w:tcPr>
            <w:tcW w:w="1314" w:type="dxa"/>
            <w:tcBorders>
              <w:top w:val="nil"/>
              <w:left w:val="nil"/>
              <w:bottom w:val="nil"/>
              <w:right w:val="nil"/>
            </w:tcBorders>
            <w:shd w:val="clear" w:color="FFFFFF" w:fill="FFFFFF"/>
            <w:noWrap/>
            <w:vAlign w:val="bottom"/>
            <w:hideMark/>
          </w:tcPr>
          <w:p w14:paraId="6212A58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(33,759)</w:t>
            </w:r>
          </w:p>
        </w:tc>
      </w:tr>
      <w:tr w:rsidR="0082424C" w:rsidRPr="007A3600" w14:paraId="79564519" w14:textId="77777777" w:rsidTr="00042990">
        <w:trPr>
          <w:trHeight w:val="250"/>
        </w:trPr>
        <w:tc>
          <w:tcPr>
            <w:tcW w:w="5103" w:type="dxa"/>
            <w:tcBorders>
              <w:top w:val="nil"/>
              <w:left w:val="nil"/>
              <w:bottom w:val="nil"/>
              <w:right w:val="nil"/>
            </w:tcBorders>
            <w:shd w:val="clear" w:color="FFFFFF" w:fill="FFFFFF"/>
            <w:noWrap/>
            <w:vAlign w:val="bottom"/>
            <w:hideMark/>
          </w:tcPr>
          <w:p w14:paraId="2367BA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movements on right-of-use assets</w:t>
            </w:r>
          </w:p>
        </w:tc>
        <w:tc>
          <w:tcPr>
            <w:tcW w:w="1418" w:type="dxa"/>
            <w:tcBorders>
              <w:top w:val="nil"/>
              <w:left w:val="nil"/>
              <w:bottom w:val="nil"/>
              <w:right w:val="nil"/>
            </w:tcBorders>
            <w:shd w:val="clear" w:color="FFFFFF" w:fill="FFFFFF"/>
            <w:noWrap/>
            <w:vAlign w:val="bottom"/>
            <w:hideMark/>
          </w:tcPr>
          <w:p w14:paraId="5D615E5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7,805</w:t>
            </w:r>
          </w:p>
        </w:tc>
        <w:tc>
          <w:tcPr>
            <w:tcW w:w="1379" w:type="dxa"/>
            <w:tcBorders>
              <w:top w:val="nil"/>
              <w:left w:val="nil"/>
              <w:bottom w:val="nil"/>
              <w:right w:val="nil"/>
            </w:tcBorders>
            <w:shd w:val="clear" w:color="FFFFFF" w:fill="FFFFFF"/>
            <w:noWrap/>
            <w:vAlign w:val="bottom"/>
            <w:hideMark/>
          </w:tcPr>
          <w:p w14:paraId="7B6D8BE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42</w:t>
            </w:r>
          </w:p>
        </w:tc>
        <w:tc>
          <w:tcPr>
            <w:tcW w:w="1314" w:type="dxa"/>
            <w:tcBorders>
              <w:top w:val="nil"/>
              <w:left w:val="nil"/>
              <w:bottom w:val="nil"/>
              <w:right w:val="nil"/>
            </w:tcBorders>
            <w:shd w:val="clear" w:color="FFFFFF" w:fill="FFFFFF"/>
            <w:noWrap/>
            <w:vAlign w:val="bottom"/>
            <w:hideMark/>
          </w:tcPr>
          <w:p w14:paraId="349CAAE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7,847</w:t>
            </w:r>
          </w:p>
        </w:tc>
      </w:tr>
      <w:tr w:rsidR="0082424C" w:rsidRPr="007A3600" w14:paraId="51AC723B" w14:textId="77777777" w:rsidTr="00042990">
        <w:trPr>
          <w:trHeight w:val="250"/>
        </w:trPr>
        <w:tc>
          <w:tcPr>
            <w:tcW w:w="5103" w:type="dxa"/>
            <w:tcBorders>
              <w:top w:val="nil"/>
              <w:left w:val="nil"/>
              <w:bottom w:val="nil"/>
              <w:right w:val="nil"/>
            </w:tcBorders>
            <w:shd w:val="clear" w:color="FFFFFF" w:fill="FFFFFF"/>
            <w:vAlign w:val="bottom"/>
          </w:tcPr>
          <w:p w14:paraId="7DA5CBB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Revaluation in other comprehensive income</w:t>
            </w:r>
          </w:p>
        </w:tc>
        <w:tc>
          <w:tcPr>
            <w:tcW w:w="1418" w:type="dxa"/>
            <w:tcBorders>
              <w:top w:val="nil"/>
              <w:left w:val="nil"/>
              <w:bottom w:val="nil"/>
              <w:right w:val="nil"/>
            </w:tcBorders>
            <w:shd w:val="clear" w:color="FFFFFF" w:fill="FFFFFF"/>
            <w:noWrap/>
            <w:vAlign w:val="bottom"/>
          </w:tcPr>
          <w:p w14:paraId="5C84FA3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10,486</w:t>
            </w:r>
          </w:p>
        </w:tc>
        <w:tc>
          <w:tcPr>
            <w:tcW w:w="1379" w:type="dxa"/>
            <w:tcBorders>
              <w:top w:val="nil"/>
              <w:left w:val="nil"/>
              <w:bottom w:val="nil"/>
              <w:right w:val="nil"/>
            </w:tcBorders>
            <w:shd w:val="clear" w:color="FFFFFF" w:fill="FFFFFF"/>
            <w:noWrap/>
            <w:vAlign w:val="bottom"/>
          </w:tcPr>
          <w:p w14:paraId="74807FA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1314" w:type="dxa"/>
            <w:tcBorders>
              <w:top w:val="nil"/>
              <w:left w:val="nil"/>
              <w:bottom w:val="nil"/>
              <w:right w:val="nil"/>
            </w:tcBorders>
            <w:shd w:val="clear" w:color="FFFFFF" w:fill="FFFFFF"/>
            <w:noWrap/>
            <w:vAlign w:val="bottom"/>
          </w:tcPr>
          <w:p w14:paraId="00AEEC5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10,486</w:t>
            </w:r>
          </w:p>
        </w:tc>
      </w:tr>
      <w:tr w:rsidR="0082424C" w:rsidRPr="007A3600" w14:paraId="607594AC" w14:textId="77777777" w:rsidTr="00042990">
        <w:trPr>
          <w:trHeight w:val="250"/>
        </w:trPr>
        <w:tc>
          <w:tcPr>
            <w:tcW w:w="5103" w:type="dxa"/>
            <w:tcBorders>
              <w:top w:val="nil"/>
              <w:left w:val="nil"/>
              <w:bottom w:val="nil"/>
              <w:right w:val="nil"/>
            </w:tcBorders>
            <w:shd w:val="clear" w:color="FFFFFF" w:fill="FFFFFF"/>
            <w:vAlign w:val="bottom"/>
            <w:hideMark/>
          </w:tcPr>
          <w:p w14:paraId="5FA731F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changes</w:t>
            </w:r>
          </w:p>
        </w:tc>
        <w:tc>
          <w:tcPr>
            <w:tcW w:w="1418" w:type="dxa"/>
            <w:tcBorders>
              <w:top w:val="nil"/>
              <w:left w:val="nil"/>
              <w:bottom w:val="nil"/>
              <w:right w:val="nil"/>
            </w:tcBorders>
            <w:shd w:val="clear" w:color="FFFFFF" w:fill="FFFFFF"/>
            <w:noWrap/>
            <w:vAlign w:val="bottom"/>
            <w:hideMark/>
          </w:tcPr>
          <w:p w14:paraId="2C35226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(3,466)</w:t>
            </w:r>
          </w:p>
        </w:tc>
        <w:tc>
          <w:tcPr>
            <w:tcW w:w="1379" w:type="dxa"/>
            <w:tcBorders>
              <w:top w:val="nil"/>
              <w:left w:val="nil"/>
              <w:bottom w:val="nil"/>
              <w:right w:val="nil"/>
            </w:tcBorders>
            <w:shd w:val="clear" w:color="FFFFFF" w:fill="FFFFFF"/>
            <w:noWrap/>
            <w:vAlign w:val="bottom"/>
            <w:hideMark/>
          </w:tcPr>
          <w:p w14:paraId="0D74C5E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w:t>
            </w:r>
          </w:p>
        </w:tc>
        <w:tc>
          <w:tcPr>
            <w:tcW w:w="1314" w:type="dxa"/>
            <w:tcBorders>
              <w:top w:val="nil"/>
              <w:left w:val="nil"/>
              <w:bottom w:val="nil"/>
              <w:right w:val="nil"/>
            </w:tcBorders>
            <w:shd w:val="clear" w:color="FFFFFF" w:fill="FFFFFF"/>
            <w:noWrap/>
            <w:vAlign w:val="bottom"/>
            <w:hideMark/>
          </w:tcPr>
          <w:p w14:paraId="53D9AAA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(3,467)</w:t>
            </w:r>
          </w:p>
        </w:tc>
      </w:tr>
      <w:tr w:rsidR="0082424C" w:rsidRPr="007A3600" w14:paraId="521690F9" w14:textId="77777777" w:rsidTr="00042990">
        <w:trPr>
          <w:trHeight w:val="250"/>
        </w:trPr>
        <w:tc>
          <w:tcPr>
            <w:tcW w:w="5103" w:type="dxa"/>
            <w:tcBorders>
              <w:top w:val="single" w:sz="4" w:space="0" w:color="auto"/>
              <w:left w:val="nil"/>
              <w:bottom w:val="single" w:sz="4" w:space="0" w:color="auto"/>
              <w:right w:val="nil"/>
            </w:tcBorders>
            <w:shd w:val="clear" w:color="FFFFFF" w:fill="FFFFFF"/>
            <w:vAlign w:val="bottom"/>
            <w:hideMark/>
          </w:tcPr>
          <w:p w14:paraId="19D584E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Net book value 30 June 2025</w:t>
            </w:r>
          </w:p>
        </w:tc>
        <w:tc>
          <w:tcPr>
            <w:tcW w:w="1418" w:type="dxa"/>
            <w:tcBorders>
              <w:top w:val="single" w:sz="4" w:space="0" w:color="auto"/>
              <w:left w:val="nil"/>
              <w:bottom w:val="single" w:sz="4" w:space="0" w:color="auto"/>
              <w:right w:val="nil"/>
            </w:tcBorders>
            <w:shd w:val="clear" w:color="FFFFFF" w:fill="FFFFFF"/>
            <w:noWrap/>
            <w:vAlign w:val="bottom"/>
            <w:hideMark/>
          </w:tcPr>
          <w:p w14:paraId="2F58FD9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211,949</w:t>
            </w:r>
          </w:p>
        </w:tc>
        <w:tc>
          <w:tcPr>
            <w:tcW w:w="1379" w:type="dxa"/>
            <w:tcBorders>
              <w:top w:val="single" w:sz="4" w:space="0" w:color="auto"/>
              <w:left w:val="nil"/>
              <w:bottom w:val="single" w:sz="4" w:space="0" w:color="auto"/>
              <w:right w:val="nil"/>
            </w:tcBorders>
            <w:shd w:val="clear" w:color="FFFFFF" w:fill="FFFFFF"/>
            <w:noWrap/>
            <w:vAlign w:val="bottom"/>
            <w:hideMark/>
          </w:tcPr>
          <w:p w14:paraId="0404877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16,452</w:t>
            </w:r>
          </w:p>
        </w:tc>
        <w:tc>
          <w:tcPr>
            <w:tcW w:w="1314" w:type="dxa"/>
            <w:tcBorders>
              <w:top w:val="single" w:sz="4" w:space="0" w:color="auto"/>
              <w:left w:val="nil"/>
              <w:bottom w:val="single" w:sz="4" w:space="0" w:color="auto"/>
              <w:right w:val="nil"/>
            </w:tcBorders>
            <w:shd w:val="clear" w:color="FFFFFF" w:fill="FFFFFF"/>
            <w:noWrap/>
            <w:vAlign w:val="bottom"/>
            <w:hideMark/>
          </w:tcPr>
          <w:p w14:paraId="3CCE516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228,401</w:t>
            </w:r>
          </w:p>
        </w:tc>
      </w:tr>
      <w:tr w:rsidR="0082424C" w:rsidRPr="007A3600" w14:paraId="7631EBE0" w14:textId="77777777" w:rsidTr="00042990">
        <w:trPr>
          <w:trHeight w:val="250"/>
        </w:trPr>
        <w:tc>
          <w:tcPr>
            <w:tcW w:w="5103" w:type="dxa"/>
            <w:tcBorders>
              <w:top w:val="nil"/>
              <w:left w:val="nil"/>
              <w:bottom w:val="nil"/>
              <w:right w:val="nil"/>
            </w:tcBorders>
            <w:shd w:val="clear" w:color="FFFFFF" w:fill="FFFFFF"/>
            <w:noWrap/>
            <w:vAlign w:val="bottom"/>
            <w:hideMark/>
          </w:tcPr>
          <w:p w14:paraId="46C47A2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418" w:type="dxa"/>
            <w:tcBorders>
              <w:top w:val="nil"/>
              <w:left w:val="nil"/>
              <w:bottom w:val="nil"/>
              <w:right w:val="nil"/>
            </w:tcBorders>
            <w:shd w:val="clear" w:color="FFFFFF" w:fill="FFFFFF"/>
            <w:noWrap/>
            <w:vAlign w:val="bottom"/>
            <w:hideMark/>
          </w:tcPr>
          <w:p w14:paraId="7A8EC789"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79" w:type="dxa"/>
            <w:tcBorders>
              <w:top w:val="nil"/>
              <w:left w:val="nil"/>
              <w:bottom w:val="nil"/>
              <w:right w:val="nil"/>
            </w:tcBorders>
            <w:shd w:val="clear" w:color="FFFFFF" w:fill="FFFFFF"/>
            <w:noWrap/>
            <w:vAlign w:val="bottom"/>
            <w:hideMark/>
          </w:tcPr>
          <w:p w14:paraId="5289DAC3"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14" w:type="dxa"/>
            <w:tcBorders>
              <w:top w:val="nil"/>
              <w:left w:val="nil"/>
              <w:bottom w:val="nil"/>
              <w:right w:val="nil"/>
            </w:tcBorders>
            <w:shd w:val="clear" w:color="FFFFFF" w:fill="FFFFFF"/>
            <w:noWrap/>
            <w:vAlign w:val="bottom"/>
            <w:hideMark/>
          </w:tcPr>
          <w:p w14:paraId="0D9A5EC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6FDF0D14" w14:textId="77777777" w:rsidTr="00042990">
        <w:trPr>
          <w:trHeight w:val="250"/>
        </w:trPr>
        <w:tc>
          <w:tcPr>
            <w:tcW w:w="5103" w:type="dxa"/>
            <w:tcBorders>
              <w:top w:val="nil"/>
              <w:left w:val="nil"/>
              <w:bottom w:val="nil"/>
              <w:right w:val="nil"/>
            </w:tcBorders>
            <w:shd w:val="clear" w:color="FFFFFF" w:fill="FFFFFF"/>
            <w:vAlign w:val="bottom"/>
            <w:hideMark/>
          </w:tcPr>
          <w:p w14:paraId="7432E17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Net book value as at 30 June 2025 represented by:</w:t>
            </w:r>
          </w:p>
        </w:tc>
        <w:tc>
          <w:tcPr>
            <w:tcW w:w="1418" w:type="dxa"/>
            <w:tcBorders>
              <w:top w:val="nil"/>
              <w:left w:val="nil"/>
              <w:bottom w:val="nil"/>
              <w:right w:val="nil"/>
            </w:tcBorders>
            <w:shd w:val="clear" w:color="FFFFFF" w:fill="FFFFFF"/>
            <w:noWrap/>
            <w:vAlign w:val="bottom"/>
            <w:hideMark/>
          </w:tcPr>
          <w:p w14:paraId="5EFF89A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79" w:type="dxa"/>
            <w:tcBorders>
              <w:top w:val="nil"/>
              <w:left w:val="nil"/>
              <w:bottom w:val="nil"/>
              <w:right w:val="nil"/>
            </w:tcBorders>
            <w:shd w:val="clear" w:color="FFFFFF" w:fill="FFFFFF"/>
            <w:noWrap/>
            <w:vAlign w:val="bottom"/>
            <w:hideMark/>
          </w:tcPr>
          <w:p w14:paraId="0C50071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14" w:type="dxa"/>
            <w:tcBorders>
              <w:top w:val="nil"/>
              <w:left w:val="nil"/>
              <w:bottom w:val="nil"/>
              <w:right w:val="nil"/>
            </w:tcBorders>
            <w:shd w:val="clear" w:color="FFFFFF" w:fill="FFFFFF"/>
            <w:noWrap/>
            <w:vAlign w:val="bottom"/>
            <w:hideMark/>
          </w:tcPr>
          <w:p w14:paraId="752D8F4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051C0F35" w14:textId="77777777" w:rsidTr="00042990">
        <w:trPr>
          <w:trHeight w:val="250"/>
        </w:trPr>
        <w:tc>
          <w:tcPr>
            <w:tcW w:w="5103" w:type="dxa"/>
            <w:tcBorders>
              <w:top w:val="nil"/>
              <w:left w:val="nil"/>
              <w:bottom w:val="nil"/>
              <w:right w:val="nil"/>
            </w:tcBorders>
            <w:shd w:val="clear" w:color="FFFFFF" w:fill="FFFFFF"/>
            <w:vAlign w:val="bottom"/>
            <w:hideMark/>
          </w:tcPr>
          <w:p w14:paraId="5B05BA9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Gross book value</w:t>
            </w:r>
          </w:p>
        </w:tc>
        <w:tc>
          <w:tcPr>
            <w:tcW w:w="1418" w:type="dxa"/>
            <w:tcBorders>
              <w:top w:val="nil"/>
              <w:left w:val="nil"/>
              <w:bottom w:val="nil"/>
              <w:right w:val="nil"/>
            </w:tcBorders>
            <w:shd w:val="clear" w:color="FFFFFF" w:fill="FFFFFF"/>
            <w:noWrap/>
            <w:vAlign w:val="bottom"/>
            <w:hideMark/>
          </w:tcPr>
          <w:p w14:paraId="05D321B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433,932</w:t>
            </w:r>
          </w:p>
        </w:tc>
        <w:tc>
          <w:tcPr>
            <w:tcW w:w="1379" w:type="dxa"/>
            <w:tcBorders>
              <w:top w:val="nil"/>
              <w:left w:val="nil"/>
              <w:bottom w:val="nil"/>
              <w:right w:val="nil"/>
            </w:tcBorders>
            <w:shd w:val="clear" w:color="FFFFFF" w:fill="FFFFFF"/>
            <w:noWrap/>
            <w:vAlign w:val="bottom"/>
            <w:hideMark/>
          </w:tcPr>
          <w:p w14:paraId="0FC16FE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36,916</w:t>
            </w:r>
          </w:p>
        </w:tc>
        <w:tc>
          <w:tcPr>
            <w:tcW w:w="1314" w:type="dxa"/>
            <w:tcBorders>
              <w:top w:val="nil"/>
              <w:left w:val="nil"/>
              <w:bottom w:val="nil"/>
              <w:right w:val="nil"/>
            </w:tcBorders>
            <w:shd w:val="clear" w:color="FFFFFF" w:fill="FFFFFF"/>
            <w:noWrap/>
            <w:vAlign w:val="bottom"/>
            <w:hideMark/>
          </w:tcPr>
          <w:p w14:paraId="0AEEC58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470,848</w:t>
            </w:r>
          </w:p>
        </w:tc>
      </w:tr>
      <w:tr w:rsidR="0082424C" w:rsidRPr="007A3600" w14:paraId="08FFEA62" w14:textId="77777777" w:rsidTr="00042990">
        <w:trPr>
          <w:trHeight w:val="250"/>
        </w:trPr>
        <w:tc>
          <w:tcPr>
            <w:tcW w:w="5103" w:type="dxa"/>
            <w:tcBorders>
              <w:top w:val="nil"/>
              <w:left w:val="nil"/>
              <w:bottom w:val="nil"/>
              <w:right w:val="nil"/>
            </w:tcBorders>
            <w:shd w:val="clear" w:color="FFFFFF" w:fill="FFFFFF"/>
            <w:vAlign w:val="bottom"/>
            <w:hideMark/>
          </w:tcPr>
          <w:p w14:paraId="208004D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Accumulated depreciation and impairment</w:t>
            </w:r>
          </w:p>
        </w:tc>
        <w:tc>
          <w:tcPr>
            <w:tcW w:w="1418" w:type="dxa"/>
            <w:tcBorders>
              <w:top w:val="nil"/>
              <w:left w:val="nil"/>
              <w:bottom w:val="nil"/>
              <w:right w:val="nil"/>
            </w:tcBorders>
            <w:shd w:val="clear" w:color="FFFFFF" w:fill="FFFFFF"/>
            <w:noWrap/>
            <w:vAlign w:val="bottom"/>
            <w:hideMark/>
          </w:tcPr>
          <w:p w14:paraId="6A46D33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(221,983)</w:t>
            </w:r>
          </w:p>
        </w:tc>
        <w:tc>
          <w:tcPr>
            <w:tcW w:w="1379" w:type="dxa"/>
            <w:tcBorders>
              <w:top w:val="nil"/>
              <w:left w:val="nil"/>
              <w:bottom w:val="nil"/>
              <w:right w:val="nil"/>
            </w:tcBorders>
            <w:noWrap/>
            <w:vAlign w:val="bottom"/>
            <w:hideMark/>
          </w:tcPr>
          <w:p w14:paraId="3A21014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(20,464)</w:t>
            </w:r>
          </w:p>
        </w:tc>
        <w:tc>
          <w:tcPr>
            <w:tcW w:w="1314" w:type="dxa"/>
            <w:tcBorders>
              <w:top w:val="nil"/>
              <w:left w:val="nil"/>
              <w:bottom w:val="nil"/>
              <w:right w:val="nil"/>
            </w:tcBorders>
            <w:shd w:val="clear" w:color="FFFFFF" w:fill="FFFFFF"/>
            <w:noWrap/>
            <w:vAlign w:val="bottom"/>
            <w:hideMark/>
          </w:tcPr>
          <w:p w14:paraId="1F39D72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(242,447)</w:t>
            </w:r>
          </w:p>
        </w:tc>
      </w:tr>
      <w:tr w:rsidR="0082424C" w:rsidRPr="007A3600" w14:paraId="42ACAB42" w14:textId="77777777" w:rsidTr="00042990">
        <w:trPr>
          <w:trHeight w:val="250"/>
        </w:trPr>
        <w:tc>
          <w:tcPr>
            <w:tcW w:w="5103" w:type="dxa"/>
            <w:tcBorders>
              <w:top w:val="single" w:sz="4" w:space="0" w:color="auto"/>
              <w:left w:val="nil"/>
              <w:bottom w:val="single" w:sz="4" w:space="0" w:color="auto"/>
              <w:right w:val="nil"/>
            </w:tcBorders>
            <w:shd w:val="clear" w:color="FFFFFF" w:fill="FFFFFF"/>
            <w:noWrap/>
            <w:vAlign w:val="bottom"/>
            <w:hideMark/>
          </w:tcPr>
          <w:p w14:paraId="5CCF64B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Carrying amount as at 30 June 2025</w:t>
            </w:r>
          </w:p>
        </w:tc>
        <w:tc>
          <w:tcPr>
            <w:tcW w:w="1418" w:type="dxa"/>
            <w:tcBorders>
              <w:top w:val="single" w:sz="4" w:space="0" w:color="auto"/>
              <w:left w:val="nil"/>
              <w:bottom w:val="single" w:sz="4" w:space="0" w:color="auto"/>
              <w:right w:val="nil"/>
            </w:tcBorders>
            <w:shd w:val="clear" w:color="FFFFFF" w:fill="FFFFFF"/>
            <w:noWrap/>
            <w:vAlign w:val="bottom"/>
            <w:hideMark/>
          </w:tcPr>
          <w:p w14:paraId="1B57229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211,949</w:t>
            </w:r>
          </w:p>
        </w:tc>
        <w:tc>
          <w:tcPr>
            <w:tcW w:w="1379" w:type="dxa"/>
            <w:tcBorders>
              <w:top w:val="single" w:sz="4" w:space="0" w:color="auto"/>
              <w:left w:val="nil"/>
              <w:bottom w:val="single" w:sz="4" w:space="0" w:color="auto"/>
              <w:right w:val="nil"/>
            </w:tcBorders>
            <w:shd w:val="clear" w:color="FFFFFF" w:fill="FFFFFF"/>
            <w:noWrap/>
            <w:vAlign w:val="bottom"/>
            <w:hideMark/>
          </w:tcPr>
          <w:p w14:paraId="78D69C1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16,452</w:t>
            </w:r>
          </w:p>
        </w:tc>
        <w:tc>
          <w:tcPr>
            <w:tcW w:w="1314" w:type="dxa"/>
            <w:tcBorders>
              <w:top w:val="single" w:sz="4" w:space="0" w:color="auto"/>
              <w:left w:val="nil"/>
              <w:bottom w:val="single" w:sz="4" w:space="0" w:color="auto"/>
              <w:right w:val="nil"/>
            </w:tcBorders>
            <w:shd w:val="clear" w:color="FFFFFF" w:fill="FFFFFF"/>
            <w:noWrap/>
            <w:vAlign w:val="bottom"/>
            <w:hideMark/>
          </w:tcPr>
          <w:p w14:paraId="5C3043F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228,401</w:t>
            </w:r>
          </w:p>
        </w:tc>
      </w:tr>
      <w:tr w:rsidR="0082424C" w:rsidRPr="007A3600" w14:paraId="41A43DDD" w14:textId="77777777" w:rsidTr="00042990">
        <w:trPr>
          <w:trHeight w:val="250"/>
        </w:trPr>
        <w:tc>
          <w:tcPr>
            <w:tcW w:w="5103" w:type="dxa"/>
            <w:tcBorders>
              <w:top w:val="nil"/>
              <w:left w:val="nil"/>
              <w:bottom w:val="nil"/>
              <w:right w:val="nil"/>
            </w:tcBorders>
            <w:shd w:val="clear" w:color="FFFFFF" w:fill="FFFFFF"/>
            <w:noWrap/>
            <w:vAlign w:val="bottom"/>
            <w:hideMark/>
          </w:tcPr>
          <w:p w14:paraId="7532C9D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418" w:type="dxa"/>
            <w:tcBorders>
              <w:top w:val="nil"/>
              <w:left w:val="nil"/>
              <w:bottom w:val="nil"/>
              <w:right w:val="nil"/>
            </w:tcBorders>
            <w:shd w:val="clear" w:color="FFFFFF" w:fill="FFFFFF"/>
            <w:noWrap/>
            <w:vAlign w:val="bottom"/>
            <w:hideMark/>
          </w:tcPr>
          <w:p w14:paraId="3876D05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79" w:type="dxa"/>
            <w:tcBorders>
              <w:top w:val="nil"/>
              <w:left w:val="nil"/>
              <w:bottom w:val="nil"/>
              <w:right w:val="nil"/>
            </w:tcBorders>
            <w:shd w:val="clear" w:color="FFFFFF" w:fill="FFFFFF"/>
            <w:noWrap/>
            <w:vAlign w:val="bottom"/>
            <w:hideMark/>
          </w:tcPr>
          <w:p w14:paraId="412293B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14" w:type="dxa"/>
            <w:tcBorders>
              <w:top w:val="nil"/>
              <w:left w:val="nil"/>
              <w:bottom w:val="nil"/>
              <w:right w:val="nil"/>
            </w:tcBorders>
            <w:shd w:val="clear" w:color="FFFFFF" w:fill="FFFFFF"/>
            <w:noWrap/>
            <w:vAlign w:val="bottom"/>
            <w:hideMark/>
          </w:tcPr>
          <w:p w14:paraId="6689704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18A1D760" w14:textId="77777777" w:rsidTr="00042990">
        <w:trPr>
          <w:trHeight w:val="270"/>
        </w:trPr>
        <w:tc>
          <w:tcPr>
            <w:tcW w:w="5103" w:type="dxa"/>
            <w:tcBorders>
              <w:top w:val="single" w:sz="4" w:space="0" w:color="auto"/>
              <w:left w:val="nil"/>
              <w:bottom w:val="single" w:sz="4" w:space="0" w:color="auto"/>
              <w:right w:val="nil"/>
            </w:tcBorders>
            <w:shd w:val="clear" w:color="FFFFFF" w:fill="FFFFFF"/>
            <w:hideMark/>
          </w:tcPr>
          <w:p w14:paraId="54E60F5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Carrying amount of right-of-use assets as at 30 June 2025</w:t>
            </w:r>
          </w:p>
        </w:tc>
        <w:tc>
          <w:tcPr>
            <w:tcW w:w="1418" w:type="dxa"/>
            <w:tcBorders>
              <w:top w:val="single" w:sz="4" w:space="0" w:color="auto"/>
              <w:left w:val="nil"/>
              <w:bottom w:val="single" w:sz="4" w:space="0" w:color="auto"/>
              <w:right w:val="nil"/>
            </w:tcBorders>
            <w:shd w:val="clear" w:color="FFFFFF" w:fill="FFFFFF"/>
            <w:noWrap/>
            <w:hideMark/>
          </w:tcPr>
          <w:p w14:paraId="18E858F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123,485</w:t>
            </w:r>
          </w:p>
        </w:tc>
        <w:tc>
          <w:tcPr>
            <w:tcW w:w="1379" w:type="dxa"/>
            <w:tcBorders>
              <w:top w:val="single" w:sz="4" w:space="0" w:color="auto"/>
              <w:left w:val="nil"/>
              <w:bottom w:val="single" w:sz="4" w:space="0" w:color="auto"/>
              <w:right w:val="nil"/>
            </w:tcBorders>
            <w:shd w:val="clear" w:color="FFFFFF" w:fill="FFFFFF"/>
            <w:noWrap/>
            <w:hideMark/>
          </w:tcPr>
          <w:p w14:paraId="24A926E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1,988</w:t>
            </w:r>
          </w:p>
        </w:tc>
        <w:tc>
          <w:tcPr>
            <w:tcW w:w="1314" w:type="dxa"/>
            <w:tcBorders>
              <w:top w:val="single" w:sz="4" w:space="0" w:color="auto"/>
              <w:left w:val="nil"/>
              <w:bottom w:val="single" w:sz="4" w:space="0" w:color="auto"/>
              <w:right w:val="nil"/>
            </w:tcBorders>
            <w:shd w:val="clear" w:color="FFFFFF" w:fill="FFFFFF"/>
            <w:noWrap/>
            <w:hideMark/>
          </w:tcPr>
          <w:p w14:paraId="0846A12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125,473</w:t>
            </w:r>
          </w:p>
        </w:tc>
      </w:tr>
    </w:tbl>
    <w:p w14:paraId="13D02ECE" w14:textId="77777777" w:rsidR="0082424C" w:rsidRPr="007A3600" w:rsidRDefault="0082424C" w:rsidP="00AD3197">
      <w:pPr>
        <w:spacing w:before="240" w:after="120" w:line="240" w:lineRule="auto"/>
        <w:ind w:left="142"/>
        <w:rPr>
          <w:rFonts w:eastAsia="Times New Roman" w:cs="Arial"/>
          <w:sz w:val="18"/>
          <w:szCs w:val="18"/>
          <w:lang w:eastAsia="en-US"/>
        </w:rPr>
      </w:pPr>
      <w:r w:rsidRPr="007A3600">
        <w:rPr>
          <w:rFonts w:eastAsia="Times New Roman" w:cs="Arial"/>
          <w:sz w:val="18"/>
          <w:szCs w:val="18"/>
          <w:lang w:eastAsia="en-US"/>
        </w:rPr>
        <w:t xml:space="preserve">All items of buildings and plant and equipment were assessed for indications of impairment as </w:t>
      </w:r>
      <w:proofErr w:type="gramStart"/>
      <w:r w:rsidRPr="007A3600">
        <w:rPr>
          <w:rFonts w:eastAsia="Times New Roman" w:cs="Arial"/>
          <w:sz w:val="18"/>
          <w:szCs w:val="18"/>
          <w:lang w:eastAsia="en-US"/>
        </w:rPr>
        <w:t>at</w:t>
      </w:r>
      <w:proofErr w:type="gramEnd"/>
      <w:r w:rsidRPr="007A3600">
        <w:rPr>
          <w:rFonts w:eastAsia="Times New Roman" w:cs="Arial"/>
          <w:sz w:val="18"/>
          <w:szCs w:val="18"/>
          <w:lang w:eastAsia="en-US"/>
        </w:rPr>
        <w:t xml:space="preserve"> 30 June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and no indicators of impairment were found.</w:t>
      </w:r>
    </w:p>
    <w:p w14:paraId="34A05FC4" w14:textId="77777777" w:rsidR="0082424C" w:rsidRPr="007A3600" w:rsidRDefault="0082424C" w:rsidP="00AD3197">
      <w:pPr>
        <w:spacing w:before="120" w:after="120" w:line="240" w:lineRule="auto"/>
        <w:ind w:left="142"/>
        <w:rPr>
          <w:rFonts w:eastAsia="Times New Roman" w:cs="Arial"/>
          <w:sz w:val="18"/>
          <w:szCs w:val="18"/>
          <w:lang w:eastAsia="en-US"/>
        </w:rPr>
      </w:pPr>
      <w:r w:rsidRPr="007A3600">
        <w:rPr>
          <w:rFonts w:eastAsia="Times New Roman" w:cs="Arial"/>
          <w:sz w:val="18"/>
          <w:szCs w:val="18"/>
          <w:lang w:eastAsia="en-US"/>
        </w:rPr>
        <w:t>No buildings or plant and equipment are expected to be sold or disposed of within the next 12 months.</w:t>
      </w:r>
    </w:p>
    <w:p w14:paraId="0786AE42" w14:textId="77777777" w:rsidR="0082424C" w:rsidRPr="007A3600" w:rsidRDefault="0082424C" w:rsidP="00AD3197">
      <w:pPr>
        <w:spacing w:before="120" w:after="120" w:line="240" w:lineRule="auto"/>
        <w:ind w:left="142"/>
        <w:rPr>
          <w:rFonts w:eastAsia="Times New Roman" w:cs="Arial"/>
          <w:sz w:val="18"/>
          <w:szCs w:val="18"/>
          <w:lang w:eastAsia="en-US"/>
        </w:rPr>
      </w:pPr>
      <w:r w:rsidRPr="007A3600">
        <w:rPr>
          <w:rFonts w:eastAsia="Times New Roman" w:cs="Arial"/>
          <w:sz w:val="18"/>
          <w:szCs w:val="18"/>
          <w:lang w:eastAsia="en-US"/>
        </w:rPr>
        <w:t>Leasehold improvements, buildings and plant and equipment, other than right-of-use plant and equipment assets and computing equipment, are measured at their estimated fair value in the financial statements and are classified as level 3 assets.</w:t>
      </w:r>
    </w:p>
    <w:p w14:paraId="54D7DB77" w14:textId="77777777" w:rsidR="0082424C" w:rsidRPr="007A3600" w:rsidRDefault="0082424C" w:rsidP="00AD3197">
      <w:pPr>
        <w:spacing w:before="120" w:after="120" w:line="240" w:lineRule="auto"/>
        <w:ind w:left="142"/>
        <w:rPr>
          <w:rFonts w:eastAsia="Times New Roman" w:cs="Arial"/>
          <w:sz w:val="18"/>
          <w:szCs w:val="18"/>
          <w:lang w:eastAsia="en-US"/>
        </w:rPr>
      </w:pPr>
      <w:r w:rsidRPr="007A3600">
        <w:rPr>
          <w:rFonts w:eastAsia="Times New Roman" w:cs="Arial"/>
          <w:sz w:val="18"/>
          <w:szCs w:val="18"/>
          <w:lang w:eastAsia="en-US"/>
        </w:rPr>
        <w:t xml:space="preserve">The Agency had contractual commitment for the acquisition of property, plant and equipment assets as at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pEnd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30 June</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of $53.49m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$1.83m). </w:t>
      </w:r>
    </w:p>
    <w:p w14:paraId="780B34A0" w14:textId="77777777" w:rsidR="0082424C" w:rsidRPr="007A3600" w:rsidRDefault="0082424C" w:rsidP="00AD3197">
      <w:pPr>
        <w:spacing w:before="120" w:after="120" w:line="240" w:lineRule="auto"/>
        <w:ind w:left="142"/>
        <w:rPr>
          <w:rFonts w:eastAsia="Times New Roman" w:cs="Arial"/>
          <w:sz w:val="18"/>
          <w:szCs w:val="18"/>
          <w:lang w:eastAsia="en-US"/>
        </w:rPr>
      </w:pPr>
      <w:r w:rsidRPr="007A3600">
        <w:rPr>
          <w:rFonts w:eastAsia="Times New Roman" w:cs="Arial"/>
          <w:sz w:val="18"/>
          <w:szCs w:val="18"/>
          <w:lang w:eastAsia="en-US"/>
        </w:rPr>
        <w:t xml:space="preserve">All revaluations were conducted in accordance with the revaluation policy stated in the Accounting Policy section below. The fair value measurements of the Agency’s leasehold improvements as </w:t>
      </w:r>
      <w:proofErr w:type="gramStart"/>
      <w:r w:rsidRPr="007A3600">
        <w:rPr>
          <w:rFonts w:eastAsia="Times New Roman" w:cs="Arial"/>
          <w:sz w:val="18"/>
          <w:szCs w:val="18"/>
          <w:lang w:eastAsia="en-US"/>
        </w:rPr>
        <w:t>at</w:t>
      </w:r>
      <w:proofErr w:type="gramEnd"/>
      <w:r w:rsidRPr="007A3600">
        <w:rPr>
          <w:rFonts w:eastAsia="Times New Roman" w:cs="Arial"/>
          <w:sz w:val="18"/>
          <w:szCs w:val="18"/>
          <w:lang w:eastAsia="en-US"/>
        </w:rPr>
        <w:t xml:space="preserve"> 30 June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were reassessed by Jones Lang LaSalle (JLL), independent valuers. JLL have appropriate qualifications and experience in the fair value measurement of similar assets in the Government sector. </w:t>
      </w:r>
      <w:r w:rsidRPr="007A3600">
        <w:rPr>
          <w:rFonts w:eastAsia="Times New Roman" w:cs="Arial"/>
          <w:sz w:val="18"/>
          <w:szCs w:val="18"/>
          <w:lang w:eastAsia="en-US"/>
        </w:rPr>
        <w:br w:type="page"/>
      </w:r>
    </w:p>
    <w:p w14:paraId="60EEDA81"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464174C8"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582A0867" w14:textId="77777777" w:rsidR="0082424C" w:rsidRPr="007A3600" w:rsidRDefault="0082424C" w:rsidP="00AD3197">
      <w:pPr>
        <w:spacing w:after="0" w:line="240" w:lineRule="auto"/>
        <w:rPr>
          <w:rFonts w:eastAsia="Times New Roman" w:cs="Arial"/>
          <w:sz w:val="18"/>
          <w:szCs w:val="18"/>
          <w:lang w:eastAsia="en-US"/>
        </w:rPr>
        <w:sectPr w:rsidR="0082424C" w:rsidRPr="007A3600" w:rsidSect="00650C5C">
          <w:pgSz w:w="11906" w:h="16838" w:code="9"/>
          <w:pgMar w:top="1134" w:right="1701" w:bottom="1134" w:left="1134" w:header="561" w:footer="624" w:gutter="0"/>
          <w:cols w:space="708"/>
          <w:docGrid w:linePitch="360"/>
        </w:sectPr>
      </w:pPr>
    </w:p>
    <w:p w14:paraId="5F9138E6" w14:textId="77777777" w:rsidR="0082424C" w:rsidRPr="007A3600" w:rsidRDefault="0082424C" w:rsidP="00AD3197">
      <w:pPr>
        <w:autoSpaceDE w:val="0"/>
        <w:autoSpaceDN w:val="0"/>
        <w:adjustRightInd w:val="0"/>
        <w:spacing w:before="120" w:after="120" w:line="240" w:lineRule="auto"/>
        <w:rPr>
          <w:rFonts w:eastAsia="Times New Roman" w:cs="Arial"/>
          <w:b/>
          <w:bCs/>
          <w:sz w:val="18"/>
          <w:szCs w:val="18"/>
          <w:lang w:eastAsia="en-US"/>
        </w:rPr>
      </w:pPr>
      <w:r w:rsidRPr="007A3600">
        <w:rPr>
          <w:rFonts w:eastAsia="Times New Roman" w:cs="Arial"/>
          <w:noProof/>
          <w:sz w:val="18"/>
          <w:szCs w:val="18"/>
          <w:lang w:eastAsia="en-US"/>
        </w:rPr>
        <mc:AlternateContent>
          <mc:Choice Requires="wps">
            <w:drawing>
              <wp:anchor distT="0" distB="0" distL="114300" distR="114300" simplePos="0" relativeHeight="251658241" behindDoc="0" locked="0" layoutInCell="1" allowOverlap="1" wp14:anchorId="7C6B7D87" wp14:editId="19086453">
                <wp:simplePos x="0" y="0"/>
                <wp:positionH relativeFrom="column">
                  <wp:posOffset>-49530</wp:posOffset>
                </wp:positionH>
                <wp:positionV relativeFrom="paragraph">
                  <wp:posOffset>53340</wp:posOffset>
                </wp:positionV>
                <wp:extent cx="5904000" cy="8602980"/>
                <wp:effectExtent l="0" t="0" r="20955" b="26670"/>
                <wp:wrapNone/>
                <wp:docPr id="1969232776" name="Rectangle 196923277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860298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arto="http://schemas.microsoft.com/office/word/2006/arto">
            <w:pict>
              <v:rect w14:anchorId="37B9F2D3" id="Rectangle 1969232776" o:spid="_x0000_s1026" alt="&quot;&quot;" style="position:absolute;margin-left:-3.9pt;margin-top:4.2pt;width:464.9pt;height:677.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" filled="f" strokecolor="purple"/>
            </w:pict>
          </mc:Fallback>
        </mc:AlternateContent>
      </w:r>
      <w:r w:rsidRPr="007A3600">
        <w:rPr>
          <w:rFonts w:eastAsia="Times New Roman" w:cs="Arial"/>
          <w:b/>
          <w:sz w:val="18"/>
          <w:szCs w:val="18"/>
        </w:rPr>
        <w:t>A</w:t>
      </w:r>
      <w:r w:rsidRPr="007A3600">
        <w:rPr>
          <w:rFonts w:eastAsia="Times New Roman" w:cs="Arial"/>
          <w:b/>
          <w:bCs/>
          <w:sz w:val="18"/>
          <w:szCs w:val="18"/>
          <w:lang w:eastAsia="en-US"/>
        </w:rPr>
        <w:t>ccounting Policy</w:t>
      </w:r>
    </w:p>
    <w:p w14:paraId="6140B575" w14:textId="77777777" w:rsidR="0082424C" w:rsidRPr="007A3600" w:rsidRDefault="0082424C" w:rsidP="00AD3197">
      <w:pPr>
        <w:spacing w:before="120" w:after="80" w:line="240" w:lineRule="auto"/>
        <w:jc w:val="both"/>
        <w:rPr>
          <w:rFonts w:eastAsia="Times New Roman" w:cs="Arial"/>
          <w:sz w:val="18"/>
          <w:szCs w:val="18"/>
          <w:lang w:eastAsia="en-US"/>
        </w:rPr>
      </w:pPr>
      <w:r w:rsidRPr="007A3600">
        <w:rPr>
          <w:rFonts w:eastAsia="Times New Roman" w:cs="Arial"/>
          <w:sz w:val="18"/>
          <w:szCs w:val="18"/>
          <w:lang w:eastAsia="en-US"/>
        </w:rPr>
        <w:t>Assets are recorded at cost on acquisition except as stated below. The cost of acquisition includes the fair value of assets transferred in exchange and liabilities undertaken. Non-financial assets are initially measured at their fair value plus transaction costs where appropriate.</w:t>
      </w:r>
    </w:p>
    <w:p w14:paraId="0A7E248C" w14:textId="77777777" w:rsidR="0082424C" w:rsidRPr="007A3600" w:rsidRDefault="0082424C" w:rsidP="00AD3197">
      <w:pPr>
        <w:spacing w:before="120" w:after="80" w:line="240" w:lineRule="auto"/>
        <w:jc w:val="both"/>
        <w:rPr>
          <w:rFonts w:eastAsia="Times New Roman" w:cs="Arial"/>
          <w:sz w:val="18"/>
          <w:szCs w:val="18"/>
          <w:lang w:eastAsia="en-US"/>
        </w:rPr>
      </w:pPr>
      <w:r w:rsidRPr="007A3600">
        <w:rPr>
          <w:rFonts w:eastAsia="Times New Roman" w:cs="Arial"/>
          <w:sz w:val="18"/>
          <w:szCs w:val="18"/>
          <w:lang w:eastAsia="en-US"/>
        </w:rPr>
        <w:t xml:space="preserve">Assets acquired at no cost, or for nominal consideration, are initially recognised as assets and income at their fair value at the date of acquisition. </w:t>
      </w:r>
    </w:p>
    <w:p w14:paraId="244CB693" w14:textId="77777777" w:rsidR="0082424C" w:rsidRPr="007A3600" w:rsidRDefault="0082424C" w:rsidP="00AD3197">
      <w:pPr>
        <w:spacing w:before="120" w:after="80" w:line="240" w:lineRule="auto"/>
        <w:jc w:val="both"/>
        <w:rPr>
          <w:rFonts w:eastAsia="Times New Roman" w:cs="Arial"/>
          <w:i/>
          <w:iCs/>
          <w:sz w:val="18"/>
          <w:szCs w:val="18"/>
          <w:u w:val="single"/>
        </w:rPr>
      </w:pPr>
      <w:r w:rsidRPr="007A3600">
        <w:rPr>
          <w:rFonts w:eastAsia="Times New Roman" w:cs="Arial"/>
          <w:i/>
          <w:iCs/>
          <w:sz w:val="18"/>
          <w:szCs w:val="18"/>
          <w:u w:val="single"/>
        </w:rPr>
        <w:t>Asset recognition threshold</w:t>
      </w:r>
    </w:p>
    <w:p w14:paraId="2E04E338"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Purchases</w:t>
      </w:r>
      <w:r w:rsidRPr="007A3600">
        <w:rPr>
          <w:rFonts w:eastAsia="Times New Roman" w:cs="Arial"/>
          <w:sz w:val="21"/>
          <w:szCs w:val="21"/>
          <w:lang w:eastAsia="en-US"/>
        </w:rPr>
        <w:t xml:space="preserve"> </w:t>
      </w:r>
      <w:r w:rsidRPr="007A3600">
        <w:rPr>
          <w:rFonts w:eastAsia="Times New Roman" w:cs="Arial"/>
          <w:sz w:val="18"/>
          <w:szCs w:val="18"/>
        </w:rPr>
        <w:t>of leasehold improvements, plant and equipment are recognised initially at cost in the Statement of Financial Position, except for leased Right-of-Use (ROU) assets and purchases costing less than $100,000 which are expensed in the year of acquisition (other than where they form part of a group of similar items which are significant in total). Significant in total is defined as a value equal to or greater than $100,000 for similar items acquired or expected to be acquired over the length of an acquisition project.</w:t>
      </w:r>
    </w:p>
    <w:p w14:paraId="0C8DAF91"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 xml:space="preserve">The initial cost of an asset includes an estimate of the cost of dismantling and removing the item and restoring the site on which it is located. This is particularly relevant to ‘make good’ provisions in property leases taken up by the Agency where there exists an obligation to restore the property to its original condition. </w:t>
      </w:r>
    </w:p>
    <w:p w14:paraId="32950772" w14:textId="77777777" w:rsidR="0082424C" w:rsidRPr="007A3600" w:rsidRDefault="0082424C" w:rsidP="00AD3197">
      <w:pPr>
        <w:spacing w:before="120" w:after="80" w:line="240" w:lineRule="auto"/>
        <w:jc w:val="both"/>
        <w:rPr>
          <w:rFonts w:eastAsia="Times New Roman" w:cs="Arial"/>
          <w:i/>
          <w:iCs/>
          <w:sz w:val="18"/>
          <w:szCs w:val="18"/>
          <w:u w:val="single"/>
        </w:rPr>
      </w:pPr>
      <w:r w:rsidRPr="007A3600">
        <w:rPr>
          <w:rFonts w:eastAsia="Times New Roman" w:cs="Arial"/>
          <w:i/>
          <w:iCs/>
          <w:sz w:val="18"/>
          <w:szCs w:val="18"/>
          <w:u w:val="single"/>
        </w:rPr>
        <w:t>Leased Right-of-Use Assets</w:t>
      </w:r>
    </w:p>
    <w:p w14:paraId="1A4B7BFB"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Purchases of leased ROU assets are capitalised at the commencement date of the lease and comprise the initial lease liability amount, including an estimate of any ‘make good’ provision in the lease, initial direct costs incurred when entering into the lease less any lease incentives received. These assets are accounted for by the Agency as separate asset classes to the corresponding assets owned outright but are included in the same column as where the corresponding underlying assets would be presented if they were owned.</w:t>
      </w:r>
    </w:p>
    <w:p w14:paraId="5CDFFE4F"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Following initial application of AASB 16, an impairment review is undertaken for any ROU lease asset that shows indicators of impairment and an impairment loss is recognised against any ROU lease asset that is impaired. Leased ROU assets continue to be measured at cost after initial recognition in Commonwealth Agency, General Government Sector and Whole of Government financial statements.</w:t>
      </w:r>
    </w:p>
    <w:p w14:paraId="182C0A66" w14:textId="77777777" w:rsidR="0082424C" w:rsidRPr="007A3600" w:rsidRDefault="0082424C" w:rsidP="00AD3197">
      <w:pPr>
        <w:spacing w:before="120" w:after="80" w:line="240" w:lineRule="auto"/>
        <w:jc w:val="both"/>
        <w:rPr>
          <w:rFonts w:eastAsia="Times New Roman" w:cs="Arial"/>
          <w:i/>
          <w:iCs/>
          <w:sz w:val="18"/>
          <w:szCs w:val="18"/>
          <w:u w:val="single"/>
        </w:rPr>
      </w:pPr>
      <w:r w:rsidRPr="007A3600">
        <w:rPr>
          <w:rFonts w:eastAsia="Times New Roman" w:cs="Arial"/>
          <w:i/>
          <w:iCs/>
          <w:sz w:val="18"/>
          <w:szCs w:val="18"/>
          <w:u w:val="single"/>
        </w:rPr>
        <w:t>Revaluations</w:t>
      </w:r>
    </w:p>
    <w:p w14:paraId="6C979B88"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Following initial recognition at cost, items of leasehold improvements, plant, and equipment (excluding ROU assets) are carried at fair value (or an amount not materially different from fair value) less accumulated depreciation and accumulated impairment losses. Valuations are conducted with sufficient frequency to ensure that the carrying value of items does not differ materially from their fair value at each reporting date.</w:t>
      </w:r>
      <w:r w:rsidRPr="007A3600">
        <w:rPr>
          <w:rFonts w:ascii="Times New Roman" w:eastAsia="Times New Roman" w:hAnsi="Times New Roman"/>
          <w:sz w:val="22"/>
          <w:szCs w:val="22"/>
          <w:lang w:eastAsia="en-US"/>
        </w:rPr>
        <w:t xml:space="preserve"> </w:t>
      </w:r>
      <w:r w:rsidRPr="007A3600">
        <w:rPr>
          <w:rFonts w:eastAsia="Times New Roman" w:cs="Arial"/>
          <w:sz w:val="18"/>
          <w:szCs w:val="18"/>
        </w:rPr>
        <w:t>The regularity of independent valuations depended on the volatility of movements in market values for the relevant assets.</w:t>
      </w:r>
    </w:p>
    <w:p w14:paraId="0F369E41" w14:textId="77777777" w:rsidR="0082424C" w:rsidRPr="007A3600" w:rsidRDefault="0082424C" w:rsidP="00AD3197">
      <w:pPr>
        <w:spacing w:before="240" w:after="80" w:line="240" w:lineRule="auto"/>
        <w:jc w:val="both"/>
        <w:rPr>
          <w:rFonts w:eastAsia="Times New Roman" w:cs="Arial"/>
          <w:sz w:val="18"/>
          <w:szCs w:val="18"/>
        </w:rPr>
      </w:pPr>
      <w:r w:rsidRPr="007A3600">
        <w:rPr>
          <w:rFonts w:eastAsia="Times New Roman" w:cs="Arial"/>
          <w:sz w:val="18"/>
          <w:szCs w:val="18"/>
        </w:rPr>
        <w:t xml:space="preserve">Revaluation adjustments are made on a class basis. Any revaluation increment is credited to equity under the heading of asset revaluation reserve except to the extent that it reversed a previous revaluation decrement of the same asset class that was previously recognised in the surplus/deficit. Revaluation decrements for a class of assets are recognised directly in the surplus/deficit except to the extent that they reverse a previous revaluation increment for that class. </w:t>
      </w:r>
    </w:p>
    <w:p w14:paraId="3D61E22E"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 xml:space="preserve">Any accumulated depreciation as at the revaluation date is eliminated against the gross carrying amount of the asset and the asset is restated to the revalued amount. </w:t>
      </w:r>
    </w:p>
    <w:p w14:paraId="6F2ECBE2" w14:textId="77777777" w:rsidR="0082424C" w:rsidRPr="007A3600" w:rsidRDefault="0082424C" w:rsidP="00AD3197">
      <w:pPr>
        <w:spacing w:before="120" w:after="80" w:line="240" w:lineRule="auto"/>
        <w:rPr>
          <w:rFonts w:eastAsia="Times New Roman" w:cs="Arial"/>
          <w:i/>
          <w:iCs/>
          <w:sz w:val="18"/>
          <w:szCs w:val="18"/>
          <w:u w:val="single"/>
        </w:rPr>
      </w:pPr>
      <w:r w:rsidRPr="007A3600">
        <w:rPr>
          <w:rFonts w:eastAsia="Times New Roman" w:cs="Arial"/>
          <w:i/>
          <w:iCs/>
          <w:sz w:val="18"/>
          <w:szCs w:val="18"/>
          <w:u w:val="single"/>
        </w:rPr>
        <w:t>Depreciation</w:t>
      </w:r>
    </w:p>
    <w:p w14:paraId="7150A0BF"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rPr>
      </w:pPr>
      <w:r w:rsidRPr="007A3600">
        <w:rPr>
          <w:rFonts w:eastAsia="Times New Roman" w:cs="Arial"/>
          <w:sz w:val="18"/>
          <w:szCs w:val="18"/>
          <w:lang w:eastAsia="en-US"/>
        </w:rPr>
        <w:t>Depreciable leasehold improvements, plant, and equipment assets (other than leasehold improvements under construction) are written off to their estimated residual values over their estimated useful lives using the straight-line method of depreciation. The estimated useful lives, residual values and depreciation methods are reviewed at the end of each reporting period, with the effect of any changes in estimates accounted for on a prospective basis. The table below outlines the d</w:t>
      </w:r>
      <w:r w:rsidRPr="007A3600">
        <w:rPr>
          <w:rFonts w:eastAsia="Times New Roman" w:cs="Arial"/>
          <w:sz w:val="18"/>
          <w:szCs w:val="18"/>
        </w:rPr>
        <w:t>epreciation rates applying to each class of depreciable asset based on the following useful lives:</w:t>
      </w:r>
    </w:p>
    <w:tbl>
      <w:tblPr>
        <w:tblStyle w:val="LightShading10"/>
        <w:tblW w:w="4390" w:type="dxa"/>
        <w:tblLayout w:type="fixed"/>
        <w:tblLook w:val="04A0" w:firstRow="1" w:lastRow="0" w:firstColumn="1" w:lastColumn="0" w:noHBand="0" w:noVBand="1"/>
      </w:tblPr>
      <w:tblGrid>
        <w:gridCol w:w="1543"/>
        <w:gridCol w:w="1429"/>
        <w:gridCol w:w="1418"/>
      </w:tblGrid>
      <w:tr w:rsidR="00C554AE" w:rsidRPr="007A3600" w14:paraId="6B643C53" w14:textId="77777777" w:rsidTr="009769BB">
        <w:trPr>
          <w:cnfStyle w:val="100000000000" w:firstRow="1" w:lastRow="0" w:firstColumn="0" w:lastColumn="0" w:oddVBand="0" w:evenVBand="0" w:oddHBand="0" w:evenHBand="0" w:firstRowFirstColumn="0" w:firstRowLastColumn="0" w:lastRowFirstColumn="0" w:lastRowLastColumn="0"/>
          <w:trHeight w:val="624"/>
        </w:trPr>
        <w:tc>
          <w:tcPr>
            <w:cnfStyle w:val="001000000000" w:firstRow="0" w:lastRow="0" w:firstColumn="1" w:lastColumn="0" w:oddVBand="0" w:evenVBand="0" w:oddHBand="0" w:evenHBand="0" w:firstRowFirstColumn="0" w:firstRowLastColumn="0" w:lastRowFirstColumn="0" w:lastRowLastColumn="0"/>
            <w:tcW w:w="1543" w:type="dxa"/>
            <w:tcBorders>
              <w:top w:val="single" w:sz="4" w:space="0" w:color="auto"/>
              <w:left w:val="single" w:sz="4" w:space="0" w:color="auto"/>
              <w:bottom w:val="single" w:sz="4" w:space="0" w:color="auto"/>
              <w:right w:val="single" w:sz="4" w:space="0" w:color="auto"/>
            </w:tcBorders>
          </w:tcPr>
          <w:p w14:paraId="55A88A72" w14:textId="0F74B390" w:rsidR="0082424C" w:rsidRPr="007A3600" w:rsidRDefault="005A0CC6" w:rsidP="00AD3197">
            <w:pPr>
              <w:spacing w:after="0" w:line="260" w:lineRule="atLeast"/>
              <w:rPr>
                <w:rFonts w:ascii="Arial" w:hAnsi="Arial" w:cs="Arial"/>
                <w:sz w:val="18"/>
                <w:szCs w:val="18"/>
              </w:rPr>
            </w:pPr>
            <w:r w:rsidRPr="007A3600">
              <w:rPr>
                <w:rFonts w:ascii="Arial" w:hAnsi="Arial" w:cs="Arial"/>
                <w:sz w:val="18"/>
                <w:szCs w:val="18"/>
              </w:rPr>
              <w:t>Ass</w:t>
            </w:r>
            <w:r w:rsidR="00AD73C5" w:rsidRPr="007A3600">
              <w:rPr>
                <w:rFonts w:ascii="Arial" w:hAnsi="Arial" w:cs="Arial"/>
                <w:sz w:val="18"/>
                <w:szCs w:val="18"/>
              </w:rPr>
              <w:t>et class</w:t>
            </w:r>
          </w:p>
        </w:tc>
        <w:tc>
          <w:tcPr>
            <w:tcW w:w="1429" w:type="dxa"/>
            <w:tcBorders>
              <w:top w:val="single" w:sz="4" w:space="0" w:color="auto"/>
              <w:left w:val="single" w:sz="4" w:space="0" w:color="auto"/>
              <w:bottom w:val="single" w:sz="4" w:space="0" w:color="auto"/>
              <w:right w:val="single" w:sz="4" w:space="0" w:color="auto"/>
            </w:tcBorders>
          </w:tcPr>
          <w:p w14:paraId="3DD40B7C" w14:textId="71157DCC" w:rsidR="0082424C" w:rsidRPr="007A3600" w:rsidRDefault="008A3982" w:rsidP="00AD3197">
            <w:pPr>
              <w:spacing w:after="0" w:line="260" w:lineRule="atLeast"/>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A3600">
              <w:rPr>
                <w:rFonts w:ascii="Arial" w:hAnsi="Arial" w:cs="Arial"/>
                <w:sz w:val="18"/>
                <w:szCs w:val="18"/>
              </w:rPr>
              <w:t xml:space="preserve">Useful life </w:t>
            </w:r>
            <w:r w:rsidR="0082424C" w:rsidRPr="007A3600">
              <w:rPr>
                <w:rFonts w:ascii="Arial" w:hAnsi="Arial" w:cs="Arial"/>
                <w:sz w:val="18"/>
                <w:szCs w:val="18"/>
              </w:rPr>
              <w:t>2024–25</w:t>
            </w:r>
          </w:p>
        </w:tc>
        <w:tc>
          <w:tcPr>
            <w:tcW w:w="1418" w:type="dxa"/>
            <w:tcBorders>
              <w:top w:val="single" w:sz="4" w:space="0" w:color="auto"/>
              <w:left w:val="single" w:sz="4" w:space="0" w:color="auto"/>
              <w:bottom w:val="single" w:sz="4" w:space="0" w:color="auto"/>
              <w:right w:val="single" w:sz="4" w:space="0" w:color="auto"/>
            </w:tcBorders>
          </w:tcPr>
          <w:p w14:paraId="0AC9663F" w14:textId="1C39BCF1" w:rsidR="0082424C" w:rsidRPr="007A3600" w:rsidRDefault="008A3982" w:rsidP="00AD3197">
            <w:pPr>
              <w:spacing w:after="0" w:line="260" w:lineRule="atLeast"/>
              <w:cnfStyle w:val="100000000000" w:firstRow="1" w:lastRow="0" w:firstColumn="0" w:lastColumn="0" w:oddVBand="0" w:evenVBand="0" w:oddHBand="0" w:evenHBand="0" w:firstRowFirstColumn="0" w:firstRowLastColumn="0" w:lastRowFirstColumn="0" w:lastRowLastColumn="0"/>
              <w:rPr>
                <w:rFonts w:ascii="Arial" w:hAnsi="Arial" w:cs="Arial"/>
                <w:sz w:val="18"/>
                <w:szCs w:val="18"/>
              </w:rPr>
            </w:pPr>
            <w:r w:rsidRPr="007A3600">
              <w:rPr>
                <w:rFonts w:ascii="Arial" w:hAnsi="Arial" w:cs="Arial"/>
                <w:sz w:val="18"/>
                <w:szCs w:val="18"/>
              </w:rPr>
              <w:t xml:space="preserve">Useful life </w:t>
            </w:r>
            <w:r w:rsidR="0082424C" w:rsidRPr="007A3600">
              <w:rPr>
                <w:rFonts w:ascii="Arial" w:hAnsi="Arial" w:cs="Arial"/>
                <w:sz w:val="18"/>
                <w:szCs w:val="18"/>
              </w:rPr>
              <w:t>2023–24</w:t>
            </w:r>
          </w:p>
        </w:tc>
      </w:tr>
      <w:tr w:rsidR="0026718D" w:rsidRPr="007A3600" w14:paraId="2F5E0576" w14:textId="77777777" w:rsidTr="009769BB">
        <w:trPr>
          <w:cnfStyle w:val="000000100000" w:firstRow="0" w:lastRow="0" w:firstColumn="0" w:lastColumn="0" w:oddVBand="0" w:evenVBand="0" w:oddHBand="1" w:evenHBand="0" w:firstRowFirstColumn="0" w:firstRowLastColumn="0" w:lastRowFirstColumn="0" w:lastRowLastColumn="0"/>
          <w:trHeight w:val="236"/>
        </w:trPr>
        <w:tc>
          <w:tcPr>
            <w:cnfStyle w:val="001000000000" w:firstRow="0" w:lastRow="0" w:firstColumn="1" w:lastColumn="0" w:oddVBand="0" w:evenVBand="0" w:oddHBand="0" w:evenHBand="0" w:firstRowFirstColumn="0" w:firstRowLastColumn="0" w:lastRowFirstColumn="0" w:lastRowLastColumn="0"/>
            <w:tcW w:w="1543" w:type="dxa"/>
            <w:tcBorders>
              <w:top w:val="single" w:sz="4" w:space="0" w:color="auto"/>
              <w:left w:val="single" w:sz="4" w:space="0" w:color="auto"/>
              <w:bottom w:val="single" w:sz="4" w:space="0" w:color="auto"/>
              <w:right w:val="single" w:sz="4" w:space="0" w:color="auto"/>
            </w:tcBorders>
          </w:tcPr>
          <w:p w14:paraId="7F6B3A41" w14:textId="77777777" w:rsidR="0082424C" w:rsidRPr="007A3600" w:rsidRDefault="0082424C" w:rsidP="00AD3197">
            <w:pPr>
              <w:spacing w:after="120" w:line="260" w:lineRule="atLeast"/>
              <w:rPr>
                <w:rFonts w:ascii="Arial" w:hAnsi="Arial" w:cs="Arial"/>
                <w:sz w:val="18"/>
                <w:szCs w:val="18"/>
              </w:rPr>
            </w:pPr>
            <w:r w:rsidRPr="007A3600">
              <w:rPr>
                <w:rFonts w:ascii="Arial" w:hAnsi="Arial" w:cs="Arial"/>
                <w:sz w:val="18"/>
                <w:szCs w:val="18"/>
              </w:rPr>
              <w:t>Plant and equipment</w:t>
            </w:r>
          </w:p>
        </w:tc>
        <w:tc>
          <w:tcPr>
            <w:tcW w:w="1429" w:type="dxa"/>
            <w:tcBorders>
              <w:top w:val="single" w:sz="4" w:space="0" w:color="auto"/>
              <w:left w:val="single" w:sz="4" w:space="0" w:color="auto"/>
              <w:bottom w:val="single" w:sz="4" w:space="0" w:color="auto"/>
              <w:right w:val="single" w:sz="4" w:space="0" w:color="auto"/>
            </w:tcBorders>
          </w:tcPr>
          <w:p w14:paraId="4FA6C46D" w14:textId="77777777" w:rsidR="0082424C" w:rsidRPr="007A3600" w:rsidRDefault="0082424C" w:rsidP="00AD3197">
            <w:pPr>
              <w:spacing w:after="12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b/>
                <w:bCs/>
                <w:sz w:val="18"/>
                <w:szCs w:val="18"/>
              </w:rPr>
            </w:pPr>
            <w:r w:rsidRPr="007A3600">
              <w:rPr>
                <w:rFonts w:ascii="Arial" w:hAnsi="Arial" w:cs="Arial"/>
                <w:b/>
                <w:bCs/>
                <w:sz w:val="18"/>
                <w:szCs w:val="18"/>
              </w:rPr>
              <w:t>3 to 10 years</w:t>
            </w:r>
          </w:p>
        </w:tc>
        <w:tc>
          <w:tcPr>
            <w:tcW w:w="1418" w:type="dxa"/>
            <w:tcBorders>
              <w:top w:val="single" w:sz="4" w:space="0" w:color="auto"/>
              <w:left w:val="single" w:sz="4" w:space="0" w:color="auto"/>
              <w:bottom w:val="single" w:sz="4" w:space="0" w:color="auto"/>
              <w:right w:val="single" w:sz="4" w:space="0" w:color="auto"/>
            </w:tcBorders>
          </w:tcPr>
          <w:p w14:paraId="4BCA6A54" w14:textId="77777777" w:rsidR="0082424C" w:rsidRPr="007A3600" w:rsidRDefault="0082424C" w:rsidP="00AD3197">
            <w:pPr>
              <w:spacing w:after="12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bCs/>
                <w:sz w:val="18"/>
                <w:szCs w:val="18"/>
              </w:rPr>
            </w:pPr>
            <w:r w:rsidRPr="007A3600">
              <w:rPr>
                <w:rFonts w:ascii="Arial" w:hAnsi="Arial" w:cs="Arial"/>
                <w:bCs/>
                <w:sz w:val="18"/>
                <w:szCs w:val="18"/>
              </w:rPr>
              <w:t>3 to 10 years</w:t>
            </w:r>
          </w:p>
        </w:tc>
      </w:tr>
      <w:tr w:rsidR="00395E37" w:rsidRPr="007A3600" w14:paraId="2806CC8B" w14:textId="77777777" w:rsidTr="009769BB">
        <w:trPr>
          <w:trHeight w:val="397"/>
        </w:trPr>
        <w:tc>
          <w:tcPr>
            <w:cnfStyle w:val="001000000000" w:firstRow="0" w:lastRow="0" w:firstColumn="1" w:lastColumn="0" w:oddVBand="0" w:evenVBand="0" w:oddHBand="0" w:evenHBand="0" w:firstRowFirstColumn="0" w:firstRowLastColumn="0" w:lastRowFirstColumn="0" w:lastRowLastColumn="0"/>
            <w:tcW w:w="1543" w:type="dxa"/>
            <w:tcBorders>
              <w:top w:val="single" w:sz="4" w:space="0" w:color="auto"/>
              <w:left w:val="single" w:sz="4" w:space="0" w:color="auto"/>
              <w:bottom w:val="single" w:sz="4" w:space="0" w:color="auto"/>
              <w:right w:val="single" w:sz="4" w:space="0" w:color="auto"/>
            </w:tcBorders>
          </w:tcPr>
          <w:p w14:paraId="45045DC1" w14:textId="77777777" w:rsidR="0082424C" w:rsidRPr="007A3600" w:rsidRDefault="0082424C" w:rsidP="00AD3197">
            <w:pPr>
              <w:spacing w:after="0" w:line="260" w:lineRule="atLeast"/>
              <w:rPr>
                <w:rFonts w:ascii="Arial" w:hAnsi="Arial" w:cs="Arial"/>
                <w:sz w:val="18"/>
                <w:szCs w:val="18"/>
              </w:rPr>
            </w:pPr>
            <w:r w:rsidRPr="007A3600">
              <w:rPr>
                <w:rFonts w:ascii="Arial" w:hAnsi="Arial" w:cs="Arial"/>
                <w:sz w:val="18"/>
                <w:szCs w:val="18"/>
              </w:rPr>
              <w:t>Buildings</w:t>
            </w:r>
          </w:p>
        </w:tc>
        <w:tc>
          <w:tcPr>
            <w:tcW w:w="1429" w:type="dxa"/>
            <w:tcBorders>
              <w:top w:val="single" w:sz="4" w:space="0" w:color="auto"/>
              <w:left w:val="single" w:sz="4" w:space="0" w:color="auto"/>
              <w:bottom w:val="single" w:sz="4" w:space="0" w:color="auto"/>
              <w:right w:val="single" w:sz="4" w:space="0" w:color="auto"/>
            </w:tcBorders>
          </w:tcPr>
          <w:p w14:paraId="765EF314" w14:textId="7EB4F94F" w:rsidR="0082424C" w:rsidRPr="007A3600" w:rsidRDefault="0082424C" w:rsidP="00AD3197">
            <w:pPr>
              <w:autoSpaceDE w:val="0"/>
              <w:autoSpaceDN w:val="0"/>
              <w:adjustRightInd w:val="0"/>
              <w:spacing w:after="0" w:line="26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sz w:val="18"/>
                <w:szCs w:val="18"/>
              </w:rPr>
            </w:pPr>
            <w:r w:rsidRPr="007A3600">
              <w:rPr>
                <w:rFonts w:ascii="Arial" w:hAnsi="Arial" w:cs="Arial"/>
                <w:b/>
                <w:bCs/>
                <w:sz w:val="18"/>
                <w:szCs w:val="18"/>
              </w:rPr>
              <w:t>Term of lease</w:t>
            </w:r>
          </w:p>
        </w:tc>
        <w:tc>
          <w:tcPr>
            <w:tcW w:w="1418" w:type="dxa"/>
            <w:tcBorders>
              <w:top w:val="single" w:sz="4" w:space="0" w:color="auto"/>
              <w:left w:val="single" w:sz="4" w:space="0" w:color="auto"/>
              <w:bottom w:val="single" w:sz="4" w:space="0" w:color="auto"/>
              <w:right w:val="single" w:sz="4" w:space="0" w:color="auto"/>
            </w:tcBorders>
          </w:tcPr>
          <w:p w14:paraId="33A04F16" w14:textId="77777777" w:rsidR="0082424C" w:rsidRPr="007A3600" w:rsidRDefault="0082424C" w:rsidP="00AD3197">
            <w:pPr>
              <w:autoSpaceDE w:val="0"/>
              <w:autoSpaceDN w:val="0"/>
              <w:adjustRightInd w:val="0"/>
              <w:spacing w:after="0" w:line="260" w:lineRule="atLeast"/>
              <w:contextualSpacing/>
              <w:cnfStyle w:val="000000000000" w:firstRow="0" w:lastRow="0" w:firstColumn="0" w:lastColumn="0" w:oddVBand="0" w:evenVBand="0" w:oddHBand="0" w:evenHBand="0" w:firstRowFirstColumn="0" w:firstRowLastColumn="0" w:lastRowFirstColumn="0" w:lastRowLastColumn="0"/>
              <w:rPr>
                <w:rFonts w:ascii="Arial" w:hAnsi="Arial" w:cs="Arial"/>
                <w:bCs/>
                <w:sz w:val="18"/>
                <w:szCs w:val="18"/>
              </w:rPr>
            </w:pPr>
            <w:r w:rsidRPr="007A3600">
              <w:rPr>
                <w:rFonts w:ascii="Arial" w:hAnsi="Arial" w:cs="Arial"/>
                <w:bCs/>
                <w:sz w:val="18"/>
                <w:szCs w:val="18"/>
              </w:rPr>
              <w:t>Term of lease</w:t>
            </w:r>
          </w:p>
        </w:tc>
      </w:tr>
    </w:tbl>
    <w:p w14:paraId="27E1CA43"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The depreciation rates for ROU assets are based on the life of the lease term, including options to extend where it is expected that these will be exercised.</w:t>
      </w:r>
    </w:p>
    <w:p w14:paraId="1C19370C" w14:textId="77777777" w:rsidR="0082424C" w:rsidRPr="007A3600" w:rsidRDefault="0082424C" w:rsidP="00AD3197">
      <w:pPr>
        <w:spacing w:before="120" w:after="120" w:line="240" w:lineRule="auto"/>
        <w:rPr>
          <w:rFonts w:eastAsia="Times New Roman" w:cs="Arial"/>
          <w:i/>
          <w:iCs/>
          <w:sz w:val="18"/>
          <w:szCs w:val="18"/>
          <w:u w:val="single"/>
        </w:rPr>
      </w:pPr>
      <w:r w:rsidRPr="007A3600">
        <w:rPr>
          <w:rFonts w:eastAsia="Times New Roman" w:cs="Arial"/>
          <w:i/>
          <w:iCs/>
          <w:sz w:val="18"/>
          <w:szCs w:val="18"/>
          <w:u w:val="single"/>
        </w:rPr>
        <w:t>Impairment</w:t>
      </w:r>
    </w:p>
    <w:p w14:paraId="0E617E83" w14:textId="77777777" w:rsidR="0082424C" w:rsidRPr="007A3600" w:rsidRDefault="0082424C" w:rsidP="00AD3197">
      <w:pPr>
        <w:spacing w:before="120" w:after="120" w:line="240" w:lineRule="auto"/>
        <w:jc w:val="both"/>
        <w:rPr>
          <w:rFonts w:eastAsia="Times New Roman" w:cs="Arial"/>
          <w:sz w:val="18"/>
          <w:szCs w:val="18"/>
        </w:rPr>
        <w:sectPr w:rsidR="0082424C" w:rsidRPr="007A3600" w:rsidSect="00EC4D10">
          <w:type w:val="continuous"/>
          <w:pgSz w:w="11906" w:h="16838" w:code="9"/>
          <w:pgMar w:top="1134" w:right="1701" w:bottom="1134" w:left="1134" w:header="958" w:footer="737" w:gutter="0"/>
          <w:cols w:num="2" w:space="284"/>
          <w:docGrid w:linePitch="360"/>
        </w:sectPr>
      </w:pPr>
      <w:r w:rsidRPr="007A3600">
        <w:rPr>
          <w:rFonts w:eastAsia="Times New Roman" w:cs="Arial"/>
          <w:sz w:val="18"/>
          <w:szCs w:val="18"/>
        </w:rPr>
        <w:t xml:space="preserve">All assets are assessed for impairment annually. Where indications of impairment exist, the asset’s recoverable amount is estimated, and an impairment adjustment made if the asset’s recoverable amount is less than its carrying amount. The recoverable amount of an asset is the higher of its fair value less costs of disposal and its value in use. Value in use is the present value of the future cash flows expected to be derived from the asset. Where the future economic benefit of an asset is not primarily dependent on the asset’s ability to generate future cash flows, and the asset would be replaced if the Agency were deprived of the asset, its value in use is taken to be its depreciated replacement cost. </w:t>
      </w:r>
    </w:p>
    <w:p w14:paraId="4D3F0F14"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0732418B"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noProof/>
          <w:sz w:val="18"/>
          <w:szCs w:val="18"/>
          <w:lang w:eastAsia="en-US"/>
        </w:rPr>
        <mc:AlternateContent>
          <mc:Choice Requires="wps">
            <w:drawing>
              <wp:anchor distT="0" distB="0" distL="114300" distR="114300" simplePos="0" relativeHeight="251658242" behindDoc="0" locked="0" layoutInCell="1" allowOverlap="1" wp14:anchorId="32DB1F2C" wp14:editId="3E8BD381">
                <wp:simplePos x="0" y="0"/>
                <wp:positionH relativeFrom="margin">
                  <wp:posOffset>-64770</wp:posOffset>
                </wp:positionH>
                <wp:positionV relativeFrom="paragraph">
                  <wp:posOffset>224790</wp:posOffset>
                </wp:positionV>
                <wp:extent cx="5904000" cy="5318760"/>
                <wp:effectExtent l="0" t="0" r="20955" b="15240"/>
                <wp:wrapNone/>
                <wp:docPr id="3" name="Rectangl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04000" cy="5318760"/>
                        </a:xfrm>
                        <a:prstGeom prst="rect">
                          <a:avLst/>
                        </a:prstGeom>
                        <a:noFill/>
                        <a:ln w="9525">
                          <a:solidFill>
                            <a:srgbClr val="8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arto="http://schemas.microsoft.com/office/word/2006/arto">
            <w:pict>
              <v:rect w14:anchorId="6C0C2538" id="Rectangle 3" o:spid="_x0000_s1026" alt="&quot;&quot;" style="position:absolute;margin-left:-5.1pt;margin-top:17.7pt;width:464.9pt;height:418.8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" filled="f" strokecolor="purple">
                <w10:wrap anchorx="margin"/>
              </v:rect>
            </w:pict>
          </mc:Fallback>
        </mc:AlternateContent>
      </w:r>
      <w:r w:rsidRPr="007A3600">
        <w:rPr>
          <w:rFonts w:eastAsia="Times New Roman" w:cs="Arial"/>
          <w:b/>
          <w:lang w:eastAsia="en-US"/>
        </w:rPr>
        <w:t>NOTES TO AND FORMING PART OF THE FINANCIAL STATEMENTS</w:t>
      </w:r>
    </w:p>
    <w:p w14:paraId="2E092BB8" w14:textId="77777777" w:rsidR="0082424C" w:rsidRPr="007A3600" w:rsidRDefault="0082424C" w:rsidP="00AD3197">
      <w:pPr>
        <w:spacing w:before="120" w:after="120" w:line="240" w:lineRule="auto"/>
        <w:jc w:val="both"/>
        <w:rPr>
          <w:rFonts w:eastAsia="Times New Roman" w:cs="Arial"/>
          <w:i/>
          <w:iCs/>
          <w:sz w:val="18"/>
          <w:szCs w:val="18"/>
          <w:u w:val="single"/>
        </w:rPr>
        <w:sectPr w:rsidR="0082424C" w:rsidRPr="007A3600" w:rsidSect="00650C5C">
          <w:pgSz w:w="11906" w:h="16838" w:code="9"/>
          <w:pgMar w:top="1134" w:right="1701" w:bottom="1134" w:left="1134" w:header="561" w:footer="737" w:gutter="0"/>
          <w:cols w:space="708"/>
          <w:docGrid w:linePitch="360"/>
        </w:sectPr>
      </w:pPr>
    </w:p>
    <w:p w14:paraId="30DEEA7E" w14:textId="77777777" w:rsidR="0082424C" w:rsidRPr="007A3600" w:rsidRDefault="0082424C" w:rsidP="00AD3197">
      <w:pPr>
        <w:spacing w:before="240" w:after="80" w:line="240" w:lineRule="auto"/>
        <w:jc w:val="both"/>
        <w:rPr>
          <w:rFonts w:eastAsia="Times New Roman" w:cs="Arial"/>
          <w:i/>
          <w:iCs/>
          <w:sz w:val="18"/>
          <w:szCs w:val="18"/>
          <w:u w:val="single"/>
        </w:rPr>
      </w:pPr>
      <w:r w:rsidRPr="007A3600">
        <w:rPr>
          <w:rFonts w:eastAsia="Times New Roman" w:cs="Arial"/>
          <w:i/>
          <w:iCs/>
          <w:sz w:val="18"/>
          <w:szCs w:val="18"/>
          <w:u w:val="single"/>
        </w:rPr>
        <w:t>Fair Value</w:t>
      </w:r>
    </w:p>
    <w:p w14:paraId="72D6A389" w14:textId="77777777" w:rsidR="0082424C" w:rsidRPr="007A3600" w:rsidRDefault="0082424C" w:rsidP="00AD3197">
      <w:pPr>
        <w:spacing w:before="120" w:after="80" w:line="240" w:lineRule="auto"/>
        <w:jc w:val="both"/>
        <w:rPr>
          <w:rFonts w:eastAsia="Times New Roman" w:cs="Arial"/>
          <w:iCs/>
          <w:sz w:val="18"/>
          <w:szCs w:val="18"/>
        </w:rPr>
      </w:pPr>
      <w:r w:rsidRPr="007A3600">
        <w:rPr>
          <w:rFonts w:eastAsia="Times New Roman" w:cs="Arial"/>
          <w:iCs/>
          <w:sz w:val="18"/>
          <w:szCs w:val="18"/>
        </w:rPr>
        <w:t>All leasehold improvements and plant and equipment are measured at their estimated fair value in the Statement of Financial Position. All leasehold improvements and plant and equipment, other than ROU plant and equipment and computing equipment, held by the Agency are categorised under Level 3 in accordance with the hierarchy listed in AASB 13.</w:t>
      </w:r>
    </w:p>
    <w:p w14:paraId="2F4CAEB7" w14:textId="77777777" w:rsidR="0082424C" w:rsidRPr="007A3600" w:rsidRDefault="0082424C" w:rsidP="00AD3197">
      <w:pPr>
        <w:spacing w:before="120" w:after="80" w:line="240" w:lineRule="auto"/>
        <w:jc w:val="both"/>
        <w:rPr>
          <w:rFonts w:eastAsia="Times New Roman" w:cs="Arial"/>
          <w:iCs/>
          <w:sz w:val="18"/>
          <w:szCs w:val="18"/>
        </w:rPr>
      </w:pPr>
      <w:r w:rsidRPr="007A3600">
        <w:rPr>
          <w:rFonts w:eastAsia="Times New Roman" w:cs="Arial"/>
          <w:iCs/>
          <w:sz w:val="18"/>
          <w:szCs w:val="18"/>
        </w:rPr>
        <w:t>Level 3 measurements use inputs to estimate fair value where there are no observable market prices for the assets being valued. The future economic benefits of the Agency’s leasehold improvements and plant and equipment are not primarily dependent on their ability to generate cash flows. The Agency has not disclosed quantitative information about the significant unobservable inputs for the level 3 measurements in these classes.</w:t>
      </w:r>
    </w:p>
    <w:p w14:paraId="2BD76458" w14:textId="77777777" w:rsidR="0082424C" w:rsidRPr="007A3600" w:rsidRDefault="0082424C" w:rsidP="00AD3197">
      <w:pPr>
        <w:spacing w:before="120" w:after="80" w:line="240" w:lineRule="auto"/>
        <w:jc w:val="both"/>
        <w:rPr>
          <w:rFonts w:eastAsia="Times New Roman" w:cs="Arial"/>
          <w:iCs/>
          <w:sz w:val="18"/>
          <w:szCs w:val="18"/>
        </w:rPr>
      </w:pPr>
      <w:r w:rsidRPr="007A3600">
        <w:rPr>
          <w:rFonts w:eastAsia="Times New Roman" w:cs="Arial"/>
          <w:sz w:val="18"/>
          <w:szCs w:val="18"/>
        </w:rPr>
        <w:t xml:space="preserve">Computing equipment are categorised under level 1 </w:t>
      </w:r>
      <w:r w:rsidRPr="007A3600">
        <w:rPr>
          <w:rFonts w:eastAsia="Times New Roman" w:cs="Arial"/>
          <w:iCs/>
          <w:sz w:val="18"/>
          <w:szCs w:val="18"/>
        </w:rPr>
        <w:t>in accordance with the hierarchy listed in AASB 13.</w:t>
      </w:r>
    </w:p>
    <w:p w14:paraId="013150D9" w14:textId="77777777" w:rsidR="0082424C" w:rsidRPr="007A3600" w:rsidRDefault="0082424C" w:rsidP="00AD3197">
      <w:pPr>
        <w:spacing w:before="120" w:after="80" w:line="240" w:lineRule="auto"/>
        <w:jc w:val="both"/>
        <w:rPr>
          <w:rFonts w:eastAsia="Times New Roman" w:cs="Arial"/>
          <w:sz w:val="18"/>
          <w:szCs w:val="18"/>
        </w:rPr>
      </w:pPr>
      <w:r w:rsidRPr="007A3600">
        <w:rPr>
          <w:rFonts w:eastAsia="Times New Roman" w:cs="Arial"/>
          <w:sz w:val="18"/>
          <w:szCs w:val="18"/>
        </w:rPr>
        <w:t>Level 1 measurements use quoted prices (unadjusted) in active markets for identical assets or liabilities that the entity can access at the measurement date.</w:t>
      </w:r>
    </w:p>
    <w:p w14:paraId="5BF7563E" w14:textId="77777777" w:rsidR="0082424C" w:rsidRPr="007A3600" w:rsidRDefault="0082424C" w:rsidP="00AD3197">
      <w:pPr>
        <w:spacing w:before="120" w:after="80" w:line="240" w:lineRule="auto"/>
        <w:jc w:val="both"/>
        <w:rPr>
          <w:rFonts w:eastAsia="Times New Roman" w:cs="Arial"/>
          <w:i/>
          <w:iCs/>
          <w:sz w:val="18"/>
          <w:szCs w:val="18"/>
          <w:u w:val="single"/>
        </w:rPr>
      </w:pPr>
      <w:r w:rsidRPr="007A3600">
        <w:rPr>
          <w:rFonts w:eastAsia="Times New Roman" w:cs="Arial"/>
          <w:i/>
          <w:iCs/>
          <w:sz w:val="18"/>
          <w:szCs w:val="18"/>
          <w:u w:val="single"/>
        </w:rPr>
        <w:t>De-recognition</w:t>
      </w:r>
    </w:p>
    <w:p w14:paraId="3AB47851"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lang w:eastAsia="en-US"/>
        </w:rPr>
      </w:pPr>
      <w:r w:rsidRPr="007A3600">
        <w:rPr>
          <w:rFonts w:eastAsia="Times New Roman" w:cs="Arial"/>
          <w:sz w:val="18"/>
          <w:szCs w:val="18"/>
          <w:lang w:eastAsia="en-US"/>
        </w:rPr>
        <w:t xml:space="preserve">An item of buildings or plant and equipment is derecognised upon disposal or when no further future economic benefits are expected from its use or its disposal. </w:t>
      </w:r>
    </w:p>
    <w:p w14:paraId="3878A108"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lang w:eastAsia="en-US"/>
        </w:rPr>
      </w:pPr>
      <w:r w:rsidRPr="007A3600">
        <w:rPr>
          <w:rFonts w:eastAsia="Times New Roman" w:cs="Arial"/>
          <w:sz w:val="18"/>
          <w:szCs w:val="18"/>
          <w:lang w:eastAsia="en-US"/>
        </w:rPr>
        <w:t xml:space="preserve">On de-recognition of a leased ROU asset, the Agency recognises any receipts on closure of the lease as a gain (unless </w:t>
      </w:r>
      <w:r w:rsidRPr="007A3600">
        <w:rPr>
          <w:rFonts w:eastAsia="Times New Roman" w:cs="Arial"/>
          <w:i/>
          <w:iCs/>
          <w:sz w:val="18"/>
          <w:szCs w:val="18"/>
          <w:lang w:eastAsia="en-US"/>
        </w:rPr>
        <w:t xml:space="preserve">AASB 16 </w:t>
      </w:r>
      <w:r w:rsidRPr="007A3600">
        <w:rPr>
          <w:rFonts w:eastAsia="Times New Roman" w:cs="Arial"/>
          <w:sz w:val="18"/>
          <w:szCs w:val="18"/>
          <w:lang w:eastAsia="en-US"/>
        </w:rPr>
        <w:t>requires otherwise on a sale and leaseback).</w:t>
      </w:r>
    </w:p>
    <w:p w14:paraId="06C66F13" w14:textId="77777777" w:rsidR="0082424C" w:rsidRPr="007A3600" w:rsidRDefault="0082424C" w:rsidP="00AD3197">
      <w:pPr>
        <w:autoSpaceDE w:val="0"/>
        <w:autoSpaceDN w:val="0"/>
        <w:adjustRightInd w:val="0"/>
        <w:spacing w:before="240" w:after="80" w:line="240" w:lineRule="auto"/>
        <w:jc w:val="both"/>
        <w:rPr>
          <w:rFonts w:eastAsia="Times New Roman" w:cs="Arial"/>
          <w:b/>
          <w:bCs/>
          <w:sz w:val="18"/>
          <w:szCs w:val="18"/>
          <w:lang w:eastAsia="en-US"/>
        </w:rPr>
      </w:pPr>
      <w:r w:rsidRPr="007A3600">
        <w:rPr>
          <w:rFonts w:eastAsia="Times New Roman" w:cs="Arial"/>
          <w:b/>
          <w:bCs/>
          <w:sz w:val="18"/>
          <w:szCs w:val="18"/>
          <w:lang w:eastAsia="en-US"/>
        </w:rPr>
        <w:br w:type="column"/>
      </w:r>
      <w:r w:rsidRPr="007A3600">
        <w:rPr>
          <w:rFonts w:eastAsia="Times New Roman" w:cs="Arial"/>
          <w:b/>
          <w:bCs/>
          <w:sz w:val="18"/>
          <w:szCs w:val="18"/>
          <w:lang w:eastAsia="en-US"/>
        </w:rPr>
        <w:t>Key judgements and estimates</w:t>
      </w:r>
    </w:p>
    <w:p w14:paraId="059FE41A"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rPr>
      </w:pPr>
      <w:r w:rsidRPr="007A3600">
        <w:rPr>
          <w:rFonts w:eastAsia="Times New Roman" w:cs="Arial"/>
          <w:sz w:val="18"/>
          <w:szCs w:val="18"/>
        </w:rPr>
        <w:t>The estimated fair value of leasehold improvements and plant and equipment (excluding ROU assets) is determined annually by an independent valuer using the Cost Approach as these assets do not generally transact with enough frequency or transparency to develop objective opinions of value. The valuation result provided by the independent valuer is subject to management assessment.</w:t>
      </w:r>
    </w:p>
    <w:p w14:paraId="61FE75C3"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rPr>
      </w:pPr>
      <w:r w:rsidRPr="007A3600">
        <w:rPr>
          <w:rFonts w:eastAsia="Times New Roman" w:cs="Arial"/>
          <w:sz w:val="18"/>
          <w:szCs w:val="18"/>
        </w:rPr>
        <w:t>The Cost Approach seeks to estimate the amount required to replace the service capacity of an asset at its highest and best use and is determined as either the Replacement Cost of New Assets (RCN) or the Depreciated Replacement Cost (DRC).</w:t>
      </w:r>
    </w:p>
    <w:p w14:paraId="79F89C24" w14:textId="77777777" w:rsidR="0082424C" w:rsidRPr="007A3600" w:rsidRDefault="0082424C" w:rsidP="00AD3197">
      <w:pPr>
        <w:autoSpaceDE w:val="0"/>
        <w:autoSpaceDN w:val="0"/>
        <w:adjustRightInd w:val="0"/>
        <w:spacing w:before="120" w:after="80" w:line="240" w:lineRule="auto"/>
        <w:jc w:val="both"/>
        <w:rPr>
          <w:rFonts w:eastAsia="Times New Roman" w:cs="Arial"/>
          <w:sz w:val="18"/>
          <w:szCs w:val="18"/>
        </w:rPr>
      </w:pPr>
      <w:r w:rsidRPr="007A3600">
        <w:rPr>
          <w:rFonts w:eastAsia="Times New Roman" w:cs="Arial"/>
          <w:sz w:val="18"/>
          <w:szCs w:val="18"/>
        </w:rPr>
        <w:t>Assets Under Construction are valued as RCN determined as the amount a market participant would pay to acquire or construct a new substitute asset of comparable utility and relevant to the asset’s location. Inputs including current local market prices for asset components such as materials and labour costs are utilised in determining RCN.</w:t>
      </w:r>
    </w:p>
    <w:p w14:paraId="6C90B4BA" w14:textId="72F6DAB0" w:rsidR="005C5573" w:rsidRDefault="0082424C" w:rsidP="00AD3197">
      <w:pPr>
        <w:autoSpaceDE w:val="0"/>
        <w:autoSpaceDN w:val="0"/>
        <w:adjustRightInd w:val="0"/>
        <w:spacing w:before="120" w:after="80" w:line="240" w:lineRule="auto"/>
        <w:jc w:val="both"/>
        <w:rPr>
          <w:rFonts w:eastAsia="Times New Roman" w:cs="Arial"/>
          <w:sz w:val="18"/>
          <w:szCs w:val="18"/>
        </w:rPr>
        <w:sectPr w:rsidR="005C5573" w:rsidSect="005C5573">
          <w:type w:val="continuous"/>
          <w:pgSz w:w="11906" w:h="16838" w:code="9"/>
          <w:pgMar w:top="1134" w:right="1701" w:bottom="1134" w:left="1134" w:header="958" w:footer="737" w:gutter="0"/>
          <w:cols w:num="2" w:space="284"/>
          <w:docGrid w:linePitch="360"/>
        </w:sectPr>
      </w:pPr>
      <w:r w:rsidRPr="007A3600">
        <w:rPr>
          <w:rFonts w:eastAsia="Times New Roman" w:cs="Arial"/>
          <w:sz w:val="18"/>
          <w:szCs w:val="18"/>
        </w:rPr>
        <w:t>Leasehold improvements, plant, and equipment (excluding ROU assets) are valued using DRC. Under DRC the replacement costs of new assets are adjusted for physical depreciation and obsolescence such as physical deterioration, functional or technical obsolescence and conditions of the economic environment specific to the asset. For leasehold improvements, the consumed economic benefit/asset obsolescence deduction is generally determined based on the term of the associated lease. All useful life inputs are based on the lower of the tenancy lease term or economic life of the fit-out. If a fit-out installation date has occurred at a time other than the lease commencement date, the asset’s useful life will be based on the lesser of the remaining tenancy lease term or economic life of the</w:t>
      </w:r>
      <w:r w:rsidR="005C5573" w:rsidRPr="005C5573">
        <w:rPr>
          <w:rFonts w:eastAsia="Times New Roman" w:cs="Arial"/>
          <w:sz w:val="18"/>
          <w:szCs w:val="18"/>
        </w:rPr>
        <w:t xml:space="preserve"> </w:t>
      </w:r>
      <w:r w:rsidR="005C5573" w:rsidRPr="007A3600">
        <w:rPr>
          <w:rFonts w:eastAsia="Times New Roman" w:cs="Arial"/>
          <w:sz w:val="18"/>
          <w:szCs w:val="18"/>
        </w:rPr>
        <w:t>fit-out</w:t>
      </w:r>
      <w:r w:rsidR="005C5573">
        <w:rPr>
          <w:rFonts w:eastAsia="Times New Roman" w:cs="Arial"/>
          <w:sz w:val="18"/>
          <w:szCs w:val="18"/>
        </w:rPr>
        <w:t>.</w:t>
      </w:r>
    </w:p>
    <w:p w14:paraId="60EEB436" w14:textId="77777777" w:rsidR="0082424C" w:rsidRPr="007A3600" w:rsidRDefault="0082424C" w:rsidP="00AD3197">
      <w:pPr>
        <w:spacing w:after="0"/>
        <w:rPr>
          <w:sz w:val="18"/>
          <w:szCs w:val="18"/>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303893E6" w14:textId="77777777">
        <w:trPr>
          <w:trHeight w:val="260"/>
        </w:trPr>
        <w:tc>
          <w:tcPr>
            <w:tcW w:w="6365" w:type="dxa"/>
            <w:tcBorders>
              <w:top w:val="nil"/>
              <w:left w:val="nil"/>
              <w:bottom w:val="nil"/>
              <w:right w:val="nil"/>
            </w:tcBorders>
            <w:shd w:val="clear" w:color="FFFFFF" w:fill="FFFFFF"/>
            <w:noWrap/>
            <w:vAlign w:val="bottom"/>
            <w:hideMark/>
          </w:tcPr>
          <w:p w14:paraId="408454C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2FB55C5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5BA44DB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9467D0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4F865687" w14:textId="77777777">
        <w:trPr>
          <w:trHeight w:val="260"/>
        </w:trPr>
        <w:tc>
          <w:tcPr>
            <w:tcW w:w="6365" w:type="dxa"/>
            <w:tcBorders>
              <w:top w:val="nil"/>
              <w:left w:val="nil"/>
              <w:bottom w:val="nil"/>
              <w:right w:val="nil"/>
            </w:tcBorders>
            <w:shd w:val="clear" w:color="FFFFFF" w:fill="FFFFFF"/>
            <w:noWrap/>
            <w:vAlign w:val="bottom"/>
            <w:hideMark/>
          </w:tcPr>
          <w:p w14:paraId="058EA42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C3CAF4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4F1D36B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2EC826D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3D61785" w14:textId="77777777">
        <w:trPr>
          <w:trHeight w:val="260"/>
        </w:trPr>
        <w:tc>
          <w:tcPr>
            <w:tcW w:w="6365" w:type="dxa"/>
            <w:tcBorders>
              <w:top w:val="nil"/>
              <w:left w:val="nil"/>
              <w:bottom w:val="nil"/>
              <w:right w:val="nil"/>
            </w:tcBorders>
            <w:shd w:val="clear" w:color="FFFFFF" w:fill="FFFFFF"/>
            <w:noWrap/>
            <w:vAlign w:val="bottom"/>
            <w:hideMark/>
          </w:tcPr>
          <w:p w14:paraId="6FB245C4"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2.2B: Other non-financial assets</w:t>
            </w:r>
          </w:p>
        </w:tc>
        <w:tc>
          <w:tcPr>
            <w:tcW w:w="1243" w:type="dxa"/>
            <w:tcBorders>
              <w:top w:val="nil"/>
              <w:left w:val="nil"/>
              <w:bottom w:val="nil"/>
              <w:right w:val="nil"/>
            </w:tcBorders>
            <w:shd w:val="clear" w:color="FFFFFF" w:fill="FFFFFF"/>
            <w:noWrap/>
            <w:vAlign w:val="bottom"/>
            <w:hideMark/>
          </w:tcPr>
          <w:p w14:paraId="252B706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E84178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C87766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49F8B38" w14:textId="77777777">
        <w:trPr>
          <w:trHeight w:val="250"/>
        </w:trPr>
        <w:tc>
          <w:tcPr>
            <w:tcW w:w="6365" w:type="dxa"/>
            <w:tcBorders>
              <w:top w:val="nil"/>
              <w:left w:val="nil"/>
              <w:bottom w:val="nil"/>
              <w:right w:val="nil"/>
            </w:tcBorders>
            <w:shd w:val="clear" w:color="FFFFFF" w:fill="FFFFFF"/>
            <w:noWrap/>
            <w:vAlign w:val="bottom"/>
            <w:hideMark/>
          </w:tcPr>
          <w:p w14:paraId="77513BE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 prepayments</w:t>
            </w:r>
          </w:p>
        </w:tc>
        <w:tc>
          <w:tcPr>
            <w:tcW w:w="1243" w:type="dxa"/>
            <w:tcBorders>
              <w:top w:val="nil"/>
              <w:left w:val="nil"/>
              <w:bottom w:val="nil"/>
              <w:right w:val="nil"/>
            </w:tcBorders>
            <w:shd w:val="clear" w:color="FFFFFF" w:fill="FFFFFF"/>
            <w:noWrap/>
            <w:vAlign w:val="bottom"/>
            <w:hideMark/>
          </w:tcPr>
          <w:p w14:paraId="02731C9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36,235</w:t>
            </w:r>
          </w:p>
        </w:tc>
        <w:tc>
          <w:tcPr>
            <w:tcW w:w="236" w:type="dxa"/>
            <w:tcBorders>
              <w:top w:val="nil"/>
              <w:left w:val="nil"/>
              <w:bottom w:val="nil"/>
              <w:right w:val="nil"/>
            </w:tcBorders>
            <w:shd w:val="clear" w:color="FFFFFF" w:fill="FFFFFF"/>
            <w:noWrap/>
            <w:vAlign w:val="bottom"/>
            <w:hideMark/>
          </w:tcPr>
          <w:p w14:paraId="151D0F2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6DAD81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30,264</w:t>
            </w:r>
          </w:p>
        </w:tc>
      </w:tr>
      <w:tr w:rsidR="0082424C" w:rsidRPr="007A3600" w14:paraId="55B8A317" w14:textId="77777777">
        <w:trPr>
          <w:trHeight w:val="260"/>
        </w:trPr>
        <w:tc>
          <w:tcPr>
            <w:tcW w:w="6365" w:type="dxa"/>
            <w:tcBorders>
              <w:top w:val="nil"/>
              <w:left w:val="nil"/>
              <w:bottom w:val="nil"/>
              <w:right w:val="nil"/>
            </w:tcBorders>
            <w:shd w:val="clear" w:color="FFFFFF" w:fill="FFFFFF"/>
            <w:vAlign w:val="bottom"/>
            <w:hideMark/>
          </w:tcPr>
          <w:p w14:paraId="57ACC007"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other non-financial assets</w:t>
            </w:r>
          </w:p>
        </w:tc>
        <w:tc>
          <w:tcPr>
            <w:tcW w:w="1243" w:type="dxa"/>
            <w:tcBorders>
              <w:top w:val="single" w:sz="4" w:space="0" w:color="auto"/>
              <w:left w:val="nil"/>
              <w:bottom w:val="single" w:sz="4" w:space="0" w:color="auto"/>
              <w:right w:val="nil"/>
            </w:tcBorders>
            <w:shd w:val="clear" w:color="FFFFFF" w:fill="FFFFFF"/>
            <w:noWrap/>
            <w:vAlign w:val="bottom"/>
            <w:hideMark/>
          </w:tcPr>
          <w:p w14:paraId="194FC0D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36,235</w:t>
            </w:r>
          </w:p>
        </w:tc>
        <w:tc>
          <w:tcPr>
            <w:tcW w:w="236" w:type="dxa"/>
            <w:tcBorders>
              <w:top w:val="nil"/>
              <w:left w:val="nil"/>
              <w:bottom w:val="nil"/>
              <w:right w:val="nil"/>
            </w:tcBorders>
            <w:shd w:val="clear" w:color="FFFFFF" w:fill="FFFFFF"/>
            <w:noWrap/>
            <w:vAlign w:val="bottom"/>
            <w:hideMark/>
          </w:tcPr>
          <w:p w14:paraId="23A581A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1F6A8D3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30,264</w:t>
            </w:r>
          </w:p>
        </w:tc>
      </w:tr>
    </w:tbl>
    <w:p w14:paraId="27558BF7" w14:textId="77777777" w:rsidR="0082424C" w:rsidRPr="007A3600" w:rsidRDefault="0082424C" w:rsidP="00AD3197">
      <w:pPr>
        <w:spacing w:before="120" w:after="0" w:line="240" w:lineRule="auto"/>
        <w:rPr>
          <w:rFonts w:eastAsia="Times New Roman"/>
          <w:sz w:val="18"/>
          <w:szCs w:val="20"/>
        </w:rPr>
      </w:pPr>
      <w:r w:rsidRPr="007A3600">
        <w:rPr>
          <w:rFonts w:eastAsia="Times New Roman"/>
          <w:sz w:val="18"/>
          <w:szCs w:val="20"/>
        </w:rPr>
        <w:t>No indicators of impairment were found for other non-financial assets.</w:t>
      </w:r>
      <w:r w:rsidRPr="007A3600">
        <w:rPr>
          <w:rFonts w:eastAsia="Times New Roman"/>
          <w:sz w:val="18"/>
          <w:szCs w:val="20"/>
        </w:rPr>
        <w:br w:type="page"/>
      </w:r>
    </w:p>
    <w:p w14:paraId="17E737B5"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1C50DE57"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656E834C" w14:textId="77777777" w:rsidR="0082424C" w:rsidRPr="007A3600" w:rsidRDefault="0082424C" w:rsidP="00132695">
      <w:pPr>
        <w:numPr>
          <w:ilvl w:val="1"/>
          <w:numId w:val="0"/>
        </w:numPr>
        <w:shd w:val="clear" w:color="auto" w:fill="000000"/>
        <w:spacing w:before="240" w:after="0" w:line="260" w:lineRule="atLeast"/>
        <w:ind w:left="425" w:hanging="425"/>
        <w:rPr>
          <w:rFonts w:eastAsia="Times New Roman" w:cs="Arial"/>
          <w:b/>
          <w:color w:val="FFFFFF"/>
          <w:sz w:val="20"/>
          <w:szCs w:val="20"/>
          <w:lang w:eastAsia="en-US"/>
        </w:rPr>
      </w:pPr>
      <w:bookmarkStart w:id="202" w:name="_Toc65742849"/>
      <w:bookmarkStart w:id="203" w:name="_Toc195692038"/>
      <w:r w:rsidRPr="007A3600">
        <w:rPr>
          <w:rFonts w:eastAsia="Times New Roman" w:cs="Arial"/>
          <w:b/>
          <w:color w:val="FFFFFF"/>
          <w:sz w:val="20"/>
          <w:szCs w:val="20"/>
          <w:lang w:eastAsia="en-US"/>
        </w:rPr>
        <w:t>2.3</w:t>
      </w:r>
      <w:r w:rsidRPr="007A3600">
        <w:rPr>
          <w:rFonts w:eastAsia="Times New Roman" w:cs="Arial"/>
          <w:b/>
          <w:color w:val="FFFFFF"/>
          <w:sz w:val="20"/>
          <w:szCs w:val="20"/>
          <w:lang w:eastAsia="en-US"/>
        </w:rPr>
        <w:tab/>
        <w:t>Payables</w:t>
      </w:r>
      <w:bookmarkEnd w:id="202"/>
      <w:bookmarkEnd w:id="203"/>
    </w:p>
    <w:tbl>
      <w:tblPr>
        <w:tblW w:w="9087" w:type="dxa"/>
        <w:tblLayout w:type="fixed"/>
        <w:tblLook w:val="04A0" w:firstRow="1" w:lastRow="0" w:firstColumn="1" w:lastColumn="0" w:noHBand="0" w:noVBand="1"/>
      </w:tblPr>
      <w:tblGrid>
        <w:gridCol w:w="6365"/>
        <w:gridCol w:w="1243"/>
        <w:gridCol w:w="236"/>
        <w:gridCol w:w="1243"/>
      </w:tblGrid>
      <w:tr w:rsidR="0082424C" w:rsidRPr="007A3600" w14:paraId="1E5B7D38" w14:textId="77777777">
        <w:trPr>
          <w:trHeight w:val="250"/>
        </w:trPr>
        <w:tc>
          <w:tcPr>
            <w:tcW w:w="6365" w:type="dxa"/>
            <w:tcBorders>
              <w:top w:val="nil"/>
              <w:left w:val="nil"/>
              <w:bottom w:val="nil"/>
              <w:right w:val="nil"/>
            </w:tcBorders>
            <w:shd w:val="clear" w:color="FFFFFF" w:fill="FFFFFF"/>
            <w:noWrap/>
            <w:vAlign w:val="bottom"/>
            <w:hideMark/>
          </w:tcPr>
          <w:p w14:paraId="5BAFF6B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897B65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3F3B4A3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09A668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6EAE5E17" w14:textId="77777777">
        <w:trPr>
          <w:trHeight w:val="260"/>
        </w:trPr>
        <w:tc>
          <w:tcPr>
            <w:tcW w:w="6365" w:type="dxa"/>
            <w:tcBorders>
              <w:top w:val="nil"/>
              <w:left w:val="nil"/>
              <w:bottom w:val="nil"/>
              <w:right w:val="nil"/>
            </w:tcBorders>
            <w:shd w:val="clear" w:color="FFFFFF" w:fill="FFFFFF"/>
            <w:noWrap/>
            <w:vAlign w:val="bottom"/>
            <w:hideMark/>
          </w:tcPr>
          <w:p w14:paraId="36DF87B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8663E1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4567C9B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9B1A25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FD9075B" w14:textId="77777777">
        <w:trPr>
          <w:trHeight w:val="260"/>
        </w:trPr>
        <w:tc>
          <w:tcPr>
            <w:tcW w:w="6365" w:type="dxa"/>
            <w:tcBorders>
              <w:top w:val="nil"/>
              <w:left w:val="nil"/>
              <w:bottom w:val="nil"/>
              <w:right w:val="nil"/>
            </w:tcBorders>
            <w:shd w:val="clear" w:color="FFFFFF" w:fill="FFFFFF"/>
            <w:noWrap/>
            <w:vAlign w:val="bottom"/>
            <w:hideMark/>
          </w:tcPr>
          <w:p w14:paraId="325C7AD0"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2.3A: Suppliers</w:t>
            </w:r>
          </w:p>
        </w:tc>
        <w:tc>
          <w:tcPr>
            <w:tcW w:w="1243" w:type="dxa"/>
            <w:tcBorders>
              <w:top w:val="nil"/>
              <w:left w:val="nil"/>
              <w:bottom w:val="nil"/>
              <w:right w:val="nil"/>
            </w:tcBorders>
            <w:shd w:val="clear" w:color="FFFFFF" w:fill="FFFFFF"/>
            <w:noWrap/>
            <w:vAlign w:val="bottom"/>
            <w:hideMark/>
          </w:tcPr>
          <w:p w14:paraId="20E04B1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7AE714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A3D61A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2878BD90" w14:textId="77777777">
        <w:trPr>
          <w:trHeight w:val="250"/>
        </w:trPr>
        <w:tc>
          <w:tcPr>
            <w:tcW w:w="6365" w:type="dxa"/>
            <w:tcBorders>
              <w:top w:val="nil"/>
              <w:left w:val="nil"/>
              <w:bottom w:val="nil"/>
              <w:right w:val="nil"/>
            </w:tcBorders>
            <w:shd w:val="clear" w:color="FFFFFF" w:fill="FFFFFF"/>
            <w:vAlign w:val="bottom"/>
            <w:hideMark/>
          </w:tcPr>
          <w:p w14:paraId="43FC224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Trade creditors and accruals</w:t>
            </w:r>
          </w:p>
        </w:tc>
        <w:tc>
          <w:tcPr>
            <w:tcW w:w="1243" w:type="dxa"/>
            <w:tcBorders>
              <w:top w:val="nil"/>
              <w:left w:val="nil"/>
              <w:bottom w:val="nil"/>
              <w:right w:val="nil"/>
            </w:tcBorders>
            <w:shd w:val="clear" w:color="FFFFFF" w:fill="FFFFFF"/>
            <w:noWrap/>
            <w:vAlign w:val="bottom"/>
            <w:hideMark/>
          </w:tcPr>
          <w:p w14:paraId="3ABBA6C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1,281,462</w:t>
            </w:r>
          </w:p>
        </w:tc>
        <w:tc>
          <w:tcPr>
            <w:tcW w:w="236" w:type="dxa"/>
            <w:tcBorders>
              <w:top w:val="nil"/>
              <w:left w:val="nil"/>
              <w:bottom w:val="nil"/>
              <w:right w:val="nil"/>
            </w:tcBorders>
            <w:shd w:val="clear" w:color="FFFFFF" w:fill="FFFFFF"/>
            <w:noWrap/>
            <w:vAlign w:val="bottom"/>
            <w:hideMark/>
          </w:tcPr>
          <w:p w14:paraId="4BFA07D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20BC45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914,519</w:t>
            </w:r>
          </w:p>
        </w:tc>
      </w:tr>
      <w:tr w:rsidR="0082424C" w:rsidRPr="007A3600" w14:paraId="64D9ACFE" w14:textId="77777777">
        <w:trPr>
          <w:trHeight w:val="250"/>
        </w:trPr>
        <w:tc>
          <w:tcPr>
            <w:tcW w:w="6365" w:type="dxa"/>
            <w:tcBorders>
              <w:top w:val="nil"/>
              <w:left w:val="nil"/>
              <w:bottom w:val="nil"/>
              <w:right w:val="nil"/>
            </w:tcBorders>
            <w:shd w:val="clear" w:color="FFFFFF" w:fill="FFFFFF"/>
            <w:vAlign w:val="bottom"/>
            <w:hideMark/>
          </w:tcPr>
          <w:p w14:paraId="3B0D035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suppliers</w:t>
            </w:r>
          </w:p>
        </w:tc>
        <w:tc>
          <w:tcPr>
            <w:tcW w:w="1243" w:type="dxa"/>
            <w:tcBorders>
              <w:top w:val="single" w:sz="4" w:space="0" w:color="auto"/>
              <w:left w:val="nil"/>
              <w:bottom w:val="single" w:sz="4" w:space="0" w:color="auto"/>
              <w:right w:val="nil"/>
            </w:tcBorders>
            <w:shd w:val="clear" w:color="FFFFFF" w:fill="FFFFFF"/>
            <w:noWrap/>
            <w:vAlign w:val="bottom"/>
            <w:hideMark/>
          </w:tcPr>
          <w:p w14:paraId="7D4726F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1,281,462</w:t>
            </w:r>
          </w:p>
        </w:tc>
        <w:tc>
          <w:tcPr>
            <w:tcW w:w="236" w:type="dxa"/>
            <w:tcBorders>
              <w:top w:val="nil"/>
              <w:left w:val="nil"/>
              <w:bottom w:val="nil"/>
              <w:right w:val="nil"/>
            </w:tcBorders>
            <w:shd w:val="clear" w:color="FFFFFF" w:fill="FFFFFF"/>
            <w:noWrap/>
            <w:vAlign w:val="bottom"/>
            <w:hideMark/>
          </w:tcPr>
          <w:p w14:paraId="2DAF525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9F771E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914,519</w:t>
            </w:r>
          </w:p>
        </w:tc>
      </w:tr>
    </w:tbl>
    <w:p w14:paraId="0DCE72B4"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Settlement is expected to be made for suppliers within 20 days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20 days).</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003FB223" w14:textId="77777777">
        <w:trPr>
          <w:trHeight w:val="260"/>
        </w:trPr>
        <w:tc>
          <w:tcPr>
            <w:tcW w:w="6365" w:type="dxa"/>
            <w:tcBorders>
              <w:top w:val="nil"/>
              <w:left w:val="nil"/>
              <w:bottom w:val="nil"/>
              <w:right w:val="nil"/>
            </w:tcBorders>
            <w:shd w:val="clear" w:color="FFFFFF" w:fill="FFFFFF"/>
            <w:noWrap/>
            <w:vAlign w:val="bottom"/>
            <w:hideMark/>
          </w:tcPr>
          <w:p w14:paraId="4413227B"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2.3B: Other payables</w:t>
            </w:r>
          </w:p>
        </w:tc>
        <w:tc>
          <w:tcPr>
            <w:tcW w:w="1243" w:type="dxa"/>
            <w:tcBorders>
              <w:top w:val="nil"/>
              <w:left w:val="nil"/>
              <w:bottom w:val="nil"/>
              <w:right w:val="nil"/>
            </w:tcBorders>
            <w:shd w:val="clear" w:color="FFFFFF" w:fill="FFFFFF"/>
            <w:noWrap/>
            <w:vAlign w:val="bottom"/>
            <w:hideMark/>
          </w:tcPr>
          <w:p w14:paraId="2D1EA04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AF7843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498AD5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BF287C5" w14:textId="77777777">
        <w:trPr>
          <w:trHeight w:val="250"/>
        </w:trPr>
        <w:tc>
          <w:tcPr>
            <w:tcW w:w="6365" w:type="dxa"/>
            <w:tcBorders>
              <w:top w:val="nil"/>
              <w:left w:val="nil"/>
              <w:bottom w:val="nil"/>
              <w:right w:val="nil"/>
            </w:tcBorders>
            <w:shd w:val="clear" w:color="FFFFFF" w:fill="FFFFFF"/>
            <w:vAlign w:val="bottom"/>
            <w:hideMark/>
          </w:tcPr>
          <w:p w14:paraId="26A1AB0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Salaries and wages</w:t>
            </w:r>
          </w:p>
        </w:tc>
        <w:tc>
          <w:tcPr>
            <w:tcW w:w="1243" w:type="dxa"/>
            <w:tcBorders>
              <w:top w:val="nil"/>
              <w:left w:val="nil"/>
              <w:bottom w:val="nil"/>
              <w:right w:val="nil"/>
            </w:tcBorders>
            <w:shd w:val="clear" w:color="FFFFFF" w:fill="FFFFFF"/>
            <w:noWrap/>
            <w:vAlign w:val="bottom"/>
            <w:hideMark/>
          </w:tcPr>
          <w:p w14:paraId="232AFBD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29,194</w:t>
            </w:r>
          </w:p>
        </w:tc>
        <w:tc>
          <w:tcPr>
            <w:tcW w:w="236" w:type="dxa"/>
            <w:tcBorders>
              <w:top w:val="nil"/>
              <w:left w:val="nil"/>
              <w:bottom w:val="nil"/>
              <w:right w:val="nil"/>
            </w:tcBorders>
            <w:shd w:val="clear" w:color="FFFFFF" w:fill="FFFFFF"/>
            <w:noWrap/>
            <w:vAlign w:val="bottom"/>
            <w:hideMark/>
          </w:tcPr>
          <w:p w14:paraId="430D511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0EC7FD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18,024</w:t>
            </w:r>
          </w:p>
        </w:tc>
      </w:tr>
      <w:tr w:rsidR="0082424C" w:rsidRPr="007A3600" w14:paraId="52025F56" w14:textId="77777777">
        <w:trPr>
          <w:trHeight w:val="250"/>
        </w:trPr>
        <w:tc>
          <w:tcPr>
            <w:tcW w:w="6365" w:type="dxa"/>
            <w:tcBorders>
              <w:top w:val="nil"/>
              <w:left w:val="nil"/>
              <w:bottom w:val="nil"/>
              <w:right w:val="nil"/>
            </w:tcBorders>
            <w:shd w:val="clear" w:color="FFFFFF" w:fill="FFFFFF"/>
            <w:vAlign w:val="bottom"/>
            <w:hideMark/>
          </w:tcPr>
          <w:p w14:paraId="624F70D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Superannuation</w:t>
            </w:r>
          </w:p>
        </w:tc>
        <w:tc>
          <w:tcPr>
            <w:tcW w:w="1243" w:type="dxa"/>
            <w:tcBorders>
              <w:top w:val="nil"/>
              <w:left w:val="nil"/>
              <w:bottom w:val="nil"/>
              <w:right w:val="nil"/>
            </w:tcBorders>
            <w:shd w:val="clear" w:color="FFFFFF" w:fill="FFFFFF"/>
            <w:noWrap/>
            <w:vAlign w:val="bottom"/>
            <w:hideMark/>
          </w:tcPr>
          <w:p w14:paraId="1CA91E5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4,753</w:t>
            </w:r>
          </w:p>
        </w:tc>
        <w:tc>
          <w:tcPr>
            <w:tcW w:w="236" w:type="dxa"/>
            <w:tcBorders>
              <w:top w:val="nil"/>
              <w:left w:val="nil"/>
              <w:bottom w:val="nil"/>
              <w:right w:val="nil"/>
            </w:tcBorders>
            <w:shd w:val="clear" w:color="FFFFFF" w:fill="FFFFFF"/>
            <w:noWrap/>
            <w:vAlign w:val="bottom"/>
            <w:hideMark/>
          </w:tcPr>
          <w:p w14:paraId="1EFD732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C36811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2,932</w:t>
            </w:r>
          </w:p>
        </w:tc>
      </w:tr>
      <w:tr w:rsidR="0082424C" w:rsidRPr="007A3600" w14:paraId="710291DC" w14:textId="77777777">
        <w:trPr>
          <w:trHeight w:val="250"/>
        </w:trPr>
        <w:tc>
          <w:tcPr>
            <w:tcW w:w="6365" w:type="dxa"/>
            <w:tcBorders>
              <w:top w:val="nil"/>
              <w:left w:val="nil"/>
              <w:bottom w:val="nil"/>
              <w:right w:val="nil"/>
            </w:tcBorders>
            <w:shd w:val="clear" w:color="FFFFFF" w:fill="FFFFFF"/>
            <w:vAlign w:val="bottom"/>
            <w:hideMark/>
          </w:tcPr>
          <w:p w14:paraId="4010515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Other</w:t>
            </w:r>
          </w:p>
        </w:tc>
        <w:tc>
          <w:tcPr>
            <w:tcW w:w="1243" w:type="dxa"/>
            <w:tcBorders>
              <w:top w:val="nil"/>
              <w:left w:val="nil"/>
              <w:bottom w:val="nil"/>
              <w:right w:val="nil"/>
            </w:tcBorders>
            <w:shd w:val="clear" w:color="FFFFFF" w:fill="FFFFFF"/>
            <w:noWrap/>
            <w:vAlign w:val="bottom"/>
            <w:hideMark/>
          </w:tcPr>
          <w:p w14:paraId="4D0C598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115</w:t>
            </w:r>
          </w:p>
        </w:tc>
        <w:tc>
          <w:tcPr>
            <w:tcW w:w="236" w:type="dxa"/>
            <w:tcBorders>
              <w:top w:val="nil"/>
              <w:left w:val="nil"/>
              <w:bottom w:val="nil"/>
              <w:right w:val="nil"/>
            </w:tcBorders>
            <w:shd w:val="clear" w:color="FFFFFF" w:fill="FFFFFF"/>
            <w:noWrap/>
            <w:vAlign w:val="bottom"/>
            <w:hideMark/>
          </w:tcPr>
          <w:p w14:paraId="6DD4813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C6DF2A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81</w:t>
            </w:r>
          </w:p>
        </w:tc>
      </w:tr>
      <w:tr w:rsidR="0082424C" w:rsidRPr="007A3600" w14:paraId="689FF291" w14:textId="77777777">
        <w:trPr>
          <w:trHeight w:val="250"/>
        </w:trPr>
        <w:tc>
          <w:tcPr>
            <w:tcW w:w="6365" w:type="dxa"/>
            <w:tcBorders>
              <w:top w:val="nil"/>
              <w:left w:val="nil"/>
              <w:bottom w:val="nil"/>
              <w:right w:val="nil"/>
            </w:tcBorders>
            <w:shd w:val="clear" w:color="FFFFFF" w:fill="FFFFFF"/>
            <w:vAlign w:val="bottom"/>
            <w:hideMark/>
          </w:tcPr>
          <w:p w14:paraId="0AA290A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xml:space="preserve">Total other payables </w:t>
            </w:r>
          </w:p>
        </w:tc>
        <w:tc>
          <w:tcPr>
            <w:tcW w:w="1243" w:type="dxa"/>
            <w:tcBorders>
              <w:top w:val="single" w:sz="4" w:space="0" w:color="auto"/>
              <w:left w:val="nil"/>
              <w:bottom w:val="single" w:sz="4" w:space="0" w:color="auto"/>
              <w:right w:val="nil"/>
            </w:tcBorders>
            <w:shd w:val="clear" w:color="FFFFFF" w:fill="FFFFFF"/>
            <w:noWrap/>
            <w:vAlign w:val="bottom"/>
            <w:hideMark/>
          </w:tcPr>
          <w:p w14:paraId="1994D1C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34,062</w:t>
            </w:r>
          </w:p>
        </w:tc>
        <w:tc>
          <w:tcPr>
            <w:tcW w:w="236" w:type="dxa"/>
            <w:tcBorders>
              <w:top w:val="nil"/>
              <w:left w:val="nil"/>
              <w:bottom w:val="nil"/>
              <w:right w:val="nil"/>
            </w:tcBorders>
            <w:shd w:val="clear" w:color="FFFFFF" w:fill="FFFFFF"/>
            <w:noWrap/>
            <w:vAlign w:val="bottom"/>
            <w:hideMark/>
          </w:tcPr>
          <w:p w14:paraId="7D3FA69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0DE6C1A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21,037</w:t>
            </w:r>
          </w:p>
        </w:tc>
      </w:tr>
    </w:tbl>
    <w:p w14:paraId="5B2988C7" w14:textId="77777777" w:rsidR="0082424C" w:rsidRPr="007A3600" w:rsidRDefault="0082424C" w:rsidP="00AD3197">
      <w:pPr>
        <w:spacing w:after="0" w:line="240" w:lineRule="auto"/>
        <w:rPr>
          <w:rFonts w:ascii="Times New Roman" w:eastAsia="Times New Roman" w:hAnsi="Times New Roman"/>
          <w:sz w:val="22"/>
          <w:szCs w:val="20"/>
          <w:lang w:eastAsia="en-US"/>
        </w:rPr>
      </w:pPr>
    </w:p>
    <w:p w14:paraId="63712DE8"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07FB018A"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Cs/>
          <w:sz w:val="18"/>
          <w:szCs w:val="18"/>
          <w:lang w:eastAsia="en-US"/>
        </w:rPr>
        <w:t>Financial liabilities, including supplier and other payables, are initially measured at fair value, net of transaction costs. These liabilities are subsequently measured at amortised cost using the effective interest method, with interest expense recognised on an effective yield basis.</w:t>
      </w:r>
      <w:r w:rsidRPr="007A3600">
        <w:rPr>
          <w:rFonts w:eastAsia="Times New Roman" w:cs="Arial"/>
          <w:b/>
          <w:bCs/>
          <w:sz w:val="18"/>
          <w:szCs w:val="18"/>
          <w:lang w:eastAsia="en-US"/>
        </w:rPr>
        <w:t xml:space="preserve"> </w:t>
      </w:r>
    </w:p>
    <w:p w14:paraId="4376BFF5"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sz w:val="18"/>
          <w:szCs w:val="18"/>
          <w:lang w:eastAsia="en-US"/>
        </w:rPr>
      </w:pPr>
      <w:r w:rsidRPr="007A3600">
        <w:rPr>
          <w:rFonts w:eastAsia="Times New Roman" w:cs="Arial"/>
          <w:sz w:val="18"/>
          <w:szCs w:val="18"/>
          <w:lang w:eastAsia="en-US"/>
        </w:rPr>
        <w:t>Liabilities are recognised to the extent that the goods or services have been received (and irrespective of having been invoiced).</w:t>
      </w:r>
    </w:p>
    <w:p w14:paraId="3DAEF604"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Accounting policies for Salaries and wages and Superannuation are contained in Section 3. People and Relationships.</w:t>
      </w:r>
    </w:p>
    <w:p w14:paraId="7C20D363" w14:textId="77777777" w:rsidR="0082424C" w:rsidRPr="007A3600" w:rsidRDefault="0082424C" w:rsidP="00132695">
      <w:pPr>
        <w:numPr>
          <w:ilvl w:val="1"/>
          <w:numId w:val="0"/>
        </w:numPr>
        <w:shd w:val="clear" w:color="auto" w:fill="000000"/>
        <w:spacing w:after="0" w:line="260" w:lineRule="atLeast"/>
        <w:ind w:left="425" w:hanging="425"/>
        <w:rPr>
          <w:rFonts w:eastAsia="Times New Roman" w:cs="Arial"/>
          <w:b/>
          <w:color w:val="FFFFFF"/>
          <w:sz w:val="20"/>
          <w:szCs w:val="20"/>
          <w:lang w:eastAsia="en-US"/>
        </w:rPr>
      </w:pPr>
      <w:bookmarkStart w:id="204" w:name="_Toc65742850"/>
      <w:bookmarkStart w:id="205" w:name="_Toc195692039"/>
      <w:r w:rsidRPr="007A3600">
        <w:rPr>
          <w:rFonts w:eastAsia="Times New Roman" w:cs="Arial"/>
          <w:b/>
          <w:color w:val="FFFFFF"/>
          <w:sz w:val="20"/>
          <w:szCs w:val="20"/>
          <w:lang w:eastAsia="en-US"/>
        </w:rPr>
        <w:t>2.4</w:t>
      </w:r>
      <w:r w:rsidRPr="007A3600">
        <w:rPr>
          <w:rFonts w:eastAsia="Times New Roman" w:cs="Arial"/>
          <w:b/>
          <w:color w:val="FFFFFF"/>
          <w:sz w:val="20"/>
          <w:szCs w:val="20"/>
          <w:lang w:eastAsia="en-US"/>
        </w:rPr>
        <w:tab/>
        <w:t>Unearned Income</w:t>
      </w:r>
      <w:bookmarkEnd w:id="204"/>
      <w:bookmarkEnd w:id="205"/>
    </w:p>
    <w:p w14:paraId="125A784D" w14:textId="77777777" w:rsidR="0082424C" w:rsidRPr="007A3600" w:rsidRDefault="0082424C" w:rsidP="00AD3197">
      <w:pPr>
        <w:spacing w:after="0" w:line="240" w:lineRule="auto"/>
        <w:ind w:right="607"/>
        <w:rPr>
          <w:rFonts w:eastAsia="Times New Roman"/>
          <w:b/>
          <w:sz w:val="20"/>
          <w:szCs w:val="20"/>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78921BA1" w14:textId="77777777">
        <w:trPr>
          <w:trHeight w:val="253"/>
        </w:trPr>
        <w:tc>
          <w:tcPr>
            <w:tcW w:w="6365" w:type="dxa"/>
            <w:tcBorders>
              <w:top w:val="nil"/>
              <w:left w:val="nil"/>
              <w:bottom w:val="nil"/>
              <w:right w:val="nil"/>
            </w:tcBorders>
            <w:shd w:val="clear" w:color="FFFFFF" w:fill="FFFFFF"/>
            <w:noWrap/>
            <w:vAlign w:val="bottom"/>
            <w:hideMark/>
          </w:tcPr>
          <w:p w14:paraId="33C5D4DA"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2.4: Unearned revenue</w:t>
            </w:r>
          </w:p>
        </w:tc>
        <w:tc>
          <w:tcPr>
            <w:tcW w:w="1243" w:type="dxa"/>
            <w:tcBorders>
              <w:top w:val="nil"/>
              <w:left w:val="nil"/>
              <w:bottom w:val="nil"/>
              <w:right w:val="nil"/>
            </w:tcBorders>
            <w:shd w:val="clear" w:color="FFFFFF" w:fill="FFFFFF"/>
            <w:noWrap/>
            <w:vAlign w:val="bottom"/>
            <w:hideMark/>
          </w:tcPr>
          <w:p w14:paraId="47836F7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858BC0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F32BD3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15F1282" w14:textId="77777777">
        <w:trPr>
          <w:trHeight w:val="250"/>
        </w:trPr>
        <w:tc>
          <w:tcPr>
            <w:tcW w:w="6365" w:type="dxa"/>
            <w:tcBorders>
              <w:top w:val="nil"/>
              <w:left w:val="nil"/>
              <w:bottom w:val="nil"/>
              <w:right w:val="nil"/>
            </w:tcBorders>
            <w:shd w:val="clear" w:color="FFFFFF" w:fill="FFFFFF"/>
            <w:vAlign w:val="bottom"/>
            <w:hideMark/>
          </w:tcPr>
          <w:p w14:paraId="183AED3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Revenue received in advance - external entities</w:t>
            </w:r>
          </w:p>
        </w:tc>
        <w:tc>
          <w:tcPr>
            <w:tcW w:w="1243" w:type="dxa"/>
            <w:tcBorders>
              <w:top w:val="nil"/>
              <w:left w:val="nil"/>
              <w:bottom w:val="nil"/>
              <w:right w:val="nil"/>
            </w:tcBorders>
            <w:shd w:val="clear" w:color="FFFFFF" w:fill="FFFFFF"/>
            <w:noWrap/>
            <w:vAlign w:val="bottom"/>
            <w:hideMark/>
          </w:tcPr>
          <w:p w14:paraId="27AB4F6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454,784</w:t>
            </w:r>
          </w:p>
        </w:tc>
        <w:tc>
          <w:tcPr>
            <w:tcW w:w="236" w:type="dxa"/>
            <w:tcBorders>
              <w:top w:val="nil"/>
              <w:left w:val="nil"/>
              <w:bottom w:val="nil"/>
              <w:right w:val="nil"/>
            </w:tcBorders>
            <w:shd w:val="clear" w:color="FFFFFF" w:fill="FFFFFF"/>
            <w:noWrap/>
            <w:vAlign w:val="bottom"/>
            <w:hideMark/>
          </w:tcPr>
          <w:p w14:paraId="72118531"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252FAF2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413,969</w:t>
            </w:r>
          </w:p>
        </w:tc>
      </w:tr>
      <w:tr w:rsidR="0082424C" w:rsidRPr="007A3600" w14:paraId="555C28EA" w14:textId="77777777">
        <w:trPr>
          <w:trHeight w:val="260"/>
        </w:trPr>
        <w:tc>
          <w:tcPr>
            <w:tcW w:w="6365" w:type="dxa"/>
            <w:tcBorders>
              <w:top w:val="nil"/>
              <w:left w:val="nil"/>
              <w:bottom w:val="nil"/>
              <w:right w:val="nil"/>
            </w:tcBorders>
            <w:shd w:val="clear" w:color="FFFFFF" w:fill="FFFFFF"/>
            <w:vAlign w:val="bottom"/>
            <w:hideMark/>
          </w:tcPr>
          <w:p w14:paraId="2755C691"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unearned revenue</w:t>
            </w:r>
          </w:p>
        </w:tc>
        <w:tc>
          <w:tcPr>
            <w:tcW w:w="1243" w:type="dxa"/>
            <w:tcBorders>
              <w:top w:val="single" w:sz="4" w:space="0" w:color="auto"/>
              <w:left w:val="nil"/>
              <w:bottom w:val="single" w:sz="4" w:space="0" w:color="auto"/>
              <w:right w:val="nil"/>
            </w:tcBorders>
            <w:shd w:val="clear" w:color="FFFFFF" w:fill="FFFFFF"/>
            <w:noWrap/>
            <w:vAlign w:val="bottom"/>
            <w:hideMark/>
          </w:tcPr>
          <w:p w14:paraId="20AF6B2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454,784</w:t>
            </w:r>
          </w:p>
        </w:tc>
        <w:tc>
          <w:tcPr>
            <w:tcW w:w="236" w:type="dxa"/>
            <w:tcBorders>
              <w:top w:val="nil"/>
              <w:left w:val="nil"/>
              <w:bottom w:val="nil"/>
              <w:right w:val="nil"/>
            </w:tcBorders>
            <w:shd w:val="clear" w:color="FFFFFF" w:fill="FFFFFF"/>
            <w:noWrap/>
            <w:vAlign w:val="bottom"/>
            <w:hideMark/>
          </w:tcPr>
          <w:p w14:paraId="04ADFB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1A86CA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413,969</w:t>
            </w:r>
          </w:p>
        </w:tc>
      </w:tr>
    </w:tbl>
    <w:p w14:paraId="4B9A7D56" w14:textId="77777777" w:rsidR="0082424C" w:rsidRPr="007A3600" w:rsidRDefault="0082424C" w:rsidP="00AD3197">
      <w:pPr>
        <w:spacing w:after="0" w:line="240" w:lineRule="auto"/>
        <w:ind w:right="607"/>
        <w:rPr>
          <w:rFonts w:eastAsia="Times New Roman"/>
          <w:b/>
          <w:sz w:val="20"/>
          <w:szCs w:val="20"/>
          <w:lang w:eastAsia="en-US"/>
        </w:rPr>
      </w:pPr>
    </w:p>
    <w:p w14:paraId="00C72E67" w14:textId="77777777" w:rsidR="0082424C" w:rsidRPr="007A3600" w:rsidRDefault="0082424C" w:rsidP="00AD3197">
      <w:pPr>
        <w:pBdr>
          <w:top w:val="single" w:sz="4" w:space="0" w:color="800080"/>
          <w:left w:val="single" w:sz="4" w:space="0" w:color="800080"/>
          <w:bottom w:val="single" w:sz="4" w:space="1" w:color="800080"/>
          <w:right w:val="single" w:sz="4" w:space="0"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744BD6F1" w14:textId="77777777" w:rsidR="0082424C" w:rsidRPr="007A3600" w:rsidRDefault="0082424C" w:rsidP="00AD3197">
      <w:pPr>
        <w:pBdr>
          <w:top w:val="single" w:sz="4" w:space="0"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Accounting policies for unearned income are contained in Note 1.2A Rendering of services. </w:t>
      </w:r>
    </w:p>
    <w:p w14:paraId="1C81DE3B" w14:textId="77777777" w:rsidR="0082424C" w:rsidRPr="007A3600" w:rsidRDefault="0082424C" w:rsidP="00132695">
      <w:pPr>
        <w:numPr>
          <w:ilvl w:val="1"/>
          <w:numId w:val="0"/>
        </w:numPr>
        <w:shd w:val="clear" w:color="auto" w:fill="000000"/>
        <w:spacing w:after="0" w:line="260" w:lineRule="atLeast"/>
        <w:ind w:left="425" w:hanging="425"/>
        <w:rPr>
          <w:rFonts w:eastAsia="Times New Roman" w:cs="Arial"/>
          <w:b/>
          <w:color w:val="FFFFFF"/>
          <w:sz w:val="20"/>
          <w:szCs w:val="20"/>
          <w:lang w:eastAsia="en-US"/>
        </w:rPr>
      </w:pPr>
      <w:bookmarkStart w:id="206" w:name="_Toc65742851"/>
      <w:bookmarkStart w:id="207" w:name="_Toc195692040"/>
      <w:r w:rsidRPr="007A3600">
        <w:rPr>
          <w:rFonts w:eastAsia="Times New Roman" w:cs="Arial"/>
          <w:b/>
          <w:color w:val="FFFFFF"/>
          <w:sz w:val="20"/>
          <w:szCs w:val="20"/>
          <w:lang w:eastAsia="en-US"/>
        </w:rPr>
        <w:t>2.5</w:t>
      </w:r>
      <w:r w:rsidRPr="007A3600">
        <w:rPr>
          <w:rFonts w:eastAsia="Times New Roman" w:cs="Arial"/>
          <w:b/>
          <w:color w:val="FFFFFF"/>
          <w:sz w:val="20"/>
          <w:szCs w:val="20"/>
          <w:lang w:eastAsia="en-US"/>
        </w:rPr>
        <w:tab/>
        <w:t>Interest Bearing Liabilities</w:t>
      </w:r>
      <w:bookmarkEnd w:id="206"/>
      <w:bookmarkEnd w:id="207"/>
    </w:p>
    <w:tbl>
      <w:tblPr>
        <w:tblW w:w="9087" w:type="dxa"/>
        <w:tblLayout w:type="fixed"/>
        <w:tblLook w:val="04A0" w:firstRow="1" w:lastRow="0" w:firstColumn="1" w:lastColumn="0" w:noHBand="0" w:noVBand="1"/>
      </w:tblPr>
      <w:tblGrid>
        <w:gridCol w:w="6365"/>
        <w:gridCol w:w="1243"/>
        <w:gridCol w:w="236"/>
        <w:gridCol w:w="1243"/>
      </w:tblGrid>
      <w:tr w:rsidR="0082424C" w:rsidRPr="007A3600" w14:paraId="4F14516B" w14:textId="77777777">
        <w:trPr>
          <w:trHeight w:val="260"/>
        </w:trPr>
        <w:tc>
          <w:tcPr>
            <w:tcW w:w="6365" w:type="dxa"/>
            <w:tcBorders>
              <w:top w:val="nil"/>
              <w:left w:val="nil"/>
              <w:bottom w:val="nil"/>
              <w:right w:val="nil"/>
            </w:tcBorders>
            <w:shd w:val="clear" w:color="FFFFFF" w:fill="FFFFFF"/>
            <w:noWrap/>
            <w:vAlign w:val="bottom"/>
            <w:hideMark/>
          </w:tcPr>
          <w:p w14:paraId="3D37340F"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2.5: Leases</w:t>
            </w:r>
          </w:p>
        </w:tc>
        <w:tc>
          <w:tcPr>
            <w:tcW w:w="1243" w:type="dxa"/>
            <w:tcBorders>
              <w:top w:val="nil"/>
              <w:left w:val="nil"/>
              <w:bottom w:val="nil"/>
              <w:right w:val="nil"/>
            </w:tcBorders>
            <w:shd w:val="clear" w:color="FFFFFF" w:fill="FFFFFF"/>
            <w:noWrap/>
            <w:vAlign w:val="bottom"/>
            <w:hideMark/>
          </w:tcPr>
          <w:p w14:paraId="09D4E6E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7AA583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D0760A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98EF1EE" w14:textId="77777777">
        <w:trPr>
          <w:trHeight w:val="250"/>
        </w:trPr>
        <w:tc>
          <w:tcPr>
            <w:tcW w:w="6365" w:type="dxa"/>
            <w:tcBorders>
              <w:top w:val="nil"/>
              <w:left w:val="nil"/>
              <w:bottom w:val="nil"/>
              <w:right w:val="nil"/>
            </w:tcBorders>
            <w:shd w:val="clear" w:color="FFFFFF" w:fill="FFFFFF"/>
            <w:vAlign w:val="bottom"/>
            <w:hideMark/>
          </w:tcPr>
          <w:p w14:paraId="598452D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Lease liabilities</w:t>
            </w:r>
          </w:p>
        </w:tc>
        <w:tc>
          <w:tcPr>
            <w:tcW w:w="1243" w:type="dxa"/>
            <w:tcBorders>
              <w:top w:val="nil"/>
              <w:left w:val="nil"/>
              <w:bottom w:val="nil"/>
              <w:right w:val="nil"/>
            </w:tcBorders>
            <w:shd w:val="clear" w:color="FFFFFF" w:fill="FFFFFF"/>
            <w:noWrap/>
            <w:vAlign w:val="bottom"/>
            <w:hideMark/>
          </w:tcPr>
          <w:p w14:paraId="446B855B" w14:textId="77777777" w:rsidR="0082424C" w:rsidRPr="007A3600" w:rsidRDefault="0082424C" w:rsidP="00AD3197">
            <w:pPr>
              <w:spacing w:after="0" w:line="260" w:lineRule="atLeast"/>
              <w:rPr>
                <w:rFonts w:eastAsia="Times New Roman" w:cs="Arial"/>
                <w:sz w:val="16"/>
                <w:szCs w:val="16"/>
                <w:lang w:eastAsia="en-US"/>
              </w:rPr>
            </w:pPr>
            <w:r w:rsidRPr="007A3600">
              <w:rPr>
                <w:rFonts w:eastAsia="Times New Roman" w:cs="Arial"/>
                <w:sz w:val="16"/>
                <w:szCs w:val="16"/>
                <w:lang w:eastAsia="en-US"/>
              </w:rPr>
              <w:t> </w:t>
            </w:r>
          </w:p>
        </w:tc>
        <w:tc>
          <w:tcPr>
            <w:tcW w:w="236" w:type="dxa"/>
            <w:tcBorders>
              <w:top w:val="nil"/>
              <w:left w:val="nil"/>
              <w:bottom w:val="nil"/>
              <w:right w:val="nil"/>
            </w:tcBorders>
            <w:shd w:val="clear" w:color="FFFFFF" w:fill="FFFFFF"/>
            <w:noWrap/>
            <w:vAlign w:val="bottom"/>
            <w:hideMark/>
          </w:tcPr>
          <w:p w14:paraId="6BE7E02E" w14:textId="77777777" w:rsidR="0082424C" w:rsidRPr="007A3600" w:rsidRDefault="0082424C" w:rsidP="00AD3197">
            <w:pPr>
              <w:spacing w:after="0" w:line="260" w:lineRule="atLeast"/>
              <w:rPr>
                <w:rFonts w:eastAsia="Times New Roman" w:cs="Arial"/>
                <w:sz w:val="16"/>
                <w:szCs w:val="16"/>
                <w:lang w:eastAsia="en-US"/>
              </w:rPr>
            </w:pPr>
            <w:r w:rsidRPr="007A3600">
              <w:rPr>
                <w:rFonts w:eastAsia="Times New Roman" w:cs="Arial"/>
                <w:sz w:val="16"/>
                <w:szCs w:val="16"/>
                <w:lang w:eastAsia="en-US"/>
              </w:rPr>
              <w:t> </w:t>
            </w:r>
          </w:p>
        </w:tc>
        <w:tc>
          <w:tcPr>
            <w:tcW w:w="1243" w:type="dxa"/>
            <w:tcBorders>
              <w:top w:val="nil"/>
              <w:left w:val="nil"/>
              <w:bottom w:val="nil"/>
              <w:right w:val="nil"/>
            </w:tcBorders>
            <w:shd w:val="clear" w:color="FFFFFF" w:fill="FFFFFF"/>
            <w:noWrap/>
            <w:vAlign w:val="bottom"/>
            <w:hideMark/>
          </w:tcPr>
          <w:p w14:paraId="399022AC" w14:textId="77777777" w:rsidR="0082424C" w:rsidRPr="007A3600" w:rsidRDefault="0082424C" w:rsidP="00AD3197">
            <w:pPr>
              <w:spacing w:after="0" w:line="260" w:lineRule="atLeast"/>
              <w:rPr>
                <w:rFonts w:eastAsia="Times New Roman" w:cs="Arial"/>
                <w:sz w:val="16"/>
                <w:szCs w:val="16"/>
                <w:lang w:eastAsia="en-US"/>
              </w:rPr>
            </w:pPr>
            <w:r w:rsidRPr="007A3600">
              <w:rPr>
                <w:rFonts w:eastAsia="Times New Roman" w:cs="Arial"/>
                <w:sz w:val="16"/>
                <w:szCs w:val="16"/>
                <w:lang w:eastAsia="en-US"/>
              </w:rPr>
              <w:t> </w:t>
            </w:r>
          </w:p>
        </w:tc>
      </w:tr>
      <w:tr w:rsidR="0082424C" w:rsidRPr="007A3600" w14:paraId="213B6253" w14:textId="77777777">
        <w:trPr>
          <w:trHeight w:val="250"/>
        </w:trPr>
        <w:tc>
          <w:tcPr>
            <w:tcW w:w="6365" w:type="dxa"/>
            <w:tcBorders>
              <w:top w:val="nil"/>
              <w:left w:val="nil"/>
              <w:bottom w:val="nil"/>
              <w:right w:val="nil"/>
            </w:tcBorders>
            <w:shd w:val="clear" w:color="FFFFFF" w:fill="FFFFFF"/>
            <w:noWrap/>
            <w:vAlign w:val="bottom"/>
            <w:hideMark/>
          </w:tcPr>
          <w:p w14:paraId="2BE4224F"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Buildings</w:t>
            </w:r>
          </w:p>
        </w:tc>
        <w:tc>
          <w:tcPr>
            <w:tcW w:w="1243" w:type="dxa"/>
            <w:tcBorders>
              <w:top w:val="nil"/>
              <w:left w:val="nil"/>
              <w:bottom w:val="nil"/>
              <w:right w:val="nil"/>
            </w:tcBorders>
            <w:shd w:val="clear" w:color="FFFFFF" w:fill="FFFFFF"/>
            <w:noWrap/>
            <w:vAlign w:val="bottom"/>
            <w:hideMark/>
          </w:tcPr>
          <w:p w14:paraId="6A050B4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148,491</w:t>
            </w:r>
          </w:p>
        </w:tc>
        <w:tc>
          <w:tcPr>
            <w:tcW w:w="236" w:type="dxa"/>
            <w:tcBorders>
              <w:top w:val="nil"/>
              <w:left w:val="nil"/>
              <w:bottom w:val="nil"/>
              <w:right w:val="nil"/>
            </w:tcBorders>
            <w:shd w:val="clear" w:color="FFFFFF" w:fill="FFFFFF"/>
            <w:noWrap/>
            <w:vAlign w:val="bottom"/>
            <w:hideMark/>
          </w:tcPr>
          <w:p w14:paraId="5E8EE08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A47D822"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165,582</w:t>
            </w:r>
          </w:p>
        </w:tc>
      </w:tr>
      <w:tr w:rsidR="0082424C" w:rsidRPr="007A3600" w14:paraId="2FB5CF31" w14:textId="77777777">
        <w:trPr>
          <w:trHeight w:val="250"/>
        </w:trPr>
        <w:tc>
          <w:tcPr>
            <w:tcW w:w="6365" w:type="dxa"/>
            <w:tcBorders>
              <w:top w:val="nil"/>
              <w:left w:val="nil"/>
              <w:bottom w:val="nil"/>
              <w:right w:val="nil"/>
            </w:tcBorders>
            <w:shd w:val="clear" w:color="FFFFFF" w:fill="FFFFFF"/>
            <w:noWrap/>
            <w:vAlign w:val="bottom"/>
            <w:hideMark/>
          </w:tcPr>
          <w:p w14:paraId="7E37D90C"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Plant and equipment</w:t>
            </w:r>
          </w:p>
        </w:tc>
        <w:tc>
          <w:tcPr>
            <w:tcW w:w="1243" w:type="dxa"/>
            <w:tcBorders>
              <w:top w:val="nil"/>
              <w:left w:val="nil"/>
              <w:bottom w:val="nil"/>
              <w:right w:val="nil"/>
            </w:tcBorders>
            <w:shd w:val="clear" w:color="FFFFFF" w:fill="FFFFFF"/>
            <w:noWrap/>
            <w:vAlign w:val="bottom"/>
            <w:hideMark/>
          </w:tcPr>
          <w:p w14:paraId="3F8EABD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2,087</w:t>
            </w:r>
          </w:p>
        </w:tc>
        <w:tc>
          <w:tcPr>
            <w:tcW w:w="236" w:type="dxa"/>
            <w:tcBorders>
              <w:top w:val="nil"/>
              <w:left w:val="nil"/>
              <w:bottom w:val="nil"/>
              <w:right w:val="nil"/>
            </w:tcBorders>
            <w:shd w:val="clear" w:color="FFFFFF" w:fill="FFFFFF"/>
            <w:noWrap/>
            <w:vAlign w:val="bottom"/>
            <w:hideMark/>
          </w:tcPr>
          <w:p w14:paraId="5F62B14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83761F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1,077</w:t>
            </w:r>
          </w:p>
        </w:tc>
      </w:tr>
      <w:tr w:rsidR="0082424C" w:rsidRPr="007A3600" w14:paraId="521D442E" w14:textId="77777777">
        <w:trPr>
          <w:trHeight w:val="260"/>
        </w:trPr>
        <w:tc>
          <w:tcPr>
            <w:tcW w:w="6365" w:type="dxa"/>
            <w:tcBorders>
              <w:top w:val="nil"/>
              <w:left w:val="nil"/>
              <w:bottom w:val="nil"/>
              <w:right w:val="nil"/>
            </w:tcBorders>
            <w:shd w:val="clear" w:color="FFFFFF" w:fill="FFFFFF"/>
            <w:vAlign w:val="bottom"/>
            <w:hideMark/>
          </w:tcPr>
          <w:p w14:paraId="6CDA66C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xml:space="preserve">Total leases </w:t>
            </w:r>
          </w:p>
        </w:tc>
        <w:tc>
          <w:tcPr>
            <w:tcW w:w="1243" w:type="dxa"/>
            <w:tcBorders>
              <w:top w:val="single" w:sz="4" w:space="0" w:color="auto"/>
              <w:left w:val="nil"/>
              <w:bottom w:val="single" w:sz="4" w:space="0" w:color="auto"/>
              <w:right w:val="nil"/>
            </w:tcBorders>
            <w:shd w:val="clear" w:color="FFFFFF" w:fill="FFFFFF"/>
            <w:noWrap/>
            <w:vAlign w:val="bottom"/>
            <w:hideMark/>
          </w:tcPr>
          <w:p w14:paraId="11A7158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150,578</w:t>
            </w:r>
          </w:p>
        </w:tc>
        <w:tc>
          <w:tcPr>
            <w:tcW w:w="236" w:type="dxa"/>
            <w:tcBorders>
              <w:top w:val="nil"/>
              <w:left w:val="nil"/>
              <w:bottom w:val="nil"/>
              <w:right w:val="nil"/>
            </w:tcBorders>
            <w:shd w:val="clear" w:color="FFFFFF" w:fill="FFFFFF"/>
            <w:noWrap/>
            <w:vAlign w:val="bottom"/>
            <w:hideMark/>
          </w:tcPr>
          <w:p w14:paraId="51F0A48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17E5488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166,659</w:t>
            </w:r>
          </w:p>
        </w:tc>
      </w:tr>
    </w:tbl>
    <w:p w14:paraId="47CD7552" w14:textId="77777777" w:rsidR="0082424C" w:rsidRPr="007A3600" w:rsidRDefault="0082424C" w:rsidP="00AD3197">
      <w:pPr>
        <w:spacing w:after="0" w:line="240" w:lineRule="auto"/>
        <w:rPr>
          <w:rFonts w:ascii="Times New Roman" w:eastAsia="Times New Roman" w:hAnsi="Times New Roman"/>
          <w:sz w:val="22"/>
          <w:szCs w:val="20"/>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564C3914" w14:textId="77777777">
        <w:trPr>
          <w:trHeight w:val="260"/>
        </w:trPr>
        <w:tc>
          <w:tcPr>
            <w:tcW w:w="6365" w:type="dxa"/>
            <w:tcBorders>
              <w:top w:val="nil"/>
              <w:left w:val="nil"/>
              <w:bottom w:val="nil"/>
              <w:right w:val="nil"/>
            </w:tcBorders>
            <w:shd w:val="clear" w:color="FFFFFF" w:fill="FFFFFF"/>
            <w:noWrap/>
            <w:vAlign w:val="bottom"/>
            <w:hideMark/>
          </w:tcPr>
          <w:p w14:paraId="301AB81C"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2.5: Leases - Maturity</w:t>
            </w:r>
          </w:p>
        </w:tc>
        <w:tc>
          <w:tcPr>
            <w:tcW w:w="1243" w:type="dxa"/>
            <w:tcBorders>
              <w:top w:val="nil"/>
              <w:left w:val="nil"/>
              <w:bottom w:val="nil"/>
              <w:right w:val="nil"/>
            </w:tcBorders>
            <w:shd w:val="clear" w:color="FFFFFF" w:fill="FFFFFF"/>
            <w:noWrap/>
            <w:vAlign w:val="bottom"/>
            <w:hideMark/>
          </w:tcPr>
          <w:p w14:paraId="0C15E48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EED37D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D84AF7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CC6FAE5" w14:textId="77777777">
        <w:trPr>
          <w:trHeight w:val="250"/>
        </w:trPr>
        <w:tc>
          <w:tcPr>
            <w:tcW w:w="6365" w:type="dxa"/>
            <w:tcBorders>
              <w:top w:val="nil"/>
              <w:left w:val="nil"/>
              <w:bottom w:val="nil"/>
              <w:right w:val="nil"/>
            </w:tcBorders>
            <w:shd w:val="clear" w:color="FFFFFF" w:fill="FFFFFF"/>
            <w:vAlign w:val="bottom"/>
            <w:hideMark/>
          </w:tcPr>
          <w:p w14:paraId="45368DB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Maturity analysis - contractual undiscounted cash flows</w:t>
            </w:r>
          </w:p>
        </w:tc>
        <w:tc>
          <w:tcPr>
            <w:tcW w:w="1243" w:type="dxa"/>
            <w:tcBorders>
              <w:top w:val="nil"/>
              <w:left w:val="nil"/>
              <w:bottom w:val="nil"/>
              <w:right w:val="nil"/>
            </w:tcBorders>
            <w:shd w:val="clear" w:color="FFFFFF" w:fill="FFFFFF"/>
            <w:noWrap/>
            <w:vAlign w:val="bottom"/>
            <w:hideMark/>
          </w:tcPr>
          <w:p w14:paraId="58E81420"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A58FD9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306891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5D3FC17B" w14:textId="77777777">
        <w:trPr>
          <w:trHeight w:val="250"/>
        </w:trPr>
        <w:tc>
          <w:tcPr>
            <w:tcW w:w="6365" w:type="dxa"/>
            <w:tcBorders>
              <w:top w:val="nil"/>
              <w:left w:val="nil"/>
              <w:bottom w:val="nil"/>
              <w:right w:val="nil"/>
            </w:tcBorders>
            <w:shd w:val="clear" w:color="FFFFFF" w:fill="FFFFFF"/>
            <w:noWrap/>
            <w:vAlign w:val="bottom"/>
            <w:hideMark/>
          </w:tcPr>
          <w:p w14:paraId="08940979"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Within 1 year</w:t>
            </w:r>
          </w:p>
        </w:tc>
        <w:tc>
          <w:tcPr>
            <w:tcW w:w="1243" w:type="dxa"/>
            <w:tcBorders>
              <w:top w:val="nil"/>
              <w:left w:val="nil"/>
              <w:bottom w:val="nil"/>
              <w:right w:val="nil"/>
            </w:tcBorders>
            <w:shd w:val="clear" w:color="FFFFFF" w:fill="FFFFFF"/>
            <w:noWrap/>
            <w:vAlign w:val="bottom"/>
            <w:hideMark/>
          </w:tcPr>
          <w:p w14:paraId="323C181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34,980</w:t>
            </w:r>
          </w:p>
        </w:tc>
        <w:tc>
          <w:tcPr>
            <w:tcW w:w="236" w:type="dxa"/>
            <w:tcBorders>
              <w:top w:val="nil"/>
              <w:left w:val="nil"/>
              <w:bottom w:val="nil"/>
              <w:right w:val="nil"/>
            </w:tcBorders>
            <w:shd w:val="clear" w:color="FFFFFF" w:fill="FFFFFF"/>
            <w:noWrap/>
            <w:vAlign w:val="bottom"/>
            <w:hideMark/>
          </w:tcPr>
          <w:p w14:paraId="4675CA0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FD36E6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34,020</w:t>
            </w:r>
          </w:p>
        </w:tc>
      </w:tr>
      <w:tr w:rsidR="0082424C" w:rsidRPr="007A3600" w14:paraId="58C2A264" w14:textId="77777777">
        <w:trPr>
          <w:trHeight w:val="250"/>
        </w:trPr>
        <w:tc>
          <w:tcPr>
            <w:tcW w:w="6365" w:type="dxa"/>
            <w:tcBorders>
              <w:top w:val="nil"/>
              <w:left w:val="nil"/>
              <w:bottom w:val="nil"/>
              <w:right w:val="nil"/>
            </w:tcBorders>
            <w:shd w:val="clear" w:color="FFFFFF" w:fill="FFFFFF"/>
            <w:noWrap/>
            <w:vAlign w:val="bottom"/>
            <w:hideMark/>
          </w:tcPr>
          <w:p w14:paraId="71EE77E1"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Between 1 to 5 years</w:t>
            </w:r>
          </w:p>
        </w:tc>
        <w:tc>
          <w:tcPr>
            <w:tcW w:w="1243" w:type="dxa"/>
            <w:tcBorders>
              <w:top w:val="nil"/>
              <w:left w:val="nil"/>
              <w:bottom w:val="nil"/>
              <w:right w:val="nil"/>
            </w:tcBorders>
            <w:shd w:val="clear" w:color="FFFFFF" w:fill="FFFFFF"/>
            <w:noWrap/>
            <w:vAlign w:val="bottom"/>
            <w:hideMark/>
          </w:tcPr>
          <w:p w14:paraId="6479D7A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88,965</w:t>
            </w:r>
          </w:p>
        </w:tc>
        <w:tc>
          <w:tcPr>
            <w:tcW w:w="236" w:type="dxa"/>
            <w:tcBorders>
              <w:top w:val="nil"/>
              <w:left w:val="nil"/>
              <w:bottom w:val="nil"/>
              <w:right w:val="nil"/>
            </w:tcBorders>
            <w:shd w:val="clear" w:color="FFFFFF" w:fill="FFFFFF"/>
            <w:noWrap/>
            <w:vAlign w:val="bottom"/>
            <w:hideMark/>
          </w:tcPr>
          <w:p w14:paraId="3153886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6CA388C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96,170</w:t>
            </w:r>
          </w:p>
        </w:tc>
      </w:tr>
      <w:tr w:rsidR="0082424C" w:rsidRPr="007A3600" w14:paraId="561AABDF" w14:textId="77777777">
        <w:trPr>
          <w:trHeight w:val="250"/>
        </w:trPr>
        <w:tc>
          <w:tcPr>
            <w:tcW w:w="6365" w:type="dxa"/>
            <w:tcBorders>
              <w:top w:val="nil"/>
              <w:left w:val="nil"/>
              <w:bottom w:val="nil"/>
              <w:right w:val="nil"/>
            </w:tcBorders>
            <w:shd w:val="clear" w:color="FFFFFF" w:fill="FFFFFF"/>
            <w:noWrap/>
            <w:vAlign w:val="bottom"/>
            <w:hideMark/>
          </w:tcPr>
          <w:p w14:paraId="3DDCB26A"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More than 5 years</w:t>
            </w:r>
          </w:p>
        </w:tc>
        <w:tc>
          <w:tcPr>
            <w:tcW w:w="1243" w:type="dxa"/>
            <w:tcBorders>
              <w:top w:val="nil"/>
              <w:left w:val="nil"/>
              <w:bottom w:val="nil"/>
              <w:right w:val="nil"/>
            </w:tcBorders>
            <w:shd w:val="clear" w:color="FFFFFF" w:fill="FFFFFF"/>
            <w:noWrap/>
            <w:vAlign w:val="bottom"/>
            <w:hideMark/>
          </w:tcPr>
          <w:p w14:paraId="56B56F6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39,911</w:t>
            </w:r>
          </w:p>
        </w:tc>
        <w:tc>
          <w:tcPr>
            <w:tcW w:w="236" w:type="dxa"/>
            <w:tcBorders>
              <w:top w:val="nil"/>
              <w:left w:val="nil"/>
              <w:bottom w:val="nil"/>
              <w:right w:val="nil"/>
            </w:tcBorders>
            <w:shd w:val="clear" w:color="FFFFFF" w:fill="FFFFFF"/>
            <w:noWrap/>
            <w:vAlign w:val="bottom"/>
            <w:hideMark/>
          </w:tcPr>
          <w:p w14:paraId="0980065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0F80AA8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50,261</w:t>
            </w:r>
          </w:p>
        </w:tc>
      </w:tr>
      <w:tr w:rsidR="0082424C" w:rsidRPr="007A3600" w14:paraId="6454D7EF" w14:textId="77777777">
        <w:trPr>
          <w:trHeight w:val="260"/>
        </w:trPr>
        <w:tc>
          <w:tcPr>
            <w:tcW w:w="6365" w:type="dxa"/>
            <w:tcBorders>
              <w:top w:val="nil"/>
              <w:left w:val="nil"/>
              <w:bottom w:val="nil"/>
              <w:right w:val="nil"/>
            </w:tcBorders>
            <w:shd w:val="clear" w:color="FFFFFF" w:fill="FFFFFF"/>
            <w:vAlign w:val="bottom"/>
            <w:hideMark/>
          </w:tcPr>
          <w:p w14:paraId="58407801"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leases</w:t>
            </w:r>
          </w:p>
        </w:tc>
        <w:tc>
          <w:tcPr>
            <w:tcW w:w="1243" w:type="dxa"/>
            <w:tcBorders>
              <w:top w:val="single" w:sz="4" w:space="0" w:color="auto"/>
              <w:left w:val="nil"/>
              <w:bottom w:val="single" w:sz="4" w:space="0" w:color="auto"/>
              <w:right w:val="nil"/>
            </w:tcBorders>
            <w:shd w:val="clear" w:color="FFFFFF" w:fill="FFFFFF"/>
            <w:noWrap/>
            <w:vAlign w:val="bottom"/>
            <w:hideMark/>
          </w:tcPr>
          <w:p w14:paraId="3C48B11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163,856</w:t>
            </w:r>
          </w:p>
        </w:tc>
        <w:tc>
          <w:tcPr>
            <w:tcW w:w="236" w:type="dxa"/>
            <w:tcBorders>
              <w:top w:val="nil"/>
              <w:left w:val="nil"/>
              <w:bottom w:val="nil"/>
              <w:right w:val="nil"/>
            </w:tcBorders>
            <w:shd w:val="clear" w:color="FFFFFF" w:fill="FFFFFF"/>
            <w:noWrap/>
            <w:vAlign w:val="bottom"/>
            <w:hideMark/>
          </w:tcPr>
          <w:p w14:paraId="4BBE29A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594FC56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180,451</w:t>
            </w:r>
          </w:p>
        </w:tc>
      </w:tr>
    </w:tbl>
    <w:p w14:paraId="25ECCBA9"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The Agency, in its capacity, as lessee, has entered into leasing arrangements to meet its operational obligations.</w:t>
      </w:r>
    </w:p>
    <w:p w14:paraId="084DD216"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These leases are managed through an agreement with Services Australia and JLL under Whole of Government (WoG) arrangements. Each lease has terms and conditions specified in relation to when contingent rent is payable, variable lease payments, renewal or purchase options, annual percentage rent increase, escalation clauses and restrictions. These lease terms are set as per commercial market arrangements. The above lease disclosures should be read in conjunction with the accompanying notes 1.1B, 1.1D, 1.2B and 2.2A.</w:t>
      </w:r>
    </w:p>
    <w:p w14:paraId="0EB55F7C" w14:textId="2A571F71" w:rsidR="00616705" w:rsidRPr="007A3600" w:rsidRDefault="0082424C" w:rsidP="00AD3197">
      <w:pPr>
        <w:spacing w:after="0" w:line="240" w:lineRule="auto"/>
        <w:rPr>
          <w:rFonts w:eastAsia="Times New Roman" w:cs="Arial"/>
          <w:sz w:val="18"/>
          <w:szCs w:val="18"/>
        </w:rPr>
      </w:pPr>
      <w:r w:rsidRPr="007A3600">
        <w:rPr>
          <w:rFonts w:eastAsia="Times New Roman" w:cs="Arial"/>
          <w:sz w:val="18"/>
          <w:szCs w:val="18"/>
        </w:rPr>
        <w:t xml:space="preserve">Total cash outflow for leases for the year ended </w:t>
      </w:r>
      <w:r w:rsidRPr="007A3600">
        <w:rPr>
          <w:rFonts w:eastAsia="Times New Roman" w:cs="Arial"/>
          <w:sz w:val="18"/>
          <w:szCs w:val="18"/>
        </w:rPr>
        <w:fldChar w:fldCharType="begin"/>
      </w:r>
      <w:r w:rsidRPr="007A3600">
        <w:rPr>
          <w:rFonts w:eastAsia="Times New Roman" w:cs="Arial"/>
          <w:sz w:val="18"/>
          <w:szCs w:val="18"/>
        </w:rPr>
        <w:instrText xml:space="preserve"> DOCPROPERTY  pEnd  \* MERGEFORMAT </w:instrText>
      </w:r>
      <w:r w:rsidRPr="007A3600">
        <w:rPr>
          <w:rFonts w:eastAsia="Times New Roman" w:cs="Arial"/>
          <w:sz w:val="18"/>
          <w:szCs w:val="18"/>
        </w:rPr>
        <w:fldChar w:fldCharType="separate"/>
      </w:r>
      <w:r w:rsidRPr="007A3600">
        <w:rPr>
          <w:rFonts w:eastAsia="Times New Roman" w:cs="Arial"/>
          <w:sz w:val="18"/>
          <w:szCs w:val="18"/>
        </w:rPr>
        <w:t>30 June</w:t>
      </w:r>
      <w:r w:rsidRPr="007A3600">
        <w:rPr>
          <w:rFonts w:eastAsia="Times New Roman" w:cs="Arial"/>
          <w:sz w:val="18"/>
          <w:szCs w:val="18"/>
        </w:rPr>
        <w:fldChar w:fldCharType="end"/>
      </w:r>
      <w:r w:rsidRPr="007A3600">
        <w:rPr>
          <w:rFonts w:eastAsia="Times New Roman" w:cs="Arial"/>
          <w:sz w:val="18"/>
          <w:szCs w:val="18"/>
        </w:rPr>
        <w:t xml:space="preserve"> </w:t>
      </w:r>
      <w:r w:rsidRPr="007A3600">
        <w:rPr>
          <w:rFonts w:eastAsia="Times New Roman" w:cs="Arial"/>
          <w:sz w:val="18"/>
          <w:szCs w:val="18"/>
        </w:rPr>
        <w:fldChar w:fldCharType="begin"/>
      </w:r>
      <w:r w:rsidRPr="007A3600">
        <w:rPr>
          <w:rFonts w:eastAsia="Times New Roman" w:cs="Arial"/>
          <w:sz w:val="18"/>
          <w:szCs w:val="18"/>
        </w:rPr>
        <w:instrText xml:space="preserve"> DOCPROPERTY  crYear  \* MERGEFORMAT </w:instrText>
      </w:r>
      <w:r w:rsidRPr="007A3600">
        <w:rPr>
          <w:rFonts w:eastAsia="Times New Roman" w:cs="Arial"/>
          <w:sz w:val="18"/>
          <w:szCs w:val="18"/>
        </w:rPr>
        <w:fldChar w:fldCharType="separate"/>
      </w:r>
      <w:r w:rsidRPr="007A3600">
        <w:rPr>
          <w:rFonts w:eastAsia="Times New Roman" w:cs="Arial"/>
          <w:sz w:val="18"/>
          <w:szCs w:val="18"/>
        </w:rPr>
        <w:t>2025</w:t>
      </w:r>
      <w:r w:rsidRPr="007A3600">
        <w:rPr>
          <w:rFonts w:eastAsia="Times New Roman" w:cs="Arial"/>
          <w:sz w:val="18"/>
          <w:szCs w:val="18"/>
        </w:rPr>
        <w:fldChar w:fldCharType="end"/>
      </w:r>
      <w:r w:rsidRPr="007A3600">
        <w:rPr>
          <w:rFonts w:eastAsia="Times New Roman" w:cs="Arial"/>
          <w:sz w:val="18"/>
          <w:szCs w:val="18"/>
        </w:rPr>
        <w:t xml:space="preserve"> was $44.03m (2023–24: $31.68m).</w:t>
      </w:r>
      <w:r w:rsidR="00616705" w:rsidRPr="007A3600">
        <w:rPr>
          <w:rFonts w:eastAsia="Times New Roman" w:cs="Arial"/>
          <w:sz w:val="18"/>
          <w:szCs w:val="18"/>
        </w:rPr>
        <w:br w:type="page"/>
      </w:r>
    </w:p>
    <w:p w14:paraId="7930F823"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66AC6201"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7E38B3F9"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
          <w:bCs/>
          <w:sz w:val="18"/>
          <w:szCs w:val="18"/>
          <w:lang w:eastAsia="en-US"/>
        </w:rPr>
      </w:pPr>
      <w:r w:rsidRPr="007A3600">
        <w:rPr>
          <w:rFonts w:eastAsia="Times New Roman" w:cs="Arial"/>
          <w:b/>
          <w:bCs/>
          <w:sz w:val="18"/>
          <w:szCs w:val="18"/>
          <w:lang w:eastAsia="en-US"/>
        </w:rPr>
        <w:t>Accounting Policy</w:t>
      </w:r>
    </w:p>
    <w:p w14:paraId="605D6213"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For all new contracts entered into, the Agency considers whether the contract is, or contains a lease. A lease is defined as ‘a contract, or part of a contract, that conveys the right to use an asset (the underlying asset) for a period of time in exchange for consideration’.</w:t>
      </w:r>
    </w:p>
    <w:p w14:paraId="79884E3D"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Once it has been determined that a contract is, or contains a lease, the lease liability is initially measured at the present value of the lease payments unpaid at the commencement date, discounted using the interest rate implicit in the lease, if that rate is readily determinable, or the Agency’s incremental borrowing rate.</w:t>
      </w:r>
    </w:p>
    <w:p w14:paraId="7D2E641B"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0" w:line="120" w:lineRule="atLeast"/>
        <w:rPr>
          <w:rFonts w:eastAsia="Times New Roman" w:cs="Arial"/>
          <w:bCs/>
          <w:sz w:val="18"/>
          <w:szCs w:val="18"/>
          <w:lang w:eastAsia="en-US"/>
        </w:rPr>
      </w:pPr>
      <w:r w:rsidRPr="007A3600">
        <w:rPr>
          <w:rFonts w:eastAsia="Times New Roman" w:cs="Arial"/>
          <w:bCs/>
          <w:sz w:val="18"/>
          <w:szCs w:val="18"/>
          <w:lang w:eastAsia="en-US"/>
        </w:rPr>
        <w:t>Subsequent to initial measurement, the liability will be reduced for payments made and increased for interest. It is remeasured to reflect any reassessment or modification to the lease. When the lease liability is remeasured, the corresponding adjustment is reflected in the right-of-use asset or profit and loss depending on the nature of the reassessment or modification.</w:t>
      </w:r>
    </w:p>
    <w:p w14:paraId="77C35A03" w14:textId="77777777" w:rsidR="0082424C" w:rsidRPr="007A3600" w:rsidRDefault="0082424C" w:rsidP="00132695">
      <w:pPr>
        <w:numPr>
          <w:ilvl w:val="1"/>
          <w:numId w:val="0"/>
        </w:numPr>
        <w:shd w:val="clear" w:color="auto" w:fill="000000"/>
        <w:spacing w:before="240" w:after="0" w:line="260" w:lineRule="atLeast"/>
        <w:ind w:left="425" w:hanging="425"/>
        <w:rPr>
          <w:rFonts w:eastAsia="Times New Roman" w:cs="Arial"/>
          <w:b/>
          <w:color w:val="FFFFFF"/>
          <w:sz w:val="20"/>
          <w:szCs w:val="20"/>
          <w:lang w:eastAsia="en-US"/>
        </w:rPr>
      </w:pPr>
      <w:bookmarkStart w:id="208" w:name="_Toc65742852"/>
      <w:bookmarkStart w:id="209" w:name="_Toc195692041"/>
      <w:r w:rsidRPr="007A3600">
        <w:rPr>
          <w:rFonts w:eastAsia="Times New Roman" w:cs="Arial"/>
          <w:b/>
          <w:color w:val="FFFFFF"/>
          <w:sz w:val="20"/>
          <w:szCs w:val="20"/>
          <w:lang w:eastAsia="en-US"/>
        </w:rPr>
        <w:t>2.6</w:t>
      </w:r>
      <w:r w:rsidRPr="007A3600">
        <w:rPr>
          <w:rFonts w:eastAsia="Times New Roman" w:cs="Arial"/>
          <w:b/>
          <w:color w:val="FFFFFF"/>
          <w:sz w:val="20"/>
          <w:szCs w:val="20"/>
          <w:lang w:eastAsia="en-US"/>
        </w:rPr>
        <w:tab/>
        <w:t>Provisions</w:t>
      </w:r>
      <w:bookmarkEnd w:id="208"/>
      <w:bookmarkEnd w:id="209"/>
    </w:p>
    <w:p w14:paraId="1C612F2F" w14:textId="77777777" w:rsidR="0082424C" w:rsidRPr="007A3600" w:rsidRDefault="0082424C" w:rsidP="00AD3197">
      <w:pPr>
        <w:spacing w:after="0" w:line="240" w:lineRule="auto"/>
        <w:ind w:right="607"/>
        <w:rPr>
          <w:rFonts w:eastAsia="Times New Roman"/>
          <w:b/>
          <w:sz w:val="18"/>
          <w:szCs w:val="18"/>
          <w:lang w:eastAsia="en-US"/>
        </w:rPr>
      </w:pPr>
    </w:p>
    <w:tbl>
      <w:tblPr>
        <w:tblW w:w="9087" w:type="dxa"/>
        <w:tblLayout w:type="fixed"/>
        <w:tblCellMar>
          <w:left w:w="57" w:type="dxa"/>
          <w:right w:w="57" w:type="dxa"/>
        </w:tblCellMar>
        <w:tblLook w:val="04A0" w:firstRow="1" w:lastRow="0" w:firstColumn="1" w:lastColumn="0" w:noHBand="0" w:noVBand="1"/>
      </w:tblPr>
      <w:tblGrid>
        <w:gridCol w:w="3677"/>
        <w:gridCol w:w="1354"/>
        <w:gridCol w:w="1352"/>
        <w:gridCol w:w="1352"/>
        <w:gridCol w:w="1352"/>
      </w:tblGrid>
      <w:tr w:rsidR="0082424C" w:rsidRPr="007A3600" w14:paraId="30F35DC2" w14:textId="77777777">
        <w:trPr>
          <w:trHeight w:val="688"/>
        </w:trPr>
        <w:tc>
          <w:tcPr>
            <w:tcW w:w="3677" w:type="dxa"/>
            <w:tcBorders>
              <w:top w:val="single" w:sz="4" w:space="0" w:color="auto"/>
              <w:left w:val="nil"/>
              <w:bottom w:val="nil"/>
              <w:right w:val="nil"/>
            </w:tcBorders>
            <w:shd w:val="clear" w:color="FFFFFF" w:fill="FFFFFF"/>
            <w:vAlign w:val="bottom"/>
            <w:hideMark/>
          </w:tcPr>
          <w:p w14:paraId="575BEEE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54" w:type="dxa"/>
            <w:tcBorders>
              <w:top w:val="single" w:sz="4" w:space="0" w:color="auto"/>
              <w:left w:val="nil"/>
              <w:bottom w:val="nil"/>
              <w:right w:val="nil"/>
            </w:tcBorders>
            <w:shd w:val="clear" w:color="FFFFFF" w:fill="FFFFFF"/>
            <w:vAlign w:val="bottom"/>
            <w:hideMark/>
          </w:tcPr>
          <w:p w14:paraId="7CE9AD3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Participant plan provision</w:t>
            </w:r>
          </w:p>
        </w:tc>
        <w:tc>
          <w:tcPr>
            <w:tcW w:w="1352" w:type="dxa"/>
            <w:tcBorders>
              <w:top w:val="single" w:sz="4" w:space="0" w:color="auto"/>
              <w:left w:val="nil"/>
              <w:bottom w:val="nil"/>
              <w:right w:val="nil"/>
            </w:tcBorders>
            <w:shd w:val="clear" w:color="FFFFFF" w:fill="FFFFFF"/>
            <w:vAlign w:val="bottom"/>
            <w:hideMark/>
          </w:tcPr>
          <w:p w14:paraId="2BA652B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Provision for restoration obligations</w:t>
            </w:r>
          </w:p>
        </w:tc>
        <w:tc>
          <w:tcPr>
            <w:tcW w:w="1352" w:type="dxa"/>
            <w:tcBorders>
              <w:top w:val="single" w:sz="4" w:space="0" w:color="auto"/>
              <w:left w:val="nil"/>
              <w:bottom w:val="nil"/>
              <w:right w:val="nil"/>
            </w:tcBorders>
            <w:shd w:val="clear" w:color="FFFFFF" w:fill="FFFFFF"/>
            <w:vAlign w:val="bottom"/>
            <w:hideMark/>
          </w:tcPr>
          <w:p w14:paraId="26C04AE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Provision for historical Scheme debt</w:t>
            </w:r>
          </w:p>
        </w:tc>
        <w:tc>
          <w:tcPr>
            <w:tcW w:w="1352" w:type="dxa"/>
            <w:tcBorders>
              <w:top w:val="single" w:sz="4" w:space="0" w:color="auto"/>
              <w:left w:val="nil"/>
              <w:bottom w:val="nil"/>
              <w:right w:val="nil"/>
            </w:tcBorders>
            <w:shd w:val="clear" w:color="FFFFFF" w:fill="FFFFFF"/>
            <w:vAlign w:val="bottom"/>
            <w:hideMark/>
          </w:tcPr>
          <w:p w14:paraId="3A06C65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Total</w:t>
            </w:r>
          </w:p>
        </w:tc>
      </w:tr>
      <w:tr w:rsidR="0082424C" w:rsidRPr="007A3600" w14:paraId="60E22DE5" w14:textId="77777777">
        <w:trPr>
          <w:trHeight w:val="260"/>
        </w:trPr>
        <w:tc>
          <w:tcPr>
            <w:tcW w:w="3677" w:type="dxa"/>
            <w:tcBorders>
              <w:top w:val="nil"/>
              <w:left w:val="nil"/>
              <w:bottom w:val="single" w:sz="4" w:space="0" w:color="auto"/>
              <w:right w:val="nil"/>
            </w:tcBorders>
            <w:shd w:val="clear" w:color="FFFFFF" w:fill="FFFFFF"/>
            <w:vAlign w:val="bottom"/>
            <w:hideMark/>
          </w:tcPr>
          <w:p w14:paraId="03609BC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54" w:type="dxa"/>
            <w:tcBorders>
              <w:top w:val="nil"/>
              <w:left w:val="nil"/>
              <w:bottom w:val="single" w:sz="4" w:space="0" w:color="auto"/>
              <w:right w:val="nil"/>
            </w:tcBorders>
            <w:shd w:val="clear" w:color="FFFFFF" w:fill="FFFFFF"/>
            <w:vAlign w:val="bottom"/>
            <w:hideMark/>
          </w:tcPr>
          <w:p w14:paraId="2C44823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352" w:type="dxa"/>
            <w:tcBorders>
              <w:top w:val="nil"/>
              <w:left w:val="nil"/>
              <w:bottom w:val="single" w:sz="4" w:space="0" w:color="auto"/>
              <w:right w:val="nil"/>
            </w:tcBorders>
            <w:shd w:val="clear" w:color="FFFFFF" w:fill="FFFFFF"/>
            <w:vAlign w:val="bottom"/>
            <w:hideMark/>
          </w:tcPr>
          <w:p w14:paraId="5B43A9C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352" w:type="dxa"/>
            <w:tcBorders>
              <w:top w:val="nil"/>
              <w:left w:val="nil"/>
              <w:bottom w:val="single" w:sz="4" w:space="0" w:color="auto"/>
              <w:right w:val="nil"/>
            </w:tcBorders>
            <w:shd w:val="clear" w:color="FFFFFF" w:fill="FFFFFF"/>
            <w:vAlign w:val="bottom"/>
            <w:hideMark/>
          </w:tcPr>
          <w:p w14:paraId="4DD4390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1352" w:type="dxa"/>
            <w:tcBorders>
              <w:top w:val="nil"/>
              <w:left w:val="nil"/>
              <w:bottom w:val="single" w:sz="4" w:space="0" w:color="auto"/>
              <w:right w:val="nil"/>
            </w:tcBorders>
            <w:shd w:val="clear" w:color="FFFFFF" w:fill="FFFFFF"/>
            <w:vAlign w:val="bottom"/>
            <w:hideMark/>
          </w:tcPr>
          <w:p w14:paraId="619D0BF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r>
      <w:tr w:rsidR="0082424C" w:rsidRPr="007A3600" w14:paraId="43C469DF" w14:textId="77777777">
        <w:trPr>
          <w:trHeight w:val="250"/>
        </w:trPr>
        <w:tc>
          <w:tcPr>
            <w:tcW w:w="3677" w:type="dxa"/>
            <w:tcBorders>
              <w:top w:val="nil"/>
              <w:left w:val="nil"/>
              <w:bottom w:val="nil"/>
              <w:right w:val="nil"/>
            </w:tcBorders>
            <w:shd w:val="clear" w:color="FFFFFF" w:fill="FFFFFF"/>
            <w:vAlign w:val="bottom"/>
            <w:hideMark/>
          </w:tcPr>
          <w:p w14:paraId="6007987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Carrying amount 1 July 2024</w:t>
            </w:r>
          </w:p>
        </w:tc>
        <w:tc>
          <w:tcPr>
            <w:tcW w:w="1354" w:type="dxa"/>
            <w:tcBorders>
              <w:top w:val="nil"/>
              <w:left w:val="nil"/>
              <w:bottom w:val="nil"/>
              <w:right w:val="nil"/>
            </w:tcBorders>
            <w:shd w:val="clear" w:color="FFFFFF" w:fill="FFFFFF"/>
            <w:noWrap/>
            <w:vAlign w:val="bottom"/>
            <w:hideMark/>
          </w:tcPr>
          <w:p w14:paraId="1E71B54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2,066,153</w:t>
            </w:r>
          </w:p>
        </w:tc>
        <w:tc>
          <w:tcPr>
            <w:tcW w:w="1352" w:type="dxa"/>
            <w:tcBorders>
              <w:top w:val="nil"/>
              <w:left w:val="nil"/>
              <w:bottom w:val="nil"/>
              <w:right w:val="nil"/>
            </w:tcBorders>
            <w:shd w:val="clear" w:color="FFFFFF" w:fill="FFFFFF"/>
            <w:noWrap/>
            <w:vAlign w:val="bottom"/>
            <w:hideMark/>
          </w:tcPr>
          <w:p w14:paraId="0B440B4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7,467</w:t>
            </w:r>
          </w:p>
        </w:tc>
        <w:tc>
          <w:tcPr>
            <w:tcW w:w="1352" w:type="dxa"/>
            <w:tcBorders>
              <w:top w:val="nil"/>
              <w:left w:val="nil"/>
              <w:bottom w:val="nil"/>
              <w:right w:val="nil"/>
            </w:tcBorders>
            <w:shd w:val="clear" w:color="FFFFFF" w:fill="FFFFFF"/>
            <w:noWrap/>
            <w:vAlign w:val="bottom"/>
            <w:hideMark/>
          </w:tcPr>
          <w:p w14:paraId="4C72971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9,088</w:t>
            </w:r>
          </w:p>
        </w:tc>
        <w:tc>
          <w:tcPr>
            <w:tcW w:w="1352" w:type="dxa"/>
            <w:tcBorders>
              <w:top w:val="nil"/>
              <w:left w:val="nil"/>
              <w:bottom w:val="nil"/>
              <w:right w:val="nil"/>
            </w:tcBorders>
            <w:shd w:val="clear" w:color="FFFFFF" w:fill="FFFFFF"/>
            <w:noWrap/>
            <w:vAlign w:val="bottom"/>
            <w:hideMark/>
          </w:tcPr>
          <w:p w14:paraId="631BFCF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2,082,708</w:t>
            </w:r>
          </w:p>
        </w:tc>
      </w:tr>
      <w:tr w:rsidR="0082424C" w:rsidRPr="007A3600" w14:paraId="7CF4F81E" w14:textId="77777777">
        <w:trPr>
          <w:trHeight w:val="250"/>
        </w:trPr>
        <w:tc>
          <w:tcPr>
            <w:tcW w:w="3677" w:type="dxa"/>
            <w:tcBorders>
              <w:top w:val="nil"/>
              <w:left w:val="nil"/>
              <w:bottom w:val="nil"/>
              <w:right w:val="nil"/>
            </w:tcBorders>
            <w:shd w:val="clear" w:color="FFFFFF" w:fill="FFFFFF"/>
            <w:vAlign w:val="bottom"/>
            <w:hideMark/>
          </w:tcPr>
          <w:p w14:paraId="611E573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Additional provisions made</w:t>
            </w:r>
          </w:p>
        </w:tc>
        <w:tc>
          <w:tcPr>
            <w:tcW w:w="1354" w:type="dxa"/>
            <w:tcBorders>
              <w:top w:val="nil"/>
              <w:left w:val="nil"/>
              <w:bottom w:val="nil"/>
              <w:right w:val="nil"/>
            </w:tcBorders>
            <w:shd w:val="clear" w:color="FFFFFF" w:fill="FFFFFF"/>
            <w:noWrap/>
            <w:vAlign w:val="bottom"/>
            <w:hideMark/>
          </w:tcPr>
          <w:p w14:paraId="6403E21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2,407,414</w:t>
            </w:r>
          </w:p>
        </w:tc>
        <w:tc>
          <w:tcPr>
            <w:tcW w:w="1352" w:type="dxa"/>
            <w:tcBorders>
              <w:top w:val="nil"/>
              <w:left w:val="nil"/>
              <w:bottom w:val="nil"/>
              <w:right w:val="nil"/>
            </w:tcBorders>
            <w:shd w:val="clear" w:color="FFFFFF" w:fill="FFFFFF"/>
            <w:noWrap/>
            <w:vAlign w:val="bottom"/>
            <w:hideMark/>
          </w:tcPr>
          <w:p w14:paraId="04049C4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1352" w:type="dxa"/>
            <w:tcBorders>
              <w:top w:val="nil"/>
              <w:left w:val="nil"/>
              <w:bottom w:val="nil"/>
              <w:right w:val="nil"/>
            </w:tcBorders>
            <w:shd w:val="clear" w:color="FFFFFF" w:fill="FFFFFF"/>
            <w:noWrap/>
            <w:vAlign w:val="bottom"/>
            <w:hideMark/>
          </w:tcPr>
          <w:p w14:paraId="3FEB9A5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1352" w:type="dxa"/>
            <w:tcBorders>
              <w:top w:val="nil"/>
              <w:left w:val="nil"/>
              <w:bottom w:val="nil"/>
              <w:right w:val="nil"/>
            </w:tcBorders>
            <w:shd w:val="clear" w:color="FFFFFF" w:fill="FFFFFF"/>
            <w:noWrap/>
            <w:vAlign w:val="bottom"/>
            <w:hideMark/>
          </w:tcPr>
          <w:p w14:paraId="4C8DF4C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2,407,414</w:t>
            </w:r>
          </w:p>
        </w:tc>
      </w:tr>
      <w:tr w:rsidR="0082424C" w:rsidRPr="007A3600" w14:paraId="062F55DD" w14:textId="77777777">
        <w:trPr>
          <w:trHeight w:val="250"/>
        </w:trPr>
        <w:tc>
          <w:tcPr>
            <w:tcW w:w="3677" w:type="dxa"/>
            <w:tcBorders>
              <w:top w:val="nil"/>
              <w:left w:val="nil"/>
              <w:bottom w:val="nil"/>
              <w:right w:val="nil"/>
            </w:tcBorders>
            <w:shd w:val="clear" w:color="FFFFFF" w:fill="FFFFFF"/>
            <w:vAlign w:val="bottom"/>
            <w:hideMark/>
          </w:tcPr>
          <w:p w14:paraId="5CDF981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Amounts reversed</w:t>
            </w:r>
          </w:p>
        </w:tc>
        <w:tc>
          <w:tcPr>
            <w:tcW w:w="1354" w:type="dxa"/>
            <w:tcBorders>
              <w:top w:val="nil"/>
              <w:left w:val="nil"/>
              <w:bottom w:val="nil"/>
              <w:right w:val="nil"/>
            </w:tcBorders>
            <w:shd w:val="clear" w:color="FFFFFF" w:fill="FFFFFF"/>
            <w:noWrap/>
            <w:vAlign w:val="bottom"/>
            <w:hideMark/>
          </w:tcPr>
          <w:p w14:paraId="08D9F07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(152,181)</w:t>
            </w:r>
          </w:p>
        </w:tc>
        <w:tc>
          <w:tcPr>
            <w:tcW w:w="1352" w:type="dxa"/>
            <w:tcBorders>
              <w:top w:val="nil"/>
              <w:left w:val="nil"/>
              <w:bottom w:val="nil"/>
              <w:right w:val="nil"/>
            </w:tcBorders>
            <w:shd w:val="clear" w:color="FFFFFF" w:fill="FFFFFF"/>
            <w:noWrap/>
            <w:vAlign w:val="bottom"/>
            <w:hideMark/>
          </w:tcPr>
          <w:p w14:paraId="2BE9C2D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(526)</w:t>
            </w:r>
          </w:p>
        </w:tc>
        <w:tc>
          <w:tcPr>
            <w:tcW w:w="1352" w:type="dxa"/>
            <w:tcBorders>
              <w:top w:val="nil"/>
              <w:left w:val="nil"/>
              <w:bottom w:val="nil"/>
              <w:right w:val="nil"/>
            </w:tcBorders>
            <w:shd w:val="clear" w:color="FFFFFF" w:fill="FFFFFF"/>
            <w:noWrap/>
            <w:vAlign w:val="bottom"/>
            <w:hideMark/>
          </w:tcPr>
          <w:p w14:paraId="41E591B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(2,546)</w:t>
            </w:r>
          </w:p>
        </w:tc>
        <w:tc>
          <w:tcPr>
            <w:tcW w:w="1352" w:type="dxa"/>
            <w:tcBorders>
              <w:top w:val="nil"/>
              <w:left w:val="nil"/>
              <w:bottom w:val="nil"/>
              <w:right w:val="nil"/>
            </w:tcBorders>
            <w:shd w:val="clear" w:color="FFFFFF" w:fill="FFFFFF"/>
            <w:noWrap/>
            <w:vAlign w:val="bottom"/>
            <w:hideMark/>
          </w:tcPr>
          <w:p w14:paraId="1F1510B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(155,253)</w:t>
            </w:r>
          </w:p>
        </w:tc>
      </w:tr>
      <w:tr w:rsidR="0082424C" w:rsidRPr="007A3600" w14:paraId="2DE5593C" w14:textId="77777777">
        <w:trPr>
          <w:trHeight w:val="250"/>
        </w:trPr>
        <w:tc>
          <w:tcPr>
            <w:tcW w:w="3677" w:type="dxa"/>
            <w:tcBorders>
              <w:top w:val="nil"/>
              <w:left w:val="nil"/>
              <w:bottom w:val="nil"/>
              <w:right w:val="nil"/>
            </w:tcBorders>
            <w:shd w:val="clear" w:color="FFFFFF" w:fill="FFFFFF"/>
            <w:vAlign w:val="bottom"/>
            <w:hideMark/>
          </w:tcPr>
          <w:p w14:paraId="60FDABC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Amounts used</w:t>
            </w:r>
          </w:p>
        </w:tc>
        <w:tc>
          <w:tcPr>
            <w:tcW w:w="1354" w:type="dxa"/>
            <w:tcBorders>
              <w:top w:val="nil"/>
              <w:left w:val="nil"/>
              <w:bottom w:val="nil"/>
              <w:right w:val="nil"/>
            </w:tcBorders>
            <w:shd w:val="clear" w:color="FFFFFF" w:fill="FFFFFF"/>
            <w:noWrap/>
            <w:vAlign w:val="bottom"/>
            <w:hideMark/>
          </w:tcPr>
          <w:p w14:paraId="7EB4608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(2,247,998)</w:t>
            </w:r>
          </w:p>
        </w:tc>
        <w:tc>
          <w:tcPr>
            <w:tcW w:w="1352" w:type="dxa"/>
            <w:tcBorders>
              <w:top w:val="nil"/>
              <w:left w:val="nil"/>
              <w:bottom w:val="nil"/>
              <w:right w:val="nil"/>
            </w:tcBorders>
            <w:shd w:val="clear" w:color="FFFFFF" w:fill="FFFFFF"/>
            <w:noWrap/>
            <w:vAlign w:val="bottom"/>
            <w:hideMark/>
          </w:tcPr>
          <w:p w14:paraId="68E8672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(51)</w:t>
            </w:r>
          </w:p>
        </w:tc>
        <w:tc>
          <w:tcPr>
            <w:tcW w:w="1352" w:type="dxa"/>
            <w:tcBorders>
              <w:top w:val="nil"/>
              <w:left w:val="nil"/>
              <w:bottom w:val="nil"/>
              <w:right w:val="nil"/>
            </w:tcBorders>
            <w:shd w:val="clear" w:color="FFFFFF" w:fill="FFFFFF"/>
            <w:noWrap/>
            <w:vAlign w:val="bottom"/>
            <w:hideMark/>
          </w:tcPr>
          <w:p w14:paraId="36C9EE8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(247)</w:t>
            </w:r>
          </w:p>
        </w:tc>
        <w:tc>
          <w:tcPr>
            <w:tcW w:w="1352" w:type="dxa"/>
            <w:tcBorders>
              <w:top w:val="nil"/>
              <w:left w:val="nil"/>
              <w:bottom w:val="nil"/>
              <w:right w:val="nil"/>
            </w:tcBorders>
            <w:shd w:val="clear" w:color="FFFFFF" w:fill="FFFFFF"/>
            <w:noWrap/>
            <w:vAlign w:val="bottom"/>
            <w:hideMark/>
          </w:tcPr>
          <w:p w14:paraId="7BD1779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(2,248,296)</w:t>
            </w:r>
          </w:p>
        </w:tc>
      </w:tr>
      <w:tr w:rsidR="0082424C" w:rsidRPr="007A3600" w14:paraId="7502D4D3" w14:textId="77777777">
        <w:trPr>
          <w:trHeight w:val="270"/>
        </w:trPr>
        <w:tc>
          <w:tcPr>
            <w:tcW w:w="3677" w:type="dxa"/>
            <w:tcBorders>
              <w:top w:val="nil"/>
              <w:left w:val="nil"/>
              <w:bottom w:val="nil"/>
              <w:right w:val="nil"/>
            </w:tcBorders>
            <w:shd w:val="clear" w:color="FFFFFF" w:fill="FFFFFF"/>
            <w:hideMark/>
          </w:tcPr>
          <w:p w14:paraId="529D1F0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Unwinding of discount or change in discount rate</w:t>
            </w:r>
          </w:p>
        </w:tc>
        <w:tc>
          <w:tcPr>
            <w:tcW w:w="1354" w:type="dxa"/>
            <w:tcBorders>
              <w:top w:val="nil"/>
              <w:left w:val="nil"/>
              <w:bottom w:val="nil"/>
              <w:right w:val="nil"/>
            </w:tcBorders>
            <w:shd w:val="clear" w:color="FFFFFF" w:fill="FFFFFF"/>
            <w:noWrap/>
            <w:hideMark/>
          </w:tcPr>
          <w:p w14:paraId="70BB126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1352" w:type="dxa"/>
            <w:tcBorders>
              <w:top w:val="nil"/>
              <w:left w:val="nil"/>
              <w:bottom w:val="nil"/>
              <w:right w:val="nil"/>
            </w:tcBorders>
            <w:shd w:val="clear" w:color="FFFFFF" w:fill="FFFFFF"/>
            <w:noWrap/>
            <w:hideMark/>
          </w:tcPr>
          <w:p w14:paraId="53BEA7C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293</w:t>
            </w:r>
          </w:p>
        </w:tc>
        <w:tc>
          <w:tcPr>
            <w:tcW w:w="1352" w:type="dxa"/>
            <w:tcBorders>
              <w:top w:val="nil"/>
              <w:left w:val="nil"/>
              <w:bottom w:val="nil"/>
              <w:right w:val="nil"/>
            </w:tcBorders>
            <w:shd w:val="clear" w:color="FFFFFF" w:fill="FFFFFF"/>
            <w:noWrap/>
            <w:hideMark/>
          </w:tcPr>
          <w:p w14:paraId="54366DF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w:t>
            </w:r>
          </w:p>
        </w:tc>
        <w:tc>
          <w:tcPr>
            <w:tcW w:w="1352" w:type="dxa"/>
            <w:tcBorders>
              <w:top w:val="nil"/>
              <w:left w:val="nil"/>
              <w:bottom w:val="nil"/>
              <w:right w:val="nil"/>
            </w:tcBorders>
            <w:shd w:val="clear" w:color="FFFFFF" w:fill="FFFFFF"/>
            <w:noWrap/>
            <w:hideMark/>
          </w:tcPr>
          <w:p w14:paraId="4725177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293</w:t>
            </w:r>
          </w:p>
        </w:tc>
      </w:tr>
      <w:tr w:rsidR="0082424C" w:rsidRPr="007A3600" w14:paraId="55E5C5F7" w14:textId="77777777">
        <w:trPr>
          <w:trHeight w:val="260"/>
        </w:trPr>
        <w:tc>
          <w:tcPr>
            <w:tcW w:w="3677" w:type="dxa"/>
            <w:tcBorders>
              <w:top w:val="single" w:sz="4" w:space="0" w:color="auto"/>
              <w:left w:val="nil"/>
              <w:bottom w:val="single" w:sz="4" w:space="0" w:color="auto"/>
              <w:right w:val="nil"/>
            </w:tcBorders>
            <w:shd w:val="clear" w:color="FFFFFF" w:fill="FFFFFF"/>
            <w:vAlign w:val="bottom"/>
            <w:hideMark/>
          </w:tcPr>
          <w:p w14:paraId="08AB884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Closing balance 30 June 2025</w:t>
            </w:r>
          </w:p>
        </w:tc>
        <w:tc>
          <w:tcPr>
            <w:tcW w:w="1354" w:type="dxa"/>
            <w:tcBorders>
              <w:top w:val="single" w:sz="4" w:space="0" w:color="auto"/>
              <w:left w:val="nil"/>
              <w:bottom w:val="single" w:sz="4" w:space="0" w:color="auto"/>
              <w:right w:val="nil"/>
            </w:tcBorders>
            <w:shd w:val="clear" w:color="FFFFFF" w:fill="FFFFFF"/>
            <w:noWrap/>
            <w:vAlign w:val="bottom"/>
            <w:hideMark/>
          </w:tcPr>
          <w:p w14:paraId="37970B2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2,073,388</w:t>
            </w:r>
          </w:p>
        </w:tc>
        <w:tc>
          <w:tcPr>
            <w:tcW w:w="1352" w:type="dxa"/>
            <w:tcBorders>
              <w:top w:val="single" w:sz="4" w:space="0" w:color="auto"/>
              <w:left w:val="nil"/>
              <w:bottom w:val="single" w:sz="4" w:space="0" w:color="auto"/>
              <w:right w:val="nil"/>
            </w:tcBorders>
            <w:shd w:val="clear" w:color="FFFFFF" w:fill="FFFFFF"/>
            <w:noWrap/>
            <w:vAlign w:val="bottom"/>
            <w:hideMark/>
          </w:tcPr>
          <w:p w14:paraId="389342A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7,184</w:t>
            </w:r>
          </w:p>
        </w:tc>
        <w:tc>
          <w:tcPr>
            <w:tcW w:w="1352" w:type="dxa"/>
            <w:tcBorders>
              <w:top w:val="single" w:sz="4" w:space="0" w:color="auto"/>
              <w:left w:val="nil"/>
              <w:bottom w:val="single" w:sz="4" w:space="0" w:color="auto"/>
              <w:right w:val="nil"/>
            </w:tcBorders>
            <w:shd w:val="clear" w:color="FFFFFF" w:fill="FFFFFF"/>
            <w:noWrap/>
            <w:vAlign w:val="bottom"/>
            <w:hideMark/>
          </w:tcPr>
          <w:p w14:paraId="047049E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6,295</w:t>
            </w:r>
          </w:p>
        </w:tc>
        <w:tc>
          <w:tcPr>
            <w:tcW w:w="1352" w:type="dxa"/>
            <w:tcBorders>
              <w:top w:val="single" w:sz="4" w:space="0" w:color="auto"/>
              <w:left w:val="nil"/>
              <w:bottom w:val="single" w:sz="4" w:space="0" w:color="auto"/>
              <w:right w:val="nil"/>
            </w:tcBorders>
            <w:shd w:val="clear" w:color="FFFFFF" w:fill="FFFFFF"/>
            <w:noWrap/>
            <w:vAlign w:val="bottom"/>
            <w:hideMark/>
          </w:tcPr>
          <w:p w14:paraId="62CFB87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2,086,867</w:t>
            </w:r>
          </w:p>
        </w:tc>
      </w:tr>
    </w:tbl>
    <w:p w14:paraId="6AE868CC" w14:textId="77777777" w:rsidR="0082424C" w:rsidRPr="007A3600" w:rsidRDefault="0082424C" w:rsidP="00AD3197">
      <w:pPr>
        <w:spacing w:before="120" w:after="120" w:line="120" w:lineRule="atLeast"/>
        <w:rPr>
          <w:rFonts w:eastAsia="Times New Roman" w:cs="Arial"/>
          <w:bCs/>
          <w:sz w:val="18"/>
          <w:szCs w:val="18"/>
          <w:lang w:eastAsia="en-US"/>
        </w:rPr>
      </w:pPr>
      <w:r w:rsidRPr="007A3600">
        <w:rPr>
          <w:rFonts w:eastAsia="Times New Roman" w:cs="Arial"/>
          <w:bCs/>
          <w:sz w:val="18"/>
          <w:szCs w:val="18"/>
          <w:lang w:eastAsia="en-US"/>
        </w:rPr>
        <w:t>The Agency makes a provision for the reasonable and necessary supports provided to participants during the period but not yet notified to the Agency. The provision represents the best estimate of the amount based on available evidence in relation to rates of expenditure by participants and is informed by actuarial analysis.</w:t>
      </w:r>
    </w:p>
    <w:p w14:paraId="710952AB"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No liability is recorded for any participant supports to be provided in future reporting periods as the relevant recognition criteria are not met.</w:t>
      </w:r>
    </w:p>
    <w:p w14:paraId="0DB54E01" w14:textId="77777777" w:rsidR="0082424C" w:rsidRPr="007A3600" w:rsidRDefault="0082424C" w:rsidP="00AD3197">
      <w:pPr>
        <w:spacing w:before="120" w:after="120" w:line="120" w:lineRule="atLeast"/>
        <w:rPr>
          <w:rFonts w:eastAsia="Times New Roman" w:cs="Arial"/>
          <w:sz w:val="18"/>
          <w:szCs w:val="18"/>
          <w:lang w:eastAsia="en-US"/>
        </w:rPr>
      </w:pPr>
      <w:r w:rsidRPr="007A3600">
        <w:rPr>
          <w:rFonts w:eastAsia="Times New Roman" w:cs="Arial"/>
          <w:sz w:val="18"/>
          <w:szCs w:val="18"/>
          <w:lang w:eastAsia="en-US"/>
        </w:rPr>
        <w:t>The Agency has 24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28) agreements for the leasing of premises, which have provisions requiring the entity to restore the premises to their original condition at the conclusion of the lease. The Agency has made a provision to reflect the present value of this obligation.</w:t>
      </w:r>
    </w:p>
    <w:p w14:paraId="7F7E34C8" w14:textId="77777777" w:rsidR="0082424C" w:rsidRPr="007A3600" w:rsidRDefault="0082424C" w:rsidP="00AD3197">
      <w:pPr>
        <w:spacing w:before="120" w:after="120" w:line="240" w:lineRule="auto"/>
        <w:rPr>
          <w:rFonts w:eastAsia="Times New Roman" w:cs="Arial"/>
          <w:sz w:val="18"/>
          <w:szCs w:val="18"/>
          <w:lang w:eastAsia="en-US"/>
        </w:rPr>
      </w:pPr>
      <w:r w:rsidRPr="007A3600">
        <w:rPr>
          <w:rFonts w:eastAsia="Times New Roman" w:cs="Arial"/>
          <w:sz w:val="18"/>
          <w:szCs w:val="18"/>
          <w:lang w:eastAsia="en-US"/>
        </w:rPr>
        <w:t xml:space="preserve">The Agency is reviewing the circumstances in which debts were historically raised against support claims from some participants and providers. As the Agency has identified that some historical participant and provider debts require further assessment, a provision for the estimated financial impact of these assessments has been reported. The financial impact is based on the results of actuarial analysis to date and is split between providers ($6.3m (2024: $6.6m) and participants (nil (2024: $2.5m)). </w:t>
      </w:r>
    </w:p>
    <w:p w14:paraId="27BBD43E"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sz w:val="18"/>
          <w:szCs w:val="18"/>
          <w:lang w:eastAsia="en-US"/>
        </w:rPr>
        <w:sectPr w:rsidR="0082424C" w:rsidRPr="007A3600" w:rsidSect="00650C5C">
          <w:type w:val="continuous"/>
          <w:pgSz w:w="11906" w:h="16838" w:code="9"/>
          <w:pgMar w:top="1134" w:right="1701" w:bottom="1134" w:left="1134" w:header="561" w:footer="567" w:gutter="0"/>
          <w:cols w:space="708"/>
          <w:docGrid w:linePitch="360"/>
        </w:sectPr>
      </w:pPr>
      <w:bookmarkStart w:id="210" w:name="_Toc443469538"/>
      <w:bookmarkStart w:id="211" w:name="_Toc444065792"/>
      <w:bookmarkStart w:id="212" w:name="_Toc444079989"/>
      <w:bookmarkStart w:id="213" w:name="_Toc447030543"/>
      <w:bookmarkStart w:id="214" w:name="_Toc447030695"/>
      <w:bookmarkStart w:id="215" w:name="_Toc447030788"/>
    </w:p>
    <w:p w14:paraId="6BCA2477"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
          <w:sz w:val="18"/>
          <w:szCs w:val="18"/>
          <w:lang w:eastAsia="en-US"/>
        </w:rPr>
        <w:sectPr w:rsidR="0082424C" w:rsidRPr="007A3600" w:rsidSect="00650C5C">
          <w:type w:val="continuous"/>
          <w:pgSz w:w="11906" w:h="16838" w:code="9"/>
          <w:pgMar w:top="1134" w:right="1701" w:bottom="1134" w:left="1134" w:header="958" w:footer="737" w:gutter="0"/>
          <w:cols w:space="708"/>
          <w:docGrid w:linePitch="360"/>
        </w:sectPr>
      </w:pPr>
    </w:p>
    <w:p w14:paraId="44E5D02F"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3F7064BB"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55D5229D"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before="240" w:after="120" w:line="120" w:lineRule="atLeast"/>
        <w:rPr>
          <w:rFonts w:eastAsia="Times New Roman" w:cs="Arial"/>
          <w:b/>
          <w:sz w:val="18"/>
          <w:szCs w:val="18"/>
          <w:lang w:eastAsia="en-US"/>
        </w:rPr>
      </w:pPr>
      <w:r w:rsidRPr="007A3600">
        <w:rPr>
          <w:rFonts w:eastAsia="Times New Roman" w:cs="Arial"/>
          <w:b/>
          <w:sz w:val="18"/>
          <w:szCs w:val="18"/>
          <w:lang w:eastAsia="en-US"/>
        </w:rPr>
        <w:t>Key judgements and estimates</w:t>
      </w:r>
    </w:p>
    <w:p w14:paraId="6C9DC237" w14:textId="77777777"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Agency recognises a liability for the costs of reasonable and necessary supports at the time that services are provided to participants in the Scheme. Due to the payment and claiming process the Agency may not be aware of all services rendered at the time of closing the financial statements. The Agency makes an estimate of the outstanding liability by reviewing historical payments experience.</w:t>
      </w:r>
    </w:p>
    <w:p w14:paraId="7B30A85F" w14:textId="58BF7703"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One of the outputs from the valuation process is the resulting expected ultimate utilisation rates by support year, where the projected ultimate payments are compared to the aggregated Committed Supports contained within participant’s plans in the relevant period. At 30 June 2025, the utilisation rates shown have been calculated using Committed Supports that allow for projected development, which means that they consider the retrospective changes that occur due to plan shortening and other adjustments such as plan indexation. The allowance of future development in the Committed Supports used to estimate the utilisation rates provides a better indication of where the utilisation rates will ultimately land.</w:t>
      </w:r>
    </w:p>
    <w:p w14:paraId="14B83009" w14:textId="6F50433A"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To aid comparability, the utilisation rates shown for 2024 have been re-stated to use Committed Supports that allow for projected development.</w:t>
      </w:r>
      <w:r w:rsidR="00894C45">
        <w:rPr>
          <w:rFonts w:eastAsia="Times New Roman" w:cs="Arial"/>
          <w:bCs/>
          <w:sz w:val="18"/>
          <w:szCs w:val="18"/>
          <w:lang w:eastAsia="en-US"/>
        </w:rPr>
        <w:t xml:space="preserve"> </w:t>
      </w:r>
      <w:r w:rsidRPr="007A3600">
        <w:rPr>
          <w:rFonts w:eastAsia="Times New Roman" w:cs="Arial"/>
          <w:bCs/>
          <w:sz w:val="18"/>
          <w:szCs w:val="18"/>
          <w:lang w:eastAsia="en-US"/>
        </w:rPr>
        <w:t>As at 30 June 2025, the expected ultimate utilisation of Committed Supports by support year is as follows:</w:t>
      </w:r>
    </w:p>
    <w:p w14:paraId="791795EB" w14:textId="2E96C586"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2013–14: 64.1% (2024: 64.1%)</w:t>
      </w:r>
    </w:p>
    <w:p w14:paraId="18DF519C" w14:textId="692462F8"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2014–15: 74.6% (2024: 74.6%)</w:t>
      </w:r>
    </w:p>
    <w:p w14:paraId="4A4A7D40" w14:textId="33F5B443"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2015–16: 74.9% (2024: 74.9%)</w:t>
      </w:r>
    </w:p>
    <w:p w14:paraId="26B3E734" w14:textId="741144F4"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2016–17: 67.4% (2024: 67.4%)</w:t>
      </w:r>
    </w:p>
    <w:p w14:paraId="5EB97F65" w14:textId="558F43F1"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2017–18: 70.0% (2024: 70.0%)</w:t>
      </w:r>
    </w:p>
    <w:p w14:paraId="0D5926CD" w14:textId="742E65C4"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2018–19: 71.2% (2024: 71.2%)</w:t>
      </w:r>
    </w:p>
    <w:p w14:paraId="30324989" w14:textId="3302FBA7"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2019–20: 71.0% (2024: 71.1%)</w:t>
      </w:r>
    </w:p>
    <w:p w14:paraId="143BD60D" w14:textId="147CFB6E"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2020–21: 72.7% (2024: 72.7%)</w:t>
      </w:r>
    </w:p>
    <w:p w14:paraId="568F7CEC" w14:textId="19C6628F"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2021–22: 75.1% (2024: 75.1%)</w:t>
      </w:r>
    </w:p>
    <w:p w14:paraId="59B85F85" w14:textId="6ABFD93E"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2022–23: 76.2% (2024: 76.2%)</w:t>
      </w:r>
    </w:p>
    <w:p w14:paraId="11355FD7" w14:textId="5CFE22CC" w:rsidR="0082424C" w:rsidRPr="007A3600" w:rsidRDefault="0082424C" w:rsidP="00AA48B3">
      <w:pPr>
        <w:pBdr>
          <w:top w:val="single" w:sz="4" w:space="1" w:color="800080"/>
          <w:left w:val="single" w:sz="4" w:space="0" w:color="800080"/>
          <w:bottom w:val="single" w:sz="4" w:space="1" w:color="800080"/>
          <w:right w:val="single" w:sz="4" w:space="0" w:color="800080"/>
        </w:pBdr>
        <w:spacing w:after="0" w:line="120" w:lineRule="atLeast"/>
        <w:ind w:firstLine="227"/>
        <w:rPr>
          <w:rFonts w:eastAsia="Times New Roman" w:cs="Arial"/>
          <w:bCs/>
          <w:sz w:val="18"/>
          <w:szCs w:val="18"/>
          <w:lang w:eastAsia="en-US"/>
        </w:rPr>
      </w:pPr>
      <w:r w:rsidRPr="007A3600">
        <w:rPr>
          <w:rFonts w:eastAsia="Times New Roman" w:cs="Arial"/>
          <w:bCs/>
          <w:sz w:val="18"/>
          <w:szCs w:val="18"/>
          <w:lang w:eastAsia="en-US"/>
        </w:rPr>
        <w:t>2023–24: 77.5% (2024: 78.1%)</w:t>
      </w:r>
    </w:p>
    <w:p w14:paraId="47AA6B82" w14:textId="1C89CEF1" w:rsidR="0082424C" w:rsidRPr="007A3600" w:rsidRDefault="0082424C" w:rsidP="00AA48B3">
      <w:pPr>
        <w:pBdr>
          <w:top w:val="single" w:sz="4" w:space="1" w:color="800080"/>
          <w:left w:val="single" w:sz="4" w:space="0" w:color="800080"/>
          <w:bottom w:val="single" w:sz="4" w:space="1" w:color="800080"/>
          <w:right w:val="single" w:sz="4" w:space="0" w:color="800080"/>
        </w:pBdr>
        <w:spacing w:after="120" w:line="120" w:lineRule="atLeast"/>
        <w:ind w:firstLine="227"/>
        <w:rPr>
          <w:rFonts w:eastAsia="Times New Roman" w:cs="Arial"/>
          <w:bCs/>
          <w:sz w:val="18"/>
          <w:szCs w:val="18"/>
          <w:lang w:eastAsia="en-US"/>
        </w:rPr>
      </w:pPr>
      <w:r w:rsidRPr="007A3600">
        <w:rPr>
          <w:rFonts w:eastAsia="Times New Roman" w:cs="Arial"/>
          <w:bCs/>
          <w:sz w:val="18"/>
          <w:szCs w:val="18"/>
          <w:lang w:eastAsia="en-US"/>
        </w:rPr>
        <w:t>2024–25: 75.6%</w:t>
      </w:r>
    </w:p>
    <w:p w14:paraId="6FEB411A" w14:textId="4CD357C9" w:rsidR="0082424C" w:rsidRPr="007A3600" w:rsidRDefault="0082424C" w:rsidP="00AD3197">
      <w:pPr>
        <w:pBdr>
          <w:top w:val="single" w:sz="4" w:space="1" w:color="800080"/>
          <w:left w:val="single" w:sz="4" w:space="0" w:color="800080"/>
          <w:bottom w:val="single" w:sz="4" w:space="1" w:color="800080"/>
          <w:right w:val="single" w:sz="4" w:space="0"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above utilisation rates are re-calculated annually by the Scheme Actuary to take into account actual payments made over the year, the latest value of the Participant Plan Provision and the Residential Aged Care (RAC) Payable, as well as retrospective changes in the Committed Supports.</w:t>
      </w:r>
      <w:r w:rsidR="00172825">
        <w:rPr>
          <w:rFonts w:eastAsia="Times New Roman" w:cs="Arial"/>
          <w:bCs/>
          <w:sz w:val="18"/>
          <w:szCs w:val="18"/>
          <w:lang w:eastAsia="en-US"/>
        </w:rPr>
        <w:t xml:space="preserve"> </w:t>
      </w:r>
      <w:r w:rsidRPr="007A3600">
        <w:rPr>
          <w:rFonts w:eastAsia="Times New Roman" w:cs="Arial"/>
          <w:bCs/>
          <w:sz w:val="18"/>
          <w:szCs w:val="18"/>
          <w:lang w:eastAsia="en-US"/>
        </w:rPr>
        <w:t>For the 2024–25 support year, for each 0.5 percentage point increase/(decrease) in the ultimate utilisation rate, the estimated liability increases/(decreases) by $306.3 million.</w:t>
      </w:r>
    </w:p>
    <w:p w14:paraId="2F2D6B59"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ind w:right="607"/>
        <w:rPr>
          <w:rFonts w:eastAsia="Times New Roman" w:cs="Arial"/>
          <w:sz w:val="18"/>
          <w:szCs w:val="18"/>
          <w:lang w:eastAsia="en-US"/>
        </w:rPr>
        <w:sectPr w:rsidR="0082424C" w:rsidRPr="007A3600" w:rsidSect="00650C5C">
          <w:pgSz w:w="11906" w:h="16838" w:code="9"/>
          <w:pgMar w:top="1134" w:right="1701" w:bottom="1134" w:left="1134" w:header="561" w:footer="567" w:gutter="0"/>
          <w:cols w:space="708"/>
          <w:docGrid w:linePitch="360"/>
        </w:sectPr>
      </w:pPr>
    </w:p>
    <w:p w14:paraId="7C7BF432"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216" w:name="_Toc65742853"/>
      <w:bookmarkStart w:id="217" w:name="_Toc195692042"/>
      <w:bookmarkStart w:id="218" w:name="_Toc443469540"/>
      <w:bookmarkStart w:id="219" w:name="_Toc444065794"/>
      <w:bookmarkStart w:id="220" w:name="_Toc444079991"/>
      <w:bookmarkEnd w:id="210"/>
      <w:bookmarkEnd w:id="211"/>
      <w:bookmarkEnd w:id="212"/>
      <w:bookmarkEnd w:id="213"/>
      <w:bookmarkEnd w:id="214"/>
      <w:bookmarkEnd w:id="215"/>
      <w:r w:rsidRPr="007A3600">
        <w:rPr>
          <w:rFonts w:eastAsia="Times New Roman" w:cs="Arial"/>
          <w:b/>
          <w:lang w:eastAsia="en-US"/>
        </w:rPr>
        <w:lastRenderedPageBreak/>
        <w:t>National Disability Insurance Agency</w:t>
      </w:r>
    </w:p>
    <w:p w14:paraId="3A540B37"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bookmarkEnd w:id="216"/>
    <w:bookmarkEnd w:id="217"/>
    <w:p w14:paraId="6B1338A5" w14:textId="77777777" w:rsidR="004B7E64" w:rsidRPr="00974C6F" w:rsidRDefault="004B7E64" w:rsidP="004B7E64">
      <w:pPr>
        <w:shd w:val="clear" w:color="00CC99" w:fill="800080"/>
        <w:spacing w:before="240" w:after="0" w:line="260" w:lineRule="atLeast"/>
        <w:ind w:left="357" w:hanging="357"/>
        <w:rPr>
          <w:rFonts w:ascii="Arial Bold" w:eastAsia="Times New Roman" w:hAnsi="Arial Bold"/>
          <w:b/>
          <w:color w:val="FFFFFF"/>
          <w:szCs w:val="20"/>
          <w:lang w:eastAsia="en-US"/>
        </w:rPr>
      </w:pPr>
      <w:r>
        <w:rPr>
          <w:rFonts w:ascii="Arial Bold" w:eastAsia="Times New Roman" w:hAnsi="Arial Bold"/>
          <w:b/>
          <w:color w:val="FFFFFF"/>
          <w:szCs w:val="20"/>
          <w:lang w:eastAsia="en-US"/>
        </w:rPr>
        <w:t>3.</w:t>
      </w:r>
      <w:r>
        <w:rPr>
          <w:rFonts w:ascii="Arial Bold" w:eastAsia="Times New Roman" w:hAnsi="Arial Bold"/>
          <w:b/>
          <w:color w:val="FFFFFF"/>
          <w:szCs w:val="20"/>
          <w:lang w:eastAsia="en-US"/>
        </w:rPr>
        <w:tab/>
      </w:r>
      <w:r w:rsidRPr="00974C6F">
        <w:rPr>
          <w:rFonts w:ascii="Arial Bold" w:eastAsia="Times New Roman" w:hAnsi="Arial Bold"/>
          <w:b/>
          <w:color w:val="FFFFFF"/>
          <w:szCs w:val="20"/>
          <w:lang w:eastAsia="en-US"/>
        </w:rPr>
        <w:t>People and Relationships</w:t>
      </w:r>
    </w:p>
    <w:p w14:paraId="5B70EF60" w14:textId="77777777" w:rsidR="004B7E64" w:rsidRPr="00974C6F" w:rsidRDefault="004B7E64" w:rsidP="004B7E64">
      <w:pPr>
        <w:shd w:val="clear" w:color="00CC99" w:fill="800080"/>
        <w:spacing w:after="0" w:line="260" w:lineRule="atLeast"/>
        <w:rPr>
          <w:rFonts w:eastAsia="Times New Roman"/>
          <w:color w:val="FFFFFF"/>
          <w:sz w:val="18"/>
          <w:szCs w:val="18"/>
          <w:lang w:eastAsia="en-US"/>
        </w:rPr>
      </w:pPr>
      <w:r w:rsidRPr="00974C6F">
        <w:rPr>
          <w:rFonts w:eastAsia="Times New Roman"/>
          <w:color w:val="FFFFFF"/>
          <w:sz w:val="18"/>
          <w:szCs w:val="18"/>
          <w:lang w:eastAsia="en-US"/>
        </w:rPr>
        <w:t>This section describes a range of employment and post-employment benefits provided to our employees and our relationships with other key people.</w:t>
      </w:r>
    </w:p>
    <w:p w14:paraId="51955C90" w14:textId="77777777" w:rsidR="0082424C" w:rsidRPr="007A3600" w:rsidRDefault="0082424C" w:rsidP="00AD3197">
      <w:pPr>
        <w:spacing w:after="0" w:line="260" w:lineRule="atLeast"/>
        <w:rPr>
          <w:rFonts w:ascii="Times New Roman" w:eastAsia="Times New Roman" w:hAnsi="Times New Roman"/>
          <w:sz w:val="22"/>
          <w:szCs w:val="20"/>
          <w:lang w:eastAsia="en-US"/>
        </w:rPr>
      </w:pPr>
    </w:p>
    <w:p w14:paraId="6A0CDAD3"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bookmarkStart w:id="221" w:name="_Toc443469546"/>
      <w:bookmarkStart w:id="222" w:name="_Toc444065801"/>
      <w:bookmarkStart w:id="223" w:name="_Toc444079997"/>
      <w:r w:rsidRPr="007A3600">
        <w:rPr>
          <w:rFonts w:eastAsia="Times New Roman" w:cs="Arial"/>
          <w:b/>
          <w:bCs/>
          <w:sz w:val="18"/>
          <w:szCs w:val="18"/>
          <w:lang w:eastAsia="en-US"/>
        </w:rPr>
        <w:t>Accounting Policy</w:t>
      </w:r>
    </w:p>
    <w:p w14:paraId="0A33BAA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Liabilities for ‘short-term employee benefits’ (as defined in AASB 119 </w:t>
      </w:r>
      <w:r w:rsidRPr="007A3600">
        <w:rPr>
          <w:rFonts w:eastAsia="Times New Roman" w:cs="Arial"/>
          <w:bCs/>
          <w:i/>
          <w:sz w:val="18"/>
          <w:szCs w:val="18"/>
          <w:lang w:eastAsia="en-US"/>
        </w:rPr>
        <w:t>Employee Benefits</w:t>
      </w:r>
      <w:r w:rsidRPr="007A3600">
        <w:rPr>
          <w:rFonts w:eastAsia="Times New Roman" w:cs="Arial"/>
          <w:bCs/>
          <w:sz w:val="18"/>
          <w:szCs w:val="18"/>
          <w:lang w:eastAsia="en-US"/>
        </w:rPr>
        <w:t xml:space="preserve">) and termination benefits expected within twelve months of the end of the reporting period are measured at their nominal amounts. </w:t>
      </w:r>
    </w:p>
    <w:p w14:paraId="7D8D5982"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Leave</w:t>
      </w:r>
    </w:p>
    <w:p w14:paraId="32AFC83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liability for employee benefits includes provision for annual leave and long service leave.</w:t>
      </w:r>
    </w:p>
    <w:p w14:paraId="1C9FABF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The leave liabilities are calculated on the basis of employees’ remuneration at the estimated salary rates that will be applied at the time the leave is taken, including the Agency’s employer superannuation contribution rates to the extent that the leave is likely to be taken during service rather than paid out on termination. </w:t>
      </w:r>
    </w:p>
    <w:p w14:paraId="3493C924"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Superannuation</w:t>
      </w:r>
    </w:p>
    <w:p w14:paraId="24983156"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Agency staff are members of the Commonwealth Superannuation Scheme (CSS), the Public Sector Superannuation Scheme (PSS), the PSS accumulation plan (PSSap) or other superannuation funds held outside the Australian Government. The CSS and PSS are defined benefit schemes for the Australian Government. The PSSap is a defined contribution scheme.</w:t>
      </w:r>
      <w:r w:rsidRPr="007A3600">
        <w:rPr>
          <w:rFonts w:eastAsia="Times New Roman" w:cs="Arial"/>
          <w:bCs/>
          <w:sz w:val="18"/>
          <w:szCs w:val="18"/>
          <w:lang w:eastAsia="en-US"/>
        </w:rPr>
        <w:tab/>
      </w:r>
    </w:p>
    <w:p w14:paraId="7DA9801D"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The liability for defined benefits is recognised in the financial statements of the Australian Government and is settled by the Australian Government in due course. This liability is reported in the Department of Finance’s administered schedules and notes.</w:t>
      </w:r>
    </w:p>
    <w:p w14:paraId="6AA4CA8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The Agency makes employer contributions to employee superannuation schemes at rates determined by an actuary to be sufficient to meet the current cost to the Government. The Agency accounts for these contributions as if they were contributions to defined contribution plans. </w:t>
      </w:r>
    </w:p>
    <w:p w14:paraId="4EF974FA"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 xml:space="preserve">The liability for superannuation recognised at Note 2.3B Other payables represents contributions outstanding at balance date. </w:t>
      </w:r>
    </w:p>
    <w:p w14:paraId="53098AEA"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Key Accounting judgements and estimates</w:t>
      </w:r>
    </w:p>
    <w:p w14:paraId="302302A8"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i/>
          <w:sz w:val="18"/>
          <w:szCs w:val="18"/>
          <w:lang w:eastAsia="en-US"/>
        </w:rPr>
      </w:pPr>
      <w:r w:rsidRPr="007A3600">
        <w:rPr>
          <w:rFonts w:eastAsia="Times New Roman" w:cs="Arial"/>
          <w:bCs/>
          <w:sz w:val="18"/>
          <w:szCs w:val="18"/>
          <w:lang w:eastAsia="en-US"/>
        </w:rPr>
        <w:t xml:space="preserve">The liability for long service leave has been determined by reference to the work of the Australian Government Actuary as </w:t>
      </w:r>
      <w:proofErr w:type="gramStart"/>
      <w:r w:rsidRPr="007A3600">
        <w:rPr>
          <w:rFonts w:eastAsia="Times New Roman" w:cs="Arial"/>
          <w:bCs/>
          <w:sz w:val="18"/>
          <w:szCs w:val="18"/>
          <w:lang w:eastAsia="en-US"/>
        </w:rPr>
        <w:t>at</w:t>
      </w:r>
      <w:proofErr w:type="gramEnd"/>
      <w:r w:rsidRPr="007A3600">
        <w:rPr>
          <w:rFonts w:eastAsia="Times New Roman" w:cs="Arial"/>
          <w:bCs/>
          <w:sz w:val="18"/>
          <w:szCs w:val="18"/>
          <w:lang w:eastAsia="en-US"/>
        </w:rPr>
        <w:t xml:space="preserve"> 30 June </w:t>
      </w:r>
      <w:r w:rsidRPr="007A3600">
        <w:rPr>
          <w:rFonts w:eastAsia="Times New Roman" w:cs="Arial"/>
          <w:bCs/>
          <w:sz w:val="18"/>
          <w:szCs w:val="18"/>
          <w:lang w:eastAsia="en-US"/>
        </w:rPr>
        <w:fldChar w:fldCharType="begin"/>
      </w:r>
      <w:r w:rsidRPr="007A3600">
        <w:rPr>
          <w:rFonts w:eastAsia="Times New Roman" w:cs="Arial"/>
          <w:bCs/>
          <w:sz w:val="18"/>
          <w:szCs w:val="18"/>
          <w:lang w:eastAsia="en-US"/>
        </w:rPr>
        <w:instrText>DOCPROPERTY  crYear  \* MERGEFORMAT</w:instrText>
      </w:r>
      <w:r w:rsidRPr="007A3600">
        <w:rPr>
          <w:rFonts w:eastAsia="Times New Roman" w:cs="Arial"/>
          <w:bCs/>
          <w:sz w:val="18"/>
          <w:szCs w:val="18"/>
          <w:lang w:eastAsia="en-US"/>
        </w:rPr>
        <w:fldChar w:fldCharType="separate"/>
      </w:r>
      <w:r w:rsidRPr="007A3600">
        <w:rPr>
          <w:rFonts w:eastAsia="Times New Roman" w:cs="Arial"/>
          <w:bCs/>
          <w:sz w:val="18"/>
          <w:szCs w:val="18"/>
          <w:lang w:eastAsia="en-US"/>
        </w:rPr>
        <w:t>2025</w:t>
      </w:r>
      <w:r w:rsidRPr="007A3600">
        <w:rPr>
          <w:rFonts w:eastAsia="Times New Roman" w:cs="Arial"/>
          <w:bCs/>
          <w:sz w:val="18"/>
          <w:szCs w:val="18"/>
          <w:lang w:eastAsia="en-US"/>
        </w:rPr>
        <w:fldChar w:fldCharType="end"/>
      </w:r>
      <w:r w:rsidRPr="007A3600">
        <w:rPr>
          <w:rFonts w:eastAsia="Times New Roman" w:cs="Arial"/>
          <w:bCs/>
          <w:sz w:val="18"/>
          <w:szCs w:val="18"/>
          <w:lang w:eastAsia="en-US"/>
        </w:rPr>
        <w:t>. The estimate of the present value of the liability for long service leave takes into account attrition rates and pay increases through promotion and inflation. The estimate of future costs requires management and independent actuarial assessment of assumed salary growth rates, future on-cost rates and the experience of employee departures. The future costs are then discounted to present value using market yields on government bonds in accordance with AASB 119</w:t>
      </w:r>
      <w:r w:rsidRPr="007A3600">
        <w:rPr>
          <w:rFonts w:eastAsia="Times New Roman" w:cs="Arial"/>
          <w:bCs/>
          <w:i/>
          <w:sz w:val="18"/>
          <w:szCs w:val="18"/>
          <w:lang w:eastAsia="en-US"/>
        </w:rPr>
        <w:t>.</w:t>
      </w:r>
    </w:p>
    <w:p w14:paraId="4A29C418" w14:textId="77777777" w:rsidR="0082424C" w:rsidRPr="007A3600" w:rsidRDefault="0082424C" w:rsidP="00AD3197">
      <w:pPr>
        <w:spacing w:after="0" w:line="240" w:lineRule="auto"/>
        <w:rPr>
          <w:rFonts w:eastAsia="Times New Roman"/>
          <w:b/>
          <w:sz w:val="20"/>
          <w:szCs w:val="20"/>
          <w:lang w:eastAsia="en-US"/>
        </w:rPr>
      </w:pPr>
      <w:r w:rsidRPr="007A3600">
        <w:rPr>
          <w:rFonts w:ascii="Times New Roman" w:eastAsia="Times New Roman" w:hAnsi="Times New Roman"/>
          <w:sz w:val="22"/>
          <w:szCs w:val="20"/>
          <w:lang w:eastAsia="en-US"/>
        </w:rPr>
        <w:br w:type="page"/>
      </w:r>
    </w:p>
    <w:p w14:paraId="3F54971F"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224" w:name="_Toc447030547"/>
      <w:bookmarkStart w:id="225" w:name="_Toc447030699"/>
      <w:bookmarkStart w:id="226" w:name="_Toc447030792"/>
      <w:bookmarkStart w:id="227" w:name="_Toc65742855"/>
      <w:bookmarkStart w:id="228" w:name="_Toc195692043"/>
      <w:r w:rsidRPr="007A3600">
        <w:rPr>
          <w:rFonts w:eastAsia="Times New Roman" w:cs="Arial"/>
          <w:b/>
          <w:lang w:eastAsia="en-US"/>
        </w:rPr>
        <w:lastRenderedPageBreak/>
        <w:t>National Disability Insurance Agency</w:t>
      </w:r>
    </w:p>
    <w:p w14:paraId="2B366844"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614AB0AC" w14:textId="77777777" w:rsidR="0082424C" w:rsidRPr="007A3600" w:rsidRDefault="0082424C" w:rsidP="004B7E64">
      <w:pPr>
        <w:numPr>
          <w:ilvl w:val="1"/>
          <w:numId w:val="0"/>
        </w:numPr>
        <w:shd w:val="clear" w:color="auto" w:fill="000000"/>
        <w:spacing w:before="240" w:after="0" w:line="260" w:lineRule="atLeast"/>
        <w:ind w:left="425" w:hanging="425"/>
        <w:rPr>
          <w:rFonts w:eastAsia="Times New Roman" w:cs="Arial"/>
          <w:b/>
          <w:color w:val="FFFFFF"/>
          <w:sz w:val="20"/>
          <w:szCs w:val="20"/>
          <w:lang w:eastAsia="en-US"/>
        </w:rPr>
      </w:pPr>
      <w:r w:rsidRPr="007A3600">
        <w:rPr>
          <w:rFonts w:eastAsia="Times New Roman" w:cs="Arial"/>
          <w:b/>
          <w:color w:val="FFFFFF"/>
          <w:sz w:val="20"/>
          <w:szCs w:val="20"/>
          <w:lang w:eastAsia="en-US"/>
        </w:rPr>
        <w:t>3.1</w:t>
      </w:r>
      <w:r w:rsidRPr="007A3600">
        <w:rPr>
          <w:rFonts w:eastAsia="Times New Roman" w:cs="Arial"/>
          <w:b/>
          <w:color w:val="FFFFFF"/>
          <w:sz w:val="20"/>
          <w:szCs w:val="20"/>
          <w:lang w:eastAsia="en-US"/>
        </w:rPr>
        <w:tab/>
        <w:t>Key Management Personnel Remuneration</w:t>
      </w:r>
      <w:bookmarkEnd w:id="221"/>
      <w:bookmarkEnd w:id="222"/>
      <w:bookmarkEnd w:id="223"/>
      <w:bookmarkEnd w:id="224"/>
      <w:bookmarkEnd w:id="225"/>
      <w:bookmarkEnd w:id="226"/>
      <w:bookmarkEnd w:id="227"/>
      <w:bookmarkEnd w:id="228"/>
    </w:p>
    <w:p w14:paraId="0968AAA0" w14:textId="77777777" w:rsidR="0082424C" w:rsidRPr="007A3600" w:rsidRDefault="0082424C" w:rsidP="00AD3197">
      <w:pPr>
        <w:autoSpaceDE w:val="0"/>
        <w:autoSpaceDN w:val="0"/>
        <w:adjustRightInd w:val="0"/>
        <w:spacing w:before="120" w:after="120" w:line="240" w:lineRule="auto"/>
        <w:rPr>
          <w:rFonts w:eastAsia="Times New Roman"/>
          <w:sz w:val="18"/>
          <w:szCs w:val="20"/>
          <w:lang w:eastAsia="en-US"/>
        </w:rPr>
      </w:pPr>
      <w:r w:rsidRPr="007A3600">
        <w:rPr>
          <w:rFonts w:eastAsia="Times New Roman" w:cs="Arial"/>
          <w:sz w:val="18"/>
          <w:szCs w:val="18"/>
          <w:lang w:eastAsia="en-US"/>
        </w:rPr>
        <w:t xml:space="preserve">Key Management Personnel (KMP) are those persons having authority and responsibility for planning, directing, and controlling the activities of the Agency, directly or indirectly. The Agency has determined the Key Management Personnel to be Board members, the Chief Executive, and other members of the Strategic Leadership Team. </w:t>
      </w:r>
      <w:r w:rsidRPr="007A3600">
        <w:rPr>
          <w:rFonts w:eastAsia="Times New Roman"/>
          <w:sz w:val="18"/>
          <w:szCs w:val="20"/>
          <w:lang w:eastAsia="en-US"/>
        </w:rPr>
        <w:t>Whilst board members are considered Key Management Personnel, board members do not hold management positions.</w:t>
      </w:r>
    </w:p>
    <w:p w14:paraId="0F66846F" w14:textId="77777777" w:rsidR="0082424C" w:rsidRPr="007A3600" w:rsidRDefault="0082424C" w:rsidP="00AD3197">
      <w:pPr>
        <w:autoSpaceDE w:val="0"/>
        <w:autoSpaceDN w:val="0"/>
        <w:adjustRightInd w:val="0"/>
        <w:spacing w:before="120" w:after="120" w:line="240" w:lineRule="auto"/>
        <w:rPr>
          <w:rFonts w:eastAsia="Times New Roman" w:cs="Arial"/>
          <w:sz w:val="18"/>
          <w:szCs w:val="18"/>
          <w:lang w:eastAsia="en-US"/>
        </w:rPr>
      </w:pPr>
      <w:r w:rsidRPr="007A3600">
        <w:rPr>
          <w:rFonts w:eastAsia="Times New Roman" w:cs="Arial"/>
          <w:sz w:val="18"/>
          <w:szCs w:val="18"/>
          <w:lang w:eastAsia="en-US"/>
        </w:rPr>
        <w:t xml:space="preserve">Key Management Personnel remuneration is reported in the table below: </w:t>
      </w: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5B25709B" w14:textId="77777777">
        <w:trPr>
          <w:trHeight w:val="260"/>
        </w:trPr>
        <w:tc>
          <w:tcPr>
            <w:tcW w:w="6365" w:type="dxa"/>
            <w:tcBorders>
              <w:top w:val="nil"/>
              <w:left w:val="nil"/>
              <w:bottom w:val="nil"/>
              <w:right w:val="nil"/>
            </w:tcBorders>
            <w:shd w:val="clear" w:color="FFFFFF" w:fill="FFFFFF"/>
            <w:noWrap/>
            <w:vAlign w:val="bottom"/>
            <w:hideMark/>
          </w:tcPr>
          <w:p w14:paraId="6AF354A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vAlign w:val="bottom"/>
            <w:hideMark/>
          </w:tcPr>
          <w:p w14:paraId="1403DC6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732AD20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CC921E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30A51972" w14:textId="77777777">
        <w:trPr>
          <w:trHeight w:val="260"/>
        </w:trPr>
        <w:tc>
          <w:tcPr>
            <w:tcW w:w="6365" w:type="dxa"/>
            <w:tcBorders>
              <w:top w:val="nil"/>
              <w:left w:val="nil"/>
              <w:bottom w:val="nil"/>
              <w:right w:val="nil"/>
            </w:tcBorders>
            <w:shd w:val="clear" w:color="FFFFFF" w:fill="FFFFFF"/>
            <w:noWrap/>
            <w:vAlign w:val="bottom"/>
            <w:hideMark/>
          </w:tcPr>
          <w:p w14:paraId="465DC92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16FB4ED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420B536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78ABDE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19062F16" w14:textId="77777777">
        <w:trPr>
          <w:trHeight w:val="280"/>
        </w:trPr>
        <w:tc>
          <w:tcPr>
            <w:tcW w:w="6365" w:type="dxa"/>
            <w:tcBorders>
              <w:top w:val="nil"/>
              <w:left w:val="nil"/>
              <w:bottom w:val="nil"/>
              <w:right w:val="nil"/>
            </w:tcBorders>
            <w:shd w:val="clear" w:color="FFFFFF" w:fill="FFFFFF"/>
            <w:noWrap/>
            <w:vAlign w:val="bottom"/>
            <w:hideMark/>
          </w:tcPr>
          <w:p w14:paraId="48CDF6EA"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3.1: Key Management Personnel Remuneration</w:t>
            </w:r>
            <w:r w:rsidRPr="007A3600">
              <w:rPr>
                <w:rFonts w:eastAsia="Times New Roman" w:cs="Arial"/>
                <w:b/>
                <w:bCs/>
                <w:sz w:val="18"/>
                <w:szCs w:val="18"/>
                <w:u w:val="single"/>
                <w:vertAlign w:val="superscript"/>
                <w:lang w:eastAsia="en-US"/>
              </w:rPr>
              <w:t>1</w:t>
            </w:r>
          </w:p>
        </w:tc>
        <w:tc>
          <w:tcPr>
            <w:tcW w:w="1243" w:type="dxa"/>
            <w:tcBorders>
              <w:top w:val="nil"/>
              <w:left w:val="nil"/>
              <w:bottom w:val="nil"/>
              <w:right w:val="nil"/>
            </w:tcBorders>
            <w:shd w:val="clear" w:color="FFFFFF" w:fill="FFFFFF"/>
            <w:vAlign w:val="bottom"/>
            <w:hideMark/>
          </w:tcPr>
          <w:p w14:paraId="20865A4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D43405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780954C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D94AB28" w14:textId="77777777">
        <w:trPr>
          <w:trHeight w:val="270"/>
        </w:trPr>
        <w:tc>
          <w:tcPr>
            <w:tcW w:w="6365" w:type="dxa"/>
            <w:tcBorders>
              <w:top w:val="nil"/>
              <w:left w:val="nil"/>
              <w:bottom w:val="nil"/>
              <w:right w:val="nil"/>
            </w:tcBorders>
            <w:shd w:val="clear" w:color="FFFFFF" w:fill="FFFFFF"/>
            <w:noWrap/>
            <w:vAlign w:val="bottom"/>
            <w:hideMark/>
          </w:tcPr>
          <w:p w14:paraId="1D491BE9"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Short-term employee benefits</w:t>
            </w:r>
            <w:r w:rsidRPr="007A3600">
              <w:rPr>
                <w:rFonts w:eastAsia="Times New Roman" w:cs="Arial"/>
                <w:sz w:val="18"/>
                <w:szCs w:val="18"/>
                <w:vertAlign w:val="superscript"/>
                <w:lang w:eastAsia="en-US"/>
              </w:rPr>
              <w:t>2, 3</w:t>
            </w:r>
          </w:p>
        </w:tc>
        <w:tc>
          <w:tcPr>
            <w:tcW w:w="1243" w:type="dxa"/>
            <w:tcBorders>
              <w:top w:val="nil"/>
              <w:left w:val="nil"/>
              <w:bottom w:val="nil"/>
              <w:right w:val="nil"/>
            </w:tcBorders>
            <w:shd w:val="clear" w:color="FFFFFF" w:fill="FFFFFF"/>
            <w:noWrap/>
            <w:vAlign w:val="bottom"/>
            <w:hideMark/>
          </w:tcPr>
          <w:p w14:paraId="18C086F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5,734</w:t>
            </w:r>
          </w:p>
        </w:tc>
        <w:tc>
          <w:tcPr>
            <w:tcW w:w="236" w:type="dxa"/>
            <w:tcBorders>
              <w:top w:val="nil"/>
              <w:left w:val="nil"/>
              <w:bottom w:val="nil"/>
              <w:right w:val="nil"/>
            </w:tcBorders>
            <w:shd w:val="clear" w:color="FFFFFF" w:fill="FFFFFF"/>
            <w:noWrap/>
            <w:vAlign w:val="bottom"/>
            <w:hideMark/>
          </w:tcPr>
          <w:p w14:paraId="2D06C351" w14:textId="77777777" w:rsidR="0082424C" w:rsidRPr="007A3600" w:rsidRDefault="0082424C" w:rsidP="00AD3197">
            <w:pPr>
              <w:spacing w:after="0" w:line="260" w:lineRule="atLeast"/>
              <w:rPr>
                <w:rFonts w:eastAsia="Times New Roman" w:cs="Arial"/>
                <w:b/>
                <w:bCs/>
                <w:color w:val="00B050"/>
                <w:sz w:val="18"/>
                <w:szCs w:val="18"/>
                <w:lang w:eastAsia="en-US"/>
              </w:rPr>
            </w:pPr>
            <w:r w:rsidRPr="007A3600">
              <w:rPr>
                <w:rFonts w:eastAsia="Times New Roman" w:cs="Arial"/>
                <w:b/>
                <w:bCs/>
                <w:color w:val="00B050"/>
                <w:sz w:val="18"/>
                <w:szCs w:val="18"/>
                <w:lang w:eastAsia="en-US"/>
              </w:rPr>
              <w:t> </w:t>
            </w:r>
          </w:p>
        </w:tc>
        <w:tc>
          <w:tcPr>
            <w:tcW w:w="1243" w:type="dxa"/>
            <w:tcBorders>
              <w:top w:val="nil"/>
              <w:left w:val="nil"/>
              <w:bottom w:val="nil"/>
              <w:right w:val="nil"/>
            </w:tcBorders>
            <w:shd w:val="clear" w:color="FFFFFF" w:fill="FFFFFF"/>
            <w:noWrap/>
            <w:vAlign w:val="bottom"/>
            <w:hideMark/>
          </w:tcPr>
          <w:p w14:paraId="777FD17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5,021</w:t>
            </w:r>
          </w:p>
        </w:tc>
      </w:tr>
      <w:tr w:rsidR="0082424C" w:rsidRPr="007A3600" w14:paraId="6B0764BE" w14:textId="77777777">
        <w:trPr>
          <w:trHeight w:val="250"/>
        </w:trPr>
        <w:tc>
          <w:tcPr>
            <w:tcW w:w="6365" w:type="dxa"/>
            <w:tcBorders>
              <w:top w:val="nil"/>
              <w:left w:val="nil"/>
              <w:bottom w:val="nil"/>
              <w:right w:val="nil"/>
            </w:tcBorders>
            <w:shd w:val="clear" w:color="FFFFFF" w:fill="FFFFFF"/>
            <w:noWrap/>
            <w:vAlign w:val="bottom"/>
            <w:hideMark/>
          </w:tcPr>
          <w:p w14:paraId="4B771C62"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Post-employment benefits</w:t>
            </w:r>
          </w:p>
        </w:tc>
        <w:tc>
          <w:tcPr>
            <w:tcW w:w="1243" w:type="dxa"/>
            <w:tcBorders>
              <w:top w:val="nil"/>
              <w:left w:val="nil"/>
              <w:bottom w:val="nil"/>
              <w:right w:val="nil"/>
            </w:tcBorders>
            <w:shd w:val="clear" w:color="FFFFFF" w:fill="FFFFFF"/>
            <w:noWrap/>
            <w:vAlign w:val="bottom"/>
            <w:hideMark/>
          </w:tcPr>
          <w:p w14:paraId="3388C95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724</w:t>
            </w:r>
          </w:p>
        </w:tc>
        <w:tc>
          <w:tcPr>
            <w:tcW w:w="236" w:type="dxa"/>
            <w:tcBorders>
              <w:top w:val="nil"/>
              <w:left w:val="nil"/>
              <w:bottom w:val="nil"/>
              <w:right w:val="nil"/>
            </w:tcBorders>
            <w:shd w:val="clear" w:color="FFFFFF" w:fill="FFFFFF"/>
            <w:noWrap/>
            <w:vAlign w:val="bottom"/>
            <w:hideMark/>
          </w:tcPr>
          <w:p w14:paraId="21A21F53"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63987683"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638</w:t>
            </w:r>
          </w:p>
        </w:tc>
      </w:tr>
      <w:tr w:rsidR="0082424C" w:rsidRPr="007A3600" w14:paraId="47384EFE" w14:textId="77777777">
        <w:trPr>
          <w:trHeight w:val="250"/>
        </w:trPr>
        <w:tc>
          <w:tcPr>
            <w:tcW w:w="6365" w:type="dxa"/>
            <w:tcBorders>
              <w:top w:val="nil"/>
              <w:left w:val="nil"/>
              <w:bottom w:val="nil"/>
              <w:right w:val="nil"/>
            </w:tcBorders>
            <w:shd w:val="clear" w:color="FFFFFF" w:fill="FFFFFF"/>
            <w:noWrap/>
            <w:vAlign w:val="bottom"/>
            <w:hideMark/>
          </w:tcPr>
          <w:p w14:paraId="15B0AF1C"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long-term employee benefits</w:t>
            </w:r>
          </w:p>
        </w:tc>
        <w:tc>
          <w:tcPr>
            <w:tcW w:w="1243" w:type="dxa"/>
            <w:tcBorders>
              <w:top w:val="nil"/>
              <w:left w:val="nil"/>
              <w:bottom w:val="nil"/>
              <w:right w:val="nil"/>
            </w:tcBorders>
            <w:shd w:val="clear" w:color="FFFFFF" w:fill="FFFFFF"/>
            <w:noWrap/>
            <w:vAlign w:val="bottom"/>
            <w:hideMark/>
          </w:tcPr>
          <w:p w14:paraId="363A6FC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116</w:t>
            </w:r>
          </w:p>
        </w:tc>
        <w:tc>
          <w:tcPr>
            <w:tcW w:w="236" w:type="dxa"/>
            <w:tcBorders>
              <w:top w:val="nil"/>
              <w:left w:val="nil"/>
              <w:bottom w:val="nil"/>
              <w:right w:val="nil"/>
            </w:tcBorders>
            <w:shd w:val="clear" w:color="FFFFFF" w:fill="FFFFFF"/>
            <w:noWrap/>
            <w:vAlign w:val="bottom"/>
            <w:hideMark/>
          </w:tcPr>
          <w:p w14:paraId="7AE0193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0235061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99</w:t>
            </w:r>
          </w:p>
        </w:tc>
      </w:tr>
      <w:tr w:rsidR="0082424C" w:rsidRPr="007A3600" w14:paraId="6C6B39D5" w14:textId="77777777">
        <w:trPr>
          <w:trHeight w:val="250"/>
        </w:trPr>
        <w:tc>
          <w:tcPr>
            <w:tcW w:w="6365" w:type="dxa"/>
            <w:tcBorders>
              <w:top w:val="nil"/>
              <w:left w:val="nil"/>
              <w:bottom w:val="nil"/>
              <w:right w:val="nil"/>
            </w:tcBorders>
            <w:shd w:val="clear" w:color="FFFFFF" w:fill="FFFFFF"/>
            <w:noWrap/>
            <w:vAlign w:val="bottom"/>
            <w:hideMark/>
          </w:tcPr>
          <w:p w14:paraId="563B328D"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Termination benefits</w:t>
            </w:r>
          </w:p>
        </w:tc>
        <w:tc>
          <w:tcPr>
            <w:tcW w:w="1243" w:type="dxa"/>
            <w:tcBorders>
              <w:top w:val="nil"/>
              <w:left w:val="nil"/>
              <w:bottom w:val="nil"/>
              <w:right w:val="nil"/>
            </w:tcBorders>
            <w:shd w:val="clear" w:color="FFFFFF" w:fill="FFFFFF"/>
            <w:noWrap/>
            <w:vAlign w:val="bottom"/>
            <w:hideMark/>
          </w:tcPr>
          <w:p w14:paraId="380F389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435</w:t>
            </w:r>
          </w:p>
        </w:tc>
        <w:tc>
          <w:tcPr>
            <w:tcW w:w="236" w:type="dxa"/>
            <w:tcBorders>
              <w:top w:val="nil"/>
              <w:left w:val="nil"/>
              <w:bottom w:val="nil"/>
              <w:right w:val="nil"/>
            </w:tcBorders>
            <w:shd w:val="clear" w:color="FFFFFF" w:fill="FFFFFF"/>
            <w:noWrap/>
            <w:vAlign w:val="bottom"/>
            <w:hideMark/>
          </w:tcPr>
          <w:p w14:paraId="3AFBE6BB"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6CCF6BE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w:t>
            </w:r>
          </w:p>
        </w:tc>
      </w:tr>
      <w:tr w:rsidR="0082424C" w:rsidRPr="007A3600" w14:paraId="2A0A044B" w14:textId="77777777">
        <w:trPr>
          <w:trHeight w:val="280"/>
        </w:trPr>
        <w:tc>
          <w:tcPr>
            <w:tcW w:w="6365" w:type="dxa"/>
            <w:tcBorders>
              <w:top w:val="nil"/>
              <w:left w:val="nil"/>
              <w:bottom w:val="nil"/>
              <w:right w:val="nil"/>
            </w:tcBorders>
            <w:shd w:val="clear" w:color="FFFFFF" w:fill="FFFFFF"/>
            <w:vAlign w:val="bottom"/>
            <w:hideMark/>
          </w:tcPr>
          <w:p w14:paraId="6896942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Key Management Personnel remuneration expenses</w:t>
            </w:r>
            <w:r w:rsidRPr="007A3600">
              <w:rPr>
                <w:rFonts w:eastAsia="Times New Roman" w:cs="Arial"/>
                <w:b/>
                <w:bCs/>
                <w:sz w:val="18"/>
                <w:szCs w:val="18"/>
                <w:vertAlign w:val="superscript"/>
                <w:lang w:eastAsia="en-US"/>
              </w:rPr>
              <w:t>4</w:t>
            </w:r>
          </w:p>
        </w:tc>
        <w:tc>
          <w:tcPr>
            <w:tcW w:w="1243" w:type="dxa"/>
            <w:tcBorders>
              <w:top w:val="single" w:sz="4" w:space="0" w:color="auto"/>
              <w:left w:val="nil"/>
              <w:bottom w:val="single" w:sz="4" w:space="0" w:color="auto"/>
              <w:right w:val="nil"/>
            </w:tcBorders>
            <w:shd w:val="clear" w:color="FFFFFF" w:fill="FFFFFF"/>
            <w:noWrap/>
            <w:vAlign w:val="bottom"/>
            <w:hideMark/>
          </w:tcPr>
          <w:p w14:paraId="73BE1B5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7,009</w:t>
            </w:r>
          </w:p>
        </w:tc>
        <w:tc>
          <w:tcPr>
            <w:tcW w:w="236" w:type="dxa"/>
            <w:tcBorders>
              <w:top w:val="nil"/>
              <w:left w:val="nil"/>
              <w:bottom w:val="nil"/>
              <w:right w:val="nil"/>
            </w:tcBorders>
            <w:shd w:val="clear" w:color="FFFFFF" w:fill="FFFFFF"/>
            <w:noWrap/>
            <w:vAlign w:val="bottom"/>
            <w:hideMark/>
          </w:tcPr>
          <w:p w14:paraId="5F2BD8E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302C2EB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5,758</w:t>
            </w:r>
          </w:p>
        </w:tc>
      </w:tr>
    </w:tbl>
    <w:p w14:paraId="5D537FD8" w14:textId="77777777" w:rsidR="0082424C" w:rsidRPr="007A3600" w:rsidRDefault="0082424C" w:rsidP="00AD3197">
      <w:pPr>
        <w:spacing w:before="120" w:after="120" w:line="260" w:lineRule="atLeast"/>
        <w:rPr>
          <w:rFonts w:eastAsia="Times New Roman" w:cs="Arial"/>
          <w:sz w:val="18"/>
          <w:szCs w:val="18"/>
          <w:lang w:eastAsia="en-US"/>
        </w:rPr>
      </w:pPr>
      <w:r w:rsidRPr="007A3600">
        <w:rPr>
          <w:rFonts w:eastAsia="Times New Roman" w:cs="Arial"/>
          <w:sz w:val="18"/>
          <w:szCs w:val="18"/>
          <w:lang w:eastAsia="en-US"/>
        </w:rPr>
        <w:t>The total number of Key Management Personnel that are included in the above table is 26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21).</w:t>
      </w:r>
    </w:p>
    <w:p w14:paraId="675C7010" w14:textId="77777777" w:rsidR="0082424C" w:rsidRPr="007A3600" w:rsidRDefault="0082424C" w:rsidP="00AD3197">
      <w:pPr>
        <w:spacing w:before="120" w:after="120" w:line="260" w:lineRule="atLeast"/>
        <w:rPr>
          <w:rFonts w:eastAsia="Times New Roman" w:cs="Arial"/>
          <w:sz w:val="18"/>
          <w:szCs w:val="18"/>
          <w:lang w:eastAsia="en-US"/>
        </w:rPr>
      </w:pPr>
      <w:r w:rsidRPr="007A3600">
        <w:rPr>
          <w:rFonts w:eastAsia="Times New Roman" w:cs="Arial"/>
          <w:sz w:val="18"/>
          <w:szCs w:val="18"/>
          <w:lang w:eastAsia="en-US"/>
        </w:rPr>
        <w:t>During the 2023–24 Financial Year, the Agency identified payment discrepancies in relation to a number of KMPs as per the Remuneration Determinations set by the Remuneration Tribunal. The correct remuneration amounts are recognised in the above disclosure. The payment discrepancies have been addressed by the Agency.</w:t>
      </w:r>
    </w:p>
    <w:p w14:paraId="6043F38C" w14:textId="19EF6202" w:rsidR="0082424C" w:rsidRPr="007A3600" w:rsidRDefault="0082424C" w:rsidP="00AD3197">
      <w:pPr>
        <w:spacing w:after="0" w:line="260" w:lineRule="atLeast"/>
        <w:rPr>
          <w:rFonts w:eastAsia="Times New Roman" w:cs="Arial"/>
          <w:sz w:val="16"/>
          <w:szCs w:val="16"/>
          <w:lang w:eastAsia="en-US"/>
        </w:rPr>
      </w:pPr>
      <w:bookmarkStart w:id="229" w:name="_Toc427244156"/>
      <w:r w:rsidRPr="007A3600">
        <w:rPr>
          <w:rFonts w:eastAsia="Times New Roman" w:cs="Arial"/>
          <w:sz w:val="16"/>
          <w:szCs w:val="16"/>
          <w:vertAlign w:val="superscript"/>
          <w:lang w:eastAsia="en-US"/>
        </w:rPr>
        <w:t xml:space="preserve">1 </w:t>
      </w:r>
      <w:r w:rsidRPr="007A3600">
        <w:rPr>
          <w:rFonts w:eastAsia="Times New Roman" w:cs="Arial"/>
          <w:sz w:val="16"/>
          <w:szCs w:val="16"/>
          <w:lang w:eastAsia="en-US"/>
        </w:rPr>
        <w:t xml:space="preserve">All remuneration in the table above and reported in Appendix </w:t>
      </w:r>
      <w:r w:rsidR="005D0723" w:rsidRPr="007A3600">
        <w:rPr>
          <w:rFonts w:eastAsia="Times New Roman" w:cs="Arial"/>
          <w:sz w:val="16"/>
          <w:szCs w:val="16"/>
          <w:lang w:eastAsia="en-US"/>
        </w:rPr>
        <w:t>8</w:t>
      </w:r>
      <w:r w:rsidRPr="007A3600">
        <w:rPr>
          <w:rFonts w:eastAsia="Times New Roman" w:cs="Arial"/>
          <w:sz w:val="16"/>
          <w:szCs w:val="16"/>
          <w:lang w:eastAsia="en-US"/>
        </w:rPr>
        <w:t>.</w:t>
      </w:r>
      <w:r w:rsidR="005D0723" w:rsidRPr="007A3600">
        <w:rPr>
          <w:rFonts w:eastAsia="Times New Roman" w:cs="Arial"/>
          <w:sz w:val="16"/>
          <w:szCs w:val="16"/>
          <w:lang w:eastAsia="en-US"/>
        </w:rPr>
        <w:t>3</w:t>
      </w:r>
      <w:r w:rsidRPr="007A3600">
        <w:rPr>
          <w:rFonts w:eastAsia="Times New Roman" w:cs="Arial"/>
          <w:sz w:val="16"/>
          <w:szCs w:val="16"/>
          <w:lang w:eastAsia="en-US"/>
        </w:rPr>
        <w:t xml:space="preserve"> of the annual report is calculated on an accrual basis. </w:t>
      </w:r>
    </w:p>
    <w:p w14:paraId="29E3249E" w14:textId="77777777" w:rsidR="0082424C" w:rsidRPr="007A3600" w:rsidRDefault="0082424C" w:rsidP="00AD3197">
      <w:pPr>
        <w:spacing w:after="0" w:line="260" w:lineRule="atLeast"/>
        <w:rPr>
          <w:rFonts w:eastAsia="Times New Roman" w:cs="Arial"/>
          <w:sz w:val="16"/>
          <w:szCs w:val="18"/>
          <w:lang w:eastAsia="en-US"/>
        </w:rPr>
      </w:pPr>
      <w:r w:rsidRPr="007A3600">
        <w:rPr>
          <w:rFonts w:eastAsia="Times New Roman" w:cs="Arial"/>
          <w:sz w:val="16"/>
          <w:szCs w:val="18"/>
          <w:vertAlign w:val="superscript"/>
          <w:lang w:eastAsia="en-US"/>
        </w:rPr>
        <w:t xml:space="preserve">2 </w:t>
      </w:r>
      <w:r w:rsidRPr="007A3600">
        <w:rPr>
          <w:rFonts w:eastAsia="Times New Roman" w:cs="Arial"/>
          <w:sz w:val="16"/>
          <w:szCs w:val="18"/>
          <w:lang w:eastAsia="en-US"/>
        </w:rPr>
        <w:t>Employee benefits include salary and vehicle allowances.</w:t>
      </w:r>
      <w:bookmarkEnd w:id="229"/>
    </w:p>
    <w:p w14:paraId="0A008450" w14:textId="77777777" w:rsidR="0082424C" w:rsidRPr="007A3600" w:rsidRDefault="0082424C" w:rsidP="00AD3197">
      <w:pPr>
        <w:spacing w:after="0" w:line="260" w:lineRule="atLeast"/>
        <w:rPr>
          <w:rFonts w:eastAsia="Times New Roman" w:cs="Arial"/>
          <w:sz w:val="16"/>
          <w:szCs w:val="18"/>
          <w:lang w:eastAsia="en-US"/>
        </w:rPr>
      </w:pPr>
      <w:r w:rsidRPr="007A3600">
        <w:rPr>
          <w:rFonts w:eastAsia="Times New Roman" w:cs="Arial"/>
          <w:sz w:val="16"/>
          <w:szCs w:val="18"/>
          <w:vertAlign w:val="superscript"/>
          <w:lang w:eastAsia="en-US"/>
        </w:rPr>
        <w:t>3</w:t>
      </w:r>
      <w:r w:rsidRPr="007A3600">
        <w:rPr>
          <w:rFonts w:eastAsia="Times New Roman" w:cs="Arial"/>
          <w:sz w:val="16"/>
          <w:szCs w:val="18"/>
          <w:lang w:eastAsia="en-US"/>
        </w:rPr>
        <w:t xml:space="preserve"> Where the Agency engages Key Management Personnel through direct contract arrangements the total contract costs for those individuals are reflected as short-term employee benefits.</w:t>
      </w:r>
    </w:p>
    <w:p w14:paraId="50E0AC68" w14:textId="77777777" w:rsidR="0082424C" w:rsidRPr="007A3600" w:rsidRDefault="0082424C" w:rsidP="00AD3197">
      <w:pPr>
        <w:spacing w:after="120" w:line="260" w:lineRule="atLeast"/>
        <w:rPr>
          <w:rFonts w:eastAsia="Times New Roman" w:cs="Arial"/>
          <w:sz w:val="16"/>
          <w:szCs w:val="18"/>
          <w:lang w:eastAsia="en-US"/>
        </w:rPr>
      </w:pPr>
      <w:r w:rsidRPr="007A3600">
        <w:rPr>
          <w:rFonts w:eastAsia="Times New Roman" w:cs="Arial"/>
          <w:sz w:val="16"/>
          <w:szCs w:val="18"/>
          <w:vertAlign w:val="superscript"/>
          <w:lang w:eastAsia="en-US"/>
        </w:rPr>
        <w:t xml:space="preserve">4 </w:t>
      </w:r>
      <w:r w:rsidRPr="007A3600">
        <w:rPr>
          <w:rFonts w:eastAsia="Times New Roman" w:cs="Arial"/>
          <w:sz w:val="16"/>
          <w:szCs w:val="18"/>
          <w:lang w:eastAsia="en-US"/>
        </w:rPr>
        <w:t xml:space="preserve">The above Key Management Personnel remuneration excludes the remuneration and other benefits of the Minister and Portfolio Minister. The Minister’s and Portfolio Minister’s remuneration and other benefits are set by the Remuneration Tribunal and are not paid by the Agency. These expenses are reported in the Department of Finance’s administered schedules and notes. </w:t>
      </w:r>
    </w:p>
    <w:p w14:paraId="5642E639" w14:textId="77777777" w:rsidR="0082424C" w:rsidRPr="007A3600" w:rsidRDefault="0082424C" w:rsidP="004B7E64">
      <w:pPr>
        <w:numPr>
          <w:ilvl w:val="1"/>
          <w:numId w:val="0"/>
        </w:numPr>
        <w:shd w:val="clear" w:color="auto" w:fill="000000"/>
        <w:spacing w:after="0" w:line="260" w:lineRule="atLeast"/>
        <w:ind w:left="425" w:hanging="425"/>
        <w:rPr>
          <w:rFonts w:eastAsia="Times New Roman" w:cs="Arial"/>
          <w:b/>
          <w:color w:val="FFFFFF"/>
          <w:sz w:val="20"/>
          <w:szCs w:val="20"/>
          <w:lang w:eastAsia="en-US"/>
        </w:rPr>
      </w:pPr>
      <w:bookmarkStart w:id="230" w:name="_Toc65742856"/>
      <w:bookmarkStart w:id="231" w:name="_Toc195692044"/>
      <w:r w:rsidRPr="007A3600">
        <w:rPr>
          <w:rFonts w:eastAsia="Times New Roman" w:cs="Arial"/>
          <w:b/>
          <w:color w:val="FFFFFF"/>
          <w:sz w:val="20"/>
          <w:szCs w:val="20"/>
          <w:lang w:eastAsia="en-US"/>
        </w:rPr>
        <w:t>3.2</w:t>
      </w:r>
      <w:r w:rsidRPr="007A3600">
        <w:rPr>
          <w:rFonts w:eastAsia="Times New Roman" w:cs="Arial"/>
          <w:b/>
          <w:color w:val="FFFFFF"/>
          <w:sz w:val="20"/>
          <w:szCs w:val="20"/>
          <w:lang w:eastAsia="en-US"/>
        </w:rPr>
        <w:tab/>
        <w:t>Related Party Disclosures</w:t>
      </w:r>
      <w:bookmarkEnd w:id="230"/>
      <w:bookmarkEnd w:id="231"/>
    </w:p>
    <w:p w14:paraId="5F870DBE" w14:textId="77777777" w:rsidR="0082424C" w:rsidRPr="007A3600" w:rsidRDefault="0082424C" w:rsidP="00AD3197">
      <w:pPr>
        <w:spacing w:before="120" w:after="120" w:line="40" w:lineRule="atLeast"/>
        <w:rPr>
          <w:rFonts w:eastAsia="Times New Roman"/>
          <w:b/>
          <w:sz w:val="18"/>
          <w:szCs w:val="20"/>
          <w:lang w:eastAsia="en-US"/>
        </w:rPr>
      </w:pPr>
      <w:r w:rsidRPr="007A3600">
        <w:rPr>
          <w:rFonts w:eastAsia="Times New Roman"/>
          <w:b/>
          <w:sz w:val="18"/>
          <w:szCs w:val="20"/>
          <w:lang w:eastAsia="en-US"/>
        </w:rPr>
        <w:t>Related party relationships:</w:t>
      </w:r>
    </w:p>
    <w:p w14:paraId="5B272796" w14:textId="77777777" w:rsidR="0082424C" w:rsidRPr="007A3600" w:rsidRDefault="0082424C" w:rsidP="00AD3197">
      <w:pPr>
        <w:spacing w:before="120" w:after="120" w:line="40" w:lineRule="atLeast"/>
        <w:rPr>
          <w:rFonts w:eastAsia="Times New Roman" w:cs="Arial"/>
          <w:sz w:val="18"/>
          <w:szCs w:val="18"/>
          <w:lang w:eastAsia="en-US"/>
        </w:rPr>
      </w:pPr>
      <w:r w:rsidRPr="007A3600">
        <w:rPr>
          <w:rFonts w:eastAsia="Times New Roman" w:cs="Arial"/>
          <w:sz w:val="18"/>
          <w:szCs w:val="18"/>
          <w:lang w:eastAsia="en-US"/>
        </w:rPr>
        <w:t>The Agency is an Australian Government controlled entity, which is governed by an independent Board. For reporting purposes, the Agency’s related parties are the DSS, Health, Disability, Ageing, Services Australia and Key Management Personnel. The definition of Key Management Personnel is included in Note 3.1.</w:t>
      </w:r>
    </w:p>
    <w:p w14:paraId="08267F1C" w14:textId="77777777" w:rsidR="0082424C" w:rsidRPr="007A3600" w:rsidRDefault="0082424C" w:rsidP="00AD3197">
      <w:pPr>
        <w:spacing w:before="120" w:after="120" w:line="40" w:lineRule="atLeast"/>
        <w:rPr>
          <w:rFonts w:eastAsia="Times New Roman" w:cs="Arial"/>
          <w:sz w:val="18"/>
          <w:szCs w:val="18"/>
          <w:lang w:eastAsia="en-US"/>
        </w:rPr>
      </w:pPr>
      <w:r w:rsidRPr="007A3600">
        <w:rPr>
          <w:rFonts w:eastAsia="Times New Roman" w:cs="Arial"/>
          <w:sz w:val="18"/>
          <w:szCs w:val="18"/>
          <w:lang w:eastAsia="en-US"/>
        </w:rPr>
        <w:t>There were no loans to any Key Management Personnel or other related parties during the period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r w:rsidRPr="007A3600">
        <w:rPr>
          <w:rFonts w:eastAsia="Times New Roman" w:cs="Arial"/>
          <w:sz w:val="18"/>
          <w:szCs w:val="18"/>
          <w:lang w:eastAsia="en-US"/>
        </w:rPr>
        <w:t>: Nil).</w:t>
      </w:r>
    </w:p>
    <w:p w14:paraId="47E711F0" w14:textId="77777777" w:rsidR="0082424C" w:rsidRPr="007A3600" w:rsidRDefault="0082424C" w:rsidP="00AD3197">
      <w:pPr>
        <w:spacing w:before="120" w:after="120" w:line="40" w:lineRule="atLeast"/>
        <w:rPr>
          <w:rFonts w:eastAsia="Times New Roman"/>
          <w:b/>
          <w:sz w:val="18"/>
          <w:szCs w:val="20"/>
          <w:lang w:eastAsia="en-US"/>
        </w:rPr>
      </w:pPr>
      <w:r w:rsidRPr="007A3600">
        <w:rPr>
          <w:rFonts w:eastAsia="Times New Roman"/>
          <w:b/>
          <w:sz w:val="18"/>
          <w:szCs w:val="20"/>
          <w:lang w:eastAsia="en-US"/>
        </w:rPr>
        <w:t>Transactions with related parties:</w:t>
      </w:r>
    </w:p>
    <w:p w14:paraId="06A809F2" w14:textId="77777777" w:rsidR="0082424C" w:rsidRPr="007A3600" w:rsidRDefault="0082424C" w:rsidP="00AD3197">
      <w:pPr>
        <w:spacing w:before="120" w:after="120" w:line="40" w:lineRule="atLeast"/>
        <w:rPr>
          <w:rFonts w:eastAsia="Times New Roman" w:cs="Arial"/>
          <w:sz w:val="18"/>
          <w:szCs w:val="18"/>
          <w:lang w:eastAsia="en-US"/>
        </w:rPr>
      </w:pPr>
      <w:r w:rsidRPr="007A3600">
        <w:rPr>
          <w:rFonts w:eastAsia="Times New Roman" w:cs="Arial"/>
          <w:sz w:val="18"/>
          <w:szCs w:val="18"/>
          <w:lang w:eastAsia="en-US"/>
        </w:rPr>
        <w:t>Given the scope of Government activities, related parties may transact with the government sector in the same capacity as ordinary citizens and/or may have family members that are participants in the Scheme. These transactions are conducted at arm’s length and have not been separately disclosed in this note. A number of Key Management Personnel fall into this category. Where the Agency has had interactions with DSS and Services Australia, the financial impact of such interactions has been disclosed in sections 1 and 2 of the financial statements.</w:t>
      </w:r>
    </w:p>
    <w:p w14:paraId="77922FA6" w14:textId="77777777" w:rsidR="0082424C" w:rsidRPr="007A3600" w:rsidRDefault="0082424C" w:rsidP="00AD3197">
      <w:pPr>
        <w:spacing w:before="120" w:after="120" w:line="40" w:lineRule="atLeast"/>
        <w:rPr>
          <w:rFonts w:eastAsia="Times New Roman"/>
          <w:i/>
          <w:sz w:val="18"/>
          <w:szCs w:val="20"/>
          <w:u w:val="single"/>
          <w:lang w:eastAsia="en-US"/>
        </w:rPr>
      </w:pPr>
      <w:r w:rsidRPr="007A3600">
        <w:rPr>
          <w:rFonts w:eastAsia="Times New Roman"/>
          <w:i/>
          <w:sz w:val="18"/>
          <w:szCs w:val="20"/>
          <w:u w:val="single"/>
          <w:lang w:eastAsia="en-US"/>
        </w:rPr>
        <w:t>Registered Service Providers</w:t>
      </w:r>
    </w:p>
    <w:p w14:paraId="3E3AEFFC" w14:textId="77777777" w:rsidR="0082424C" w:rsidRPr="007A3600" w:rsidRDefault="0082424C" w:rsidP="00AD3197">
      <w:pPr>
        <w:spacing w:before="120" w:after="120" w:line="40" w:lineRule="atLeast"/>
        <w:rPr>
          <w:rFonts w:eastAsia="Times New Roman" w:cs="Arial"/>
          <w:b/>
          <w:lang w:eastAsia="en-US"/>
        </w:rPr>
      </w:pPr>
      <w:r w:rsidRPr="007A3600">
        <w:rPr>
          <w:rFonts w:eastAsia="Times New Roman"/>
          <w:sz w:val="18"/>
          <w:szCs w:val="20"/>
          <w:lang w:eastAsia="en-US"/>
        </w:rPr>
        <w:t xml:space="preserve">Participants who elect to have their plan managed by the Agency must select a registered service provider to deliver the supports in their plan. To become a registered service provider an organisation must submit an application to the NDIS Quality and Safeguards Commission. All applications are assessed against the criteria specified in </w:t>
      </w:r>
      <w:r w:rsidRPr="007A3600">
        <w:rPr>
          <w:rFonts w:eastAsia="Times New Roman"/>
          <w:i/>
          <w:iCs/>
          <w:sz w:val="18"/>
          <w:szCs w:val="20"/>
          <w:lang w:eastAsia="en-US"/>
        </w:rPr>
        <w:t>National Disability Insurance Scheme (Provider Registration and Practice Standards) Rules 2018.</w:t>
      </w:r>
      <w:r w:rsidRPr="007A3600">
        <w:rPr>
          <w:rFonts w:eastAsia="Times New Roman"/>
          <w:sz w:val="18"/>
          <w:szCs w:val="20"/>
          <w:lang w:eastAsia="en-US"/>
        </w:rPr>
        <w:t xml:space="preserve"> </w:t>
      </w:r>
      <w:r w:rsidRPr="007A3600">
        <w:rPr>
          <w:rFonts w:eastAsia="Times New Roman" w:cs="Arial"/>
          <w:b/>
          <w:lang w:eastAsia="en-US"/>
        </w:rPr>
        <w:br w:type="page"/>
      </w:r>
    </w:p>
    <w:p w14:paraId="761579F9"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30F5471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4CB4D3C2" w14:textId="77777777" w:rsidR="0082424C" w:rsidRPr="007A3600" w:rsidRDefault="0082424C" w:rsidP="00AD3197">
      <w:pPr>
        <w:spacing w:before="240" w:after="120" w:line="40" w:lineRule="atLeast"/>
        <w:rPr>
          <w:rFonts w:eastAsia="Times New Roman"/>
          <w:sz w:val="18"/>
          <w:szCs w:val="20"/>
          <w:lang w:eastAsia="en-US"/>
        </w:rPr>
      </w:pPr>
      <w:r w:rsidRPr="007A3600">
        <w:rPr>
          <w:rFonts w:eastAsia="Times New Roman"/>
          <w:sz w:val="18"/>
          <w:szCs w:val="20"/>
          <w:lang w:eastAsia="en-US"/>
        </w:rPr>
        <w:t>Given the scope of the sector in which the Agency operates, Board members may also hold positions with registered service providers. Directors of the Agency are not involved in any decisions to accept or reject applications to register as a service provider. Transactions between the Agency and registered providers are initiated by the participants rather than the Agency, are at arm’s length and have not been separately disclosed in this note.</w:t>
      </w:r>
    </w:p>
    <w:p w14:paraId="502C9F3B" w14:textId="77777777" w:rsidR="0082424C" w:rsidRPr="007A3600" w:rsidRDefault="0082424C" w:rsidP="00AD3197">
      <w:pPr>
        <w:spacing w:before="120" w:after="120" w:line="40" w:lineRule="atLeast"/>
        <w:rPr>
          <w:rFonts w:eastAsia="Times New Roman"/>
          <w:sz w:val="18"/>
          <w:szCs w:val="20"/>
          <w:lang w:eastAsia="en-US"/>
        </w:rPr>
      </w:pPr>
      <w:r w:rsidRPr="007A3600">
        <w:rPr>
          <w:rFonts w:eastAsia="Times New Roman" w:cs="Arial"/>
          <w:sz w:val="18"/>
          <w:szCs w:val="18"/>
          <w:lang w:eastAsia="en-US"/>
        </w:rPr>
        <w:t>The following cash payments were made to parties related to Key Management Personnel members during the financial year. There were no related party payments made during the comparative period:</w:t>
      </w:r>
    </w:p>
    <w:tbl>
      <w:tblPr>
        <w:tblW w:w="9356" w:type="dxa"/>
        <w:tblLayout w:type="fixed"/>
        <w:tblLook w:val="04A0" w:firstRow="1" w:lastRow="0" w:firstColumn="1" w:lastColumn="0" w:noHBand="0" w:noVBand="1"/>
      </w:tblPr>
      <w:tblGrid>
        <w:gridCol w:w="2694"/>
        <w:gridCol w:w="1994"/>
        <w:gridCol w:w="2683"/>
        <w:gridCol w:w="851"/>
        <w:gridCol w:w="275"/>
        <w:gridCol w:w="859"/>
      </w:tblGrid>
      <w:tr w:rsidR="0082424C" w:rsidRPr="007A3600" w14:paraId="4BD77CC1" w14:textId="77777777">
        <w:trPr>
          <w:trHeight w:val="255"/>
        </w:trPr>
        <w:tc>
          <w:tcPr>
            <w:tcW w:w="2694" w:type="dxa"/>
            <w:tcBorders>
              <w:top w:val="nil"/>
              <w:left w:val="nil"/>
              <w:bottom w:val="nil"/>
              <w:right w:val="nil"/>
            </w:tcBorders>
            <w:shd w:val="clear" w:color="FFFFFF" w:fill="FFFFFF"/>
            <w:noWrap/>
            <w:vAlign w:val="bottom"/>
          </w:tcPr>
          <w:p w14:paraId="5AE56789" w14:textId="77777777" w:rsidR="0082424C" w:rsidRPr="007A3600" w:rsidRDefault="0082424C" w:rsidP="00AD3197">
            <w:pPr>
              <w:spacing w:after="0" w:line="260" w:lineRule="atLeast"/>
              <w:rPr>
                <w:rFonts w:eastAsia="Times New Roman" w:cs="Arial"/>
                <w:b/>
                <w:bCs/>
                <w:sz w:val="18"/>
                <w:szCs w:val="18"/>
                <w:lang w:eastAsia="en-US"/>
              </w:rPr>
            </w:pPr>
          </w:p>
        </w:tc>
        <w:tc>
          <w:tcPr>
            <w:tcW w:w="1994" w:type="dxa"/>
            <w:tcBorders>
              <w:top w:val="nil"/>
              <w:left w:val="nil"/>
              <w:bottom w:val="nil"/>
              <w:right w:val="nil"/>
            </w:tcBorders>
            <w:shd w:val="clear" w:color="FFFFFF" w:fill="FFFFFF"/>
          </w:tcPr>
          <w:p w14:paraId="2DC1C917" w14:textId="77777777" w:rsidR="0082424C" w:rsidRPr="007A3600" w:rsidRDefault="0082424C" w:rsidP="00AD3197">
            <w:pPr>
              <w:spacing w:after="0" w:line="260" w:lineRule="atLeast"/>
              <w:rPr>
                <w:rFonts w:eastAsia="Times New Roman" w:cs="Arial"/>
                <w:b/>
                <w:bCs/>
                <w:sz w:val="18"/>
                <w:szCs w:val="18"/>
                <w:lang w:eastAsia="en-US"/>
              </w:rPr>
            </w:pPr>
          </w:p>
        </w:tc>
        <w:tc>
          <w:tcPr>
            <w:tcW w:w="2683" w:type="dxa"/>
            <w:tcBorders>
              <w:top w:val="nil"/>
              <w:left w:val="nil"/>
              <w:bottom w:val="nil"/>
              <w:right w:val="nil"/>
            </w:tcBorders>
            <w:shd w:val="clear" w:color="FFFFFF" w:fill="FFFFFF"/>
          </w:tcPr>
          <w:p w14:paraId="7E4C346B" w14:textId="77777777" w:rsidR="0082424C" w:rsidRPr="007A3600" w:rsidRDefault="0082424C" w:rsidP="00AD3197">
            <w:pPr>
              <w:spacing w:after="0" w:line="260" w:lineRule="atLeast"/>
              <w:rPr>
                <w:rFonts w:eastAsia="Times New Roman" w:cs="Arial"/>
                <w:b/>
                <w:bCs/>
                <w:sz w:val="18"/>
                <w:szCs w:val="18"/>
                <w:lang w:eastAsia="en-US"/>
              </w:rPr>
            </w:pPr>
          </w:p>
        </w:tc>
        <w:tc>
          <w:tcPr>
            <w:tcW w:w="851" w:type="dxa"/>
            <w:tcBorders>
              <w:top w:val="nil"/>
              <w:left w:val="nil"/>
              <w:bottom w:val="nil"/>
              <w:right w:val="nil"/>
            </w:tcBorders>
            <w:shd w:val="clear" w:color="FFFFFF" w:fill="FFFFFF"/>
            <w:vAlign w:val="bottom"/>
          </w:tcPr>
          <w:p w14:paraId="4C83EE7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fldChar w:fldCharType="begin"/>
            </w:r>
            <w:r w:rsidRPr="007A3600">
              <w:rPr>
                <w:rFonts w:eastAsia="Times New Roman" w:cs="Arial"/>
                <w:b/>
                <w:bCs/>
                <w:sz w:val="18"/>
                <w:szCs w:val="18"/>
                <w:lang w:eastAsia="en-US"/>
              </w:rPr>
              <w:instrText xml:space="preserve"> DOCPROPERTY  crYear  \* MERGEFORMAT </w:instrText>
            </w:r>
            <w:r w:rsidRPr="007A3600">
              <w:rPr>
                <w:rFonts w:eastAsia="Times New Roman" w:cs="Arial"/>
                <w:b/>
                <w:bCs/>
                <w:sz w:val="18"/>
                <w:szCs w:val="18"/>
                <w:lang w:eastAsia="en-US"/>
              </w:rPr>
              <w:fldChar w:fldCharType="separate"/>
            </w:r>
            <w:r w:rsidRPr="007A3600">
              <w:rPr>
                <w:rFonts w:eastAsia="Times New Roman" w:cs="Arial"/>
                <w:b/>
                <w:bCs/>
                <w:sz w:val="18"/>
                <w:szCs w:val="18"/>
                <w:lang w:eastAsia="en-US"/>
              </w:rPr>
              <w:t>2025</w:t>
            </w:r>
            <w:r w:rsidRPr="007A3600">
              <w:rPr>
                <w:rFonts w:eastAsia="Times New Roman" w:cs="Arial"/>
                <w:b/>
                <w:bCs/>
                <w:sz w:val="18"/>
                <w:szCs w:val="18"/>
                <w:lang w:eastAsia="en-US"/>
              </w:rPr>
              <w:fldChar w:fldCharType="end"/>
            </w:r>
          </w:p>
        </w:tc>
        <w:tc>
          <w:tcPr>
            <w:tcW w:w="275" w:type="dxa"/>
            <w:tcBorders>
              <w:top w:val="nil"/>
              <w:left w:val="nil"/>
              <w:bottom w:val="nil"/>
              <w:right w:val="nil"/>
            </w:tcBorders>
            <w:shd w:val="clear" w:color="FFFFFF" w:fill="FFFFFF"/>
            <w:noWrap/>
            <w:vAlign w:val="bottom"/>
          </w:tcPr>
          <w:p w14:paraId="7C6161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859" w:type="dxa"/>
            <w:tcBorders>
              <w:top w:val="nil"/>
              <w:left w:val="nil"/>
              <w:bottom w:val="nil"/>
              <w:right w:val="nil"/>
            </w:tcBorders>
            <w:shd w:val="clear" w:color="FFFFFF" w:fill="FFFFFF"/>
            <w:vAlign w:val="bottom"/>
          </w:tcPr>
          <w:p w14:paraId="3EDD537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2024</w:t>
            </w:r>
            <w:r w:rsidRPr="007A3600">
              <w:rPr>
                <w:rFonts w:eastAsia="Times New Roman" w:cs="Arial"/>
                <w:sz w:val="18"/>
                <w:szCs w:val="18"/>
                <w:lang w:eastAsia="en-US"/>
              </w:rPr>
              <w:fldChar w:fldCharType="end"/>
            </w:r>
          </w:p>
        </w:tc>
      </w:tr>
      <w:tr w:rsidR="0082424C" w:rsidRPr="007A3600" w14:paraId="17B72A0C" w14:textId="77777777">
        <w:trPr>
          <w:trHeight w:val="255"/>
        </w:trPr>
        <w:tc>
          <w:tcPr>
            <w:tcW w:w="2694" w:type="dxa"/>
            <w:tcBorders>
              <w:top w:val="nil"/>
              <w:left w:val="nil"/>
              <w:bottom w:val="single" w:sz="4" w:space="0" w:color="auto"/>
              <w:right w:val="nil"/>
            </w:tcBorders>
            <w:shd w:val="clear" w:color="FFFFFF" w:fill="FFFFFF"/>
            <w:noWrap/>
            <w:vAlign w:val="bottom"/>
          </w:tcPr>
          <w:p w14:paraId="24D9DC5F" w14:textId="77777777" w:rsidR="0082424C" w:rsidRPr="007A3600" w:rsidRDefault="0082424C" w:rsidP="00AD3197">
            <w:pPr>
              <w:spacing w:after="0" w:line="260" w:lineRule="atLeast"/>
              <w:rPr>
                <w:rFonts w:eastAsia="Times New Roman" w:cs="Arial"/>
                <w:b/>
                <w:bCs/>
                <w:sz w:val="18"/>
                <w:szCs w:val="18"/>
                <w:lang w:eastAsia="en-US"/>
              </w:rPr>
            </w:pPr>
          </w:p>
        </w:tc>
        <w:tc>
          <w:tcPr>
            <w:tcW w:w="1994" w:type="dxa"/>
            <w:tcBorders>
              <w:top w:val="nil"/>
              <w:left w:val="nil"/>
              <w:bottom w:val="single" w:sz="4" w:space="0" w:color="auto"/>
              <w:right w:val="nil"/>
            </w:tcBorders>
            <w:shd w:val="clear" w:color="FFFFFF" w:fill="FFFFFF"/>
          </w:tcPr>
          <w:p w14:paraId="54E7DD56" w14:textId="77777777" w:rsidR="0082424C" w:rsidRPr="007A3600" w:rsidRDefault="0082424C" w:rsidP="00AD3197">
            <w:pPr>
              <w:spacing w:after="0" w:line="260" w:lineRule="atLeast"/>
              <w:rPr>
                <w:rFonts w:eastAsia="Times New Roman" w:cs="Arial"/>
                <w:b/>
                <w:bCs/>
                <w:sz w:val="18"/>
                <w:szCs w:val="18"/>
                <w:lang w:eastAsia="en-US"/>
              </w:rPr>
            </w:pPr>
          </w:p>
        </w:tc>
        <w:tc>
          <w:tcPr>
            <w:tcW w:w="2683" w:type="dxa"/>
            <w:tcBorders>
              <w:top w:val="nil"/>
              <w:left w:val="nil"/>
              <w:bottom w:val="single" w:sz="4" w:space="0" w:color="auto"/>
              <w:right w:val="nil"/>
            </w:tcBorders>
            <w:shd w:val="clear" w:color="FFFFFF" w:fill="FFFFFF"/>
          </w:tcPr>
          <w:p w14:paraId="5E230841" w14:textId="77777777" w:rsidR="0082424C" w:rsidRPr="007A3600" w:rsidRDefault="0082424C" w:rsidP="00AD3197">
            <w:pPr>
              <w:spacing w:after="0" w:line="260" w:lineRule="atLeast"/>
              <w:rPr>
                <w:rFonts w:eastAsia="Times New Roman" w:cs="Arial"/>
                <w:b/>
                <w:bCs/>
                <w:sz w:val="18"/>
                <w:szCs w:val="18"/>
                <w:lang w:eastAsia="en-US"/>
              </w:rPr>
            </w:pPr>
          </w:p>
        </w:tc>
        <w:tc>
          <w:tcPr>
            <w:tcW w:w="851" w:type="dxa"/>
            <w:tcBorders>
              <w:top w:val="nil"/>
              <w:left w:val="nil"/>
              <w:bottom w:val="single" w:sz="4" w:space="0" w:color="auto"/>
              <w:right w:val="nil"/>
            </w:tcBorders>
            <w:shd w:val="clear" w:color="FFFFFF" w:fill="FFFFFF"/>
            <w:vAlign w:val="bottom"/>
          </w:tcPr>
          <w:p w14:paraId="0100818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75" w:type="dxa"/>
            <w:tcBorders>
              <w:top w:val="nil"/>
              <w:left w:val="nil"/>
              <w:bottom w:val="single" w:sz="4" w:space="0" w:color="auto"/>
              <w:right w:val="nil"/>
            </w:tcBorders>
            <w:shd w:val="clear" w:color="FFFFFF" w:fill="FFFFFF"/>
            <w:noWrap/>
            <w:vAlign w:val="bottom"/>
          </w:tcPr>
          <w:p w14:paraId="0B76D33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859" w:type="dxa"/>
            <w:tcBorders>
              <w:top w:val="nil"/>
              <w:left w:val="nil"/>
              <w:bottom w:val="single" w:sz="4" w:space="0" w:color="auto"/>
              <w:right w:val="nil"/>
            </w:tcBorders>
            <w:shd w:val="clear" w:color="FFFFFF" w:fill="FFFFFF"/>
            <w:vAlign w:val="bottom"/>
          </w:tcPr>
          <w:p w14:paraId="6890D7E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0CDE3E2" w14:textId="77777777">
        <w:trPr>
          <w:trHeight w:val="255"/>
        </w:trPr>
        <w:tc>
          <w:tcPr>
            <w:tcW w:w="2694" w:type="dxa"/>
            <w:tcBorders>
              <w:top w:val="single" w:sz="4" w:space="0" w:color="auto"/>
              <w:left w:val="nil"/>
              <w:bottom w:val="single" w:sz="4" w:space="0" w:color="auto"/>
              <w:right w:val="nil"/>
            </w:tcBorders>
            <w:shd w:val="clear" w:color="FFFFFF" w:fill="FFFFFF"/>
            <w:noWrap/>
            <w:vAlign w:val="center"/>
            <w:hideMark/>
          </w:tcPr>
          <w:p w14:paraId="68D4D2D7" w14:textId="77777777" w:rsidR="0082424C" w:rsidRPr="007A3600" w:rsidRDefault="0082424C" w:rsidP="00AD3197">
            <w:pPr>
              <w:spacing w:after="0" w:line="260" w:lineRule="atLeast"/>
              <w:rPr>
                <w:rFonts w:eastAsia="Times New Roman" w:cs="Arial"/>
                <w:b/>
                <w:sz w:val="18"/>
                <w:szCs w:val="18"/>
                <w:lang w:eastAsia="en-US"/>
              </w:rPr>
            </w:pPr>
            <w:r w:rsidRPr="007A3600">
              <w:rPr>
                <w:rFonts w:eastAsia="Times New Roman" w:cs="Arial"/>
                <w:b/>
                <w:sz w:val="18"/>
                <w:szCs w:val="18"/>
                <w:lang w:eastAsia="en-US"/>
              </w:rPr>
              <w:t>Board Member</w:t>
            </w:r>
          </w:p>
        </w:tc>
        <w:tc>
          <w:tcPr>
            <w:tcW w:w="4677" w:type="dxa"/>
            <w:gridSpan w:val="2"/>
            <w:tcBorders>
              <w:top w:val="single" w:sz="4" w:space="0" w:color="auto"/>
              <w:left w:val="nil"/>
              <w:bottom w:val="single" w:sz="4" w:space="0" w:color="auto"/>
              <w:right w:val="nil"/>
            </w:tcBorders>
            <w:shd w:val="clear" w:color="FFFFFF" w:fill="FFFFFF"/>
          </w:tcPr>
          <w:p w14:paraId="47A9830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Related party and payments for services rendered by the related party</w:t>
            </w:r>
            <w:r w:rsidRPr="007A3600">
              <w:rPr>
                <w:rFonts w:eastAsia="Times New Roman" w:cs="Arial"/>
                <w:bCs/>
                <w:sz w:val="16"/>
                <w:szCs w:val="16"/>
                <w:vertAlign w:val="superscript"/>
                <w:lang w:eastAsia="en-US"/>
              </w:rPr>
              <w:t>1</w:t>
            </w:r>
          </w:p>
        </w:tc>
        <w:tc>
          <w:tcPr>
            <w:tcW w:w="851" w:type="dxa"/>
            <w:tcBorders>
              <w:top w:val="single" w:sz="4" w:space="0" w:color="auto"/>
              <w:left w:val="nil"/>
              <w:bottom w:val="single" w:sz="4" w:space="0" w:color="auto"/>
              <w:right w:val="nil"/>
            </w:tcBorders>
            <w:shd w:val="clear" w:color="FFFFFF" w:fill="FFFFFF"/>
            <w:vAlign w:val="bottom"/>
          </w:tcPr>
          <w:p w14:paraId="4D15A114" w14:textId="77777777" w:rsidR="0082424C" w:rsidRPr="007A3600" w:rsidRDefault="0082424C" w:rsidP="00AD3197">
            <w:pPr>
              <w:spacing w:after="0" w:line="260" w:lineRule="atLeast"/>
              <w:jc w:val="right"/>
              <w:rPr>
                <w:rFonts w:eastAsia="Times New Roman" w:cs="Arial"/>
                <w:b/>
                <w:bCs/>
                <w:sz w:val="18"/>
                <w:szCs w:val="18"/>
                <w:lang w:eastAsia="en-US"/>
              </w:rPr>
            </w:pPr>
          </w:p>
        </w:tc>
        <w:tc>
          <w:tcPr>
            <w:tcW w:w="275" w:type="dxa"/>
            <w:tcBorders>
              <w:top w:val="single" w:sz="4" w:space="0" w:color="auto"/>
              <w:left w:val="nil"/>
              <w:bottom w:val="single" w:sz="4" w:space="0" w:color="auto"/>
              <w:right w:val="nil"/>
            </w:tcBorders>
            <w:shd w:val="clear" w:color="FFFFFF" w:fill="FFFFFF"/>
            <w:noWrap/>
            <w:vAlign w:val="bottom"/>
          </w:tcPr>
          <w:p w14:paraId="51D152CF" w14:textId="77777777" w:rsidR="0082424C" w:rsidRPr="007A3600" w:rsidRDefault="0082424C" w:rsidP="00AD3197">
            <w:pPr>
              <w:spacing w:after="0" w:line="260" w:lineRule="atLeast"/>
              <w:rPr>
                <w:rFonts w:eastAsia="Times New Roman" w:cs="Arial"/>
                <w:sz w:val="18"/>
                <w:szCs w:val="18"/>
                <w:lang w:eastAsia="en-US"/>
              </w:rPr>
            </w:pPr>
          </w:p>
        </w:tc>
        <w:tc>
          <w:tcPr>
            <w:tcW w:w="859" w:type="dxa"/>
            <w:tcBorders>
              <w:top w:val="single" w:sz="4" w:space="0" w:color="auto"/>
              <w:left w:val="nil"/>
              <w:bottom w:val="single" w:sz="4" w:space="0" w:color="auto"/>
              <w:right w:val="nil"/>
            </w:tcBorders>
            <w:shd w:val="clear" w:color="FFFFFF" w:fill="FFFFFF"/>
            <w:vAlign w:val="bottom"/>
          </w:tcPr>
          <w:p w14:paraId="6662A12B" w14:textId="77777777" w:rsidR="0082424C" w:rsidRPr="007A3600" w:rsidRDefault="0082424C" w:rsidP="00AD3197">
            <w:pPr>
              <w:spacing w:after="0" w:line="260" w:lineRule="atLeast"/>
              <w:jc w:val="right"/>
              <w:rPr>
                <w:rFonts w:eastAsia="Times New Roman" w:cs="Arial"/>
                <w:sz w:val="18"/>
                <w:szCs w:val="18"/>
                <w:lang w:eastAsia="en-US"/>
              </w:rPr>
            </w:pPr>
          </w:p>
        </w:tc>
      </w:tr>
      <w:tr w:rsidR="0082424C" w:rsidRPr="007A3600" w14:paraId="07C4344E" w14:textId="77777777">
        <w:trPr>
          <w:trHeight w:val="255"/>
        </w:trPr>
        <w:tc>
          <w:tcPr>
            <w:tcW w:w="2694" w:type="dxa"/>
            <w:tcBorders>
              <w:top w:val="dotted" w:sz="4" w:space="0" w:color="auto"/>
              <w:left w:val="nil"/>
              <w:bottom w:val="dotted" w:sz="4" w:space="0" w:color="auto"/>
              <w:right w:val="nil"/>
            </w:tcBorders>
            <w:shd w:val="clear" w:color="FFFFFF" w:fill="FFFFFF"/>
            <w:noWrap/>
          </w:tcPr>
          <w:p w14:paraId="25AC393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Ms Estelle Pearson</w:t>
            </w:r>
          </w:p>
        </w:tc>
        <w:tc>
          <w:tcPr>
            <w:tcW w:w="4677" w:type="dxa"/>
            <w:gridSpan w:val="2"/>
            <w:tcBorders>
              <w:top w:val="dotted" w:sz="4" w:space="0" w:color="auto"/>
              <w:left w:val="nil"/>
              <w:bottom w:val="dotted" w:sz="4" w:space="0" w:color="auto"/>
              <w:right w:val="nil"/>
            </w:tcBorders>
            <w:shd w:val="clear" w:color="FFFFFF" w:fill="FFFFFF"/>
          </w:tcPr>
          <w:p w14:paraId="5B1B738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Director and Principal at Finity Consulting Pty Ltd (Finity). For professional services connected with Better Housing Data 2024–25.</w:t>
            </w:r>
          </w:p>
        </w:tc>
        <w:tc>
          <w:tcPr>
            <w:tcW w:w="851" w:type="dxa"/>
            <w:tcBorders>
              <w:top w:val="dotted" w:sz="4" w:space="0" w:color="auto"/>
              <w:left w:val="nil"/>
              <w:bottom w:val="dotted" w:sz="4" w:space="0" w:color="auto"/>
              <w:right w:val="nil"/>
            </w:tcBorders>
            <w:shd w:val="clear" w:color="FFFFFF" w:fill="FFFFFF"/>
          </w:tcPr>
          <w:p w14:paraId="472B001E" w14:textId="77777777" w:rsidR="0082424C" w:rsidRPr="007A3600" w:rsidRDefault="0082424C" w:rsidP="00AD3197">
            <w:pPr>
              <w:spacing w:after="0" w:line="260" w:lineRule="atLeast"/>
              <w:ind w:right="90"/>
              <w:jc w:val="right"/>
              <w:rPr>
                <w:rFonts w:eastAsia="Times New Roman" w:cs="Arial"/>
                <w:b/>
                <w:bCs/>
                <w:sz w:val="18"/>
                <w:szCs w:val="18"/>
                <w:lang w:eastAsia="en-US"/>
              </w:rPr>
            </w:pPr>
            <w:r w:rsidRPr="007A3600">
              <w:rPr>
                <w:rFonts w:eastAsia="Times New Roman" w:cs="Arial"/>
                <w:b/>
                <w:bCs/>
                <w:sz w:val="18"/>
                <w:szCs w:val="18"/>
                <w:lang w:eastAsia="en-US"/>
              </w:rPr>
              <w:t>422</w:t>
            </w:r>
          </w:p>
        </w:tc>
        <w:tc>
          <w:tcPr>
            <w:tcW w:w="275" w:type="dxa"/>
            <w:tcBorders>
              <w:top w:val="dotted" w:sz="4" w:space="0" w:color="auto"/>
              <w:left w:val="nil"/>
              <w:bottom w:val="dotted" w:sz="4" w:space="0" w:color="auto"/>
              <w:right w:val="nil"/>
            </w:tcBorders>
            <w:shd w:val="clear" w:color="FFFFFF" w:fill="FFFFFF"/>
            <w:noWrap/>
          </w:tcPr>
          <w:p w14:paraId="57B05A16" w14:textId="77777777" w:rsidR="0082424C" w:rsidRPr="007A3600" w:rsidRDefault="0082424C" w:rsidP="00AD3197">
            <w:pPr>
              <w:spacing w:after="0" w:line="260" w:lineRule="atLeast"/>
              <w:rPr>
                <w:rFonts w:eastAsia="Times New Roman" w:cs="Arial"/>
                <w:sz w:val="18"/>
                <w:szCs w:val="18"/>
                <w:lang w:eastAsia="en-US"/>
              </w:rPr>
            </w:pPr>
          </w:p>
        </w:tc>
        <w:tc>
          <w:tcPr>
            <w:tcW w:w="859" w:type="dxa"/>
            <w:tcBorders>
              <w:top w:val="dotted" w:sz="4" w:space="0" w:color="auto"/>
              <w:left w:val="nil"/>
              <w:bottom w:val="dotted" w:sz="4" w:space="0" w:color="auto"/>
              <w:right w:val="nil"/>
            </w:tcBorders>
            <w:shd w:val="clear" w:color="FFFFFF" w:fill="FFFFFF"/>
          </w:tcPr>
          <w:p w14:paraId="237CDA02" w14:textId="77777777" w:rsidR="0082424C" w:rsidRPr="007A3600" w:rsidRDefault="0082424C" w:rsidP="00AD3197">
            <w:pPr>
              <w:spacing w:after="0" w:line="260" w:lineRule="atLeast"/>
              <w:jc w:val="center"/>
              <w:rPr>
                <w:rFonts w:eastAsia="Times New Roman" w:cs="Arial"/>
                <w:sz w:val="18"/>
                <w:szCs w:val="18"/>
                <w:lang w:eastAsia="en-US"/>
              </w:rPr>
            </w:pPr>
            <w:r w:rsidRPr="007A3600">
              <w:rPr>
                <w:rFonts w:eastAsia="Times New Roman" w:cs="Arial"/>
                <w:sz w:val="18"/>
                <w:szCs w:val="18"/>
                <w:lang w:eastAsia="en-US"/>
              </w:rPr>
              <w:t>-</w:t>
            </w:r>
          </w:p>
        </w:tc>
      </w:tr>
    </w:tbl>
    <w:p w14:paraId="0D1742F2" w14:textId="7A9D380E" w:rsidR="0082424C" w:rsidRPr="007A3600" w:rsidRDefault="0082424C" w:rsidP="00AD3197">
      <w:pPr>
        <w:spacing w:before="120" w:after="0" w:line="260" w:lineRule="atLeast"/>
        <w:rPr>
          <w:rFonts w:eastAsia="Times New Roman" w:cs="Arial"/>
          <w:sz w:val="14"/>
          <w:szCs w:val="16"/>
          <w:lang w:eastAsia="en-US"/>
        </w:rPr>
      </w:pPr>
      <w:r w:rsidRPr="007A3600">
        <w:rPr>
          <w:rFonts w:eastAsia="Times New Roman" w:cs="Arial"/>
          <w:sz w:val="16"/>
          <w:szCs w:val="18"/>
          <w:vertAlign w:val="superscript"/>
          <w:lang w:eastAsia="en-US"/>
        </w:rPr>
        <w:t xml:space="preserve">1 </w:t>
      </w:r>
      <w:r w:rsidRPr="007A3600">
        <w:rPr>
          <w:rFonts w:eastAsia="Times New Roman" w:cs="Arial"/>
          <w:sz w:val="14"/>
          <w:szCs w:val="16"/>
          <w:lang w:eastAsia="en-US"/>
        </w:rPr>
        <w:t xml:space="preserve">All payments in the table above are calculated on a cash rather than accrual basis and therefore may differ from any amounts reported in Note 3.2 and Appendix </w:t>
      </w:r>
      <w:r w:rsidR="00FC427A" w:rsidRPr="007A3600">
        <w:rPr>
          <w:rFonts w:eastAsia="Times New Roman" w:cs="Arial"/>
          <w:sz w:val="14"/>
          <w:szCs w:val="16"/>
          <w:lang w:eastAsia="en-US"/>
        </w:rPr>
        <w:t>8.3</w:t>
      </w:r>
      <w:r w:rsidRPr="007A3600">
        <w:rPr>
          <w:rFonts w:eastAsia="Times New Roman" w:cs="Arial"/>
          <w:sz w:val="14"/>
          <w:szCs w:val="16"/>
          <w:lang w:eastAsia="en-US"/>
        </w:rPr>
        <w:t xml:space="preserve"> of the annual report.</w:t>
      </w:r>
    </w:p>
    <w:p w14:paraId="506FF0A4" w14:textId="77777777" w:rsidR="0082424C" w:rsidRPr="007A3600" w:rsidRDefault="0082424C" w:rsidP="00AD3197">
      <w:pPr>
        <w:spacing w:before="120" w:after="120" w:line="40" w:lineRule="atLeast"/>
        <w:rPr>
          <w:rFonts w:eastAsia="Times New Roman"/>
          <w:sz w:val="18"/>
          <w:szCs w:val="20"/>
          <w:lang w:eastAsia="en-US"/>
        </w:rPr>
      </w:pPr>
      <w:r w:rsidRPr="007A3600">
        <w:rPr>
          <w:rFonts w:eastAsia="Times New Roman"/>
          <w:sz w:val="18"/>
          <w:szCs w:val="20"/>
          <w:lang w:eastAsia="en-US"/>
        </w:rPr>
        <w:t>None of the above Key Management Personnel played any role in Agency decisions in relation to their related party transactions noted above.</w:t>
      </w:r>
    </w:p>
    <w:bookmarkEnd w:id="218"/>
    <w:bookmarkEnd w:id="219"/>
    <w:bookmarkEnd w:id="220"/>
    <w:p w14:paraId="716F9C4A" w14:textId="77777777" w:rsidR="0082424C" w:rsidRPr="007A3600" w:rsidRDefault="0082424C" w:rsidP="00AD3197">
      <w:pPr>
        <w:spacing w:after="0" w:line="40" w:lineRule="atLeast"/>
        <w:rPr>
          <w:rFonts w:eastAsia="Times New Roman"/>
          <w:sz w:val="18"/>
          <w:szCs w:val="20"/>
          <w:lang w:eastAsia="en-US"/>
        </w:rPr>
      </w:pPr>
      <w:r w:rsidRPr="007A3600">
        <w:rPr>
          <w:rFonts w:eastAsia="Times New Roman"/>
          <w:sz w:val="18"/>
          <w:szCs w:val="20"/>
          <w:lang w:eastAsia="en-US"/>
        </w:rPr>
        <w:br w:type="page"/>
      </w:r>
    </w:p>
    <w:p w14:paraId="61CBC57B"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6163F099"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6D64F3D1" w14:textId="77777777" w:rsidR="00FA3BE4" w:rsidRPr="00974C6F" w:rsidRDefault="00FA3BE4" w:rsidP="00FA3BE4">
      <w:pPr>
        <w:shd w:val="clear" w:color="00CC99" w:fill="800080"/>
        <w:spacing w:before="240" w:after="0" w:line="260" w:lineRule="atLeast"/>
        <w:ind w:left="360" w:hanging="360"/>
        <w:rPr>
          <w:rFonts w:ascii="Arial Bold" w:eastAsia="Times New Roman" w:hAnsi="Arial Bold"/>
          <w:b/>
          <w:color w:val="FFFFFF"/>
          <w:szCs w:val="20"/>
          <w:lang w:eastAsia="en-US"/>
        </w:rPr>
      </w:pPr>
      <w:bookmarkStart w:id="232" w:name="_Toc65742857"/>
      <w:bookmarkStart w:id="233" w:name="_Toc195692045"/>
      <w:r>
        <w:rPr>
          <w:rFonts w:ascii="Arial Bold" w:eastAsia="Times New Roman" w:hAnsi="Arial Bold"/>
          <w:b/>
          <w:color w:val="FFFFFF"/>
          <w:szCs w:val="20"/>
          <w:lang w:eastAsia="en-US"/>
        </w:rPr>
        <w:t>4.</w:t>
      </w:r>
      <w:r>
        <w:rPr>
          <w:rFonts w:ascii="Arial Bold" w:eastAsia="Times New Roman" w:hAnsi="Arial Bold"/>
          <w:b/>
          <w:color w:val="FFFFFF"/>
          <w:szCs w:val="20"/>
          <w:lang w:eastAsia="en-US"/>
        </w:rPr>
        <w:tab/>
      </w:r>
      <w:r w:rsidRPr="00974C6F">
        <w:rPr>
          <w:rFonts w:ascii="Arial Bold" w:eastAsia="Times New Roman" w:hAnsi="Arial Bold"/>
          <w:b/>
          <w:color w:val="FFFFFF"/>
          <w:szCs w:val="20"/>
          <w:lang w:eastAsia="en-US"/>
        </w:rPr>
        <w:t>Managing Uncertainties</w:t>
      </w:r>
      <w:bookmarkEnd w:id="232"/>
      <w:bookmarkEnd w:id="233"/>
    </w:p>
    <w:p w14:paraId="54EA7C81" w14:textId="77777777" w:rsidR="00FA3BE4" w:rsidRPr="00974C6F" w:rsidRDefault="00FA3BE4" w:rsidP="00FA3BE4">
      <w:pPr>
        <w:shd w:val="clear" w:color="00CC99" w:fill="800080"/>
        <w:spacing w:after="0" w:line="260" w:lineRule="atLeast"/>
        <w:rPr>
          <w:rFonts w:eastAsia="Times New Roman"/>
          <w:color w:val="FFFFFF"/>
          <w:sz w:val="18"/>
          <w:szCs w:val="18"/>
          <w:lang w:eastAsia="en-US"/>
        </w:rPr>
      </w:pPr>
      <w:r w:rsidRPr="00974C6F">
        <w:rPr>
          <w:rFonts w:eastAsia="Times New Roman"/>
          <w:color w:val="FFFFFF"/>
          <w:sz w:val="18"/>
          <w:szCs w:val="18"/>
          <w:lang w:eastAsia="en-US"/>
        </w:rPr>
        <w:t>This section analyses how the Agency manages financial risks within its operating environment.</w:t>
      </w:r>
    </w:p>
    <w:p w14:paraId="42B74A23" w14:textId="77777777" w:rsidR="00FA3BE4" w:rsidRPr="00974C6F" w:rsidRDefault="00FA3BE4" w:rsidP="00FA3BE4">
      <w:pPr>
        <w:numPr>
          <w:ilvl w:val="1"/>
          <w:numId w:val="0"/>
        </w:numPr>
        <w:shd w:val="clear" w:color="auto" w:fill="000000"/>
        <w:spacing w:after="0" w:line="260" w:lineRule="atLeast"/>
        <w:ind w:left="426" w:hanging="426"/>
        <w:rPr>
          <w:rFonts w:eastAsia="Times New Roman" w:cs="Arial"/>
          <w:b/>
          <w:color w:val="FFFFFF"/>
          <w:sz w:val="20"/>
          <w:szCs w:val="20"/>
          <w:lang w:eastAsia="en-US"/>
        </w:rPr>
      </w:pPr>
      <w:bookmarkStart w:id="234" w:name="_Toc65742858"/>
      <w:bookmarkStart w:id="235" w:name="_Toc195692046"/>
      <w:r>
        <w:rPr>
          <w:rFonts w:eastAsia="Times New Roman" w:cs="Arial"/>
          <w:b/>
          <w:color w:val="FFFFFF"/>
          <w:sz w:val="20"/>
          <w:szCs w:val="20"/>
          <w:lang w:eastAsia="en-US"/>
        </w:rPr>
        <w:t>4.1</w:t>
      </w:r>
      <w:r>
        <w:rPr>
          <w:rFonts w:eastAsia="Times New Roman" w:cs="Arial"/>
          <w:b/>
          <w:color w:val="FFFFFF"/>
          <w:sz w:val="20"/>
          <w:szCs w:val="20"/>
          <w:lang w:eastAsia="en-US"/>
        </w:rPr>
        <w:tab/>
      </w:r>
      <w:r w:rsidRPr="00974C6F">
        <w:rPr>
          <w:rFonts w:eastAsia="Times New Roman" w:cs="Arial"/>
          <w:b/>
          <w:color w:val="FFFFFF"/>
          <w:sz w:val="20"/>
          <w:szCs w:val="20"/>
          <w:lang w:eastAsia="en-US"/>
        </w:rPr>
        <w:t>Contingent Assets and Liabilities</w:t>
      </w:r>
      <w:bookmarkEnd w:id="234"/>
      <w:bookmarkEnd w:id="235"/>
    </w:p>
    <w:p w14:paraId="4CA0ECBF" w14:textId="77777777" w:rsidR="0082424C" w:rsidRPr="007A3600" w:rsidRDefault="0082424C" w:rsidP="00AD3197">
      <w:pPr>
        <w:spacing w:after="120" w:line="260" w:lineRule="atLeast"/>
        <w:rPr>
          <w:rFonts w:eastAsia="Times New Roman" w:cs="Arial"/>
          <w:b/>
          <w:sz w:val="18"/>
          <w:szCs w:val="18"/>
          <w:u w:val="single"/>
        </w:rPr>
      </w:pPr>
      <w:r w:rsidRPr="007A3600">
        <w:rPr>
          <w:rFonts w:eastAsia="Times New Roman" w:cs="Arial"/>
          <w:b/>
          <w:sz w:val="18"/>
          <w:szCs w:val="18"/>
          <w:u w:val="single"/>
        </w:rPr>
        <w:t>Quantifiable Contingencies</w:t>
      </w:r>
    </w:p>
    <w:p w14:paraId="54A73D3E" w14:textId="77777777" w:rsidR="0082424C" w:rsidRPr="007A3600" w:rsidRDefault="0082424C" w:rsidP="00AD3197">
      <w:pPr>
        <w:spacing w:after="120" w:line="260" w:lineRule="atLeast"/>
        <w:rPr>
          <w:rFonts w:eastAsia="Times New Roman" w:cs="Arial"/>
          <w:sz w:val="18"/>
          <w:szCs w:val="18"/>
        </w:rPr>
      </w:pPr>
      <w:bookmarkStart w:id="236" w:name="_Ref338146507"/>
      <w:r w:rsidRPr="007A3600">
        <w:rPr>
          <w:rFonts w:eastAsia="Times New Roman"/>
          <w:sz w:val="18"/>
          <w:szCs w:val="20"/>
          <w:lang w:eastAsia="en-US"/>
        </w:rPr>
        <w:t xml:space="preserve">As at </w:t>
      </w:r>
      <w:r w:rsidRPr="007A3600">
        <w:rPr>
          <w:rFonts w:eastAsia="Times New Roman"/>
          <w:sz w:val="18"/>
          <w:szCs w:val="20"/>
          <w:lang w:eastAsia="en-US"/>
        </w:rPr>
        <w:fldChar w:fldCharType="begin"/>
      </w:r>
      <w:r w:rsidRPr="007A3600">
        <w:rPr>
          <w:rFonts w:eastAsia="Times New Roman"/>
          <w:sz w:val="18"/>
          <w:szCs w:val="20"/>
          <w:lang w:eastAsia="en-US"/>
        </w:rPr>
        <w:instrText xml:space="preserve"> DOCPROPERTY  pEnd  \* MERGEFORMAT </w:instrText>
      </w:r>
      <w:r w:rsidRPr="007A3600">
        <w:rPr>
          <w:rFonts w:eastAsia="Times New Roman"/>
          <w:sz w:val="18"/>
          <w:szCs w:val="20"/>
          <w:lang w:eastAsia="en-US"/>
        </w:rPr>
        <w:fldChar w:fldCharType="separate"/>
      </w:r>
      <w:r w:rsidRPr="007A3600">
        <w:rPr>
          <w:rFonts w:eastAsia="Times New Roman"/>
          <w:sz w:val="18"/>
          <w:szCs w:val="20"/>
          <w:lang w:eastAsia="en-US"/>
        </w:rPr>
        <w:t>30 June</w:t>
      </w:r>
      <w:r w:rsidRPr="007A3600">
        <w:rPr>
          <w:rFonts w:eastAsia="Times New Roman"/>
          <w:sz w:val="18"/>
          <w:szCs w:val="20"/>
          <w:lang w:eastAsia="en-US"/>
        </w:rPr>
        <w:fldChar w:fldCharType="end"/>
      </w:r>
      <w:r w:rsidRPr="007A3600">
        <w:rPr>
          <w:rFonts w:eastAsia="Times New Roman"/>
          <w:sz w:val="18"/>
          <w:szCs w:val="20"/>
          <w:lang w:eastAsia="en-US"/>
        </w:rPr>
        <w:t xml:space="preserve"> </w:t>
      </w:r>
      <w:r w:rsidRPr="007A3600">
        <w:rPr>
          <w:rFonts w:eastAsia="Times New Roman"/>
          <w:sz w:val="18"/>
          <w:szCs w:val="20"/>
          <w:lang w:eastAsia="en-US"/>
        </w:rPr>
        <w:fldChar w:fldCharType="begin"/>
      </w:r>
      <w:r w:rsidRPr="007A3600">
        <w:rPr>
          <w:rFonts w:eastAsia="Times New Roman"/>
          <w:sz w:val="18"/>
          <w:szCs w:val="20"/>
          <w:lang w:eastAsia="en-US"/>
        </w:rPr>
        <w:instrText xml:space="preserve"> DOCPROPERTY  crYear  \* MERGEFORMAT </w:instrText>
      </w:r>
      <w:r w:rsidRPr="007A3600">
        <w:rPr>
          <w:rFonts w:eastAsia="Times New Roman"/>
          <w:sz w:val="18"/>
          <w:szCs w:val="20"/>
          <w:lang w:eastAsia="en-US"/>
        </w:rPr>
        <w:fldChar w:fldCharType="separate"/>
      </w:r>
      <w:r w:rsidRPr="007A3600">
        <w:rPr>
          <w:rFonts w:eastAsia="Times New Roman"/>
          <w:sz w:val="18"/>
          <w:szCs w:val="20"/>
          <w:lang w:eastAsia="en-US"/>
        </w:rPr>
        <w:t>2025</w:t>
      </w:r>
      <w:r w:rsidRPr="007A3600">
        <w:rPr>
          <w:rFonts w:eastAsia="Times New Roman"/>
          <w:sz w:val="18"/>
          <w:szCs w:val="20"/>
          <w:lang w:eastAsia="en-US"/>
        </w:rPr>
        <w:fldChar w:fldCharType="end"/>
      </w:r>
      <w:r w:rsidRPr="007A3600">
        <w:rPr>
          <w:rFonts w:eastAsia="Times New Roman"/>
          <w:sz w:val="18"/>
          <w:szCs w:val="20"/>
          <w:lang w:eastAsia="en-US"/>
        </w:rPr>
        <w:t>, the Agency had no quantifiable</w:t>
      </w:r>
      <w:r w:rsidRPr="007A3600">
        <w:rPr>
          <w:rFonts w:eastAsia="Times New Roman"/>
          <w:color w:val="C00000"/>
          <w:sz w:val="18"/>
          <w:szCs w:val="20"/>
          <w:lang w:eastAsia="en-US"/>
        </w:rPr>
        <w:t xml:space="preserve"> </w:t>
      </w:r>
      <w:r w:rsidRPr="007A3600">
        <w:rPr>
          <w:rFonts w:eastAsia="Times New Roman"/>
          <w:sz w:val="18"/>
          <w:szCs w:val="20"/>
          <w:lang w:eastAsia="en-US"/>
        </w:rPr>
        <w:t xml:space="preserve">contingent assets or liabilities </w:t>
      </w:r>
      <w:r w:rsidRPr="007A3600">
        <w:rPr>
          <w:rFonts w:eastAsia="Times New Roman" w:cs="Arial"/>
          <w:sz w:val="18"/>
          <w:szCs w:val="18"/>
        </w:rPr>
        <w:t>(</w:t>
      </w:r>
      <w:r w:rsidRPr="007A3600">
        <w:rPr>
          <w:rFonts w:eastAsia="Times New Roman" w:cs="Arial"/>
          <w:sz w:val="18"/>
          <w:szCs w:val="18"/>
        </w:rPr>
        <w:fldChar w:fldCharType="begin"/>
      </w:r>
      <w:r w:rsidRPr="007A3600">
        <w:rPr>
          <w:rFonts w:eastAsia="Times New Roman" w:cs="Arial"/>
          <w:sz w:val="18"/>
          <w:szCs w:val="18"/>
        </w:rPr>
        <w:instrText xml:space="preserve"> DOCPROPERTY  prYear  \* MERGEFORMAT </w:instrText>
      </w:r>
      <w:r w:rsidRPr="007A3600">
        <w:rPr>
          <w:rFonts w:eastAsia="Times New Roman" w:cs="Arial"/>
          <w:sz w:val="18"/>
          <w:szCs w:val="18"/>
        </w:rPr>
        <w:fldChar w:fldCharType="separate"/>
      </w:r>
      <w:r w:rsidRPr="007A3600">
        <w:rPr>
          <w:rFonts w:eastAsia="Times New Roman" w:cs="Arial"/>
          <w:sz w:val="18"/>
          <w:szCs w:val="18"/>
        </w:rPr>
        <w:t>2024</w:t>
      </w:r>
      <w:r w:rsidRPr="007A3600">
        <w:rPr>
          <w:rFonts w:eastAsia="Times New Roman" w:cs="Arial"/>
          <w:sz w:val="18"/>
          <w:szCs w:val="18"/>
        </w:rPr>
        <w:fldChar w:fldCharType="end"/>
      </w:r>
      <w:r w:rsidRPr="007A3600">
        <w:rPr>
          <w:rFonts w:eastAsia="Times New Roman" w:cs="Arial"/>
          <w:sz w:val="18"/>
          <w:szCs w:val="18"/>
        </w:rPr>
        <w:t>: $Nil).</w:t>
      </w:r>
    </w:p>
    <w:p w14:paraId="2EE555E8" w14:textId="77777777" w:rsidR="0082424C" w:rsidRPr="007A3600" w:rsidRDefault="0082424C" w:rsidP="00AD3197">
      <w:pPr>
        <w:spacing w:after="120" w:line="260" w:lineRule="atLeast"/>
        <w:rPr>
          <w:rFonts w:eastAsia="Times New Roman" w:cs="Arial"/>
          <w:b/>
          <w:sz w:val="18"/>
          <w:szCs w:val="18"/>
          <w:u w:val="single"/>
        </w:rPr>
      </w:pPr>
      <w:r w:rsidRPr="007A3600">
        <w:rPr>
          <w:rFonts w:eastAsia="Times New Roman" w:cs="Arial"/>
          <w:b/>
          <w:sz w:val="18"/>
          <w:szCs w:val="18"/>
          <w:u w:val="single"/>
        </w:rPr>
        <w:t>Unquantifiable Contingencies</w:t>
      </w:r>
    </w:p>
    <w:p w14:paraId="2F1D6BB7" w14:textId="77777777" w:rsidR="0082424C" w:rsidRPr="007A3600" w:rsidRDefault="0082424C" w:rsidP="00AD3197">
      <w:pPr>
        <w:spacing w:after="120" w:line="260" w:lineRule="atLeast"/>
        <w:rPr>
          <w:rFonts w:eastAsia="Times New Roman" w:cs="Arial"/>
          <w:b/>
          <w:i/>
          <w:sz w:val="22"/>
          <w:szCs w:val="22"/>
          <w:u w:val="single"/>
          <w:lang w:eastAsia="en-US"/>
        </w:rPr>
      </w:pPr>
      <w:r w:rsidRPr="007A3600">
        <w:rPr>
          <w:rFonts w:eastAsia="Times New Roman"/>
          <w:i/>
          <w:sz w:val="18"/>
          <w:szCs w:val="20"/>
          <w:u w:val="single"/>
          <w:lang w:eastAsia="en-US"/>
        </w:rPr>
        <w:t>Contingent</w:t>
      </w:r>
      <w:r w:rsidRPr="007A3600">
        <w:rPr>
          <w:rFonts w:eastAsia="Times New Roman" w:cs="Arial"/>
          <w:b/>
          <w:i/>
          <w:sz w:val="22"/>
          <w:szCs w:val="22"/>
          <w:u w:val="single"/>
          <w:lang w:eastAsia="en-US"/>
        </w:rPr>
        <w:t xml:space="preserve"> </w:t>
      </w:r>
      <w:r w:rsidRPr="007A3600">
        <w:rPr>
          <w:rFonts w:eastAsia="Times New Roman" w:cs="Arial"/>
          <w:i/>
          <w:sz w:val="18"/>
          <w:szCs w:val="18"/>
          <w:u w:val="single"/>
          <w:lang w:eastAsia="en-US"/>
        </w:rPr>
        <w:t>asset</w:t>
      </w:r>
      <w:r w:rsidRPr="007A3600">
        <w:rPr>
          <w:rFonts w:eastAsia="Times New Roman" w:cs="Arial"/>
          <w:b/>
          <w:i/>
          <w:sz w:val="22"/>
          <w:szCs w:val="22"/>
          <w:u w:val="single"/>
          <w:lang w:eastAsia="en-US"/>
        </w:rPr>
        <w:t xml:space="preserve"> </w:t>
      </w:r>
      <w:r w:rsidRPr="007A3600">
        <w:rPr>
          <w:rFonts w:eastAsia="Times New Roman" w:cs="Arial"/>
          <w:i/>
          <w:sz w:val="18"/>
          <w:szCs w:val="18"/>
          <w:u w:val="single"/>
          <w:lang w:eastAsia="en-US"/>
        </w:rPr>
        <w:t>–</w:t>
      </w:r>
      <w:r w:rsidRPr="007A3600">
        <w:rPr>
          <w:rFonts w:eastAsia="Times New Roman" w:cs="Arial"/>
          <w:b/>
          <w:i/>
          <w:sz w:val="22"/>
          <w:szCs w:val="22"/>
          <w:u w:val="single"/>
          <w:lang w:eastAsia="en-US"/>
        </w:rPr>
        <w:t xml:space="preserve"> </w:t>
      </w:r>
      <w:r w:rsidRPr="007A3600">
        <w:rPr>
          <w:rFonts w:eastAsia="Times New Roman" w:cs="Arial"/>
          <w:i/>
          <w:sz w:val="18"/>
          <w:szCs w:val="18"/>
          <w:u w:val="single"/>
          <w:lang w:eastAsia="en-US"/>
        </w:rPr>
        <w:t>Compensation</w:t>
      </w:r>
      <w:r w:rsidRPr="007A3600">
        <w:rPr>
          <w:rFonts w:eastAsia="Times New Roman" w:cs="Arial"/>
          <w:b/>
          <w:i/>
          <w:sz w:val="22"/>
          <w:szCs w:val="22"/>
          <w:u w:val="single"/>
          <w:lang w:eastAsia="en-US"/>
        </w:rPr>
        <w:t xml:space="preserve"> </w:t>
      </w:r>
      <w:r w:rsidRPr="007A3600">
        <w:rPr>
          <w:rFonts w:eastAsia="Times New Roman"/>
          <w:i/>
          <w:sz w:val="18"/>
          <w:szCs w:val="20"/>
          <w:u w:val="single"/>
          <w:lang w:eastAsia="en-US"/>
        </w:rPr>
        <w:t>recoveries</w:t>
      </w:r>
    </w:p>
    <w:p w14:paraId="16BA1B6F" w14:textId="77777777" w:rsidR="0082424C" w:rsidRPr="007A3600" w:rsidRDefault="0082424C" w:rsidP="00AD3197">
      <w:pPr>
        <w:spacing w:after="120" w:line="260" w:lineRule="atLeast"/>
        <w:rPr>
          <w:rFonts w:eastAsia="Times New Roman" w:cs="Arial"/>
          <w:sz w:val="18"/>
          <w:szCs w:val="18"/>
          <w:lang w:eastAsia="en-US"/>
        </w:rPr>
      </w:pPr>
      <w:r w:rsidRPr="007A3600">
        <w:rPr>
          <w:rFonts w:eastAsia="Times New Roman"/>
          <w:sz w:val="18"/>
          <w:szCs w:val="20"/>
          <w:lang w:eastAsia="en-US"/>
        </w:rPr>
        <w:t>There</w:t>
      </w:r>
      <w:r w:rsidRPr="007A3600">
        <w:rPr>
          <w:rFonts w:eastAsia="Times New Roman" w:cs="Arial"/>
          <w:i/>
          <w:sz w:val="22"/>
          <w:szCs w:val="22"/>
          <w:lang w:eastAsia="en-US"/>
        </w:rPr>
        <w:t xml:space="preserve"> </w:t>
      </w:r>
      <w:r w:rsidRPr="007A3600">
        <w:rPr>
          <w:rFonts w:eastAsia="Times New Roman" w:cs="Arial"/>
          <w:sz w:val="18"/>
          <w:szCs w:val="18"/>
          <w:lang w:eastAsia="en-US"/>
        </w:rPr>
        <w:t xml:space="preserve">are provisions set out in the Act and the NDIS Compensation Rules that allow the Agency to recover amounts of compensation that have been paid to, or given up by, Scheme participants. These provisions apply to a number of Scheme participant plans, for which compensation recovery decisions have not yet been made at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pEnd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30 June</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A number of potential compensation cases are in progress at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pEnd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30 June</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which may result in future compensation recoveries by the Agency. Due to the unique circumstances of each case, the Agency is currently unable to estimate the amount that may be recoverable from these cases. These amounts will be recognised as income in future periods when the relevant recognition criteria are met. The accounting policy for compensation receipts is included in Note 1.2C.</w:t>
      </w:r>
    </w:p>
    <w:p w14:paraId="7CBB1D87" w14:textId="77777777" w:rsidR="0082424C" w:rsidRPr="007A3600" w:rsidRDefault="0082424C" w:rsidP="00AD3197">
      <w:pPr>
        <w:spacing w:after="120" w:line="260" w:lineRule="atLeast"/>
        <w:rPr>
          <w:rFonts w:eastAsia="Times New Roman" w:cs="Arial"/>
          <w:i/>
          <w:sz w:val="18"/>
          <w:szCs w:val="18"/>
          <w:u w:val="single"/>
        </w:rPr>
      </w:pPr>
      <w:r w:rsidRPr="007A3600">
        <w:rPr>
          <w:rFonts w:eastAsia="Times New Roman" w:cs="Arial"/>
          <w:i/>
          <w:sz w:val="18"/>
          <w:szCs w:val="18"/>
          <w:u w:val="single"/>
        </w:rPr>
        <w:t>Contingent liabilities</w:t>
      </w:r>
    </w:p>
    <w:p w14:paraId="3168CAB1" w14:textId="77777777" w:rsidR="0082424C" w:rsidRPr="007A3600" w:rsidRDefault="0082424C" w:rsidP="00AD3197">
      <w:pPr>
        <w:spacing w:after="120" w:line="260" w:lineRule="atLeast"/>
        <w:rPr>
          <w:rFonts w:eastAsia="Times New Roman" w:cs="Arial"/>
          <w:sz w:val="18"/>
          <w:szCs w:val="18"/>
          <w:lang w:eastAsia="en-US"/>
        </w:rPr>
      </w:pPr>
      <w:r w:rsidRPr="007A3600">
        <w:rPr>
          <w:rFonts w:eastAsia="Times New Roman" w:cs="Arial"/>
          <w:sz w:val="18"/>
          <w:szCs w:val="18"/>
          <w:lang w:eastAsia="en-US"/>
        </w:rPr>
        <w:t xml:space="preserve">As at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pEnd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30 June</w:t>
      </w:r>
      <w:r w:rsidRPr="007A3600">
        <w:rPr>
          <w:rFonts w:eastAsia="Times New Roman" w:cs="Arial"/>
          <w:sz w:val="18"/>
          <w:szCs w:val="18"/>
          <w:lang w:eastAsia="en-US"/>
        </w:rPr>
        <w:fldChar w:fldCharType="end"/>
      </w:r>
      <w:r w:rsidRPr="007A3600">
        <w:rPr>
          <w:rFonts w:eastAsia="Times New Roman" w:cs="Arial"/>
          <w:sz w:val="18"/>
          <w:szCs w:val="18"/>
          <w:lang w:eastAsia="en-US"/>
        </w:rPr>
        <w:t xml:space="preserve"> </w:t>
      </w:r>
      <w:r w:rsidRPr="007A3600">
        <w:rPr>
          <w:rFonts w:eastAsia="Times New Roman" w:cs="Arial"/>
          <w:sz w:val="18"/>
          <w:szCs w:val="18"/>
          <w:lang w:eastAsia="en-US"/>
        </w:rPr>
        <w:fldChar w:fldCharType="begin"/>
      </w:r>
      <w:r w:rsidRPr="007A3600">
        <w:rPr>
          <w:rFonts w:eastAsia="Times New Roman" w:cs="Arial"/>
          <w:sz w:val="18"/>
          <w:szCs w:val="18"/>
          <w:lang w:eastAsia="en-US"/>
        </w:rPr>
        <w:instrText xml:space="preserve"> DOCPROPERTY  crYear  \* MERGEFORMAT </w:instrText>
      </w:r>
      <w:r w:rsidRPr="007A3600">
        <w:rPr>
          <w:rFonts w:eastAsia="Times New Roman" w:cs="Arial"/>
          <w:sz w:val="18"/>
          <w:szCs w:val="18"/>
          <w:lang w:eastAsia="en-US"/>
        </w:rPr>
        <w:fldChar w:fldCharType="separate"/>
      </w:r>
      <w:r w:rsidRPr="007A3600">
        <w:rPr>
          <w:rFonts w:eastAsia="Times New Roman" w:cs="Arial"/>
          <w:sz w:val="18"/>
          <w:szCs w:val="18"/>
          <w:lang w:eastAsia="en-US"/>
        </w:rPr>
        <w:t>2025</w:t>
      </w:r>
      <w:r w:rsidRPr="007A3600">
        <w:rPr>
          <w:rFonts w:eastAsia="Times New Roman" w:cs="Arial"/>
          <w:sz w:val="18"/>
          <w:szCs w:val="18"/>
          <w:lang w:eastAsia="en-US"/>
        </w:rPr>
        <w:fldChar w:fldCharType="end"/>
      </w:r>
      <w:r w:rsidRPr="007A3600">
        <w:rPr>
          <w:rFonts w:eastAsia="Times New Roman" w:cs="Arial"/>
          <w:sz w:val="18"/>
          <w:szCs w:val="18"/>
          <w:lang w:eastAsia="en-US"/>
        </w:rPr>
        <w:t>, the Agency has a contract with a supplier which includes unquantifiable contingent liabilities. These relate to the indemnification of the supplier for expenses arising from alleged or actual violations of any third-party rights arising from the Agency’s data, alleged or actual use or misuse of the supplier’s intellectual property, software, and subscriptions. The Agency has assessed that it is unlikely that events crystallising these contingent liabilities will occur.</w:t>
      </w:r>
    </w:p>
    <w:p w14:paraId="1C34AB84" w14:textId="7FCD5663" w:rsidR="0082424C" w:rsidRPr="007A3600" w:rsidRDefault="0082424C" w:rsidP="00AD3197">
      <w:pPr>
        <w:spacing w:after="120" w:line="260" w:lineRule="atLeast"/>
        <w:rPr>
          <w:rFonts w:eastAsia="Times New Roman" w:cs="Arial"/>
          <w:iCs/>
          <w:sz w:val="18"/>
          <w:szCs w:val="18"/>
          <w:lang w:eastAsia="en-US"/>
        </w:rPr>
      </w:pPr>
      <w:r w:rsidRPr="007A3600">
        <w:rPr>
          <w:rFonts w:eastAsia="Times New Roman" w:cs="Arial"/>
          <w:sz w:val="18"/>
          <w:szCs w:val="18"/>
          <w:lang w:eastAsia="en-US"/>
        </w:rPr>
        <w:t xml:space="preserve">During 2024–25, the Agency was involved in a number of cases before the Administrative </w:t>
      </w:r>
      <w:r w:rsidR="009F3E64" w:rsidRPr="007A3600">
        <w:rPr>
          <w:rFonts w:eastAsia="Times New Roman" w:cs="Arial"/>
          <w:iCs/>
          <w:sz w:val="18"/>
          <w:szCs w:val="18"/>
          <w:lang w:eastAsia="en-US"/>
        </w:rPr>
        <w:t>Review</w:t>
      </w:r>
      <w:r w:rsidR="009F3E64" w:rsidRPr="007A3600">
        <w:rPr>
          <w:rFonts w:eastAsia="Times New Roman" w:cs="Arial"/>
          <w:sz w:val="18"/>
          <w:szCs w:val="18"/>
          <w:lang w:eastAsia="en-US"/>
        </w:rPr>
        <w:t xml:space="preserve"> </w:t>
      </w:r>
      <w:r w:rsidRPr="007A3600">
        <w:rPr>
          <w:rFonts w:eastAsia="Times New Roman" w:cs="Arial"/>
          <w:sz w:val="18"/>
          <w:szCs w:val="18"/>
          <w:lang w:eastAsia="en-US"/>
        </w:rPr>
        <w:t>Tribunal. It is not possible to estimate the amounts of any eventual payments that may be required in relation to these claims.</w:t>
      </w:r>
    </w:p>
    <w:p w14:paraId="2BA497C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Accounting Policy </w:t>
      </w:r>
    </w:p>
    <w:p w14:paraId="6460A428"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lang w:eastAsia="en-US"/>
        </w:rPr>
      </w:pPr>
      <w:r w:rsidRPr="007A3600">
        <w:rPr>
          <w:rFonts w:eastAsia="Times New Roman" w:cs="Arial"/>
          <w:bCs/>
          <w:sz w:val="18"/>
          <w:szCs w:val="18"/>
          <w:lang w:eastAsia="en-US"/>
        </w:rPr>
        <w:t>Contingent liabilities and contingent assets are not recognised in the Statement of Financial Position but are reported in the notes. They may arise from uncertainty as to the existence of a liability or asset or represent an asset or liability in respect of which the amount cannot be reliably measured. Contingent assets are disclosed when settlement is probable but not virtually certain and contingent liabilities are disclosed when settlement is greater than remote.</w:t>
      </w:r>
    </w:p>
    <w:p w14:paraId="6A868911" w14:textId="77777777" w:rsidR="0082424C" w:rsidRPr="007A3600" w:rsidRDefault="0082424C" w:rsidP="00AD3197">
      <w:pPr>
        <w:spacing w:after="0" w:line="240" w:lineRule="auto"/>
        <w:rPr>
          <w:rFonts w:eastAsia="Times New Roman" w:cs="Arial"/>
          <w:sz w:val="18"/>
          <w:szCs w:val="18"/>
        </w:rPr>
      </w:pPr>
      <w:r w:rsidRPr="007A3600">
        <w:rPr>
          <w:rFonts w:eastAsia="Times New Roman" w:cs="Arial"/>
          <w:sz w:val="18"/>
          <w:szCs w:val="18"/>
        </w:rPr>
        <w:br w:type="page"/>
      </w:r>
    </w:p>
    <w:p w14:paraId="464538A7"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237" w:name="_Toc443469549"/>
      <w:bookmarkStart w:id="238" w:name="_Toc444065804"/>
      <w:bookmarkStart w:id="239" w:name="_Toc444080001"/>
      <w:bookmarkStart w:id="240" w:name="_Toc447030550"/>
      <w:bookmarkStart w:id="241" w:name="_Toc447030702"/>
      <w:bookmarkStart w:id="242" w:name="_Toc447030795"/>
      <w:bookmarkStart w:id="243" w:name="_Toc65742859"/>
      <w:bookmarkStart w:id="244" w:name="_Toc195692047"/>
      <w:r w:rsidRPr="007A3600">
        <w:rPr>
          <w:rFonts w:eastAsia="Times New Roman" w:cs="Arial"/>
          <w:b/>
          <w:lang w:eastAsia="en-US"/>
        </w:rPr>
        <w:lastRenderedPageBreak/>
        <w:t>National Disability Insurance Agency</w:t>
      </w:r>
    </w:p>
    <w:p w14:paraId="689B3296"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24F08F1E" w14:textId="77777777" w:rsidR="0082424C" w:rsidRPr="007A3600" w:rsidRDefault="0082424C" w:rsidP="00FA3BE4">
      <w:pPr>
        <w:numPr>
          <w:ilvl w:val="1"/>
          <w:numId w:val="0"/>
        </w:numPr>
        <w:shd w:val="clear" w:color="auto" w:fill="000000"/>
        <w:spacing w:before="240" w:after="0" w:line="260" w:lineRule="atLeast"/>
        <w:ind w:left="425" w:hanging="425"/>
        <w:rPr>
          <w:rFonts w:eastAsia="Times New Roman" w:cs="Arial"/>
          <w:b/>
          <w:color w:val="FFFFFF"/>
          <w:sz w:val="20"/>
          <w:szCs w:val="20"/>
          <w:lang w:eastAsia="en-US"/>
        </w:rPr>
      </w:pPr>
      <w:r w:rsidRPr="007A3600">
        <w:rPr>
          <w:rFonts w:eastAsia="Times New Roman" w:cs="Arial"/>
          <w:b/>
          <w:color w:val="FFFFFF"/>
          <w:sz w:val="20"/>
          <w:szCs w:val="20"/>
          <w:lang w:eastAsia="en-US"/>
        </w:rPr>
        <w:t>4.2</w:t>
      </w:r>
      <w:r w:rsidRPr="007A3600">
        <w:rPr>
          <w:rFonts w:eastAsia="Times New Roman" w:cs="Arial"/>
          <w:b/>
          <w:color w:val="FFFFFF"/>
          <w:sz w:val="20"/>
          <w:szCs w:val="20"/>
          <w:lang w:eastAsia="en-US"/>
        </w:rPr>
        <w:tab/>
        <w:t>Financial Instruments</w:t>
      </w:r>
      <w:bookmarkEnd w:id="237"/>
      <w:bookmarkEnd w:id="238"/>
      <w:bookmarkEnd w:id="239"/>
      <w:bookmarkEnd w:id="240"/>
      <w:bookmarkEnd w:id="241"/>
      <w:bookmarkEnd w:id="242"/>
      <w:bookmarkEnd w:id="243"/>
      <w:bookmarkEnd w:id="244"/>
    </w:p>
    <w:tbl>
      <w:tblPr>
        <w:tblW w:w="9087" w:type="dxa"/>
        <w:tblLayout w:type="fixed"/>
        <w:tblLook w:val="04A0" w:firstRow="1" w:lastRow="0" w:firstColumn="1" w:lastColumn="0" w:noHBand="0" w:noVBand="1"/>
      </w:tblPr>
      <w:tblGrid>
        <w:gridCol w:w="6365"/>
        <w:gridCol w:w="1243"/>
        <w:gridCol w:w="236"/>
        <w:gridCol w:w="1243"/>
      </w:tblGrid>
      <w:tr w:rsidR="0082424C" w:rsidRPr="007A3600" w14:paraId="7907E0CF" w14:textId="77777777">
        <w:trPr>
          <w:trHeight w:val="250"/>
        </w:trPr>
        <w:tc>
          <w:tcPr>
            <w:tcW w:w="6365" w:type="dxa"/>
            <w:tcBorders>
              <w:top w:val="nil"/>
              <w:left w:val="nil"/>
              <w:bottom w:val="nil"/>
              <w:right w:val="nil"/>
            </w:tcBorders>
            <w:shd w:val="clear" w:color="FFFFFF" w:fill="FFFFFF"/>
            <w:noWrap/>
            <w:vAlign w:val="bottom"/>
            <w:hideMark/>
          </w:tcPr>
          <w:p w14:paraId="3BAF379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BF4261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706748A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455C17B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2C9C4F21" w14:textId="77777777">
        <w:trPr>
          <w:trHeight w:val="260"/>
        </w:trPr>
        <w:tc>
          <w:tcPr>
            <w:tcW w:w="6365" w:type="dxa"/>
            <w:tcBorders>
              <w:top w:val="nil"/>
              <w:left w:val="nil"/>
              <w:bottom w:val="nil"/>
              <w:right w:val="nil"/>
            </w:tcBorders>
            <w:shd w:val="clear" w:color="FFFFFF" w:fill="FFFFFF"/>
            <w:noWrap/>
            <w:vAlign w:val="bottom"/>
            <w:hideMark/>
          </w:tcPr>
          <w:p w14:paraId="3E48710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7C247E3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1F0A128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vAlign w:val="bottom"/>
            <w:hideMark/>
          </w:tcPr>
          <w:p w14:paraId="607611F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4854F982" w14:textId="77777777">
        <w:trPr>
          <w:trHeight w:val="260"/>
        </w:trPr>
        <w:tc>
          <w:tcPr>
            <w:tcW w:w="6365" w:type="dxa"/>
            <w:tcBorders>
              <w:top w:val="nil"/>
              <w:left w:val="nil"/>
              <w:bottom w:val="nil"/>
              <w:right w:val="nil"/>
            </w:tcBorders>
            <w:shd w:val="clear" w:color="FFFFFF" w:fill="FFFFFF"/>
            <w:noWrap/>
            <w:vAlign w:val="bottom"/>
            <w:hideMark/>
          </w:tcPr>
          <w:p w14:paraId="03947E62"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4.2A: Categories of financial instruments</w:t>
            </w:r>
          </w:p>
        </w:tc>
        <w:tc>
          <w:tcPr>
            <w:tcW w:w="1243" w:type="dxa"/>
            <w:tcBorders>
              <w:top w:val="nil"/>
              <w:left w:val="nil"/>
              <w:bottom w:val="nil"/>
              <w:right w:val="nil"/>
            </w:tcBorders>
            <w:shd w:val="clear" w:color="FFFFFF" w:fill="FFFFFF"/>
            <w:noWrap/>
            <w:vAlign w:val="bottom"/>
            <w:hideMark/>
          </w:tcPr>
          <w:p w14:paraId="72C11D7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59429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01B749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9A4C44B" w14:textId="77777777">
        <w:trPr>
          <w:trHeight w:val="260"/>
        </w:trPr>
        <w:tc>
          <w:tcPr>
            <w:tcW w:w="6365" w:type="dxa"/>
            <w:tcBorders>
              <w:top w:val="nil"/>
              <w:left w:val="nil"/>
              <w:bottom w:val="nil"/>
              <w:right w:val="nil"/>
            </w:tcBorders>
            <w:shd w:val="clear" w:color="FFFFFF" w:fill="FFFFFF"/>
            <w:vAlign w:val="bottom"/>
            <w:hideMark/>
          </w:tcPr>
          <w:p w14:paraId="7EF4C797"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Financial assets at amortised cost</w:t>
            </w:r>
          </w:p>
        </w:tc>
        <w:tc>
          <w:tcPr>
            <w:tcW w:w="1243" w:type="dxa"/>
            <w:tcBorders>
              <w:top w:val="nil"/>
              <w:left w:val="nil"/>
              <w:bottom w:val="nil"/>
              <w:right w:val="nil"/>
            </w:tcBorders>
            <w:shd w:val="clear" w:color="FFFFFF" w:fill="FFFFFF"/>
            <w:noWrap/>
            <w:vAlign w:val="bottom"/>
            <w:hideMark/>
          </w:tcPr>
          <w:p w14:paraId="0F99E41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DD11AE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A01FF1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C2E7BBB" w14:textId="77777777">
        <w:trPr>
          <w:trHeight w:val="250"/>
        </w:trPr>
        <w:tc>
          <w:tcPr>
            <w:tcW w:w="6365" w:type="dxa"/>
            <w:tcBorders>
              <w:top w:val="nil"/>
              <w:left w:val="nil"/>
              <w:bottom w:val="nil"/>
              <w:right w:val="nil"/>
            </w:tcBorders>
            <w:shd w:val="clear" w:color="FFFFFF" w:fill="FFFFFF"/>
            <w:noWrap/>
            <w:vAlign w:val="bottom"/>
            <w:hideMark/>
          </w:tcPr>
          <w:p w14:paraId="010B331D"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Cash and cash equivalents</w:t>
            </w:r>
          </w:p>
        </w:tc>
        <w:tc>
          <w:tcPr>
            <w:tcW w:w="1243" w:type="dxa"/>
            <w:tcBorders>
              <w:top w:val="nil"/>
              <w:left w:val="nil"/>
              <w:bottom w:val="nil"/>
              <w:right w:val="nil"/>
            </w:tcBorders>
            <w:shd w:val="clear" w:color="FFFFFF" w:fill="FFFFFF"/>
            <w:noWrap/>
            <w:vAlign w:val="bottom"/>
            <w:hideMark/>
          </w:tcPr>
          <w:p w14:paraId="25B4860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6,228,958</w:t>
            </w:r>
          </w:p>
        </w:tc>
        <w:tc>
          <w:tcPr>
            <w:tcW w:w="236" w:type="dxa"/>
            <w:tcBorders>
              <w:top w:val="nil"/>
              <w:left w:val="nil"/>
              <w:bottom w:val="nil"/>
              <w:right w:val="nil"/>
            </w:tcBorders>
            <w:shd w:val="clear" w:color="FFFFFF" w:fill="FFFFFF"/>
            <w:noWrap/>
            <w:vAlign w:val="bottom"/>
            <w:hideMark/>
          </w:tcPr>
          <w:p w14:paraId="1987622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9CCADA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5,659,548</w:t>
            </w:r>
          </w:p>
        </w:tc>
      </w:tr>
      <w:tr w:rsidR="0082424C" w:rsidRPr="007A3600" w14:paraId="59CBF10C" w14:textId="77777777">
        <w:trPr>
          <w:trHeight w:val="250"/>
        </w:trPr>
        <w:tc>
          <w:tcPr>
            <w:tcW w:w="6365" w:type="dxa"/>
            <w:tcBorders>
              <w:top w:val="nil"/>
              <w:left w:val="nil"/>
              <w:bottom w:val="nil"/>
              <w:right w:val="nil"/>
            </w:tcBorders>
            <w:shd w:val="clear" w:color="FFFFFF" w:fill="FFFFFF"/>
            <w:noWrap/>
            <w:vAlign w:val="bottom"/>
            <w:hideMark/>
          </w:tcPr>
          <w:p w14:paraId="5E4D7CA3"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receivables</w:t>
            </w:r>
          </w:p>
        </w:tc>
        <w:tc>
          <w:tcPr>
            <w:tcW w:w="1243" w:type="dxa"/>
            <w:tcBorders>
              <w:top w:val="nil"/>
              <w:left w:val="nil"/>
              <w:bottom w:val="nil"/>
              <w:right w:val="nil"/>
            </w:tcBorders>
            <w:shd w:val="clear" w:color="FFFFFF" w:fill="FFFFFF"/>
            <w:noWrap/>
            <w:vAlign w:val="bottom"/>
            <w:hideMark/>
          </w:tcPr>
          <w:p w14:paraId="5DB372E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42,331</w:t>
            </w:r>
          </w:p>
        </w:tc>
        <w:tc>
          <w:tcPr>
            <w:tcW w:w="236" w:type="dxa"/>
            <w:tcBorders>
              <w:top w:val="nil"/>
              <w:left w:val="nil"/>
              <w:bottom w:val="nil"/>
              <w:right w:val="nil"/>
            </w:tcBorders>
            <w:shd w:val="clear" w:color="FFFFFF" w:fill="FFFFFF"/>
            <w:noWrap/>
            <w:vAlign w:val="bottom"/>
            <w:hideMark/>
          </w:tcPr>
          <w:p w14:paraId="484BBAC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C49E46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34,161</w:t>
            </w:r>
          </w:p>
        </w:tc>
      </w:tr>
      <w:tr w:rsidR="0082424C" w:rsidRPr="007A3600" w14:paraId="1C43C5B3" w14:textId="77777777">
        <w:trPr>
          <w:trHeight w:val="250"/>
        </w:trPr>
        <w:tc>
          <w:tcPr>
            <w:tcW w:w="6365" w:type="dxa"/>
            <w:tcBorders>
              <w:top w:val="nil"/>
              <w:left w:val="nil"/>
              <w:bottom w:val="nil"/>
              <w:right w:val="nil"/>
            </w:tcBorders>
            <w:shd w:val="clear" w:color="FFFFFF" w:fill="FFFFFF"/>
            <w:noWrap/>
            <w:vAlign w:val="bottom"/>
            <w:hideMark/>
          </w:tcPr>
          <w:p w14:paraId="7FEB4AF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financial assets at amortised cost</w:t>
            </w:r>
          </w:p>
        </w:tc>
        <w:tc>
          <w:tcPr>
            <w:tcW w:w="1243" w:type="dxa"/>
            <w:tcBorders>
              <w:top w:val="single" w:sz="4" w:space="0" w:color="auto"/>
              <w:left w:val="nil"/>
              <w:bottom w:val="single" w:sz="4" w:space="0" w:color="auto"/>
              <w:right w:val="nil"/>
            </w:tcBorders>
            <w:shd w:val="clear" w:color="FFFFFF" w:fill="FFFFFF"/>
            <w:noWrap/>
            <w:vAlign w:val="bottom"/>
            <w:hideMark/>
          </w:tcPr>
          <w:p w14:paraId="00A73435"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6,271,289</w:t>
            </w:r>
          </w:p>
        </w:tc>
        <w:tc>
          <w:tcPr>
            <w:tcW w:w="236" w:type="dxa"/>
            <w:tcBorders>
              <w:top w:val="nil"/>
              <w:left w:val="nil"/>
              <w:bottom w:val="nil"/>
              <w:right w:val="nil"/>
            </w:tcBorders>
            <w:shd w:val="clear" w:color="FFFFFF" w:fill="FFFFFF"/>
            <w:noWrap/>
            <w:vAlign w:val="bottom"/>
            <w:hideMark/>
          </w:tcPr>
          <w:p w14:paraId="298A865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425043BF"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5,693,709</w:t>
            </w:r>
          </w:p>
        </w:tc>
      </w:tr>
      <w:tr w:rsidR="0082424C" w:rsidRPr="007A3600" w14:paraId="4BF16FEB" w14:textId="77777777">
        <w:trPr>
          <w:trHeight w:val="250"/>
        </w:trPr>
        <w:tc>
          <w:tcPr>
            <w:tcW w:w="6365" w:type="dxa"/>
            <w:tcBorders>
              <w:top w:val="nil"/>
              <w:left w:val="nil"/>
              <w:bottom w:val="nil"/>
              <w:right w:val="nil"/>
            </w:tcBorders>
            <w:shd w:val="clear" w:color="FFFFFF" w:fill="FFFFFF"/>
            <w:vAlign w:val="bottom"/>
            <w:hideMark/>
          </w:tcPr>
          <w:p w14:paraId="6F0434F3"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243" w:type="dxa"/>
            <w:tcBorders>
              <w:top w:val="nil"/>
              <w:left w:val="nil"/>
              <w:bottom w:val="nil"/>
              <w:right w:val="nil"/>
            </w:tcBorders>
            <w:shd w:val="clear" w:color="FFFFFF" w:fill="FFFFFF"/>
            <w:noWrap/>
            <w:vAlign w:val="bottom"/>
            <w:hideMark/>
          </w:tcPr>
          <w:p w14:paraId="0F702EB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DBCCD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2F1B78A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4D9FA6D" w14:textId="77777777">
        <w:trPr>
          <w:trHeight w:val="250"/>
        </w:trPr>
        <w:tc>
          <w:tcPr>
            <w:tcW w:w="6365" w:type="dxa"/>
            <w:tcBorders>
              <w:top w:val="nil"/>
              <w:left w:val="nil"/>
              <w:bottom w:val="nil"/>
              <w:right w:val="nil"/>
            </w:tcBorders>
            <w:shd w:val="clear" w:color="FFFFFF" w:fill="FFFFFF"/>
            <w:vAlign w:val="bottom"/>
            <w:hideMark/>
          </w:tcPr>
          <w:p w14:paraId="085F79DE"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Financial liabilities measured at amortised cost</w:t>
            </w:r>
          </w:p>
        </w:tc>
        <w:tc>
          <w:tcPr>
            <w:tcW w:w="1243" w:type="dxa"/>
            <w:tcBorders>
              <w:top w:val="nil"/>
              <w:left w:val="nil"/>
              <w:bottom w:val="nil"/>
              <w:right w:val="nil"/>
            </w:tcBorders>
            <w:shd w:val="clear" w:color="FFFFFF" w:fill="FFFFFF"/>
            <w:noWrap/>
            <w:vAlign w:val="bottom"/>
            <w:hideMark/>
          </w:tcPr>
          <w:p w14:paraId="51D2F7E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57DA3A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FFCEB4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026286F" w14:textId="77777777">
        <w:trPr>
          <w:trHeight w:val="250"/>
        </w:trPr>
        <w:tc>
          <w:tcPr>
            <w:tcW w:w="6365" w:type="dxa"/>
            <w:tcBorders>
              <w:top w:val="nil"/>
              <w:left w:val="nil"/>
              <w:bottom w:val="nil"/>
              <w:right w:val="nil"/>
            </w:tcBorders>
            <w:shd w:val="clear" w:color="FFFFFF" w:fill="FFFFFF"/>
            <w:noWrap/>
            <w:vAlign w:val="bottom"/>
            <w:hideMark/>
          </w:tcPr>
          <w:p w14:paraId="3968EAF5"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Supplier and other payables</w:t>
            </w:r>
          </w:p>
        </w:tc>
        <w:tc>
          <w:tcPr>
            <w:tcW w:w="1243" w:type="dxa"/>
            <w:tcBorders>
              <w:top w:val="nil"/>
              <w:left w:val="nil"/>
              <w:bottom w:val="nil"/>
              <w:right w:val="nil"/>
            </w:tcBorders>
            <w:shd w:val="clear" w:color="FFFFFF" w:fill="FFFFFF"/>
            <w:noWrap/>
            <w:vAlign w:val="bottom"/>
            <w:hideMark/>
          </w:tcPr>
          <w:p w14:paraId="090A9E2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150,491</w:t>
            </w:r>
          </w:p>
        </w:tc>
        <w:tc>
          <w:tcPr>
            <w:tcW w:w="236" w:type="dxa"/>
            <w:tcBorders>
              <w:top w:val="nil"/>
              <w:left w:val="nil"/>
              <w:bottom w:val="nil"/>
              <w:right w:val="nil"/>
            </w:tcBorders>
            <w:shd w:val="clear" w:color="FFFFFF" w:fill="FFFFFF"/>
            <w:noWrap/>
            <w:vAlign w:val="bottom"/>
            <w:hideMark/>
          </w:tcPr>
          <w:p w14:paraId="7762469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103BC5F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119,866</w:t>
            </w:r>
          </w:p>
        </w:tc>
      </w:tr>
      <w:tr w:rsidR="0082424C" w:rsidRPr="007A3600" w14:paraId="1D7AE9BE" w14:textId="77777777">
        <w:trPr>
          <w:trHeight w:val="260"/>
        </w:trPr>
        <w:tc>
          <w:tcPr>
            <w:tcW w:w="6365" w:type="dxa"/>
            <w:tcBorders>
              <w:top w:val="nil"/>
              <w:left w:val="nil"/>
              <w:bottom w:val="nil"/>
              <w:right w:val="nil"/>
            </w:tcBorders>
            <w:shd w:val="clear" w:color="FFFFFF" w:fill="FFFFFF"/>
            <w:vAlign w:val="bottom"/>
            <w:hideMark/>
          </w:tcPr>
          <w:p w14:paraId="32EA21C3"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financial liabilities at amortised cost</w:t>
            </w:r>
          </w:p>
        </w:tc>
        <w:tc>
          <w:tcPr>
            <w:tcW w:w="1243" w:type="dxa"/>
            <w:tcBorders>
              <w:top w:val="single" w:sz="4" w:space="0" w:color="auto"/>
              <w:left w:val="nil"/>
              <w:bottom w:val="single" w:sz="4" w:space="0" w:color="auto"/>
              <w:right w:val="nil"/>
            </w:tcBorders>
            <w:shd w:val="clear" w:color="FFFFFF" w:fill="FFFFFF"/>
            <w:noWrap/>
            <w:vAlign w:val="bottom"/>
            <w:hideMark/>
          </w:tcPr>
          <w:p w14:paraId="5B1DFDD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150,491</w:t>
            </w:r>
          </w:p>
        </w:tc>
        <w:tc>
          <w:tcPr>
            <w:tcW w:w="236" w:type="dxa"/>
            <w:tcBorders>
              <w:top w:val="nil"/>
              <w:left w:val="nil"/>
              <w:bottom w:val="nil"/>
              <w:right w:val="nil"/>
            </w:tcBorders>
            <w:shd w:val="clear" w:color="FFFFFF" w:fill="FFFFFF"/>
            <w:noWrap/>
            <w:vAlign w:val="bottom"/>
            <w:hideMark/>
          </w:tcPr>
          <w:p w14:paraId="28A036A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55DE084"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119,866</w:t>
            </w:r>
          </w:p>
        </w:tc>
      </w:tr>
    </w:tbl>
    <w:p w14:paraId="0F65E3EF" w14:textId="77777777" w:rsidR="0082424C" w:rsidRPr="007A3600" w:rsidRDefault="0082424C" w:rsidP="00AD3197">
      <w:pPr>
        <w:spacing w:after="0" w:line="260" w:lineRule="atLeast"/>
        <w:rPr>
          <w:rFonts w:ascii="Times New Roman" w:eastAsia="Times New Roman" w:hAnsi="Times New Roman"/>
          <w:sz w:val="22"/>
          <w:szCs w:val="20"/>
          <w:lang w:eastAsia="en-US"/>
        </w:rPr>
      </w:pPr>
    </w:p>
    <w:tbl>
      <w:tblPr>
        <w:tblW w:w="9087" w:type="dxa"/>
        <w:tblLayout w:type="fixed"/>
        <w:tblLook w:val="04A0" w:firstRow="1" w:lastRow="0" w:firstColumn="1" w:lastColumn="0" w:noHBand="0" w:noVBand="1"/>
      </w:tblPr>
      <w:tblGrid>
        <w:gridCol w:w="6365"/>
        <w:gridCol w:w="1243"/>
        <w:gridCol w:w="236"/>
        <w:gridCol w:w="1243"/>
      </w:tblGrid>
      <w:tr w:rsidR="0082424C" w:rsidRPr="007A3600" w14:paraId="5BBD337D" w14:textId="77777777">
        <w:trPr>
          <w:trHeight w:val="260"/>
        </w:trPr>
        <w:tc>
          <w:tcPr>
            <w:tcW w:w="6365" w:type="dxa"/>
            <w:tcBorders>
              <w:top w:val="nil"/>
              <w:left w:val="nil"/>
              <w:bottom w:val="nil"/>
              <w:right w:val="nil"/>
            </w:tcBorders>
            <w:shd w:val="clear" w:color="FFFFFF" w:fill="FFFFFF"/>
            <w:noWrap/>
            <w:vAlign w:val="bottom"/>
            <w:hideMark/>
          </w:tcPr>
          <w:p w14:paraId="52E60D5B"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4.2B: Net gains or losses on financial assets</w:t>
            </w:r>
          </w:p>
        </w:tc>
        <w:tc>
          <w:tcPr>
            <w:tcW w:w="1243" w:type="dxa"/>
            <w:tcBorders>
              <w:top w:val="nil"/>
              <w:left w:val="nil"/>
              <w:bottom w:val="nil"/>
              <w:right w:val="nil"/>
            </w:tcBorders>
            <w:shd w:val="clear" w:color="FFFFFF" w:fill="FFFFFF"/>
            <w:noWrap/>
            <w:vAlign w:val="bottom"/>
            <w:hideMark/>
          </w:tcPr>
          <w:p w14:paraId="5E9B4B7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06AB64F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784DCCF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29A3FD8" w14:textId="77777777">
        <w:trPr>
          <w:trHeight w:val="260"/>
        </w:trPr>
        <w:tc>
          <w:tcPr>
            <w:tcW w:w="6365" w:type="dxa"/>
            <w:tcBorders>
              <w:top w:val="nil"/>
              <w:left w:val="nil"/>
              <w:bottom w:val="nil"/>
              <w:right w:val="nil"/>
            </w:tcBorders>
            <w:shd w:val="clear" w:color="FFFFFF" w:fill="FFFFFF"/>
            <w:vAlign w:val="bottom"/>
            <w:hideMark/>
          </w:tcPr>
          <w:p w14:paraId="046D23B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Financial assets at amortised cost</w:t>
            </w:r>
          </w:p>
        </w:tc>
        <w:tc>
          <w:tcPr>
            <w:tcW w:w="1243" w:type="dxa"/>
            <w:tcBorders>
              <w:top w:val="nil"/>
              <w:left w:val="nil"/>
              <w:bottom w:val="nil"/>
              <w:right w:val="nil"/>
            </w:tcBorders>
            <w:shd w:val="clear" w:color="FFFFFF" w:fill="FFFFFF"/>
            <w:noWrap/>
            <w:vAlign w:val="bottom"/>
            <w:hideMark/>
          </w:tcPr>
          <w:p w14:paraId="6A0107F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449C583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3CF01D2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48C71678" w14:textId="77777777">
        <w:trPr>
          <w:trHeight w:val="250"/>
        </w:trPr>
        <w:tc>
          <w:tcPr>
            <w:tcW w:w="6365" w:type="dxa"/>
            <w:tcBorders>
              <w:top w:val="nil"/>
              <w:left w:val="nil"/>
              <w:bottom w:val="nil"/>
              <w:right w:val="nil"/>
            </w:tcBorders>
            <w:shd w:val="clear" w:color="FFFFFF" w:fill="FFFFFF"/>
            <w:vAlign w:val="bottom"/>
            <w:hideMark/>
          </w:tcPr>
          <w:p w14:paraId="52903EE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Interest revenue</w:t>
            </w:r>
          </w:p>
        </w:tc>
        <w:tc>
          <w:tcPr>
            <w:tcW w:w="1243" w:type="dxa"/>
            <w:tcBorders>
              <w:top w:val="nil"/>
              <w:left w:val="nil"/>
              <w:bottom w:val="nil"/>
              <w:right w:val="nil"/>
            </w:tcBorders>
            <w:shd w:val="clear" w:color="FFFFFF" w:fill="FFFFFF"/>
            <w:noWrap/>
            <w:vAlign w:val="bottom"/>
            <w:hideMark/>
          </w:tcPr>
          <w:p w14:paraId="02C9D9F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503,159</w:t>
            </w:r>
          </w:p>
        </w:tc>
        <w:tc>
          <w:tcPr>
            <w:tcW w:w="236" w:type="dxa"/>
            <w:tcBorders>
              <w:top w:val="nil"/>
              <w:left w:val="nil"/>
              <w:bottom w:val="nil"/>
              <w:right w:val="nil"/>
            </w:tcBorders>
            <w:shd w:val="clear" w:color="FFFFFF" w:fill="FFFFFF"/>
            <w:noWrap/>
            <w:vAlign w:val="bottom"/>
            <w:hideMark/>
          </w:tcPr>
          <w:p w14:paraId="14BACAF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nil"/>
              <w:right w:val="nil"/>
            </w:tcBorders>
            <w:shd w:val="clear" w:color="FFFFFF" w:fill="FFFFFF"/>
            <w:noWrap/>
            <w:vAlign w:val="bottom"/>
            <w:hideMark/>
          </w:tcPr>
          <w:p w14:paraId="5D094C7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390,496</w:t>
            </w:r>
          </w:p>
        </w:tc>
      </w:tr>
      <w:tr w:rsidR="0082424C" w:rsidRPr="007A3600" w14:paraId="28CE3459" w14:textId="77777777">
        <w:trPr>
          <w:trHeight w:val="250"/>
        </w:trPr>
        <w:tc>
          <w:tcPr>
            <w:tcW w:w="6365" w:type="dxa"/>
            <w:tcBorders>
              <w:top w:val="nil"/>
              <w:left w:val="nil"/>
              <w:bottom w:val="nil"/>
              <w:right w:val="nil"/>
            </w:tcBorders>
            <w:shd w:val="clear" w:color="FFFFFF" w:fill="FFFFFF"/>
            <w:vAlign w:val="bottom"/>
            <w:hideMark/>
          </w:tcPr>
          <w:p w14:paraId="18B5DE0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Net gains/(losses) on financial assets at amortised cost</w:t>
            </w:r>
          </w:p>
        </w:tc>
        <w:tc>
          <w:tcPr>
            <w:tcW w:w="1243" w:type="dxa"/>
            <w:tcBorders>
              <w:top w:val="single" w:sz="4" w:space="0" w:color="auto"/>
              <w:left w:val="nil"/>
              <w:bottom w:val="single" w:sz="4" w:space="0" w:color="auto"/>
              <w:right w:val="nil"/>
            </w:tcBorders>
            <w:shd w:val="clear" w:color="FFFFFF" w:fill="FFFFFF"/>
            <w:noWrap/>
            <w:vAlign w:val="bottom"/>
            <w:hideMark/>
          </w:tcPr>
          <w:p w14:paraId="141268C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503,159</w:t>
            </w:r>
          </w:p>
        </w:tc>
        <w:tc>
          <w:tcPr>
            <w:tcW w:w="236" w:type="dxa"/>
            <w:tcBorders>
              <w:top w:val="nil"/>
              <w:left w:val="nil"/>
              <w:bottom w:val="nil"/>
              <w:right w:val="nil"/>
            </w:tcBorders>
            <w:shd w:val="clear" w:color="FFFFFF" w:fill="FFFFFF"/>
            <w:noWrap/>
            <w:vAlign w:val="bottom"/>
            <w:hideMark/>
          </w:tcPr>
          <w:p w14:paraId="2149D49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single" w:sz="4" w:space="0" w:color="auto"/>
              <w:left w:val="nil"/>
              <w:bottom w:val="single" w:sz="4" w:space="0" w:color="auto"/>
              <w:right w:val="nil"/>
            </w:tcBorders>
            <w:shd w:val="clear" w:color="FFFFFF" w:fill="FFFFFF"/>
            <w:noWrap/>
            <w:vAlign w:val="bottom"/>
            <w:hideMark/>
          </w:tcPr>
          <w:p w14:paraId="286E415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390,496</w:t>
            </w:r>
          </w:p>
        </w:tc>
      </w:tr>
      <w:tr w:rsidR="0082424C" w:rsidRPr="007A3600" w14:paraId="548518E8" w14:textId="77777777">
        <w:trPr>
          <w:trHeight w:val="260"/>
        </w:trPr>
        <w:tc>
          <w:tcPr>
            <w:tcW w:w="6365" w:type="dxa"/>
            <w:tcBorders>
              <w:top w:val="nil"/>
              <w:left w:val="nil"/>
              <w:bottom w:val="nil"/>
              <w:right w:val="nil"/>
            </w:tcBorders>
            <w:shd w:val="clear" w:color="FFFFFF" w:fill="FFFFFF"/>
            <w:vAlign w:val="bottom"/>
            <w:hideMark/>
          </w:tcPr>
          <w:p w14:paraId="09BB109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Net gains/(losses) on financial assets</w:t>
            </w:r>
          </w:p>
        </w:tc>
        <w:tc>
          <w:tcPr>
            <w:tcW w:w="1243" w:type="dxa"/>
            <w:tcBorders>
              <w:top w:val="nil"/>
              <w:left w:val="nil"/>
              <w:bottom w:val="single" w:sz="4" w:space="0" w:color="auto"/>
              <w:right w:val="nil"/>
            </w:tcBorders>
            <w:shd w:val="clear" w:color="FFFFFF" w:fill="FFFFFF"/>
            <w:noWrap/>
            <w:vAlign w:val="bottom"/>
            <w:hideMark/>
          </w:tcPr>
          <w:p w14:paraId="6877B3D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503,159</w:t>
            </w:r>
          </w:p>
        </w:tc>
        <w:tc>
          <w:tcPr>
            <w:tcW w:w="236" w:type="dxa"/>
            <w:tcBorders>
              <w:top w:val="nil"/>
              <w:left w:val="nil"/>
              <w:bottom w:val="nil"/>
              <w:right w:val="nil"/>
            </w:tcBorders>
            <w:shd w:val="clear" w:color="FFFFFF" w:fill="FFFFFF"/>
            <w:noWrap/>
            <w:vAlign w:val="bottom"/>
            <w:hideMark/>
          </w:tcPr>
          <w:p w14:paraId="533C04A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243" w:type="dxa"/>
            <w:tcBorders>
              <w:top w:val="nil"/>
              <w:left w:val="nil"/>
              <w:bottom w:val="single" w:sz="4" w:space="0" w:color="auto"/>
              <w:right w:val="nil"/>
            </w:tcBorders>
            <w:shd w:val="clear" w:color="FFFFFF" w:fill="FFFFFF"/>
            <w:noWrap/>
            <w:vAlign w:val="bottom"/>
            <w:hideMark/>
          </w:tcPr>
          <w:p w14:paraId="408BF6B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390,496</w:t>
            </w:r>
          </w:p>
        </w:tc>
      </w:tr>
      <w:bookmarkEnd w:id="236"/>
    </w:tbl>
    <w:p w14:paraId="1119663C" w14:textId="77777777" w:rsidR="0082424C" w:rsidRPr="007A3600" w:rsidRDefault="0082424C" w:rsidP="00AD3197">
      <w:pPr>
        <w:spacing w:after="0" w:line="240" w:lineRule="auto"/>
        <w:rPr>
          <w:rFonts w:eastAsia="Times New Roman" w:cs="Arial"/>
          <w:b/>
          <w:bCs/>
          <w:sz w:val="18"/>
          <w:szCs w:val="18"/>
          <w:lang w:eastAsia="en-US"/>
        </w:rPr>
      </w:pPr>
    </w:p>
    <w:p w14:paraId="1673B922"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
          <w:bCs/>
          <w:sz w:val="18"/>
          <w:szCs w:val="18"/>
          <w:lang w:eastAsia="en-US"/>
        </w:rPr>
      </w:pPr>
      <w:r w:rsidRPr="007A3600">
        <w:rPr>
          <w:rFonts w:eastAsia="Times New Roman" w:cs="Arial"/>
          <w:b/>
          <w:bCs/>
          <w:sz w:val="18"/>
          <w:szCs w:val="18"/>
          <w:lang w:eastAsia="en-US"/>
        </w:rPr>
        <w:t xml:space="preserve">Accounting Policy </w:t>
      </w:r>
    </w:p>
    <w:p w14:paraId="7091FCB4"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 xml:space="preserve">Financial Assets </w:t>
      </w:r>
    </w:p>
    <w:p w14:paraId="2B987DCD"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All of the Agency’s financial assets have been classified as financial assets measured at amortised cost. Financial assets at amortised costs must be:</w:t>
      </w:r>
    </w:p>
    <w:p w14:paraId="141EF76B"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1. held in order to collect the contractual cash flows; and</w:t>
      </w:r>
    </w:p>
    <w:p w14:paraId="03068477"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2. their cash flows must be solely payments of principal and interest (SPPI) on the principal outstanding amount.</w:t>
      </w:r>
    </w:p>
    <w:p w14:paraId="2C146C6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Amortised cost is determined using the effective interest method.</w:t>
      </w:r>
    </w:p>
    <w:p w14:paraId="268E599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Financial assets are recognised when the entity becomes a party to the contract and, as a consequence, has a legal right to receive cash or a legal obligation to pay cash and derecognised when the contractual rights to the cash flows from the financial asset expire or are transferred upon trade date.</w:t>
      </w:r>
    </w:p>
    <w:p w14:paraId="3E1102D3"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Trade receivables and other receivables are recognised at the nominal amounts due less any impairment allowance amount. The collectability is assessed periodically with impairment allowances made when there is evidence that the Agency will not be able to collect the debt.</w:t>
      </w:r>
    </w:p>
    <w:p w14:paraId="2DA63F3B"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The accounting policy for financial assets is contained in Note 2.1 Financial Assets.</w:t>
      </w:r>
    </w:p>
    <w:p w14:paraId="5DD48775"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rPr>
      </w:pPr>
      <w:r w:rsidRPr="007A3600">
        <w:rPr>
          <w:rFonts w:eastAsia="Times New Roman" w:cs="Arial"/>
          <w:bCs/>
          <w:i/>
          <w:sz w:val="18"/>
          <w:szCs w:val="18"/>
          <w:u w:val="single"/>
        </w:rPr>
        <w:t>Effective Interest Method</w:t>
      </w:r>
    </w:p>
    <w:p w14:paraId="3D5D8937"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Income is recognised on an effective interest rate basis for financial assets that are recognised at amortised cost.</w:t>
      </w:r>
    </w:p>
    <w:p w14:paraId="4865EA88"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rPr>
      </w:pPr>
      <w:r w:rsidRPr="007A3600">
        <w:rPr>
          <w:rFonts w:eastAsia="Times New Roman" w:cs="Arial"/>
          <w:bCs/>
          <w:sz w:val="18"/>
          <w:szCs w:val="18"/>
        </w:rPr>
        <w:t>The effective interest method is a method of calculating the amortised cost of a financial instrument and allocating interest income over the relevant period. The effective interest rate is the rate that exactly discounts estimated future cash receipts through the expected life of the financial instrument, or, where appropriate, a shorter period.</w:t>
      </w:r>
    </w:p>
    <w:p w14:paraId="08E33E4C"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rPr>
      </w:pPr>
      <w:r w:rsidRPr="007A3600">
        <w:rPr>
          <w:rFonts w:eastAsia="Times New Roman" w:cs="Arial"/>
          <w:bCs/>
          <w:i/>
          <w:sz w:val="18"/>
          <w:szCs w:val="18"/>
          <w:u w:val="single"/>
        </w:rPr>
        <w:t>Impairment of financial assets</w:t>
      </w:r>
    </w:p>
    <w:p w14:paraId="10D9A9C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Financial assets are assessed for impairment at the end of each reporting period based on expected credit losses, using the simplified approach for goods and services receivable and other receivables. Based on the Agency’s standard credit terms of 28 days, an expected credit loss allowance is recognised for all goods and services and other receivables outstanding for more than 120 days. Consistent with this policy, an impairment allowance has been recognised for the disputed portion of a contribution from states &amp; territories. The Agency continues to pursue full recovery of this amount and all other impaired debts in accordance with the Agency’s debt recovery policy.</w:t>
      </w:r>
    </w:p>
    <w:p w14:paraId="0951F0D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Due to their nature the Agency used the general approach to assess pandemic plan provider receivables for impairment. The Agency recognises an expected credit loss allowance for the pandemic plan receivables where providers had debts that had not been offset against claims at an agreed rate unless there was an agreed debt repayment plan in place.</w:t>
      </w:r>
    </w:p>
    <w:p w14:paraId="6244C04F" w14:textId="77777777" w:rsidR="00E04CC1" w:rsidRDefault="00E04CC1">
      <w:pPr>
        <w:spacing w:before="120" w:after="120"/>
        <w:rPr>
          <w:rFonts w:eastAsia="Times New Roman" w:cs="Arial"/>
          <w:b/>
          <w:lang w:eastAsia="en-US"/>
        </w:rPr>
      </w:pPr>
      <w:r>
        <w:rPr>
          <w:rFonts w:eastAsia="Times New Roman" w:cs="Arial"/>
          <w:b/>
          <w:lang w:eastAsia="en-US"/>
        </w:rPr>
        <w:br w:type="page"/>
      </w:r>
    </w:p>
    <w:p w14:paraId="279008AC" w14:textId="23E9FABC"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lastRenderedPageBreak/>
        <w:t>National Disability Insurance Agency</w:t>
      </w:r>
    </w:p>
    <w:p w14:paraId="5BA96F4C"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p w14:paraId="0E1F9506"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before="240" w:after="120" w:line="120" w:lineRule="atLeast"/>
        <w:rPr>
          <w:rFonts w:eastAsia="Times New Roman" w:cs="Arial"/>
          <w:bCs/>
          <w:sz w:val="18"/>
          <w:szCs w:val="18"/>
        </w:rPr>
      </w:pPr>
      <w:r w:rsidRPr="007A3600">
        <w:rPr>
          <w:rFonts w:eastAsia="Times New Roman" w:cs="Arial"/>
          <w:bCs/>
          <w:sz w:val="18"/>
          <w:szCs w:val="18"/>
        </w:rPr>
        <w:t>The simplified impairment approaches always measure the loss allowance as the amount equal to the lifetime expected credit losses. The general approach measures the loss allowance based on an amount equal to lifetime expected credit losses where risk has significantly increased, or an amount equal to 12</w:t>
      </w:r>
      <w:r w:rsidRPr="007A3600">
        <w:rPr>
          <w:rFonts w:ascii="Cambria Math" w:eastAsia="Times New Roman" w:hAnsi="Cambria Math" w:cs="Cambria Math"/>
          <w:bCs/>
          <w:sz w:val="18"/>
          <w:szCs w:val="18"/>
        </w:rPr>
        <w:t>‐</w:t>
      </w:r>
      <w:r w:rsidRPr="007A3600">
        <w:rPr>
          <w:rFonts w:eastAsia="Times New Roman" w:cs="Arial"/>
          <w:bCs/>
          <w:sz w:val="18"/>
          <w:szCs w:val="18"/>
        </w:rPr>
        <w:t>month expected credit losses if risk has not increased.</w:t>
      </w:r>
    </w:p>
    <w:p w14:paraId="6CA4B58F"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Both the simplified and general impairment approaches always measure the loss allowance as the amount equal to the lifetime expected credit losses.</w:t>
      </w:r>
    </w:p>
    <w:p w14:paraId="05D61980"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i/>
          <w:sz w:val="18"/>
          <w:szCs w:val="18"/>
          <w:u w:val="single"/>
          <w:lang w:eastAsia="en-US"/>
        </w:rPr>
      </w:pPr>
      <w:r w:rsidRPr="007A3600">
        <w:rPr>
          <w:rFonts w:eastAsia="Times New Roman" w:cs="Arial"/>
          <w:bCs/>
          <w:i/>
          <w:sz w:val="18"/>
          <w:szCs w:val="18"/>
          <w:u w:val="single"/>
          <w:lang w:eastAsia="en-US"/>
        </w:rPr>
        <w:t xml:space="preserve">Financial Liabilities </w:t>
      </w:r>
    </w:p>
    <w:p w14:paraId="019D025E" w14:textId="77777777" w:rsidR="0082424C" w:rsidRPr="007A3600" w:rsidRDefault="0082424C" w:rsidP="00AD3197">
      <w:pPr>
        <w:pBdr>
          <w:top w:val="single" w:sz="4" w:space="1" w:color="800080"/>
          <w:left w:val="single" w:sz="4" w:space="4" w:color="800080"/>
          <w:bottom w:val="single" w:sz="4" w:space="1" w:color="800080"/>
          <w:right w:val="single" w:sz="4" w:space="4" w:color="800080"/>
        </w:pBdr>
        <w:spacing w:after="120" w:line="120" w:lineRule="atLeast"/>
        <w:rPr>
          <w:rFonts w:eastAsia="Times New Roman" w:cs="Arial"/>
          <w:bCs/>
          <w:sz w:val="18"/>
          <w:szCs w:val="18"/>
        </w:rPr>
      </w:pPr>
      <w:r w:rsidRPr="007A3600">
        <w:rPr>
          <w:rFonts w:eastAsia="Times New Roman" w:cs="Arial"/>
          <w:bCs/>
          <w:sz w:val="18"/>
          <w:szCs w:val="18"/>
        </w:rPr>
        <w:t>All of the Agency’s financial liabilities have been classified as financial liabilities measured at amortised cost. These liabilities are subsequently measured at amortised cost using the effective interest method, with interest expense recognised on an effective interest basis. Supplier and other payables are recognised at amortised cost. Liabilities are recognised to the extent that the goods or services have been received (and irrespective of having been invoiced).</w:t>
      </w:r>
    </w:p>
    <w:p w14:paraId="7F7092D5" w14:textId="77777777" w:rsidR="0082424C" w:rsidRPr="007A3600" w:rsidRDefault="0082424C" w:rsidP="00AD3197">
      <w:pPr>
        <w:spacing w:after="0" w:line="240" w:lineRule="auto"/>
        <w:rPr>
          <w:rFonts w:eastAsia="Times New Roman"/>
          <w:b/>
          <w:sz w:val="20"/>
          <w:szCs w:val="20"/>
        </w:rPr>
      </w:pPr>
      <w:r w:rsidRPr="007A3600">
        <w:rPr>
          <w:rFonts w:ascii="Times New Roman" w:eastAsia="Times New Roman" w:hAnsi="Times New Roman"/>
          <w:sz w:val="22"/>
          <w:szCs w:val="20"/>
        </w:rPr>
        <w:br w:type="page"/>
      </w:r>
    </w:p>
    <w:p w14:paraId="1CBDE88C"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bookmarkStart w:id="245" w:name="_Toc65742860"/>
      <w:bookmarkStart w:id="246" w:name="_Toc195692048"/>
      <w:r w:rsidRPr="007A3600">
        <w:rPr>
          <w:rFonts w:eastAsia="Times New Roman" w:cs="Arial"/>
          <w:b/>
          <w:lang w:eastAsia="en-US"/>
        </w:rPr>
        <w:lastRenderedPageBreak/>
        <w:t>National Disability Insurance Agency</w:t>
      </w:r>
    </w:p>
    <w:p w14:paraId="3C8F08EB" w14:textId="77777777" w:rsidR="0082424C" w:rsidRPr="007A3600" w:rsidRDefault="0082424C" w:rsidP="00AD3197">
      <w:pPr>
        <w:pBdr>
          <w:bottom w:val="single" w:sz="4" w:space="1" w:color="auto"/>
        </w:pBdr>
        <w:spacing w:after="120" w:line="260" w:lineRule="atLeast"/>
        <w:contextualSpacing/>
        <w:rPr>
          <w:rFonts w:eastAsia="Times New Roman" w:cs="Arial"/>
          <w:b/>
          <w:lang w:eastAsia="en-US"/>
        </w:rPr>
      </w:pPr>
      <w:r w:rsidRPr="007A3600">
        <w:rPr>
          <w:rFonts w:eastAsia="Times New Roman" w:cs="Arial"/>
          <w:b/>
          <w:lang w:eastAsia="en-US"/>
        </w:rPr>
        <w:t>NOTES TO AND FORMING PART OF THE FINANCIAL STATEMENTS</w:t>
      </w:r>
    </w:p>
    <w:bookmarkEnd w:id="245"/>
    <w:bookmarkEnd w:id="246"/>
    <w:p w14:paraId="283F6080" w14:textId="77777777" w:rsidR="001B2BE8" w:rsidRPr="00974C6F" w:rsidRDefault="001B2BE8" w:rsidP="001B2BE8">
      <w:pPr>
        <w:shd w:val="clear" w:color="00CC99" w:fill="800080"/>
        <w:spacing w:before="240" w:after="0" w:line="260" w:lineRule="atLeast"/>
        <w:ind w:left="360" w:hanging="360"/>
        <w:rPr>
          <w:rFonts w:ascii="Arial Bold" w:eastAsia="Times New Roman" w:hAnsi="Arial Bold"/>
          <w:b/>
          <w:color w:val="FFFFFF"/>
          <w:szCs w:val="20"/>
          <w:lang w:eastAsia="en-US"/>
        </w:rPr>
      </w:pPr>
      <w:r>
        <w:rPr>
          <w:rFonts w:ascii="Arial Bold" w:eastAsia="Times New Roman" w:hAnsi="Arial Bold"/>
          <w:b/>
          <w:color w:val="FFFFFF"/>
          <w:szCs w:val="20"/>
          <w:lang w:eastAsia="en-US"/>
        </w:rPr>
        <w:t>5.</w:t>
      </w:r>
      <w:r>
        <w:rPr>
          <w:rFonts w:ascii="Arial Bold" w:eastAsia="Times New Roman" w:hAnsi="Arial Bold"/>
          <w:b/>
          <w:color w:val="FFFFFF"/>
          <w:szCs w:val="20"/>
          <w:lang w:eastAsia="en-US"/>
        </w:rPr>
        <w:tab/>
      </w:r>
      <w:r w:rsidRPr="00974C6F">
        <w:rPr>
          <w:rFonts w:ascii="Arial Bold" w:eastAsia="Times New Roman" w:hAnsi="Arial Bold"/>
          <w:b/>
          <w:color w:val="FFFFFF"/>
          <w:szCs w:val="20"/>
          <w:lang w:eastAsia="en-US"/>
        </w:rPr>
        <w:t>Other Information</w:t>
      </w:r>
    </w:p>
    <w:p w14:paraId="2265C6A0" w14:textId="77777777" w:rsidR="001B2BE8" w:rsidRPr="00974C6F" w:rsidRDefault="001B2BE8" w:rsidP="001B2BE8">
      <w:pPr>
        <w:numPr>
          <w:ilvl w:val="1"/>
          <w:numId w:val="0"/>
        </w:numPr>
        <w:shd w:val="clear" w:color="auto" w:fill="000000"/>
        <w:spacing w:after="0" w:line="260" w:lineRule="atLeast"/>
        <w:ind w:left="426" w:hanging="426"/>
        <w:rPr>
          <w:rFonts w:eastAsia="Times New Roman" w:cs="Arial"/>
          <w:b/>
          <w:color w:val="FFFFFF"/>
          <w:sz w:val="20"/>
          <w:szCs w:val="20"/>
          <w:lang w:eastAsia="en-US"/>
        </w:rPr>
      </w:pPr>
      <w:bookmarkStart w:id="247" w:name="_Toc195692049"/>
      <w:r>
        <w:rPr>
          <w:rFonts w:eastAsia="Times New Roman" w:cs="Arial"/>
          <w:b/>
          <w:color w:val="FFFFFF"/>
          <w:sz w:val="20"/>
          <w:szCs w:val="20"/>
          <w:lang w:eastAsia="en-US"/>
        </w:rPr>
        <w:t>5.1</w:t>
      </w:r>
      <w:r>
        <w:rPr>
          <w:rFonts w:eastAsia="Times New Roman" w:cs="Arial"/>
          <w:b/>
          <w:color w:val="FFFFFF"/>
          <w:sz w:val="20"/>
          <w:szCs w:val="20"/>
          <w:lang w:eastAsia="en-US"/>
        </w:rPr>
        <w:tab/>
      </w:r>
      <w:r w:rsidRPr="00974C6F">
        <w:rPr>
          <w:rFonts w:eastAsia="Times New Roman" w:cs="Arial"/>
          <w:b/>
          <w:color w:val="FFFFFF"/>
          <w:sz w:val="20"/>
          <w:szCs w:val="20"/>
          <w:lang w:eastAsia="en-US"/>
        </w:rPr>
        <w:t>Current/Non-current Distinction for Assets and Liabilities</w:t>
      </w:r>
      <w:bookmarkEnd w:id="247"/>
    </w:p>
    <w:p w14:paraId="783AED90" w14:textId="77777777" w:rsidR="0082424C" w:rsidRPr="007A3600" w:rsidRDefault="0082424C" w:rsidP="00AD3197">
      <w:pPr>
        <w:spacing w:after="0" w:line="240" w:lineRule="auto"/>
        <w:ind w:right="607"/>
        <w:rPr>
          <w:rFonts w:eastAsia="Times New Roman"/>
          <w:b/>
          <w:sz w:val="20"/>
          <w:szCs w:val="20"/>
          <w:lang w:eastAsia="en-US"/>
        </w:rPr>
      </w:pPr>
    </w:p>
    <w:tbl>
      <w:tblPr>
        <w:tblW w:w="9087" w:type="dxa"/>
        <w:tblLayout w:type="fixed"/>
        <w:tblLook w:val="04A0" w:firstRow="1" w:lastRow="0" w:firstColumn="1" w:lastColumn="0" w:noHBand="0" w:noVBand="1"/>
      </w:tblPr>
      <w:tblGrid>
        <w:gridCol w:w="6376"/>
        <w:gridCol w:w="1383"/>
        <w:gridCol w:w="236"/>
        <w:gridCol w:w="1092"/>
      </w:tblGrid>
      <w:tr w:rsidR="0082424C" w:rsidRPr="007A3600" w14:paraId="4EFD2EA6" w14:textId="77777777">
        <w:trPr>
          <w:trHeight w:val="253"/>
        </w:trPr>
        <w:tc>
          <w:tcPr>
            <w:tcW w:w="6376" w:type="dxa"/>
            <w:tcBorders>
              <w:top w:val="nil"/>
              <w:left w:val="nil"/>
              <w:bottom w:val="nil"/>
              <w:right w:val="nil"/>
            </w:tcBorders>
            <w:shd w:val="clear" w:color="FFFFFF" w:fill="FFFFFF"/>
            <w:noWrap/>
            <w:vAlign w:val="bottom"/>
            <w:hideMark/>
          </w:tcPr>
          <w:p w14:paraId="07B8A86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83" w:type="dxa"/>
            <w:tcBorders>
              <w:top w:val="nil"/>
              <w:left w:val="nil"/>
              <w:bottom w:val="nil"/>
              <w:right w:val="nil"/>
            </w:tcBorders>
            <w:shd w:val="clear" w:color="FFFFFF" w:fill="FFFFFF"/>
            <w:noWrap/>
            <w:vAlign w:val="bottom"/>
            <w:hideMark/>
          </w:tcPr>
          <w:p w14:paraId="5221FB7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2025</w:t>
            </w:r>
          </w:p>
        </w:tc>
        <w:tc>
          <w:tcPr>
            <w:tcW w:w="236" w:type="dxa"/>
            <w:tcBorders>
              <w:top w:val="nil"/>
              <w:left w:val="nil"/>
              <w:bottom w:val="nil"/>
              <w:right w:val="nil"/>
            </w:tcBorders>
            <w:shd w:val="clear" w:color="FFFFFF" w:fill="FFFFFF"/>
            <w:noWrap/>
            <w:vAlign w:val="bottom"/>
            <w:hideMark/>
          </w:tcPr>
          <w:p w14:paraId="7CB9FCD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0624DB4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2024</w:t>
            </w:r>
          </w:p>
        </w:tc>
      </w:tr>
      <w:tr w:rsidR="0082424C" w:rsidRPr="007A3600" w14:paraId="705E4694" w14:textId="77777777">
        <w:trPr>
          <w:trHeight w:val="253"/>
        </w:trPr>
        <w:tc>
          <w:tcPr>
            <w:tcW w:w="6376" w:type="dxa"/>
            <w:tcBorders>
              <w:top w:val="nil"/>
              <w:left w:val="nil"/>
              <w:bottom w:val="nil"/>
              <w:right w:val="nil"/>
            </w:tcBorders>
            <w:shd w:val="clear" w:color="FFFFFF" w:fill="FFFFFF"/>
            <w:noWrap/>
            <w:vAlign w:val="bottom"/>
            <w:hideMark/>
          </w:tcPr>
          <w:p w14:paraId="61F379C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83" w:type="dxa"/>
            <w:tcBorders>
              <w:top w:val="nil"/>
              <w:left w:val="nil"/>
              <w:bottom w:val="nil"/>
              <w:right w:val="nil"/>
            </w:tcBorders>
            <w:shd w:val="clear" w:color="FFFFFF" w:fill="FFFFFF"/>
            <w:noWrap/>
            <w:vAlign w:val="bottom"/>
            <w:hideMark/>
          </w:tcPr>
          <w:p w14:paraId="5494DC6E"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$'000</w:t>
            </w:r>
          </w:p>
        </w:tc>
        <w:tc>
          <w:tcPr>
            <w:tcW w:w="236" w:type="dxa"/>
            <w:tcBorders>
              <w:top w:val="nil"/>
              <w:left w:val="nil"/>
              <w:bottom w:val="nil"/>
              <w:right w:val="nil"/>
            </w:tcBorders>
            <w:shd w:val="clear" w:color="FFFFFF" w:fill="FFFFFF"/>
            <w:noWrap/>
            <w:vAlign w:val="bottom"/>
            <w:hideMark/>
          </w:tcPr>
          <w:p w14:paraId="6DD946D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37EBE7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$'000</w:t>
            </w:r>
          </w:p>
        </w:tc>
      </w:tr>
      <w:tr w:rsidR="0082424C" w:rsidRPr="007A3600" w14:paraId="7F57C4DD" w14:textId="77777777">
        <w:trPr>
          <w:trHeight w:val="253"/>
        </w:trPr>
        <w:tc>
          <w:tcPr>
            <w:tcW w:w="6376" w:type="dxa"/>
            <w:tcBorders>
              <w:top w:val="nil"/>
              <w:left w:val="nil"/>
              <w:bottom w:val="nil"/>
              <w:right w:val="nil"/>
            </w:tcBorders>
            <w:shd w:val="clear" w:color="FFFFFF" w:fill="FFFFFF"/>
            <w:noWrap/>
            <w:vAlign w:val="bottom"/>
            <w:hideMark/>
          </w:tcPr>
          <w:p w14:paraId="6BC68A0F" w14:textId="77777777" w:rsidR="0082424C" w:rsidRPr="007A3600" w:rsidRDefault="0082424C" w:rsidP="00AD3197">
            <w:pPr>
              <w:spacing w:after="0" w:line="260" w:lineRule="atLeast"/>
              <w:rPr>
                <w:rFonts w:eastAsia="Times New Roman" w:cs="Arial"/>
                <w:b/>
                <w:bCs/>
                <w:sz w:val="18"/>
                <w:szCs w:val="18"/>
                <w:u w:val="single"/>
                <w:lang w:eastAsia="en-US"/>
              </w:rPr>
            </w:pPr>
            <w:r w:rsidRPr="007A3600">
              <w:rPr>
                <w:rFonts w:eastAsia="Times New Roman" w:cs="Arial"/>
                <w:b/>
                <w:bCs/>
                <w:sz w:val="18"/>
                <w:szCs w:val="18"/>
                <w:u w:val="single"/>
                <w:lang w:eastAsia="en-US"/>
              </w:rPr>
              <w:t>Note 5.1: Current/non-current distinction for assets and liabilities</w:t>
            </w:r>
          </w:p>
        </w:tc>
        <w:tc>
          <w:tcPr>
            <w:tcW w:w="1383" w:type="dxa"/>
            <w:tcBorders>
              <w:top w:val="nil"/>
              <w:left w:val="nil"/>
              <w:bottom w:val="nil"/>
              <w:right w:val="nil"/>
            </w:tcBorders>
            <w:shd w:val="clear" w:color="FFFFFF" w:fill="FFFFFF"/>
            <w:noWrap/>
            <w:vAlign w:val="bottom"/>
            <w:hideMark/>
          </w:tcPr>
          <w:p w14:paraId="3AAB49A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58363EC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341406D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1378411" w14:textId="77777777">
        <w:trPr>
          <w:trHeight w:val="253"/>
        </w:trPr>
        <w:tc>
          <w:tcPr>
            <w:tcW w:w="6376" w:type="dxa"/>
            <w:tcBorders>
              <w:top w:val="nil"/>
              <w:left w:val="nil"/>
              <w:bottom w:val="nil"/>
              <w:right w:val="nil"/>
            </w:tcBorders>
            <w:shd w:val="clear" w:color="FFFFFF" w:fill="FFFFFF"/>
            <w:vAlign w:val="bottom"/>
            <w:hideMark/>
          </w:tcPr>
          <w:p w14:paraId="6528532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83" w:type="dxa"/>
            <w:tcBorders>
              <w:top w:val="nil"/>
              <w:left w:val="nil"/>
              <w:bottom w:val="nil"/>
              <w:right w:val="nil"/>
            </w:tcBorders>
            <w:shd w:val="clear" w:color="FFFFFF" w:fill="FFFFFF"/>
            <w:noWrap/>
            <w:vAlign w:val="bottom"/>
            <w:hideMark/>
          </w:tcPr>
          <w:p w14:paraId="570B35E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64205308"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71E51D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7634BE3B" w14:textId="77777777">
        <w:trPr>
          <w:trHeight w:val="253"/>
        </w:trPr>
        <w:tc>
          <w:tcPr>
            <w:tcW w:w="6376" w:type="dxa"/>
            <w:tcBorders>
              <w:top w:val="nil"/>
              <w:left w:val="nil"/>
              <w:bottom w:val="nil"/>
              <w:right w:val="nil"/>
            </w:tcBorders>
            <w:shd w:val="clear" w:color="FFFFFF" w:fill="FFFFFF"/>
            <w:vAlign w:val="bottom"/>
            <w:hideMark/>
          </w:tcPr>
          <w:p w14:paraId="79D278E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Assets expected to be recovered in:</w:t>
            </w:r>
          </w:p>
        </w:tc>
        <w:tc>
          <w:tcPr>
            <w:tcW w:w="1383" w:type="dxa"/>
            <w:tcBorders>
              <w:top w:val="nil"/>
              <w:left w:val="nil"/>
              <w:bottom w:val="nil"/>
              <w:right w:val="nil"/>
            </w:tcBorders>
            <w:shd w:val="clear" w:color="FFFFFF" w:fill="FFFFFF"/>
            <w:noWrap/>
            <w:vAlign w:val="bottom"/>
            <w:hideMark/>
          </w:tcPr>
          <w:p w14:paraId="1A7467E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EC378E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2C027AF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5017584" w14:textId="77777777">
        <w:trPr>
          <w:trHeight w:val="253"/>
        </w:trPr>
        <w:tc>
          <w:tcPr>
            <w:tcW w:w="6376" w:type="dxa"/>
            <w:tcBorders>
              <w:top w:val="nil"/>
              <w:left w:val="nil"/>
              <w:bottom w:val="nil"/>
              <w:right w:val="nil"/>
            </w:tcBorders>
            <w:shd w:val="clear" w:color="FFFFFF" w:fill="FFFFFF"/>
            <w:vAlign w:val="bottom"/>
            <w:hideMark/>
          </w:tcPr>
          <w:p w14:paraId="6072CF79"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No more than 12 months</w:t>
            </w:r>
          </w:p>
        </w:tc>
        <w:tc>
          <w:tcPr>
            <w:tcW w:w="1383" w:type="dxa"/>
            <w:tcBorders>
              <w:top w:val="nil"/>
              <w:left w:val="nil"/>
              <w:bottom w:val="nil"/>
              <w:right w:val="nil"/>
            </w:tcBorders>
            <w:shd w:val="clear" w:color="FFFFFF" w:fill="FFFFFF"/>
            <w:noWrap/>
            <w:vAlign w:val="bottom"/>
            <w:hideMark/>
          </w:tcPr>
          <w:p w14:paraId="2F8E407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F4C7B4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3421853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4E86DEB" w14:textId="77777777">
        <w:trPr>
          <w:trHeight w:val="253"/>
        </w:trPr>
        <w:tc>
          <w:tcPr>
            <w:tcW w:w="6376" w:type="dxa"/>
            <w:tcBorders>
              <w:top w:val="nil"/>
              <w:left w:val="nil"/>
              <w:bottom w:val="nil"/>
              <w:right w:val="nil"/>
            </w:tcBorders>
            <w:shd w:val="clear" w:color="FFFFFF" w:fill="FFFFFF"/>
            <w:noWrap/>
            <w:vAlign w:val="bottom"/>
            <w:hideMark/>
          </w:tcPr>
          <w:p w14:paraId="24060233"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Cash and cash equivalents</w:t>
            </w:r>
          </w:p>
        </w:tc>
        <w:tc>
          <w:tcPr>
            <w:tcW w:w="1383" w:type="dxa"/>
            <w:tcBorders>
              <w:top w:val="nil"/>
              <w:left w:val="nil"/>
              <w:bottom w:val="nil"/>
              <w:right w:val="nil"/>
            </w:tcBorders>
            <w:shd w:val="clear" w:color="FFFFFF" w:fill="FFFFFF"/>
            <w:noWrap/>
            <w:vAlign w:val="bottom"/>
            <w:hideMark/>
          </w:tcPr>
          <w:p w14:paraId="158F2FAD"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6,228,958</w:t>
            </w:r>
          </w:p>
        </w:tc>
        <w:tc>
          <w:tcPr>
            <w:tcW w:w="236" w:type="dxa"/>
            <w:tcBorders>
              <w:top w:val="nil"/>
              <w:left w:val="nil"/>
              <w:bottom w:val="nil"/>
              <w:right w:val="nil"/>
            </w:tcBorders>
            <w:shd w:val="clear" w:color="FFFFFF" w:fill="FFFFFF"/>
            <w:noWrap/>
            <w:vAlign w:val="bottom"/>
            <w:hideMark/>
          </w:tcPr>
          <w:p w14:paraId="3124CED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6C1F395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5,659,548</w:t>
            </w:r>
          </w:p>
        </w:tc>
      </w:tr>
      <w:tr w:rsidR="0082424C" w:rsidRPr="007A3600" w14:paraId="454266FE" w14:textId="77777777">
        <w:trPr>
          <w:trHeight w:val="253"/>
        </w:trPr>
        <w:tc>
          <w:tcPr>
            <w:tcW w:w="6376" w:type="dxa"/>
            <w:tcBorders>
              <w:top w:val="nil"/>
              <w:left w:val="nil"/>
              <w:bottom w:val="nil"/>
              <w:right w:val="nil"/>
            </w:tcBorders>
            <w:shd w:val="clear" w:color="FFFFFF" w:fill="FFFFFF"/>
            <w:noWrap/>
            <w:vAlign w:val="bottom"/>
            <w:hideMark/>
          </w:tcPr>
          <w:p w14:paraId="63CD8EA2"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Trade and other receivables</w:t>
            </w:r>
          </w:p>
        </w:tc>
        <w:tc>
          <w:tcPr>
            <w:tcW w:w="1383" w:type="dxa"/>
            <w:tcBorders>
              <w:top w:val="nil"/>
              <w:left w:val="nil"/>
              <w:bottom w:val="nil"/>
              <w:right w:val="nil"/>
            </w:tcBorders>
            <w:shd w:val="clear" w:color="FFFFFF" w:fill="FFFFFF"/>
            <w:noWrap/>
            <w:vAlign w:val="bottom"/>
            <w:hideMark/>
          </w:tcPr>
          <w:p w14:paraId="5FE5DAE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108,527</w:t>
            </w:r>
          </w:p>
        </w:tc>
        <w:tc>
          <w:tcPr>
            <w:tcW w:w="236" w:type="dxa"/>
            <w:tcBorders>
              <w:top w:val="nil"/>
              <w:left w:val="nil"/>
              <w:bottom w:val="nil"/>
              <w:right w:val="nil"/>
            </w:tcBorders>
            <w:shd w:val="clear" w:color="FFFFFF" w:fill="FFFFFF"/>
            <w:noWrap/>
            <w:vAlign w:val="bottom"/>
            <w:hideMark/>
          </w:tcPr>
          <w:p w14:paraId="100AD78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0AFA740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99,994</w:t>
            </w:r>
          </w:p>
        </w:tc>
      </w:tr>
      <w:tr w:rsidR="0082424C" w:rsidRPr="007A3600" w14:paraId="79769217" w14:textId="77777777">
        <w:trPr>
          <w:trHeight w:val="253"/>
        </w:trPr>
        <w:tc>
          <w:tcPr>
            <w:tcW w:w="6376" w:type="dxa"/>
            <w:tcBorders>
              <w:top w:val="nil"/>
              <w:left w:val="nil"/>
              <w:bottom w:val="nil"/>
              <w:right w:val="nil"/>
            </w:tcBorders>
            <w:shd w:val="clear" w:color="FFFFFF" w:fill="FFFFFF"/>
            <w:noWrap/>
            <w:vAlign w:val="bottom"/>
            <w:hideMark/>
          </w:tcPr>
          <w:p w14:paraId="1F76036E"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non-financial assets</w:t>
            </w:r>
          </w:p>
        </w:tc>
        <w:tc>
          <w:tcPr>
            <w:tcW w:w="1383" w:type="dxa"/>
            <w:tcBorders>
              <w:top w:val="nil"/>
              <w:left w:val="nil"/>
              <w:bottom w:val="nil"/>
              <w:right w:val="nil"/>
            </w:tcBorders>
            <w:shd w:val="clear" w:color="FFFFFF" w:fill="FFFFFF"/>
            <w:noWrap/>
            <w:vAlign w:val="bottom"/>
            <w:hideMark/>
          </w:tcPr>
          <w:p w14:paraId="0D6E4EA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36,235</w:t>
            </w:r>
          </w:p>
        </w:tc>
        <w:tc>
          <w:tcPr>
            <w:tcW w:w="236" w:type="dxa"/>
            <w:tcBorders>
              <w:top w:val="nil"/>
              <w:left w:val="nil"/>
              <w:bottom w:val="nil"/>
              <w:right w:val="nil"/>
            </w:tcBorders>
            <w:shd w:val="clear" w:color="FFFFFF" w:fill="FFFFFF"/>
            <w:noWrap/>
            <w:vAlign w:val="bottom"/>
            <w:hideMark/>
          </w:tcPr>
          <w:p w14:paraId="5BCD3A2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6B3C0AC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30,264</w:t>
            </w:r>
          </w:p>
        </w:tc>
      </w:tr>
      <w:tr w:rsidR="0082424C" w:rsidRPr="007A3600" w14:paraId="013C4D91" w14:textId="77777777">
        <w:trPr>
          <w:trHeight w:val="253"/>
        </w:trPr>
        <w:tc>
          <w:tcPr>
            <w:tcW w:w="6376" w:type="dxa"/>
            <w:tcBorders>
              <w:top w:val="nil"/>
              <w:left w:val="nil"/>
              <w:bottom w:val="nil"/>
              <w:right w:val="nil"/>
            </w:tcBorders>
            <w:shd w:val="clear" w:color="FFFFFF" w:fill="FFFFFF"/>
            <w:vAlign w:val="bottom"/>
            <w:hideMark/>
          </w:tcPr>
          <w:p w14:paraId="54CF6AE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no more than 12 months</w:t>
            </w:r>
          </w:p>
        </w:tc>
        <w:tc>
          <w:tcPr>
            <w:tcW w:w="1383" w:type="dxa"/>
            <w:tcBorders>
              <w:top w:val="single" w:sz="4" w:space="0" w:color="auto"/>
              <w:left w:val="nil"/>
              <w:bottom w:val="single" w:sz="4" w:space="0" w:color="auto"/>
              <w:right w:val="nil"/>
            </w:tcBorders>
            <w:shd w:val="clear" w:color="FFFFFF" w:fill="FFFFFF"/>
            <w:noWrap/>
            <w:vAlign w:val="bottom"/>
            <w:hideMark/>
          </w:tcPr>
          <w:p w14:paraId="3443EA3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6,373,720</w:t>
            </w:r>
          </w:p>
        </w:tc>
        <w:tc>
          <w:tcPr>
            <w:tcW w:w="236" w:type="dxa"/>
            <w:tcBorders>
              <w:top w:val="nil"/>
              <w:left w:val="nil"/>
              <w:bottom w:val="nil"/>
              <w:right w:val="nil"/>
            </w:tcBorders>
            <w:shd w:val="clear" w:color="FFFFFF" w:fill="FFFFFF"/>
            <w:noWrap/>
            <w:vAlign w:val="bottom"/>
            <w:hideMark/>
          </w:tcPr>
          <w:p w14:paraId="2C7D2DD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single" w:sz="4" w:space="0" w:color="auto"/>
              <w:left w:val="nil"/>
              <w:bottom w:val="single" w:sz="4" w:space="0" w:color="auto"/>
              <w:right w:val="nil"/>
            </w:tcBorders>
            <w:shd w:val="clear" w:color="FFFFFF" w:fill="FFFFFF"/>
            <w:noWrap/>
            <w:vAlign w:val="bottom"/>
            <w:hideMark/>
          </w:tcPr>
          <w:p w14:paraId="5953DC6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5,789,806</w:t>
            </w:r>
          </w:p>
        </w:tc>
      </w:tr>
      <w:tr w:rsidR="0082424C" w:rsidRPr="007A3600" w14:paraId="0B4AD600" w14:textId="77777777">
        <w:trPr>
          <w:trHeight w:val="253"/>
        </w:trPr>
        <w:tc>
          <w:tcPr>
            <w:tcW w:w="6376" w:type="dxa"/>
            <w:tcBorders>
              <w:top w:val="nil"/>
              <w:left w:val="nil"/>
              <w:bottom w:val="nil"/>
              <w:right w:val="nil"/>
            </w:tcBorders>
            <w:shd w:val="clear" w:color="FFFFFF" w:fill="FFFFFF"/>
            <w:vAlign w:val="bottom"/>
            <w:hideMark/>
          </w:tcPr>
          <w:p w14:paraId="017872D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83" w:type="dxa"/>
            <w:tcBorders>
              <w:top w:val="nil"/>
              <w:left w:val="nil"/>
              <w:bottom w:val="nil"/>
              <w:right w:val="nil"/>
            </w:tcBorders>
            <w:shd w:val="clear" w:color="FFFFFF" w:fill="FFFFFF"/>
            <w:noWrap/>
            <w:vAlign w:val="bottom"/>
            <w:hideMark/>
          </w:tcPr>
          <w:p w14:paraId="04DA80A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4D86E7F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B7CBC2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65F04D2" w14:textId="77777777">
        <w:trPr>
          <w:trHeight w:val="253"/>
        </w:trPr>
        <w:tc>
          <w:tcPr>
            <w:tcW w:w="6376" w:type="dxa"/>
            <w:tcBorders>
              <w:top w:val="nil"/>
              <w:left w:val="nil"/>
              <w:bottom w:val="nil"/>
              <w:right w:val="nil"/>
            </w:tcBorders>
            <w:shd w:val="clear" w:color="FFFFFF" w:fill="FFFFFF"/>
            <w:vAlign w:val="bottom"/>
            <w:hideMark/>
          </w:tcPr>
          <w:p w14:paraId="51006975"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More than 12 months</w:t>
            </w:r>
          </w:p>
        </w:tc>
        <w:tc>
          <w:tcPr>
            <w:tcW w:w="1383" w:type="dxa"/>
            <w:tcBorders>
              <w:top w:val="nil"/>
              <w:left w:val="nil"/>
              <w:bottom w:val="nil"/>
              <w:right w:val="nil"/>
            </w:tcBorders>
            <w:shd w:val="clear" w:color="FFFFFF" w:fill="FFFFFF"/>
            <w:noWrap/>
            <w:vAlign w:val="bottom"/>
            <w:hideMark/>
          </w:tcPr>
          <w:p w14:paraId="17DA94D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378C755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227F3D4A"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2795B661" w14:textId="77777777">
        <w:trPr>
          <w:trHeight w:val="253"/>
        </w:trPr>
        <w:tc>
          <w:tcPr>
            <w:tcW w:w="6376" w:type="dxa"/>
            <w:tcBorders>
              <w:top w:val="nil"/>
              <w:left w:val="nil"/>
              <w:bottom w:val="nil"/>
              <w:right w:val="nil"/>
            </w:tcBorders>
            <w:shd w:val="clear" w:color="FFFFFF" w:fill="FFFFFF"/>
            <w:noWrap/>
            <w:vAlign w:val="bottom"/>
            <w:hideMark/>
          </w:tcPr>
          <w:p w14:paraId="0648A3F7"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Buildings</w:t>
            </w:r>
          </w:p>
        </w:tc>
        <w:tc>
          <w:tcPr>
            <w:tcW w:w="1383" w:type="dxa"/>
            <w:tcBorders>
              <w:top w:val="nil"/>
              <w:left w:val="nil"/>
              <w:bottom w:val="nil"/>
              <w:right w:val="nil"/>
            </w:tcBorders>
            <w:shd w:val="clear" w:color="FFFFFF" w:fill="FFFFFF"/>
            <w:noWrap/>
            <w:vAlign w:val="bottom"/>
            <w:hideMark/>
          </w:tcPr>
          <w:p w14:paraId="2BC6ECA2"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211,949</w:t>
            </w:r>
          </w:p>
        </w:tc>
        <w:tc>
          <w:tcPr>
            <w:tcW w:w="236" w:type="dxa"/>
            <w:tcBorders>
              <w:top w:val="nil"/>
              <w:left w:val="nil"/>
              <w:bottom w:val="nil"/>
              <w:right w:val="nil"/>
            </w:tcBorders>
            <w:shd w:val="clear" w:color="FFFFFF" w:fill="FFFFFF"/>
            <w:noWrap/>
            <w:vAlign w:val="bottom"/>
            <w:hideMark/>
          </w:tcPr>
          <w:p w14:paraId="0970DBA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9A705C8"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237,892</w:t>
            </w:r>
          </w:p>
        </w:tc>
      </w:tr>
      <w:tr w:rsidR="0082424C" w:rsidRPr="007A3600" w14:paraId="0AF17215" w14:textId="77777777">
        <w:trPr>
          <w:trHeight w:val="253"/>
        </w:trPr>
        <w:tc>
          <w:tcPr>
            <w:tcW w:w="6376" w:type="dxa"/>
            <w:tcBorders>
              <w:top w:val="nil"/>
              <w:left w:val="nil"/>
              <w:bottom w:val="nil"/>
              <w:right w:val="nil"/>
            </w:tcBorders>
            <w:shd w:val="clear" w:color="FFFFFF" w:fill="FFFFFF"/>
            <w:noWrap/>
            <w:vAlign w:val="bottom"/>
            <w:hideMark/>
          </w:tcPr>
          <w:p w14:paraId="35827038"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Plant and equipment</w:t>
            </w:r>
          </w:p>
        </w:tc>
        <w:tc>
          <w:tcPr>
            <w:tcW w:w="1383" w:type="dxa"/>
            <w:tcBorders>
              <w:top w:val="nil"/>
              <w:left w:val="nil"/>
              <w:bottom w:val="nil"/>
              <w:right w:val="nil"/>
            </w:tcBorders>
            <w:shd w:val="clear" w:color="FFFFFF" w:fill="FFFFFF"/>
            <w:noWrap/>
            <w:vAlign w:val="bottom"/>
            <w:hideMark/>
          </w:tcPr>
          <w:p w14:paraId="6817EB0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16,452</w:t>
            </w:r>
          </w:p>
        </w:tc>
        <w:tc>
          <w:tcPr>
            <w:tcW w:w="236" w:type="dxa"/>
            <w:tcBorders>
              <w:top w:val="nil"/>
              <w:left w:val="nil"/>
              <w:bottom w:val="nil"/>
              <w:right w:val="nil"/>
            </w:tcBorders>
            <w:shd w:val="clear" w:color="FFFFFF" w:fill="FFFFFF"/>
            <w:noWrap/>
            <w:vAlign w:val="bottom"/>
            <w:hideMark/>
          </w:tcPr>
          <w:p w14:paraId="78A0982D"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3FAE35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9,364</w:t>
            </w:r>
          </w:p>
        </w:tc>
      </w:tr>
      <w:tr w:rsidR="0082424C" w:rsidRPr="007A3600" w14:paraId="4CD53145" w14:textId="77777777">
        <w:trPr>
          <w:trHeight w:val="253"/>
        </w:trPr>
        <w:tc>
          <w:tcPr>
            <w:tcW w:w="6376" w:type="dxa"/>
            <w:tcBorders>
              <w:top w:val="nil"/>
              <w:left w:val="nil"/>
              <w:bottom w:val="nil"/>
              <w:right w:val="nil"/>
            </w:tcBorders>
            <w:shd w:val="clear" w:color="FFFFFF" w:fill="FFFFFF"/>
            <w:vAlign w:val="bottom"/>
            <w:hideMark/>
          </w:tcPr>
          <w:p w14:paraId="6BB2367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more than 12 months</w:t>
            </w:r>
          </w:p>
        </w:tc>
        <w:tc>
          <w:tcPr>
            <w:tcW w:w="1383" w:type="dxa"/>
            <w:tcBorders>
              <w:top w:val="single" w:sz="4" w:space="0" w:color="auto"/>
              <w:left w:val="nil"/>
              <w:bottom w:val="single" w:sz="4" w:space="0" w:color="auto"/>
              <w:right w:val="nil"/>
            </w:tcBorders>
            <w:shd w:val="clear" w:color="FFFFFF" w:fill="FFFFFF"/>
            <w:noWrap/>
            <w:vAlign w:val="bottom"/>
            <w:hideMark/>
          </w:tcPr>
          <w:p w14:paraId="2EDF6A5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228,401</w:t>
            </w:r>
          </w:p>
        </w:tc>
        <w:tc>
          <w:tcPr>
            <w:tcW w:w="236" w:type="dxa"/>
            <w:tcBorders>
              <w:top w:val="nil"/>
              <w:left w:val="nil"/>
              <w:bottom w:val="nil"/>
              <w:right w:val="nil"/>
            </w:tcBorders>
            <w:shd w:val="clear" w:color="FFFFFF" w:fill="FFFFFF"/>
            <w:noWrap/>
            <w:vAlign w:val="bottom"/>
            <w:hideMark/>
          </w:tcPr>
          <w:p w14:paraId="4BFF44A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single" w:sz="4" w:space="0" w:color="auto"/>
              <w:left w:val="nil"/>
              <w:bottom w:val="single" w:sz="4" w:space="0" w:color="auto"/>
              <w:right w:val="nil"/>
            </w:tcBorders>
            <w:shd w:val="clear" w:color="FFFFFF" w:fill="FFFFFF"/>
            <w:noWrap/>
            <w:vAlign w:val="bottom"/>
            <w:hideMark/>
          </w:tcPr>
          <w:p w14:paraId="1AF890BC"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247,256</w:t>
            </w:r>
          </w:p>
        </w:tc>
      </w:tr>
      <w:tr w:rsidR="0082424C" w:rsidRPr="007A3600" w14:paraId="745FD16F" w14:textId="77777777">
        <w:trPr>
          <w:trHeight w:val="253"/>
        </w:trPr>
        <w:tc>
          <w:tcPr>
            <w:tcW w:w="6376" w:type="dxa"/>
            <w:tcBorders>
              <w:top w:val="nil"/>
              <w:left w:val="nil"/>
              <w:bottom w:val="nil"/>
              <w:right w:val="nil"/>
            </w:tcBorders>
            <w:shd w:val="clear" w:color="FFFFFF" w:fill="FFFFFF"/>
            <w:vAlign w:val="bottom"/>
            <w:hideMark/>
          </w:tcPr>
          <w:p w14:paraId="29D00E0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assets</w:t>
            </w:r>
          </w:p>
        </w:tc>
        <w:tc>
          <w:tcPr>
            <w:tcW w:w="1383" w:type="dxa"/>
            <w:tcBorders>
              <w:top w:val="nil"/>
              <w:left w:val="nil"/>
              <w:bottom w:val="single" w:sz="4" w:space="0" w:color="auto"/>
              <w:right w:val="nil"/>
            </w:tcBorders>
            <w:shd w:val="clear" w:color="FFFFFF" w:fill="FFFFFF"/>
            <w:noWrap/>
            <w:vAlign w:val="bottom"/>
            <w:hideMark/>
          </w:tcPr>
          <w:p w14:paraId="2DB6832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6,602,121</w:t>
            </w:r>
          </w:p>
        </w:tc>
        <w:tc>
          <w:tcPr>
            <w:tcW w:w="236" w:type="dxa"/>
            <w:tcBorders>
              <w:top w:val="nil"/>
              <w:left w:val="nil"/>
              <w:bottom w:val="nil"/>
              <w:right w:val="nil"/>
            </w:tcBorders>
            <w:shd w:val="clear" w:color="FFFFFF" w:fill="FFFFFF"/>
            <w:noWrap/>
            <w:vAlign w:val="bottom"/>
            <w:hideMark/>
          </w:tcPr>
          <w:p w14:paraId="4DD21E86"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single" w:sz="4" w:space="0" w:color="auto"/>
              <w:right w:val="nil"/>
            </w:tcBorders>
            <w:shd w:val="clear" w:color="FFFFFF" w:fill="FFFFFF"/>
            <w:noWrap/>
            <w:vAlign w:val="bottom"/>
            <w:hideMark/>
          </w:tcPr>
          <w:p w14:paraId="10E9CCB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6,037,062</w:t>
            </w:r>
          </w:p>
        </w:tc>
      </w:tr>
      <w:tr w:rsidR="0082424C" w:rsidRPr="007A3600" w14:paraId="374C1960" w14:textId="77777777">
        <w:trPr>
          <w:trHeight w:val="240"/>
        </w:trPr>
        <w:tc>
          <w:tcPr>
            <w:tcW w:w="6376" w:type="dxa"/>
            <w:tcBorders>
              <w:top w:val="nil"/>
              <w:left w:val="nil"/>
              <w:bottom w:val="nil"/>
              <w:right w:val="nil"/>
            </w:tcBorders>
            <w:shd w:val="clear" w:color="FFFFFF" w:fill="FFFFFF"/>
            <w:vAlign w:val="bottom"/>
            <w:hideMark/>
          </w:tcPr>
          <w:p w14:paraId="1AF295AC"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383" w:type="dxa"/>
            <w:tcBorders>
              <w:top w:val="nil"/>
              <w:left w:val="nil"/>
              <w:bottom w:val="nil"/>
              <w:right w:val="nil"/>
            </w:tcBorders>
            <w:shd w:val="clear" w:color="FFFFFF" w:fill="FFFFFF"/>
            <w:noWrap/>
            <w:vAlign w:val="bottom"/>
            <w:hideMark/>
          </w:tcPr>
          <w:p w14:paraId="6764B52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1D87B3C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7A089BC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396678E5" w14:textId="77777777">
        <w:trPr>
          <w:trHeight w:val="253"/>
        </w:trPr>
        <w:tc>
          <w:tcPr>
            <w:tcW w:w="6376" w:type="dxa"/>
            <w:tcBorders>
              <w:top w:val="nil"/>
              <w:left w:val="nil"/>
              <w:bottom w:val="nil"/>
              <w:right w:val="nil"/>
            </w:tcBorders>
            <w:shd w:val="clear" w:color="FFFFFF" w:fill="FFFFFF"/>
            <w:vAlign w:val="bottom"/>
            <w:hideMark/>
          </w:tcPr>
          <w:p w14:paraId="7D763ED4"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Liabilities expected to be settled in:</w:t>
            </w:r>
          </w:p>
        </w:tc>
        <w:tc>
          <w:tcPr>
            <w:tcW w:w="1383" w:type="dxa"/>
            <w:tcBorders>
              <w:top w:val="nil"/>
              <w:left w:val="nil"/>
              <w:bottom w:val="nil"/>
              <w:right w:val="nil"/>
            </w:tcBorders>
            <w:shd w:val="clear" w:color="FFFFFF" w:fill="FFFFFF"/>
            <w:noWrap/>
            <w:vAlign w:val="bottom"/>
            <w:hideMark/>
          </w:tcPr>
          <w:p w14:paraId="3C554BBE"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2F4794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680F98D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0647F527" w14:textId="77777777">
        <w:trPr>
          <w:trHeight w:val="253"/>
        </w:trPr>
        <w:tc>
          <w:tcPr>
            <w:tcW w:w="6376" w:type="dxa"/>
            <w:tcBorders>
              <w:top w:val="nil"/>
              <w:left w:val="nil"/>
              <w:bottom w:val="nil"/>
              <w:right w:val="nil"/>
            </w:tcBorders>
            <w:shd w:val="clear" w:color="FFFFFF" w:fill="FFFFFF"/>
            <w:vAlign w:val="bottom"/>
            <w:hideMark/>
          </w:tcPr>
          <w:p w14:paraId="2B38C368"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No more than 12 months</w:t>
            </w:r>
          </w:p>
        </w:tc>
        <w:tc>
          <w:tcPr>
            <w:tcW w:w="1383" w:type="dxa"/>
            <w:tcBorders>
              <w:top w:val="nil"/>
              <w:left w:val="nil"/>
              <w:bottom w:val="nil"/>
              <w:right w:val="nil"/>
            </w:tcBorders>
            <w:shd w:val="clear" w:color="FFFFFF" w:fill="FFFFFF"/>
            <w:noWrap/>
            <w:vAlign w:val="bottom"/>
            <w:hideMark/>
          </w:tcPr>
          <w:p w14:paraId="3BAD3AE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236" w:type="dxa"/>
            <w:tcBorders>
              <w:top w:val="nil"/>
              <w:left w:val="nil"/>
              <w:bottom w:val="nil"/>
              <w:right w:val="nil"/>
            </w:tcBorders>
            <w:shd w:val="clear" w:color="FFFFFF" w:fill="FFFFFF"/>
            <w:noWrap/>
            <w:vAlign w:val="bottom"/>
            <w:hideMark/>
          </w:tcPr>
          <w:p w14:paraId="7FBAA79B"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36BCDBC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r>
      <w:tr w:rsidR="0082424C" w:rsidRPr="007A3600" w14:paraId="67AB90DD" w14:textId="77777777">
        <w:trPr>
          <w:trHeight w:val="253"/>
        </w:trPr>
        <w:tc>
          <w:tcPr>
            <w:tcW w:w="6376" w:type="dxa"/>
            <w:tcBorders>
              <w:top w:val="nil"/>
              <w:left w:val="nil"/>
              <w:bottom w:val="nil"/>
              <w:right w:val="nil"/>
            </w:tcBorders>
            <w:shd w:val="clear" w:color="FFFFFF" w:fill="FFFFFF"/>
            <w:noWrap/>
            <w:vAlign w:val="bottom"/>
            <w:hideMark/>
          </w:tcPr>
          <w:p w14:paraId="119491D1"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Suppliers</w:t>
            </w:r>
          </w:p>
        </w:tc>
        <w:tc>
          <w:tcPr>
            <w:tcW w:w="1383" w:type="dxa"/>
            <w:tcBorders>
              <w:top w:val="nil"/>
              <w:left w:val="nil"/>
              <w:bottom w:val="nil"/>
              <w:right w:val="nil"/>
            </w:tcBorders>
            <w:shd w:val="clear" w:color="FFFFFF" w:fill="FFFFFF"/>
            <w:noWrap/>
            <w:vAlign w:val="bottom"/>
            <w:hideMark/>
          </w:tcPr>
          <w:p w14:paraId="0BAABEB1"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1,281,462</w:t>
            </w:r>
          </w:p>
        </w:tc>
        <w:tc>
          <w:tcPr>
            <w:tcW w:w="236" w:type="dxa"/>
            <w:tcBorders>
              <w:top w:val="nil"/>
              <w:left w:val="nil"/>
              <w:bottom w:val="nil"/>
              <w:right w:val="nil"/>
            </w:tcBorders>
            <w:shd w:val="clear" w:color="FFFFFF" w:fill="FFFFFF"/>
            <w:noWrap/>
            <w:vAlign w:val="bottom"/>
            <w:hideMark/>
          </w:tcPr>
          <w:p w14:paraId="306255E2"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78580D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914,519</w:t>
            </w:r>
          </w:p>
        </w:tc>
      </w:tr>
      <w:tr w:rsidR="0082424C" w:rsidRPr="007A3600" w14:paraId="653E160B" w14:textId="77777777">
        <w:trPr>
          <w:trHeight w:val="253"/>
        </w:trPr>
        <w:tc>
          <w:tcPr>
            <w:tcW w:w="6376" w:type="dxa"/>
            <w:tcBorders>
              <w:top w:val="nil"/>
              <w:left w:val="nil"/>
              <w:bottom w:val="nil"/>
              <w:right w:val="nil"/>
            </w:tcBorders>
            <w:shd w:val="clear" w:color="FFFFFF" w:fill="FFFFFF"/>
            <w:noWrap/>
            <w:vAlign w:val="bottom"/>
            <w:hideMark/>
          </w:tcPr>
          <w:p w14:paraId="3BE15E4E"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Other payables</w:t>
            </w:r>
          </w:p>
        </w:tc>
        <w:tc>
          <w:tcPr>
            <w:tcW w:w="1383" w:type="dxa"/>
            <w:tcBorders>
              <w:top w:val="nil"/>
              <w:left w:val="nil"/>
              <w:bottom w:val="nil"/>
              <w:right w:val="nil"/>
            </w:tcBorders>
            <w:shd w:val="clear" w:color="FFFFFF" w:fill="FFFFFF"/>
            <w:noWrap/>
            <w:vAlign w:val="bottom"/>
            <w:hideMark/>
          </w:tcPr>
          <w:p w14:paraId="4FEB9F0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34,062</w:t>
            </w:r>
          </w:p>
        </w:tc>
        <w:tc>
          <w:tcPr>
            <w:tcW w:w="236" w:type="dxa"/>
            <w:tcBorders>
              <w:top w:val="nil"/>
              <w:left w:val="nil"/>
              <w:bottom w:val="nil"/>
              <w:right w:val="nil"/>
            </w:tcBorders>
            <w:shd w:val="clear" w:color="FFFFFF" w:fill="FFFFFF"/>
            <w:noWrap/>
            <w:vAlign w:val="bottom"/>
            <w:hideMark/>
          </w:tcPr>
          <w:p w14:paraId="1D403DA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489603E"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21,037</w:t>
            </w:r>
          </w:p>
        </w:tc>
      </w:tr>
      <w:tr w:rsidR="0082424C" w:rsidRPr="007A3600" w14:paraId="7575F905" w14:textId="77777777">
        <w:trPr>
          <w:trHeight w:val="253"/>
        </w:trPr>
        <w:tc>
          <w:tcPr>
            <w:tcW w:w="6376" w:type="dxa"/>
            <w:tcBorders>
              <w:top w:val="nil"/>
              <w:left w:val="nil"/>
              <w:bottom w:val="nil"/>
              <w:right w:val="nil"/>
            </w:tcBorders>
            <w:shd w:val="clear" w:color="FFFFFF" w:fill="FFFFFF"/>
            <w:noWrap/>
            <w:vAlign w:val="bottom"/>
            <w:hideMark/>
          </w:tcPr>
          <w:p w14:paraId="19E096F0"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Unearned revenue</w:t>
            </w:r>
          </w:p>
        </w:tc>
        <w:tc>
          <w:tcPr>
            <w:tcW w:w="1383" w:type="dxa"/>
            <w:tcBorders>
              <w:top w:val="nil"/>
              <w:left w:val="nil"/>
              <w:bottom w:val="nil"/>
              <w:right w:val="nil"/>
            </w:tcBorders>
            <w:shd w:val="clear" w:color="FFFFFF" w:fill="FFFFFF"/>
            <w:noWrap/>
            <w:vAlign w:val="bottom"/>
            <w:hideMark/>
          </w:tcPr>
          <w:p w14:paraId="580B411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454,784</w:t>
            </w:r>
          </w:p>
        </w:tc>
        <w:tc>
          <w:tcPr>
            <w:tcW w:w="236" w:type="dxa"/>
            <w:tcBorders>
              <w:top w:val="nil"/>
              <w:left w:val="nil"/>
              <w:bottom w:val="nil"/>
              <w:right w:val="nil"/>
            </w:tcBorders>
            <w:shd w:val="clear" w:color="FFFFFF" w:fill="FFFFFF"/>
            <w:noWrap/>
            <w:vAlign w:val="bottom"/>
            <w:hideMark/>
          </w:tcPr>
          <w:p w14:paraId="42CCE94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A1DD4B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413,969</w:t>
            </w:r>
          </w:p>
        </w:tc>
      </w:tr>
      <w:tr w:rsidR="0082424C" w:rsidRPr="007A3600" w14:paraId="7A11B9A1" w14:textId="77777777">
        <w:trPr>
          <w:trHeight w:val="253"/>
        </w:trPr>
        <w:tc>
          <w:tcPr>
            <w:tcW w:w="6376" w:type="dxa"/>
            <w:tcBorders>
              <w:top w:val="nil"/>
              <w:left w:val="nil"/>
              <w:bottom w:val="nil"/>
              <w:right w:val="nil"/>
            </w:tcBorders>
            <w:shd w:val="clear" w:color="FFFFFF" w:fill="FFFFFF"/>
            <w:noWrap/>
            <w:vAlign w:val="bottom"/>
            <w:hideMark/>
          </w:tcPr>
          <w:p w14:paraId="49DF29C7"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Leases</w:t>
            </w:r>
          </w:p>
        </w:tc>
        <w:tc>
          <w:tcPr>
            <w:tcW w:w="1383" w:type="dxa"/>
            <w:tcBorders>
              <w:top w:val="nil"/>
              <w:left w:val="nil"/>
              <w:bottom w:val="nil"/>
              <w:right w:val="nil"/>
            </w:tcBorders>
            <w:shd w:val="clear" w:color="FFFFFF" w:fill="FFFFFF"/>
            <w:noWrap/>
            <w:vAlign w:val="bottom"/>
            <w:hideMark/>
          </w:tcPr>
          <w:p w14:paraId="1152A5F7"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31,471</w:t>
            </w:r>
          </w:p>
        </w:tc>
        <w:tc>
          <w:tcPr>
            <w:tcW w:w="236" w:type="dxa"/>
            <w:tcBorders>
              <w:top w:val="nil"/>
              <w:left w:val="nil"/>
              <w:bottom w:val="nil"/>
              <w:right w:val="nil"/>
            </w:tcBorders>
            <w:shd w:val="clear" w:color="FFFFFF" w:fill="FFFFFF"/>
            <w:noWrap/>
            <w:vAlign w:val="bottom"/>
            <w:hideMark/>
          </w:tcPr>
          <w:p w14:paraId="2AB5B31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17A3982D"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30,827</w:t>
            </w:r>
          </w:p>
        </w:tc>
      </w:tr>
      <w:tr w:rsidR="0082424C" w:rsidRPr="007A3600" w14:paraId="086C96CF" w14:textId="77777777">
        <w:trPr>
          <w:trHeight w:val="253"/>
        </w:trPr>
        <w:tc>
          <w:tcPr>
            <w:tcW w:w="6376" w:type="dxa"/>
            <w:tcBorders>
              <w:top w:val="nil"/>
              <w:left w:val="nil"/>
              <w:bottom w:val="nil"/>
              <w:right w:val="nil"/>
            </w:tcBorders>
            <w:shd w:val="clear" w:color="FFFFFF" w:fill="FFFFFF"/>
            <w:noWrap/>
            <w:vAlign w:val="bottom"/>
            <w:hideMark/>
          </w:tcPr>
          <w:p w14:paraId="150B5A0A"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Employee provisions</w:t>
            </w:r>
          </w:p>
        </w:tc>
        <w:tc>
          <w:tcPr>
            <w:tcW w:w="1383" w:type="dxa"/>
            <w:tcBorders>
              <w:top w:val="nil"/>
              <w:left w:val="nil"/>
              <w:bottom w:val="nil"/>
              <w:right w:val="nil"/>
            </w:tcBorders>
            <w:shd w:val="clear" w:color="FFFFFF" w:fill="FFFFFF"/>
            <w:noWrap/>
            <w:vAlign w:val="bottom"/>
            <w:hideMark/>
          </w:tcPr>
          <w:p w14:paraId="6F89F18B"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67,809</w:t>
            </w:r>
          </w:p>
        </w:tc>
        <w:tc>
          <w:tcPr>
            <w:tcW w:w="236" w:type="dxa"/>
            <w:tcBorders>
              <w:top w:val="nil"/>
              <w:left w:val="nil"/>
              <w:bottom w:val="nil"/>
              <w:right w:val="nil"/>
            </w:tcBorders>
            <w:shd w:val="clear" w:color="FFFFFF" w:fill="FFFFFF"/>
            <w:noWrap/>
            <w:vAlign w:val="bottom"/>
            <w:hideMark/>
          </w:tcPr>
          <w:p w14:paraId="1A045F6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34CBC5B6"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41,553</w:t>
            </w:r>
          </w:p>
        </w:tc>
      </w:tr>
      <w:tr w:rsidR="0082424C" w:rsidRPr="007A3600" w14:paraId="440C7D79" w14:textId="77777777">
        <w:trPr>
          <w:trHeight w:val="253"/>
        </w:trPr>
        <w:tc>
          <w:tcPr>
            <w:tcW w:w="6376" w:type="dxa"/>
            <w:tcBorders>
              <w:top w:val="nil"/>
              <w:left w:val="nil"/>
              <w:bottom w:val="nil"/>
              <w:right w:val="nil"/>
            </w:tcBorders>
            <w:shd w:val="clear" w:color="FFFFFF" w:fill="FFFFFF"/>
            <w:noWrap/>
            <w:vAlign w:val="bottom"/>
            <w:hideMark/>
          </w:tcPr>
          <w:p w14:paraId="48E245CF"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plan provisions</w:t>
            </w:r>
          </w:p>
        </w:tc>
        <w:tc>
          <w:tcPr>
            <w:tcW w:w="1383" w:type="dxa"/>
            <w:tcBorders>
              <w:top w:val="nil"/>
              <w:left w:val="nil"/>
              <w:bottom w:val="nil"/>
              <w:right w:val="nil"/>
            </w:tcBorders>
            <w:shd w:val="clear" w:color="FFFFFF" w:fill="FFFFFF"/>
            <w:noWrap/>
            <w:vAlign w:val="bottom"/>
            <w:hideMark/>
          </w:tcPr>
          <w:p w14:paraId="2B9D026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2,008,821</w:t>
            </w:r>
          </w:p>
        </w:tc>
        <w:tc>
          <w:tcPr>
            <w:tcW w:w="236" w:type="dxa"/>
            <w:tcBorders>
              <w:top w:val="nil"/>
              <w:left w:val="nil"/>
              <w:bottom w:val="nil"/>
              <w:right w:val="nil"/>
            </w:tcBorders>
            <w:shd w:val="clear" w:color="FFFFFF" w:fill="FFFFFF"/>
            <w:noWrap/>
            <w:vAlign w:val="bottom"/>
            <w:hideMark/>
          </w:tcPr>
          <w:p w14:paraId="4171C19F"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41DBDF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1,998,439</w:t>
            </w:r>
          </w:p>
        </w:tc>
      </w:tr>
      <w:tr w:rsidR="0082424C" w:rsidRPr="007A3600" w14:paraId="40ADD6EC" w14:textId="77777777">
        <w:trPr>
          <w:trHeight w:val="253"/>
        </w:trPr>
        <w:tc>
          <w:tcPr>
            <w:tcW w:w="6376" w:type="dxa"/>
            <w:tcBorders>
              <w:top w:val="nil"/>
              <w:left w:val="nil"/>
              <w:bottom w:val="nil"/>
              <w:right w:val="nil"/>
            </w:tcBorders>
            <w:shd w:val="clear" w:color="FFFFFF" w:fill="FFFFFF"/>
            <w:noWrap/>
            <w:vAlign w:val="bottom"/>
            <w:hideMark/>
          </w:tcPr>
          <w:p w14:paraId="2E366A44"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Provision for restoration obligations</w:t>
            </w:r>
          </w:p>
        </w:tc>
        <w:tc>
          <w:tcPr>
            <w:tcW w:w="1383" w:type="dxa"/>
            <w:tcBorders>
              <w:top w:val="nil"/>
              <w:left w:val="nil"/>
              <w:bottom w:val="nil"/>
              <w:right w:val="nil"/>
            </w:tcBorders>
            <w:shd w:val="clear" w:color="FFFFFF" w:fill="FFFFFF"/>
            <w:noWrap/>
            <w:vAlign w:val="bottom"/>
            <w:hideMark/>
          </w:tcPr>
          <w:p w14:paraId="78978E56"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3,487</w:t>
            </w:r>
          </w:p>
        </w:tc>
        <w:tc>
          <w:tcPr>
            <w:tcW w:w="236" w:type="dxa"/>
            <w:tcBorders>
              <w:top w:val="nil"/>
              <w:left w:val="nil"/>
              <w:bottom w:val="nil"/>
              <w:right w:val="nil"/>
            </w:tcBorders>
            <w:shd w:val="clear" w:color="FFFFFF" w:fill="FFFFFF"/>
            <w:noWrap/>
            <w:vAlign w:val="bottom"/>
            <w:hideMark/>
          </w:tcPr>
          <w:p w14:paraId="693C7F1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50E37289"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2,488</w:t>
            </w:r>
          </w:p>
        </w:tc>
      </w:tr>
      <w:tr w:rsidR="0082424C" w:rsidRPr="007A3600" w14:paraId="14245B3F" w14:textId="77777777">
        <w:trPr>
          <w:trHeight w:val="253"/>
        </w:trPr>
        <w:tc>
          <w:tcPr>
            <w:tcW w:w="6376" w:type="dxa"/>
            <w:tcBorders>
              <w:top w:val="nil"/>
              <w:left w:val="nil"/>
              <w:bottom w:val="nil"/>
              <w:right w:val="nil"/>
            </w:tcBorders>
            <w:shd w:val="clear" w:color="FFFFFF" w:fill="FFFFFF"/>
            <w:noWrap/>
            <w:vAlign w:val="bottom"/>
            <w:hideMark/>
          </w:tcPr>
          <w:p w14:paraId="681AFDD0"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Provision for historical Scheme debt</w:t>
            </w:r>
          </w:p>
        </w:tc>
        <w:tc>
          <w:tcPr>
            <w:tcW w:w="1383" w:type="dxa"/>
            <w:tcBorders>
              <w:top w:val="nil"/>
              <w:left w:val="nil"/>
              <w:bottom w:val="nil"/>
              <w:right w:val="nil"/>
            </w:tcBorders>
            <w:shd w:val="clear" w:color="FFFFFF" w:fill="FFFFFF"/>
            <w:noWrap/>
            <w:vAlign w:val="bottom"/>
            <w:hideMark/>
          </w:tcPr>
          <w:p w14:paraId="6E880BD9"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6,295</w:t>
            </w:r>
          </w:p>
        </w:tc>
        <w:tc>
          <w:tcPr>
            <w:tcW w:w="236" w:type="dxa"/>
            <w:tcBorders>
              <w:top w:val="nil"/>
              <w:left w:val="nil"/>
              <w:bottom w:val="nil"/>
              <w:right w:val="nil"/>
            </w:tcBorders>
            <w:shd w:val="clear" w:color="FFFFFF" w:fill="FFFFFF"/>
            <w:noWrap/>
            <w:vAlign w:val="bottom"/>
            <w:hideMark/>
          </w:tcPr>
          <w:p w14:paraId="743B644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258255D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9,088</w:t>
            </w:r>
          </w:p>
        </w:tc>
      </w:tr>
      <w:tr w:rsidR="0082424C" w:rsidRPr="007A3600" w14:paraId="279564D0" w14:textId="77777777">
        <w:trPr>
          <w:trHeight w:val="253"/>
        </w:trPr>
        <w:tc>
          <w:tcPr>
            <w:tcW w:w="6376" w:type="dxa"/>
            <w:tcBorders>
              <w:top w:val="nil"/>
              <w:left w:val="nil"/>
              <w:bottom w:val="nil"/>
              <w:right w:val="nil"/>
            </w:tcBorders>
            <w:shd w:val="clear" w:color="FFFFFF" w:fill="FFFFFF"/>
            <w:vAlign w:val="bottom"/>
            <w:hideMark/>
          </w:tcPr>
          <w:p w14:paraId="51CD4B90"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no more than 12 months</w:t>
            </w:r>
          </w:p>
        </w:tc>
        <w:tc>
          <w:tcPr>
            <w:tcW w:w="1383" w:type="dxa"/>
            <w:tcBorders>
              <w:top w:val="single" w:sz="4" w:space="0" w:color="auto"/>
              <w:left w:val="nil"/>
              <w:bottom w:val="single" w:sz="4" w:space="0" w:color="auto"/>
              <w:right w:val="nil"/>
            </w:tcBorders>
            <w:shd w:val="clear" w:color="FFFFFF" w:fill="FFFFFF"/>
            <w:noWrap/>
            <w:vAlign w:val="bottom"/>
            <w:hideMark/>
          </w:tcPr>
          <w:p w14:paraId="4BD8BEAF"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3,888,191</w:t>
            </w:r>
          </w:p>
        </w:tc>
        <w:tc>
          <w:tcPr>
            <w:tcW w:w="236" w:type="dxa"/>
            <w:tcBorders>
              <w:top w:val="nil"/>
              <w:left w:val="nil"/>
              <w:bottom w:val="nil"/>
              <w:right w:val="nil"/>
            </w:tcBorders>
            <w:shd w:val="clear" w:color="FFFFFF" w:fill="FFFFFF"/>
            <w:noWrap/>
            <w:vAlign w:val="bottom"/>
            <w:hideMark/>
          </w:tcPr>
          <w:p w14:paraId="5518249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single" w:sz="4" w:space="0" w:color="auto"/>
              <w:left w:val="nil"/>
              <w:bottom w:val="single" w:sz="4" w:space="0" w:color="auto"/>
              <w:right w:val="nil"/>
            </w:tcBorders>
            <w:shd w:val="clear" w:color="FFFFFF" w:fill="FFFFFF"/>
            <w:noWrap/>
            <w:vAlign w:val="bottom"/>
            <w:hideMark/>
          </w:tcPr>
          <w:p w14:paraId="1A4015EA"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3,431,920</w:t>
            </w:r>
          </w:p>
        </w:tc>
      </w:tr>
      <w:tr w:rsidR="0082424C" w:rsidRPr="007A3600" w14:paraId="23E47E84" w14:textId="77777777">
        <w:trPr>
          <w:trHeight w:val="253"/>
        </w:trPr>
        <w:tc>
          <w:tcPr>
            <w:tcW w:w="6376" w:type="dxa"/>
            <w:tcBorders>
              <w:top w:val="nil"/>
              <w:left w:val="nil"/>
              <w:bottom w:val="nil"/>
              <w:right w:val="nil"/>
            </w:tcBorders>
            <w:shd w:val="clear" w:color="FFFFFF" w:fill="FFFFFF"/>
            <w:vAlign w:val="bottom"/>
            <w:hideMark/>
          </w:tcPr>
          <w:p w14:paraId="294938E2"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1383" w:type="dxa"/>
            <w:tcBorders>
              <w:top w:val="nil"/>
              <w:left w:val="nil"/>
              <w:bottom w:val="nil"/>
              <w:right w:val="nil"/>
            </w:tcBorders>
            <w:shd w:val="clear" w:color="FFFFFF" w:fill="FFFFFF"/>
            <w:vAlign w:val="bottom"/>
            <w:hideMark/>
          </w:tcPr>
          <w:p w14:paraId="79180E37"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2AE64533"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vAlign w:val="bottom"/>
            <w:hideMark/>
          </w:tcPr>
          <w:p w14:paraId="5EF97AAF"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68253DCB" w14:textId="77777777">
        <w:trPr>
          <w:trHeight w:val="253"/>
        </w:trPr>
        <w:tc>
          <w:tcPr>
            <w:tcW w:w="6376" w:type="dxa"/>
            <w:tcBorders>
              <w:top w:val="nil"/>
              <w:left w:val="nil"/>
              <w:bottom w:val="nil"/>
              <w:right w:val="nil"/>
            </w:tcBorders>
            <w:shd w:val="clear" w:color="FFFFFF" w:fill="FFFFFF"/>
            <w:vAlign w:val="bottom"/>
            <w:hideMark/>
          </w:tcPr>
          <w:p w14:paraId="0FD659DC"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More than 12 months</w:t>
            </w:r>
          </w:p>
        </w:tc>
        <w:tc>
          <w:tcPr>
            <w:tcW w:w="1383" w:type="dxa"/>
            <w:tcBorders>
              <w:top w:val="nil"/>
              <w:left w:val="nil"/>
              <w:bottom w:val="nil"/>
              <w:right w:val="nil"/>
            </w:tcBorders>
            <w:shd w:val="clear" w:color="FFFFFF" w:fill="FFFFFF"/>
            <w:vAlign w:val="bottom"/>
            <w:hideMark/>
          </w:tcPr>
          <w:p w14:paraId="2D420079"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c>
          <w:tcPr>
            <w:tcW w:w="236" w:type="dxa"/>
            <w:tcBorders>
              <w:top w:val="nil"/>
              <w:left w:val="nil"/>
              <w:bottom w:val="nil"/>
              <w:right w:val="nil"/>
            </w:tcBorders>
            <w:shd w:val="clear" w:color="FFFFFF" w:fill="FFFFFF"/>
            <w:noWrap/>
            <w:vAlign w:val="bottom"/>
            <w:hideMark/>
          </w:tcPr>
          <w:p w14:paraId="5818FA99"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vAlign w:val="bottom"/>
            <w:hideMark/>
          </w:tcPr>
          <w:p w14:paraId="515294D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 </w:t>
            </w:r>
          </w:p>
        </w:tc>
      </w:tr>
      <w:tr w:rsidR="0082424C" w:rsidRPr="007A3600" w14:paraId="18FC6444" w14:textId="77777777">
        <w:trPr>
          <w:trHeight w:val="253"/>
        </w:trPr>
        <w:tc>
          <w:tcPr>
            <w:tcW w:w="6376" w:type="dxa"/>
            <w:tcBorders>
              <w:top w:val="nil"/>
              <w:left w:val="nil"/>
              <w:bottom w:val="nil"/>
              <w:right w:val="nil"/>
            </w:tcBorders>
            <w:shd w:val="clear" w:color="FFFFFF" w:fill="FFFFFF"/>
            <w:noWrap/>
            <w:vAlign w:val="bottom"/>
            <w:hideMark/>
          </w:tcPr>
          <w:p w14:paraId="77C08356"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Leases</w:t>
            </w:r>
          </w:p>
        </w:tc>
        <w:tc>
          <w:tcPr>
            <w:tcW w:w="1383" w:type="dxa"/>
            <w:tcBorders>
              <w:top w:val="nil"/>
              <w:left w:val="nil"/>
              <w:bottom w:val="nil"/>
              <w:right w:val="nil"/>
            </w:tcBorders>
            <w:shd w:val="clear" w:color="FFFFFF" w:fill="FFFFFF"/>
            <w:noWrap/>
            <w:vAlign w:val="bottom"/>
            <w:hideMark/>
          </w:tcPr>
          <w:p w14:paraId="2F7B7E58"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119,107</w:t>
            </w:r>
          </w:p>
        </w:tc>
        <w:tc>
          <w:tcPr>
            <w:tcW w:w="236" w:type="dxa"/>
            <w:tcBorders>
              <w:top w:val="nil"/>
              <w:left w:val="nil"/>
              <w:bottom w:val="nil"/>
              <w:right w:val="nil"/>
            </w:tcBorders>
            <w:shd w:val="clear" w:color="FFFFFF" w:fill="FFFFFF"/>
            <w:noWrap/>
            <w:vAlign w:val="bottom"/>
            <w:hideMark/>
          </w:tcPr>
          <w:p w14:paraId="2FAAB270"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28C3C91"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135,832</w:t>
            </w:r>
          </w:p>
        </w:tc>
      </w:tr>
      <w:tr w:rsidR="0082424C" w:rsidRPr="007A3600" w14:paraId="17935088" w14:textId="77777777">
        <w:trPr>
          <w:trHeight w:val="253"/>
        </w:trPr>
        <w:tc>
          <w:tcPr>
            <w:tcW w:w="6376" w:type="dxa"/>
            <w:tcBorders>
              <w:top w:val="nil"/>
              <w:left w:val="nil"/>
              <w:bottom w:val="nil"/>
              <w:right w:val="nil"/>
            </w:tcBorders>
            <w:shd w:val="clear" w:color="FFFFFF" w:fill="FFFFFF"/>
            <w:noWrap/>
            <w:vAlign w:val="bottom"/>
            <w:hideMark/>
          </w:tcPr>
          <w:p w14:paraId="259F3329"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Employee provisions</w:t>
            </w:r>
          </w:p>
        </w:tc>
        <w:tc>
          <w:tcPr>
            <w:tcW w:w="1383" w:type="dxa"/>
            <w:tcBorders>
              <w:top w:val="nil"/>
              <w:left w:val="nil"/>
              <w:bottom w:val="nil"/>
              <w:right w:val="nil"/>
            </w:tcBorders>
            <w:shd w:val="clear" w:color="FFFFFF" w:fill="FFFFFF"/>
            <w:noWrap/>
            <w:vAlign w:val="bottom"/>
            <w:hideMark/>
          </w:tcPr>
          <w:p w14:paraId="677A770C"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126,462</w:t>
            </w:r>
          </w:p>
        </w:tc>
        <w:tc>
          <w:tcPr>
            <w:tcW w:w="236" w:type="dxa"/>
            <w:tcBorders>
              <w:top w:val="nil"/>
              <w:left w:val="nil"/>
              <w:bottom w:val="nil"/>
              <w:right w:val="nil"/>
            </w:tcBorders>
            <w:shd w:val="clear" w:color="FFFFFF" w:fill="FFFFFF"/>
            <w:noWrap/>
            <w:vAlign w:val="bottom"/>
            <w:hideMark/>
          </w:tcPr>
          <w:p w14:paraId="6035E85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0F1E46EB"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109,224</w:t>
            </w:r>
          </w:p>
        </w:tc>
      </w:tr>
      <w:tr w:rsidR="0082424C" w:rsidRPr="007A3600" w14:paraId="7E2B8F48" w14:textId="77777777">
        <w:trPr>
          <w:trHeight w:val="253"/>
        </w:trPr>
        <w:tc>
          <w:tcPr>
            <w:tcW w:w="6376" w:type="dxa"/>
            <w:tcBorders>
              <w:top w:val="nil"/>
              <w:left w:val="nil"/>
              <w:bottom w:val="nil"/>
              <w:right w:val="nil"/>
            </w:tcBorders>
            <w:shd w:val="clear" w:color="FFFFFF" w:fill="FFFFFF"/>
            <w:noWrap/>
            <w:vAlign w:val="bottom"/>
            <w:hideMark/>
          </w:tcPr>
          <w:p w14:paraId="09853CDD"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Participant plan provisions</w:t>
            </w:r>
          </w:p>
        </w:tc>
        <w:tc>
          <w:tcPr>
            <w:tcW w:w="1383" w:type="dxa"/>
            <w:tcBorders>
              <w:top w:val="nil"/>
              <w:left w:val="nil"/>
              <w:bottom w:val="nil"/>
              <w:right w:val="nil"/>
            </w:tcBorders>
            <w:shd w:val="clear" w:color="FFFFFF" w:fill="FFFFFF"/>
            <w:noWrap/>
            <w:vAlign w:val="bottom"/>
            <w:hideMark/>
          </w:tcPr>
          <w:p w14:paraId="577C9A63"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64,567</w:t>
            </w:r>
          </w:p>
        </w:tc>
        <w:tc>
          <w:tcPr>
            <w:tcW w:w="236" w:type="dxa"/>
            <w:tcBorders>
              <w:top w:val="nil"/>
              <w:left w:val="nil"/>
              <w:bottom w:val="nil"/>
              <w:right w:val="nil"/>
            </w:tcBorders>
            <w:shd w:val="clear" w:color="FFFFFF" w:fill="FFFFFF"/>
            <w:noWrap/>
            <w:vAlign w:val="bottom"/>
            <w:hideMark/>
          </w:tcPr>
          <w:p w14:paraId="623BB954"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2841C4E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67,714</w:t>
            </w:r>
          </w:p>
        </w:tc>
      </w:tr>
      <w:tr w:rsidR="0082424C" w:rsidRPr="007A3600" w14:paraId="4C95BF90" w14:textId="77777777">
        <w:trPr>
          <w:trHeight w:val="253"/>
        </w:trPr>
        <w:tc>
          <w:tcPr>
            <w:tcW w:w="6376" w:type="dxa"/>
            <w:tcBorders>
              <w:top w:val="nil"/>
              <w:left w:val="nil"/>
              <w:bottom w:val="nil"/>
              <w:right w:val="nil"/>
            </w:tcBorders>
            <w:shd w:val="clear" w:color="FFFFFF" w:fill="FFFFFF"/>
            <w:noWrap/>
            <w:vAlign w:val="bottom"/>
            <w:hideMark/>
          </w:tcPr>
          <w:p w14:paraId="6824B44A" w14:textId="77777777" w:rsidR="0082424C" w:rsidRPr="007A3600" w:rsidRDefault="0082424C" w:rsidP="00AD3197">
            <w:pPr>
              <w:spacing w:after="0" w:line="260" w:lineRule="atLeast"/>
              <w:ind w:firstLineChars="100" w:firstLine="180"/>
              <w:rPr>
                <w:rFonts w:eastAsia="Times New Roman" w:cs="Arial"/>
                <w:sz w:val="18"/>
                <w:szCs w:val="18"/>
                <w:lang w:eastAsia="en-US"/>
              </w:rPr>
            </w:pPr>
            <w:r w:rsidRPr="007A3600">
              <w:rPr>
                <w:rFonts w:eastAsia="Times New Roman" w:cs="Arial"/>
                <w:sz w:val="18"/>
                <w:szCs w:val="18"/>
                <w:lang w:eastAsia="en-US"/>
              </w:rPr>
              <w:t>Provision for restoration obligations</w:t>
            </w:r>
          </w:p>
        </w:tc>
        <w:tc>
          <w:tcPr>
            <w:tcW w:w="1383" w:type="dxa"/>
            <w:tcBorders>
              <w:top w:val="nil"/>
              <w:left w:val="nil"/>
              <w:bottom w:val="nil"/>
              <w:right w:val="nil"/>
            </w:tcBorders>
            <w:shd w:val="clear" w:color="FFFFFF" w:fill="FFFFFF"/>
            <w:noWrap/>
            <w:vAlign w:val="bottom"/>
            <w:hideMark/>
          </w:tcPr>
          <w:p w14:paraId="632573E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3,697</w:t>
            </w:r>
          </w:p>
        </w:tc>
        <w:tc>
          <w:tcPr>
            <w:tcW w:w="236" w:type="dxa"/>
            <w:tcBorders>
              <w:top w:val="nil"/>
              <w:left w:val="nil"/>
              <w:bottom w:val="nil"/>
              <w:right w:val="nil"/>
            </w:tcBorders>
            <w:shd w:val="clear" w:color="FFFFFF" w:fill="FFFFFF"/>
            <w:noWrap/>
            <w:vAlign w:val="bottom"/>
            <w:hideMark/>
          </w:tcPr>
          <w:p w14:paraId="2EDBD915"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nil"/>
              <w:right w:val="nil"/>
            </w:tcBorders>
            <w:shd w:val="clear" w:color="FFFFFF" w:fill="FFFFFF"/>
            <w:noWrap/>
            <w:vAlign w:val="bottom"/>
            <w:hideMark/>
          </w:tcPr>
          <w:p w14:paraId="4323B9A5"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4,979</w:t>
            </w:r>
          </w:p>
        </w:tc>
      </w:tr>
      <w:tr w:rsidR="0082424C" w:rsidRPr="007A3600" w14:paraId="3A4790AB" w14:textId="77777777">
        <w:trPr>
          <w:trHeight w:val="253"/>
        </w:trPr>
        <w:tc>
          <w:tcPr>
            <w:tcW w:w="6376" w:type="dxa"/>
            <w:tcBorders>
              <w:top w:val="nil"/>
              <w:left w:val="nil"/>
              <w:bottom w:val="nil"/>
              <w:right w:val="nil"/>
            </w:tcBorders>
            <w:shd w:val="clear" w:color="FFFFFF" w:fill="FFFFFF"/>
            <w:vAlign w:val="bottom"/>
            <w:hideMark/>
          </w:tcPr>
          <w:p w14:paraId="27E2E23D"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more than 12 months</w:t>
            </w:r>
          </w:p>
        </w:tc>
        <w:tc>
          <w:tcPr>
            <w:tcW w:w="1383" w:type="dxa"/>
            <w:tcBorders>
              <w:top w:val="single" w:sz="4" w:space="0" w:color="auto"/>
              <w:left w:val="nil"/>
              <w:bottom w:val="single" w:sz="4" w:space="0" w:color="auto"/>
              <w:right w:val="nil"/>
            </w:tcBorders>
            <w:shd w:val="clear" w:color="FFFFFF" w:fill="FFFFFF"/>
            <w:noWrap/>
            <w:vAlign w:val="bottom"/>
            <w:hideMark/>
          </w:tcPr>
          <w:p w14:paraId="460DF95A"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313,833</w:t>
            </w:r>
          </w:p>
        </w:tc>
        <w:tc>
          <w:tcPr>
            <w:tcW w:w="236" w:type="dxa"/>
            <w:tcBorders>
              <w:top w:val="nil"/>
              <w:left w:val="nil"/>
              <w:bottom w:val="nil"/>
              <w:right w:val="nil"/>
            </w:tcBorders>
            <w:shd w:val="clear" w:color="FFFFFF" w:fill="FFFFFF"/>
            <w:noWrap/>
            <w:vAlign w:val="bottom"/>
            <w:hideMark/>
          </w:tcPr>
          <w:p w14:paraId="2123DE91"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single" w:sz="4" w:space="0" w:color="auto"/>
              <w:left w:val="nil"/>
              <w:bottom w:val="single" w:sz="4" w:space="0" w:color="auto"/>
              <w:right w:val="nil"/>
            </w:tcBorders>
            <w:shd w:val="clear" w:color="FFFFFF" w:fill="FFFFFF"/>
            <w:noWrap/>
            <w:vAlign w:val="bottom"/>
            <w:hideMark/>
          </w:tcPr>
          <w:p w14:paraId="781E3797"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317,749</w:t>
            </w:r>
          </w:p>
        </w:tc>
      </w:tr>
      <w:tr w:rsidR="0082424C" w:rsidRPr="007A3600" w14:paraId="535D907B" w14:textId="77777777">
        <w:trPr>
          <w:trHeight w:val="253"/>
        </w:trPr>
        <w:tc>
          <w:tcPr>
            <w:tcW w:w="6376" w:type="dxa"/>
            <w:tcBorders>
              <w:top w:val="nil"/>
              <w:left w:val="nil"/>
              <w:bottom w:val="nil"/>
              <w:right w:val="nil"/>
            </w:tcBorders>
            <w:shd w:val="clear" w:color="FFFFFF" w:fill="FFFFFF"/>
            <w:vAlign w:val="bottom"/>
            <w:hideMark/>
          </w:tcPr>
          <w:p w14:paraId="6685D0DA" w14:textId="77777777" w:rsidR="0082424C" w:rsidRPr="007A3600" w:rsidRDefault="0082424C" w:rsidP="00AD3197">
            <w:pPr>
              <w:spacing w:after="0" w:line="260" w:lineRule="atLeast"/>
              <w:rPr>
                <w:rFonts w:eastAsia="Times New Roman" w:cs="Arial"/>
                <w:b/>
                <w:bCs/>
                <w:sz w:val="18"/>
                <w:szCs w:val="18"/>
                <w:lang w:eastAsia="en-US"/>
              </w:rPr>
            </w:pPr>
            <w:r w:rsidRPr="007A3600">
              <w:rPr>
                <w:rFonts w:eastAsia="Times New Roman" w:cs="Arial"/>
                <w:b/>
                <w:bCs/>
                <w:sz w:val="18"/>
                <w:szCs w:val="18"/>
                <w:lang w:eastAsia="en-US"/>
              </w:rPr>
              <w:t>Total liabilities</w:t>
            </w:r>
          </w:p>
        </w:tc>
        <w:tc>
          <w:tcPr>
            <w:tcW w:w="1383" w:type="dxa"/>
            <w:tcBorders>
              <w:top w:val="nil"/>
              <w:left w:val="nil"/>
              <w:bottom w:val="single" w:sz="4" w:space="0" w:color="auto"/>
              <w:right w:val="nil"/>
            </w:tcBorders>
            <w:shd w:val="clear" w:color="FFFFFF" w:fill="FFFFFF"/>
            <w:noWrap/>
            <w:vAlign w:val="bottom"/>
            <w:hideMark/>
          </w:tcPr>
          <w:p w14:paraId="36AA2824" w14:textId="77777777" w:rsidR="0082424C" w:rsidRPr="007A3600" w:rsidRDefault="0082424C" w:rsidP="00AD3197">
            <w:pPr>
              <w:spacing w:after="0" w:line="260" w:lineRule="atLeast"/>
              <w:jc w:val="right"/>
              <w:rPr>
                <w:rFonts w:eastAsia="Times New Roman" w:cs="Arial"/>
                <w:b/>
                <w:bCs/>
                <w:sz w:val="18"/>
                <w:szCs w:val="18"/>
                <w:lang w:eastAsia="en-US"/>
              </w:rPr>
            </w:pPr>
            <w:r w:rsidRPr="007A3600">
              <w:rPr>
                <w:rFonts w:eastAsia="Times New Roman" w:cs="Arial"/>
                <w:b/>
                <w:bCs/>
                <w:sz w:val="18"/>
                <w:szCs w:val="18"/>
                <w:lang w:eastAsia="en-US"/>
              </w:rPr>
              <w:t>4,202,024</w:t>
            </w:r>
          </w:p>
        </w:tc>
        <w:tc>
          <w:tcPr>
            <w:tcW w:w="236" w:type="dxa"/>
            <w:tcBorders>
              <w:top w:val="nil"/>
              <w:left w:val="nil"/>
              <w:bottom w:val="nil"/>
              <w:right w:val="nil"/>
            </w:tcBorders>
            <w:shd w:val="clear" w:color="FFFFFF" w:fill="FFFFFF"/>
            <w:noWrap/>
            <w:vAlign w:val="bottom"/>
            <w:hideMark/>
          </w:tcPr>
          <w:p w14:paraId="38D2CAF7" w14:textId="77777777" w:rsidR="0082424C" w:rsidRPr="007A3600" w:rsidRDefault="0082424C" w:rsidP="00AD3197">
            <w:pPr>
              <w:spacing w:after="0" w:line="260" w:lineRule="atLeast"/>
              <w:rPr>
                <w:rFonts w:eastAsia="Times New Roman" w:cs="Arial"/>
                <w:sz w:val="18"/>
                <w:szCs w:val="18"/>
                <w:lang w:eastAsia="en-US"/>
              </w:rPr>
            </w:pPr>
            <w:r w:rsidRPr="007A3600">
              <w:rPr>
                <w:rFonts w:eastAsia="Times New Roman" w:cs="Arial"/>
                <w:sz w:val="18"/>
                <w:szCs w:val="18"/>
                <w:lang w:eastAsia="en-US"/>
              </w:rPr>
              <w:t> </w:t>
            </w:r>
          </w:p>
        </w:tc>
        <w:tc>
          <w:tcPr>
            <w:tcW w:w="1092" w:type="dxa"/>
            <w:tcBorders>
              <w:top w:val="nil"/>
              <w:left w:val="nil"/>
              <w:bottom w:val="single" w:sz="4" w:space="0" w:color="auto"/>
              <w:right w:val="nil"/>
            </w:tcBorders>
            <w:shd w:val="clear" w:color="FFFFFF" w:fill="FFFFFF"/>
            <w:noWrap/>
            <w:vAlign w:val="bottom"/>
            <w:hideMark/>
          </w:tcPr>
          <w:p w14:paraId="09C13010" w14:textId="77777777" w:rsidR="0082424C" w:rsidRPr="007A3600" w:rsidRDefault="0082424C" w:rsidP="00AD3197">
            <w:pPr>
              <w:spacing w:after="0" w:line="260" w:lineRule="atLeast"/>
              <w:jc w:val="right"/>
              <w:rPr>
                <w:rFonts w:eastAsia="Times New Roman" w:cs="Arial"/>
                <w:sz w:val="18"/>
                <w:szCs w:val="18"/>
                <w:lang w:eastAsia="en-US"/>
              </w:rPr>
            </w:pPr>
            <w:r w:rsidRPr="007A3600">
              <w:rPr>
                <w:rFonts w:eastAsia="Times New Roman" w:cs="Arial"/>
                <w:sz w:val="18"/>
                <w:szCs w:val="18"/>
                <w:lang w:eastAsia="en-US"/>
              </w:rPr>
              <w:t>3,749,669</w:t>
            </w:r>
          </w:p>
        </w:tc>
      </w:tr>
    </w:tbl>
    <w:p w14:paraId="477CA124" w14:textId="77777777" w:rsidR="0082424C" w:rsidRPr="007A3600" w:rsidRDefault="0082424C" w:rsidP="00AD3197"/>
    <w:p w14:paraId="133EAF7B" w14:textId="77777777" w:rsidR="0082424C" w:rsidRPr="007A3600" w:rsidRDefault="0082424C" w:rsidP="00AD3197">
      <w:pPr>
        <w:sectPr w:rsidR="0082424C" w:rsidRPr="007A3600" w:rsidSect="00650C5C">
          <w:headerReference w:type="even" r:id="rId145"/>
          <w:headerReference w:type="default" r:id="rId146"/>
          <w:headerReference w:type="first" r:id="rId147"/>
          <w:footerReference w:type="first" r:id="rId148"/>
          <w:pgSz w:w="11906" w:h="16838" w:code="9"/>
          <w:pgMar w:top="1134" w:right="1701" w:bottom="1134" w:left="1134" w:header="561" w:footer="374" w:gutter="0"/>
          <w:cols w:space="708"/>
          <w:titlePg/>
          <w:docGrid w:linePitch="360"/>
        </w:sectPr>
      </w:pPr>
    </w:p>
    <w:p w14:paraId="33F3673D" w14:textId="5271C220" w:rsidR="001B0DE9" w:rsidRPr="007A3600" w:rsidRDefault="00894F10" w:rsidP="00513011">
      <w:pPr>
        <w:pStyle w:val="Heading2"/>
      </w:pPr>
      <w:bookmarkStart w:id="248" w:name="_Toc209695866"/>
      <w:r w:rsidRPr="007A3600">
        <w:lastRenderedPageBreak/>
        <w:t xml:space="preserve">Section </w:t>
      </w:r>
      <w:r w:rsidR="00924091" w:rsidRPr="007A3600">
        <w:t>8</w:t>
      </w:r>
      <w:r w:rsidRPr="007A3600">
        <w:t>: Appendices</w:t>
      </w:r>
      <w:bookmarkEnd w:id="145"/>
      <w:bookmarkEnd w:id="248"/>
    </w:p>
    <w:p w14:paraId="028F2B09" w14:textId="77777777" w:rsidR="004B6102" w:rsidRPr="007A3600" w:rsidRDefault="004B6102" w:rsidP="00AD3197">
      <w:pPr>
        <w:pStyle w:val="Caption"/>
        <w:sectPr w:rsidR="004B6102" w:rsidRPr="007A3600" w:rsidSect="004B6102">
          <w:headerReference w:type="even" r:id="rId149"/>
          <w:headerReference w:type="default" r:id="rId150"/>
          <w:headerReference w:type="first" r:id="rId151"/>
          <w:pgSz w:w="11906" w:h="16838" w:code="9"/>
          <w:pgMar w:top="142" w:right="1440" w:bottom="1701" w:left="1440" w:header="561" w:footer="374" w:gutter="0"/>
          <w:cols w:space="708"/>
          <w:titlePg/>
          <w:docGrid w:linePitch="360"/>
        </w:sectPr>
      </w:pPr>
    </w:p>
    <w:p w14:paraId="31335EEA" w14:textId="24E9430F" w:rsidR="004B6102" w:rsidRPr="007A3600" w:rsidRDefault="00924091" w:rsidP="00AD3197">
      <w:pPr>
        <w:pStyle w:val="Heading3"/>
      </w:pPr>
      <w:bookmarkStart w:id="249" w:name="_8.1_Accountable_authority"/>
      <w:bookmarkStart w:id="250" w:name="_Toc207017742"/>
      <w:bookmarkStart w:id="251" w:name="_Toc209695867"/>
      <w:bookmarkEnd w:id="249"/>
      <w:r w:rsidRPr="007A3600">
        <w:lastRenderedPageBreak/>
        <w:t>8</w:t>
      </w:r>
      <w:r w:rsidR="004B6102" w:rsidRPr="007A3600">
        <w:t>.1</w:t>
      </w:r>
      <w:r w:rsidR="004B6102" w:rsidRPr="007A3600">
        <w:tab/>
        <w:t>Accountable authority</w:t>
      </w:r>
      <w:bookmarkEnd w:id="250"/>
      <w:bookmarkEnd w:id="251"/>
    </w:p>
    <w:p w14:paraId="4972B0D7" w14:textId="1E64D84A" w:rsidR="004B6102" w:rsidRPr="007A3600" w:rsidRDefault="004B6102" w:rsidP="00AD3197">
      <w:pPr>
        <w:pStyle w:val="Caption"/>
      </w:pPr>
      <w:r w:rsidRPr="007A3600">
        <w:t xml:space="preserve">Table </w:t>
      </w:r>
      <w:r w:rsidR="0016259E" w:rsidRPr="007A3600">
        <w:t>10</w:t>
      </w:r>
      <w:r w:rsidRPr="007A3600">
        <w:t>: Details of accountable authority during the reporting period (2024–25)</w:t>
      </w:r>
    </w:p>
    <w:tbl>
      <w:tblPr>
        <w:tblStyle w:val="NDISTable1"/>
        <w:tblpPr w:leftFromText="180" w:rightFromText="180" w:vertAnchor="text" w:tblpY="1"/>
        <w:tblW w:w="13956" w:type="dxa"/>
        <w:tblLayout w:type="fixed"/>
        <w:tblCellMar>
          <w:left w:w="57" w:type="dxa"/>
          <w:right w:w="57" w:type="dxa"/>
        </w:tblCellMar>
        <w:tblLook w:val="0420" w:firstRow="1" w:lastRow="0" w:firstColumn="0" w:lastColumn="0" w:noHBand="0" w:noVBand="1"/>
      </w:tblPr>
      <w:tblGrid>
        <w:gridCol w:w="1581"/>
        <w:gridCol w:w="1807"/>
        <w:gridCol w:w="5254"/>
        <w:gridCol w:w="1526"/>
        <w:gridCol w:w="1247"/>
        <w:gridCol w:w="1247"/>
        <w:gridCol w:w="1294"/>
      </w:tblGrid>
      <w:tr w:rsidR="00230C97" w:rsidRPr="007A3600" w14:paraId="3751B2FA" w14:textId="77777777" w:rsidTr="00230C97">
        <w:trPr>
          <w:cnfStyle w:val="100000000000" w:firstRow="1" w:lastRow="0" w:firstColumn="0" w:lastColumn="0" w:oddVBand="0" w:evenVBand="0" w:oddHBand="0" w:evenHBand="0" w:firstRowFirstColumn="0" w:firstRowLastColumn="0" w:lastRowFirstColumn="0" w:lastRowLastColumn="0"/>
          <w:trHeight w:val="4252"/>
        </w:trPr>
        <w:tc>
          <w:tcPr>
            <w:tcW w:w="1581" w:type="dxa"/>
            <w:textDirection w:val="tbRl"/>
          </w:tcPr>
          <w:p w14:paraId="4FF70744" w14:textId="77777777" w:rsidR="004B6102" w:rsidRPr="007A3600" w:rsidRDefault="004B6102" w:rsidP="002E3FE0">
            <w:pPr>
              <w:widowControl w:val="0"/>
              <w:autoSpaceDE w:val="0"/>
              <w:autoSpaceDN w:val="0"/>
              <w:spacing w:after="0" w:line="240" w:lineRule="auto"/>
              <w:ind w:left="113" w:right="113"/>
              <w:rPr>
                <w:rFonts w:eastAsia="Calibri" w:cs="Arial"/>
                <w:lang w:val="en-US" w:eastAsia="en-US"/>
              </w:rPr>
            </w:pPr>
            <w:r w:rsidRPr="007A3600">
              <w:rPr>
                <w:rFonts w:eastAsia="Calibri" w:cs="Arial"/>
                <w:lang w:val="en-US" w:eastAsia="en-US"/>
              </w:rPr>
              <w:t>Name</w:t>
            </w:r>
          </w:p>
        </w:tc>
        <w:tc>
          <w:tcPr>
            <w:tcW w:w="1807" w:type="dxa"/>
            <w:textDirection w:val="tbRl"/>
          </w:tcPr>
          <w:p w14:paraId="52DEA068" w14:textId="77777777" w:rsidR="004B6102" w:rsidRPr="007A3600" w:rsidRDefault="004B6102" w:rsidP="002E3FE0">
            <w:pPr>
              <w:widowControl w:val="0"/>
              <w:autoSpaceDE w:val="0"/>
              <w:autoSpaceDN w:val="0"/>
              <w:spacing w:after="0" w:line="240" w:lineRule="auto"/>
              <w:ind w:left="113" w:right="113"/>
              <w:rPr>
                <w:rFonts w:eastAsia="Calibri" w:cs="Arial"/>
                <w:lang w:eastAsia="en-US"/>
              </w:rPr>
            </w:pPr>
            <w:r w:rsidRPr="007A3600">
              <w:rPr>
                <w:rFonts w:eastAsia="Calibri" w:cs="Arial"/>
                <w:spacing w:val="-1"/>
                <w:lang w:val="en-US" w:eastAsia="en-US"/>
              </w:rPr>
              <w:t>Qualifications</w:t>
            </w:r>
            <w:r w:rsidRPr="007A3600">
              <w:rPr>
                <w:rFonts w:eastAsia="Calibri" w:cs="Arial"/>
                <w:spacing w:val="-43"/>
                <w:lang w:val="en-US" w:eastAsia="en-US"/>
              </w:rPr>
              <w:t xml:space="preserve"> </w:t>
            </w:r>
            <w:r w:rsidRPr="007A3600">
              <w:rPr>
                <w:rFonts w:eastAsia="Calibri" w:cs="Arial"/>
                <w:lang w:val="en-US" w:eastAsia="en-US"/>
              </w:rPr>
              <w:t>of the</w:t>
            </w:r>
            <w:r w:rsidRPr="007A3600">
              <w:rPr>
                <w:rFonts w:eastAsia="Calibri" w:cs="Arial"/>
                <w:spacing w:val="1"/>
                <w:lang w:val="en-US" w:eastAsia="en-US"/>
              </w:rPr>
              <w:t xml:space="preserve"> </w:t>
            </w:r>
            <w:r w:rsidRPr="007A3600">
              <w:rPr>
                <w:rFonts w:eastAsia="Calibri" w:cs="Arial"/>
                <w:lang w:val="en-US" w:eastAsia="en-US"/>
              </w:rPr>
              <w:t>accountable</w:t>
            </w:r>
            <w:r w:rsidRPr="007A3600">
              <w:rPr>
                <w:rFonts w:eastAsia="Calibri" w:cs="Arial"/>
                <w:spacing w:val="1"/>
                <w:lang w:val="en-US" w:eastAsia="en-US"/>
              </w:rPr>
              <w:t xml:space="preserve"> </w:t>
            </w:r>
            <w:r w:rsidRPr="007A3600">
              <w:rPr>
                <w:rFonts w:eastAsia="Calibri" w:cs="Arial"/>
                <w:lang w:val="en-US" w:eastAsia="en-US"/>
              </w:rPr>
              <w:t>authority</w:t>
            </w:r>
          </w:p>
        </w:tc>
        <w:tc>
          <w:tcPr>
            <w:tcW w:w="5254" w:type="dxa"/>
            <w:textDirection w:val="tbRl"/>
          </w:tcPr>
          <w:p w14:paraId="41BC946A" w14:textId="77777777" w:rsidR="004B6102" w:rsidRPr="007A3600" w:rsidRDefault="004B6102" w:rsidP="002E3FE0">
            <w:pPr>
              <w:pStyle w:val="Tablebullet"/>
              <w:numPr>
                <w:ilvl w:val="0"/>
                <w:numId w:val="0"/>
              </w:numPr>
              <w:ind w:left="113" w:right="113"/>
              <w:rPr>
                <w:rFonts w:eastAsia="Calibri" w:cs="Arial"/>
              </w:rPr>
            </w:pPr>
            <w:r w:rsidRPr="007A3600">
              <w:rPr>
                <w:rFonts w:eastAsia="Calibri" w:cs="Arial"/>
                <w:lang w:val="en-US" w:eastAsia="en-US"/>
              </w:rPr>
              <w:t>Experience</w:t>
            </w:r>
            <w:r w:rsidRPr="007A3600">
              <w:rPr>
                <w:rFonts w:eastAsia="Calibri" w:cs="Arial"/>
                <w:spacing w:val="1"/>
                <w:lang w:val="en-US" w:eastAsia="en-US"/>
              </w:rPr>
              <w:t xml:space="preserve"> </w:t>
            </w:r>
            <w:r w:rsidRPr="007A3600">
              <w:rPr>
                <w:rFonts w:eastAsia="Calibri" w:cs="Arial"/>
                <w:lang w:val="en-US" w:eastAsia="en-US"/>
              </w:rPr>
              <w:t>of the</w:t>
            </w:r>
            <w:r w:rsidRPr="007A3600">
              <w:rPr>
                <w:rFonts w:eastAsia="Calibri" w:cs="Arial"/>
                <w:spacing w:val="1"/>
                <w:lang w:val="en-US" w:eastAsia="en-US"/>
              </w:rPr>
              <w:t xml:space="preserve"> </w:t>
            </w:r>
            <w:r w:rsidRPr="007A3600">
              <w:rPr>
                <w:rFonts w:eastAsia="Calibri" w:cs="Arial"/>
                <w:lang w:val="en-US" w:eastAsia="en-US"/>
              </w:rPr>
              <w:t>accountable</w:t>
            </w:r>
            <w:r w:rsidRPr="007A3600">
              <w:rPr>
                <w:rFonts w:eastAsia="Calibri" w:cs="Arial"/>
                <w:spacing w:val="-43"/>
                <w:lang w:val="en-US" w:eastAsia="en-US"/>
              </w:rPr>
              <w:t xml:space="preserve"> </w:t>
            </w:r>
            <w:r w:rsidRPr="007A3600">
              <w:rPr>
                <w:rFonts w:eastAsia="Calibri" w:cs="Arial"/>
                <w:lang w:val="en-US" w:eastAsia="en-US"/>
              </w:rPr>
              <w:t>authority</w:t>
            </w:r>
          </w:p>
        </w:tc>
        <w:tc>
          <w:tcPr>
            <w:tcW w:w="1526" w:type="dxa"/>
            <w:textDirection w:val="tbRl"/>
          </w:tcPr>
          <w:p w14:paraId="7A969027" w14:textId="77777777" w:rsidR="004B6102" w:rsidRPr="007A3600" w:rsidRDefault="004B6102" w:rsidP="002E3FE0">
            <w:pPr>
              <w:widowControl w:val="0"/>
              <w:autoSpaceDE w:val="0"/>
              <w:autoSpaceDN w:val="0"/>
              <w:spacing w:after="0" w:line="240" w:lineRule="auto"/>
              <w:ind w:left="113" w:right="113"/>
              <w:rPr>
                <w:rFonts w:eastAsia="Calibri" w:cs="Arial"/>
                <w:lang w:eastAsia="en-US"/>
              </w:rPr>
            </w:pPr>
            <w:r w:rsidRPr="007A3600">
              <w:rPr>
                <w:rFonts w:eastAsia="Calibri" w:cs="Arial"/>
                <w:lang w:val="en-US" w:eastAsia="en-US"/>
              </w:rPr>
              <w:t>Position Title /</w:t>
            </w:r>
            <w:r w:rsidRPr="007A3600">
              <w:rPr>
                <w:rFonts w:eastAsia="Calibri" w:cs="Arial"/>
                <w:spacing w:val="-43"/>
                <w:lang w:val="en-US" w:eastAsia="en-US"/>
              </w:rPr>
              <w:t xml:space="preserve">  </w:t>
            </w:r>
            <w:r w:rsidRPr="007A3600">
              <w:rPr>
                <w:rFonts w:eastAsia="Calibri" w:cs="Arial"/>
                <w:lang w:val="en-US" w:eastAsia="en-US"/>
              </w:rPr>
              <w:t>Position held</w:t>
            </w:r>
            <w:r w:rsidRPr="007A3600">
              <w:rPr>
                <w:rFonts w:eastAsia="Calibri" w:cs="Arial"/>
                <w:spacing w:val="1"/>
                <w:lang w:val="en-US" w:eastAsia="en-US"/>
              </w:rPr>
              <w:t xml:space="preserve"> </w:t>
            </w:r>
            <w:r w:rsidRPr="007A3600">
              <w:rPr>
                <w:rFonts w:eastAsia="Calibri" w:cs="Arial"/>
                <w:lang w:val="en-US" w:eastAsia="en-US"/>
              </w:rPr>
              <w:t>Executive /</w:t>
            </w:r>
            <w:r w:rsidRPr="007A3600">
              <w:rPr>
                <w:rFonts w:eastAsia="Calibri" w:cs="Arial"/>
                <w:spacing w:val="1"/>
                <w:lang w:val="en-US" w:eastAsia="en-US"/>
              </w:rPr>
              <w:t xml:space="preserve"> </w:t>
            </w:r>
            <w:r w:rsidRPr="007A3600">
              <w:rPr>
                <w:rFonts w:eastAsia="Calibri" w:cs="Arial"/>
                <w:lang w:val="en-US" w:eastAsia="en-US"/>
              </w:rPr>
              <w:t>Non</w:t>
            </w:r>
            <w:r w:rsidRPr="007A3600">
              <w:rPr>
                <w:rFonts w:ascii="Cambria Math" w:eastAsia="Calibri" w:hAnsi="Cambria Math" w:cs="Cambria Math"/>
                <w:lang w:val="en-US" w:eastAsia="en-US"/>
              </w:rPr>
              <w:t>‐</w:t>
            </w:r>
            <w:r w:rsidRPr="007A3600">
              <w:rPr>
                <w:rFonts w:eastAsia="Calibri" w:cs="Arial"/>
                <w:lang w:val="en-US" w:eastAsia="en-US"/>
              </w:rPr>
              <w:t>executive</w:t>
            </w:r>
          </w:p>
        </w:tc>
        <w:tc>
          <w:tcPr>
            <w:tcW w:w="1247" w:type="dxa"/>
            <w:textDirection w:val="tbRl"/>
          </w:tcPr>
          <w:p w14:paraId="7D252CB6" w14:textId="1DB21190" w:rsidR="004B6102" w:rsidRPr="007A3600" w:rsidRDefault="004B6102" w:rsidP="009F6F4D">
            <w:pPr>
              <w:widowControl w:val="0"/>
              <w:autoSpaceDE w:val="0"/>
              <w:autoSpaceDN w:val="0"/>
              <w:spacing w:before="1" w:after="0" w:line="240" w:lineRule="auto"/>
              <w:ind w:left="113" w:right="113"/>
              <w:rPr>
                <w:rFonts w:eastAsia="Calibri" w:cs="Arial"/>
                <w:lang w:eastAsia="en-US"/>
              </w:rPr>
            </w:pPr>
            <w:r w:rsidRPr="007A3600">
              <w:rPr>
                <w:rFonts w:eastAsia="Calibri" w:cs="Arial"/>
                <w:lang w:val="en-US" w:eastAsia="en-US"/>
              </w:rPr>
              <w:t>Period as the accountable authorit</w:t>
            </w:r>
            <w:r w:rsidR="00AE0F71">
              <w:rPr>
                <w:rFonts w:eastAsia="Calibri" w:cs="Arial"/>
                <w:lang w:val="en-US" w:eastAsia="en-US"/>
              </w:rPr>
              <w:t>y</w:t>
            </w:r>
            <w:r w:rsidR="00137528">
              <w:rPr>
                <w:rFonts w:eastAsia="Calibri" w:cs="Arial"/>
                <w:lang w:val="en-US" w:eastAsia="en-US"/>
              </w:rPr>
              <w:t xml:space="preserve"> o</w:t>
            </w:r>
            <w:r w:rsidRPr="007A3600">
              <w:rPr>
                <w:rFonts w:eastAsia="Calibri" w:cs="Arial"/>
                <w:lang w:val="en-US" w:eastAsia="en-US"/>
              </w:rPr>
              <w:t>r member within the reporting</w:t>
            </w:r>
            <w:r w:rsidRPr="007A3600">
              <w:rPr>
                <w:rFonts w:eastAsia="Calibri" w:cs="Arial"/>
                <w:spacing w:val="1"/>
                <w:lang w:val="en-US" w:eastAsia="en-US"/>
              </w:rPr>
              <w:t xml:space="preserve"> </w:t>
            </w:r>
            <w:r w:rsidRPr="007A3600">
              <w:rPr>
                <w:rFonts w:eastAsia="Calibri" w:cs="Arial"/>
                <w:lang w:val="en-US" w:eastAsia="en-US"/>
              </w:rPr>
              <w:t>period</w:t>
            </w:r>
            <w:r w:rsidRPr="007A3600">
              <w:rPr>
                <w:rFonts w:eastAsia="Calibri" w:cs="Arial"/>
                <w:lang w:val="en-US" w:eastAsia="en-US"/>
              </w:rPr>
              <w:br/>
              <w:t xml:space="preserve">Start Date </w:t>
            </w:r>
            <w:r w:rsidRPr="007A3600">
              <w:rPr>
                <w:rFonts w:eastAsia="Arial" w:cs="Arial"/>
                <w:lang w:val="en-US" w:eastAsia="en-US"/>
              </w:rPr>
              <w:t>(1 July 2024 or after)</w:t>
            </w:r>
          </w:p>
        </w:tc>
        <w:tc>
          <w:tcPr>
            <w:tcW w:w="1247" w:type="dxa"/>
            <w:textDirection w:val="tbRl"/>
          </w:tcPr>
          <w:p w14:paraId="16314EC3" w14:textId="05EC5F62" w:rsidR="004B6102" w:rsidRPr="007A3600" w:rsidRDefault="004B6102" w:rsidP="009F6F4D">
            <w:pPr>
              <w:widowControl w:val="0"/>
              <w:autoSpaceDE w:val="0"/>
              <w:autoSpaceDN w:val="0"/>
              <w:spacing w:before="1" w:after="0" w:line="240" w:lineRule="auto"/>
              <w:ind w:left="113" w:right="113"/>
              <w:rPr>
                <w:rFonts w:eastAsia="Calibri" w:cs="Arial"/>
                <w:lang w:val="en-US" w:eastAsia="en-US"/>
              </w:rPr>
            </w:pPr>
            <w:r w:rsidRPr="007A3600">
              <w:rPr>
                <w:rFonts w:eastAsia="Calibri" w:cs="Arial"/>
                <w:lang w:val="en-US" w:eastAsia="en-US"/>
              </w:rPr>
              <w:t>Period as the accountable authority</w:t>
            </w:r>
            <w:r w:rsidR="00137528">
              <w:rPr>
                <w:rFonts w:eastAsia="Calibri" w:cs="Arial"/>
                <w:lang w:val="en-US" w:eastAsia="en-US"/>
              </w:rPr>
              <w:t xml:space="preserve"> </w:t>
            </w:r>
            <w:r w:rsidRPr="007A3600">
              <w:rPr>
                <w:rFonts w:eastAsia="Calibri" w:cs="Arial"/>
                <w:lang w:val="en-US" w:eastAsia="en-US"/>
              </w:rPr>
              <w:t>or member within the reporting</w:t>
            </w:r>
            <w:r w:rsidRPr="007A3600">
              <w:rPr>
                <w:rFonts w:eastAsia="Calibri" w:cs="Arial"/>
                <w:spacing w:val="1"/>
                <w:lang w:val="en-US" w:eastAsia="en-US"/>
              </w:rPr>
              <w:t xml:space="preserve"> </w:t>
            </w:r>
            <w:r w:rsidRPr="007A3600">
              <w:rPr>
                <w:rFonts w:eastAsia="Calibri" w:cs="Arial"/>
                <w:lang w:val="en-US" w:eastAsia="en-US"/>
              </w:rPr>
              <w:t xml:space="preserve">period </w:t>
            </w:r>
            <w:r w:rsidRPr="007A3600">
              <w:rPr>
                <w:rFonts w:eastAsia="Calibri" w:cs="Arial"/>
                <w:lang w:val="en-US" w:eastAsia="en-US"/>
              </w:rPr>
              <w:br/>
              <w:t xml:space="preserve">End date </w:t>
            </w:r>
            <w:r w:rsidRPr="007A3600">
              <w:rPr>
                <w:rFonts w:eastAsia="Arial" w:cs="Arial"/>
                <w:lang w:val="en-US" w:eastAsia="en-US"/>
              </w:rPr>
              <w:t>(30 June 2025 or before)</w:t>
            </w:r>
          </w:p>
        </w:tc>
        <w:tc>
          <w:tcPr>
            <w:tcW w:w="1294" w:type="dxa"/>
            <w:textDirection w:val="tbRl"/>
          </w:tcPr>
          <w:p w14:paraId="7CA74010" w14:textId="453989B8" w:rsidR="004B6102" w:rsidRPr="007A3600" w:rsidRDefault="004B6102" w:rsidP="002E3FE0">
            <w:pPr>
              <w:widowControl w:val="0"/>
              <w:autoSpaceDE w:val="0"/>
              <w:autoSpaceDN w:val="0"/>
              <w:spacing w:before="1" w:after="0" w:line="240" w:lineRule="auto"/>
              <w:ind w:left="113" w:right="113"/>
              <w:rPr>
                <w:rFonts w:eastAsia="Calibri" w:cs="Arial"/>
                <w:lang w:val="en-US" w:eastAsia="en-US"/>
              </w:rPr>
            </w:pPr>
            <w:r w:rsidRPr="007A3600">
              <w:rPr>
                <w:rFonts w:eastAsia="Calibri" w:cs="Arial"/>
                <w:lang w:val="en-US" w:eastAsia="en-US"/>
              </w:rPr>
              <w:t>Period as the accountable authorit</w:t>
            </w:r>
            <w:r w:rsidR="00137528">
              <w:rPr>
                <w:rFonts w:eastAsia="Calibri" w:cs="Arial"/>
                <w:lang w:val="en-US" w:eastAsia="en-US"/>
              </w:rPr>
              <w:t>y or</w:t>
            </w:r>
            <w:r w:rsidRPr="007A3600">
              <w:rPr>
                <w:rFonts w:eastAsia="Calibri" w:cs="Arial"/>
                <w:lang w:val="en-US" w:eastAsia="en-US"/>
              </w:rPr>
              <w:t xml:space="preserve"> member within the reporting</w:t>
            </w:r>
            <w:r w:rsidRPr="007A3600">
              <w:rPr>
                <w:rFonts w:eastAsia="Calibri" w:cs="Arial"/>
                <w:spacing w:val="1"/>
                <w:lang w:val="en-US" w:eastAsia="en-US"/>
              </w:rPr>
              <w:t xml:space="preserve"> </w:t>
            </w:r>
            <w:r w:rsidRPr="007A3600">
              <w:rPr>
                <w:rFonts w:eastAsia="Calibri" w:cs="Arial"/>
                <w:lang w:val="en-US" w:eastAsia="en-US"/>
              </w:rPr>
              <w:t>period</w:t>
            </w:r>
            <w:r w:rsidRPr="007A3600">
              <w:rPr>
                <w:rFonts w:eastAsia="Calibri" w:cs="Arial"/>
                <w:lang w:val="en-US" w:eastAsia="en-US"/>
              </w:rPr>
              <w:br/>
              <w:t>Number of</w:t>
            </w:r>
            <w:r w:rsidRPr="007A3600">
              <w:rPr>
                <w:rFonts w:eastAsia="Calibri" w:cs="Arial"/>
                <w:spacing w:val="1"/>
                <w:lang w:val="en-US" w:eastAsia="en-US"/>
              </w:rPr>
              <w:t xml:space="preserve"> </w:t>
            </w:r>
            <w:r w:rsidRPr="007A3600">
              <w:rPr>
                <w:rFonts w:eastAsia="Calibri" w:cs="Arial"/>
                <w:lang w:val="en-US" w:eastAsia="en-US"/>
              </w:rPr>
              <w:t>meetings of</w:t>
            </w:r>
            <w:r w:rsidRPr="007A3600">
              <w:rPr>
                <w:rFonts w:eastAsia="Calibri" w:cs="Arial"/>
                <w:spacing w:val="-43"/>
                <w:lang w:val="en-US" w:eastAsia="en-US"/>
              </w:rPr>
              <w:t xml:space="preserve"> </w:t>
            </w:r>
            <w:r w:rsidRPr="007A3600">
              <w:rPr>
                <w:rFonts w:eastAsia="Calibri" w:cs="Arial"/>
                <w:lang w:val="en-US" w:eastAsia="en-US"/>
              </w:rPr>
              <w:t>accountable</w:t>
            </w:r>
            <w:r w:rsidRPr="007A3600">
              <w:rPr>
                <w:rFonts w:eastAsia="Calibri" w:cs="Arial"/>
                <w:spacing w:val="-43"/>
                <w:lang w:val="en-US" w:eastAsia="en-US"/>
              </w:rPr>
              <w:t xml:space="preserve"> </w:t>
            </w:r>
            <w:r w:rsidRPr="007A3600">
              <w:rPr>
                <w:rFonts w:eastAsia="Calibri" w:cs="Arial"/>
                <w:lang w:val="en-US" w:eastAsia="en-US"/>
              </w:rPr>
              <w:t>authority attended</w:t>
            </w:r>
          </w:p>
        </w:tc>
      </w:tr>
      <w:tr w:rsidR="00230C97" w:rsidRPr="007A3600" w14:paraId="063E1321"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544C02C0"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val="en-US" w:eastAsia="en-US"/>
              </w:rPr>
              <w:t>Mr Kurt Fearnley AO</w:t>
            </w:r>
          </w:p>
        </w:tc>
        <w:tc>
          <w:tcPr>
            <w:tcW w:w="1807" w:type="dxa"/>
          </w:tcPr>
          <w:p w14:paraId="0312691A"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BEd, BHumanMvt, Charles Sturt University</w:t>
            </w:r>
          </w:p>
        </w:tc>
        <w:tc>
          <w:tcPr>
            <w:tcW w:w="5254" w:type="dxa"/>
          </w:tcPr>
          <w:p w14:paraId="7456CCC1" w14:textId="77777777" w:rsidR="004B6102" w:rsidRPr="007A3600" w:rsidRDefault="004B6102" w:rsidP="00B21D58">
            <w:pPr>
              <w:pStyle w:val="Tablebullet"/>
              <w:rPr>
                <w:rFonts w:eastAsia="Calibri" w:cs="Arial"/>
              </w:rPr>
            </w:pPr>
            <w:r w:rsidRPr="007A3600">
              <w:rPr>
                <w:rFonts w:eastAsia="Calibri" w:cs="Arial"/>
              </w:rPr>
              <w:t>Director:</w:t>
            </w:r>
          </w:p>
          <w:p w14:paraId="40F9FECD" w14:textId="2477A117" w:rsidR="004B6102" w:rsidRPr="007A3600" w:rsidRDefault="004B6102" w:rsidP="00B21D58">
            <w:pPr>
              <w:pStyle w:val="Tablebullet2"/>
            </w:pPr>
            <w:r w:rsidRPr="007A3600">
              <w:t>Life Without Barriers, 2021–2022</w:t>
            </w:r>
          </w:p>
          <w:p w14:paraId="51B0E499" w14:textId="77777777" w:rsidR="004B6102" w:rsidRPr="007A3600" w:rsidRDefault="004B6102" w:rsidP="00B21D58">
            <w:pPr>
              <w:pStyle w:val="Tablebullet"/>
              <w:rPr>
                <w:rFonts w:eastAsia="Calibri"/>
              </w:rPr>
            </w:pPr>
            <w:r w:rsidRPr="007A3600">
              <w:rPr>
                <w:rFonts w:eastAsia="Calibri"/>
              </w:rPr>
              <w:t>Board Director:</w:t>
            </w:r>
          </w:p>
          <w:p w14:paraId="0A3EB187" w14:textId="77777777" w:rsidR="004B6102" w:rsidRPr="007A3600" w:rsidRDefault="004B6102" w:rsidP="00B21D58">
            <w:pPr>
              <w:pStyle w:val="Tablebullet2"/>
            </w:pPr>
            <w:r w:rsidRPr="007A3600">
              <w:t>Australian Sports Commission</w:t>
            </w:r>
          </w:p>
          <w:p w14:paraId="222D49C2" w14:textId="77777777" w:rsidR="004B6102" w:rsidRPr="007A3600" w:rsidRDefault="004B6102" w:rsidP="00B21D58">
            <w:pPr>
              <w:pStyle w:val="Tablebullet2"/>
            </w:pPr>
            <w:r w:rsidRPr="007A3600">
              <w:t>Brisbane Organising Committee for the 2032 Olympic and Paralympic Games, 2021</w:t>
            </w:r>
          </w:p>
          <w:p w14:paraId="3E73566B" w14:textId="77777777" w:rsidR="004B6102" w:rsidRPr="007A3600" w:rsidRDefault="004B6102" w:rsidP="00B21D58">
            <w:pPr>
              <w:pStyle w:val="Tablebullet2"/>
            </w:pPr>
            <w:r w:rsidRPr="007A3600">
              <w:t>Newcastle Permanent Charitable Foundation, 2018–2022</w:t>
            </w:r>
          </w:p>
          <w:p w14:paraId="69C71086" w14:textId="77777777" w:rsidR="004B6102" w:rsidRPr="007A3600" w:rsidRDefault="004B6102" w:rsidP="00B21D58">
            <w:pPr>
              <w:pStyle w:val="Tablebullet2"/>
            </w:pPr>
            <w:r w:rsidRPr="007A3600">
              <w:t>Paralympics Australia, 2016–2019</w:t>
            </w:r>
          </w:p>
          <w:p w14:paraId="14D1D3BA" w14:textId="77777777" w:rsidR="004B6102" w:rsidRPr="007A3600" w:rsidRDefault="004B6102" w:rsidP="00B21D58">
            <w:pPr>
              <w:pStyle w:val="Tablebullet2"/>
            </w:pPr>
            <w:r w:rsidRPr="007A3600">
              <w:lastRenderedPageBreak/>
              <w:t>Australian Volunteers International, 2007–2015</w:t>
            </w:r>
          </w:p>
          <w:p w14:paraId="50B44163" w14:textId="77777777" w:rsidR="004B6102" w:rsidRPr="007A3600" w:rsidRDefault="004B6102" w:rsidP="00B21D58">
            <w:pPr>
              <w:pStyle w:val="Tablebullet"/>
              <w:rPr>
                <w:rFonts w:eastAsia="Calibri"/>
              </w:rPr>
            </w:pPr>
            <w:r w:rsidRPr="007A3600">
              <w:rPr>
                <w:rFonts w:eastAsia="Calibri"/>
              </w:rPr>
              <w:t>Member:</w:t>
            </w:r>
          </w:p>
          <w:p w14:paraId="2E3D635C" w14:textId="77777777" w:rsidR="004B6102" w:rsidRPr="007A3600" w:rsidRDefault="004B6102" w:rsidP="00B21D58">
            <w:pPr>
              <w:pStyle w:val="Tablebullet2"/>
            </w:pPr>
            <w:r w:rsidRPr="007A3600">
              <w:t>Hunter Regional Advisory Council, 2021–2023</w:t>
            </w:r>
          </w:p>
          <w:p w14:paraId="04198596" w14:textId="77777777" w:rsidR="004B6102" w:rsidRPr="007A3600" w:rsidRDefault="004B6102" w:rsidP="00B21D58">
            <w:pPr>
              <w:pStyle w:val="Tablebullet2"/>
            </w:pPr>
            <w:r w:rsidRPr="007A3600">
              <w:t>NDIS Independent Advisory Council, 2013–2015</w:t>
            </w:r>
          </w:p>
          <w:p w14:paraId="622671B4" w14:textId="77777777" w:rsidR="004B6102" w:rsidRPr="007A3600" w:rsidRDefault="004B6102" w:rsidP="00B21D58">
            <w:pPr>
              <w:pStyle w:val="Tablebullet"/>
              <w:rPr>
                <w:rFonts w:eastAsia="Calibri"/>
              </w:rPr>
            </w:pPr>
            <w:r w:rsidRPr="007A3600">
              <w:rPr>
                <w:rFonts w:eastAsia="Calibri"/>
              </w:rPr>
              <w:t>Athlete Council Member:</w:t>
            </w:r>
          </w:p>
          <w:p w14:paraId="77E4F8A7" w14:textId="77777777" w:rsidR="004B6102" w:rsidRPr="007A3600" w:rsidRDefault="004B6102" w:rsidP="00B21D58">
            <w:pPr>
              <w:pStyle w:val="Tablebullet2"/>
              <w:rPr>
                <w:lang w:val="en-US"/>
              </w:rPr>
            </w:pPr>
            <w:r w:rsidRPr="007A3600">
              <w:t>International Paralympic Committee, 2016–2021</w:t>
            </w:r>
          </w:p>
        </w:tc>
        <w:tc>
          <w:tcPr>
            <w:tcW w:w="1526" w:type="dxa"/>
          </w:tcPr>
          <w:p w14:paraId="26241EF2" w14:textId="102851E9"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lastRenderedPageBreak/>
              <w:t xml:space="preserve">NDIA Board </w:t>
            </w:r>
            <w:r w:rsidR="00001729">
              <w:rPr>
                <w:rFonts w:eastAsia="Calibri" w:cs="Arial"/>
                <w:lang w:eastAsia="en-US"/>
              </w:rPr>
              <w:t>C</w:t>
            </w:r>
            <w:r w:rsidRPr="007A3600">
              <w:rPr>
                <w:rFonts w:eastAsia="Calibri" w:cs="Arial"/>
                <w:lang w:eastAsia="en-US"/>
              </w:rPr>
              <w:t>hair / non-executive</w:t>
            </w:r>
          </w:p>
        </w:tc>
        <w:tc>
          <w:tcPr>
            <w:tcW w:w="1247" w:type="dxa"/>
          </w:tcPr>
          <w:p w14:paraId="52C4028E"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eastAsia="en-US"/>
              </w:rPr>
              <w:t>1 July 2024</w:t>
            </w:r>
          </w:p>
        </w:tc>
        <w:tc>
          <w:tcPr>
            <w:tcW w:w="1247" w:type="dxa"/>
          </w:tcPr>
          <w:p w14:paraId="44A2D6DB"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30 June 2025</w:t>
            </w:r>
          </w:p>
        </w:tc>
        <w:tc>
          <w:tcPr>
            <w:tcW w:w="1294" w:type="dxa"/>
          </w:tcPr>
          <w:p w14:paraId="36195E29" w14:textId="77777777" w:rsidR="004B6102" w:rsidRPr="007A3600" w:rsidRDefault="004B6102" w:rsidP="00B21D58">
            <w:pPr>
              <w:widowControl w:val="0"/>
              <w:autoSpaceDE w:val="0"/>
              <w:autoSpaceDN w:val="0"/>
              <w:spacing w:before="1" w:after="0" w:line="240" w:lineRule="auto"/>
              <w:jc w:val="right"/>
              <w:rPr>
                <w:rFonts w:eastAsia="Calibri" w:cs="Arial"/>
                <w:lang w:val="en-US" w:eastAsia="en-US"/>
              </w:rPr>
            </w:pPr>
            <w:r w:rsidRPr="007A3600">
              <w:rPr>
                <w:rFonts w:eastAsia="Calibri" w:cs="Arial"/>
                <w:lang w:val="en-US" w:eastAsia="en-US"/>
              </w:rPr>
              <w:t>12</w:t>
            </w:r>
          </w:p>
        </w:tc>
      </w:tr>
      <w:tr w:rsidR="00230C97" w:rsidRPr="007A3600" w14:paraId="51E920A0" w14:textId="77777777" w:rsidTr="00230C97">
        <w:trPr>
          <w:trHeight w:val="520"/>
        </w:trPr>
        <w:tc>
          <w:tcPr>
            <w:tcW w:w="1581" w:type="dxa"/>
          </w:tcPr>
          <w:p w14:paraId="46F6A2DA"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Mr Mark Darras</w:t>
            </w:r>
          </w:p>
        </w:tc>
        <w:tc>
          <w:tcPr>
            <w:tcW w:w="1807" w:type="dxa"/>
          </w:tcPr>
          <w:p w14:paraId="7ED26793"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 xml:space="preserve">BA, LLB, University of Tasmania; LLM, Australian National </w:t>
            </w:r>
            <w:r w:rsidRPr="007A3600">
              <w:rPr>
                <w:rFonts w:eastAsia="Calibri" w:cs="Arial"/>
                <w:lang w:eastAsia="en-US"/>
              </w:rPr>
              <w:lastRenderedPageBreak/>
              <w:t>University; BEd, University of South Australia</w:t>
            </w:r>
          </w:p>
        </w:tc>
        <w:tc>
          <w:tcPr>
            <w:tcW w:w="5254" w:type="dxa"/>
          </w:tcPr>
          <w:p w14:paraId="68DC5F32" w14:textId="77777777" w:rsidR="001C6AA3" w:rsidRPr="007A3600" w:rsidRDefault="001C6AA3" w:rsidP="00B21D58">
            <w:pPr>
              <w:pStyle w:val="Tablebullet"/>
              <w:rPr>
                <w:rFonts w:eastAsia="Calibri"/>
              </w:rPr>
            </w:pPr>
            <w:r w:rsidRPr="007A3600">
              <w:rPr>
                <w:rFonts w:eastAsia="Calibri"/>
              </w:rPr>
              <w:lastRenderedPageBreak/>
              <w:t>Corporate lawyer and adviser</w:t>
            </w:r>
          </w:p>
          <w:p w14:paraId="693CF779" w14:textId="77777777" w:rsidR="001C6AA3" w:rsidRPr="007A3600" w:rsidRDefault="001C6AA3" w:rsidP="00B21D58">
            <w:pPr>
              <w:pStyle w:val="Tablebullet"/>
              <w:rPr>
                <w:rFonts w:eastAsia="Calibri"/>
              </w:rPr>
            </w:pPr>
            <w:r w:rsidRPr="007A3600">
              <w:rPr>
                <w:rFonts w:eastAsia="Calibri"/>
              </w:rPr>
              <w:t>Board member:</w:t>
            </w:r>
          </w:p>
          <w:p w14:paraId="62EED5E4" w14:textId="77777777" w:rsidR="001C6AA3" w:rsidRPr="007A3600" w:rsidRDefault="001C6AA3" w:rsidP="00B21D58">
            <w:pPr>
              <w:pStyle w:val="Tablebullet2"/>
            </w:pPr>
            <w:r w:rsidRPr="007A3600">
              <w:t>Australia Post</w:t>
            </w:r>
          </w:p>
          <w:p w14:paraId="7F906C1C" w14:textId="77777777" w:rsidR="001C6AA3" w:rsidRPr="007A3600" w:rsidRDefault="001C6AA3" w:rsidP="00B21D58">
            <w:pPr>
              <w:pStyle w:val="Tablebullet2"/>
            </w:pPr>
            <w:r w:rsidRPr="007A3600">
              <w:t>Australia Post Superannuation</w:t>
            </w:r>
          </w:p>
          <w:p w14:paraId="629057AB" w14:textId="77777777" w:rsidR="001C6AA3" w:rsidRPr="007A3600" w:rsidRDefault="001C6AA3" w:rsidP="00B21D58">
            <w:pPr>
              <w:pStyle w:val="Tablebullet2"/>
            </w:pPr>
            <w:r w:rsidRPr="007A3600">
              <w:lastRenderedPageBreak/>
              <w:t>Southern Rural Water Board</w:t>
            </w:r>
          </w:p>
          <w:p w14:paraId="568031BB" w14:textId="77777777" w:rsidR="001C6AA3" w:rsidRPr="007A3600" w:rsidRDefault="001C6AA3" w:rsidP="00B21D58">
            <w:pPr>
              <w:pStyle w:val="Tablebullet2"/>
            </w:pPr>
            <w:r w:rsidRPr="007A3600">
              <w:t>John Holland Engineering</w:t>
            </w:r>
          </w:p>
          <w:p w14:paraId="0F00C162" w14:textId="77777777" w:rsidR="001C6AA3" w:rsidRPr="007A3600" w:rsidRDefault="001C6AA3" w:rsidP="00B21D58">
            <w:pPr>
              <w:pStyle w:val="Tablebullet2"/>
            </w:pPr>
            <w:r w:rsidRPr="007A3600">
              <w:t>John Holland Queensland</w:t>
            </w:r>
          </w:p>
          <w:p w14:paraId="2B07760A" w14:textId="77777777" w:rsidR="001C6AA3" w:rsidRPr="007A3600" w:rsidRDefault="001C6AA3" w:rsidP="00B21D58">
            <w:pPr>
              <w:pStyle w:val="Tablebullet2"/>
            </w:pPr>
            <w:r w:rsidRPr="007A3600">
              <w:t>South Australian Forestry Corporation</w:t>
            </w:r>
          </w:p>
          <w:p w14:paraId="58482244" w14:textId="77777777" w:rsidR="001C6AA3" w:rsidRPr="007A3600" w:rsidRDefault="001C6AA3" w:rsidP="00B21D58">
            <w:pPr>
              <w:pStyle w:val="Tablebullet"/>
              <w:rPr>
                <w:rFonts w:eastAsia="Calibri"/>
              </w:rPr>
            </w:pPr>
            <w:r w:rsidRPr="007A3600">
              <w:rPr>
                <w:rFonts w:eastAsia="Calibri"/>
              </w:rPr>
              <w:t xml:space="preserve">Chair: </w:t>
            </w:r>
          </w:p>
          <w:p w14:paraId="6257733A" w14:textId="77777777" w:rsidR="001C6AA3" w:rsidRPr="007A3600" w:rsidRDefault="001C6AA3" w:rsidP="00B21D58">
            <w:pPr>
              <w:pStyle w:val="Tablebullet2"/>
            </w:pPr>
            <w:r w:rsidRPr="007A3600">
              <w:t>Universal Services Management Agency</w:t>
            </w:r>
          </w:p>
          <w:p w14:paraId="4FEC60D2" w14:textId="77777777" w:rsidR="001C6AA3" w:rsidRPr="007A3600" w:rsidRDefault="001C6AA3" w:rsidP="00B21D58">
            <w:pPr>
              <w:pStyle w:val="Tablebullet"/>
              <w:rPr>
                <w:rFonts w:eastAsia="Calibri"/>
              </w:rPr>
            </w:pPr>
            <w:r w:rsidRPr="007A3600">
              <w:rPr>
                <w:rFonts w:eastAsia="Calibri"/>
              </w:rPr>
              <w:t>Member:</w:t>
            </w:r>
          </w:p>
          <w:p w14:paraId="3A4B2F95" w14:textId="77777777" w:rsidR="001C6AA3" w:rsidRPr="007A3600" w:rsidRDefault="001C6AA3" w:rsidP="00B21D58">
            <w:pPr>
              <w:pStyle w:val="Tablebullet2"/>
            </w:pPr>
            <w:r w:rsidRPr="007A3600">
              <w:t>Australian Takeovers Panel</w:t>
            </w:r>
          </w:p>
        </w:tc>
        <w:tc>
          <w:tcPr>
            <w:tcW w:w="1526" w:type="dxa"/>
          </w:tcPr>
          <w:p w14:paraId="716D320E"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05263581"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25DF576D"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0429C7F8" w14:textId="77777777" w:rsidR="001C6AA3" w:rsidRPr="007A3600" w:rsidRDefault="001C6AA3"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12</w:t>
            </w:r>
          </w:p>
        </w:tc>
      </w:tr>
      <w:tr w:rsidR="00230C97" w:rsidRPr="007A3600" w14:paraId="620FE06F"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0A79F5F4"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Ms Maryanne Diamond AO</w:t>
            </w:r>
          </w:p>
        </w:tc>
        <w:tc>
          <w:tcPr>
            <w:tcW w:w="1807" w:type="dxa"/>
          </w:tcPr>
          <w:p w14:paraId="03DD4C3D"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 xml:space="preserve">BSc, Monash University; GradDipIT, Caulfield Institute of Technology; Graduate, </w:t>
            </w:r>
            <w:r w:rsidRPr="007A3600">
              <w:rPr>
                <w:rFonts w:eastAsia="Calibri" w:cs="Arial"/>
                <w:lang w:eastAsia="en-US"/>
              </w:rPr>
              <w:lastRenderedPageBreak/>
              <w:t>AICD</w:t>
            </w:r>
          </w:p>
        </w:tc>
        <w:tc>
          <w:tcPr>
            <w:tcW w:w="5254" w:type="dxa"/>
          </w:tcPr>
          <w:p w14:paraId="5BC27548" w14:textId="77777777" w:rsidR="001C6AA3" w:rsidRPr="007A3600" w:rsidRDefault="001C6AA3" w:rsidP="00B21D58">
            <w:pPr>
              <w:pStyle w:val="Tablebullet"/>
              <w:rPr>
                <w:rFonts w:eastAsia="Calibri"/>
              </w:rPr>
            </w:pPr>
            <w:r w:rsidRPr="007A3600">
              <w:rPr>
                <w:rFonts w:eastAsia="Calibri"/>
              </w:rPr>
              <w:lastRenderedPageBreak/>
              <w:t>Chair:</w:t>
            </w:r>
          </w:p>
          <w:p w14:paraId="4E1A430A" w14:textId="77777777" w:rsidR="001C6AA3" w:rsidRPr="007A3600" w:rsidRDefault="001C6AA3" w:rsidP="00B21D58">
            <w:pPr>
              <w:pStyle w:val="Tablebullet2"/>
            </w:pPr>
            <w:r w:rsidRPr="007A3600">
              <w:t>International Disability Alliance, 2014–2016</w:t>
            </w:r>
          </w:p>
          <w:p w14:paraId="608AC872" w14:textId="77777777" w:rsidR="001C6AA3" w:rsidRPr="007A3600" w:rsidRDefault="001C6AA3" w:rsidP="00B21D58">
            <w:pPr>
              <w:pStyle w:val="Tablebullet"/>
              <w:rPr>
                <w:rFonts w:eastAsia="Calibri"/>
              </w:rPr>
            </w:pPr>
            <w:r w:rsidRPr="007A3600">
              <w:rPr>
                <w:rFonts w:eastAsia="Calibri"/>
              </w:rPr>
              <w:t>President:</w:t>
            </w:r>
          </w:p>
          <w:p w14:paraId="4738BA3F" w14:textId="77777777" w:rsidR="001C6AA3" w:rsidRPr="007A3600" w:rsidRDefault="001C6AA3" w:rsidP="00B21D58">
            <w:pPr>
              <w:pStyle w:val="Tablebullet2"/>
            </w:pPr>
            <w:r w:rsidRPr="007A3600">
              <w:t xml:space="preserve">World Blind Union, 2008–2012 </w:t>
            </w:r>
          </w:p>
          <w:p w14:paraId="664DCDE3" w14:textId="77777777" w:rsidR="001C6AA3" w:rsidRPr="007A3600" w:rsidRDefault="001C6AA3" w:rsidP="00B21D58">
            <w:pPr>
              <w:pStyle w:val="Tablebullet"/>
            </w:pPr>
            <w:r w:rsidRPr="007A3600">
              <w:rPr>
                <w:rFonts w:eastAsia="Calibri"/>
              </w:rPr>
              <w:lastRenderedPageBreak/>
              <w:t>CEO:</w:t>
            </w:r>
          </w:p>
          <w:p w14:paraId="51E076D9" w14:textId="77777777" w:rsidR="001C6AA3" w:rsidRPr="007A3600" w:rsidRDefault="001C6AA3" w:rsidP="00B21D58">
            <w:pPr>
              <w:pStyle w:val="Tablebullet2"/>
            </w:pPr>
            <w:r w:rsidRPr="007A3600">
              <w:t>Australian Federation of Disability Organisations, 2004–2007</w:t>
            </w:r>
          </w:p>
          <w:p w14:paraId="2B3C4690" w14:textId="77777777" w:rsidR="001C6AA3" w:rsidRPr="007A3600" w:rsidRDefault="001C6AA3" w:rsidP="00B21D58">
            <w:pPr>
              <w:pStyle w:val="Tablebullet"/>
              <w:rPr>
                <w:rFonts w:eastAsia="Calibri"/>
              </w:rPr>
            </w:pPr>
            <w:r w:rsidRPr="007A3600">
              <w:rPr>
                <w:rFonts w:eastAsia="Calibri"/>
              </w:rPr>
              <w:t>Executive officer:</w:t>
            </w:r>
          </w:p>
          <w:p w14:paraId="426BD316" w14:textId="77777777" w:rsidR="001C6AA3" w:rsidRPr="007A3600" w:rsidRDefault="001C6AA3" w:rsidP="00B21D58">
            <w:pPr>
              <w:pStyle w:val="Tablebullet2"/>
            </w:pPr>
            <w:r w:rsidRPr="007A3600">
              <w:t>Blind Citizens Australia Employment experience in the information technology industry, the disability sector and government</w:t>
            </w:r>
          </w:p>
        </w:tc>
        <w:tc>
          <w:tcPr>
            <w:tcW w:w="1526" w:type="dxa"/>
          </w:tcPr>
          <w:p w14:paraId="3D8DC57D"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02DE25BB"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1F5A17D4"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5E50EFE4" w14:textId="77777777" w:rsidR="001C6AA3" w:rsidRPr="007A3600" w:rsidRDefault="001C6AA3"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11</w:t>
            </w:r>
          </w:p>
        </w:tc>
      </w:tr>
      <w:tr w:rsidR="00230C97" w:rsidRPr="007A3600" w14:paraId="6780D0A0" w14:textId="77777777" w:rsidTr="00230C97">
        <w:trPr>
          <w:trHeight w:val="520"/>
        </w:trPr>
        <w:tc>
          <w:tcPr>
            <w:tcW w:w="1581" w:type="dxa"/>
          </w:tcPr>
          <w:p w14:paraId="4BB6AC22"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Dr Richard Fejo</w:t>
            </w:r>
          </w:p>
        </w:tc>
        <w:tc>
          <w:tcPr>
            <w:tcW w:w="1807" w:type="dxa"/>
          </w:tcPr>
          <w:p w14:paraId="39F67A1B"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t>Honorary Doctorate, Flinders University</w:t>
            </w:r>
          </w:p>
        </w:tc>
        <w:tc>
          <w:tcPr>
            <w:tcW w:w="5254" w:type="dxa"/>
          </w:tcPr>
          <w:p w14:paraId="3FB72AE9" w14:textId="77777777" w:rsidR="001C6AA3" w:rsidRPr="007A3600" w:rsidRDefault="001C6AA3" w:rsidP="00B21D58">
            <w:pPr>
              <w:pStyle w:val="Tablebullet"/>
              <w:rPr>
                <w:rFonts w:eastAsia="Calibri"/>
              </w:rPr>
            </w:pPr>
            <w:r w:rsidRPr="007A3600">
              <w:rPr>
                <w:rFonts w:eastAsia="Calibri"/>
              </w:rPr>
              <w:t>Chair:</w:t>
            </w:r>
          </w:p>
          <w:p w14:paraId="70F602F6" w14:textId="77777777" w:rsidR="001C6AA3" w:rsidRPr="007A3600" w:rsidRDefault="001C6AA3" w:rsidP="00B21D58">
            <w:pPr>
              <w:pStyle w:val="Tablebullet2"/>
            </w:pPr>
            <w:r w:rsidRPr="007A3600">
              <w:t>Larrakia Nation Aboriginal Corporation, 2017–2022</w:t>
            </w:r>
          </w:p>
          <w:p w14:paraId="28DC7ACC" w14:textId="77777777" w:rsidR="001C6AA3" w:rsidRPr="007A3600" w:rsidRDefault="001C6AA3" w:rsidP="00B21D58">
            <w:pPr>
              <w:pStyle w:val="Tablebullet2"/>
            </w:pPr>
            <w:r w:rsidRPr="007A3600">
              <w:t>National Cultural Educators and Cultural Mentors Network</w:t>
            </w:r>
          </w:p>
          <w:p w14:paraId="2D5FBF73" w14:textId="77777777" w:rsidR="001C6AA3" w:rsidRPr="007A3600" w:rsidRDefault="001C6AA3" w:rsidP="00B21D58">
            <w:pPr>
              <w:pStyle w:val="Tablebullet2"/>
            </w:pPr>
            <w:r w:rsidRPr="007A3600">
              <w:t>Darwin Waterfront Corporation</w:t>
            </w:r>
          </w:p>
          <w:p w14:paraId="4D40625D" w14:textId="77777777" w:rsidR="001C6AA3" w:rsidRPr="007A3600" w:rsidRDefault="001C6AA3" w:rsidP="00B21D58">
            <w:pPr>
              <w:pStyle w:val="Tablebullet"/>
              <w:rPr>
                <w:rFonts w:eastAsia="Calibri"/>
              </w:rPr>
            </w:pPr>
            <w:r w:rsidRPr="007A3600">
              <w:rPr>
                <w:rFonts w:eastAsia="Calibri"/>
              </w:rPr>
              <w:lastRenderedPageBreak/>
              <w:t>Vice-President:</w:t>
            </w:r>
          </w:p>
          <w:p w14:paraId="3A0A5D7B" w14:textId="77777777" w:rsidR="001C6AA3" w:rsidRPr="007A3600" w:rsidRDefault="001C6AA3" w:rsidP="00B21D58">
            <w:pPr>
              <w:pStyle w:val="Tablebullet2"/>
            </w:pPr>
            <w:r w:rsidRPr="007A3600">
              <w:t>Darwin Buffaloes Football Club</w:t>
            </w:r>
          </w:p>
          <w:p w14:paraId="3AB10D67" w14:textId="77777777" w:rsidR="001C6AA3" w:rsidRPr="007A3600" w:rsidRDefault="001C6AA3" w:rsidP="00B21D58">
            <w:pPr>
              <w:pStyle w:val="Tablebullet"/>
              <w:rPr>
                <w:rFonts w:eastAsia="Calibri"/>
              </w:rPr>
            </w:pPr>
            <w:r w:rsidRPr="007A3600">
              <w:rPr>
                <w:rFonts w:eastAsia="Calibri"/>
              </w:rPr>
              <w:t>Member:</w:t>
            </w:r>
          </w:p>
          <w:p w14:paraId="355BFA77" w14:textId="77777777" w:rsidR="001C6AA3" w:rsidRPr="007A3600" w:rsidRDefault="001C6AA3" w:rsidP="00B21D58">
            <w:pPr>
              <w:pStyle w:val="Tablebullet2"/>
            </w:pPr>
            <w:r w:rsidRPr="007A3600">
              <w:t>City of Darwin’s International Relations Committee</w:t>
            </w:r>
          </w:p>
          <w:p w14:paraId="24A47D1A" w14:textId="77777777" w:rsidR="001C6AA3" w:rsidRPr="007A3600" w:rsidRDefault="001C6AA3" w:rsidP="00B21D58">
            <w:pPr>
              <w:pStyle w:val="Tablebullet2"/>
            </w:pPr>
            <w:r w:rsidRPr="007A3600">
              <w:t>Senior Elder on campus, Flinders University</w:t>
            </w:r>
          </w:p>
        </w:tc>
        <w:tc>
          <w:tcPr>
            <w:tcW w:w="1526" w:type="dxa"/>
          </w:tcPr>
          <w:p w14:paraId="55600810"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602241CD"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1D433635"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368355D6" w14:textId="77777777" w:rsidR="001C6AA3" w:rsidRPr="007A3600" w:rsidRDefault="001C6AA3"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10</w:t>
            </w:r>
          </w:p>
        </w:tc>
      </w:tr>
      <w:tr w:rsidR="00230C97" w:rsidRPr="007A3600" w14:paraId="229C39CE"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5B877666" w14:textId="53B3627D" w:rsidR="001C6AA3" w:rsidRPr="007A3600" w:rsidRDefault="002D7ED3" w:rsidP="00B21D58">
            <w:pPr>
              <w:widowControl w:val="0"/>
              <w:autoSpaceDE w:val="0"/>
              <w:autoSpaceDN w:val="0"/>
              <w:spacing w:after="0" w:line="240" w:lineRule="auto"/>
              <w:rPr>
                <w:rFonts w:eastAsia="Calibri" w:cs="Arial"/>
                <w:lang w:eastAsia="en-US"/>
              </w:rPr>
            </w:pPr>
            <w:r>
              <w:rPr>
                <w:rFonts w:eastAsia="Calibri" w:cs="Arial"/>
                <w:lang w:eastAsia="en-US"/>
              </w:rPr>
              <w:t xml:space="preserve">Dr </w:t>
            </w:r>
            <w:r w:rsidR="001C6AA3" w:rsidRPr="007A3600">
              <w:rPr>
                <w:rFonts w:eastAsia="Calibri" w:cs="Arial"/>
                <w:lang w:eastAsia="en-US"/>
              </w:rPr>
              <w:t>Rhonda Galbally AC</w:t>
            </w:r>
          </w:p>
        </w:tc>
        <w:tc>
          <w:tcPr>
            <w:tcW w:w="1807" w:type="dxa"/>
          </w:tcPr>
          <w:p w14:paraId="76D6017D"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cs="Arial"/>
              </w:rPr>
              <w:t xml:space="preserve">BEcon, Monash University; DipEd, Monash University; Doctor of Science (honoris causa) </w:t>
            </w:r>
            <w:r w:rsidRPr="007A3600">
              <w:rPr>
                <w:rFonts w:cs="Arial"/>
              </w:rPr>
              <w:lastRenderedPageBreak/>
              <w:t>RMIT 1998; Centenary Medal, 2003; Doctor of Social Science degree (honoris causa), RMIT 2005</w:t>
            </w:r>
          </w:p>
        </w:tc>
        <w:tc>
          <w:tcPr>
            <w:tcW w:w="5254" w:type="dxa"/>
          </w:tcPr>
          <w:p w14:paraId="0B0421D5" w14:textId="77777777" w:rsidR="001C6AA3" w:rsidRPr="007A3600" w:rsidRDefault="001C6AA3" w:rsidP="00B21D58">
            <w:pPr>
              <w:pStyle w:val="Tablebullet"/>
            </w:pPr>
            <w:r w:rsidRPr="007A3600">
              <w:lastRenderedPageBreak/>
              <w:t>CEO:</w:t>
            </w:r>
          </w:p>
          <w:p w14:paraId="3892A0F3" w14:textId="77777777" w:rsidR="001C6AA3" w:rsidRPr="007A3600" w:rsidRDefault="001C6AA3" w:rsidP="00B21D58">
            <w:pPr>
              <w:pStyle w:val="Tablebullet2"/>
            </w:pPr>
            <w:r w:rsidRPr="007A3600">
              <w:t>Sidney Myer Fund and the Myer Foundation</w:t>
            </w:r>
          </w:p>
          <w:p w14:paraId="6C35696F" w14:textId="77777777" w:rsidR="001C6AA3" w:rsidRPr="007A3600" w:rsidRDefault="001C6AA3" w:rsidP="00B21D58">
            <w:pPr>
              <w:pStyle w:val="Tablebullet2"/>
            </w:pPr>
            <w:r w:rsidRPr="007A3600">
              <w:t>Australian Association of Philanthropy</w:t>
            </w:r>
          </w:p>
          <w:p w14:paraId="581ABB63" w14:textId="77777777" w:rsidR="001C6AA3" w:rsidRPr="007A3600" w:rsidRDefault="001C6AA3" w:rsidP="00B21D58">
            <w:pPr>
              <w:pStyle w:val="Tablebullet2"/>
            </w:pPr>
            <w:r w:rsidRPr="007A3600">
              <w:t>Australian Commission for the Future</w:t>
            </w:r>
          </w:p>
          <w:p w14:paraId="1493ACBE" w14:textId="77777777" w:rsidR="001C6AA3" w:rsidRPr="007A3600" w:rsidRDefault="001C6AA3" w:rsidP="00B21D58">
            <w:pPr>
              <w:pStyle w:val="Tablebullet2"/>
            </w:pPr>
            <w:r w:rsidRPr="007A3600">
              <w:lastRenderedPageBreak/>
              <w:t>Australian International Health Institute Australian National Preventative Health Agency</w:t>
            </w:r>
          </w:p>
          <w:p w14:paraId="0056BE75" w14:textId="77777777" w:rsidR="001C6AA3" w:rsidRPr="007A3600" w:rsidRDefault="001C6AA3" w:rsidP="00B21D58">
            <w:pPr>
              <w:pStyle w:val="Tablebullet2"/>
            </w:pPr>
            <w:r w:rsidRPr="007A3600">
              <w:t>Our Community Pty Ltd</w:t>
            </w:r>
          </w:p>
          <w:p w14:paraId="1AD54248" w14:textId="77777777" w:rsidR="001C6AA3" w:rsidRPr="007A3600" w:rsidRDefault="001C6AA3" w:rsidP="00B21D58">
            <w:pPr>
              <w:pStyle w:val="Tablebullet"/>
            </w:pPr>
            <w:r w:rsidRPr="007A3600">
              <w:t>Founder:</w:t>
            </w:r>
          </w:p>
          <w:p w14:paraId="025C8B58" w14:textId="77777777" w:rsidR="001C6AA3" w:rsidRPr="007A3600" w:rsidRDefault="001C6AA3" w:rsidP="00B21D58">
            <w:pPr>
              <w:pStyle w:val="Tablebullet2"/>
            </w:pPr>
            <w:r w:rsidRPr="007A3600">
              <w:t>Victorian Health Promotion Foundation (VicHealth)</w:t>
            </w:r>
          </w:p>
          <w:p w14:paraId="335A5FE6" w14:textId="77777777" w:rsidR="001C6AA3" w:rsidRPr="007A3600" w:rsidRDefault="001C6AA3" w:rsidP="00B21D58">
            <w:pPr>
              <w:pStyle w:val="Tablebullet"/>
            </w:pPr>
            <w:r w:rsidRPr="007A3600">
              <w:t>Chair:</w:t>
            </w:r>
          </w:p>
          <w:p w14:paraId="2D1DC57D" w14:textId="77777777" w:rsidR="001C6AA3" w:rsidRPr="007A3600" w:rsidRDefault="001C6AA3" w:rsidP="00B21D58">
            <w:pPr>
              <w:pStyle w:val="Tablebullet2"/>
            </w:pPr>
            <w:r w:rsidRPr="007A3600">
              <w:t>Review of Drugs Poisons and Controlled Substances Legislation (the Galbally Review)</w:t>
            </w:r>
          </w:p>
          <w:p w14:paraId="6A2E091A" w14:textId="77777777" w:rsidR="001C6AA3" w:rsidRPr="007A3600" w:rsidRDefault="001C6AA3" w:rsidP="00B21D58">
            <w:pPr>
              <w:pStyle w:val="Tablebullet2"/>
            </w:pPr>
            <w:r w:rsidRPr="007A3600">
              <w:t>Australian Government National People with Disability and Carers’ Council</w:t>
            </w:r>
          </w:p>
          <w:p w14:paraId="0320093C" w14:textId="77777777" w:rsidR="001C6AA3" w:rsidRPr="007A3600" w:rsidRDefault="001C6AA3" w:rsidP="00B21D58">
            <w:pPr>
              <w:pStyle w:val="Tablebullet2"/>
            </w:pPr>
            <w:r w:rsidRPr="007A3600">
              <w:t>Royal Women's Hospital</w:t>
            </w:r>
          </w:p>
          <w:p w14:paraId="7F0EEDA7" w14:textId="77777777" w:rsidR="001C6AA3" w:rsidRPr="007A3600" w:rsidRDefault="001C6AA3" w:rsidP="00B21D58">
            <w:pPr>
              <w:pStyle w:val="Tablebullet"/>
            </w:pPr>
            <w:r w:rsidRPr="007A3600">
              <w:lastRenderedPageBreak/>
              <w:t>Member:</w:t>
            </w:r>
          </w:p>
          <w:p w14:paraId="7AC01BF9" w14:textId="77777777" w:rsidR="001C6AA3" w:rsidRPr="007A3600" w:rsidRDefault="001C6AA3" w:rsidP="00B21D58">
            <w:pPr>
              <w:pStyle w:val="Tablebullet2"/>
            </w:pPr>
            <w:r w:rsidRPr="007A3600">
              <w:t>Victorian Charter of Human Rights and Responsibilities</w:t>
            </w:r>
          </w:p>
        </w:tc>
        <w:tc>
          <w:tcPr>
            <w:tcW w:w="1526" w:type="dxa"/>
          </w:tcPr>
          <w:p w14:paraId="36FE1D6A" w14:textId="77777777" w:rsidR="001C6AA3" w:rsidRPr="007A3600" w:rsidRDefault="001C6AA3"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4DBB2C05"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January 2025</w:t>
            </w:r>
          </w:p>
        </w:tc>
        <w:tc>
          <w:tcPr>
            <w:tcW w:w="1247" w:type="dxa"/>
          </w:tcPr>
          <w:p w14:paraId="2094A4B8" w14:textId="77777777" w:rsidR="001C6AA3" w:rsidRPr="007A3600" w:rsidRDefault="001C6AA3"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017FE5B6" w14:textId="77777777" w:rsidR="001C6AA3" w:rsidRPr="007A3600" w:rsidRDefault="001C6AA3"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4</w:t>
            </w:r>
          </w:p>
        </w:tc>
      </w:tr>
      <w:tr w:rsidR="00230C97" w:rsidRPr="007A3600" w14:paraId="49485C53" w14:textId="77777777" w:rsidTr="00230C97">
        <w:trPr>
          <w:trHeight w:val="520"/>
        </w:trPr>
        <w:tc>
          <w:tcPr>
            <w:tcW w:w="1581" w:type="dxa"/>
          </w:tcPr>
          <w:p w14:paraId="680612FF"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Dr Graeme Innes AM</w:t>
            </w:r>
          </w:p>
        </w:tc>
        <w:tc>
          <w:tcPr>
            <w:tcW w:w="1807" w:type="dxa"/>
          </w:tcPr>
          <w:p w14:paraId="4C13B034"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t>LLB, Sydney University; honorary doctorates (University of Canberra, RMIT University, University of NSW, Edith Cowan University); Fellow, AICD</w:t>
            </w:r>
          </w:p>
        </w:tc>
        <w:tc>
          <w:tcPr>
            <w:tcW w:w="5254" w:type="dxa"/>
          </w:tcPr>
          <w:p w14:paraId="2A5BA67D" w14:textId="77777777" w:rsidR="009E0BCB" w:rsidRPr="007A3600" w:rsidRDefault="009E0BCB" w:rsidP="00B21D58">
            <w:pPr>
              <w:pStyle w:val="Tablebullet"/>
              <w:rPr>
                <w:rFonts w:eastAsia="Calibri"/>
              </w:rPr>
            </w:pPr>
            <w:r w:rsidRPr="007A3600">
              <w:rPr>
                <w:rFonts w:eastAsia="Calibri"/>
              </w:rPr>
              <w:t>Chancellor:</w:t>
            </w:r>
          </w:p>
          <w:p w14:paraId="190EDCF5" w14:textId="77777777" w:rsidR="009E0BCB" w:rsidRPr="007A3600" w:rsidRDefault="009E0BCB" w:rsidP="00B21D58">
            <w:pPr>
              <w:pStyle w:val="Tablebullet2"/>
            </w:pPr>
            <w:r w:rsidRPr="007A3600">
              <w:t>Central Queensland University</w:t>
            </w:r>
          </w:p>
          <w:p w14:paraId="6A3F6AC8" w14:textId="77777777" w:rsidR="009E0BCB" w:rsidRPr="007A3600" w:rsidRDefault="009E0BCB" w:rsidP="00B21D58">
            <w:pPr>
              <w:pStyle w:val="Tablebullet"/>
            </w:pPr>
            <w:r w:rsidRPr="007A3600">
              <w:rPr>
                <w:rFonts w:eastAsia="Calibri"/>
              </w:rPr>
              <w:t>Disability Discrimination Commissioner, 2005–2014</w:t>
            </w:r>
          </w:p>
          <w:p w14:paraId="1DF07B4F" w14:textId="77777777" w:rsidR="009E0BCB" w:rsidRPr="007A3600" w:rsidRDefault="009E0BCB" w:rsidP="00B21D58">
            <w:pPr>
              <w:pStyle w:val="Tablebullet"/>
              <w:rPr>
                <w:rFonts w:eastAsia="Calibri"/>
              </w:rPr>
            </w:pPr>
            <w:r w:rsidRPr="007A3600">
              <w:rPr>
                <w:rFonts w:eastAsia="Calibri"/>
              </w:rPr>
              <w:t>Director:</w:t>
            </w:r>
          </w:p>
          <w:p w14:paraId="2DB75AD2" w14:textId="77777777" w:rsidR="009E0BCB" w:rsidRPr="007A3600" w:rsidRDefault="009E0BCB" w:rsidP="00B21D58">
            <w:pPr>
              <w:pStyle w:val="Tablebullet2"/>
            </w:pPr>
            <w:r w:rsidRPr="007A3600">
              <w:t>State Insurance Regulatory Authority of NSW</w:t>
            </w:r>
          </w:p>
          <w:p w14:paraId="6E23EAF3" w14:textId="77777777" w:rsidR="009E0BCB" w:rsidRPr="007A3600" w:rsidRDefault="009E0BCB" w:rsidP="00B21D58">
            <w:pPr>
              <w:pStyle w:val="Tablebullet"/>
              <w:rPr>
                <w:rFonts w:eastAsia="Calibri"/>
              </w:rPr>
            </w:pPr>
            <w:r w:rsidRPr="007A3600">
              <w:rPr>
                <w:rFonts w:eastAsia="Calibri"/>
              </w:rPr>
              <w:t>Board member:</w:t>
            </w:r>
          </w:p>
          <w:p w14:paraId="72F9631C" w14:textId="77777777" w:rsidR="009E0BCB" w:rsidRPr="007A3600" w:rsidRDefault="009E0BCB" w:rsidP="00B21D58">
            <w:pPr>
              <w:pStyle w:val="Tablebullet2"/>
            </w:pPr>
            <w:r w:rsidRPr="007A3600">
              <w:t>Healthy North Coast</w:t>
            </w:r>
          </w:p>
          <w:p w14:paraId="645C2CAB" w14:textId="77777777" w:rsidR="009E0BCB" w:rsidRPr="007A3600" w:rsidRDefault="009E0BCB" w:rsidP="00B21D58">
            <w:pPr>
              <w:pStyle w:val="Tablebullet2"/>
            </w:pPr>
            <w:r w:rsidRPr="007A3600">
              <w:t>Jeffrey Blyth Foundation</w:t>
            </w:r>
          </w:p>
          <w:p w14:paraId="3F2A93EF" w14:textId="77777777" w:rsidR="009E0BCB" w:rsidRPr="007A3600" w:rsidRDefault="009E0BCB" w:rsidP="00B21D58">
            <w:pPr>
              <w:pStyle w:val="Tablebullet2"/>
              <w:rPr>
                <w:rFonts w:cs="Arial"/>
                <w:lang w:eastAsia="en-US"/>
              </w:rPr>
            </w:pPr>
            <w:r w:rsidRPr="007A3600">
              <w:rPr>
                <w:rFonts w:cs="Arial"/>
                <w:lang w:eastAsia="en-US"/>
              </w:rPr>
              <w:lastRenderedPageBreak/>
              <w:t xml:space="preserve">Mediator training Community Justice </w:t>
            </w:r>
            <w:r w:rsidRPr="007A3600">
              <w:rPr>
                <w:rStyle w:val="Tablebullet2Char"/>
              </w:rPr>
              <w:t>Centre NSW, Australian Commercial Dispute Centre</w:t>
            </w:r>
          </w:p>
        </w:tc>
        <w:tc>
          <w:tcPr>
            <w:tcW w:w="1526" w:type="dxa"/>
          </w:tcPr>
          <w:p w14:paraId="5F79FC4F"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65D13D49" w14:textId="77777777" w:rsidR="009E0BCB" w:rsidRPr="007A3600" w:rsidRDefault="009E0BCB"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27290A83" w14:textId="77777777" w:rsidR="009E0BCB" w:rsidRPr="007A3600" w:rsidRDefault="009E0BCB"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6C851A21" w14:textId="77777777" w:rsidR="009E0BCB" w:rsidRPr="007A3600" w:rsidRDefault="009E0BCB"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12</w:t>
            </w:r>
          </w:p>
        </w:tc>
      </w:tr>
      <w:tr w:rsidR="00230C97" w:rsidRPr="007A3600" w14:paraId="79B5666A"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7A51BCED"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t>Mrs Joan McKenna Kerr</w:t>
            </w:r>
          </w:p>
        </w:tc>
        <w:tc>
          <w:tcPr>
            <w:tcW w:w="1807" w:type="dxa"/>
          </w:tcPr>
          <w:p w14:paraId="2CC9D22D"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t>BA, Moderatorship in Sociology, Trinity College, Dublin</w:t>
            </w:r>
          </w:p>
        </w:tc>
        <w:tc>
          <w:tcPr>
            <w:tcW w:w="5254" w:type="dxa"/>
          </w:tcPr>
          <w:p w14:paraId="5590C869" w14:textId="77777777" w:rsidR="009E0BCB" w:rsidRPr="007A3600" w:rsidRDefault="009E0BCB" w:rsidP="00B21D58">
            <w:pPr>
              <w:pStyle w:val="Tablebullet"/>
              <w:rPr>
                <w:rFonts w:eastAsia="Calibri"/>
              </w:rPr>
            </w:pPr>
            <w:r w:rsidRPr="007A3600">
              <w:rPr>
                <w:rFonts w:eastAsia="Calibri"/>
              </w:rPr>
              <w:t>Convenor:</w:t>
            </w:r>
          </w:p>
          <w:p w14:paraId="2E654999" w14:textId="77777777" w:rsidR="009E0BCB" w:rsidRPr="007A3600" w:rsidRDefault="009E0BCB" w:rsidP="00B21D58">
            <w:pPr>
              <w:pStyle w:val="Tablebullet2"/>
            </w:pPr>
            <w:r w:rsidRPr="007A3600">
              <w:t>Asia Pacific Autism Conference 2025</w:t>
            </w:r>
          </w:p>
          <w:p w14:paraId="7EC54A2B" w14:textId="77777777" w:rsidR="009E0BCB" w:rsidRPr="007A3600" w:rsidRDefault="009E0BCB" w:rsidP="00B21D58">
            <w:pPr>
              <w:pStyle w:val="Tablebullet"/>
              <w:rPr>
                <w:rFonts w:eastAsia="Calibri"/>
              </w:rPr>
            </w:pPr>
            <w:r w:rsidRPr="007A3600">
              <w:rPr>
                <w:rFonts w:eastAsia="Calibri"/>
              </w:rPr>
              <w:t>Chair:</w:t>
            </w:r>
          </w:p>
          <w:p w14:paraId="71BB60C9" w14:textId="77777777" w:rsidR="009E0BCB" w:rsidRPr="007A3600" w:rsidRDefault="009E0BCB" w:rsidP="00B21D58">
            <w:pPr>
              <w:pStyle w:val="Tablebullet2"/>
            </w:pPr>
            <w:r w:rsidRPr="007A3600">
              <w:t>Australian Advisory Board on Autism</w:t>
            </w:r>
          </w:p>
          <w:p w14:paraId="3C7CE0F4" w14:textId="77777777" w:rsidR="009E0BCB" w:rsidRPr="007A3600" w:rsidRDefault="009E0BCB" w:rsidP="00B21D58">
            <w:pPr>
              <w:pStyle w:val="Tablebullet"/>
              <w:rPr>
                <w:rFonts w:eastAsia="Calibri"/>
              </w:rPr>
            </w:pPr>
            <w:r w:rsidRPr="007A3600">
              <w:rPr>
                <w:rFonts w:eastAsia="Calibri"/>
              </w:rPr>
              <w:t>Co-chair:</w:t>
            </w:r>
          </w:p>
          <w:p w14:paraId="1DCEB3B4" w14:textId="77777777" w:rsidR="009E0BCB" w:rsidRPr="007A3600" w:rsidRDefault="009E0BCB" w:rsidP="00B21D58">
            <w:pPr>
              <w:pStyle w:val="Tablebullet2"/>
            </w:pPr>
            <w:r w:rsidRPr="007A3600">
              <w:t>NDIS Working Party on Eligibility and Assessment</w:t>
            </w:r>
          </w:p>
          <w:p w14:paraId="1DD0C9AC" w14:textId="77777777" w:rsidR="009E0BCB" w:rsidRPr="007A3600" w:rsidRDefault="009E0BCB" w:rsidP="00B21D58">
            <w:pPr>
              <w:pStyle w:val="Tablebullet"/>
              <w:rPr>
                <w:rFonts w:eastAsia="Calibri"/>
              </w:rPr>
            </w:pPr>
            <w:r w:rsidRPr="007A3600">
              <w:rPr>
                <w:rFonts w:eastAsia="Calibri"/>
              </w:rPr>
              <w:t xml:space="preserve">Member: </w:t>
            </w:r>
          </w:p>
          <w:p w14:paraId="6DD597AF" w14:textId="77777777" w:rsidR="009E0BCB" w:rsidRPr="007A3600" w:rsidRDefault="009E0BCB" w:rsidP="00B21D58">
            <w:pPr>
              <w:pStyle w:val="Tablebullet2"/>
            </w:pPr>
            <w:r w:rsidRPr="007A3600">
              <w:t>expert advisory group on the development and establishment of the NDIS</w:t>
            </w:r>
          </w:p>
          <w:p w14:paraId="36290A5D" w14:textId="77777777" w:rsidR="009E0BCB" w:rsidRPr="007A3600" w:rsidRDefault="009E0BCB" w:rsidP="00B21D58">
            <w:pPr>
              <w:pStyle w:val="Tablebullet2"/>
            </w:pPr>
            <w:r w:rsidRPr="007A3600">
              <w:lastRenderedPageBreak/>
              <w:t>NDIS Independent Advisory Council</w:t>
            </w:r>
          </w:p>
          <w:p w14:paraId="5F7F59F1" w14:textId="77777777" w:rsidR="009E0BCB" w:rsidRPr="007A3600" w:rsidRDefault="009E0BCB" w:rsidP="00B21D58">
            <w:pPr>
              <w:pStyle w:val="Tablebullet"/>
              <w:rPr>
                <w:rFonts w:eastAsia="Calibri"/>
              </w:rPr>
            </w:pPr>
            <w:r w:rsidRPr="007A3600">
              <w:rPr>
                <w:rFonts w:eastAsia="Calibri"/>
              </w:rPr>
              <w:t>President:</w:t>
            </w:r>
          </w:p>
          <w:p w14:paraId="33AA4952" w14:textId="77777777" w:rsidR="009E0BCB" w:rsidRPr="007A3600" w:rsidRDefault="009E0BCB" w:rsidP="00B21D58">
            <w:pPr>
              <w:pStyle w:val="Tablebullet2"/>
            </w:pPr>
            <w:r w:rsidRPr="007A3600">
              <w:t>National Disability Services</w:t>
            </w:r>
          </w:p>
        </w:tc>
        <w:tc>
          <w:tcPr>
            <w:tcW w:w="1526" w:type="dxa"/>
          </w:tcPr>
          <w:p w14:paraId="26CB8F4E" w14:textId="77777777" w:rsidR="009E0BCB" w:rsidRPr="007A3600" w:rsidRDefault="009E0BCB"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6A4565DF" w14:textId="77777777" w:rsidR="009E0BCB" w:rsidRPr="007A3600" w:rsidRDefault="009E0BCB"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0362013E" w14:textId="77777777" w:rsidR="009E0BCB" w:rsidRPr="007A3600" w:rsidRDefault="009E0BCB"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61D66A35" w14:textId="77777777" w:rsidR="009E0BCB" w:rsidRPr="007A3600" w:rsidRDefault="009E0BCB"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10</w:t>
            </w:r>
          </w:p>
        </w:tc>
      </w:tr>
      <w:tr w:rsidR="00230C97" w:rsidRPr="007A3600" w14:paraId="01A57D02" w14:textId="77777777" w:rsidTr="00230C97">
        <w:trPr>
          <w:trHeight w:val="520"/>
        </w:trPr>
        <w:tc>
          <w:tcPr>
            <w:tcW w:w="1581" w:type="dxa"/>
          </w:tcPr>
          <w:p w14:paraId="6FE7F6C7" w14:textId="77777777" w:rsidR="002E1C17" w:rsidRPr="007A3600" w:rsidRDefault="002E1C17"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Dr Denis Napthine AO</w:t>
            </w:r>
          </w:p>
        </w:tc>
        <w:tc>
          <w:tcPr>
            <w:tcW w:w="1807" w:type="dxa"/>
          </w:tcPr>
          <w:p w14:paraId="30F3324B" w14:textId="77777777" w:rsidR="002E1C17" w:rsidRPr="007A3600" w:rsidRDefault="002E1C17"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BVSc, MVetSc, University of Melbourne; MBA, Deakin University</w:t>
            </w:r>
          </w:p>
        </w:tc>
        <w:tc>
          <w:tcPr>
            <w:tcW w:w="5254" w:type="dxa"/>
          </w:tcPr>
          <w:p w14:paraId="7CDD46C7" w14:textId="77777777" w:rsidR="002E1C17" w:rsidRPr="007A3600" w:rsidRDefault="002E1C17" w:rsidP="00B21D58">
            <w:pPr>
              <w:pStyle w:val="Tablebullet"/>
              <w:rPr>
                <w:rFonts w:eastAsia="Calibri"/>
              </w:rPr>
            </w:pPr>
            <w:r w:rsidRPr="007A3600">
              <w:rPr>
                <w:rFonts w:eastAsia="Calibri"/>
              </w:rPr>
              <w:t>Chair:</w:t>
            </w:r>
          </w:p>
          <w:p w14:paraId="4FF130D6" w14:textId="77777777" w:rsidR="002E1C17" w:rsidRPr="007A3600" w:rsidRDefault="002E1C17" w:rsidP="003703BC">
            <w:pPr>
              <w:pStyle w:val="Tablebullet2"/>
            </w:pPr>
            <w:r w:rsidRPr="007A3600">
              <w:t>NDIA Board, 2022</w:t>
            </w:r>
          </w:p>
          <w:p w14:paraId="72EB54FC" w14:textId="77777777" w:rsidR="002E1C17" w:rsidRPr="007A3600" w:rsidRDefault="002E1C17" w:rsidP="00B21D58">
            <w:pPr>
              <w:pStyle w:val="Tablebullet"/>
              <w:ind w:left="357" w:hanging="357"/>
            </w:pPr>
            <w:r w:rsidRPr="007A3600">
              <w:rPr>
                <w:rFonts w:eastAsia="Calibri"/>
              </w:rPr>
              <w:t>Premier of Victoria, 2013–2014</w:t>
            </w:r>
          </w:p>
          <w:p w14:paraId="4928402E" w14:textId="77777777" w:rsidR="002E1C17" w:rsidRPr="007A3600" w:rsidRDefault="002E1C17" w:rsidP="00B21D58">
            <w:pPr>
              <w:pStyle w:val="Tablebullet"/>
              <w:ind w:left="357" w:hanging="357"/>
            </w:pPr>
            <w:r w:rsidRPr="007A3600">
              <w:rPr>
                <w:rFonts w:eastAsia="Calibri"/>
              </w:rPr>
              <w:t>Minister Community Services (inc. disability services), 1996–1999</w:t>
            </w:r>
          </w:p>
          <w:p w14:paraId="28330FA3" w14:textId="77777777" w:rsidR="002E1C17" w:rsidRPr="007A3600" w:rsidRDefault="002E1C17" w:rsidP="00B21D58">
            <w:pPr>
              <w:pStyle w:val="Tablebullet"/>
              <w:rPr>
                <w:rFonts w:eastAsia="Calibri"/>
              </w:rPr>
            </w:pPr>
            <w:r w:rsidRPr="007A3600">
              <w:rPr>
                <w:rFonts w:eastAsia="Calibri"/>
              </w:rPr>
              <w:t>Director:</w:t>
            </w:r>
          </w:p>
          <w:p w14:paraId="49EB9B68" w14:textId="77777777" w:rsidR="002E1C17" w:rsidRPr="007A3600" w:rsidRDefault="002E1C17" w:rsidP="00B21D58">
            <w:pPr>
              <w:pStyle w:val="Tablebullet2"/>
            </w:pPr>
            <w:r w:rsidRPr="007A3600">
              <w:t>GMHBA Limited</w:t>
            </w:r>
          </w:p>
          <w:p w14:paraId="6EB5D1A6" w14:textId="77777777" w:rsidR="002E1C17" w:rsidRPr="007A3600" w:rsidRDefault="002E1C17" w:rsidP="00B21D58">
            <w:pPr>
              <w:pStyle w:val="Tablebullet"/>
              <w:ind w:left="357" w:hanging="357"/>
            </w:pPr>
            <w:r w:rsidRPr="007A3600">
              <w:rPr>
                <w:rFonts w:eastAsia="Calibri"/>
              </w:rPr>
              <w:t>Various senior government positions</w:t>
            </w:r>
          </w:p>
          <w:p w14:paraId="5038CA96" w14:textId="77777777" w:rsidR="002E1C17" w:rsidRPr="007A3600" w:rsidRDefault="002E1C17" w:rsidP="00B21D58">
            <w:pPr>
              <w:pStyle w:val="Tablebullet"/>
              <w:ind w:left="357" w:hanging="357"/>
              <w:rPr>
                <w:lang w:val="en-US"/>
              </w:rPr>
            </w:pPr>
            <w:r w:rsidRPr="007A3600">
              <w:rPr>
                <w:rFonts w:eastAsia="Calibri"/>
              </w:rPr>
              <w:t>Experience in disability services, financial management and corporate governance</w:t>
            </w:r>
          </w:p>
        </w:tc>
        <w:tc>
          <w:tcPr>
            <w:tcW w:w="1526" w:type="dxa"/>
          </w:tcPr>
          <w:p w14:paraId="2DC0AAF2" w14:textId="77777777" w:rsidR="002E1C17" w:rsidRPr="007A3600" w:rsidRDefault="002E1C17"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Board member / non-executive</w:t>
            </w:r>
          </w:p>
        </w:tc>
        <w:tc>
          <w:tcPr>
            <w:tcW w:w="1247" w:type="dxa"/>
          </w:tcPr>
          <w:p w14:paraId="536AC035" w14:textId="77777777" w:rsidR="002E1C17" w:rsidRPr="007A3600" w:rsidRDefault="002E1C17"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415C973B" w14:textId="77777777" w:rsidR="002E1C17" w:rsidRPr="007A3600" w:rsidRDefault="002E1C17"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18229471" w14:textId="77777777" w:rsidR="002E1C17" w:rsidRPr="007A3600" w:rsidRDefault="002E1C17"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11</w:t>
            </w:r>
          </w:p>
        </w:tc>
      </w:tr>
      <w:tr w:rsidR="00230C97" w:rsidRPr="007A3600" w14:paraId="379CC50A" w14:textId="77777777" w:rsidTr="00230C97">
        <w:trPr>
          <w:cnfStyle w:val="000000100000" w:firstRow="0" w:lastRow="0" w:firstColumn="0" w:lastColumn="0" w:oddVBand="0" w:evenVBand="0" w:oddHBand="1" w:evenHBand="0" w:firstRowFirstColumn="0" w:firstRowLastColumn="0" w:lastRowFirstColumn="0" w:lastRowLastColumn="0"/>
          <w:trHeight w:val="519"/>
        </w:trPr>
        <w:tc>
          <w:tcPr>
            <w:tcW w:w="1581" w:type="dxa"/>
          </w:tcPr>
          <w:p w14:paraId="1670905D"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lastRenderedPageBreak/>
              <w:t>Ms Estelle Pearson</w:t>
            </w:r>
          </w:p>
        </w:tc>
        <w:tc>
          <w:tcPr>
            <w:tcW w:w="1807" w:type="dxa"/>
          </w:tcPr>
          <w:p w14:paraId="775EFC2D"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BA (Hons) (Mathematics), University of Oxford; Fellow of the Institute of Actuaries of Australia</w:t>
            </w:r>
          </w:p>
        </w:tc>
        <w:tc>
          <w:tcPr>
            <w:tcW w:w="5254" w:type="dxa"/>
          </w:tcPr>
          <w:p w14:paraId="11FD33A0" w14:textId="77777777" w:rsidR="004B6102" w:rsidRPr="007A3600" w:rsidRDefault="004B6102" w:rsidP="00B21D58">
            <w:pPr>
              <w:pStyle w:val="Tablebullet"/>
              <w:rPr>
                <w:rFonts w:eastAsia="Calibri"/>
              </w:rPr>
            </w:pPr>
            <w:r w:rsidRPr="007A3600">
              <w:rPr>
                <w:rFonts w:eastAsia="Calibri"/>
              </w:rPr>
              <w:t>Director:</w:t>
            </w:r>
          </w:p>
          <w:p w14:paraId="39B23C8B" w14:textId="77777777" w:rsidR="004B6102" w:rsidRPr="007A3600" w:rsidRDefault="004B6102" w:rsidP="00B21D58">
            <w:pPr>
              <w:pStyle w:val="Tablebullet2"/>
            </w:pPr>
            <w:r w:rsidRPr="007A3600">
              <w:t>Finity Consulting Pty Limited</w:t>
            </w:r>
          </w:p>
          <w:p w14:paraId="05C97BEA" w14:textId="77777777" w:rsidR="004B6102" w:rsidRPr="007A3600" w:rsidRDefault="004B6102" w:rsidP="00B21D58">
            <w:pPr>
              <w:pStyle w:val="Tablebullet"/>
              <w:rPr>
                <w:rFonts w:eastAsia="Calibri"/>
              </w:rPr>
            </w:pPr>
            <w:r w:rsidRPr="007A3600">
              <w:rPr>
                <w:rFonts w:eastAsia="Calibri"/>
              </w:rPr>
              <w:t>President:</w:t>
            </w:r>
          </w:p>
          <w:p w14:paraId="1DA36433" w14:textId="77777777" w:rsidR="004B6102" w:rsidRPr="007A3600" w:rsidRDefault="004B6102" w:rsidP="00B21D58">
            <w:pPr>
              <w:pStyle w:val="Tablebullet2"/>
            </w:pPr>
            <w:r w:rsidRPr="007A3600">
              <w:t>Council of the Actuaries Institute, 2015</w:t>
            </w:r>
          </w:p>
          <w:p w14:paraId="2047C81A" w14:textId="77777777" w:rsidR="004B6102" w:rsidRPr="007A3600" w:rsidRDefault="004B6102" w:rsidP="00B21D58">
            <w:pPr>
              <w:pStyle w:val="Tablebullet2"/>
              <w:rPr>
                <w:lang w:val="en-US"/>
              </w:rPr>
            </w:pPr>
            <w:r w:rsidRPr="007A3600">
              <w:t>Actuary and consultant since 1989 (including experience in insurance and injury compensation)</w:t>
            </w:r>
          </w:p>
        </w:tc>
        <w:tc>
          <w:tcPr>
            <w:tcW w:w="1526" w:type="dxa"/>
          </w:tcPr>
          <w:p w14:paraId="7CD46389"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Board member / non-executive</w:t>
            </w:r>
          </w:p>
        </w:tc>
        <w:tc>
          <w:tcPr>
            <w:tcW w:w="1247" w:type="dxa"/>
          </w:tcPr>
          <w:p w14:paraId="7AFB73A8"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1 July 2024</w:t>
            </w:r>
          </w:p>
        </w:tc>
        <w:tc>
          <w:tcPr>
            <w:tcW w:w="1247" w:type="dxa"/>
          </w:tcPr>
          <w:p w14:paraId="1B90DBA9"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30 June 2025</w:t>
            </w:r>
          </w:p>
        </w:tc>
        <w:tc>
          <w:tcPr>
            <w:tcW w:w="1294" w:type="dxa"/>
          </w:tcPr>
          <w:p w14:paraId="1F479DF7" w14:textId="77777777" w:rsidR="004B6102" w:rsidRPr="007A3600" w:rsidRDefault="004B6102" w:rsidP="00B21D58">
            <w:pPr>
              <w:widowControl w:val="0"/>
              <w:autoSpaceDE w:val="0"/>
              <w:autoSpaceDN w:val="0"/>
              <w:spacing w:before="1" w:after="0" w:line="240" w:lineRule="auto"/>
              <w:jc w:val="right"/>
              <w:rPr>
                <w:rFonts w:eastAsia="Calibri" w:cs="Arial"/>
                <w:lang w:val="en-US" w:eastAsia="en-US"/>
              </w:rPr>
            </w:pPr>
            <w:r w:rsidRPr="007A3600">
              <w:rPr>
                <w:rFonts w:eastAsia="Calibri" w:cs="Arial"/>
                <w:lang w:val="en-US" w:eastAsia="en-US"/>
              </w:rPr>
              <w:t>10</w:t>
            </w:r>
          </w:p>
        </w:tc>
      </w:tr>
      <w:tr w:rsidR="00230C97" w:rsidRPr="007A3600" w14:paraId="1EB59D34" w14:textId="77777777" w:rsidTr="00230C97">
        <w:trPr>
          <w:trHeight w:val="520"/>
        </w:trPr>
        <w:tc>
          <w:tcPr>
            <w:tcW w:w="1581" w:type="dxa"/>
          </w:tcPr>
          <w:p w14:paraId="58B2E9A1"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Ms Leah van Poppel</w:t>
            </w:r>
          </w:p>
        </w:tc>
        <w:tc>
          <w:tcPr>
            <w:tcW w:w="1807" w:type="dxa"/>
          </w:tcPr>
          <w:p w14:paraId="62B9BD99"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BA, Macquarie University</w:t>
            </w:r>
          </w:p>
        </w:tc>
        <w:tc>
          <w:tcPr>
            <w:tcW w:w="5254" w:type="dxa"/>
          </w:tcPr>
          <w:p w14:paraId="0AAB76F2" w14:textId="77777777" w:rsidR="00CF6ACF" w:rsidRPr="007A3600" w:rsidRDefault="00CF6ACF" w:rsidP="00B21D58">
            <w:pPr>
              <w:pStyle w:val="Tablebullet"/>
              <w:rPr>
                <w:rFonts w:eastAsia="Calibri"/>
              </w:rPr>
            </w:pPr>
            <w:r w:rsidRPr="007A3600">
              <w:rPr>
                <w:rFonts w:eastAsia="Calibri"/>
              </w:rPr>
              <w:t>Chair:</w:t>
            </w:r>
          </w:p>
          <w:p w14:paraId="6EFEC5A7" w14:textId="77777777" w:rsidR="00CF6ACF" w:rsidRPr="007A3600" w:rsidRDefault="00CF6ACF" w:rsidP="00B21D58">
            <w:pPr>
              <w:pStyle w:val="Tablebullet2"/>
            </w:pPr>
            <w:r w:rsidRPr="007A3600">
              <w:t>Victorian NDIS Community Advisory Council</w:t>
            </w:r>
          </w:p>
          <w:p w14:paraId="3EF18A29" w14:textId="77777777" w:rsidR="00CF6ACF" w:rsidRPr="007A3600" w:rsidRDefault="00CF6ACF" w:rsidP="00B21D58">
            <w:pPr>
              <w:pStyle w:val="Tablebullet"/>
              <w:rPr>
                <w:rFonts w:eastAsia="Calibri"/>
              </w:rPr>
            </w:pPr>
            <w:r w:rsidRPr="007A3600">
              <w:rPr>
                <w:rFonts w:eastAsia="Calibri"/>
              </w:rPr>
              <w:t>Principal member:</w:t>
            </w:r>
          </w:p>
          <w:p w14:paraId="534E0F59" w14:textId="77777777" w:rsidR="00CF6ACF" w:rsidRPr="007A3600" w:rsidRDefault="00CF6ACF" w:rsidP="00B21D58">
            <w:pPr>
              <w:pStyle w:val="Tablebullet2"/>
            </w:pPr>
            <w:r w:rsidRPr="007A3600">
              <w:t>NDIS Independent Advisory Council</w:t>
            </w:r>
          </w:p>
          <w:p w14:paraId="74AFBBF8" w14:textId="77777777" w:rsidR="00CF6ACF" w:rsidRPr="007A3600" w:rsidRDefault="00CF6ACF" w:rsidP="00B21D58">
            <w:pPr>
              <w:pStyle w:val="Tablebullet"/>
              <w:rPr>
                <w:rFonts w:eastAsia="Calibri"/>
              </w:rPr>
            </w:pPr>
            <w:r w:rsidRPr="007A3600">
              <w:rPr>
                <w:rFonts w:eastAsia="Calibri"/>
              </w:rPr>
              <w:t>CEO:</w:t>
            </w:r>
          </w:p>
          <w:p w14:paraId="14CB15DA" w14:textId="77777777" w:rsidR="00CF6ACF" w:rsidRPr="007A3600" w:rsidRDefault="00CF6ACF" w:rsidP="00B21D58">
            <w:pPr>
              <w:pStyle w:val="Tablebullet2"/>
            </w:pPr>
            <w:r w:rsidRPr="007A3600">
              <w:lastRenderedPageBreak/>
              <w:t>Women with Disabilities Victoria, 2018–2021</w:t>
            </w:r>
          </w:p>
          <w:p w14:paraId="4E12104E" w14:textId="77777777" w:rsidR="00CF6ACF" w:rsidRPr="007A3600" w:rsidRDefault="00CF6ACF" w:rsidP="00B21D58">
            <w:pPr>
              <w:pStyle w:val="Tablebullet2"/>
            </w:pPr>
            <w:r w:rsidRPr="007A3600">
              <w:t>Blind Citizens Australia</w:t>
            </w:r>
          </w:p>
          <w:p w14:paraId="26085E73" w14:textId="77777777" w:rsidR="00CF6ACF" w:rsidRPr="007A3600" w:rsidRDefault="00CF6ACF" w:rsidP="00B21D58">
            <w:pPr>
              <w:pStyle w:val="Tablebullet"/>
              <w:rPr>
                <w:rFonts w:eastAsia="Calibri"/>
              </w:rPr>
            </w:pPr>
            <w:r w:rsidRPr="007A3600">
              <w:rPr>
                <w:rFonts w:eastAsia="Calibri"/>
              </w:rPr>
              <w:t>Manager:</w:t>
            </w:r>
          </w:p>
          <w:p w14:paraId="2A1C1AA6" w14:textId="77777777" w:rsidR="00CF6ACF" w:rsidRPr="007A3600" w:rsidRDefault="00CF6ACF" w:rsidP="00B21D58">
            <w:pPr>
              <w:pStyle w:val="Tablebullet2"/>
            </w:pPr>
            <w:r w:rsidRPr="007A3600">
              <w:t>Youth Disability Advocacy Service</w:t>
            </w:r>
          </w:p>
          <w:p w14:paraId="133726FA" w14:textId="77777777" w:rsidR="00CF6ACF" w:rsidRPr="007A3600" w:rsidRDefault="00CF6ACF" w:rsidP="00B21D58">
            <w:pPr>
              <w:pStyle w:val="Tablebullet2"/>
            </w:pPr>
            <w:r w:rsidRPr="007A3600">
              <w:t>NDIS Readiness Project Officer</w:t>
            </w:r>
          </w:p>
          <w:p w14:paraId="45DF0209" w14:textId="77777777" w:rsidR="00CF6ACF" w:rsidRPr="007A3600" w:rsidRDefault="00CF6ACF" w:rsidP="00B21D58">
            <w:pPr>
              <w:pStyle w:val="Tablebullet2"/>
              <w:rPr>
                <w:lang w:val="en-US"/>
              </w:rPr>
            </w:pPr>
            <w:r w:rsidRPr="007A3600">
              <w:t>Australian Federation of Disability Organisations</w:t>
            </w:r>
          </w:p>
        </w:tc>
        <w:tc>
          <w:tcPr>
            <w:tcW w:w="1526" w:type="dxa"/>
          </w:tcPr>
          <w:p w14:paraId="175DFC79"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lastRenderedPageBreak/>
              <w:t>Board member / non-executive</w:t>
            </w:r>
          </w:p>
        </w:tc>
        <w:tc>
          <w:tcPr>
            <w:tcW w:w="1247" w:type="dxa"/>
          </w:tcPr>
          <w:p w14:paraId="0BAB6256" w14:textId="77777777" w:rsidR="00CF6ACF" w:rsidRPr="007A3600" w:rsidRDefault="00CF6ACF"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1 July 2024</w:t>
            </w:r>
          </w:p>
        </w:tc>
        <w:tc>
          <w:tcPr>
            <w:tcW w:w="1247" w:type="dxa"/>
          </w:tcPr>
          <w:p w14:paraId="48E82F72" w14:textId="77777777" w:rsidR="00CF6ACF" w:rsidRPr="007A3600" w:rsidRDefault="00CF6ACF"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30 June 2025</w:t>
            </w:r>
          </w:p>
        </w:tc>
        <w:tc>
          <w:tcPr>
            <w:tcW w:w="1294" w:type="dxa"/>
          </w:tcPr>
          <w:p w14:paraId="0E70F6B8" w14:textId="77777777" w:rsidR="00CF6ACF" w:rsidRPr="007A3600" w:rsidRDefault="00CF6ACF" w:rsidP="00B21D58">
            <w:pPr>
              <w:widowControl w:val="0"/>
              <w:autoSpaceDE w:val="0"/>
              <w:autoSpaceDN w:val="0"/>
              <w:spacing w:before="1" w:after="0" w:line="240" w:lineRule="auto"/>
              <w:jc w:val="right"/>
              <w:rPr>
                <w:rFonts w:eastAsia="Calibri" w:cs="Arial"/>
                <w:lang w:val="en-US" w:eastAsia="en-US"/>
              </w:rPr>
            </w:pPr>
            <w:r w:rsidRPr="007A3600">
              <w:rPr>
                <w:rFonts w:eastAsia="Calibri" w:cs="Arial"/>
                <w:lang w:val="en-US" w:eastAsia="en-US"/>
              </w:rPr>
              <w:t>11</w:t>
            </w:r>
          </w:p>
        </w:tc>
      </w:tr>
      <w:tr w:rsidR="00230C97" w:rsidRPr="007A3600" w14:paraId="4BAAEBED"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3B57EDB0" w14:textId="77777777" w:rsidR="00CF6ACF" w:rsidRPr="007A3600" w:rsidRDefault="00CF6ACF" w:rsidP="00B21D58">
            <w:pPr>
              <w:widowControl w:val="0"/>
              <w:autoSpaceDE w:val="0"/>
              <w:autoSpaceDN w:val="0"/>
              <w:spacing w:after="0" w:line="240" w:lineRule="auto"/>
              <w:rPr>
                <w:rFonts w:eastAsia="Calibri" w:cs="Arial"/>
                <w:lang w:eastAsia="en-US"/>
              </w:rPr>
            </w:pPr>
            <w:r w:rsidRPr="007A3600">
              <w:rPr>
                <w:rFonts w:eastAsia="Calibri" w:cs="Arial"/>
                <w:lang w:eastAsia="en-US"/>
              </w:rPr>
              <w:t>Dr Ian Watt AC</w:t>
            </w:r>
          </w:p>
        </w:tc>
        <w:tc>
          <w:tcPr>
            <w:tcW w:w="1807" w:type="dxa"/>
          </w:tcPr>
          <w:p w14:paraId="37463E79" w14:textId="77777777" w:rsidR="00CF6ACF" w:rsidRPr="007A3600" w:rsidRDefault="00CF6ACF" w:rsidP="00B21D58">
            <w:pPr>
              <w:widowControl w:val="0"/>
              <w:autoSpaceDE w:val="0"/>
              <w:autoSpaceDN w:val="0"/>
              <w:spacing w:after="0" w:line="240" w:lineRule="auto"/>
              <w:rPr>
                <w:rFonts w:eastAsia="Calibri" w:cs="Arial"/>
                <w:lang w:eastAsia="en-US"/>
              </w:rPr>
            </w:pPr>
            <w:r w:rsidRPr="007A3600">
              <w:rPr>
                <w:rFonts w:eastAsia="Calibri" w:cs="Arial"/>
                <w:lang w:eastAsia="en-US"/>
              </w:rPr>
              <w:t xml:space="preserve">BCom (Hons) University of Melbourne; Masters and Doctorate, La Trobe University; </w:t>
            </w:r>
            <w:r w:rsidRPr="007A3600">
              <w:rPr>
                <w:rFonts w:eastAsia="Calibri" w:cs="Arial"/>
                <w:lang w:eastAsia="en-US"/>
              </w:rPr>
              <w:lastRenderedPageBreak/>
              <w:t xml:space="preserve">Advanced Management Program, Harvard Business School; Honorary Doctorates of Letters, University of Technology Sydney and the University of Wollongong; Fellow, </w:t>
            </w:r>
            <w:r w:rsidRPr="007A3600">
              <w:t xml:space="preserve">Australia and New Zealand </w:t>
            </w:r>
            <w:r w:rsidRPr="007A3600">
              <w:lastRenderedPageBreak/>
              <w:t>School of Government, Institute of Public Administration Australia</w:t>
            </w:r>
          </w:p>
        </w:tc>
        <w:tc>
          <w:tcPr>
            <w:tcW w:w="5254" w:type="dxa"/>
          </w:tcPr>
          <w:p w14:paraId="1CD77104" w14:textId="77777777" w:rsidR="00CF6ACF" w:rsidRPr="007A3600" w:rsidRDefault="00CF6ACF" w:rsidP="00B21D58">
            <w:pPr>
              <w:pStyle w:val="Tablebullet"/>
              <w:rPr>
                <w:rFonts w:eastAsia="Calibri"/>
              </w:rPr>
            </w:pPr>
            <w:r w:rsidRPr="007A3600">
              <w:rPr>
                <w:rFonts w:eastAsia="Calibri"/>
              </w:rPr>
              <w:lastRenderedPageBreak/>
              <w:t>Chair:</w:t>
            </w:r>
          </w:p>
          <w:p w14:paraId="10175DC1" w14:textId="77777777" w:rsidR="00CF6ACF" w:rsidRPr="007A3600" w:rsidRDefault="00CF6ACF" w:rsidP="00B21D58">
            <w:pPr>
              <w:pStyle w:val="Tablebullet2"/>
            </w:pPr>
            <w:r w:rsidRPr="007A3600">
              <w:t>International Centre for Democratic Partnerships</w:t>
            </w:r>
          </w:p>
          <w:p w14:paraId="6B746A89" w14:textId="77777777" w:rsidR="00CF6ACF" w:rsidRPr="007A3600" w:rsidRDefault="00CF6ACF" w:rsidP="00B21D58">
            <w:pPr>
              <w:pStyle w:val="Tablebullet2"/>
            </w:pPr>
            <w:r w:rsidRPr="007A3600">
              <w:t>ADC Advisory Council</w:t>
            </w:r>
          </w:p>
          <w:p w14:paraId="6C27F72A" w14:textId="77777777" w:rsidR="00CF6ACF" w:rsidRPr="007A3600" w:rsidRDefault="00CF6ACF" w:rsidP="00B21D58">
            <w:pPr>
              <w:pStyle w:val="Tablebullet2"/>
            </w:pPr>
            <w:r w:rsidRPr="007A3600">
              <w:t>Australian Governance and Ethical Index Fund Advisory Board</w:t>
            </w:r>
          </w:p>
          <w:p w14:paraId="5441E797" w14:textId="77777777" w:rsidR="00CF6ACF" w:rsidRPr="007A3600" w:rsidRDefault="00CF6ACF" w:rsidP="00B21D58">
            <w:pPr>
              <w:pStyle w:val="Tablebullet2"/>
            </w:pPr>
            <w:r w:rsidRPr="007A3600">
              <w:lastRenderedPageBreak/>
              <w:t>Smart Infrastructure Facility at the University of Wollongong</w:t>
            </w:r>
          </w:p>
          <w:p w14:paraId="7F5E63E5" w14:textId="77777777" w:rsidR="00CF6ACF" w:rsidRPr="007A3600" w:rsidRDefault="00CF6ACF" w:rsidP="00B21D58">
            <w:pPr>
              <w:pStyle w:val="Tablebullet2"/>
            </w:pPr>
            <w:r w:rsidRPr="007A3600">
              <w:t>Grattan Public Policy Committee</w:t>
            </w:r>
          </w:p>
          <w:p w14:paraId="632B3270" w14:textId="77777777" w:rsidR="00CF6ACF" w:rsidRPr="007A3600" w:rsidRDefault="00CF6ACF" w:rsidP="00B21D58">
            <w:pPr>
              <w:pStyle w:val="Tablebullet"/>
              <w:rPr>
                <w:rFonts w:eastAsia="Calibri"/>
              </w:rPr>
            </w:pPr>
            <w:r w:rsidRPr="007A3600">
              <w:rPr>
                <w:rFonts w:eastAsia="Calibri"/>
              </w:rPr>
              <w:t>Board member:</w:t>
            </w:r>
          </w:p>
          <w:p w14:paraId="0B3AE269" w14:textId="77777777" w:rsidR="00CF6ACF" w:rsidRPr="007A3600" w:rsidRDefault="00CF6ACF" w:rsidP="00B21D58">
            <w:pPr>
              <w:pStyle w:val="Tablebullet2"/>
            </w:pPr>
            <w:r w:rsidRPr="007A3600">
              <w:t>Smartgroup Corporation Ltd</w:t>
            </w:r>
          </w:p>
          <w:p w14:paraId="6D0C82F3" w14:textId="77777777" w:rsidR="00CF6ACF" w:rsidRPr="007A3600" w:rsidRDefault="00CF6ACF" w:rsidP="00B21D58">
            <w:pPr>
              <w:widowControl w:val="0"/>
              <w:autoSpaceDE w:val="0"/>
              <w:autoSpaceDN w:val="0"/>
              <w:spacing w:after="0" w:line="240" w:lineRule="auto"/>
              <w:ind w:left="720"/>
              <w:rPr>
                <w:rFonts w:eastAsia="Calibri" w:cs="Arial"/>
                <w:lang w:eastAsia="en-US"/>
              </w:rPr>
            </w:pPr>
            <w:r w:rsidRPr="007A3600">
              <w:rPr>
                <w:rFonts w:eastAsia="Calibri" w:cs="Arial"/>
                <w:lang w:eastAsia="en-US"/>
              </w:rPr>
              <w:t>O’Connell Street Associates Pty Ltd</w:t>
            </w:r>
          </w:p>
          <w:p w14:paraId="140895F2" w14:textId="77777777" w:rsidR="00CF6ACF" w:rsidRPr="007A3600" w:rsidRDefault="00CF6ACF" w:rsidP="00B21D58">
            <w:pPr>
              <w:pStyle w:val="Tablebullet"/>
              <w:rPr>
                <w:rFonts w:eastAsia="Calibri"/>
              </w:rPr>
            </w:pPr>
            <w:r w:rsidRPr="007A3600">
              <w:rPr>
                <w:rFonts w:eastAsia="Calibri"/>
              </w:rPr>
              <w:t>Member:</w:t>
            </w:r>
          </w:p>
          <w:p w14:paraId="286D2D85" w14:textId="77777777" w:rsidR="00CF6ACF" w:rsidRPr="007A3600" w:rsidRDefault="00CF6ACF" w:rsidP="00B21D58">
            <w:pPr>
              <w:pStyle w:val="Tablebullet2"/>
            </w:pPr>
            <w:r w:rsidRPr="007A3600">
              <w:t>Melbourne School of Government Advisory Board at the University of Melbourne</w:t>
            </w:r>
          </w:p>
          <w:p w14:paraId="7F782187" w14:textId="77777777" w:rsidR="00CF6ACF" w:rsidRPr="007A3600" w:rsidRDefault="00CF6ACF" w:rsidP="00B21D58">
            <w:pPr>
              <w:pStyle w:val="Tablebullet"/>
              <w:rPr>
                <w:rFonts w:eastAsia="Calibri"/>
              </w:rPr>
            </w:pPr>
            <w:r w:rsidRPr="007A3600">
              <w:rPr>
                <w:rFonts w:eastAsia="Calibri"/>
              </w:rPr>
              <w:t>Senior Adviser:</w:t>
            </w:r>
          </w:p>
          <w:p w14:paraId="3EAB2C8F" w14:textId="77777777" w:rsidR="00CF6ACF" w:rsidRPr="007A3600" w:rsidRDefault="00CF6ACF" w:rsidP="00B21D58">
            <w:pPr>
              <w:pStyle w:val="Tablebullet2"/>
            </w:pPr>
            <w:r w:rsidRPr="007A3600">
              <w:t>Flagstaff Partners</w:t>
            </w:r>
          </w:p>
          <w:p w14:paraId="47D92ECF" w14:textId="77777777" w:rsidR="00CF6ACF" w:rsidRPr="007A3600" w:rsidRDefault="00CF6ACF" w:rsidP="00B21D58">
            <w:pPr>
              <w:pStyle w:val="Tablebullet"/>
              <w:rPr>
                <w:rFonts w:eastAsia="Calibri"/>
              </w:rPr>
            </w:pPr>
            <w:r w:rsidRPr="007A3600">
              <w:rPr>
                <w:rFonts w:eastAsia="Calibri"/>
              </w:rPr>
              <w:t>Director:</w:t>
            </w:r>
          </w:p>
          <w:p w14:paraId="71E59243" w14:textId="77777777" w:rsidR="00CF6ACF" w:rsidRPr="007A3600" w:rsidRDefault="00CF6ACF" w:rsidP="00B21D58">
            <w:pPr>
              <w:pStyle w:val="Tablebullet2"/>
            </w:pPr>
            <w:r w:rsidRPr="007A3600">
              <w:lastRenderedPageBreak/>
              <w:t>Citibank Pty Ltd and the Committee for Economic Development of Australia</w:t>
            </w:r>
          </w:p>
        </w:tc>
        <w:tc>
          <w:tcPr>
            <w:tcW w:w="1526" w:type="dxa"/>
          </w:tcPr>
          <w:p w14:paraId="0F291718" w14:textId="77777777" w:rsidR="00CF6ACF" w:rsidRPr="007A3600" w:rsidRDefault="00CF6ACF" w:rsidP="00B21D58">
            <w:pPr>
              <w:widowControl w:val="0"/>
              <w:autoSpaceDE w:val="0"/>
              <w:autoSpaceDN w:val="0"/>
              <w:spacing w:after="0" w:line="240" w:lineRule="auto"/>
              <w:rPr>
                <w:rFonts w:eastAsia="Calibri" w:cs="Arial"/>
                <w:lang w:eastAsia="en-US"/>
              </w:rPr>
            </w:pPr>
            <w:r w:rsidRPr="007A3600">
              <w:rPr>
                <w:rFonts w:eastAsia="Calibri" w:cs="Arial"/>
                <w:lang w:eastAsia="en-US"/>
              </w:rPr>
              <w:lastRenderedPageBreak/>
              <w:t>Board member / non-executive</w:t>
            </w:r>
          </w:p>
        </w:tc>
        <w:tc>
          <w:tcPr>
            <w:tcW w:w="1247" w:type="dxa"/>
          </w:tcPr>
          <w:p w14:paraId="3667A5D9" w14:textId="77777777" w:rsidR="00CF6ACF" w:rsidRPr="007A3600" w:rsidRDefault="00CF6ACF"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28 August 2024</w:t>
            </w:r>
          </w:p>
        </w:tc>
        <w:tc>
          <w:tcPr>
            <w:tcW w:w="1247" w:type="dxa"/>
          </w:tcPr>
          <w:p w14:paraId="41523D2A" w14:textId="77777777" w:rsidR="00CF6ACF" w:rsidRPr="007A3600" w:rsidRDefault="00CF6ACF" w:rsidP="00073C3E">
            <w:pPr>
              <w:widowControl w:val="0"/>
              <w:autoSpaceDE w:val="0"/>
              <w:autoSpaceDN w:val="0"/>
              <w:spacing w:after="0" w:line="240" w:lineRule="auto"/>
              <w:rPr>
                <w:rFonts w:eastAsia="Calibri" w:cs="Arial"/>
                <w:lang w:val="en-US" w:eastAsia="en-US"/>
              </w:rPr>
            </w:pPr>
            <w:r w:rsidRPr="007A3600">
              <w:rPr>
                <w:rFonts w:eastAsia="Calibri" w:cs="Arial"/>
                <w:lang w:val="en-US" w:eastAsia="en-US"/>
              </w:rPr>
              <w:t>30 June 2025</w:t>
            </w:r>
          </w:p>
        </w:tc>
        <w:tc>
          <w:tcPr>
            <w:tcW w:w="1294" w:type="dxa"/>
          </w:tcPr>
          <w:p w14:paraId="0B014B1A" w14:textId="77777777" w:rsidR="00CF6ACF" w:rsidRPr="007A3600" w:rsidRDefault="00CF6ACF"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8</w:t>
            </w:r>
          </w:p>
        </w:tc>
      </w:tr>
      <w:tr w:rsidR="00230C97" w:rsidRPr="007A3600" w14:paraId="2904F2E4" w14:textId="77777777" w:rsidTr="00230C97">
        <w:trPr>
          <w:trHeight w:val="519"/>
        </w:trPr>
        <w:tc>
          <w:tcPr>
            <w:tcW w:w="1581" w:type="dxa"/>
          </w:tcPr>
          <w:p w14:paraId="42821DF5"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lastRenderedPageBreak/>
              <w:t>Ms Meredith Allan</w:t>
            </w:r>
          </w:p>
        </w:tc>
        <w:tc>
          <w:tcPr>
            <w:tcW w:w="1807" w:type="dxa"/>
          </w:tcPr>
          <w:p w14:paraId="14C4114E"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BEc, BA, Monash University</w:t>
            </w:r>
          </w:p>
        </w:tc>
        <w:tc>
          <w:tcPr>
            <w:tcW w:w="5254" w:type="dxa"/>
          </w:tcPr>
          <w:p w14:paraId="40D893E2" w14:textId="77777777" w:rsidR="004B6102" w:rsidRPr="007A3600" w:rsidRDefault="004B6102" w:rsidP="00B21D58">
            <w:pPr>
              <w:pStyle w:val="Tablebullet"/>
              <w:rPr>
                <w:rFonts w:eastAsia="Calibri"/>
              </w:rPr>
            </w:pPr>
            <w:r w:rsidRPr="007A3600">
              <w:rPr>
                <w:rFonts w:eastAsia="Calibri"/>
              </w:rPr>
              <w:t>President:</w:t>
            </w:r>
          </w:p>
          <w:p w14:paraId="4FAE27EE" w14:textId="77777777" w:rsidR="004B6102" w:rsidRPr="007A3600" w:rsidRDefault="004B6102" w:rsidP="00B21D58">
            <w:pPr>
              <w:pStyle w:val="Tablebullet2"/>
              <w:rPr>
                <w:lang w:val="en-US"/>
              </w:rPr>
            </w:pPr>
            <w:r w:rsidRPr="007A3600">
              <w:t>International Society of Alternative and Augmentative Communication, 2018–2020</w:t>
            </w:r>
          </w:p>
        </w:tc>
        <w:tc>
          <w:tcPr>
            <w:tcW w:w="1526" w:type="dxa"/>
          </w:tcPr>
          <w:p w14:paraId="673EC5B4" w14:textId="77777777" w:rsidR="004B6102" w:rsidRPr="007A3600" w:rsidRDefault="004B6102"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Board member / non-executive</w:t>
            </w:r>
          </w:p>
        </w:tc>
        <w:tc>
          <w:tcPr>
            <w:tcW w:w="1247" w:type="dxa"/>
          </w:tcPr>
          <w:p w14:paraId="6E3367F9"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1 July 2024</w:t>
            </w:r>
          </w:p>
        </w:tc>
        <w:tc>
          <w:tcPr>
            <w:tcW w:w="1247" w:type="dxa"/>
          </w:tcPr>
          <w:p w14:paraId="4528B6A4" w14:textId="77777777" w:rsidR="004B6102" w:rsidRPr="007A3600" w:rsidRDefault="004B6102" w:rsidP="00073C3E">
            <w:pPr>
              <w:widowControl w:val="0"/>
              <w:autoSpaceDE w:val="0"/>
              <w:autoSpaceDN w:val="0"/>
              <w:spacing w:before="1" w:after="0" w:line="240" w:lineRule="auto"/>
              <w:rPr>
                <w:rFonts w:eastAsia="Calibri" w:cs="Arial"/>
                <w:lang w:val="en-US" w:eastAsia="en-US"/>
              </w:rPr>
            </w:pPr>
            <w:r w:rsidRPr="007A3600">
              <w:rPr>
                <w:rFonts w:eastAsia="Calibri" w:cs="Arial"/>
                <w:lang w:val="en-US" w:eastAsia="en-US"/>
              </w:rPr>
              <w:t>31 December 2024</w:t>
            </w:r>
          </w:p>
        </w:tc>
        <w:tc>
          <w:tcPr>
            <w:tcW w:w="1294" w:type="dxa"/>
          </w:tcPr>
          <w:p w14:paraId="45F37CBB" w14:textId="77777777" w:rsidR="004B6102" w:rsidRPr="007A3600" w:rsidRDefault="004B6102" w:rsidP="00B21D58">
            <w:pPr>
              <w:widowControl w:val="0"/>
              <w:autoSpaceDE w:val="0"/>
              <w:autoSpaceDN w:val="0"/>
              <w:spacing w:before="1" w:after="0" w:line="240" w:lineRule="auto"/>
              <w:jc w:val="right"/>
              <w:rPr>
                <w:rFonts w:eastAsia="Calibri" w:cs="Arial"/>
                <w:lang w:val="en-US" w:eastAsia="en-US"/>
              </w:rPr>
            </w:pPr>
            <w:r w:rsidRPr="007A3600">
              <w:rPr>
                <w:rFonts w:eastAsia="Calibri" w:cs="Arial"/>
                <w:lang w:val="en-US" w:eastAsia="en-US"/>
              </w:rPr>
              <w:t>8</w:t>
            </w:r>
          </w:p>
        </w:tc>
      </w:tr>
      <w:tr w:rsidR="00230C97" w:rsidRPr="007A3600" w14:paraId="12E81274" w14:textId="77777777" w:rsidTr="00230C97">
        <w:trPr>
          <w:cnfStyle w:val="000000100000" w:firstRow="0" w:lastRow="0" w:firstColumn="0" w:lastColumn="0" w:oddVBand="0" w:evenVBand="0" w:oddHBand="1" w:evenHBand="0" w:firstRowFirstColumn="0" w:firstRowLastColumn="0" w:lastRowFirstColumn="0" w:lastRowLastColumn="0"/>
          <w:trHeight w:val="520"/>
        </w:trPr>
        <w:tc>
          <w:tcPr>
            <w:tcW w:w="1581" w:type="dxa"/>
          </w:tcPr>
          <w:p w14:paraId="60FEEE66"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Dr Peta Seaton AM</w:t>
            </w:r>
          </w:p>
        </w:tc>
        <w:tc>
          <w:tcPr>
            <w:tcW w:w="1807" w:type="dxa"/>
          </w:tcPr>
          <w:p w14:paraId="2F0CA5A2"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t xml:space="preserve">BA (Hons), PhD, University of Sydney; Graduate, Australian Institute of </w:t>
            </w:r>
            <w:r w:rsidRPr="007A3600">
              <w:rPr>
                <w:rFonts w:eastAsia="Calibri" w:cs="Arial"/>
                <w:lang w:eastAsia="en-US"/>
              </w:rPr>
              <w:lastRenderedPageBreak/>
              <w:t>Company Directors (AICD)</w:t>
            </w:r>
          </w:p>
        </w:tc>
        <w:tc>
          <w:tcPr>
            <w:tcW w:w="5254" w:type="dxa"/>
          </w:tcPr>
          <w:p w14:paraId="133B04E2" w14:textId="77777777" w:rsidR="00CF6ACF" w:rsidRPr="007A3600" w:rsidRDefault="00CF6ACF" w:rsidP="00B21D58">
            <w:pPr>
              <w:pStyle w:val="Tablebullet"/>
              <w:rPr>
                <w:rFonts w:eastAsia="Calibri"/>
              </w:rPr>
            </w:pPr>
            <w:r w:rsidRPr="007A3600">
              <w:rPr>
                <w:rFonts w:eastAsia="Calibri"/>
              </w:rPr>
              <w:lastRenderedPageBreak/>
              <w:t xml:space="preserve">Chair: </w:t>
            </w:r>
          </w:p>
          <w:p w14:paraId="5A36FB16" w14:textId="77777777" w:rsidR="00CF6ACF" w:rsidRPr="007A3600" w:rsidRDefault="00CF6ACF" w:rsidP="00B21D58">
            <w:pPr>
              <w:pStyle w:val="Tablebullet2"/>
            </w:pPr>
            <w:r w:rsidRPr="007A3600">
              <w:t>Hearing Australia</w:t>
            </w:r>
          </w:p>
          <w:p w14:paraId="0A4B628C" w14:textId="77777777" w:rsidR="00CF6ACF" w:rsidRPr="007A3600" w:rsidRDefault="00CF6ACF" w:rsidP="00B21D58">
            <w:pPr>
              <w:pStyle w:val="Tablebullet2"/>
            </w:pPr>
            <w:r w:rsidRPr="007A3600">
              <w:t>Near Eastern Archaeology Foundation (University of Sydney)</w:t>
            </w:r>
          </w:p>
          <w:p w14:paraId="09104963" w14:textId="77777777" w:rsidR="00CF6ACF" w:rsidRPr="007A3600" w:rsidRDefault="00CF6ACF" w:rsidP="00B21D58">
            <w:pPr>
              <w:pStyle w:val="Tablebullet"/>
              <w:rPr>
                <w:rFonts w:eastAsia="Calibri"/>
              </w:rPr>
            </w:pPr>
            <w:r w:rsidRPr="007A3600">
              <w:rPr>
                <w:rFonts w:eastAsia="Calibri"/>
              </w:rPr>
              <w:lastRenderedPageBreak/>
              <w:t>Deputy Chair:</w:t>
            </w:r>
          </w:p>
          <w:p w14:paraId="50DC1B1A" w14:textId="77777777" w:rsidR="00CF6ACF" w:rsidRPr="007A3600" w:rsidRDefault="00CF6ACF" w:rsidP="00B21D58">
            <w:pPr>
              <w:pStyle w:val="Tablebullet2"/>
            </w:pPr>
            <w:r w:rsidRPr="007A3600">
              <w:t>Nepean Blue Mountains Local Health District</w:t>
            </w:r>
          </w:p>
          <w:p w14:paraId="2708A0DE" w14:textId="77777777" w:rsidR="00CF6ACF" w:rsidRPr="007A3600" w:rsidRDefault="00CF6ACF" w:rsidP="00B21D58">
            <w:pPr>
              <w:pStyle w:val="Tablebullet2"/>
            </w:pPr>
            <w:r w:rsidRPr="007A3600">
              <w:t>Menzies Research Centre</w:t>
            </w:r>
          </w:p>
          <w:p w14:paraId="1110381F" w14:textId="77777777" w:rsidR="00CF6ACF" w:rsidRPr="007A3600" w:rsidRDefault="00CF6ACF" w:rsidP="00B21D58">
            <w:pPr>
              <w:pStyle w:val="Tablebullet2"/>
            </w:pPr>
            <w:r w:rsidRPr="007A3600">
              <w:t>BDCU Alliance Bank</w:t>
            </w:r>
          </w:p>
          <w:p w14:paraId="3645BE13" w14:textId="77777777" w:rsidR="00CF6ACF" w:rsidRPr="007A3600" w:rsidRDefault="00CF6ACF" w:rsidP="00B21D58">
            <w:pPr>
              <w:pStyle w:val="Tablebullet2"/>
            </w:pPr>
            <w:r w:rsidRPr="007A3600">
              <w:t>CARE Australia</w:t>
            </w:r>
          </w:p>
          <w:p w14:paraId="2C99BD50" w14:textId="77777777" w:rsidR="00CF6ACF" w:rsidRPr="007A3600" w:rsidRDefault="00CF6ACF" w:rsidP="00B21D58">
            <w:pPr>
              <w:pStyle w:val="Tablebullet"/>
            </w:pPr>
            <w:r w:rsidRPr="007A3600">
              <w:t>Board member:</w:t>
            </w:r>
          </w:p>
          <w:p w14:paraId="21007ACF" w14:textId="77777777" w:rsidR="00CF6ACF" w:rsidRPr="007A3600" w:rsidRDefault="00CF6ACF" w:rsidP="00B21D58">
            <w:pPr>
              <w:pStyle w:val="Tablebullet2"/>
            </w:pPr>
            <w:r w:rsidRPr="007A3600">
              <w:t>Bradman Foundation</w:t>
            </w:r>
          </w:p>
          <w:p w14:paraId="2A741B63" w14:textId="77777777" w:rsidR="00CF6ACF" w:rsidRPr="007A3600" w:rsidRDefault="00CF6ACF" w:rsidP="00B21D58">
            <w:pPr>
              <w:pStyle w:val="Tablebullet"/>
              <w:rPr>
                <w:rFonts w:eastAsia="Calibri"/>
              </w:rPr>
            </w:pPr>
            <w:r w:rsidRPr="007A3600">
              <w:rPr>
                <w:rFonts w:eastAsia="Calibri"/>
              </w:rPr>
              <w:t>Director:</w:t>
            </w:r>
          </w:p>
          <w:p w14:paraId="434B63AE" w14:textId="77777777" w:rsidR="00CF6ACF" w:rsidRPr="007A3600" w:rsidRDefault="00CF6ACF" w:rsidP="00B21D58">
            <w:pPr>
              <w:pStyle w:val="Tablebullet2"/>
            </w:pPr>
            <w:r w:rsidRPr="007A3600">
              <w:t>Transition and Strategic Priorities (NSW Premier’s Office), 2011–2014</w:t>
            </w:r>
          </w:p>
          <w:p w14:paraId="3E3BE553" w14:textId="77777777" w:rsidR="00CF6ACF" w:rsidRPr="007A3600" w:rsidRDefault="00CF6ACF" w:rsidP="00B21D58">
            <w:pPr>
              <w:pStyle w:val="Tablebullet"/>
            </w:pPr>
            <w:r w:rsidRPr="007A3600">
              <w:t>New South Wales Parliament, 1996–2007</w:t>
            </w:r>
          </w:p>
        </w:tc>
        <w:tc>
          <w:tcPr>
            <w:tcW w:w="1526" w:type="dxa"/>
          </w:tcPr>
          <w:p w14:paraId="1AD97633" w14:textId="77777777" w:rsidR="00CF6ACF" w:rsidRPr="007A3600" w:rsidRDefault="00CF6ACF" w:rsidP="00B21D58">
            <w:pPr>
              <w:widowControl w:val="0"/>
              <w:autoSpaceDE w:val="0"/>
              <w:autoSpaceDN w:val="0"/>
              <w:spacing w:after="0" w:line="240" w:lineRule="auto"/>
              <w:rPr>
                <w:rFonts w:eastAsia="Calibri" w:cs="Arial"/>
                <w:lang w:val="en-US" w:eastAsia="en-US"/>
              </w:rPr>
            </w:pPr>
            <w:r w:rsidRPr="007A3600">
              <w:rPr>
                <w:rFonts w:eastAsia="Calibri" w:cs="Arial"/>
                <w:lang w:eastAsia="en-US"/>
              </w:rPr>
              <w:lastRenderedPageBreak/>
              <w:t>Board member / non-executive</w:t>
            </w:r>
          </w:p>
        </w:tc>
        <w:tc>
          <w:tcPr>
            <w:tcW w:w="1247" w:type="dxa"/>
          </w:tcPr>
          <w:p w14:paraId="23983C39" w14:textId="77777777" w:rsidR="00CF6ACF" w:rsidRPr="007A3600" w:rsidRDefault="00CF6ACF" w:rsidP="003360EF">
            <w:pPr>
              <w:widowControl w:val="0"/>
              <w:autoSpaceDE w:val="0"/>
              <w:autoSpaceDN w:val="0"/>
              <w:spacing w:after="0" w:line="240" w:lineRule="auto"/>
              <w:rPr>
                <w:rFonts w:eastAsia="Calibri" w:cs="Arial"/>
                <w:lang w:val="en-US" w:eastAsia="en-US"/>
              </w:rPr>
            </w:pPr>
            <w:r w:rsidRPr="007A3600">
              <w:rPr>
                <w:rFonts w:eastAsia="Calibri" w:cs="Arial"/>
                <w:lang w:val="en-US" w:eastAsia="en-US"/>
              </w:rPr>
              <w:t>1 July 2024</w:t>
            </w:r>
          </w:p>
        </w:tc>
        <w:tc>
          <w:tcPr>
            <w:tcW w:w="1247" w:type="dxa"/>
          </w:tcPr>
          <w:p w14:paraId="224B2B4E" w14:textId="77777777" w:rsidR="00CF6ACF" w:rsidRPr="007A3600" w:rsidRDefault="00CF6ACF" w:rsidP="003360EF">
            <w:pPr>
              <w:widowControl w:val="0"/>
              <w:autoSpaceDE w:val="0"/>
              <w:autoSpaceDN w:val="0"/>
              <w:spacing w:after="0" w:line="240" w:lineRule="auto"/>
              <w:rPr>
                <w:rFonts w:eastAsia="Calibri" w:cs="Arial"/>
                <w:lang w:val="en-US" w:eastAsia="en-US"/>
              </w:rPr>
            </w:pPr>
            <w:r w:rsidRPr="007A3600">
              <w:rPr>
                <w:rFonts w:eastAsia="Calibri" w:cs="Arial"/>
                <w:lang w:val="en-US" w:eastAsia="en-US"/>
              </w:rPr>
              <w:t>31 December 2024</w:t>
            </w:r>
          </w:p>
        </w:tc>
        <w:tc>
          <w:tcPr>
            <w:tcW w:w="1294" w:type="dxa"/>
          </w:tcPr>
          <w:p w14:paraId="38C90596" w14:textId="77777777" w:rsidR="00CF6ACF" w:rsidRPr="007A3600" w:rsidRDefault="00CF6ACF" w:rsidP="00B21D58">
            <w:pPr>
              <w:widowControl w:val="0"/>
              <w:autoSpaceDE w:val="0"/>
              <w:autoSpaceDN w:val="0"/>
              <w:spacing w:after="0" w:line="240" w:lineRule="auto"/>
              <w:jc w:val="right"/>
              <w:rPr>
                <w:rFonts w:eastAsia="Calibri" w:cs="Arial"/>
                <w:lang w:val="en-US" w:eastAsia="en-US"/>
              </w:rPr>
            </w:pPr>
            <w:r w:rsidRPr="007A3600">
              <w:rPr>
                <w:rFonts w:eastAsia="Calibri" w:cs="Arial"/>
                <w:lang w:val="en-US" w:eastAsia="en-US"/>
              </w:rPr>
              <w:t>3</w:t>
            </w:r>
          </w:p>
        </w:tc>
      </w:tr>
    </w:tbl>
    <w:p w14:paraId="4D8CDB94" w14:textId="77777777" w:rsidR="004B6102" w:rsidRPr="007A3600" w:rsidRDefault="004B6102" w:rsidP="00AD3197">
      <w:pPr>
        <w:spacing w:after="0" w:line="240" w:lineRule="auto"/>
      </w:pPr>
    </w:p>
    <w:p w14:paraId="2FD08E5D" w14:textId="77777777" w:rsidR="004B6102" w:rsidRPr="007A3600" w:rsidRDefault="004B6102" w:rsidP="00AD3197">
      <w:pPr>
        <w:spacing w:after="0" w:line="240" w:lineRule="auto"/>
        <w:sectPr w:rsidR="004B6102" w:rsidRPr="007A3600" w:rsidSect="002B0FA4">
          <w:headerReference w:type="even" r:id="rId152"/>
          <w:headerReference w:type="default" r:id="rId153"/>
          <w:footerReference w:type="default" r:id="rId154"/>
          <w:headerReference w:type="first" r:id="rId155"/>
          <w:footerReference w:type="first" r:id="rId156"/>
          <w:pgSz w:w="16838" w:h="11906" w:orient="landscape" w:code="9"/>
          <w:pgMar w:top="1134" w:right="1440" w:bottom="1701" w:left="1440" w:header="561" w:footer="374" w:gutter="0"/>
          <w:cols w:space="708"/>
          <w:titlePg/>
          <w:docGrid w:linePitch="360"/>
        </w:sectPr>
      </w:pPr>
    </w:p>
    <w:p w14:paraId="7CC2B03A" w14:textId="5478D26F" w:rsidR="00CB00C2" w:rsidRPr="007A3600" w:rsidRDefault="003E4A68" w:rsidP="00AD3197">
      <w:pPr>
        <w:pStyle w:val="Heading3"/>
      </w:pPr>
      <w:bookmarkStart w:id="252" w:name="_8.2_Judicial_decisions"/>
      <w:bookmarkStart w:id="253" w:name="_8.2_Workforce_demographics"/>
      <w:bookmarkStart w:id="254" w:name="_Toc207017712"/>
      <w:bookmarkStart w:id="255" w:name="_Toc209695868"/>
      <w:bookmarkStart w:id="256" w:name="_Toc207017743"/>
      <w:bookmarkEnd w:id="252"/>
      <w:bookmarkEnd w:id="253"/>
      <w:r w:rsidRPr="007A3600">
        <w:lastRenderedPageBreak/>
        <w:t>8</w:t>
      </w:r>
      <w:r w:rsidR="00CB00C2" w:rsidRPr="007A3600">
        <w:t>.2</w:t>
      </w:r>
      <w:r w:rsidR="00CB00C2" w:rsidRPr="007A3600">
        <w:tab/>
        <w:t>Workforce demographics</w:t>
      </w:r>
      <w:bookmarkEnd w:id="254"/>
      <w:bookmarkEnd w:id="255"/>
    </w:p>
    <w:p w14:paraId="53EFA7CA" w14:textId="7B5C78C2" w:rsidR="00CB00C2" w:rsidRPr="007A3600" w:rsidRDefault="00CB00C2" w:rsidP="00AD3197">
      <w:pPr>
        <w:pStyle w:val="Caption"/>
      </w:pPr>
      <w:r w:rsidRPr="007A3600">
        <w:t xml:space="preserve">Table </w:t>
      </w:r>
      <w:r w:rsidR="002A12FD" w:rsidRPr="007A3600">
        <w:t>11</w:t>
      </w:r>
      <w:r w:rsidRPr="007A3600">
        <w:t>: All ongoing employees – current reporting period (2024–25)</w:t>
      </w:r>
    </w:p>
    <w:tbl>
      <w:tblPr>
        <w:tblStyle w:val="NDISTable1"/>
        <w:tblW w:w="14008" w:type="dxa"/>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1B6B5875" w14:textId="77777777" w:rsidTr="00AB49CA">
        <w:trPr>
          <w:cnfStyle w:val="100000000000" w:firstRow="1" w:lastRow="0" w:firstColumn="0" w:lastColumn="0" w:oddVBand="0" w:evenVBand="0" w:oddHBand="0"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2C04E100" w14:textId="77777777" w:rsidR="00CB00C2" w:rsidRPr="007A3600" w:rsidRDefault="00CB00C2" w:rsidP="00AB49CA">
            <w:pPr>
              <w:spacing w:after="0"/>
              <w:ind w:left="113" w:right="113"/>
            </w:pPr>
            <w:bookmarkStart w:id="257" w:name="_Hlk132717974"/>
            <w:r w:rsidRPr="007A3600">
              <w:t>State or territory</w:t>
            </w:r>
          </w:p>
        </w:tc>
        <w:tc>
          <w:tcPr>
            <w:tcW w:w="794" w:type="dxa"/>
            <w:noWrap/>
            <w:textDirection w:val="tbRl"/>
            <w:hideMark/>
          </w:tcPr>
          <w:p w14:paraId="52389710"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full time</w:t>
            </w:r>
          </w:p>
        </w:tc>
        <w:tc>
          <w:tcPr>
            <w:tcW w:w="794" w:type="dxa"/>
            <w:textDirection w:val="tbRl"/>
          </w:tcPr>
          <w:p w14:paraId="60082763"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part time</w:t>
            </w:r>
          </w:p>
        </w:tc>
        <w:tc>
          <w:tcPr>
            <w:tcW w:w="794" w:type="dxa"/>
            <w:textDirection w:val="tbRl"/>
          </w:tcPr>
          <w:p w14:paraId="33DBF45B"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total</w:t>
            </w:r>
          </w:p>
        </w:tc>
        <w:tc>
          <w:tcPr>
            <w:tcW w:w="794" w:type="dxa"/>
            <w:noWrap/>
            <w:textDirection w:val="tbRl"/>
            <w:hideMark/>
          </w:tcPr>
          <w:p w14:paraId="183A1669"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full time</w:t>
            </w:r>
          </w:p>
        </w:tc>
        <w:tc>
          <w:tcPr>
            <w:tcW w:w="794" w:type="dxa"/>
            <w:textDirection w:val="tbRl"/>
          </w:tcPr>
          <w:p w14:paraId="077A7B56"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part time</w:t>
            </w:r>
          </w:p>
        </w:tc>
        <w:tc>
          <w:tcPr>
            <w:tcW w:w="794" w:type="dxa"/>
            <w:textDirection w:val="tbRl"/>
          </w:tcPr>
          <w:p w14:paraId="00DA46C5"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total</w:t>
            </w:r>
          </w:p>
        </w:tc>
        <w:tc>
          <w:tcPr>
            <w:tcW w:w="794" w:type="dxa"/>
            <w:noWrap/>
            <w:textDirection w:val="tbRl"/>
            <w:hideMark/>
          </w:tcPr>
          <w:p w14:paraId="50D9B3B4"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full time</w:t>
            </w:r>
          </w:p>
        </w:tc>
        <w:tc>
          <w:tcPr>
            <w:tcW w:w="794" w:type="dxa"/>
            <w:textDirection w:val="tbRl"/>
          </w:tcPr>
          <w:p w14:paraId="4ACFECD0"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part time</w:t>
            </w:r>
          </w:p>
        </w:tc>
        <w:tc>
          <w:tcPr>
            <w:tcW w:w="794" w:type="dxa"/>
            <w:textDirection w:val="tbRl"/>
          </w:tcPr>
          <w:p w14:paraId="25BCC680"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total</w:t>
            </w:r>
          </w:p>
        </w:tc>
        <w:tc>
          <w:tcPr>
            <w:tcW w:w="794" w:type="dxa"/>
            <w:textDirection w:val="tbRl"/>
            <w:hideMark/>
          </w:tcPr>
          <w:p w14:paraId="5617D54B"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full time</w:t>
            </w:r>
          </w:p>
        </w:tc>
        <w:tc>
          <w:tcPr>
            <w:tcW w:w="794" w:type="dxa"/>
            <w:textDirection w:val="tbRl"/>
          </w:tcPr>
          <w:p w14:paraId="6B5E924F"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part time</w:t>
            </w:r>
          </w:p>
        </w:tc>
        <w:tc>
          <w:tcPr>
            <w:tcW w:w="794" w:type="dxa"/>
            <w:textDirection w:val="tbRl"/>
          </w:tcPr>
          <w:p w14:paraId="261FC867"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total</w:t>
            </w:r>
          </w:p>
        </w:tc>
        <w:tc>
          <w:tcPr>
            <w:tcW w:w="794" w:type="dxa"/>
            <w:textDirection w:val="tbRl"/>
            <w:hideMark/>
          </w:tcPr>
          <w:p w14:paraId="2C57D9E2"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full time</w:t>
            </w:r>
          </w:p>
        </w:tc>
        <w:tc>
          <w:tcPr>
            <w:tcW w:w="794" w:type="dxa"/>
            <w:textDirection w:val="tbRl"/>
          </w:tcPr>
          <w:p w14:paraId="414E6B00"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part time</w:t>
            </w:r>
          </w:p>
        </w:tc>
        <w:tc>
          <w:tcPr>
            <w:tcW w:w="794" w:type="dxa"/>
            <w:textDirection w:val="tbRl"/>
          </w:tcPr>
          <w:p w14:paraId="786BA5CE"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total</w:t>
            </w:r>
          </w:p>
        </w:tc>
        <w:tc>
          <w:tcPr>
            <w:tcW w:w="907" w:type="dxa"/>
            <w:textDirection w:val="tbRl"/>
            <w:hideMark/>
          </w:tcPr>
          <w:p w14:paraId="54C4C2A0" w14:textId="77777777" w:rsidR="00CB00C2" w:rsidRPr="007A3600" w:rsidRDefault="00CB00C2" w:rsidP="00AB49CA">
            <w:pPr>
              <w:spacing w:after="0"/>
              <w:ind w:left="113" w:right="113"/>
              <w:cnfStyle w:val="100000000000" w:firstRow="1" w:lastRow="0" w:firstColumn="0" w:lastColumn="0" w:oddVBand="0" w:evenVBand="0" w:oddHBand="0" w:evenHBand="0" w:firstRowFirstColumn="0" w:firstRowLastColumn="0" w:lastRowFirstColumn="0" w:lastRowLastColumn="0"/>
            </w:pPr>
            <w:r w:rsidRPr="007A3600">
              <w:t xml:space="preserve">Total </w:t>
            </w:r>
          </w:p>
        </w:tc>
      </w:tr>
      <w:tr w:rsidR="00B407C5" w:rsidRPr="007A3600" w14:paraId="29C8283E"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02D3C4D" w14:textId="77777777" w:rsidR="00CB00C2" w:rsidRPr="007A3600" w:rsidRDefault="00CB00C2" w:rsidP="00AD3197">
            <w:pPr>
              <w:spacing w:after="0"/>
              <w:rPr>
                <w:bCs/>
              </w:rPr>
            </w:pPr>
            <w:r w:rsidRPr="007A3600">
              <w:rPr>
                <w:bCs/>
              </w:rPr>
              <w:t>NSW</w:t>
            </w:r>
          </w:p>
        </w:tc>
        <w:tc>
          <w:tcPr>
            <w:tcW w:w="794" w:type="dxa"/>
            <w:noWrap/>
          </w:tcPr>
          <w:p w14:paraId="626F078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471</w:t>
            </w:r>
          </w:p>
        </w:tc>
        <w:tc>
          <w:tcPr>
            <w:tcW w:w="794" w:type="dxa"/>
            <w:noWrap/>
          </w:tcPr>
          <w:p w14:paraId="587F95D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26</w:t>
            </w:r>
          </w:p>
        </w:tc>
        <w:tc>
          <w:tcPr>
            <w:tcW w:w="794" w:type="dxa"/>
            <w:noWrap/>
          </w:tcPr>
          <w:p w14:paraId="31A32C6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497</w:t>
            </w:r>
          </w:p>
        </w:tc>
        <w:tc>
          <w:tcPr>
            <w:tcW w:w="794" w:type="dxa"/>
            <w:noWrap/>
          </w:tcPr>
          <w:p w14:paraId="5BEB04B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1,387</w:t>
            </w:r>
          </w:p>
        </w:tc>
        <w:tc>
          <w:tcPr>
            <w:tcW w:w="794" w:type="dxa"/>
            <w:noWrap/>
          </w:tcPr>
          <w:p w14:paraId="6221D5F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258</w:t>
            </w:r>
          </w:p>
        </w:tc>
        <w:tc>
          <w:tcPr>
            <w:tcW w:w="794" w:type="dxa"/>
            <w:noWrap/>
          </w:tcPr>
          <w:p w14:paraId="471B83D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1,645</w:t>
            </w:r>
          </w:p>
        </w:tc>
        <w:tc>
          <w:tcPr>
            <w:tcW w:w="794" w:type="dxa"/>
            <w:noWrap/>
          </w:tcPr>
          <w:p w14:paraId="059D675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9</w:t>
            </w:r>
          </w:p>
        </w:tc>
        <w:tc>
          <w:tcPr>
            <w:tcW w:w="794" w:type="dxa"/>
            <w:noWrap/>
          </w:tcPr>
          <w:p w14:paraId="02910EE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w:t>
            </w:r>
          </w:p>
        </w:tc>
        <w:tc>
          <w:tcPr>
            <w:tcW w:w="794" w:type="dxa"/>
            <w:noWrap/>
          </w:tcPr>
          <w:p w14:paraId="11F484A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10</w:t>
            </w:r>
          </w:p>
        </w:tc>
        <w:tc>
          <w:tcPr>
            <w:tcW w:w="794" w:type="dxa"/>
          </w:tcPr>
          <w:p w14:paraId="6C9226B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3DE3BA0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4649B7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02AC5CC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96F00A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278C46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0E13D46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2,152</w:t>
            </w:r>
          </w:p>
        </w:tc>
      </w:tr>
      <w:tr w:rsidR="0029157E" w:rsidRPr="007A3600" w14:paraId="4D2AEAD0"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EBCAE88" w14:textId="77777777" w:rsidR="00CB00C2" w:rsidRPr="007A3600" w:rsidRDefault="00CB00C2" w:rsidP="00AD3197">
            <w:pPr>
              <w:spacing w:after="0"/>
              <w:rPr>
                <w:bCs/>
              </w:rPr>
            </w:pPr>
            <w:r w:rsidRPr="007A3600">
              <w:rPr>
                <w:bCs/>
              </w:rPr>
              <w:t>Qld</w:t>
            </w:r>
          </w:p>
        </w:tc>
        <w:tc>
          <w:tcPr>
            <w:tcW w:w="794" w:type="dxa"/>
            <w:noWrap/>
          </w:tcPr>
          <w:p w14:paraId="278099B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437</w:t>
            </w:r>
          </w:p>
        </w:tc>
        <w:tc>
          <w:tcPr>
            <w:tcW w:w="794" w:type="dxa"/>
            <w:noWrap/>
          </w:tcPr>
          <w:p w14:paraId="0B9589C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16</w:t>
            </w:r>
          </w:p>
        </w:tc>
        <w:tc>
          <w:tcPr>
            <w:tcW w:w="794" w:type="dxa"/>
            <w:noWrap/>
          </w:tcPr>
          <w:p w14:paraId="02D4372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453</w:t>
            </w:r>
          </w:p>
        </w:tc>
        <w:tc>
          <w:tcPr>
            <w:tcW w:w="794" w:type="dxa"/>
            <w:noWrap/>
          </w:tcPr>
          <w:p w14:paraId="2255413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1,283</w:t>
            </w:r>
          </w:p>
        </w:tc>
        <w:tc>
          <w:tcPr>
            <w:tcW w:w="794" w:type="dxa"/>
            <w:noWrap/>
          </w:tcPr>
          <w:p w14:paraId="3BB3B79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204</w:t>
            </w:r>
          </w:p>
        </w:tc>
        <w:tc>
          <w:tcPr>
            <w:tcW w:w="794" w:type="dxa"/>
            <w:noWrap/>
          </w:tcPr>
          <w:p w14:paraId="7897202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1,487</w:t>
            </w:r>
          </w:p>
        </w:tc>
        <w:tc>
          <w:tcPr>
            <w:tcW w:w="794" w:type="dxa"/>
            <w:noWrap/>
          </w:tcPr>
          <w:p w14:paraId="58BA560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w:t>
            </w:r>
          </w:p>
        </w:tc>
        <w:tc>
          <w:tcPr>
            <w:tcW w:w="794" w:type="dxa"/>
            <w:noWrap/>
          </w:tcPr>
          <w:p w14:paraId="7F8267B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8D19AE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w:t>
            </w:r>
          </w:p>
        </w:tc>
        <w:tc>
          <w:tcPr>
            <w:tcW w:w="794" w:type="dxa"/>
          </w:tcPr>
          <w:p w14:paraId="2C30EF2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C52A2F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942159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742856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E0410C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D03F4F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2BD95F5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1,944</w:t>
            </w:r>
          </w:p>
        </w:tc>
      </w:tr>
      <w:tr w:rsidR="00B407C5" w:rsidRPr="007A3600" w14:paraId="61233E89"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27F0A7A" w14:textId="77777777" w:rsidR="00CB00C2" w:rsidRPr="007A3600" w:rsidRDefault="00CB00C2" w:rsidP="00AD3197">
            <w:pPr>
              <w:spacing w:after="0"/>
              <w:rPr>
                <w:bCs/>
              </w:rPr>
            </w:pPr>
            <w:r w:rsidRPr="007A3600">
              <w:rPr>
                <w:bCs/>
              </w:rPr>
              <w:t>SA</w:t>
            </w:r>
          </w:p>
        </w:tc>
        <w:tc>
          <w:tcPr>
            <w:tcW w:w="794" w:type="dxa"/>
            <w:noWrap/>
          </w:tcPr>
          <w:p w14:paraId="5EC1A6C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243</w:t>
            </w:r>
          </w:p>
        </w:tc>
        <w:tc>
          <w:tcPr>
            <w:tcW w:w="794" w:type="dxa"/>
            <w:noWrap/>
          </w:tcPr>
          <w:p w14:paraId="46285D4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12</w:t>
            </w:r>
          </w:p>
        </w:tc>
        <w:tc>
          <w:tcPr>
            <w:tcW w:w="794" w:type="dxa"/>
            <w:noWrap/>
          </w:tcPr>
          <w:p w14:paraId="158EC7E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255</w:t>
            </w:r>
          </w:p>
        </w:tc>
        <w:tc>
          <w:tcPr>
            <w:tcW w:w="794" w:type="dxa"/>
            <w:noWrap/>
          </w:tcPr>
          <w:p w14:paraId="2198C13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534</w:t>
            </w:r>
          </w:p>
        </w:tc>
        <w:tc>
          <w:tcPr>
            <w:tcW w:w="794" w:type="dxa"/>
            <w:noWrap/>
          </w:tcPr>
          <w:p w14:paraId="7C3926F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125</w:t>
            </w:r>
          </w:p>
        </w:tc>
        <w:tc>
          <w:tcPr>
            <w:tcW w:w="794" w:type="dxa"/>
            <w:noWrap/>
          </w:tcPr>
          <w:p w14:paraId="379865E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659</w:t>
            </w:r>
          </w:p>
        </w:tc>
        <w:tc>
          <w:tcPr>
            <w:tcW w:w="794" w:type="dxa"/>
            <w:noWrap/>
          </w:tcPr>
          <w:p w14:paraId="6C898A0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5</w:t>
            </w:r>
          </w:p>
        </w:tc>
        <w:tc>
          <w:tcPr>
            <w:tcW w:w="794" w:type="dxa"/>
            <w:noWrap/>
          </w:tcPr>
          <w:p w14:paraId="73823E0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6693B2C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5</w:t>
            </w:r>
          </w:p>
        </w:tc>
        <w:tc>
          <w:tcPr>
            <w:tcW w:w="794" w:type="dxa"/>
          </w:tcPr>
          <w:p w14:paraId="4B3E0A0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612AB6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354706A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00D72C4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9C98F8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495218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0834801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919</w:t>
            </w:r>
          </w:p>
        </w:tc>
      </w:tr>
      <w:tr w:rsidR="0029157E" w:rsidRPr="007A3600" w14:paraId="09FEE4CE"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2022E67D" w14:textId="77777777" w:rsidR="00CB00C2" w:rsidRPr="007A3600" w:rsidRDefault="00CB00C2" w:rsidP="00AD3197">
            <w:pPr>
              <w:spacing w:after="0"/>
              <w:rPr>
                <w:bCs/>
              </w:rPr>
            </w:pPr>
            <w:r w:rsidRPr="007A3600">
              <w:rPr>
                <w:bCs/>
              </w:rPr>
              <w:t>Tas</w:t>
            </w:r>
          </w:p>
        </w:tc>
        <w:tc>
          <w:tcPr>
            <w:tcW w:w="794" w:type="dxa"/>
            <w:noWrap/>
          </w:tcPr>
          <w:p w14:paraId="75F0FF4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40</w:t>
            </w:r>
          </w:p>
        </w:tc>
        <w:tc>
          <w:tcPr>
            <w:tcW w:w="794" w:type="dxa"/>
            <w:noWrap/>
          </w:tcPr>
          <w:p w14:paraId="397E5E0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6</w:t>
            </w:r>
          </w:p>
        </w:tc>
        <w:tc>
          <w:tcPr>
            <w:tcW w:w="794" w:type="dxa"/>
            <w:noWrap/>
          </w:tcPr>
          <w:p w14:paraId="3FE8EEC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46</w:t>
            </w:r>
          </w:p>
        </w:tc>
        <w:tc>
          <w:tcPr>
            <w:tcW w:w="794" w:type="dxa"/>
            <w:noWrap/>
          </w:tcPr>
          <w:p w14:paraId="661C4A4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87</w:t>
            </w:r>
          </w:p>
        </w:tc>
        <w:tc>
          <w:tcPr>
            <w:tcW w:w="794" w:type="dxa"/>
            <w:noWrap/>
          </w:tcPr>
          <w:p w14:paraId="6659D89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21</w:t>
            </w:r>
          </w:p>
        </w:tc>
        <w:tc>
          <w:tcPr>
            <w:tcW w:w="794" w:type="dxa"/>
            <w:noWrap/>
          </w:tcPr>
          <w:p w14:paraId="1FD7C49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108</w:t>
            </w:r>
          </w:p>
        </w:tc>
        <w:tc>
          <w:tcPr>
            <w:tcW w:w="794" w:type="dxa"/>
            <w:noWrap/>
          </w:tcPr>
          <w:p w14:paraId="339CDE1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24011C6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59AA910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tcPr>
          <w:p w14:paraId="7F8A809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F7368B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985CC5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CFCE99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D992FD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8CD7F7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3E9F8D5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155</w:t>
            </w:r>
          </w:p>
        </w:tc>
      </w:tr>
      <w:tr w:rsidR="00B407C5" w:rsidRPr="007A3600" w14:paraId="768C0AA8"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29C7946" w14:textId="77777777" w:rsidR="00CB00C2" w:rsidRPr="007A3600" w:rsidRDefault="00CB00C2" w:rsidP="00AD3197">
            <w:pPr>
              <w:spacing w:after="0"/>
              <w:rPr>
                <w:bCs/>
              </w:rPr>
            </w:pPr>
            <w:r w:rsidRPr="007A3600">
              <w:rPr>
                <w:bCs/>
              </w:rPr>
              <w:t>Vic</w:t>
            </w:r>
          </w:p>
        </w:tc>
        <w:tc>
          <w:tcPr>
            <w:tcW w:w="794" w:type="dxa"/>
            <w:noWrap/>
          </w:tcPr>
          <w:p w14:paraId="17E51C0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970</w:t>
            </w:r>
          </w:p>
        </w:tc>
        <w:tc>
          <w:tcPr>
            <w:tcW w:w="794" w:type="dxa"/>
            <w:noWrap/>
          </w:tcPr>
          <w:p w14:paraId="4B70980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54</w:t>
            </w:r>
          </w:p>
        </w:tc>
        <w:tc>
          <w:tcPr>
            <w:tcW w:w="794" w:type="dxa"/>
            <w:noWrap/>
          </w:tcPr>
          <w:p w14:paraId="3984FE7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1,024</w:t>
            </w:r>
          </w:p>
        </w:tc>
        <w:tc>
          <w:tcPr>
            <w:tcW w:w="794" w:type="dxa"/>
            <w:noWrap/>
          </w:tcPr>
          <w:p w14:paraId="3E22DE5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2,024</w:t>
            </w:r>
          </w:p>
        </w:tc>
        <w:tc>
          <w:tcPr>
            <w:tcW w:w="794" w:type="dxa"/>
            <w:noWrap/>
          </w:tcPr>
          <w:p w14:paraId="5AB98C6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398</w:t>
            </w:r>
          </w:p>
        </w:tc>
        <w:tc>
          <w:tcPr>
            <w:tcW w:w="794" w:type="dxa"/>
            <w:noWrap/>
          </w:tcPr>
          <w:p w14:paraId="1B4BED2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2,422</w:t>
            </w:r>
          </w:p>
        </w:tc>
        <w:tc>
          <w:tcPr>
            <w:tcW w:w="794" w:type="dxa"/>
            <w:noWrap/>
          </w:tcPr>
          <w:p w14:paraId="4AD5278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22</w:t>
            </w:r>
          </w:p>
        </w:tc>
        <w:tc>
          <w:tcPr>
            <w:tcW w:w="794" w:type="dxa"/>
            <w:noWrap/>
          </w:tcPr>
          <w:p w14:paraId="6E59B79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02E4DE0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22</w:t>
            </w:r>
          </w:p>
        </w:tc>
        <w:tc>
          <w:tcPr>
            <w:tcW w:w="794" w:type="dxa"/>
          </w:tcPr>
          <w:p w14:paraId="2126284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FE40A0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A6298E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339072E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795603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899C6D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4E6E3FA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3,468</w:t>
            </w:r>
          </w:p>
        </w:tc>
      </w:tr>
      <w:tr w:rsidR="0029157E" w:rsidRPr="007A3600" w14:paraId="55468A8D"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581C2F1" w14:textId="77777777" w:rsidR="00CB00C2" w:rsidRPr="007A3600" w:rsidRDefault="00CB00C2" w:rsidP="00AD3197">
            <w:pPr>
              <w:spacing w:after="0"/>
              <w:rPr>
                <w:bCs/>
              </w:rPr>
            </w:pPr>
            <w:r w:rsidRPr="007A3600">
              <w:rPr>
                <w:bCs/>
              </w:rPr>
              <w:t>WA</w:t>
            </w:r>
          </w:p>
        </w:tc>
        <w:tc>
          <w:tcPr>
            <w:tcW w:w="794" w:type="dxa"/>
            <w:noWrap/>
          </w:tcPr>
          <w:p w14:paraId="0E2097C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182</w:t>
            </w:r>
          </w:p>
        </w:tc>
        <w:tc>
          <w:tcPr>
            <w:tcW w:w="794" w:type="dxa"/>
            <w:noWrap/>
          </w:tcPr>
          <w:p w14:paraId="136A98D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14</w:t>
            </w:r>
          </w:p>
        </w:tc>
        <w:tc>
          <w:tcPr>
            <w:tcW w:w="794" w:type="dxa"/>
            <w:noWrap/>
          </w:tcPr>
          <w:p w14:paraId="7B77104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196</w:t>
            </w:r>
          </w:p>
        </w:tc>
        <w:tc>
          <w:tcPr>
            <w:tcW w:w="794" w:type="dxa"/>
            <w:noWrap/>
          </w:tcPr>
          <w:p w14:paraId="21B8644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432</w:t>
            </w:r>
          </w:p>
        </w:tc>
        <w:tc>
          <w:tcPr>
            <w:tcW w:w="794" w:type="dxa"/>
            <w:noWrap/>
          </w:tcPr>
          <w:p w14:paraId="39EB2A8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81</w:t>
            </w:r>
          </w:p>
        </w:tc>
        <w:tc>
          <w:tcPr>
            <w:tcW w:w="794" w:type="dxa"/>
            <w:noWrap/>
          </w:tcPr>
          <w:p w14:paraId="0DCBE5E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513</w:t>
            </w:r>
          </w:p>
        </w:tc>
        <w:tc>
          <w:tcPr>
            <w:tcW w:w="794" w:type="dxa"/>
            <w:noWrap/>
          </w:tcPr>
          <w:p w14:paraId="624056E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59523F9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35E911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tcPr>
          <w:p w14:paraId="1DF12E9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89648A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86D0B2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A528A2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B8AB49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33FB89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7E992C5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711</w:t>
            </w:r>
          </w:p>
        </w:tc>
      </w:tr>
      <w:tr w:rsidR="00B407C5" w:rsidRPr="007A3600" w14:paraId="2F84CC5F"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E3E1CC4" w14:textId="77777777" w:rsidR="00CB00C2" w:rsidRPr="007A3600" w:rsidRDefault="00CB00C2" w:rsidP="00AD3197">
            <w:pPr>
              <w:spacing w:after="0"/>
              <w:rPr>
                <w:bCs/>
              </w:rPr>
            </w:pPr>
            <w:r w:rsidRPr="007A3600">
              <w:rPr>
                <w:bCs/>
              </w:rPr>
              <w:t>ACT</w:t>
            </w:r>
          </w:p>
        </w:tc>
        <w:tc>
          <w:tcPr>
            <w:tcW w:w="794" w:type="dxa"/>
            <w:noWrap/>
          </w:tcPr>
          <w:p w14:paraId="7FE2410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216</w:t>
            </w:r>
          </w:p>
        </w:tc>
        <w:tc>
          <w:tcPr>
            <w:tcW w:w="794" w:type="dxa"/>
            <w:noWrap/>
          </w:tcPr>
          <w:p w14:paraId="25E486E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5</w:t>
            </w:r>
          </w:p>
        </w:tc>
        <w:tc>
          <w:tcPr>
            <w:tcW w:w="794" w:type="dxa"/>
            <w:noWrap/>
          </w:tcPr>
          <w:p w14:paraId="4B170C2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221</w:t>
            </w:r>
          </w:p>
        </w:tc>
        <w:tc>
          <w:tcPr>
            <w:tcW w:w="794" w:type="dxa"/>
            <w:noWrap/>
          </w:tcPr>
          <w:p w14:paraId="4E3AFB2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365</w:t>
            </w:r>
          </w:p>
        </w:tc>
        <w:tc>
          <w:tcPr>
            <w:tcW w:w="794" w:type="dxa"/>
            <w:noWrap/>
          </w:tcPr>
          <w:p w14:paraId="47C1FB1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35</w:t>
            </w:r>
          </w:p>
        </w:tc>
        <w:tc>
          <w:tcPr>
            <w:tcW w:w="794" w:type="dxa"/>
            <w:noWrap/>
          </w:tcPr>
          <w:p w14:paraId="77CA2E6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400</w:t>
            </w:r>
          </w:p>
        </w:tc>
        <w:tc>
          <w:tcPr>
            <w:tcW w:w="794" w:type="dxa"/>
            <w:noWrap/>
          </w:tcPr>
          <w:p w14:paraId="2262A36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w:t>
            </w:r>
          </w:p>
        </w:tc>
        <w:tc>
          <w:tcPr>
            <w:tcW w:w="794" w:type="dxa"/>
            <w:noWrap/>
          </w:tcPr>
          <w:p w14:paraId="3D23374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0B0C739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w:t>
            </w:r>
          </w:p>
        </w:tc>
        <w:tc>
          <w:tcPr>
            <w:tcW w:w="794" w:type="dxa"/>
          </w:tcPr>
          <w:p w14:paraId="77BC192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061F276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437295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03395AF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A63EC2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66885D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22E4685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625</w:t>
            </w:r>
          </w:p>
        </w:tc>
      </w:tr>
      <w:tr w:rsidR="0029157E" w:rsidRPr="007A3600" w14:paraId="784ED52D"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4A11369" w14:textId="77777777" w:rsidR="00CB00C2" w:rsidRPr="007A3600" w:rsidRDefault="00CB00C2" w:rsidP="00AD3197">
            <w:pPr>
              <w:spacing w:after="0"/>
              <w:rPr>
                <w:bCs/>
              </w:rPr>
            </w:pPr>
            <w:r w:rsidRPr="007A3600">
              <w:rPr>
                <w:bCs/>
              </w:rPr>
              <w:t>NT</w:t>
            </w:r>
          </w:p>
        </w:tc>
        <w:tc>
          <w:tcPr>
            <w:tcW w:w="794" w:type="dxa"/>
            <w:noWrap/>
          </w:tcPr>
          <w:p w14:paraId="02724DC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22</w:t>
            </w:r>
          </w:p>
        </w:tc>
        <w:tc>
          <w:tcPr>
            <w:tcW w:w="794" w:type="dxa"/>
            <w:noWrap/>
          </w:tcPr>
          <w:p w14:paraId="761EB2B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12BA239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23</w:t>
            </w:r>
          </w:p>
        </w:tc>
        <w:tc>
          <w:tcPr>
            <w:tcW w:w="794" w:type="dxa"/>
            <w:noWrap/>
          </w:tcPr>
          <w:p w14:paraId="09F543C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126</w:t>
            </w:r>
          </w:p>
        </w:tc>
        <w:tc>
          <w:tcPr>
            <w:tcW w:w="794" w:type="dxa"/>
            <w:noWrap/>
          </w:tcPr>
          <w:p w14:paraId="2136324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11</w:t>
            </w:r>
          </w:p>
        </w:tc>
        <w:tc>
          <w:tcPr>
            <w:tcW w:w="794" w:type="dxa"/>
            <w:noWrap/>
          </w:tcPr>
          <w:p w14:paraId="37330FA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137</w:t>
            </w:r>
          </w:p>
        </w:tc>
        <w:tc>
          <w:tcPr>
            <w:tcW w:w="794" w:type="dxa"/>
            <w:noWrap/>
          </w:tcPr>
          <w:p w14:paraId="3CED49C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634EAC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720B68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D0837A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F4B17B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2ED9CDF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4BFCB7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CED26F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0FC951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64F0789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160</w:t>
            </w:r>
          </w:p>
        </w:tc>
      </w:tr>
      <w:tr w:rsidR="00B407C5" w:rsidRPr="007A3600" w14:paraId="1FBD6961"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3551284" w14:textId="25919B52" w:rsidR="00CB00C2" w:rsidRPr="007A3600" w:rsidRDefault="00CB00C2" w:rsidP="00AD3197">
            <w:pPr>
              <w:spacing w:after="0"/>
              <w:rPr>
                <w:bCs/>
              </w:rPr>
            </w:pPr>
            <w:r w:rsidRPr="007A3600">
              <w:rPr>
                <w:bCs/>
              </w:rPr>
              <w:t xml:space="preserve">External </w:t>
            </w:r>
            <w:r w:rsidR="00AA4C95" w:rsidRPr="007A3600">
              <w:rPr>
                <w:bCs/>
              </w:rPr>
              <w:t>t</w:t>
            </w:r>
            <w:r w:rsidRPr="007A3600">
              <w:rPr>
                <w:bCs/>
              </w:rPr>
              <w:t>erritories</w:t>
            </w:r>
          </w:p>
        </w:tc>
        <w:tc>
          <w:tcPr>
            <w:tcW w:w="794" w:type="dxa"/>
            <w:noWrap/>
          </w:tcPr>
          <w:p w14:paraId="71B40C7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234F527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51BFF0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0E1411F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3027A8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0122D38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0189C2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B2B8F6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11289AA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DC2A89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0FCA056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43E909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F3CFB7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187060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3FFFF0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5EE8B03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r>
      <w:tr w:rsidR="0029157E" w:rsidRPr="007A3600" w14:paraId="567406C7"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0806C94" w14:textId="77777777" w:rsidR="00CB00C2" w:rsidRPr="007A3600" w:rsidRDefault="00CB00C2" w:rsidP="00AD3197">
            <w:pPr>
              <w:spacing w:after="0"/>
              <w:rPr>
                <w:bCs/>
              </w:rPr>
            </w:pPr>
            <w:r w:rsidRPr="007A3600">
              <w:rPr>
                <w:bCs/>
              </w:rPr>
              <w:t>Overseas</w:t>
            </w:r>
          </w:p>
        </w:tc>
        <w:tc>
          <w:tcPr>
            <w:tcW w:w="794" w:type="dxa"/>
            <w:noWrap/>
          </w:tcPr>
          <w:p w14:paraId="19D2486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33305AB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114899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BEEB29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3F46B4D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1695199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1037C2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2DBE331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4BAD43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E6D350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E98139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2B34CE6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23DF9FD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55039AB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6539E1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50E403D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r>
      <w:tr w:rsidR="00B407C5" w:rsidRPr="007A3600" w14:paraId="6E95E380"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C34D88F" w14:textId="77777777" w:rsidR="00CB00C2" w:rsidRPr="007A3600" w:rsidRDefault="00CB00C2" w:rsidP="00AD3197">
            <w:pPr>
              <w:spacing w:after="0"/>
              <w:rPr>
                <w:bCs/>
              </w:rPr>
            </w:pPr>
            <w:r w:rsidRPr="007A3600">
              <w:rPr>
                <w:bCs/>
              </w:rPr>
              <w:t xml:space="preserve">Total </w:t>
            </w:r>
          </w:p>
        </w:tc>
        <w:tc>
          <w:tcPr>
            <w:tcW w:w="794" w:type="dxa"/>
            <w:noWrap/>
          </w:tcPr>
          <w:p w14:paraId="5264BEB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2,581</w:t>
            </w:r>
          </w:p>
        </w:tc>
        <w:tc>
          <w:tcPr>
            <w:tcW w:w="794" w:type="dxa"/>
            <w:noWrap/>
          </w:tcPr>
          <w:p w14:paraId="7DF63BD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134</w:t>
            </w:r>
          </w:p>
        </w:tc>
        <w:tc>
          <w:tcPr>
            <w:tcW w:w="794" w:type="dxa"/>
            <w:noWrap/>
          </w:tcPr>
          <w:p w14:paraId="6A637A0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2,715</w:t>
            </w:r>
          </w:p>
        </w:tc>
        <w:tc>
          <w:tcPr>
            <w:tcW w:w="794" w:type="dxa"/>
            <w:noWrap/>
          </w:tcPr>
          <w:p w14:paraId="054C67C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6,238</w:t>
            </w:r>
          </w:p>
        </w:tc>
        <w:tc>
          <w:tcPr>
            <w:tcW w:w="794" w:type="dxa"/>
            <w:noWrap/>
          </w:tcPr>
          <w:p w14:paraId="5F36415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1,133</w:t>
            </w:r>
          </w:p>
        </w:tc>
        <w:tc>
          <w:tcPr>
            <w:tcW w:w="794" w:type="dxa"/>
            <w:noWrap/>
          </w:tcPr>
          <w:p w14:paraId="3F749C3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7,371</w:t>
            </w:r>
          </w:p>
        </w:tc>
        <w:tc>
          <w:tcPr>
            <w:tcW w:w="794" w:type="dxa"/>
            <w:noWrap/>
          </w:tcPr>
          <w:p w14:paraId="7799B10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47</w:t>
            </w:r>
          </w:p>
        </w:tc>
        <w:tc>
          <w:tcPr>
            <w:tcW w:w="794" w:type="dxa"/>
            <w:noWrap/>
          </w:tcPr>
          <w:p w14:paraId="5E28A16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w:t>
            </w:r>
          </w:p>
        </w:tc>
        <w:tc>
          <w:tcPr>
            <w:tcW w:w="794" w:type="dxa"/>
            <w:noWrap/>
          </w:tcPr>
          <w:p w14:paraId="57C5844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48</w:t>
            </w:r>
          </w:p>
        </w:tc>
        <w:tc>
          <w:tcPr>
            <w:tcW w:w="794" w:type="dxa"/>
          </w:tcPr>
          <w:p w14:paraId="4F705BA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2479EB6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74492D1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3654385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5802C2E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7CFC6C4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907" w:type="dxa"/>
          </w:tcPr>
          <w:p w14:paraId="7AD23DB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10,134</w:t>
            </w:r>
          </w:p>
        </w:tc>
      </w:tr>
    </w:tbl>
    <w:bookmarkEnd w:id="257"/>
    <w:p w14:paraId="07459FDD" w14:textId="5E00618B" w:rsidR="00CB00C2" w:rsidRPr="007A3600" w:rsidRDefault="00CB00C2" w:rsidP="00AD3197">
      <w:pPr>
        <w:pStyle w:val="Caption"/>
      </w:pPr>
      <w:r w:rsidRPr="007A3600">
        <w:lastRenderedPageBreak/>
        <w:t xml:space="preserve">Table </w:t>
      </w:r>
      <w:r w:rsidR="000D7590" w:rsidRPr="007A3600">
        <w:t>12</w:t>
      </w:r>
      <w:r w:rsidRPr="007A3600">
        <w:t>: All non-ongoing employees – current reporting period (2024–25)</w:t>
      </w:r>
    </w:p>
    <w:tbl>
      <w:tblPr>
        <w:tblStyle w:val="NDISTable1"/>
        <w:tblW w:w="14008" w:type="dxa"/>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787D8AC3" w14:textId="77777777" w:rsidTr="009D1194">
        <w:trPr>
          <w:cnfStyle w:val="100000000000" w:firstRow="1" w:lastRow="0" w:firstColumn="0" w:lastColumn="0" w:oddVBand="0" w:evenVBand="0" w:oddHBand="0"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1512863A" w14:textId="77777777" w:rsidR="00CB00C2" w:rsidRPr="007A3600" w:rsidRDefault="00CB00C2" w:rsidP="009D1194">
            <w:pPr>
              <w:spacing w:after="0"/>
              <w:ind w:left="113" w:right="113"/>
            </w:pPr>
            <w:r w:rsidRPr="007A3600">
              <w:t>State or territory</w:t>
            </w:r>
          </w:p>
        </w:tc>
        <w:tc>
          <w:tcPr>
            <w:tcW w:w="794" w:type="dxa"/>
            <w:noWrap/>
            <w:textDirection w:val="tbRl"/>
            <w:hideMark/>
          </w:tcPr>
          <w:p w14:paraId="02B4279B"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Man/male full time</w:t>
            </w:r>
          </w:p>
        </w:tc>
        <w:tc>
          <w:tcPr>
            <w:tcW w:w="794" w:type="dxa"/>
            <w:textDirection w:val="tbRl"/>
          </w:tcPr>
          <w:p w14:paraId="54601231"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Man/male part time</w:t>
            </w:r>
          </w:p>
        </w:tc>
        <w:tc>
          <w:tcPr>
            <w:tcW w:w="794" w:type="dxa"/>
            <w:textDirection w:val="tbRl"/>
          </w:tcPr>
          <w:p w14:paraId="04A6B414"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Man/male total</w:t>
            </w:r>
          </w:p>
        </w:tc>
        <w:tc>
          <w:tcPr>
            <w:tcW w:w="794" w:type="dxa"/>
            <w:noWrap/>
            <w:textDirection w:val="tbRl"/>
            <w:hideMark/>
          </w:tcPr>
          <w:p w14:paraId="0A571852"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Woman/female full time</w:t>
            </w:r>
          </w:p>
        </w:tc>
        <w:tc>
          <w:tcPr>
            <w:tcW w:w="794" w:type="dxa"/>
            <w:textDirection w:val="tbRl"/>
          </w:tcPr>
          <w:p w14:paraId="4A4CA5FB"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Woman/female part time</w:t>
            </w:r>
          </w:p>
        </w:tc>
        <w:tc>
          <w:tcPr>
            <w:tcW w:w="794" w:type="dxa"/>
            <w:textDirection w:val="tbRl"/>
          </w:tcPr>
          <w:p w14:paraId="79885DC1"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Woman/female total</w:t>
            </w:r>
          </w:p>
        </w:tc>
        <w:tc>
          <w:tcPr>
            <w:tcW w:w="794" w:type="dxa"/>
            <w:noWrap/>
            <w:textDirection w:val="tbRl"/>
            <w:hideMark/>
          </w:tcPr>
          <w:p w14:paraId="7F81B191"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Non-binary full time</w:t>
            </w:r>
          </w:p>
        </w:tc>
        <w:tc>
          <w:tcPr>
            <w:tcW w:w="794" w:type="dxa"/>
            <w:textDirection w:val="tbRl"/>
          </w:tcPr>
          <w:p w14:paraId="2D85FCA4"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Non-binary part time</w:t>
            </w:r>
          </w:p>
        </w:tc>
        <w:tc>
          <w:tcPr>
            <w:tcW w:w="794" w:type="dxa"/>
            <w:textDirection w:val="tbRl"/>
          </w:tcPr>
          <w:p w14:paraId="0839E7E3"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Non-binary total</w:t>
            </w:r>
          </w:p>
        </w:tc>
        <w:tc>
          <w:tcPr>
            <w:tcW w:w="794" w:type="dxa"/>
            <w:textDirection w:val="tbRl"/>
            <w:hideMark/>
          </w:tcPr>
          <w:p w14:paraId="3081ADCE"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Prefers not to answer full time</w:t>
            </w:r>
          </w:p>
        </w:tc>
        <w:tc>
          <w:tcPr>
            <w:tcW w:w="794" w:type="dxa"/>
            <w:textDirection w:val="tbRl"/>
          </w:tcPr>
          <w:p w14:paraId="79F59678"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Prefers not to answer part time</w:t>
            </w:r>
          </w:p>
        </w:tc>
        <w:tc>
          <w:tcPr>
            <w:tcW w:w="794" w:type="dxa"/>
            <w:textDirection w:val="tbRl"/>
          </w:tcPr>
          <w:p w14:paraId="5D9A633E"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Prefers not to answer total</w:t>
            </w:r>
          </w:p>
        </w:tc>
        <w:tc>
          <w:tcPr>
            <w:tcW w:w="794" w:type="dxa"/>
            <w:textDirection w:val="tbRl"/>
            <w:hideMark/>
          </w:tcPr>
          <w:p w14:paraId="06DE1FDD"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Uses a different term full time</w:t>
            </w:r>
          </w:p>
        </w:tc>
        <w:tc>
          <w:tcPr>
            <w:tcW w:w="794" w:type="dxa"/>
            <w:textDirection w:val="tbRl"/>
          </w:tcPr>
          <w:p w14:paraId="127908B3"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Uses a different term part time</w:t>
            </w:r>
          </w:p>
        </w:tc>
        <w:tc>
          <w:tcPr>
            <w:tcW w:w="794" w:type="dxa"/>
            <w:textDirection w:val="tbRl"/>
          </w:tcPr>
          <w:p w14:paraId="484F8355"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Uses a different term total</w:t>
            </w:r>
          </w:p>
        </w:tc>
        <w:tc>
          <w:tcPr>
            <w:tcW w:w="907" w:type="dxa"/>
            <w:textDirection w:val="tbRl"/>
            <w:hideMark/>
          </w:tcPr>
          <w:p w14:paraId="2D6E3896"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Total</w:t>
            </w:r>
          </w:p>
        </w:tc>
      </w:tr>
      <w:tr w:rsidR="00B407C5" w:rsidRPr="007A3600" w14:paraId="7F514875"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341447E" w14:textId="77777777" w:rsidR="00CB00C2" w:rsidRPr="007A3600" w:rsidRDefault="00CB00C2" w:rsidP="00AD3197">
            <w:pPr>
              <w:spacing w:after="0"/>
              <w:rPr>
                <w:b/>
                <w:bCs/>
              </w:rPr>
            </w:pPr>
            <w:r w:rsidRPr="007A3600">
              <w:rPr>
                <w:bCs/>
              </w:rPr>
              <w:t>NSW</w:t>
            </w:r>
          </w:p>
        </w:tc>
        <w:tc>
          <w:tcPr>
            <w:tcW w:w="794" w:type="dxa"/>
            <w:noWrap/>
          </w:tcPr>
          <w:p w14:paraId="79ED4DB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26</w:t>
            </w:r>
          </w:p>
        </w:tc>
        <w:tc>
          <w:tcPr>
            <w:tcW w:w="794" w:type="dxa"/>
            <w:noWrap/>
          </w:tcPr>
          <w:p w14:paraId="1FCC662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w:t>
            </w:r>
          </w:p>
        </w:tc>
        <w:tc>
          <w:tcPr>
            <w:tcW w:w="794" w:type="dxa"/>
            <w:noWrap/>
          </w:tcPr>
          <w:p w14:paraId="7F7838A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28</w:t>
            </w:r>
          </w:p>
        </w:tc>
        <w:tc>
          <w:tcPr>
            <w:tcW w:w="794" w:type="dxa"/>
            <w:noWrap/>
          </w:tcPr>
          <w:p w14:paraId="4221CE2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73</w:t>
            </w:r>
          </w:p>
        </w:tc>
        <w:tc>
          <w:tcPr>
            <w:tcW w:w="794" w:type="dxa"/>
            <w:noWrap/>
          </w:tcPr>
          <w:p w14:paraId="25EFBC6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w:t>
            </w:r>
          </w:p>
        </w:tc>
        <w:tc>
          <w:tcPr>
            <w:tcW w:w="794" w:type="dxa"/>
            <w:noWrap/>
          </w:tcPr>
          <w:p w14:paraId="791BF21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74</w:t>
            </w:r>
          </w:p>
        </w:tc>
        <w:tc>
          <w:tcPr>
            <w:tcW w:w="794" w:type="dxa"/>
            <w:noWrap/>
          </w:tcPr>
          <w:p w14:paraId="4023566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26B6F64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5413C0F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4DF7BA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C97BC6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423126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086F87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4F6429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665B3D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56B1D55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102</w:t>
            </w:r>
          </w:p>
        </w:tc>
      </w:tr>
      <w:tr w:rsidR="004E63EB" w:rsidRPr="007A3600" w14:paraId="09FFAA0D"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C55AE02" w14:textId="77777777" w:rsidR="00CB00C2" w:rsidRPr="007A3600" w:rsidRDefault="00CB00C2" w:rsidP="00AD3197">
            <w:pPr>
              <w:spacing w:after="0"/>
              <w:rPr>
                <w:b/>
                <w:bCs/>
              </w:rPr>
            </w:pPr>
            <w:r w:rsidRPr="007A3600">
              <w:rPr>
                <w:bCs/>
              </w:rPr>
              <w:t>Qld</w:t>
            </w:r>
          </w:p>
        </w:tc>
        <w:tc>
          <w:tcPr>
            <w:tcW w:w="794" w:type="dxa"/>
            <w:noWrap/>
          </w:tcPr>
          <w:p w14:paraId="2E01662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17</w:t>
            </w:r>
          </w:p>
        </w:tc>
        <w:tc>
          <w:tcPr>
            <w:tcW w:w="794" w:type="dxa"/>
            <w:noWrap/>
          </w:tcPr>
          <w:p w14:paraId="06B8E7D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7EA4199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18</w:t>
            </w:r>
          </w:p>
        </w:tc>
        <w:tc>
          <w:tcPr>
            <w:tcW w:w="794" w:type="dxa"/>
            <w:noWrap/>
          </w:tcPr>
          <w:p w14:paraId="7876D64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54</w:t>
            </w:r>
          </w:p>
        </w:tc>
        <w:tc>
          <w:tcPr>
            <w:tcW w:w="794" w:type="dxa"/>
            <w:noWrap/>
          </w:tcPr>
          <w:p w14:paraId="0207379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4</w:t>
            </w:r>
          </w:p>
        </w:tc>
        <w:tc>
          <w:tcPr>
            <w:tcW w:w="794" w:type="dxa"/>
            <w:noWrap/>
          </w:tcPr>
          <w:p w14:paraId="69EC4E9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58</w:t>
            </w:r>
          </w:p>
        </w:tc>
        <w:tc>
          <w:tcPr>
            <w:tcW w:w="794" w:type="dxa"/>
            <w:noWrap/>
          </w:tcPr>
          <w:p w14:paraId="298F82D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019B8BB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74B868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tcPr>
          <w:p w14:paraId="3774D8D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8AF6F5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D4F688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A68AEB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D02C55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E59A34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6FD99A4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78</w:t>
            </w:r>
          </w:p>
        </w:tc>
      </w:tr>
      <w:tr w:rsidR="00B407C5" w:rsidRPr="007A3600" w14:paraId="1E250388"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02B60B5" w14:textId="77777777" w:rsidR="00CB00C2" w:rsidRPr="007A3600" w:rsidRDefault="00CB00C2" w:rsidP="00AD3197">
            <w:pPr>
              <w:spacing w:after="0"/>
              <w:rPr>
                <w:b/>
                <w:bCs/>
              </w:rPr>
            </w:pPr>
            <w:r w:rsidRPr="007A3600">
              <w:rPr>
                <w:bCs/>
              </w:rPr>
              <w:t>SA</w:t>
            </w:r>
          </w:p>
        </w:tc>
        <w:tc>
          <w:tcPr>
            <w:tcW w:w="794" w:type="dxa"/>
            <w:noWrap/>
          </w:tcPr>
          <w:p w14:paraId="0B29CB2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11</w:t>
            </w:r>
          </w:p>
        </w:tc>
        <w:tc>
          <w:tcPr>
            <w:tcW w:w="794" w:type="dxa"/>
            <w:noWrap/>
          </w:tcPr>
          <w:p w14:paraId="5D62A6D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w:t>
            </w:r>
          </w:p>
        </w:tc>
        <w:tc>
          <w:tcPr>
            <w:tcW w:w="794" w:type="dxa"/>
            <w:noWrap/>
          </w:tcPr>
          <w:p w14:paraId="2CA7C85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12</w:t>
            </w:r>
          </w:p>
        </w:tc>
        <w:tc>
          <w:tcPr>
            <w:tcW w:w="794" w:type="dxa"/>
            <w:noWrap/>
          </w:tcPr>
          <w:p w14:paraId="3BBCC47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28</w:t>
            </w:r>
          </w:p>
        </w:tc>
        <w:tc>
          <w:tcPr>
            <w:tcW w:w="794" w:type="dxa"/>
            <w:noWrap/>
          </w:tcPr>
          <w:p w14:paraId="53C8BD9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w:t>
            </w:r>
          </w:p>
        </w:tc>
        <w:tc>
          <w:tcPr>
            <w:tcW w:w="794" w:type="dxa"/>
            <w:noWrap/>
          </w:tcPr>
          <w:p w14:paraId="571D95C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29</w:t>
            </w:r>
          </w:p>
        </w:tc>
        <w:tc>
          <w:tcPr>
            <w:tcW w:w="794" w:type="dxa"/>
            <w:noWrap/>
          </w:tcPr>
          <w:p w14:paraId="2507EA4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BB390B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72C39E0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592AC2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6E2B81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2BC5FF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3FBA168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0FF928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7A65D6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545A100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41</w:t>
            </w:r>
          </w:p>
        </w:tc>
      </w:tr>
      <w:tr w:rsidR="004E63EB" w:rsidRPr="007A3600" w14:paraId="5240F345"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D0533FA" w14:textId="77777777" w:rsidR="00CB00C2" w:rsidRPr="007A3600" w:rsidRDefault="00CB00C2" w:rsidP="00AD3197">
            <w:pPr>
              <w:spacing w:after="0"/>
              <w:rPr>
                <w:b/>
                <w:bCs/>
              </w:rPr>
            </w:pPr>
            <w:r w:rsidRPr="007A3600">
              <w:rPr>
                <w:bCs/>
              </w:rPr>
              <w:t>Tas</w:t>
            </w:r>
          </w:p>
        </w:tc>
        <w:tc>
          <w:tcPr>
            <w:tcW w:w="794" w:type="dxa"/>
            <w:noWrap/>
          </w:tcPr>
          <w:p w14:paraId="1BA7C0C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0D9C878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9077CE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3F4FEC0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81FC72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62701F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518478B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217DFA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8EC7F2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3D6174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74846D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AD2F24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9A5B33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24D9E10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559AE0B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31ACEE5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r>
      <w:tr w:rsidR="00B407C5" w:rsidRPr="007A3600" w14:paraId="7E39442E"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20C19295" w14:textId="77777777" w:rsidR="00CB00C2" w:rsidRPr="007A3600" w:rsidRDefault="00CB00C2" w:rsidP="00AD3197">
            <w:pPr>
              <w:spacing w:after="0"/>
              <w:rPr>
                <w:b/>
                <w:bCs/>
              </w:rPr>
            </w:pPr>
            <w:r w:rsidRPr="007A3600">
              <w:rPr>
                <w:bCs/>
              </w:rPr>
              <w:t>Vic</w:t>
            </w:r>
          </w:p>
        </w:tc>
        <w:tc>
          <w:tcPr>
            <w:tcW w:w="794" w:type="dxa"/>
            <w:noWrap/>
          </w:tcPr>
          <w:p w14:paraId="3D2122E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61</w:t>
            </w:r>
          </w:p>
        </w:tc>
        <w:tc>
          <w:tcPr>
            <w:tcW w:w="794" w:type="dxa"/>
            <w:noWrap/>
          </w:tcPr>
          <w:p w14:paraId="3B453B1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w:t>
            </w:r>
          </w:p>
        </w:tc>
        <w:tc>
          <w:tcPr>
            <w:tcW w:w="794" w:type="dxa"/>
            <w:noWrap/>
          </w:tcPr>
          <w:p w14:paraId="69F95B5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64</w:t>
            </w:r>
          </w:p>
        </w:tc>
        <w:tc>
          <w:tcPr>
            <w:tcW w:w="794" w:type="dxa"/>
            <w:noWrap/>
          </w:tcPr>
          <w:p w14:paraId="1E310A7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102</w:t>
            </w:r>
          </w:p>
        </w:tc>
        <w:tc>
          <w:tcPr>
            <w:tcW w:w="794" w:type="dxa"/>
            <w:noWrap/>
          </w:tcPr>
          <w:p w14:paraId="5A6B617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9</w:t>
            </w:r>
          </w:p>
        </w:tc>
        <w:tc>
          <w:tcPr>
            <w:tcW w:w="794" w:type="dxa"/>
            <w:noWrap/>
          </w:tcPr>
          <w:p w14:paraId="648774E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111</w:t>
            </w:r>
          </w:p>
        </w:tc>
        <w:tc>
          <w:tcPr>
            <w:tcW w:w="794" w:type="dxa"/>
            <w:noWrap/>
          </w:tcPr>
          <w:p w14:paraId="3B9C14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w:t>
            </w:r>
          </w:p>
        </w:tc>
        <w:tc>
          <w:tcPr>
            <w:tcW w:w="794" w:type="dxa"/>
            <w:noWrap/>
          </w:tcPr>
          <w:p w14:paraId="6DBA7D5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2667FA3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w:t>
            </w:r>
          </w:p>
        </w:tc>
        <w:tc>
          <w:tcPr>
            <w:tcW w:w="794" w:type="dxa"/>
          </w:tcPr>
          <w:p w14:paraId="7DF6775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734CB49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0B823F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348E6B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EC6E8F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FE455A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55B790C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179</w:t>
            </w:r>
          </w:p>
        </w:tc>
      </w:tr>
      <w:tr w:rsidR="004E63EB" w:rsidRPr="007A3600" w14:paraId="46491B1A"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5F99384" w14:textId="77777777" w:rsidR="00CB00C2" w:rsidRPr="007A3600" w:rsidRDefault="00CB00C2" w:rsidP="00AD3197">
            <w:pPr>
              <w:spacing w:after="0"/>
              <w:rPr>
                <w:b/>
                <w:bCs/>
              </w:rPr>
            </w:pPr>
            <w:r w:rsidRPr="007A3600">
              <w:rPr>
                <w:bCs/>
              </w:rPr>
              <w:t>WA</w:t>
            </w:r>
          </w:p>
        </w:tc>
        <w:tc>
          <w:tcPr>
            <w:tcW w:w="794" w:type="dxa"/>
            <w:noWrap/>
          </w:tcPr>
          <w:p w14:paraId="029D241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617D766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2534C35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74368A4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13</w:t>
            </w:r>
          </w:p>
        </w:tc>
        <w:tc>
          <w:tcPr>
            <w:tcW w:w="794" w:type="dxa"/>
            <w:noWrap/>
          </w:tcPr>
          <w:p w14:paraId="6B632C3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w:t>
            </w:r>
          </w:p>
        </w:tc>
        <w:tc>
          <w:tcPr>
            <w:tcW w:w="794" w:type="dxa"/>
            <w:noWrap/>
          </w:tcPr>
          <w:p w14:paraId="56A522C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14</w:t>
            </w:r>
          </w:p>
        </w:tc>
        <w:tc>
          <w:tcPr>
            <w:tcW w:w="794" w:type="dxa"/>
            <w:noWrap/>
          </w:tcPr>
          <w:p w14:paraId="18335D6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0592BB4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926F5C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6B061A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79E6B7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38E092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5B02E5B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933FD5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A8BCF1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6094C4A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16</w:t>
            </w:r>
          </w:p>
        </w:tc>
      </w:tr>
      <w:tr w:rsidR="00B407C5" w:rsidRPr="007A3600" w14:paraId="32D33DF7"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DA18584" w14:textId="77777777" w:rsidR="00CB00C2" w:rsidRPr="007A3600" w:rsidRDefault="00CB00C2" w:rsidP="00AD3197">
            <w:pPr>
              <w:spacing w:after="0"/>
              <w:rPr>
                <w:b/>
                <w:bCs/>
              </w:rPr>
            </w:pPr>
            <w:r w:rsidRPr="007A3600">
              <w:rPr>
                <w:bCs/>
              </w:rPr>
              <w:t>ACT</w:t>
            </w:r>
          </w:p>
        </w:tc>
        <w:tc>
          <w:tcPr>
            <w:tcW w:w="794" w:type="dxa"/>
            <w:noWrap/>
          </w:tcPr>
          <w:p w14:paraId="388C075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14</w:t>
            </w:r>
          </w:p>
        </w:tc>
        <w:tc>
          <w:tcPr>
            <w:tcW w:w="794" w:type="dxa"/>
            <w:noWrap/>
          </w:tcPr>
          <w:p w14:paraId="6F01C40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1CB432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14</w:t>
            </w:r>
          </w:p>
        </w:tc>
        <w:tc>
          <w:tcPr>
            <w:tcW w:w="794" w:type="dxa"/>
            <w:noWrap/>
          </w:tcPr>
          <w:p w14:paraId="5DDCD30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32</w:t>
            </w:r>
          </w:p>
        </w:tc>
        <w:tc>
          <w:tcPr>
            <w:tcW w:w="794" w:type="dxa"/>
            <w:noWrap/>
          </w:tcPr>
          <w:p w14:paraId="7B9806B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2</w:t>
            </w:r>
          </w:p>
        </w:tc>
        <w:tc>
          <w:tcPr>
            <w:tcW w:w="794" w:type="dxa"/>
            <w:noWrap/>
          </w:tcPr>
          <w:p w14:paraId="124742A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34</w:t>
            </w:r>
          </w:p>
        </w:tc>
        <w:tc>
          <w:tcPr>
            <w:tcW w:w="794" w:type="dxa"/>
            <w:noWrap/>
          </w:tcPr>
          <w:p w14:paraId="52D59B5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67B6720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5D40C98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97F7A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A7A78A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772708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C540C8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1F70E82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9866BC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44E225D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48</w:t>
            </w:r>
          </w:p>
        </w:tc>
      </w:tr>
      <w:tr w:rsidR="004E63EB" w:rsidRPr="007A3600" w14:paraId="0A379C38"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CFD0CC9" w14:textId="77777777" w:rsidR="00CB00C2" w:rsidRPr="007A3600" w:rsidRDefault="00CB00C2" w:rsidP="00AD3197">
            <w:pPr>
              <w:spacing w:after="0"/>
              <w:rPr>
                <w:b/>
                <w:bCs/>
              </w:rPr>
            </w:pPr>
            <w:r w:rsidRPr="007A3600">
              <w:rPr>
                <w:bCs/>
              </w:rPr>
              <w:t>NT</w:t>
            </w:r>
          </w:p>
        </w:tc>
        <w:tc>
          <w:tcPr>
            <w:tcW w:w="794" w:type="dxa"/>
            <w:noWrap/>
          </w:tcPr>
          <w:p w14:paraId="42E075F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381AD48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78574D2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837A76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1A1E43A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1617509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c>
          <w:tcPr>
            <w:tcW w:w="794" w:type="dxa"/>
            <w:noWrap/>
          </w:tcPr>
          <w:p w14:paraId="177A82C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51F8A7D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B4B09B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8C096F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2F6B266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CAD974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6A9293A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143670D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793AA6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46FD9B3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2</w:t>
            </w:r>
          </w:p>
        </w:tc>
      </w:tr>
      <w:tr w:rsidR="00B407C5" w:rsidRPr="007A3600" w14:paraId="6ED3C69A"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270B5A9" w14:textId="4FAAF9A5" w:rsidR="00CB00C2" w:rsidRPr="007A3600" w:rsidRDefault="00CB00C2" w:rsidP="00AD3197">
            <w:pPr>
              <w:spacing w:after="0"/>
              <w:rPr>
                <w:b/>
                <w:bCs/>
              </w:rPr>
            </w:pPr>
            <w:r w:rsidRPr="007A3600">
              <w:rPr>
                <w:bCs/>
              </w:rPr>
              <w:t xml:space="preserve">External </w:t>
            </w:r>
            <w:r w:rsidR="00A30B5F" w:rsidRPr="007A3600">
              <w:rPr>
                <w:bCs/>
              </w:rPr>
              <w:t>t</w:t>
            </w:r>
            <w:r w:rsidRPr="007A3600">
              <w:rPr>
                <w:bCs/>
              </w:rPr>
              <w:t>erritories</w:t>
            </w:r>
          </w:p>
        </w:tc>
        <w:tc>
          <w:tcPr>
            <w:tcW w:w="794" w:type="dxa"/>
            <w:noWrap/>
          </w:tcPr>
          <w:p w14:paraId="08F5D96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5AA2296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1A1BE86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BAEAA6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6CC111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4DB8EA8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4A0B612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19B73B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noWrap/>
          </w:tcPr>
          <w:p w14:paraId="33B2AC5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88B3BC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40824DB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1ED27D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621D8D2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22BD50F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794" w:type="dxa"/>
          </w:tcPr>
          <w:p w14:paraId="53D8AD6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c>
          <w:tcPr>
            <w:tcW w:w="907" w:type="dxa"/>
          </w:tcPr>
          <w:p w14:paraId="3A8080A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t>0</w:t>
            </w:r>
          </w:p>
        </w:tc>
      </w:tr>
      <w:tr w:rsidR="004E63EB" w:rsidRPr="007A3600" w14:paraId="358B159D" w14:textId="77777777" w:rsidTr="00E52DB2">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D76F689" w14:textId="77777777" w:rsidR="00CB00C2" w:rsidRPr="007A3600" w:rsidRDefault="00CB00C2" w:rsidP="00AD3197">
            <w:pPr>
              <w:spacing w:after="0"/>
              <w:rPr>
                <w:b/>
                <w:bCs/>
              </w:rPr>
            </w:pPr>
            <w:r w:rsidRPr="007A3600">
              <w:rPr>
                <w:bCs/>
              </w:rPr>
              <w:t>Overseas</w:t>
            </w:r>
          </w:p>
        </w:tc>
        <w:tc>
          <w:tcPr>
            <w:tcW w:w="794" w:type="dxa"/>
            <w:noWrap/>
          </w:tcPr>
          <w:p w14:paraId="67DCB18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18932DA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614B66E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24B7F38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00657B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4E5EC60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24DF617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28AA0BA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noWrap/>
          </w:tcPr>
          <w:p w14:paraId="1E8E238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DF65A7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7EF998A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4862A14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AD0F8E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0DE8A76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794" w:type="dxa"/>
          </w:tcPr>
          <w:p w14:paraId="316B083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c>
          <w:tcPr>
            <w:tcW w:w="907" w:type="dxa"/>
          </w:tcPr>
          <w:p w14:paraId="7225F73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t>0</w:t>
            </w:r>
          </w:p>
        </w:tc>
      </w:tr>
      <w:tr w:rsidR="00B407C5" w:rsidRPr="007A3600" w14:paraId="222D46B3" w14:textId="77777777" w:rsidTr="00E52DB2">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3C8E6E7" w14:textId="77777777" w:rsidR="00CB00C2" w:rsidRPr="007A3600" w:rsidRDefault="00CB00C2" w:rsidP="00AD3197">
            <w:pPr>
              <w:spacing w:after="0"/>
              <w:rPr>
                <w:b/>
                <w:bCs/>
              </w:rPr>
            </w:pPr>
            <w:r w:rsidRPr="007A3600">
              <w:rPr>
                <w:bCs/>
              </w:rPr>
              <w:t>Total</w:t>
            </w:r>
          </w:p>
        </w:tc>
        <w:tc>
          <w:tcPr>
            <w:tcW w:w="794" w:type="dxa"/>
            <w:noWrap/>
          </w:tcPr>
          <w:p w14:paraId="3D4EEE9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132</w:t>
            </w:r>
          </w:p>
        </w:tc>
        <w:tc>
          <w:tcPr>
            <w:tcW w:w="794" w:type="dxa"/>
            <w:noWrap/>
          </w:tcPr>
          <w:p w14:paraId="18247D1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7</w:t>
            </w:r>
          </w:p>
        </w:tc>
        <w:tc>
          <w:tcPr>
            <w:tcW w:w="794" w:type="dxa"/>
            <w:noWrap/>
          </w:tcPr>
          <w:p w14:paraId="4AE07BF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139</w:t>
            </w:r>
          </w:p>
        </w:tc>
        <w:tc>
          <w:tcPr>
            <w:tcW w:w="794" w:type="dxa"/>
            <w:noWrap/>
          </w:tcPr>
          <w:p w14:paraId="210119B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304</w:t>
            </w:r>
          </w:p>
        </w:tc>
        <w:tc>
          <w:tcPr>
            <w:tcW w:w="794" w:type="dxa"/>
            <w:noWrap/>
          </w:tcPr>
          <w:p w14:paraId="42451B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18</w:t>
            </w:r>
          </w:p>
        </w:tc>
        <w:tc>
          <w:tcPr>
            <w:tcW w:w="794" w:type="dxa"/>
            <w:noWrap/>
          </w:tcPr>
          <w:p w14:paraId="702BFF8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322</w:t>
            </w:r>
          </w:p>
        </w:tc>
        <w:tc>
          <w:tcPr>
            <w:tcW w:w="794" w:type="dxa"/>
            <w:noWrap/>
          </w:tcPr>
          <w:p w14:paraId="62F6487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6</w:t>
            </w:r>
          </w:p>
        </w:tc>
        <w:tc>
          <w:tcPr>
            <w:tcW w:w="794" w:type="dxa"/>
            <w:noWrap/>
          </w:tcPr>
          <w:p w14:paraId="1D46CB1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noWrap/>
          </w:tcPr>
          <w:p w14:paraId="3FE9B3E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6</w:t>
            </w:r>
          </w:p>
        </w:tc>
        <w:tc>
          <w:tcPr>
            <w:tcW w:w="794" w:type="dxa"/>
          </w:tcPr>
          <w:p w14:paraId="03A7858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4CB95E8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7E6B875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7E3477A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3DDE907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794" w:type="dxa"/>
          </w:tcPr>
          <w:p w14:paraId="1E580C0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0</w:t>
            </w:r>
          </w:p>
        </w:tc>
        <w:tc>
          <w:tcPr>
            <w:tcW w:w="907" w:type="dxa"/>
          </w:tcPr>
          <w:p w14:paraId="32D14AB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rPr>
              <w:t>467</w:t>
            </w:r>
          </w:p>
        </w:tc>
      </w:tr>
    </w:tbl>
    <w:p w14:paraId="3DFDF52E" w14:textId="77777777" w:rsidR="00CB00C2" w:rsidRPr="007A3600" w:rsidRDefault="00CB00C2" w:rsidP="00AD3197"/>
    <w:p w14:paraId="52B3A95F" w14:textId="6D381B36" w:rsidR="00CB00C2" w:rsidRPr="007A3600" w:rsidRDefault="00CB00C2" w:rsidP="00AD3197">
      <w:pPr>
        <w:pStyle w:val="Caption"/>
      </w:pPr>
      <w:r w:rsidRPr="007A3600">
        <w:lastRenderedPageBreak/>
        <w:t xml:space="preserve">Table </w:t>
      </w:r>
      <w:r w:rsidR="001662D2" w:rsidRPr="007A3600">
        <w:t>13</w:t>
      </w:r>
      <w:r w:rsidRPr="007A3600">
        <w:t>: All ongoing employees – previous reporting period (2023–24)</w:t>
      </w:r>
    </w:p>
    <w:tbl>
      <w:tblPr>
        <w:tblStyle w:val="NDISTable1"/>
        <w:tblW w:w="0" w:type="auto"/>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29C3E0CF" w14:textId="77777777" w:rsidTr="009D1194">
        <w:trPr>
          <w:cnfStyle w:val="100000000000" w:firstRow="1" w:lastRow="0" w:firstColumn="0" w:lastColumn="0" w:oddVBand="0" w:evenVBand="0" w:oddHBand="0"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51757C2D" w14:textId="77777777" w:rsidR="00CB00C2" w:rsidRPr="007A3600" w:rsidRDefault="00CB00C2" w:rsidP="009D1194">
            <w:pPr>
              <w:spacing w:after="0"/>
              <w:ind w:left="113" w:right="113"/>
            </w:pPr>
            <w:r w:rsidRPr="007A3600">
              <w:t>State or territory</w:t>
            </w:r>
          </w:p>
        </w:tc>
        <w:tc>
          <w:tcPr>
            <w:tcW w:w="794" w:type="dxa"/>
            <w:noWrap/>
            <w:textDirection w:val="tbRl"/>
            <w:hideMark/>
          </w:tcPr>
          <w:p w14:paraId="23299BF2"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full time</w:t>
            </w:r>
          </w:p>
        </w:tc>
        <w:tc>
          <w:tcPr>
            <w:tcW w:w="794" w:type="dxa"/>
            <w:textDirection w:val="tbRl"/>
          </w:tcPr>
          <w:p w14:paraId="0E506557"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part time</w:t>
            </w:r>
          </w:p>
        </w:tc>
        <w:tc>
          <w:tcPr>
            <w:tcW w:w="794" w:type="dxa"/>
            <w:textDirection w:val="tbRl"/>
          </w:tcPr>
          <w:p w14:paraId="3D4C6697"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Man/male total</w:t>
            </w:r>
          </w:p>
        </w:tc>
        <w:tc>
          <w:tcPr>
            <w:tcW w:w="794" w:type="dxa"/>
            <w:noWrap/>
            <w:textDirection w:val="tbRl"/>
            <w:hideMark/>
          </w:tcPr>
          <w:p w14:paraId="37087A3C"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full time</w:t>
            </w:r>
          </w:p>
        </w:tc>
        <w:tc>
          <w:tcPr>
            <w:tcW w:w="794" w:type="dxa"/>
            <w:textDirection w:val="tbRl"/>
          </w:tcPr>
          <w:p w14:paraId="5B461F4B"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part time</w:t>
            </w:r>
          </w:p>
        </w:tc>
        <w:tc>
          <w:tcPr>
            <w:tcW w:w="794" w:type="dxa"/>
            <w:textDirection w:val="tbRl"/>
          </w:tcPr>
          <w:p w14:paraId="2C2B75BC"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Woman/female total</w:t>
            </w:r>
          </w:p>
        </w:tc>
        <w:tc>
          <w:tcPr>
            <w:tcW w:w="794" w:type="dxa"/>
            <w:noWrap/>
            <w:textDirection w:val="tbRl"/>
            <w:hideMark/>
          </w:tcPr>
          <w:p w14:paraId="1A507FF2"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full time</w:t>
            </w:r>
          </w:p>
        </w:tc>
        <w:tc>
          <w:tcPr>
            <w:tcW w:w="794" w:type="dxa"/>
            <w:textDirection w:val="tbRl"/>
          </w:tcPr>
          <w:p w14:paraId="1D4927CE"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part time</w:t>
            </w:r>
          </w:p>
        </w:tc>
        <w:tc>
          <w:tcPr>
            <w:tcW w:w="794" w:type="dxa"/>
            <w:textDirection w:val="tbRl"/>
          </w:tcPr>
          <w:p w14:paraId="1A88C8DA"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Non-binary total</w:t>
            </w:r>
          </w:p>
        </w:tc>
        <w:tc>
          <w:tcPr>
            <w:tcW w:w="794" w:type="dxa"/>
            <w:textDirection w:val="tbRl"/>
            <w:hideMark/>
          </w:tcPr>
          <w:p w14:paraId="0C8E23D2"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full time</w:t>
            </w:r>
          </w:p>
        </w:tc>
        <w:tc>
          <w:tcPr>
            <w:tcW w:w="794" w:type="dxa"/>
            <w:textDirection w:val="tbRl"/>
          </w:tcPr>
          <w:p w14:paraId="4400F3D9"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part time</w:t>
            </w:r>
          </w:p>
        </w:tc>
        <w:tc>
          <w:tcPr>
            <w:tcW w:w="794" w:type="dxa"/>
            <w:textDirection w:val="tbRl"/>
          </w:tcPr>
          <w:p w14:paraId="7397AD63"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Prefers not to answer total</w:t>
            </w:r>
          </w:p>
        </w:tc>
        <w:tc>
          <w:tcPr>
            <w:tcW w:w="794" w:type="dxa"/>
            <w:textDirection w:val="tbRl"/>
            <w:hideMark/>
          </w:tcPr>
          <w:p w14:paraId="1CE39BD7"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full time</w:t>
            </w:r>
          </w:p>
        </w:tc>
        <w:tc>
          <w:tcPr>
            <w:tcW w:w="794" w:type="dxa"/>
            <w:textDirection w:val="tbRl"/>
          </w:tcPr>
          <w:p w14:paraId="62DE37BB"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part time</w:t>
            </w:r>
          </w:p>
        </w:tc>
        <w:tc>
          <w:tcPr>
            <w:tcW w:w="794" w:type="dxa"/>
            <w:textDirection w:val="tbRl"/>
          </w:tcPr>
          <w:p w14:paraId="020CFCB8"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Uses a different term total</w:t>
            </w:r>
          </w:p>
        </w:tc>
        <w:tc>
          <w:tcPr>
            <w:tcW w:w="907" w:type="dxa"/>
            <w:textDirection w:val="tbRl"/>
            <w:hideMark/>
          </w:tcPr>
          <w:p w14:paraId="4747D504"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pPr>
            <w:r w:rsidRPr="007A3600">
              <w:t xml:space="preserve">Total </w:t>
            </w:r>
          </w:p>
        </w:tc>
      </w:tr>
      <w:tr w:rsidR="00B407C5" w:rsidRPr="007A3600" w14:paraId="0712853A"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A943452" w14:textId="77777777" w:rsidR="00CB00C2" w:rsidRPr="007A3600" w:rsidRDefault="00CB00C2" w:rsidP="00AD3197">
            <w:pPr>
              <w:spacing w:after="0"/>
              <w:rPr>
                <w:bCs/>
              </w:rPr>
            </w:pPr>
            <w:r w:rsidRPr="007A3600">
              <w:rPr>
                <w:bCs/>
              </w:rPr>
              <w:t>NSW</w:t>
            </w:r>
          </w:p>
        </w:tc>
        <w:tc>
          <w:tcPr>
            <w:tcW w:w="794" w:type="dxa"/>
            <w:noWrap/>
          </w:tcPr>
          <w:p w14:paraId="02A826C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346</w:t>
            </w:r>
          </w:p>
        </w:tc>
        <w:tc>
          <w:tcPr>
            <w:tcW w:w="794" w:type="dxa"/>
            <w:noWrap/>
          </w:tcPr>
          <w:p w14:paraId="07E5475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20</w:t>
            </w:r>
          </w:p>
        </w:tc>
        <w:tc>
          <w:tcPr>
            <w:tcW w:w="794" w:type="dxa"/>
            <w:noWrap/>
          </w:tcPr>
          <w:p w14:paraId="01EF79C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366</w:t>
            </w:r>
          </w:p>
        </w:tc>
        <w:tc>
          <w:tcPr>
            <w:tcW w:w="794" w:type="dxa"/>
            <w:noWrap/>
          </w:tcPr>
          <w:p w14:paraId="5B20951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1,082</w:t>
            </w:r>
          </w:p>
        </w:tc>
        <w:tc>
          <w:tcPr>
            <w:tcW w:w="794" w:type="dxa"/>
            <w:noWrap/>
          </w:tcPr>
          <w:p w14:paraId="0C0465F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207</w:t>
            </w:r>
          </w:p>
        </w:tc>
        <w:tc>
          <w:tcPr>
            <w:tcW w:w="794" w:type="dxa"/>
            <w:noWrap/>
          </w:tcPr>
          <w:p w14:paraId="1FC8405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1,289</w:t>
            </w:r>
          </w:p>
        </w:tc>
        <w:tc>
          <w:tcPr>
            <w:tcW w:w="794" w:type="dxa"/>
            <w:noWrap/>
          </w:tcPr>
          <w:p w14:paraId="60594FB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5</w:t>
            </w:r>
          </w:p>
        </w:tc>
        <w:tc>
          <w:tcPr>
            <w:tcW w:w="794" w:type="dxa"/>
            <w:noWrap/>
          </w:tcPr>
          <w:p w14:paraId="5D5471A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w:t>
            </w:r>
          </w:p>
        </w:tc>
        <w:tc>
          <w:tcPr>
            <w:tcW w:w="794" w:type="dxa"/>
            <w:noWrap/>
          </w:tcPr>
          <w:p w14:paraId="0B9900C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6</w:t>
            </w:r>
          </w:p>
        </w:tc>
        <w:tc>
          <w:tcPr>
            <w:tcW w:w="794" w:type="dxa"/>
          </w:tcPr>
          <w:p w14:paraId="07BF24A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AEE4FD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3379F34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875B9A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760795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B1AC1A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6C83604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1,661</w:t>
            </w:r>
          </w:p>
        </w:tc>
      </w:tr>
      <w:tr w:rsidR="00A766F7" w:rsidRPr="007A3600" w14:paraId="09C207D4" w14:textId="77777777" w:rsidTr="00F25FF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C8DC355" w14:textId="77777777" w:rsidR="00CB00C2" w:rsidRPr="007A3600" w:rsidRDefault="00CB00C2" w:rsidP="00AD3197">
            <w:pPr>
              <w:spacing w:after="0"/>
              <w:rPr>
                <w:bCs/>
              </w:rPr>
            </w:pPr>
            <w:r w:rsidRPr="007A3600">
              <w:rPr>
                <w:bCs/>
              </w:rPr>
              <w:t>Qld</w:t>
            </w:r>
          </w:p>
        </w:tc>
        <w:tc>
          <w:tcPr>
            <w:tcW w:w="794" w:type="dxa"/>
            <w:noWrap/>
          </w:tcPr>
          <w:p w14:paraId="158B75B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310</w:t>
            </w:r>
          </w:p>
        </w:tc>
        <w:tc>
          <w:tcPr>
            <w:tcW w:w="794" w:type="dxa"/>
            <w:noWrap/>
          </w:tcPr>
          <w:p w14:paraId="22308FD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15</w:t>
            </w:r>
          </w:p>
        </w:tc>
        <w:tc>
          <w:tcPr>
            <w:tcW w:w="794" w:type="dxa"/>
            <w:noWrap/>
          </w:tcPr>
          <w:p w14:paraId="3C0A8C6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325</w:t>
            </w:r>
          </w:p>
        </w:tc>
        <w:tc>
          <w:tcPr>
            <w:tcW w:w="794" w:type="dxa"/>
            <w:noWrap/>
          </w:tcPr>
          <w:p w14:paraId="7BB879A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974</w:t>
            </w:r>
          </w:p>
        </w:tc>
        <w:tc>
          <w:tcPr>
            <w:tcW w:w="794" w:type="dxa"/>
            <w:noWrap/>
          </w:tcPr>
          <w:p w14:paraId="6F208EC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156</w:t>
            </w:r>
          </w:p>
        </w:tc>
        <w:tc>
          <w:tcPr>
            <w:tcW w:w="794" w:type="dxa"/>
            <w:noWrap/>
          </w:tcPr>
          <w:p w14:paraId="4F134E1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1,130</w:t>
            </w:r>
          </w:p>
        </w:tc>
        <w:tc>
          <w:tcPr>
            <w:tcW w:w="794" w:type="dxa"/>
            <w:noWrap/>
          </w:tcPr>
          <w:p w14:paraId="32A715A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2</w:t>
            </w:r>
          </w:p>
        </w:tc>
        <w:tc>
          <w:tcPr>
            <w:tcW w:w="794" w:type="dxa"/>
            <w:noWrap/>
          </w:tcPr>
          <w:p w14:paraId="4EF59C7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3F7FD53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2</w:t>
            </w:r>
          </w:p>
        </w:tc>
        <w:tc>
          <w:tcPr>
            <w:tcW w:w="794" w:type="dxa"/>
          </w:tcPr>
          <w:p w14:paraId="2624BA3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A07974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04388D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79E45D5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8DEB5C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2EFF92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6B35CB3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1,457</w:t>
            </w:r>
          </w:p>
        </w:tc>
      </w:tr>
      <w:tr w:rsidR="00B407C5" w:rsidRPr="007A3600" w14:paraId="478BBABC"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3B2F374" w14:textId="77777777" w:rsidR="00CB00C2" w:rsidRPr="007A3600" w:rsidRDefault="00CB00C2" w:rsidP="00AD3197">
            <w:pPr>
              <w:spacing w:after="0"/>
              <w:rPr>
                <w:bCs/>
              </w:rPr>
            </w:pPr>
            <w:r w:rsidRPr="007A3600">
              <w:rPr>
                <w:bCs/>
              </w:rPr>
              <w:t>SA</w:t>
            </w:r>
          </w:p>
        </w:tc>
        <w:tc>
          <w:tcPr>
            <w:tcW w:w="794" w:type="dxa"/>
            <w:noWrap/>
          </w:tcPr>
          <w:p w14:paraId="3332A61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169</w:t>
            </w:r>
          </w:p>
        </w:tc>
        <w:tc>
          <w:tcPr>
            <w:tcW w:w="794" w:type="dxa"/>
            <w:noWrap/>
          </w:tcPr>
          <w:p w14:paraId="391BCC3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6</w:t>
            </w:r>
          </w:p>
        </w:tc>
        <w:tc>
          <w:tcPr>
            <w:tcW w:w="794" w:type="dxa"/>
            <w:noWrap/>
          </w:tcPr>
          <w:p w14:paraId="7A75B1A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175</w:t>
            </w:r>
          </w:p>
        </w:tc>
        <w:tc>
          <w:tcPr>
            <w:tcW w:w="794" w:type="dxa"/>
            <w:noWrap/>
          </w:tcPr>
          <w:p w14:paraId="102DD19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394</w:t>
            </w:r>
          </w:p>
        </w:tc>
        <w:tc>
          <w:tcPr>
            <w:tcW w:w="794" w:type="dxa"/>
            <w:noWrap/>
          </w:tcPr>
          <w:p w14:paraId="48CECAC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105</w:t>
            </w:r>
          </w:p>
        </w:tc>
        <w:tc>
          <w:tcPr>
            <w:tcW w:w="794" w:type="dxa"/>
            <w:noWrap/>
          </w:tcPr>
          <w:p w14:paraId="4044FE5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499</w:t>
            </w:r>
          </w:p>
        </w:tc>
        <w:tc>
          <w:tcPr>
            <w:tcW w:w="794" w:type="dxa"/>
            <w:noWrap/>
          </w:tcPr>
          <w:p w14:paraId="31DF351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w:t>
            </w:r>
          </w:p>
        </w:tc>
        <w:tc>
          <w:tcPr>
            <w:tcW w:w="794" w:type="dxa"/>
            <w:noWrap/>
          </w:tcPr>
          <w:p w14:paraId="5B047E2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0</w:t>
            </w:r>
          </w:p>
        </w:tc>
        <w:tc>
          <w:tcPr>
            <w:tcW w:w="794" w:type="dxa"/>
            <w:noWrap/>
          </w:tcPr>
          <w:p w14:paraId="5667C2D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w:t>
            </w:r>
          </w:p>
        </w:tc>
        <w:tc>
          <w:tcPr>
            <w:tcW w:w="794" w:type="dxa"/>
          </w:tcPr>
          <w:p w14:paraId="65AA2F1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CDE14D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7ED1995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9F4DC1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1AC932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4964AD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74C1BD6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676</w:t>
            </w:r>
          </w:p>
        </w:tc>
      </w:tr>
      <w:tr w:rsidR="00A766F7" w:rsidRPr="007A3600" w14:paraId="6583655B" w14:textId="77777777" w:rsidTr="00F25FF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6879FA1" w14:textId="77777777" w:rsidR="00CB00C2" w:rsidRPr="007A3600" w:rsidRDefault="00CB00C2" w:rsidP="00AD3197">
            <w:pPr>
              <w:spacing w:after="0"/>
              <w:rPr>
                <w:bCs/>
              </w:rPr>
            </w:pPr>
            <w:r w:rsidRPr="007A3600">
              <w:rPr>
                <w:bCs/>
              </w:rPr>
              <w:t>Tas</w:t>
            </w:r>
          </w:p>
        </w:tc>
        <w:tc>
          <w:tcPr>
            <w:tcW w:w="794" w:type="dxa"/>
            <w:noWrap/>
          </w:tcPr>
          <w:p w14:paraId="2C03BB7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34</w:t>
            </w:r>
          </w:p>
        </w:tc>
        <w:tc>
          <w:tcPr>
            <w:tcW w:w="794" w:type="dxa"/>
            <w:noWrap/>
          </w:tcPr>
          <w:p w14:paraId="263B346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5</w:t>
            </w:r>
          </w:p>
        </w:tc>
        <w:tc>
          <w:tcPr>
            <w:tcW w:w="794" w:type="dxa"/>
            <w:noWrap/>
          </w:tcPr>
          <w:p w14:paraId="4856E08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39</w:t>
            </w:r>
          </w:p>
        </w:tc>
        <w:tc>
          <w:tcPr>
            <w:tcW w:w="794" w:type="dxa"/>
            <w:noWrap/>
          </w:tcPr>
          <w:p w14:paraId="47F1B92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82</w:t>
            </w:r>
          </w:p>
        </w:tc>
        <w:tc>
          <w:tcPr>
            <w:tcW w:w="794" w:type="dxa"/>
            <w:noWrap/>
          </w:tcPr>
          <w:p w14:paraId="1F59A40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20</w:t>
            </w:r>
          </w:p>
        </w:tc>
        <w:tc>
          <w:tcPr>
            <w:tcW w:w="794" w:type="dxa"/>
            <w:noWrap/>
          </w:tcPr>
          <w:p w14:paraId="4CF7631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102</w:t>
            </w:r>
          </w:p>
        </w:tc>
        <w:tc>
          <w:tcPr>
            <w:tcW w:w="794" w:type="dxa"/>
            <w:noWrap/>
          </w:tcPr>
          <w:p w14:paraId="49A2019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w:t>
            </w:r>
          </w:p>
        </w:tc>
        <w:tc>
          <w:tcPr>
            <w:tcW w:w="794" w:type="dxa"/>
            <w:noWrap/>
          </w:tcPr>
          <w:p w14:paraId="6723BE3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6145454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w:t>
            </w:r>
          </w:p>
        </w:tc>
        <w:tc>
          <w:tcPr>
            <w:tcW w:w="794" w:type="dxa"/>
          </w:tcPr>
          <w:p w14:paraId="3980AEC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8BEFD2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7201FB8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11C809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D7E844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9A4E2E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15A13BE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142</w:t>
            </w:r>
          </w:p>
        </w:tc>
      </w:tr>
      <w:tr w:rsidR="00B407C5" w:rsidRPr="007A3600" w14:paraId="07CC1699"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CD4317E" w14:textId="77777777" w:rsidR="00CB00C2" w:rsidRPr="007A3600" w:rsidRDefault="00CB00C2" w:rsidP="00AD3197">
            <w:pPr>
              <w:spacing w:after="0"/>
              <w:rPr>
                <w:bCs/>
              </w:rPr>
            </w:pPr>
            <w:r w:rsidRPr="007A3600">
              <w:rPr>
                <w:bCs/>
              </w:rPr>
              <w:t>Vic</w:t>
            </w:r>
          </w:p>
        </w:tc>
        <w:tc>
          <w:tcPr>
            <w:tcW w:w="794" w:type="dxa"/>
            <w:noWrap/>
          </w:tcPr>
          <w:p w14:paraId="737B9C0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706</w:t>
            </w:r>
          </w:p>
        </w:tc>
        <w:tc>
          <w:tcPr>
            <w:tcW w:w="794" w:type="dxa"/>
            <w:noWrap/>
          </w:tcPr>
          <w:p w14:paraId="681D3F5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38</w:t>
            </w:r>
          </w:p>
        </w:tc>
        <w:tc>
          <w:tcPr>
            <w:tcW w:w="794" w:type="dxa"/>
            <w:noWrap/>
          </w:tcPr>
          <w:p w14:paraId="45149AA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744</w:t>
            </w:r>
          </w:p>
        </w:tc>
        <w:tc>
          <w:tcPr>
            <w:tcW w:w="794" w:type="dxa"/>
            <w:noWrap/>
          </w:tcPr>
          <w:p w14:paraId="427D66D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1,519</w:t>
            </w:r>
          </w:p>
        </w:tc>
        <w:tc>
          <w:tcPr>
            <w:tcW w:w="794" w:type="dxa"/>
            <w:noWrap/>
          </w:tcPr>
          <w:p w14:paraId="5FDEF0B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300</w:t>
            </w:r>
          </w:p>
        </w:tc>
        <w:tc>
          <w:tcPr>
            <w:tcW w:w="794" w:type="dxa"/>
            <w:noWrap/>
          </w:tcPr>
          <w:p w14:paraId="06C66A1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1,819</w:t>
            </w:r>
          </w:p>
        </w:tc>
        <w:tc>
          <w:tcPr>
            <w:tcW w:w="794" w:type="dxa"/>
            <w:noWrap/>
          </w:tcPr>
          <w:p w14:paraId="04DFB4C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13</w:t>
            </w:r>
          </w:p>
        </w:tc>
        <w:tc>
          <w:tcPr>
            <w:tcW w:w="794" w:type="dxa"/>
            <w:noWrap/>
          </w:tcPr>
          <w:p w14:paraId="15268B9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0</w:t>
            </w:r>
          </w:p>
        </w:tc>
        <w:tc>
          <w:tcPr>
            <w:tcW w:w="794" w:type="dxa"/>
            <w:noWrap/>
          </w:tcPr>
          <w:p w14:paraId="02C5BEC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13</w:t>
            </w:r>
          </w:p>
        </w:tc>
        <w:tc>
          <w:tcPr>
            <w:tcW w:w="794" w:type="dxa"/>
          </w:tcPr>
          <w:p w14:paraId="773598F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E3AE59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48603B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7448FF4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2F7666C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C513F8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03FFCF9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2,576</w:t>
            </w:r>
          </w:p>
        </w:tc>
      </w:tr>
      <w:tr w:rsidR="00A766F7" w:rsidRPr="007A3600" w14:paraId="34F5C935" w14:textId="77777777" w:rsidTr="00F25FF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B8BA248" w14:textId="77777777" w:rsidR="00CB00C2" w:rsidRPr="007A3600" w:rsidRDefault="00CB00C2" w:rsidP="00AD3197">
            <w:pPr>
              <w:spacing w:after="0"/>
              <w:rPr>
                <w:bCs/>
              </w:rPr>
            </w:pPr>
            <w:r w:rsidRPr="007A3600">
              <w:rPr>
                <w:bCs/>
              </w:rPr>
              <w:t>WA</w:t>
            </w:r>
          </w:p>
        </w:tc>
        <w:tc>
          <w:tcPr>
            <w:tcW w:w="794" w:type="dxa"/>
            <w:noWrap/>
          </w:tcPr>
          <w:p w14:paraId="76DD6E8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137</w:t>
            </w:r>
          </w:p>
        </w:tc>
        <w:tc>
          <w:tcPr>
            <w:tcW w:w="794" w:type="dxa"/>
            <w:noWrap/>
          </w:tcPr>
          <w:p w14:paraId="27E74BF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11</w:t>
            </w:r>
          </w:p>
        </w:tc>
        <w:tc>
          <w:tcPr>
            <w:tcW w:w="794" w:type="dxa"/>
            <w:noWrap/>
          </w:tcPr>
          <w:p w14:paraId="6F59879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148</w:t>
            </w:r>
          </w:p>
        </w:tc>
        <w:tc>
          <w:tcPr>
            <w:tcW w:w="794" w:type="dxa"/>
            <w:noWrap/>
          </w:tcPr>
          <w:p w14:paraId="58B45FC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345</w:t>
            </w:r>
          </w:p>
        </w:tc>
        <w:tc>
          <w:tcPr>
            <w:tcW w:w="794" w:type="dxa"/>
            <w:noWrap/>
          </w:tcPr>
          <w:p w14:paraId="1ACC770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49</w:t>
            </w:r>
          </w:p>
        </w:tc>
        <w:tc>
          <w:tcPr>
            <w:tcW w:w="794" w:type="dxa"/>
            <w:noWrap/>
          </w:tcPr>
          <w:p w14:paraId="30FEC71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394</w:t>
            </w:r>
          </w:p>
        </w:tc>
        <w:tc>
          <w:tcPr>
            <w:tcW w:w="794" w:type="dxa"/>
            <w:noWrap/>
          </w:tcPr>
          <w:p w14:paraId="3928BA1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6A78AE9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32CDEE2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tcPr>
          <w:p w14:paraId="21373E1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F54E67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71A70B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C62341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E75C8A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7A058A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7D760DA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542</w:t>
            </w:r>
          </w:p>
        </w:tc>
      </w:tr>
      <w:tr w:rsidR="00B407C5" w:rsidRPr="007A3600" w14:paraId="587E30AB"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434C980" w14:textId="77777777" w:rsidR="00CB00C2" w:rsidRPr="007A3600" w:rsidRDefault="00CB00C2" w:rsidP="00AD3197">
            <w:pPr>
              <w:spacing w:after="0"/>
              <w:rPr>
                <w:bCs/>
              </w:rPr>
            </w:pPr>
            <w:r w:rsidRPr="007A3600">
              <w:rPr>
                <w:bCs/>
              </w:rPr>
              <w:t>ACT</w:t>
            </w:r>
          </w:p>
        </w:tc>
        <w:tc>
          <w:tcPr>
            <w:tcW w:w="794" w:type="dxa"/>
            <w:noWrap/>
          </w:tcPr>
          <w:p w14:paraId="082305C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128</w:t>
            </w:r>
          </w:p>
        </w:tc>
        <w:tc>
          <w:tcPr>
            <w:tcW w:w="794" w:type="dxa"/>
            <w:noWrap/>
          </w:tcPr>
          <w:p w14:paraId="42A1415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5</w:t>
            </w:r>
          </w:p>
        </w:tc>
        <w:tc>
          <w:tcPr>
            <w:tcW w:w="794" w:type="dxa"/>
            <w:noWrap/>
          </w:tcPr>
          <w:p w14:paraId="3F547A3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133</w:t>
            </w:r>
          </w:p>
        </w:tc>
        <w:tc>
          <w:tcPr>
            <w:tcW w:w="794" w:type="dxa"/>
            <w:noWrap/>
          </w:tcPr>
          <w:p w14:paraId="26E1D1D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226</w:t>
            </w:r>
          </w:p>
        </w:tc>
        <w:tc>
          <w:tcPr>
            <w:tcW w:w="794" w:type="dxa"/>
            <w:noWrap/>
          </w:tcPr>
          <w:p w14:paraId="403B3B7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20</w:t>
            </w:r>
          </w:p>
        </w:tc>
        <w:tc>
          <w:tcPr>
            <w:tcW w:w="794" w:type="dxa"/>
            <w:noWrap/>
          </w:tcPr>
          <w:p w14:paraId="3B64CCF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246</w:t>
            </w:r>
          </w:p>
        </w:tc>
        <w:tc>
          <w:tcPr>
            <w:tcW w:w="794" w:type="dxa"/>
            <w:noWrap/>
          </w:tcPr>
          <w:p w14:paraId="2519362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7</w:t>
            </w:r>
          </w:p>
        </w:tc>
        <w:tc>
          <w:tcPr>
            <w:tcW w:w="794" w:type="dxa"/>
            <w:noWrap/>
          </w:tcPr>
          <w:p w14:paraId="533EE54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0</w:t>
            </w:r>
          </w:p>
        </w:tc>
        <w:tc>
          <w:tcPr>
            <w:tcW w:w="794" w:type="dxa"/>
            <w:noWrap/>
          </w:tcPr>
          <w:p w14:paraId="2EEFE68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7</w:t>
            </w:r>
          </w:p>
        </w:tc>
        <w:tc>
          <w:tcPr>
            <w:tcW w:w="794" w:type="dxa"/>
          </w:tcPr>
          <w:p w14:paraId="446CD42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E133AE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2C770E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842541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3A09C7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3A0791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3E51859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rFonts w:eastAsia="Times New Roman"/>
                <w:lang w:val="en-GB"/>
              </w:rPr>
              <w:t>386</w:t>
            </w:r>
          </w:p>
        </w:tc>
      </w:tr>
      <w:tr w:rsidR="00A766F7" w:rsidRPr="007A3600" w14:paraId="29156F3E" w14:textId="77777777" w:rsidTr="00F25FF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C1DE8E8" w14:textId="77777777" w:rsidR="00CB00C2" w:rsidRPr="007A3600" w:rsidRDefault="00CB00C2" w:rsidP="00AD3197">
            <w:pPr>
              <w:spacing w:after="0"/>
              <w:rPr>
                <w:bCs/>
              </w:rPr>
            </w:pPr>
            <w:r w:rsidRPr="007A3600">
              <w:rPr>
                <w:bCs/>
              </w:rPr>
              <w:t>NT</w:t>
            </w:r>
          </w:p>
        </w:tc>
        <w:tc>
          <w:tcPr>
            <w:tcW w:w="794" w:type="dxa"/>
            <w:noWrap/>
          </w:tcPr>
          <w:p w14:paraId="227D15D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16</w:t>
            </w:r>
          </w:p>
        </w:tc>
        <w:tc>
          <w:tcPr>
            <w:tcW w:w="794" w:type="dxa"/>
            <w:noWrap/>
          </w:tcPr>
          <w:p w14:paraId="33BC128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51209A9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16</w:t>
            </w:r>
          </w:p>
        </w:tc>
        <w:tc>
          <w:tcPr>
            <w:tcW w:w="794" w:type="dxa"/>
            <w:noWrap/>
          </w:tcPr>
          <w:p w14:paraId="6AD6835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78</w:t>
            </w:r>
          </w:p>
        </w:tc>
        <w:tc>
          <w:tcPr>
            <w:tcW w:w="794" w:type="dxa"/>
            <w:noWrap/>
          </w:tcPr>
          <w:p w14:paraId="427A8D0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9</w:t>
            </w:r>
          </w:p>
        </w:tc>
        <w:tc>
          <w:tcPr>
            <w:tcW w:w="794" w:type="dxa"/>
            <w:noWrap/>
          </w:tcPr>
          <w:p w14:paraId="72823F1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87</w:t>
            </w:r>
          </w:p>
        </w:tc>
        <w:tc>
          <w:tcPr>
            <w:tcW w:w="794" w:type="dxa"/>
            <w:noWrap/>
          </w:tcPr>
          <w:p w14:paraId="09BBD3A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w:t>
            </w:r>
          </w:p>
        </w:tc>
        <w:tc>
          <w:tcPr>
            <w:tcW w:w="794" w:type="dxa"/>
            <w:noWrap/>
          </w:tcPr>
          <w:p w14:paraId="05B3E71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0</w:t>
            </w:r>
          </w:p>
        </w:tc>
        <w:tc>
          <w:tcPr>
            <w:tcW w:w="794" w:type="dxa"/>
            <w:noWrap/>
          </w:tcPr>
          <w:p w14:paraId="61B632E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w:t>
            </w:r>
          </w:p>
        </w:tc>
        <w:tc>
          <w:tcPr>
            <w:tcW w:w="794" w:type="dxa"/>
          </w:tcPr>
          <w:p w14:paraId="25CAB86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D1233D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E5CB8A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76255D0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26F88F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BE69CC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3919AD2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rFonts w:eastAsia="Times New Roman"/>
                <w:lang w:val="en-GB"/>
              </w:rPr>
              <w:t>104</w:t>
            </w:r>
          </w:p>
        </w:tc>
      </w:tr>
      <w:tr w:rsidR="00B407C5" w:rsidRPr="007A3600" w14:paraId="3B626B9A"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6595379" w14:textId="1C78D284" w:rsidR="00CB00C2" w:rsidRPr="007A3600" w:rsidRDefault="00CB00C2" w:rsidP="00AD3197">
            <w:pPr>
              <w:spacing w:after="0"/>
              <w:rPr>
                <w:bCs/>
              </w:rPr>
            </w:pPr>
            <w:r w:rsidRPr="007A3600">
              <w:rPr>
                <w:bCs/>
              </w:rPr>
              <w:t xml:space="preserve">External </w:t>
            </w:r>
            <w:r w:rsidR="00A30B5F" w:rsidRPr="007A3600">
              <w:rPr>
                <w:bCs/>
              </w:rPr>
              <w:t>t</w:t>
            </w:r>
            <w:r w:rsidRPr="007A3600">
              <w:rPr>
                <w:bCs/>
              </w:rPr>
              <w:t>erritories</w:t>
            </w:r>
          </w:p>
        </w:tc>
        <w:tc>
          <w:tcPr>
            <w:tcW w:w="794" w:type="dxa"/>
            <w:noWrap/>
          </w:tcPr>
          <w:p w14:paraId="1BE41A6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18D5CC4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5D0A274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699232D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28B691E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F08B65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0C481CD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458854D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1A2B1D3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30D66E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3432940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36582A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3852DED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E3AEC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57F107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46A8236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r>
      <w:tr w:rsidR="00A766F7" w:rsidRPr="007A3600" w14:paraId="70B440F0" w14:textId="77777777" w:rsidTr="00F25FF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9C6B63B" w14:textId="77777777" w:rsidR="00CB00C2" w:rsidRPr="007A3600" w:rsidRDefault="00CB00C2" w:rsidP="00AD3197">
            <w:pPr>
              <w:spacing w:after="0"/>
              <w:rPr>
                <w:bCs/>
              </w:rPr>
            </w:pPr>
            <w:r w:rsidRPr="007A3600">
              <w:rPr>
                <w:bCs/>
              </w:rPr>
              <w:t>Overseas</w:t>
            </w:r>
          </w:p>
        </w:tc>
        <w:tc>
          <w:tcPr>
            <w:tcW w:w="794" w:type="dxa"/>
            <w:noWrap/>
          </w:tcPr>
          <w:p w14:paraId="6749D39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16483A9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BFCF67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28923B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422C7C6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3FAD292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710F82D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7B1A961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45FCEE7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354F35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D074B1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BD84A9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3B2FE5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4D3336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566F4C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19C9E07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r>
      <w:tr w:rsidR="00B407C5" w:rsidRPr="007A3600" w14:paraId="6E450E3D"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E2C3AFC" w14:textId="77777777" w:rsidR="00CB00C2" w:rsidRPr="007A3600" w:rsidRDefault="00CB00C2" w:rsidP="00AD3197">
            <w:pPr>
              <w:spacing w:after="0"/>
              <w:rPr>
                <w:bCs/>
              </w:rPr>
            </w:pPr>
            <w:r w:rsidRPr="007A3600">
              <w:rPr>
                <w:bCs/>
              </w:rPr>
              <w:t xml:space="preserve">Total </w:t>
            </w:r>
          </w:p>
        </w:tc>
        <w:tc>
          <w:tcPr>
            <w:tcW w:w="794" w:type="dxa"/>
            <w:noWrap/>
          </w:tcPr>
          <w:p w14:paraId="11DFC2D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1,846</w:t>
            </w:r>
          </w:p>
        </w:tc>
        <w:tc>
          <w:tcPr>
            <w:tcW w:w="794" w:type="dxa"/>
            <w:noWrap/>
          </w:tcPr>
          <w:p w14:paraId="5043990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100</w:t>
            </w:r>
          </w:p>
        </w:tc>
        <w:tc>
          <w:tcPr>
            <w:tcW w:w="794" w:type="dxa"/>
            <w:noWrap/>
          </w:tcPr>
          <w:p w14:paraId="4C51E42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1,946</w:t>
            </w:r>
          </w:p>
        </w:tc>
        <w:tc>
          <w:tcPr>
            <w:tcW w:w="794" w:type="dxa"/>
            <w:noWrap/>
          </w:tcPr>
          <w:p w14:paraId="7CAB754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4,700</w:t>
            </w:r>
          </w:p>
        </w:tc>
        <w:tc>
          <w:tcPr>
            <w:tcW w:w="794" w:type="dxa"/>
            <w:noWrap/>
          </w:tcPr>
          <w:p w14:paraId="58BE0F7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866</w:t>
            </w:r>
          </w:p>
        </w:tc>
        <w:tc>
          <w:tcPr>
            <w:tcW w:w="794" w:type="dxa"/>
            <w:noWrap/>
          </w:tcPr>
          <w:p w14:paraId="0E63FB6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5,566</w:t>
            </w:r>
          </w:p>
        </w:tc>
        <w:tc>
          <w:tcPr>
            <w:tcW w:w="794" w:type="dxa"/>
            <w:noWrap/>
          </w:tcPr>
          <w:p w14:paraId="2CB0A0F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31</w:t>
            </w:r>
          </w:p>
        </w:tc>
        <w:tc>
          <w:tcPr>
            <w:tcW w:w="794" w:type="dxa"/>
            <w:noWrap/>
          </w:tcPr>
          <w:p w14:paraId="0F1B276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1</w:t>
            </w:r>
          </w:p>
        </w:tc>
        <w:tc>
          <w:tcPr>
            <w:tcW w:w="794" w:type="dxa"/>
            <w:noWrap/>
          </w:tcPr>
          <w:p w14:paraId="1FC44D5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32</w:t>
            </w:r>
          </w:p>
        </w:tc>
        <w:tc>
          <w:tcPr>
            <w:tcW w:w="794" w:type="dxa"/>
          </w:tcPr>
          <w:p w14:paraId="48D742F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794" w:type="dxa"/>
          </w:tcPr>
          <w:p w14:paraId="0531DBF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794" w:type="dxa"/>
          </w:tcPr>
          <w:p w14:paraId="64CFAC4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794" w:type="dxa"/>
          </w:tcPr>
          <w:p w14:paraId="0E11FA9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794" w:type="dxa"/>
          </w:tcPr>
          <w:p w14:paraId="62C632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794" w:type="dxa"/>
          </w:tcPr>
          <w:p w14:paraId="687B822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b/>
                <w:bCs/>
                <w:lang w:val="en-GB"/>
              </w:rPr>
              <w:t>0</w:t>
            </w:r>
          </w:p>
        </w:tc>
        <w:tc>
          <w:tcPr>
            <w:tcW w:w="907" w:type="dxa"/>
          </w:tcPr>
          <w:p w14:paraId="653CF30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7,544</w:t>
            </w:r>
          </w:p>
        </w:tc>
      </w:tr>
    </w:tbl>
    <w:p w14:paraId="6A40362A" w14:textId="6230DB02" w:rsidR="00CB00C2" w:rsidRPr="007A3600" w:rsidRDefault="00CB00C2" w:rsidP="00AD3197">
      <w:pPr>
        <w:pStyle w:val="Caption"/>
      </w:pPr>
      <w:r w:rsidRPr="007A3600">
        <w:lastRenderedPageBreak/>
        <w:t xml:space="preserve">Table </w:t>
      </w:r>
      <w:r w:rsidR="00063B6A" w:rsidRPr="007A3600">
        <w:t>14</w:t>
      </w:r>
      <w:r w:rsidRPr="007A3600">
        <w:t>: All non-ongoing employees – previous reporting period (2023–24)</w:t>
      </w:r>
    </w:p>
    <w:tbl>
      <w:tblPr>
        <w:tblStyle w:val="NDISTable1"/>
        <w:tblW w:w="14008" w:type="dxa"/>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71F3D8A1" w14:textId="77777777" w:rsidTr="009D1194">
        <w:trPr>
          <w:cnfStyle w:val="100000000000" w:firstRow="1" w:lastRow="0" w:firstColumn="0" w:lastColumn="0" w:oddVBand="0" w:evenVBand="0" w:oddHBand="0" w:evenHBand="0" w:firstRowFirstColumn="0" w:firstRowLastColumn="0" w:lastRowFirstColumn="0" w:lastRowLastColumn="0"/>
          <w:trHeight w:val="2154"/>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3C6ADAC6" w14:textId="77777777" w:rsidR="00CB00C2" w:rsidRPr="007A3600" w:rsidRDefault="00CB00C2" w:rsidP="009D1194">
            <w:pPr>
              <w:spacing w:after="0"/>
              <w:ind w:left="113" w:right="113"/>
            </w:pPr>
            <w:r w:rsidRPr="007A3600">
              <w:t>State or territory</w:t>
            </w:r>
          </w:p>
        </w:tc>
        <w:tc>
          <w:tcPr>
            <w:tcW w:w="794" w:type="dxa"/>
            <w:noWrap/>
            <w:textDirection w:val="tbRl"/>
            <w:hideMark/>
          </w:tcPr>
          <w:p w14:paraId="6A57BEE2"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Man/male full time</w:t>
            </w:r>
          </w:p>
        </w:tc>
        <w:tc>
          <w:tcPr>
            <w:tcW w:w="794" w:type="dxa"/>
            <w:textDirection w:val="tbRl"/>
          </w:tcPr>
          <w:p w14:paraId="4342E5F4"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Man/male part time</w:t>
            </w:r>
          </w:p>
        </w:tc>
        <w:tc>
          <w:tcPr>
            <w:tcW w:w="794" w:type="dxa"/>
            <w:textDirection w:val="tbRl"/>
          </w:tcPr>
          <w:p w14:paraId="787C9329"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Man/male total</w:t>
            </w:r>
          </w:p>
        </w:tc>
        <w:tc>
          <w:tcPr>
            <w:tcW w:w="794" w:type="dxa"/>
            <w:noWrap/>
            <w:textDirection w:val="tbRl"/>
            <w:hideMark/>
          </w:tcPr>
          <w:p w14:paraId="5E267DB6"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Woman/female full time</w:t>
            </w:r>
          </w:p>
        </w:tc>
        <w:tc>
          <w:tcPr>
            <w:tcW w:w="794" w:type="dxa"/>
            <w:textDirection w:val="tbRl"/>
          </w:tcPr>
          <w:p w14:paraId="05B185AA"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Woman/female part time</w:t>
            </w:r>
          </w:p>
        </w:tc>
        <w:tc>
          <w:tcPr>
            <w:tcW w:w="794" w:type="dxa"/>
            <w:textDirection w:val="tbRl"/>
          </w:tcPr>
          <w:p w14:paraId="0661765F"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Woman/female total</w:t>
            </w:r>
          </w:p>
        </w:tc>
        <w:tc>
          <w:tcPr>
            <w:tcW w:w="794" w:type="dxa"/>
            <w:noWrap/>
            <w:textDirection w:val="tbRl"/>
            <w:hideMark/>
          </w:tcPr>
          <w:p w14:paraId="6406C30C"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Non-binary full time</w:t>
            </w:r>
          </w:p>
        </w:tc>
        <w:tc>
          <w:tcPr>
            <w:tcW w:w="794" w:type="dxa"/>
            <w:textDirection w:val="tbRl"/>
          </w:tcPr>
          <w:p w14:paraId="72758776"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Non-binary part time</w:t>
            </w:r>
          </w:p>
        </w:tc>
        <w:tc>
          <w:tcPr>
            <w:tcW w:w="794" w:type="dxa"/>
            <w:textDirection w:val="tbRl"/>
          </w:tcPr>
          <w:p w14:paraId="21DAAD7C"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Non-binary total</w:t>
            </w:r>
          </w:p>
        </w:tc>
        <w:tc>
          <w:tcPr>
            <w:tcW w:w="794" w:type="dxa"/>
            <w:textDirection w:val="tbRl"/>
            <w:hideMark/>
          </w:tcPr>
          <w:p w14:paraId="5D3E2C03"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Prefers not to answer full time</w:t>
            </w:r>
          </w:p>
        </w:tc>
        <w:tc>
          <w:tcPr>
            <w:tcW w:w="794" w:type="dxa"/>
            <w:textDirection w:val="tbRl"/>
          </w:tcPr>
          <w:p w14:paraId="352B513F"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Prefers not to answer part time</w:t>
            </w:r>
          </w:p>
        </w:tc>
        <w:tc>
          <w:tcPr>
            <w:tcW w:w="794" w:type="dxa"/>
            <w:textDirection w:val="tbRl"/>
          </w:tcPr>
          <w:p w14:paraId="59D8B5C7"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Prefers not to answer total</w:t>
            </w:r>
          </w:p>
        </w:tc>
        <w:tc>
          <w:tcPr>
            <w:tcW w:w="794" w:type="dxa"/>
            <w:textDirection w:val="tbRl"/>
            <w:hideMark/>
          </w:tcPr>
          <w:p w14:paraId="69C26F9A"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Uses a different term full time</w:t>
            </w:r>
          </w:p>
        </w:tc>
        <w:tc>
          <w:tcPr>
            <w:tcW w:w="794" w:type="dxa"/>
            <w:textDirection w:val="tbRl"/>
          </w:tcPr>
          <w:p w14:paraId="63405EC1"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Cs/>
              </w:rPr>
            </w:pPr>
            <w:r w:rsidRPr="007A3600">
              <w:rPr>
                <w:bCs/>
              </w:rPr>
              <w:t>Uses a different term part time</w:t>
            </w:r>
          </w:p>
        </w:tc>
        <w:tc>
          <w:tcPr>
            <w:tcW w:w="794" w:type="dxa"/>
            <w:textDirection w:val="tbRl"/>
          </w:tcPr>
          <w:p w14:paraId="377FFCF6"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Uses a different term total</w:t>
            </w:r>
          </w:p>
        </w:tc>
        <w:tc>
          <w:tcPr>
            <w:tcW w:w="907" w:type="dxa"/>
            <w:textDirection w:val="tbRl"/>
            <w:hideMark/>
          </w:tcPr>
          <w:p w14:paraId="441843F5" w14:textId="77777777" w:rsidR="00CB00C2" w:rsidRPr="007A3600" w:rsidRDefault="00CB00C2" w:rsidP="009D1194">
            <w:pPr>
              <w:spacing w:after="0"/>
              <w:ind w:left="113" w:right="113"/>
              <w:cnfStyle w:val="100000000000" w:firstRow="1" w:lastRow="0" w:firstColumn="0" w:lastColumn="0" w:oddVBand="0" w:evenVBand="0" w:oddHBand="0" w:evenHBand="0" w:firstRowFirstColumn="0" w:firstRowLastColumn="0" w:lastRowFirstColumn="0" w:lastRowLastColumn="0"/>
              <w:rPr>
                <w:b/>
                <w:bCs/>
              </w:rPr>
            </w:pPr>
            <w:r w:rsidRPr="007A3600">
              <w:rPr>
                <w:bCs/>
              </w:rPr>
              <w:t>Total</w:t>
            </w:r>
          </w:p>
        </w:tc>
      </w:tr>
      <w:tr w:rsidR="00B407C5" w:rsidRPr="007A3600" w14:paraId="722E4BEC"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2CA9565" w14:textId="77777777" w:rsidR="00CB00C2" w:rsidRPr="007A3600" w:rsidRDefault="00CB00C2" w:rsidP="00AD3197">
            <w:pPr>
              <w:spacing w:after="0"/>
              <w:rPr>
                <w:b/>
                <w:bCs/>
              </w:rPr>
            </w:pPr>
            <w:r w:rsidRPr="007A3600">
              <w:rPr>
                <w:bCs/>
              </w:rPr>
              <w:t>NSW</w:t>
            </w:r>
          </w:p>
        </w:tc>
        <w:tc>
          <w:tcPr>
            <w:tcW w:w="794" w:type="dxa"/>
            <w:noWrap/>
          </w:tcPr>
          <w:p w14:paraId="20D215B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13</w:t>
            </w:r>
          </w:p>
        </w:tc>
        <w:tc>
          <w:tcPr>
            <w:tcW w:w="794" w:type="dxa"/>
            <w:noWrap/>
          </w:tcPr>
          <w:p w14:paraId="3698C98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1E78200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13</w:t>
            </w:r>
          </w:p>
        </w:tc>
        <w:tc>
          <w:tcPr>
            <w:tcW w:w="794" w:type="dxa"/>
            <w:noWrap/>
          </w:tcPr>
          <w:p w14:paraId="01717A2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32</w:t>
            </w:r>
          </w:p>
        </w:tc>
        <w:tc>
          <w:tcPr>
            <w:tcW w:w="794" w:type="dxa"/>
            <w:noWrap/>
          </w:tcPr>
          <w:p w14:paraId="7968A45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4</w:t>
            </w:r>
          </w:p>
        </w:tc>
        <w:tc>
          <w:tcPr>
            <w:tcW w:w="794" w:type="dxa"/>
            <w:noWrap/>
          </w:tcPr>
          <w:p w14:paraId="3E75FDA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36</w:t>
            </w:r>
          </w:p>
        </w:tc>
        <w:tc>
          <w:tcPr>
            <w:tcW w:w="794" w:type="dxa"/>
            <w:noWrap/>
          </w:tcPr>
          <w:p w14:paraId="4F90660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1A5FDA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08006F2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3B4ADF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581C5A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2E89507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4E1D90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74FA08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4CF5E9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326BF1F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b/>
                <w:bCs/>
                <w:lang w:val="en-GB"/>
              </w:rPr>
              <w:t>49</w:t>
            </w:r>
          </w:p>
        </w:tc>
      </w:tr>
      <w:tr w:rsidR="0026718D" w:rsidRPr="007A3600" w14:paraId="069A21DE"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523899A" w14:textId="77777777" w:rsidR="00CB00C2" w:rsidRPr="007A3600" w:rsidRDefault="00CB00C2" w:rsidP="00AD3197">
            <w:pPr>
              <w:spacing w:after="0"/>
              <w:rPr>
                <w:b/>
                <w:bCs/>
              </w:rPr>
            </w:pPr>
            <w:r w:rsidRPr="007A3600">
              <w:rPr>
                <w:bCs/>
              </w:rPr>
              <w:t>Qld</w:t>
            </w:r>
          </w:p>
        </w:tc>
        <w:tc>
          <w:tcPr>
            <w:tcW w:w="794" w:type="dxa"/>
            <w:noWrap/>
          </w:tcPr>
          <w:p w14:paraId="6F62D64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12</w:t>
            </w:r>
          </w:p>
        </w:tc>
        <w:tc>
          <w:tcPr>
            <w:tcW w:w="794" w:type="dxa"/>
            <w:noWrap/>
          </w:tcPr>
          <w:p w14:paraId="3DC41D7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2</w:t>
            </w:r>
          </w:p>
        </w:tc>
        <w:tc>
          <w:tcPr>
            <w:tcW w:w="794" w:type="dxa"/>
            <w:noWrap/>
          </w:tcPr>
          <w:p w14:paraId="27AB41D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14</w:t>
            </w:r>
          </w:p>
        </w:tc>
        <w:tc>
          <w:tcPr>
            <w:tcW w:w="794" w:type="dxa"/>
            <w:noWrap/>
          </w:tcPr>
          <w:p w14:paraId="70088B6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46</w:t>
            </w:r>
          </w:p>
        </w:tc>
        <w:tc>
          <w:tcPr>
            <w:tcW w:w="794" w:type="dxa"/>
            <w:noWrap/>
          </w:tcPr>
          <w:p w14:paraId="12D8A2C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4</w:t>
            </w:r>
          </w:p>
        </w:tc>
        <w:tc>
          <w:tcPr>
            <w:tcW w:w="794" w:type="dxa"/>
            <w:noWrap/>
          </w:tcPr>
          <w:p w14:paraId="1BEA1E6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50</w:t>
            </w:r>
          </w:p>
        </w:tc>
        <w:tc>
          <w:tcPr>
            <w:tcW w:w="794" w:type="dxa"/>
            <w:noWrap/>
          </w:tcPr>
          <w:p w14:paraId="7F9C913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347C796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264A065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0E2DC2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A23964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2484BA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A8A22D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7066541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0B4B79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4FF50A5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b/>
                <w:bCs/>
                <w:lang w:val="en-GB"/>
              </w:rPr>
              <w:t>64</w:t>
            </w:r>
          </w:p>
        </w:tc>
      </w:tr>
      <w:tr w:rsidR="00B407C5" w:rsidRPr="007A3600" w14:paraId="71730562"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21203F5" w14:textId="77777777" w:rsidR="00CB00C2" w:rsidRPr="007A3600" w:rsidRDefault="00CB00C2" w:rsidP="00AD3197">
            <w:pPr>
              <w:spacing w:after="0"/>
              <w:rPr>
                <w:b/>
                <w:bCs/>
              </w:rPr>
            </w:pPr>
            <w:r w:rsidRPr="007A3600">
              <w:rPr>
                <w:bCs/>
              </w:rPr>
              <w:t>SA</w:t>
            </w:r>
          </w:p>
        </w:tc>
        <w:tc>
          <w:tcPr>
            <w:tcW w:w="794" w:type="dxa"/>
            <w:noWrap/>
          </w:tcPr>
          <w:p w14:paraId="682EC4B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5</w:t>
            </w:r>
          </w:p>
        </w:tc>
        <w:tc>
          <w:tcPr>
            <w:tcW w:w="794" w:type="dxa"/>
            <w:noWrap/>
          </w:tcPr>
          <w:p w14:paraId="653C895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5E6E0D5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5</w:t>
            </w:r>
          </w:p>
        </w:tc>
        <w:tc>
          <w:tcPr>
            <w:tcW w:w="794" w:type="dxa"/>
            <w:noWrap/>
          </w:tcPr>
          <w:p w14:paraId="3F03E0E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15</w:t>
            </w:r>
          </w:p>
        </w:tc>
        <w:tc>
          <w:tcPr>
            <w:tcW w:w="794" w:type="dxa"/>
            <w:noWrap/>
          </w:tcPr>
          <w:p w14:paraId="12D7231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2</w:t>
            </w:r>
          </w:p>
        </w:tc>
        <w:tc>
          <w:tcPr>
            <w:tcW w:w="794" w:type="dxa"/>
            <w:noWrap/>
          </w:tcPr>
          <w:p w14:paraId="626A96F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17</w:t>
            </w:r>
          </w:p>
        </w:tc>
        <w:tc>
          <w:tcPr>
            <w:tcW w:w="794" w:type="dxa"/>
            <w:noWrap/>
          </w:tcPr>
          <w:p w14:paraId="2E2DE7C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w:t>
            </w:r>
          </w:p>
        </w:tc>
        <w:tc>
          <w:tcPr>
            <w:tcW w:w="794" w:type="dxa"/>
            <w:noWrap/>
          </w:tcPr>
          <w:p w14:paraId="3222A98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6CE2B6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w:t>
            </w:r>
          </w:p>
        </w:tc>
        <w:tc>
          <w:tcPr>
            <w:tcW w:w="794" w:type="dxa"/>
          </w:tcPr>
          <w:p w14:paraId="5E650C2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59105D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79B089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1A554C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EB1706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83184F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3EC6F35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b/>
                <w:bCs/>
                <w:lang w:val="en-GB"/>
              </w:rPr>
              <w:t>23</w:t>
            </w:r>
          </w:p>
        </w:tc>
      </w:tr>
      <w:tr w:rsidR="0026718D" w:rsidRPr="007A3600" w14:paraId="7266879A"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4A26F32" w14:textId="77777777" w:rsidR="00CB00C2" w:rsidRPr="007A3600" w:rsidRDefault="00CB00C2" w:rsidP="00AD3197">
            <w:pPr>
              <w:spacing w:after="0"/>
              <w:rPr>
                <w:b/>
                <w:bCs/>
              </w:rPr>
            </w:pPr>
            <w:r w:rsidRPr="007A3600">
              <w:rPr>
                <w:bCs/>
              </w:rPr>
              <w:t>Tas</w:t>
            </w:r>
          </w:p>
        </w:tc>
        <w:tc>
          <w:tcPr>
            <w:tcW w:w="794" w:type="dxa"/>
            <w:noWrap/>
          </w:tcPr>
          <w:p w14:paraId="4690AEE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3792905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0CB70FF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5ECA529"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w:t>
            </w:r>
          </w:p>
        </w:tc>
        <w:tc>
          <w:tcPr>
            <w:tcW w:w="794" w:type="dxa"/>
            <w:noWrap/>
          </w:tcPr>
          <w:p w14:paraId="428910B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w:t>
            </w:r>
          </w:p>
        </w:tc>
        <w:tc>
          <w:tcPr>
            <w:tcW w:w="794" w:type="dxa"/>
            <w:noWrap/>
          </w:tcPr>
          <w:p w14:paraId="1F52981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2</w:t>
            </w:r>
          </w:p>
        </w:tc>
        <w:tc>
          <w:tcPr>
            <w:tcW w:w="794" w:type="dxa"/>
            <w:noWrap/>
          </w:tcPr>
          <w:p w14:paraId="3EA0936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3142A37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486D58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3BAF4E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651759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E1811F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C7720B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12E74A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E3E0DA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6D9E711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b/>
                <w:bCs/>
                <w:lang w:val="en-GB"/>
              </w:rPr>
              <w:t>2</w:t>
            </w:r>
          </w:p>
        </w:tc>
      </w:tr>
      <w:tr w:rsidR="00B407C5" w:rsidRPr="007A3600" w14:paraId="2D150FF7"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26D1AF3" w14:textId="77777777" w:rsidR="00CB00C2" w:rsidRPr="007A3600" w:rsidRDefault="00CB00C2" w:rsidP="00AD3197">
            <w:pPr>
              <w:spacing w:after="0"/>
              <w:rPr>
                <w:b/>
                <w:bCs/>
              </w:rPr>
            </w:pPr>
            <w:r w:rsidRPr="007A3600">
              <w:rPr>
                <w:bCs/>
              </w:rPr>
              <w:t>Vic</w:t>
            </w:r>
          </w:p>
        </w:tc>
        <w:tc>
          <w:tcPr>
            <w:tcW w:w="794" w:type="dxa"/>
            <w:noWrap/>
          </w:tcPr>
          <w:p w14:paraId="0EAFCDC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33</w:t>
            </w:r>
          </w:p>
        </w:tc>
        <w:tc>
          <w:tcPr>
            <w:tcW w:w="794" w:type="dxa"/>
            <w:noWrap/>
          </w:tcPr>
          <w:p w14:paraId="0976C5B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2C8B65E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33</w:t>
            </w:r>
          </w:p>
        </w:tc>
        <w:tc>
          <w:tcPr>
            <w:tcW w:w="794" w:type="dxa"/>
            <w:noWrap/>
          </w:tcPr>
          <w:p w14:paraId="7AD03A4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67</w:t>
            </w:r>
          </w:p>
        </w:tc>
        <w:tc>
          <w:tcPr>
            <w:tcW w:w="794" w:type="dxa"/>
            <w:noWrap/>
          </w:tcPr>
          <w:p w14:paraId="2157E7C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12</w:t>
            </w:r>
          </w:p>
        </w:tc>
        <w:tc>
          <w:tcPr>
            <w:tcW w:w="794" w:type="dxa"/>
            <w:noWrap/>
          </w:tcPr>
          <w:p w14:paraId="44642D4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79</w:t>
            </w:r>
          </w:p>
        </w:tc>
        <w:tc>
          <w:tcPr>
            <w:tcW w:w="794" w:type="dxa"/>
            <w:noWrap/>
          </w:tcPr>
          <w:p w14:paraId="522A41D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2</w:t>
            </w:r>
          </w:p>
        </w:tc>
        <w:tc>
          <w:tcPr>
            <w:tcW w:w="794" w:type="dxa"/>
            <w:noWrap/>
          </w:tcPr>
          <w:p w14:paraId="3A2D3D7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49B959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2</w:t>
            </w:r>
          </w:p>
        </w:tc>
        <w:tc>
          <w:tcPr>
            <w:tcW w:w="794" w:type="dxa"/>
          </w:tcPr>
          <w:p w14:paraId="0FC74EE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C2B981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F757FF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39BB252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B8C739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363BA42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29153167"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b/>
                <w:bCs/>
                <w:lang w:val="en-GB"/>
              </w:rPr>
              <w:t>114</w:t>
            </w:r>
          </w:p>
        </w:tc>
      </w:tr>
      <w:tr w:rsidR="0026718D" w:rsidRPr="007A3600" w14:paraId="5CDF2A6E"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C123E84" w14:textId="77777777" w:rsidR="00CB00C2" w:rsidRPr="007A3600" w:rsidRDefault="00CB00C2" w:rsidP="00AD3197">
            <w:pPr>
              <w:spacing w:after="0"/>
              <w:rPr>
                <w:b/>
                <w:bCs/>
              </w:rPr>
            </w:pPr>
            <w:r w:rsidRPr="007A3600">
              <w:rPr>
                <w:bCs/>
              </w:rPr>
              <w:t>WA</w:t>
            </w:r>
          </w:p>
        </w:tc>
        <w:tc>
          <w:tcPr>
            <w:tcW w:w="794" w:type="dxa"/>
            <w:noWrap/>
          </w:tcPr>
          <w:p w14:paraId="02F501E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5</w:t>
            </w:r>
          </w:p>
        </w:tc>
        <w:tc>
          <w:tcPr>
            <w:tcW w:w="794" w:type="dxa"/>
            <w:noWrap/>
          </w:tcPr>
          <w:p w14:paraId="0C55E9D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56F95D9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5</w:t>
            </w:r>
          </w:p>
        </w:tc>
        <w:tc>
          <w:tcPr>
            <w:tcW w:w="794" w:type="dxa"/>
            <w:noWrap/>
          </w:tcPr>
          <w:p w14:paraId="37882AF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15</w:t>
            </w:r>
          </w:p>
        </w:tc>
        <w:tc>
          <w:tcPr>
            <w:tcW w:w="794" w:type="dxa"/>
            <w:noWrap/>
          </w:tcPr>
          <w:p w14:paraId="7DE4E40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w:t>
            </w:r>
          </w:p>
        </w:tc>
        <w:tc>
          <w:tcPr>
            <w:tcW w:w="794" w:type="dxa"/>
            <w:noWrap/>
          </w:tcPr>
          <w:p w14:paraId="510BBC8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16</w:t>
            </w:r>
          </w:p>
        </w:tc>
        <w:tc>
          <w:tcPr>
            <w:tcW w:w="794" w:type="dxa"/>
            <w:noWrap/>
          </w:tcPr>
          <w:p w14:paraId="4A4C498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BACB81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5C206A6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29FF0D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CE6B9F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2A787D5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B6C3E5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29FF54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D92949E"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3B5C3EB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b/>
                <w:bCs/>
                <w:lang w:val="en-GB"/>
              </w:rPr>
              <w:t>21</w:t>
            </w:r>
          </w:p>
        </w:tc>
      </w:tr>
      <w:tr w:rsidR="00B407C5" w:rsidRPr="007A3600" w14:paraId="4974F6D8"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86B9506" w14:textId="77777777" w:rsidR="00CB00C2" w:rsidRPr="007A3600" w:rsidRDefault="00CB00C2" w:rsidP="00AD3197">
            <w:pPr>
              <w:spacing w:after="0"/>
              <w:rPr>
                <w:b/>
                <w:bCs/>
              </w:rPr>
            </w:pPr>
            <w:r w:rsidRPr="007A3600">
              <w:rPr>
                <w:bCs/>
              </w:rPr>
              <w:t>ACT</w:t>
            </w:r>
          </w:p>
        </w:tc>
        <w:tc>
          <w:tcPr>
            <w:tcW w:w="794" w:type="dxa"/>
            <w:noWrap/>
          </w:tcPr>
          <w:p w14:paraId="524109E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w:t>
            </w:r>
          </w:p>
        </w:tc>
        <w:tc>
          <w:tcPr>
            <w:tcW w:w="794" w:type="dxa"/>
            <w:noWrap/>
          </w:tcPr>
          <w:p w14:paraId="2426C7F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ED1A2F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3</w:t>
            </w:r>
          </w:p>
        </w:tc>
        <w:tc>
          <w:tcPr>
            <w:tcW w:w="794" w:type="dxa"/>
            <w:noWrap/>
          </w:tcPr>
          <w:p w14:paraId="4B66014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15</w:t>
            </w:r>
          </w:p>
        </w:tc>
        <w:tc>
          <w:tcPr>
            <w:tcW w:w="794" w:type="dxa"/>
            <w:noWrap/>
          </w:tcPr>
          <w:p w14:paraId="234CAE8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w:t>
            </w:r>
          </w:p>
        </w:tc>
        <w:tc>
          <w:tcPr>
            <w:tcW w:w="794" w:type="dxa"/>
            <w:noWrap/>
          </w:tcPr>
          <w:p w14:paraId="4FD05CCA"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16</w:t>
            </w:r>
          </w:p>
        </w:tc>
        <w:tc>
          <w:tcPr>
            <w:tcW w:w="794" w:type="dxa"/>
            <w:noWrap/>
          </w:tcPr>
          <w:p w14:paraId="078492D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04030E3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0444227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44EB706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743B6E0"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BCB5D3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3C4809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485163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0B2FAA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6D469FF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b/>
                <w:bCs/>
                <w:lang w:val="en-GB"/>
              </w:rPr>
              <w:t>19</w:t>
            </w:r>
          </w:p>
        </w:tc>
      </w:tr>
      <w:tr w:rsidR="0026718D" w:rsidRPr="007A3600" w14:paraId="1978B89E"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272E8F91" w14:textId="77777777" w:rsidR="00CB00C2" w:rsidRPr="007A3600" w:rsidRDefault="00CB00C2" w:rsidP="00AD3197">
            <w:pPr>
              <w:spacing w:after="0"/>
              <w:rPr>
                <w:b/>
                <w:bCs/>
              </w:rPr>
            </w:pPr>
            <w:r w:rsidRPr="007A3600">
              <w:rPr>
                <w:bCs/>
              </w:rPr>
              <w:t>NT</w:t>
            </w:r>
          </w:p>
        </w:tc>
        <w:tc>
          <w:tcPr>
            <w:tcW w:w="794" w:type="dxa"/>
            <w:noWrap/>
          </w:tcPr>
          <w:p w14:paraId="4046720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3</w:t>
            </w:r>
          </w:p>
        </w:tc>
        <w:tc>
          <w:tcPr>
            <w:tcW w:w="794" w:type="dxa"/>
            <w:noWrap/>
          </w:tcPr>
          <w:p w14:paraId="6990A9B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6DCCB0E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3</w:t>
            </w:r>
          </w:p>
        </w:tc>
        <w:tc>
          <w:tcPr>
            <w:tcW w:w="794" w:type="dxa"/>
            <w:noWrap/>
          </w:tcPr>
          <w:p w14:paraId="60AB16F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7</w:t>
            </w:r>
          </w:p>
        </w:tc>
        <w:tc>
          <w:tcPr>
            <w:tcW w:w="794" w:type="dxa"/>
            <w:noWrap/>
          </w:tcPr>
          <w:p w14:paraId="1E9D9AA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1F4237E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7</w:t>
            </w:r>
          </w:p>
        </w:tc>
        <w:tc>
          <w:tcPr>
            <w:tcW w:w="794" w:type="dxa"/>
            <w:noWrap/>
          </w:tcPr>
          <w:p w14:paraId="4A6881B3"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26447A8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2C1C95D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FACE69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717235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DB4B84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90F0BB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1140FF44"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058D856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2142C47D"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b/>
                <w:bCs/>
                <w:lang w:val="en-GB"/>
              </w:rPr>
              <w:t>10</w:t>
            </w:r>
          </w:p>
        </w:tc>
      </w:tr>
      <w:tr w:rsidR="00B407C5" w:rsidRPr="007A3600" w14:paraId="16010AB7"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74F4AA2" w14:textId="074EB964" w:rsidR="00CB00C2" w:rsidRPr="007A3600" w:rsidRDefault="00CB00C2" w:rsidP="00AD3197">
            <w:pPr>
              <w:spacing w:after="0"/>
              <w:rPr>
                <w:b/>
                <w:bCs/>
              </w:rPr>
            </w:pPr>
            <w:r w:rsidRPr="007A3600">
              <w:rPr>
                <w:bCs/>
              </w:rPr>
              <w:t xml:space="preserve">External </w:t>
            </w:r>
            <w:r w:rsidR="00421216" w:rsidRPr="007A3600">
              <w:rPr>
                <w:bCs/>
              </w:rPr>
              <w:t>t</w:t>
            </w:r>
            <w:r w:rsidRPr="007A3600">
              <w:rPr>
                <w:bCs/>
              </w:rPr>
              <w:t>erritories</w:t>
            </w:r>
          </w:p>
        </w:tc>
        <w:tc>
          <w:tcPr>
            <w:tcW w:w="794" w:type="dxa"/>
            <w:noWrap/>
          </w:tcPr>
          <w:p w14:paraId="47EEFC6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36559CD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0D6E980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66CB400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1E640D3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F5B7AB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73800E8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12BB477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noWrap/>
          </w:tcPr>
          <w:p w14:paraId="35B146AB"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6CF0EEED"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720AEE02"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2859C2EE"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1697F636"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5ECD2F9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794" w:type="dxa"/>
          </w:tcPr>
          <w:p w14:paraId="00A8642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c>
          <w:tcPr>
            <w:tcW w:w="907" w:type="dxa"/>
          </w:tcPr>
          <w:p w14:paraId="5716853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pPr>
            <w:r w:rsidRPr="007A3600">
              <w:rPr>
                <w:lang w:val="en-GB"/>
              </w:rPr>
              <w:t>0</w:t>
            </w:r>
          </w:p>
        </w:tc>
      </w:tr>
      <w:tr w:rsidR="0026718D" w:rsidRPr="007A3600" w14:paraId="3B74842F"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104BFDC" w14:textId="77777777" w:rsidR="00CB00C2" w:rsidRPr="007A3600" w:rsidRDefault="00CB00C2" w:rsidP="00AD3197">
            <w:pPr>
              <w:spacing w:after="0"/>
              <w:rPr>
                <w:b/>
                <w:bCs/>
              </w:rPr>
            </w:pPr>
            <w:r w:rsidRPr="007A3600">
              <w:rPr>
                <w:bCs/>
              </w:rPr>
              <w:t>Overseas</w:t>
            </w:r>
          </w:p>
        </w:tc>
        <w:tc>
          <w:tcPr>
            <w:tcW w:w="794" w:type="dxa"/>
            <w:noWrap/>
          </w:tcPr>
          <w:p w14:paraId="6E41294B"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54DA224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4F62A7C8"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16CB8C42"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19D0895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7031550C"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2F989F0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0D19982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noWrap/>
          </w:tcPr>
          <w:p w14:paraId="29EEC405"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7E2C1F7"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61380BE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3E2C86D6"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D3DA040"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50398F4A"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794" w:type="dxa"/>
          </w:tcPr>
          <w:p w14:paraId="4B3AF421"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c>
          <w:tcPr>
            <w:tcW w:w="907" w:type="dxa"/>
          </w:tcPr>
          <w:p w14:paraId="2FB4858F" w14:textId="77777777" w:rsidR="00CB00C2" w:rsidRPr="007A3600" w:rsidRDefault="00CB00C2" w:rsidP="00AD3197">
            <w:pPr>
              <w:spacing w:after="0"/>
              <w:jc w:val="right"/>
              <w:cnfStyle w:val="000000000000" w:firstRow="0" w:lastRow="0" w:firstColumn="0" w:lastColumn="0" w:oddVBand="0" w:evenVBand="0" w:oddHBand="0" w:evenHBand="0" w:firstRowFirstColumn="0" w:firstRowLastColumn="0" w:lastRowFirstColumn="0" w:lastRowLastColumn="0"/>
            </w:pPr>
            <w:r w:rsidRPr="007A3600">
              <w:rPr>
                <w:lang w:val="en-GB"/>
              </w:rPr>
              <w:t>0</w:t>
            </w:r>
          </w:p>
        </w:tc>
      </w:tr>
      <w:tr w:rsidR="00B407C5" w:rsidRPr="007A3600" w14:paraId="4C75623A" w14:textId="77777777" w:rsidTr="00F25FF6">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FFFD29E" w14:textId="77777777" w:rsidR="00CB00C2" w:rsidRPr="007A3600" w:rsidRDefault="00CB00C2" w:rsidP="00AD3197">
            <w:pPr>
              <w:spacing w:after="0"/>
              <w:rPr>
                <w:b/>
                <w:bCs/>
              </w:rPr>
            </w:pPr>
            <w:r w:rsidRPr="007A3600">
              <w:rPr>
                <w:bCs/>
              </w:rPr>
              <w:t>Total</w:t>
            </w:r>
          </w:p>
        </w:tc>
        <w:tc>
          <w:tcPr>
            <w:tcW w:w="794" w:type="dxa"/>
            <w:noWrap/>
          </w:tcPr>
          <w:p w14:paraId="143FE58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74</w:t>
            </w:r>
          </w:p>
        </w:tc>
        <w:tc>
          <w:tcPr>
            <w:tcW w:w="794" w:type="dxa"/>
            <w:noWrap/>
          </w:tcPr>
          <w:p w14:paraId="7255DFE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2</w:t>
            </w:r>
          </w:p>
        </w:tc>
        <w:tc>
          <w:tcPr>
            <w:tcW w:w="794" w:type="dxa"/>
            <w:noWrap/>
          </w:tcPr>
          <w:p w14:paraId="637CB6E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76</w:t>
            </w:r>
          </w:p>
        </w:tc>
        <w:tc>
          <w:tcPr>
            <w:tcW w:w="794" w:type="dxa"/>
            <w:noWrap/>
          </w:tcPr>
          <w:p w14:paraId="4280B4AC"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198</w:t>
            </w:r>
          </w:p>
        </w:tc>
        <w:tc>
          <w:tcPr>
            <w:tcW w:w="794" w:type="dxa"/>
            <w:noWrap/>
          </w:tcPr>
          <w:p w14:paraId="5EA009A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25</w:t>
            </w:r>
          </w:p>
        </w:tc>
        <w:tc>
          <w:tcPr>
            <w:tcW w:w="794" w:type="dxa"/>
            <w:noWrap/>
          </w:tcPr>
          <w:p w14:paraId="3C9ECCA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223</w:t>
            </w:r>
          </w:p>
        </w:tc>
        <w:tc>
          <w:tcPr>
            <w:tcW w:w="794" w:type="dxa"/>
            <w:noWrap/>
          </w:tcPr>
          <w:p w14:paraId="331D974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3</w:t>
            </w:r>
          </w:p>
        </w:tc>
        <w:tc>
          <w:tcPr>
            <w:tcW w:w="794" w:type="dxa"/>
            <w:noWrap/>
          </w:tcPr>
          <w:p w14:paraId="1141679F"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0</w:t>
            </w:r>
          </w:p>
        </w:tc>
        <w:tc>
          <w:tcPr>
            <w:tcW w:w="794" w:type="dxa"/>
            <w:noWrap/>
          </w:tcPr>
          <w:p w14:paraId="1530F6A9"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3</w:t>
            </w:r>
          </w:p>
        </w:tc>
        <w:tc>
          <w:tcPr>
            <w:tcW w:w="794" w:type="dxa"/>
          </w:tcPr>
          <w:p w14:paraId="1273783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794" w:type="dxa"/>
          </w:tcPr>
          <w:p w14:paraId="72D72F5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794" w:type="dxa"/>
          </w:tcPr>
          <w:p w14:paraId="443F1AC1"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794" w:type="dxa"/>
          </w:tcPr>
          <w:p w14:paraId="43F24058"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794" w:type="dxa"/>
          </w:tcPr>
          <w:p w14:paraId="3F9B4ED4"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794" w:type="dxa"/>
          </w:tcPr>
          <w:p w14:paraId="442BF335"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lang w:val="en-GB"/>
              </w:rPr>
              <w:t>0</w:t>
            </w:r>
          </w:p>
        </w:tc>
        <w:tc>
          <w:tcPr>
            <w:tcW w:w="907" w:type="dxa"/>
          </w:tcPr>
          <w:p w14:paraId="651E0A13" w14:textId="77777777" w:rsidR="00CB00C2" w:rsidRPr="007A3600" w:rsidRDefault="00CB00C2" w:rsidP="00AD3197">
            <w:pPr>
              <w:spacing w:after="0"/>
              <w:jc w:val="right"/>
              <w:cnfStyle w:val="000000100000" w:firstRow="0" w:lastRow="0" w:firstColumn="0" w:lastColumn="0" w:oddVBand="0" w:evenVBand="0" w:oddHBand="1" w:evenHBand="0" w:firstRowFirstColumn="0" w:firstRowLastColumn="0" w:lastRowFirstColumn="0" w:lastRowLastColumn="0"/>
              <w:rPr>
                <w:b/>
                <w:bCs/>
              </w:rPr>
            </w:pPr>
            <w:r w:rsidRPr="007A3600">
              <w:rPr>
                <w:rFonts w:eastAsia="Times New Roman"/>
                <w:b/>
                <w:bCs/>
                <w:lang w:val="en-GB"/>
              </w:rPr>
              <w:t>302</w:t>
            </w:r>
          </w:p>
        </w:tc>
      </w:tr>
    </w:tbl>
    <w:p w14:paraId="4E46376B" w14:textId="77777777" w:rsidR="00CB00C2" w:rsidRPr="007A3600" w:rsidRDefault="00CB00C2" w:rsidP="00AD3197">
      <w:pPr>
        <w:sectPr w:rsidR="00CB00C2" w:rsidRPr="007A3600" w:rsidSect="007049C5">
          <w:headerReference w:type="even" r:id="rId157"/>
          <w:headerReference w:type="default" r:id="rId158"/>
          <w:footerReference w:type="default" r:id="rId159"/>
          <w:headerReference w:type="first" r:id="rId160"/>
          <w:footerReference w:type="first" r:id="rId161"/>
          <w:pgSz w:w="16838" w:h="11906" w:orient="landscape" w:code="9"/>
          <w:pgMar w:top="1134" w:right="1440" w:bottom="1701" w:left="1440" w:header="561" w:footer="374" w:gutter="0"/>
          <w:cols w:space="708"/>
          <w:titlePg/>
          <w:docGrid w:linePitch="360"/>
        </w:sectPr>
      </w:pPr>
      <w:r w:rsidRPr="007A3600">
        <w:t xml:space="preserve"> </w:t>
      </w:r>
    </w:p>
    <w:p w14:paraId="465006E8" w14:textId="50BCE30A" w:rsidR="004D2E42" w:rsidRPr="007A3600" w:rsidRDefault="004D2E42" w:rsidP="00AD3197">
      <w:pPr>
        <w:pStyle w:val="Heading3"/>
      </w:pPr>
      <w:bookmarkStart w:id="258" w:name="_8.3_Remuneration_tables"/>
      <w:bookmarkStart w:id="259" w:name="_Toc209695869"/>
      <w:bookmarkEnd w:id="258"/>
      <w:r w:rsidRPr="007A3600">
        <w:lastRenderedPageBreak/>
        <w:t>8.3</w:t>
      </w:r>
      <w:r w:rsidRPr="007A3600">
        <w:tab/>
        <w:t>Remuneration tables</w:t>
      </w:r>
      <w:bookmarkEnd w:id="259"/>
    </w:p>
    <w:p w14:paraId="0725D09F" w14:textId="72E34124" w:rsidR="004D2E42" w:rsidRPr="007A3600" w:rsidRDefault="004D2E42" w:rsidP="00AD3197">
      <w:r w:rsidRPr="007A3600">
        <w:t xml:space="preserve">Information on remuneration is provided in tables </w:t>
      </w:r>
      <w:r w:rsidR="00D10AD9" w:rsidRPr="007A3600">
        <w:t>15</w:t>
      </w:r>
      <w:r w:rsidRPr="007A3600">
        <w:t xml:space="preserve"> to </w:t>
      </w:r>
      <w:r w:rsidR="00D10AD9" w:rsidRPr="007A3600">
        <w:t>17</w:t>
      </w:r>
      <w:r w:rsidRPr="007A3600">
        <w:t xml:space="preserve"> below.</w:t>
      </w:r>
    </w:p>
    <w:p w14:paraId="50C10B2C" w14:textId="134709C7" w:rsidR="004D2E42" w:rsidRPr="007A3600" w:rsidRDefault="004D2E42" w:rsidP="00AD3197">
      <w:pPr>
        <w:pStyle w:val="Caption"/>
      </w:pPr>
      <w:r w:rsidRPr="007A3600">
        <w:t xml:space="preserve">Table </w:t>
      </w:r>
      <w:r w:rsidR="00D10AD9" w:rsidRPr="007A3600">
        <w:t>15</w:t>
      </w:r>
      <w:r w:rsidRPr="007A3600">
        <w:t>: Key management personnel remuneration</w:t>
      </w:r>
    </w:p>
    <w:tbl>
      <w:tblPr>
        <w:tblStyle w:val="NDISTable1"/>
        <w:tblW w:w="14058" w:type="dxa"/>
        <w:tblLayout w:type="fixed"/>
        <w:tblCellMar>
          <w:left w:w="57" w:type="dxa"/>
          <w:right w:w="57" w:type="dxa"/>
        </w:tblCellMar>
        <w:tblLook w:val="0420" w:firstRow="1" w:lastRow="0" w:firstColumn="0" w:lastColumn="0" w:noHBand="0" w:noVBand="1"/>
      </w:tblPr>
      <w:tblGrid>
        <w:gridCol w:w="1814"/>
        <w:gridCol w:w="4082"/>
        <w:gridCol w:w="1134"/>
        <w:gridCol w:w="850"/>
        <w:gridCol w:w="1020"/>
        <w:gridCol w:w="1020"/>
        <w:gridCol w:w="1020"/>
        <w:gridCol w:w="850"/>
        <w:gridCol w:w="1134"/>
        <w:gridCol w:w="1134"/>
      </w:tblGrid>
      <w:tr w:rsidR="00B407C5" w:rsidRPr="007A3600" w14:paraId="48CA2F16" w14:textId="77777777" w:rsidTr="009D1194">
        <w:trPr>
          <w:cnfStyle w:val="100000000000" w:firstRow="1" w:lastRow="0" w:firstColumn="0" w:lastColumn="0" w:oddVBand="0" w:evenVBand="0" w:oddHBand="0" w:evenHBand="0" w:firstRowFirstColumn="0" w:firstRowLastColumn="0" w:lastRowFirstColumn="0" w:lastRowLastColumn="0"/>
          <w:trHeight w:val="3005"/>
        </w:trPr>
        <w:tc>
          <w:tcPr>
            <w:tcW w:w="1814" w:type="dxa"/>
            <w:textDirection w:val="tbRl"/>
            <w:hideMark/>
          </w:tcPr>
          <w:p w14:paraId="18D685A8" w14:textId="77777777" w:rsidR="004D2E42" w:rsidRPr="007A3600" w:rsidRDefault="004D2E42" w:rsidP="009D1194">
            <w:pPr>
              <w:spacing w:before="80" w:after="80"/>
              <w:ind w:left="113" w:right="113"/>
              <w:rPr>
                <w:rFonts w:cs="Arial"/>
                <w:b/>
                <w:bCs/>
                <w:lang w:val="en-US"/>
              </w:rPr>
            </w:pPr>
            <w:r w:rsidRPr="007A3600">
              <w:rPr>
                <w:rFonts w:cs="Arial"/>
                <w:lang w:val="en-US"/>
              </w:rPr>
              <w:t>Name</w:t>
            </w:r>
          </w:p>
        </w:tc>
        <w:tc>
          <w:tcPr>
            <w:tcW w:w="4082" w:type="dxa"/>
            <w:textDirection w:val="tbRl"/>
            <w:hideMark/>
          </w:tcPr>
          <w:p w14:paraId="78D23C5E" w14:textId="77777777" w:rsidR="004D2E42" w:rsidRPr="007A3600" w:rsidRDefault="004D2E42" w:rsidP="009D1194">
            <w:pPr>
              <w:spacing w:before="80" w:after="80"/>
              <w:ind w:left="113" w:right="113"/>
              <w:rPr>
                <w:rFonts w:cs="Arial"/>
                <w:b/>
                <w:bCs/>
                <w:lang w:val="en-US"/>
              </w:rPr>
            </w:pPr>
            <w:r w:rsidRPr="007A3600">
              <w:rPr>
                <w:rFonts w:cs="Arial"/>
                <w:lang w:val="en-US"/>
              </w:rPr>
              <w:t>Position title</w:t>
            </w:r>
          </w:p>
        </w:tc>
        <w:tc>
          <w:tcPr>
            <w:tcW w:w="1134" w:type="dxa"/>
            <w:textDirection w:val="tbRl"/>
            <w:hideMark/>
          </w:tcPr>
          <w:p w14:paraId="3462E726" w14:textId="77777777" w:rsidR="004D2E42" w:rsidRPr="007A3600" w:rsidRDefault="004D2E42" w:rsidP="009D1194">
            <w:pPr>
              <w:spacing w:before="80" w:after="80"/>
              <w:ind w:left="113" w:right="113"/>
              <w:rPr>
                <w:rFonts w:cs="Arial"/>
                <w:b/>
                <w:bCs/>
                <w:lang w:val="en-US"/>
              </w:rPr>
            </w:pPr>
            <w:r w:rsidRPr="007A3600">
              <w:rPr>
                <w:rFonts w:cs="Arial"/>
                <w:lang w:val="en-US"/>
              </w:rPr>
              <w:t>Short term benefits – base salary</w:t>
            </w:r>
          </w:p>
        </w:tc>
        <w:tc>
          <w:tcPr>
            <w:tcW w:w="850" w:type="dxa"/>
            <w:textDirection w:val="tbRl"/>
            <w:hideMark/>
          </w:tcPr>
          <w:p w14:paraId="514A602A" w14:textId="77777777" w:rsidR="004D2E42" w:rsidRPr="007A3600" w:rsidRDefault="004D2E42" w:rsidP="009D1194">
            <w:pPr>
              <w:spacing w:before="80" w:after="80"/>
              <w:ind w:left="113" w:right="113"/>
              <w:rPr>
                <w:rFonts w:cs="Arial"/>
                <w:b/>
                <w:bCs/>
                <w:lang w:val="en-US"/>
              </w:rPr>
            </w:pPr>
            <w:r w:rsidRPr="007A3600">
              <w:rPr>
                <w:rFonts w:cs="Arial"/>
                <w:lang w:val="en-US"/>
              </w:rPr>
              <w:t>Short term benefits – bonuses</w:t>
            </w:r>
          </w:p>
        </w:tc>
        <w:tc>
          <w:tcPr>
            <w:tcW w:w="1020" w:type="dxa"/>
            <w:textDirection w:val="tbRl"/>
            <w:hideMark/>
          </w:tcPr>
          <w:p w14:paraId="2D58106A" w14:textId="77777777" w:rsidR="004D2E42" w:rsidRPr="007A3600" w:rsidRDefault="004D2E42" w:rsidP="009D1194">
            <w:pPr>
              <w:spacing w:before="80" w:after="80"/>
              <w:ind w:left="113" w:right="113"/>
              <w:rPr>
                <w:rFonts w:cs="Arial"/>
                <w:b/>
                <w:bCs/>
                <w:lang w:val="en-US"/>
              </w:rPr>
            </w:pPr>
            <w:r w:rsidRPr="007A3600">
              <w:rPr>
                <w:rFonts w:cs="Arial"/>
                <w:lang w:val="en-US"/>
              </w:rPr>
              <w:t>Short term benefits – other benefits and allowances</w:t>
            </w:r>
          </w:p>
        </w:tc>
        <w:tc>
          <w:tcPr>
            <w:tcW w:w="1020" w:type="dxa"/>
            <w:textDirection w:val="tbRl"/>
            <w:hideMark/>
          </w:tcPr>
          <w:p w14:paraId="267A6E3A" w14:textId="77777777" w:rsidR="004D2E42" w:rsidRPr="007A3600" w:rsidRDefault="004D2E42" w:rsidP="009D1194">
            <w:pPr>
              <w:spacing w:after="0"/>
              <w:ind w:left="113" w:right="113"/>
              <w:rPr>
                <w:rFonts w:cs="Arial"/>
                <w:b/>
                <w:bCs/>
                <w:lang w:val="en-US"/>
              </w:rPr>
            </w:pPr>
            <w:r w:rsidRPr="007A3600">
              <w:rPr>
                <w:rFonts w:cs="Arial"/>
                <w:lang w:val="en-US"/>
              </w:rPr>
              <w:t>Post-employment benefits – superannuation contributions</w:t>
            </w:r>
          </w:p>
        </w:tc>
        <w:tc>
          <w:tcPr>
            <w:tcW w:w="1020" w:type="dxa"/>
            <w:textDirection w:val="tbRl"/>
            <w:hideMark/>
          </w:tcPr>
          <w:p w14:paraId="41E377FE" w14:textId="77777777" w:rsidR="004D2E42" w:rsidRPr="007A3600" w:rsidRDefault="004D2E42" w:rsidP="009D1194">
            <w:pPr>
              <w:spacing w:before="80" w:after="80"/>
              <w:ind w:left="113" w:right="113"/>
              <w:rPr>
                <w:rFonts w:cs="Arial"/>
                <w:b/>
                <w:bCs/>
                <w:lang w:val="en-US"/>
              </w:rPr>
            </w:pPr>
            <w:r w:rsidRPr="007A3600">
              <w:rPr>
                <w:rFonts w:cs="Arial"/>
                <w:lang w:val="en-US"/>
              </w:rPr>
              <w:t>Other long-term benefits – long service leave</w:t>
            </w:r>
          </w:p>
        </w:tc>
        <w:tc>
          <w:tcPr>
            <w:tcW w:w="850" w:type="dxa"/>
            <w:textDirection w:val="tbRl"/>
            <w:hideMark/>
          </w:tcPr>
          <w:p w14:paraId="4E7F2BB5" w14:textId="77777777" w:rsidR="004D2E42" w:rsidRPr="007A3600" w:rsidRDefault="004D2E42" w:rsidP="009D1194">
            <w:pPr>
              <w:spacing w:before="80" w:after="80"/>
              <w:ind w:left="113" w:right="113"/>
              <w:rPr>
                <w:rFonts w:cs="Arial"/>
                <w:b/>
                <w:bCs/>
                <w:lang w:val="en-US"/>
              </w:rPr>
            </w:pPr>
            <w:r w:rsidRPr="007A3600">
              <w:rPr>
                <w:rFonts w:cs="Arial"/>
                <w:lang w:val="en-US"/>
              </w:rPr>
              <w:t>Other long-term benefits</w:t>
            </w:r>
          </w:p>
        </w:tc>
        <w:tc>
          <w:tcPr>
            <w:tcW w:w="1134" w:type="dxa"/>
            <w:textDirection w:val="tbRl"/>
          </w:tcPr>
          <w:p w14:paraId="7FBC8FD3" w14:textId="77777777" w:rsidR="004D2E42" w:rsidRPr="007A3600" w:rsidRDefault="004D2E42" w:rsidP="009D1194">
            <w:pPr>
              <w:spacing w:before="80" w:after="80"/>
              <w:ind w:left="113" w:right="113"/>
              <w:rPr>
                <w:rFonts w:cs="Arial"/>
                <w:b/>
                <w:bCs/>
                <w:lang w:val="en-US"/>
              </w:rPr>
            </w:pPr>
            <w:r w:rsidRPr="007A3600">
              <w:rPr>
                <w:rFonts w:cs="Arial"/>
                <w:lang w:val="en-US"/>
              </w:rPr>
              <w:t>Termination benefits</w:t>
            </w:r>
          </w:p>
        </w:tc>
        <w:tc>
          <w:tcPr>
            <w:tcW w:w="1134" w:type="dxa"/>
            <w:textDirection w:val="tbRl"/>
          </w:tcPr>
          <w:p w14:paraId="7FE68005" w14:textId="77777777" w:rsidR="004D2E42" w:rsidRPr="007A3600" w:rsidRDefault="004D2E42" w:rsidP="009D1194">
            <w:pPr>
              <w:spacing w:before="80" w:after="80"/>
              <w:ind w:left="113" w:right="113"/>
              <w:rPr>
                <w:rFonts w:cs="Arial"/>
                <w:b/>
                <w:bCs/>
                <w:lang w:val="en-US"/>
              </w:rPr>
            </w:pPr>
            <w:r w:rsidRPr="007A3600">
              <w:rPr>
                <w:rFonts w:cs="Arial"/>
                <w:lang w:val="en-US"/>
              </w:rPr>
              <w:t>Total remuneration</w:t>
            </w:r>
          </w:p>
        </w:tc>
      </w:tr>
      <w:tr w:rsidR="00B407C5" w:rsidRPr="007A3600" w14:paraId="13D58E16"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0F7D2ECB" w14:textId="176C16D8" w:rsidR="004D2E42" w:rsidRPr="00671B1B" w:rsidRDefault="004D2E42" w:rsidP="00AD3197">
            <w:pPr>
              <w:spacing w:before="80" w:after="80"/>
              <w:rPr>
                <w:rFonts w:cs="Arial"/>
                <w:vertAlign w:val="superscript"/>
                <w:lang w:val="en-US"/>
              </w:rPr>
            </w:pPr>
            <w:r w:rsidRPr="007A3600">
              <w:rPr>
                <w:rFonts w:cs="Arial"/>
                <w:lang w:val="en-US"/>
              </w:rPr>
              <w:t>Ms Meredith Allan</w:t>
            </w:r>
            <w:r w:rsidR="00671B1B">
              <w:rPr>
                <w:rFonts w:cs="Arial"/>
                <w:vertAlign w:val="superscript"/>
                <w:lang w:val="en-US"/>
              </w:rPr>
              <w:t>1</w:t>
            </w:r>
          </w:p>
        </w:tc>
        <w:tc>
          <w:tcPr>
            <w:tcW w:w="4082" w:type="dxa"/>
            <w:hideMark/>
          </w:tcPr>
          <w:p w14:paraId="5078E661"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492AFFC3" w14:textId="77777777" w:rsidR="004D2E42" w:rsidRPr="007A3600" w:rsidRDefault="004D2E42" w:rsidP="00AD3197">
            <w:pPr>
              <w:spacing w:before="80" w:after="80"/>
              <w:jc w:val="right"/>
              <w:rPr>
                <w:rFonts w:cs="Arial"/>
                <w:lang w:val="en-US"/>
              </w:rPr>
            </w:pPr>
            <w:r w:rsidRPr="007A3600">
              <w:rPr>
                <w:rFonts w:cs="Arial"/>
                <w:lang w:val="en-US"/>
              </w:rPr>
              <w:t>$43,993</w:t>
            </w:r>
          </w:p>
        </w:tc>
        <w:tc>
          <w:tcPr>
            <w:tcW w:w="850" w:type="dxa"/>
            <w:hideMark/>
          </w:tcPr>
          <w:p w14:paraId="11A2C498"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C5CAC26"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A44F8BB" w14:textId="77777777" w:rsidR="004D2E42" w:rsidRPr="007A3600" w:rsidRDefault="004D2E42" w:rsidP="00AD3197">
            <w:pPr>
              <w:spacing w:before="80" w:after="80"/>
              <w:jc w:val="right"/>
              <w:rPr>
                <w:rFonts w:cs="Arial"/>
                <w:lang w:val="en-US"/>
              </w:rPr>
            </w:pPr>
            <w:r w:rsidRPr="007A3600">
              <w:rPr>
                <w:rFonts w:cs="Arial"/>
                <w:lang w:val="en-US"/>
              </w:rPr>
              <w:t>$6,775</w:t>
            </w:r>
          </w:p>
        </w:tc>
        <w:tc>
          <w:tcPr>
            <w:tcW w:w="1020" w:type="dxa"/>
            <w:hideMark/>
          </w:tcPr>
          <w:p w14:paraId="43071059"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010B0E4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02ED15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3F21EEDE" w14:textId="77777777" w:rsidR="004D2E42" w:rsidRPr="007A3600" w:rsidRDefault="004D2E42" w:rsidP="00AD3197">
            <w:pPr>
              <w:spacing w:before="80" w:after="80"/>
              <w:jc w:val="right"/>
              <w:rPr>
                <w:rFonts w:cs="Arial"/>
                <w:bCs/>
                <w:lang w:val="en-US"/>
              </w:rPr>
            </w:pPr>
            <w:r w:rsidRPr="007A3600">
              <w:rPr>
                <w:rFonts w:cs="Arial"/>
                <w:bCs/>
                <w:lang w:val="en-US"/>
              </w:rPr>
              <w:t>$50,768</w:t>
            </w:r>
          </w:p>
        </w:tc>
      </w:tr>
      <w:tr w:rsidR="00BC7F94" w:rsidRPr="007A3600" w14:paraId="6243179A" w14:textId="77777777" w:rsidTr="006A2DBD">
        <w:trPr>
          <w:trHeight w:val="289"/>
        </w:trPr>
        <w:tc>
          <w:tcPr>
            <w:tcW w:w="1814" w:type="dxa"/>
            <w:hideMark/>
          </w:tcPr>
          <w:p w14:paraId="02B88C1B" w14:textId="0F50DBF7" w:rsidR="004D2E42" w:rsidRPr="007A3600" w:rsidRDefault="004D2E42" w:rsidP="00AD3197">
            <w:pPr>
              <w:spacing w:before="80" w:after="80"/>
              <w:rPr>
                <w:rFonts w:cs="Arial"/>
                <w:lang w:val="en-US"/>
              </w:rPr>
            </w:pPr>
            <w:r w:rsidRPr="007A3600">
              <w:rPr>
                <w:rFonts w:cs="Arial"/>
                <w:lang w:val="en-US"/>
              </w:rPr>
              <w:t>Mr John Dard</w:t>
            </w:r>
            <w:r w:rsidR="00A5208F">
              <w:rPr>
                <w:rFonts w:cs="Arial"/>
                <w:lang w:val="en-US"/>
              </w:rPr>
              <w:t>o</w:t>
            </w:r>
          </w:p>
        </w:tc>
        <w:tc>
          <w:tcPr>
            <w:tcW w:w="4082" w:type="dxa"/>
            <w:hideMark/>
          </w:tcPr>
          <w:p w14:paraId="7CE39E6E" w14:textId="77777777" w:rsidR="004D2E42" w:rsidRPr="007A3600" w:rsidRDefault="004D2E42" w:rsidP="00AD3197">
            <w:pPr>
              <w:spacing w:before="80" w:after="80"/>
              <w:rPr>
                <w:rFonts w:cs="Arial"/>
                <w:lang w:val="en-US"/>
              </w:rPr>
            </w:pPr>
            <w:r w:rsidRPr="007A3600">
              <w:rPr>
                <w:rFonts w:cs="Arial"/>
                <w:lang w:val="en-US"/>
              </w:rPr>
              <w:t>Deputy CEO Integrity Transformation and Technology Services</w:t>
            </w:r>
          </w:p>
        </w:tc>
        <w:tc>
          <w:tcPr>
            <w:tcW w:w="1134" w:type="dxa"/>
            <w:hideMark/>
          </w:tcPr>
          <w:p w14:paraId="4341CBC3" w14:textId="77777777" w:rsidR="004D2E42" w:rsidRPr="007A3600" w:rsidRDefault="004D2E42" w:rsidP="00AD3197">
            <w:pPr>
              <w:spacing w:before="80" w:after="80"/>
              <w:jc w:val="right"/>
              <w:rPr>
                <w:rFonts w:cs="Arial"/>
                <w:lang w:val="en-US"/>
              </w:rPr>
            </w:pPr>
            <w:r w:rsidRPr="007A3600">
              <w:rPr>
                <w:rFonts w:cs="Arial"/>
                <w:lang w:val="en-US"/>
              </w:rPr>
              <w:t>$446,039</w:t>
            </w:r>
          </w:p>
        </w:tc>
        <w:tc>
          <w:tcPr>
            <w:tcW w:w="850" w:type="dxa"/>
            <w:hideMark/>
          </w:tcPr>
          <w:p w14:paraId="4E32D4AD"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F15CCB7"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25B301E" w14:textId="77777777" w:rsidR="004D2E42" w:rsidRPr="007A3600" w:rsidRDefault="004D2E42" w:rsidP="00AD3197">
            <w:pPr>
              <w:spacing w:before="80" w:after="80"/>
              <w:jc w:val="right"/>
              <w:rPr>
                <w:rFonts w:cs="Arial"/>
                <w:lang w:val="en-US"/>
              </w:rPr>
            </w:pPr>
            <w:r w:rsidRPr="007A3600">
              <w:rPr>
                <w:rFonts w:cs="Arial"/>
                <w:lang w:val="en-US"/>
              </w:rPr>
              <w:t>$80,352</w:t>
            </w:r>
          </w:p>
        </w:tc>
        <w:tc>
          <w:tcPr>
            <w:tcW w:w="1020" w:type="dxa"/>
            <w:hideMark/>
          </w:tcPr>
          <w:p w14:paraId="0F51CC1D" w14:textId="77777777" w:rsidR="004D2E42" w:rsidRPr="007A3600" w:rsidRDefault="004D2E42" w:rsidP="00AD3197">
            <w:pPr>
              <w:spacing w:before="80" w:after="80"/>
              <w:jc w:val="right"/>
              <w:rPr>
                <w:rFonts w:cs="Arial"/>
                <w:lang w:val="en-US"/>
              </w:rPr>
            </w:pPr>
            <w:r w:rsidRPr="007A3600">
              <w:rPr>
                <w:rFonts w:cs="Arial"/>
                <w:lang w:val="en-US"/>
              </w:rPr>
              <w:t>$11,337</w:t>
            </w:r>
          </w:p>
        </w:tc>
        <w:tc>
          <w:tcPr>
            <w:tcW w:w="850" w:type="dxa"/>
            <w:hideMark/>
          </w:tcPr>
          <w:p w14:paraId="5010268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6A24F5A"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BCAE86A" w14:textId="77777777" w:rsidR="004D2E42" w:rsidRPr="007A3600" w:rsidRDefault="004D2E42" w:rsidP="00AD3197">
            <w:pPr>
              <w:spacing w:before="80" w:after="80"/>
              <w:jc w:val="right"/>
              <w:rPr>
                <w:rFonts w:cs="Arial"/>
                <w:bCs/>
                <w:lang w:val="en-US"/>
              </w:rPr>
            </w:pPr>
            <w:r w:rsidRPr="007A3600">
              <w:rPr>
                <w:rFonts w:cs="Arial"/>
                <w:bCs/>
                <w:lang w:val="en-US"/>
              </w:rPr>
              <w:t>$537,728</w:t>
            </w:r>
          </w:p>
        </w:tc>
      </w:tr>
      <w:tr w:rsidR="00B407C5" w:rsidRPr="007A3600" w14:paraId="35D4B1F5"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42ED5AC4" w14:textId="333250F1" w:rsidR="004D2E42" w:rsidRPr="007A3600" w:rsidRDefault="004D2E42" w:rsidP="00AD3197">
            <w:pPr>
              <w:spacing w:before="80" w:after="80"/>
              <w:rPr>
                <w:rFonts w:cs="Arial"/>
                <w:lang w:val="en-US"/>
              </w:rPr>
            </w:pPr>
            <w:r w:rsidRPr="007A3600">
              <w:rPr>
                <w:rFonts w:cs="Arial"/>
                <w:lang w:val="en-US"/>
              </w:rPr>
              <w:t>Mr Asimakis Darras</w:t>
            </w:r>
          </w:p>
        </w:tc>
        <w:tc>
          <w:tcPr>
            <w:tcW w:w="4082" w:type="dxa"/>
            <w:hideMark/>
          </w:tcPr>
          <w:p w14:paraId="26BFF9A8"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2DD95D73" w14:textId="77777777" w:rsidR="004D2E42" w:rsidRPr="007A3600" w:rsidRDefault="004D2E42" w:rsidP="00AD3197">
            <w:pPr>
              <w:spacing w:before="80" w:after="80"/>
              <w:jc w:val="right"/>
              <w:rPr>
                <w:rFonts w:cs="Arial"/>
                <w:lang w:val="en-US"/>
              </w:rPr>
            </w:pPr>
            <w:r w:rsidRPr="007A3600">
              <w:rPr>
                <w:rFonts w:cs="Arial"/>
                <w:lang w:val="en-US"/>
              </w:rPr>
              <w:t>$86,548</w:t>
            </w:r>
          </w:p>
        </w:tc>
        <w:tc>
          <w:tcPr>
            <w:tcW w:w="850" w:type="dxa"/>
            <w:hideMark/>
          </w:tcPr>
          <w:p w14:paraId="06E2E032"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48BF825B"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5F8ACA1" w14:textId="77777777" w:rsidR="004D2E42" w:rsidRPr="007A3600" w:rsidRDefault="004D2E42" w:rsidP="00AD3197">
            <w:pPr>
              <w:spacing w:before="80" w:after="80"/>
              <w:jc w:val="right"/>
              <w:rPr>
                <w:rFonts w:cs="Arial"/>
                <w:lang w:val="en-US"/>
              </w:rPr>
            </w:pPr>
            <w:r w:rsidRPr="007A3600">
              <w:rPr>
                <w:rFonts w:cs="Arial"/>
                <w:lang w:val="en-US"/>
              </w:rPr>
              <w:t>$13,328</w:t>
            </w:r>
          </w:p>
        </w:tc>
        <w:tc>
          <w:tcPr>
            <w:tcW w:w="1020" w:type="dxa"/>
            <w:hideMark/>
          </w:tcPr>
          <w:p w14:paraId="600398F1"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050F4A85"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36AA722F"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43EB52CF" w14:textId="77777777" w:rsidR="004D2E42" w:rsidRPr="007A3600" w:rsidRDefault="004D2E42" w:rsidP="00AD3197">
            <w:pPr>
              <w:spacing w:before="80" w:after="80"/>
              <w:jc w:val="right"/>
              <w:rPr>
                <w:rFonts w:cs="Arial"/>
                <w:bCs/>
                <w:lang w:val="en-US"/>
              </w:rPr>
            </w:pPr>
            <w:r w:rsidRPr="007A3600">
              <w:rPr>
                <w:rFonts w:cs="Arial"/>
                <w:bCs/>
                <w:lang w:val="en-US"/>
              </w:rPr>
              <w:t>$99,876</w:t>
            </w:r>
          </w:p>
        </w:tc>
      </w:tr>
      <w:tr w:rsidR="00BC7F94" w:rsidRPr="007A3600" w14:paraId="7524EC8C" w14:textId="77777777" w:rsidTr="006A2DBD">
        <w:trPr>
          <w:trHeight w:val="289"/>
        </w:trPr>
        <w:tc>
          <w:tcPr>
            <w:tcW w:w="1814" w:type="dxa"/>
            <w:hideMark/>
          </w:tcPr>
          <w:p w14:paraId="3BBBC6EA" w14:textId="77777777" w:rsidR="004D2E42" w:rsidRPr="007A3600" w:rsidRDefault="004D2E42" w:rsidP="00AD3197">
            <w:pPr>
              <w:spacing w:before="80" w:after="80"/>
              <w:rPr>
                <w:rFonts w:cs="Arial"/>
                <w:lang w:val="en-US"/>
              </w:rPr>
            </w:pPr>
            <w:r w:rsidRPr="007A3600">
              <w:rPr>
                <w:rFonts w:cs="Arial"/>
                <w:lang w:val="en-US"/>
              </w:rPr>
              <w:t>Ms Maryanne Diamond AO</w:t>
            </w:r>
          </w:p>
        </w:tc>
        <w:tc>
          <w:tcPr>
            <w:tcW w:w="4082" w:type="dxa"/>
            <w:hideMark/>
          </w:tcPr>
          <w:p w14:paraId="2DCAE0B7"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5B1BA0EC" w14:textId="77777777" w:rsidR="004D2E42" w:rsidRPr="007A3600" w:rsidRDefault="004D2E42" w:rsidP="00AD3197">
            <w:pPr>
              <w:spacing w:before="80" w:after="80"/>
              <w:jc w:val="right"/>
              <w:rPr>
                <w:rFonts w:cs="Arial"/>
                <w:lang w:val="en-US"/>
              </w:rPr>
            </w:pPr>
            <w:r w:rsidRPr="007A3600">
              <w:rPr>
                <w:rFonts w:cs="Arial"/>
                <w:lang w:val="en-US"/>
              </w:rPr>
              <w:t>$93,696</w:t>
            </w:r>
          </w:p>
        </w:tc>
        <w:tc>
          <w:tcPr>
            <w:tcW w:w="850" w:type="dxa"/>
            <w:hideMark/>
          </w:tcPr>
          <w:p w14:paraId="4DF972C6"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5B4E520"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37C6FC9A" w14:textId="77777777" w:rsidR="004D2E42" w:rsidRPr="007A3600" w:rsidRDefault="004D2E42" w:rsidP="00AD3197">
            <w:pPr>
              <w:spacing w:before="80" w:after="80"/>
              <w:jc w:val="right"/>
              <w:rPr>
                <w:rFonts w:cs="Arial"/>
                <w:lang w:val="en-US"/>
              </w:rPr>
            </w:pPr>
            <w:r w:rsidRPr="007A3600">
              <w:rPr>
                <w:rFonts w:cs="Arial"/>
                <w:lang w:val="en-US"/>
              </w:rPr>
              <w:t>$14,468</w:t>
            </w:r>
          </w:p>
        </w:tc>
        <w:tc>
          <w:tcPr>
            <w:tcW w:w="1020" w:type="dxa"/>
            <w:hideMark/>
          </w:tcPr>
          <w:p w14:paraId="67D58313"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051255A9"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B6CDB22"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A1F7DAC" w14:textId="77777777" w:rsidR="004D2E42" w:rsidRPr="007A3600" w:rsidRDefault="004D2E42" w:rsidP="00AD3197">
            <w:pPr>
              <w:spacing w:before="80" w:after="80"/>
              <w:jc w:val="right"/>
              <w:rPr>
                <w:rFonts w:cs="Arial"/>
                <w:bCs/>
                <w:lang w:val="en-US"/>
              </w:rPr>
            </w:pPr>
            <w:r w:rsidRPr="007A3600">
              <w:rPr>
                <w:rFonts w:cs="Arial"/>
                <w:bCs/>
                <w:lang w:val="en-US"/>
              </w:rPr>
              <w:t>$108,164</w:t>
            </w:r>
          </w:p>
        </w:tc>
      </w:tr>
      <w:tr w:rsidR="00B407C5" w:rsidRPr="007A3600" w14:paraId="6604C477"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2493B87D" w14:textId="28B51AE3" w:rsidR="004D2E42" w:rsidRPr="00671B1B" w:rsidRDefault="004D2E42" w:rsidP="00AD3197">
            <w:pPr>
              <w:spacing w:before="80" w:after="80"/>
              <w:rPr>
                <w:rFonts w:cs="Arial"/>
                <w:vertAlign w:val="superscript"/>
                <w:lang w:val="en-US"/>
              </w:rPr>
            </w:pPr>
            <w:r w:rsidRPr="007A3600">
              <w:rPr>
                <w:rFonts w:cs="Arial"/>
                <w:lang w:val="en-US"/>
              </w:rPr>
              <w:t>Ms Allison Doyle</w:t>
            </w:r>
            <w:r w:rsidR="00671B1B">
              <w:rPr>
                <w:rFonts w:cs="Arial"/>
                <w:vertAlign w:val="superscript"/>
                <w:lang w:val="en-US"/>
              </w:rPr>
              <w:t>2</w:t>
            </w:r>
          </w:p>
        </w:tc>
        <w:tc>
          <w:tcPr>
            <w:tcW w:w="4082" w:type="dxa"/>
            <w:hideMark/>
          </w:tcPr>
          <w:p w14:paraId="5219502D" w14:textId="77777777" w:rsidR="004D2E42" w:rsidRPr="007A3600" w:rsidRDefault="004D2E42" w:rsidP="00AD3197">
            <w:pPr>
              <w:spacing w:before="80" w:after="80"/>
              <w:rPr>
                <w:rFonts w:cs="Arial"/>
                <w:lang w:val="en-US"/>
              </w:rPr>
            </w:pPr>
            <w:r w:rsidRPr="007A3600">
              <w:rPr>
                <w:rFonts w:cs="Arial"/>
                <w:lang w:val="en-US"/>
              </w:rPr>
              <w:t>Acting Deputy CEO Enabling Services/Chief Operating Officer</w:t>
            </w:r>
          </w:p>
        </w:tc>
        <w:tc>
          <w:tcPr>
            <w:tcW w:w="1134" w:type="dxa"/>
            <w:hideMark/>
          </w:tcPr>
          <w:p w14:paraId="3025B41A" w14:textId="77777777" w:rsidR="004D2E42" w:rsidRPr="007A3600" w:rsidRDefault="004D2E42" w:rsidP="00AD3197">
            <w:pPr>
              <w:spacing w:before="80" w:after="80"/>
              <w:jc w:val="right"/>
              <w:rPr>
                <w:rFonts w:cs="Arial"/>
                <w:lang w:val="en-US"/>
              </w:rPr>
            </w:pPr>
            <w:r w:rsidRPr="007A3600">
              <w:rPr>
                <w:rFonts w:cs="Arial"/>
                <w:lang w:val="en-US"/>
              </w:rPr>
              <w:t>$120,303</w:t>
            </w:r>
          </w:p>
        </w:tc>
        <w:tc>
          <w:tcPr>
            <w:tcW w:w="850" w:type="dxa"/>
            <w:hideMark/>
          </w:tcPr>
          <w:p w14:paraId="317B168C"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A1CCF2D"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E44D4C8" w14:textId="77777777" w:rsidR="004D2E42" w:rsidRPr="007A3600" w:rsidRDefault="004D2E42" w:rsidP="00AD3197">
            <w:pPr>
              <w:spacing w:before="80" w:after="80"/>
              <w:jc w:val="right"/>
              <w:rPr>
                <w:rFonts w:cs="Arial"/>
                <w:lang w:val="en-US"/>
              </w:rPr>
            </w:pPr>
            <w:r w:rsidRPr="007A3600">
              <w:rPr>
                <w:rFonts w:cs="Arial"/>
                <w:lang w:val="en-US"/>
              </w:rPr>
              <w:t>$14,413</w:t>
            </w:r>
          </w:p>
        </w:tc>
        <w:tc>
          <w:tcPr>
            <w:tcW w:w="1020" w:type="dxa"/>
            <w:hideMark/>
          </w:tcPr>
          <w:p w14:paraId="51A3B18E" w14:textId="77777777" w:rsidR="004D2E42" w:rsidRPr="007A3600" w:rsidRDefault="004D2E42" w:rsidP="00AD3197">
            <w:pPr>
              <w:spacing w:before="80" w:after="80"/>
              <w:jc w:val="right"/>
              <w:rPr>
                <w:rFonts w:cs="Arial"/>
                <w:lang w:val="en-US"/>
              </w:rPr>
            </w:pPr>
            <w:r w:rsidRPr="007A3600">
              <w:rPr>
                <w:rFonts w:cs="Arial"/>
                <w:lang w:val="en-US"/>
              </w:rPr>
              <w:t>$2,874</w:t>
            </w:r>
          </w:p>
        </w:tc>
        <w:tc>
          <w:tcPr>
            <w:tcW w:w="850" w:type="dxa"/>
            <w:hideMark/>
          </w:tcPr>
          <w:p w14:paraId="0FDF7792"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AFACD7F"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52AA301E" w14:textId="77777777" w:rsidR="004D2E42" w:rsidRPr="007A3600" w:rsidRDefault="004D2E42" w:rsidP="00AD3197">
            <w:pPr>
              <w:spacing w:before="80" w:after="80"/>
              <w:jc w:val="right"/>
              <w:rPr>
                <w:rFonts w:cs="Arial"/>
                <w:bCs/>
                <w:lang w:val="en-US"/>
              </w:rPr>
            </w:pPr>
            <w:r w:rsidRPr="007A3600">
              <w:rPr>
                <w:rFonts w:cs="Arial"/>
                <w:bCs/>
                <w:lang w:val="en-US"/>
              </w:rPr>
              <w:t>$137,590</w:t>
            </w:r>
          </w:p>
        </w:tc>
      </w:tr>
      <w:tr w:rsidR="00BC7F94" w:rsidRPr="007A3600" w14:paraId="009AB296" w14:textId="77777777" w:rsidTr="006A2DBD">
        <w:trPr>
          <w:trHeight w:val="289"/>
        </w:trPr>
        <w:tc>
          <w:tcPr>
            <w:tcW w:w="1814" w:type="dxa"/>
            <w:hideMark/>
          </w:tcPr>
          <w:p w14:paraId="5FF1F3B4" w14:textId="46D535B4" w:rsidR="004D2E42" w:rsidRPr="00671B1B" w:rsidRDefault="004D2E42" w:rsidP="00AD3197">
            <w:pPr>
              <w:spacing w:before="80" w:after="80"/>
              <w:rPr>
                <w:rFonts w:cs="Arial"/>
                <w:vertAlign w:val="superscript"/>
                <w:lang w:val="en-US"/>
              </w:rPr>
            </w:pPr>
            <w:r w:rsidRPr="007A3600">
              <w:rPr>
                <w:rFonts w:cs="Arial"/>
                <w:lang w:val="en-US"/>
              </w:rPr>
              <w:lastRenderedPageBreak/>
              <w:t>Ms Amity Durham</w:t>
            </w:r>
            <w:r w:rsidR="00671B1B" w:rsidRPr="00671B1B">
              <w:rPr>
                <w:rFonts w:cs="Arial"/>
                <w:vertAlign w:val="superscript"/>
                <w:lang w:val="en-US"/>
              </w:rPr>
              <w:t>3</w:t>
            </w:r>
          </w:p>
        </w:tc>
        <w:tc>
          <w:tcPr>
            <w:tcW w:w="4082" w:type="dxa"/>
            <w:hideMark/>
          </w:tcPr>
          <w:p w14:paraId="601F1E80" w14:textId="77777777" w:rsidR="004D2E42" w:rsidRPr="007A3600" w:rsidRDefault="004D2E42" w:rsidP="00AD3197">
            <w:pPr>
              <w:spacing w:before="80" w:after="80"/>
              <w:rPr>
                <w:rFonts w:cs="Arial"/>
                <w:lang w:val="en-US"/>
              </w:rPr>
            </w:pPr>
            <w:r w:rsidRPr="007A3600">
              <w:rPr>
                <w:rFonts w:cs="Arial"/>
                <w:lang w:val="en-US"/>
              </w:rPr>
              <w:t>Deputy CEO Children, Specialised Services and Scheme Interfaces</w:t>
            </w:r>
          </w:p>
        </w:tc>
        <w:tc>
          <w:tcPr>
            <w:tcW w:w="1134" w:type="dxa"/>
            <w:hideMark/>
          </w:tcPr>
          <w:p w14:paraId="24E1F3BC" w14:textId="77777777" w:rsidR="004D2E42" w:rsidRPr="007A3600" w:rsidRDefault="004D2E42" w:rsidP="00AD3197">
            <w:pPr>
              <w:spacing w:before="80" w:after="80"/>
              <w:jc w:val="right"/>
              <w:rPr>
                <w:rFonts w:cs="Arial"/>
                <w:lang w:val="en-US"/>
              </w:rPr>
            </w:pPr>
            <w:r w:rsidRPr="007A3600">
              <w:rPr>
                <w:rFonts w:cs="Arial"/>
                <w:lang w:val="en-US"/>
              </w:rPr>
              <w:t>$179,179</w:t>
            </w:r>
          </w:p>
        </w:tc>
        <w:tc>
          <w:tcPr>
            <w:tcW w:w="850" w:type="dxa"/>
            <w:hideMark/>
          </w:tcPr>
          <w:p w14:paraId="0B5047F8"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1E5B250"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3F669E7" w14:textId="77777777" w:rsidR="004D2E42" w:rsidRPr="007A3600" w:rsidRDefault="004D2E42" w:rsidP="00AD3197">
            <w:pPr>
              <w:spacing w:before="80" w:after="80"/>
              <w:jc w:val="right"/>
              <w:rPr>
                <w:rFonts w:cs="Arial"/>
                <w:lang w:val="en-US"/>
              </w:rPr>
            </w:pPr>
            <w:r w:rsidRPr="007A3600">
              <w:rPr>
                <w:rFonts w:cs="Arial"/>
                <w:lang w:val="en-US"/>
              </w:rPr>
              <w:t>$18,755</w:t>
            </w:r>
          </w:p>
        </w:tc>
        <w:tc>
          <w:tcPr>
            <w:tcW w:w="1020" w:type="dxa"/>
            <w:hideMark/>
          </w:tcPr>
          <w:p w14:paraId="1F49774C" w14:textId="77777777" w:rsidR="004D2E42" w:rsidRPr="007A3600" w:rsidRDefault="004D2E42" w:rsidP="00AD3197">
            <w:pPr>
              <w:spacing w:before="80" w:after="80"/>
              <w:jc w:val="right"/>
              <w:rPr>
                <w:rFonts w:cs="Arial"/>
                <w:lang w:val="en-US"/>
              </w:rPr>
            </w:pPr>
            <w:r w:rsidRPr="007A3600">
              <w:rPr>
                <w:rFonts w:cs="Arial"/>
                <w:lang w:val="en-US"/>
              </w:rPr>
              <w:t>$4,480</w:t>
            </w:r>
          </w:p>
        </w:tc>
        <w:tc>
          <w:tcPr>
            <w:tcW w:w="850" w:type="dxa"/>
            <w:hideMark/>
          </w:tcPr>
          <w:p w14:paraId="607250CF"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C9309DD"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4FEE3601" w14:textId="77777777" w:rsidR="004D2E42" w:rsidRPr="007A3600" w:rsidRDefault="004D2E42" w:rsidP="00AD3197">
            <w:pPr>
              <w:spacing w:before="80" w:after="80"/>
              <w:jc w:val="right"/>
              <w:rPr>
                <w:rFonts w:cs="Arial"/>
                <w:bCs/>
                <w:lang w:val="en-US"/>
              </w:rPr>
            </w:pPr>
            <w:r w:rsidRPr="007A3600">
              <w:rPr>
                <w:rFonts w:cs="Arial"/>
                <w:bCs/>
                <w:lang w:val="en-US"/>
              </w:rPr>
              <w:t>$202,414</w:t>
            </w:r>
          </w:p>
        </w:tc>
      </w:tr>
      <w:tr w:rsidR="00B407C5" w:rsidRPr="007A3600" w14:paraId="58C60A61"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49C1DF63" w14:textId="77777777" w:rsidR="004D2E42" w:rsidRPr="007A3600" w:rsidRDefault="004D2E42" w:rsidP="00AD3197">
            <w:pPr>
              <w:spacing w:before="80" w:after="80"/>
              <w:rPr>
                <w:rFonts w:cs="Arial"/>
                <w:lang w:val="en-US"/>
              </w:rPr>
            </w:pPr>
            <w:r w:rsidRPr="007A3600">
              <w:rPr>
                <w:rFonts w:cs="Arial"/>
                <w:lang w:val="en-US"/>
              </w:rPr>
              <w:t>Ms Rebecca Falkingham PSM</w:t>
            </w:r>
          </w:p>
        </w:tc>
        <w:tc>
          <w:tcPr>
            <w:tcW w:w="4082" w:type="dxa"/>
            <w:hideMark/>
          </w:tcPr>
          <w:p w14:paraId="2DA3A9F7" w14:textId="77777777" w:rsidR="004D2E42" w:rsidRPr="007A3600" w:rsidRDefault="004D2E42" w:rsidP="00AD3197">
            <w:pPr>
              <w:spacing w:before="80" w:after="80"/>
              <w:rPr>
                <w:rFonts w:cs="Arial"/>
                <w:lang w:val="en-US"/>
              </w:rPr>
            </w:pPr>
            <w:r w:rsidRPr="007A3600">
              <w:rPr>
                <w:rFonts w:cs="Arial"/>
                <w:lang w:val="en-US"/>
              </w:rPr>
              <w:t>Chief Executive Officer</w:t>
            </w:r>
          </w:p>
        </w:tc>
        <w:tc>
          <w:tcPr>
            <w:tcW w:w="1134" w:type="dxa"/>
            <w:hideMark/>
          </w:tcPr>
          <w:p w14:paraId="7ABC353B" w14:textId="77777777" w:rsidR="004D2E42" w:rsidRPr="007A3600" w:rsidRDefault="004D2E42" w:rsidP="00AD3197">
            <w:pPr>
              <w:spacing w:before="80" w:after="80"/>
              <w:jc w:val="right"/>
              <w:rPr>
                <w:rFonts w:cs="Arial"/>
                <w:lang w:val="en-US"/>
              </w:rPr>
            </w:pPr>
            <w:r w:rsidRPr="007A3600">
              <w:rPr>
                <w:rFonts w:cs="Arial"/>
                <w:lang w:val="en-US"/>
              </w:rPr>
              <w:t>$795,964</w:t>
            </w:r>
          </w:p>
        </w:tc>
        <w:tc>
          <w:tcPr>
            <w:tcW w:w="850" w:type="dxa"/>
            <w:hideMark/>
          </w:tcPr>
          <w:p w14:paraId="215303BC"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8C2FAF9" w14:textId="77777777" w:rsidR="004D2E42" w:rsidRPr="007A3600" w:rsidRDefault="004D2E42" w:rsidP="00AD3197">
            <w:pPr>
              <w:spacing w:before="80" w:after="80"/>
              <w:jc w:val="right"/>
              <w:rPr>
                <w:rFonts w:cs="Arial"/>
                <w:lang w:val="en-US"/>
              </w:rPr>
            </w:pPr>
            <w:r w:rsidRPr="007A3600">
              <w:rPr>
                <w:rFonts w:cs="Arial"/>
                <w:lang w:val="en-US"/>
              </w:rPr>
              <w:t>$3,882</w:t>
            </w:r>
          </w:p>
        </w:tc>
        <w:tc>
          <w:tcPr>
            <w:tcW w:w="1020" w:type="dxa"/>
            <w:hideMark/>
          </w:tcPr>
          <w:p w14:paraId="3B22D45C" w14:textId="77777777" w:rsidR="004D2E42" w:rsidRPr="007A3600" w:rsidRDefault="004D2E42" w:rsidP="00AD3197">
            <w:pPr>
              <w:spacing w:before="80" w:after="80"/>
              <w:jc w:val="right"/>
              <w:rPr>
                <w:rFonts w:cs="Arial"/>
                <w:lang w:val="en-US"/>
              </w:rPr>
            </w:pPr>
            <w:r w:rsidRPr="007A3600">
              <w:rPr>
                <w:rFonts w:cs="Arial"/>
                <w:lang w:val="en-US"/>
              </w:rPr>
              <w:t>$30,050</w:t>
            </w:r>
          </w:p>
        </w:tc>
        <w:tc>
          <w:tcPr>
            <w:tcW w:w="1020" w:type="dxa"/>
            <w:hideMark/>
          </w:tcPr>
          <w:p w14:paraId="4239A636" w14:textId="77777777" w:rsidR="004D2E42" w:rsidRPr="007A3600" w:rsidRDefault="004D2E42" w:rsidP="00AD3197">
            <w:pPr>
              <w:spacing w:before="80" w:after="80"/>
              <w:jc w:val="right"/>
              <w:rPr>
                <w:rFonts w:cs="Arial"/>
                <w:lang w:val="en-US"/>
              </w:rPr>
            </w:pPr>
            <w:r w:rsidRPr="007A3600">
              <w:rPr>
                <w:rFonts w:cs="Arial"/>
                <w:lang w:val="en-US"/>
              </w:rPr>
              <w:t>$19,764</w:t>
            </w:r>
          </w:p>
        </w:tc>
        <w:tc>
          <w:tcPr>
            <w:tcW w:w="850" w:type="dxa"/>
            <w:hideMark/>
          </w:tcPr>
          <w:p w14:paraId="38AA48D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77B88D02"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7E067511" w14:textId="77777777" w:rsidR="004D2E42" w:rsidRPr="007A3600" w:rsidRDefault="004D2E42" w:rsidP="00AD3197">
            <w:pPr>
              <w:spacing w:before="80" w:after="80"/>
              <w:jc w:val="right"/>
              <w:rPr>
                <w:rFonts w:cs="Arial"/>
                <w:bCs/>
                <w:lang w:val="en-US"/>
              </w:rPr>
            </w:pPr>
            <w:r w:rsidRPr="007A3600">
              <w:rPr>
                <w:rFonts w:cs="Arial"/>
                <w:bCs/>
                <w:lang w:val="en-US"/>
              </w:rPr>
              <w:t>$849,660</w:t>
            </w:r>
          </w:p>
        </w:tc>
      </w:tr>
      <w:tr w:rsidR="00BC7F94" w:rsidRPr="007A3600" w14:paraId="4B8B386C" w14:textId="77777777" w:rsidTr="006A2DBD">
        <w:trPr>
          <w:trHeight w:val="289"/>
        </w:trPr>
        <w:tc>
          <w:tcPr>
            <w:tcW w:w="1814" w:type="dxa"/>
            <w:hideMark/>
          </w:tcPr>
          <w:p w14:paraId="40891929" w14:textId="77777777" w:rsidR="004D2E42" w:rsidRPr="007A3600" w:rsidRDefault="004D2E42" w:rsidP="00AD3197">
            <w:pPr>
              <w:spacing w:before="80" w:after="80"/>
              <w:rPr>
                <w:rFonts w:cs="Arial"/>
                <w:lang w:val="en-US"/>
              </w:rPr>
            </w:pPr>
            <w:r w:rsidRPr="007A3600">
              <w:rPr>
                <w:rFonts w:cs="Arial"/>
                <w:lang w:val="en-US"/>
              </w:rPr>
              <w:t>Mr Kurt Fearnley AO</w:t>
            </w:r>
          </w:p>
        </w:tc>
        <w:tc>
          <w:tcPr>
            <w:tcW w:w="4082" w:type="dxa"/>
            <w:hideMark/>
          </w:tcPr>
          <w:p w14:paraId="6696FF47"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49CC2846" w14:textId="77777777" w:rsidR="004D2E42" w:rsidRPr="007A3600" w:rsidRDefault="004D2E42" w:rsidP="00AD3197">
            <w:pPr>
              <w:spacing w:before="80" w:after="80"/>
              <w:jc w:val="right"/>
              <w:rPr>
                <w:rFonts w:cs="Arial"/>
                <w:lang w:val="en-US"/>
              </w:rPr>
            </w:pPr>
            <w:r w:rsidRPr="007A3600">
              <w:rPr>
                <w:rFonts w:cs="Arial"/>
                <w:lang w:val="en-US"/>
              </w:rPr>
              <w:t>$156,220</w:t>
            </w:r>
          </w:p>
        </w:tc>
        <w:tc>
          <w:tcPr>
            <w:tcW w:w="850" w:type="dxa"/>
            <w:hideMark/>
          </w:tcPr>
          <w:p w14:paraId="3831EB55"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6E1DF6EA"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E966373" w14:textId="77777777" w:rsidR="004D2E42" w:rsidRPr="007A3600" w:rsidRDefault="004D2E42" w:rsidP="00AD3197">
            <w:pPr>
              <w:spacing w:before="80" w:after="80"/>
              <w:jc w:val="right"/>
              <w:rPr>
                <w:rFonts w:cs="Arial"/>
                <w:lang w:val="en-US"/>
              </w:rPr>
            </w:pPr>
            <w:r w:rsidRPr="007A3600">
              <w:rPr>
                <w:rFonts w:cs="Arial"/>
                <w:lang w:val="en-US"/>
              </w:rPr>
              <w:t>$22,598</w:t>
            </w:r>
          </w:p>
        </w:tc>
        <w:tc>
          <w:tcPr>
            <w:tcW w:w="1020" w:type="dxa"/>
            <w:hideMark/>
          </w:tcPr>
          <w:p w14:paraId="3A71F0BE"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402D8B2E"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E413B9A"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7985F42" w14:textId="77777777" w:rsidR="004D2E42" w:rsidRPr="007A3600" w:rsidRDefault="004D2E42" w:rsidP="00AD3197">
            <w:pPr>
              <w:spacing w:before="80" w:after="80"/>
              <w:jc w:val="right"/>
              <w:rPr>
                <w:rFonts w:cs="Arial"/>
                <w:bCs/>
                <w:lang w:val="en-US"/>
              </w:rPr>
            </w:pPr>
            <w:r w:rsidRPr="007A3600">
              <w:rPr>
                <w:rFonts w:cs="Arial"/>
                <w:bCs/>
                <w:lang w:val="en-US"/>
              </w:rPr>
              <w:t>$178,818</w:t>
            </w:r>
          </w:p>
        </w:tc>
      </w:tr>
      <w:tr w:rsidR="00B407C5" w:rsidRPr="007A3600" w14:paraId="37443F46"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37007215" w14:textId="77777777" w:rsidR="004D2E42" w:rsidRPr="007A3600" w:rsidRDefault="004D2E42" w:rsidP="00AD3197">
            <w:pPr>
              <w:spacing w:before="80" w:after="80"/>
              <w:rPr>
                <w:rFonts w:cs="Arial"/>
                <w:lang w:val="en-US"/>
              </w:rPr>
            </w:pPr>
            <w:r w:rsidRPr="007A3600">
              <w:rPr>
                <w:rFonts w:cs="Arial"/>
                <w:lang w:val="en-US"/>
              </w:rPr>
              <w:t>Dr Richard Fejo</w:t>
            </w:r>
          </w:p>
        </w:tc>
        <w:tc>
          <w:tcPr>
            <w:tcW w:w="4082" w:type="dxa"/>
            <w:hideMark/>
          </w:tcPr>
          <w:p w14:paraId="27256A38"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6168B0F8" w14:textId="77777777" w:rsidR="004D2E42" w:rsidRPr="007A3600" w:rsidRDefault="004D2E42" w:rsidP="00AD3197">
            <w:pPr>
              <w:spacing w:before="80" w:after="80"/>
              <w:jc w:val="right"/>
              <w:rPr>
                <w:rFonts w:cs="Arial"/>
                <w:lang w:val="en-US"/>
              </w:rPr>
            </w:pPr>
            <w:r w:rsidRPr="007A3600">
              <w:rPr>
                <w:rFonts w:cs="Arial"/>
                <w:lang w:val="en-US"/>
              </w:rPr>
              <w:t>$77,951</w:t>
            </w:r>
          </w:p>
        </w:tc>
        <w:tc>
          <w:tcPr>
            <w:tcW w:w="850" w:type="dxa"/>
            <w:hideMark/>
          </w:tcPr>
          <w:p w14:paraId="085A1701"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3312CFA"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0971B5C" w14:textId="77777777" w:rsidR="004D2E42" w:rsidRPr="007A3600" w:rsidRDefault="004D2E42" w:rsidP="00AD3197">
            <w:pPr>
              <w:spacing w:before="80" w:after="80"/>
              <w:jc w:val="right"/>
              <w:rPr>
                <w:rFonts w:cs="Arial"/>
                <w:lang w:val="en-US"/>
              </w:rPr>
            </w:pPr>
            <w:r w:rsidRPr="007A3600">
              <w:rPr>
                <w:rFonts w:cs="Arial"/>
                <w:lang w:val="en-US"/>
              </w:rPr>
              <w:t>$12,004</w:t>
            </w:r>
          </w:p>
        </w:tc>
        <w:tc>
          <w:tcPr>
            <w:tcW w:w="1020" w:type="dxa"/>
            <w:hideMark/>
          </w:tcPr>
          <w:p w14:paraId="1001562B"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1E536D84"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19D15C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2594F4F" w14:textId="77777777" w:rsidR="004D2E42" w:rsidRPr="007A3600" w:rsidRDefault="004D2E42" w:rsidP="00AD3197">
            <w:pPr>
              <w:spacing w:before="80" w:after="80"/>
              <w:jc w:val="right"/>
              <w:rPr>
                <w:rFonts w:cs="Arial"/>
                <w:bCs/>
                <w:lang w:val="en-US"/>
              </w:rPr>
            </w:pPr>
            <w:r w:rsidRPr="007A3600">
              <w:rPr>
                <w:rFonts w:cs="Arial"/>
                <w:bCs/>
                <w:lang w:val="en-US"/>
              </w:rPr>
              <w:t>$89,955</w:t>
            </w:r>
          </w:p>
        </w:tc>
      </w:tr>
      <w:tr w:rsidR="00BC7F94" w:rsidRPr="007A3600" w14:paraId="3B36A578" w14:textId="77777777" w:rsidTr="006A2DBD">
        <w:trPr>
          <w:trHeight w:val="289"/>
        </w:trPr>
        <w:tc>
          <w:tcPr>
            <w:tcW w:w="1814" w:type="dxa"/>
            <w:hideMark/>
          </w:tcPr>
          <w:p w14:paraId="503C40E6" w14:textId="77777777" w:rsidR="004D2E42" w:rsidRPr="007A3600" w:rsidRDefault="004D2E42" w:rsidP="00AD3197">
            <w:pPr>
              <w:spacing w:before="80" w:after="80"/>
              <w:rPr>
                <w:rFonts w:cs="Arial"/>
                <w:lang w:val="en-US"/>
              </w:rPr>
            </w:pPr>
            <w:r w:rsidRPr="007A3600">
              <w:rPr>
                <w:rFonts w:cs="Arial"/>
                <w:lang w:val="en-US"/>
              </w:rPr>
              <w:t>Mr David Gifford</w:t>
            </w:r>
          </w:p>
        </w:tc>
        <w:tc>
          <w:tcPr>
            <w:tcW w:w="4082" w:type="dxa"/>
            <w:hideMark/>
          </w:tcPr>
          <w:p w14:paraId="32928854" w14:textId="77777777" w:rsidR="004D2E42" w:rsidRPr="007A3600" w:rsidRDefault="004D2E42" w:rsidP="00AD3197">
            <w:pPr>
              <w:spacing w:before="80" w:after="80"/>
              <w:rPr>
                <w:rFonts w:cs="Arial"/>
                <w:lang w:val="en-US"/>
              </w:rPr>
            </w:pPr>
            <w:r w:rsidRPr="007A3600">
              <w:rPr>
                <w:rFonts w:cs="Arial"/>
                <w:lang w:val="en-US"/>
              </w:rPr>
              <w:t>Scheme Actuary</w:t>
            </w:r>
          </w:p>
        </w:tc>
        <w:tc>
          <w:tcPr>
            <w:tcW w:w="1134" w:type="dxa"/>
            <w:hideMark/>
          </w:tcPr>
          <w:p w14:paraId="3A84D103" w14:textId="77777777" w:rsidR="004D2E42" w:rsidRPr="007A3600" w:rsidRDefault="004D2E42" w:rsidP="00AD3197">
            <w:pPr>
              <w:spacing w:before="80" w:after="80"/>
              <w:jc w:val="right"/>
              <w:rPr>
                <w:rFonts w:cs="Arial"/>
                <w:lang w:val="en-US"/>
              </w:rPr>
            </w:pPr>
            <w:r w:rsidRPr="007A3600">
              <w:rPr>
                <w:rFonts w:cs="Arial"/>
                <w:lang w:val="en-US"/>
              </w:rPr>
              <w:t>$385,118</w:t>
            </w:r>
          </w:p>
        </w:tc>
        <w:tc>
          <w:tcPr>
            <w:tcW w:w="850" w:type="dxa"/>
            <w:hideMark/>
          </w:tcPr>
          <w:p w14:paraId="14533968"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7CE1209" w14:textId="77777777" w:rsidR="004D2E42" w:rsidRPr="007A3600" w:rsidRDefault="004D2E42" w:rsidP="00AD3197">
            <w:pPr>
              <w:spacing w:before="80" w:after="80"/>
              <w:jc w:val="right"/>
              <w:rPr>
                <w:rFonts w:cs="Arial"/>
                <w:lang w:val="en-US"/>
              </w:rPr>
            </w:pPr>
            <w:r w:rsidRPr="007A3600">
              <w:rPr>
                <w:rFonts w:cs="Arial"/>
                <w:lang w:val="en-US"/>
              </w:rPr>
              <w:t>$50,032</w:t>
            </w:r>
          </w:p>
        </w:tc>
        <w:tc>
          <w:tcPr>
            <w:tcW w:w="1020" w:type="dxa"/>
            <w:hideMark/>
          </w:tcPr>
          <w:p w14:paraId="1796D982" w14:textId="77777777" w:rsidR="004D2E42" w:rsidRPr="007A3600" w:rsidRDefault="004D2E42" w:rsidP="00AD3197">
            <w:pPr>
              <w:spacing w:before="80" w:after="80"/>
              <w:jc w:val="right"/>
              <w:rPr>
                <w:rFonts w:cs="Arial"/>
                <w:lang w:val="en-US"/>
              </w:rPr>
            </w:pPr>
            <w:r w:rsidRPr="007A3600">
              <w:rPr>
                <w:rFonts w:cs="Arial"/>
                <w:lang w:val="en-US"/>
              </w:rPr>
              <w:t>$51,069</w:t>
            </w:r>
          </w:p>
        </w:tc>
        <w:tc>
          <w:tcPr>
            <w:tcW w:w="1020" w:type="dxa"/>
            <w:hideMark/>
          </w:tcPr>
          <w:p w14:paraId="11231BD5" w14:textId="77777777" w:rsidR="004D2E42" w:rsidRPr="007A3600" w:rsidRDefault="004D2E42" w:rsidP="00AD3197">
            <w:pPr>
              <w:spacing w:before="80" w:after="80"/>
              <w:jc w:val="right"/>
              <w:rPr>
                <w:rFonts w:cs="Arial"/>
                <w:lang w:val="en-US"/>
              </w:rPr>
            </w:pPr>
            <w:r w:rsidRPr="007A3600">
              <w:rPr>
                <w:rFonts w:cs="Arial"/>
                <w:lang w:val="en-US"/>
              </w:rPr>
              <w:t>$10,128</w:t>
            </w:r>
          </w:p>
        </w:tc>
        <w:tc>
          <w:tcPr>
            <w:tcW w:w="850" w:type="dxa"/>
            <w:hideMark/>
          </w:tcPr>
          <w:p w14:paraId="0AEF786C"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FEB89FF"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A19CF69" w14:textId="77777777" w:rsidR="004D2E42" w:rsidRPr="007A3600" w:rsidRDefault="004D2E42" w:rsidP="00AD3197">
            <w:pPr>
              <w:spacing w:before="80" w:after="80"/>
              <w:jc w:val="right"/>
              <w:rPr>
                <w:rFonts w:cs="Arial"/>
                <w:bCs/>
                <w:lang w:val="en-US"/>
              </w:rPr>
            </w:pPr>
            <w:r w:rsidRPr="007A3600">
              <w:rPr>
                <w:rFonts w:cs="Arial"/>
                <w:bCs/>
                <w:lang w:val="en-US"/>
              </w:rPr>
              <w:t>$496,347</w:t>
            </w:r>
          </w:p>
        </w:tc>
      </w:tr>
      <w:tr w:rsidR="00B407C5" w:rsidRPr="007A3600" w14:paraId="18B8F2B7"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3A76BA85" w14:textId="47BEBF66" w:rsidR="004D2E42" w:rsidRPr="00D13C44" w:rsidRDefault="004D2E42" w:rsidP="00AD3197">
            <w:pPr>
              <w:spacing w:before="80" w:after="80"/>
              <w:rPr>
                <w:rFonts w:cs="Arial"/>
                <w:vertAlign w:val="superscript"/>
                <w:lang w:val="en-US"/>
              </w:rPr>
            </w:pPr>
            <w:r w:rsidRPr="007A3600">
              <w:rPr>
                <w:rFonts w:cs="Arial"/>
                <w:lang w:val="en-US"/>
              </w:rPr>
              <w:t>Dr Rhonda Galbally AC</w:t>
            </w:r>
            <w:r w:rsidR="00D13C44">
              <w:rPr>
                <w:rFonts w:cs="Arial"/>
                <w:vertAlign w:val="superscript"/>
                <w:lang w:val="en-US"/>
              </w:rPr>
              <w:t>4</w:t>
            </w:r>
          </w:p>
        </w:tc>
        <w:tc>
          <w:tcPr>
            <w:tcW w:w="4082" w:type="dxa"/>
            <w:hideMark/>
          </w:tcPr>
          <w:p w14:paraId="77DE568E"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27AB886A" w14:textId="77777777" w:rsidR="004D2E42" w:rsidRPr="007A3600" w:rsidRDefault="004D2E42" w:rsidP="00AD3197">
            <w:pPr>
              <w:spacing w:before="80" w:after="80"/>
              <w:jc w:val="right"/>
              <w:rPr>
                <w:rFonts w:cs="Arial"/>
                <w:lang w:val="en-US"/>
              </w:rPr>
            </w:pPr>
            <w:r w:rsidRPr="007A3600">
              <w:rPr>
                <w:rFonts w:cs="Arial"/>
                <w:lang w:val="en-US"/>
              </w:rPr>
              <w:t>$38,533</w:t>
            </w:r>
          </w:p>
        </w:tc>
        <w:tc>
          <w:tcPr>
            <w:tcW w:w="850" w:type="dxa"/>
            <w:hideMark/>
          </w:tcPr>
          <w:p w14:paraId="7A9D03AD"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4A2F463"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A867393" w14:textId="77777777" w:rsidR="004D2E42" w:rsidRPr="007A3600" w:rsidRDefault="004D2E42" w:rsidP="00AD3197">
            <w:pPr>
              <w:spacing w:before="80" w:after="80"/>
              <w:jc w:val="right"/>
              <w:rPr>
                <w:rFonts w:cs="Arial"/>
                <w:lang w:val="en-US"/>
              </w:rPr>
            </w:pPr>
            <w:r w:rsidRPr="007A3600">
              <w:rPr>
                <w:rFonts w:cs="Arial"/>
                <w:lang w:val="en-US"/>
              </w:rPr>
              <w:t>$5,934</w:t>
            </w:r>
          </w:p>
        </w:tc>
        <w:tc>
          <w:tcPr>
            <w:tcW w:w="1020" w:type="dxa"/>
            <w:hideMark/>
          </w:tcPr>
          <w:p w14:paraId="030CA0C1"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167FB121"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3BBB0E7D"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227B78A" w14:textId="77777777" w:rsidR="004D2E42" w:rsidRPr="007A3600" w:rsidRDefault="004D2E42" w:rsidP="00AD3197">
            <w:pPr>
              <w:spacing w:before="80" w:after="80"/>
              <w:jc w:val="right"/>
              <w:rPr>
                <w:rFonts w:cs="Arial"/>
                <w:bCs/>
                <w:lang w:val="en-US"/>
              </w:rPr>
            </w:pPr>
            <w:r w:rsidRPr="007A3600">
              <w:rPr>
                <w:rFonts w:cs="Arial"/>
                <w:bCs/>
                <w:lang w:val="en-US"/>
              </w:rPr>
              <w:t>$44,467</w:t>
            </w:r>
          </w:p>
        </w:tc>
      </w:tr>
      <w:tr w:rsidR="00BC7F94" w:rsidRPr="007A3600" w14:paraId="218FD2FD" w14:textId="77777777" w:rsidTr="006A2DBD">
        <w:trPr>
          <w:trHeight w:val="289"/>
        </w:trPr>
        <w:tc>
          <w:tcPr>
            <w:tcW w:w="1814" w:type="dxa"/>
            <w:hideMark/>
          </w:tcPr>
          <w:p w14:paraId="0A441832" w14:textId="77777777" w:rsidR="004D2E42" w:rsidRPr="007A3600" w:rsidRDefault="004D2E42" w:rsidP="00AD3197">
            <w:pPr>
              <w:spacing w:before="80" w:after="80"/>
              <w:rPr>
                <w:rFonts w:cs="Arial"/>
                <w:lang w:val="en-US"/>
              </w:rPr>
            </w:pPr>
            <w:r w:rsidRPr="007A3600">
              <w:rPr>
                <w:rFonts w:cs="Arial"/>
                <w:lang w:val="en-US"/>
              </w:rPr>
              <w:t>Dr Graeme Innes AM</w:t>
            </w:r>
          </w:p>
        </w:tc>
        <w:tc>
          <w:tcPr>
            <w:tcW w:w="4082" w:type="dxa"/>
            <w:hideMark/>
          </w:tcPr>
          <w:p w14:paraId="7160F51A"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2FA7D677" w14:textId="77777777" w:rsidR="004D2E42" w:rsidRPr="007A3600" w:rsidRDefault="004D2E42" w:rsidP="00AD3197">
            <w:pPr>
              <w:spacing w:before="80" w:after="80"/>
              <w:jc w:val="right"/>
              <w:rPr>
                <w:rFonts w:cs="Arial"/>
                <w:lang w:val="en-US"/>
              </w:rPr>
            </w:pPr>
            <w:r w:rsidRPr="007A3600">
              <w:rPr>
                <w:rFonts w:cs="Arial"/>
                <w:lang w:val="en-US"/>
              </w:rPr>
              <w:t>$95,585</w:t>
            </w:r>
          </w:p>
        </w:tc>
        <w:tc>
          <w:tcPr>
            <w:tcW w:w="850" w:type="dxa"/>
            <w:hideMark/>
          </w:tcPr>
          <w:p w14:paraId="54DB5BFC"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E64BAB2"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95B2AEF" w14:textId="77777777" w:rsidR="004D2E42" w:rsidRPr="007A3600" w:rsidRDefault="004D2E42" w:rsidP="00AD3197">
            <w:pPr>
              <w:spacing w:before="80" w:after="80"/>
              <w:jc w:val="right"/>
              <w:rPr>
                <w:rFonts w:cs="Arial"/>
                <w:lang w:val="en-US"/>
              </w:rPr>
            </w:pPr>
            <w:r w:rsidRPr="007A3600">
              <w:rPr>
                <w:rFonts w:cs="Arial"/>
                <w:lang w:val="en-US"/>
              </w:rPr>
              <w:t>$14,720</w:t>
            </w:r>
          </w:p>
        </w:tc>
        <w:tc>
          <w:tcPr>
            <w:tcW w:w="1020" w:type="dxa"/>
            <w:hideMark/>
          </w:tcPr>
          <w:p w14:paraId="398AFECC"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245DA836"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380AD9C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350E5E2" w14:textId="77777777" w:rsidR="004D2E42" w:rsidRPr="007A3600" w:rsidRDefault="004D2E42" w:rsidP="00AD3197">
            <w:pPr>
              <w:spacing w:before="80" w:after="80"/>
              <w:jc w:val="right"/>
              <w:rPr>
                <w:rFonts w:cs="Arial"/>
                <w:bCs/>
                <w:lang w:val="en-US"/>
              </w:rPr>
            </w:pPr>
            <w:r w:rsidRPr="007A3600">
              <w:rPr>
                <w:rFonts w:cs="Arial"/>
                <w:bCs/>
                <w:lang w:val="en-US"/>
              </w:rPr>
              <w:t>$110,305</w:t>
            </w:r>
          </w:p>
        </w:tc>
      </w:tr>
      <w:tr w:rsidR="00B407C5" w:rsidRPr="007A3600" w14:paraId="33267F88"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259DFD1E" w14:textId="77777777" w:rsidR="004D2E42" w:rsidRPr="007A3600" w:rsidRDefault="004D2E42" w:rsidP="00AD3197">
            <w:pPr>
              <w:spacing w:before="80" w:after="80"/>
              <w:rPr>
                <w:rFonts w:cs="Arial"/>
                <w:lang w:val="en-US"/>
              </w:rPr>
            </w:pPr>
            <w:r w:rsidRPr="007A3600">
              <w:rPr>
                <w:rFonts w:cs="Arial"/>
                <w:lang w:val="en-US"/>
              </w:rPr>
              <w:lastRenderedPageBreak/>
              <w:t>Ms Penelope McKay</w:t>
            </w:r>
          </w:p>
        </w:tc>
        <w:tc>
          <w:tcPr>
            <w:tcW w:w="4082" w:type="dxa"/>
            <w:hideMark/>
          </w:tcPr>
          <w:p w14:paraId="39042D22" w14:textId="77777777" w:rsidR="004D2E42" w:rsidRPr="007A3600" w:rsidRDefault="004D2E42" w:rsidP="00AD3197">
            <w:pPr>
              <w:spacing w:before="80" w:after="80"/>
              <w:rPr>
                <w:rFonts w:cs="Arial"/>
                <w:lang w:val="en-US"/>
              </w:rPr>
            </w:pPr>
            <w:r w:rsidRPr="007A3600">
              <w:rPr>
                <w:rFonts w:cs="Arial"/>
                <w:lang w:val="en-US"/>
              </w:rPr>
              <w:t>Deputy CEO Partners, Providers and Home and Living</w:t>
            </w:r>
          </w:p>
        </w:tc>
        <w:tc>
          <w:tcPr>
            <w:tcW w:w="1134" w:type="dxa"/>
            <w:hideMark/>
          </w:tcPr>
          <w:p w14:paraId="704444E5" w14:textId="77777777" w:rsidR="004D2E42" w:rsidRPr="007A3600" w:rsidRDefault="004D2E42" w:rsidP="00AD3197">
            <w:pPr>
              <w:spacing w:before="80" w:after="80"/>
              <w:jc w:val="right"/>
              <w:rPr>
                <w:rFonts w:cs="Arial"/>
                <w:lang w:val="en-US"/>
              </w:rPr>
            </w:pPr>
            <w:r w:rsidRPr="007A3600">
              <w:rPr>
                <w:rFonts w:cs="Arial"/>
                <w:lang w:val="en-US"/>
              </w:rPr>
              <w:t>$449,828</w:t>
            </w:r>
          </w:p>
        </w:tc>
        <w:tc>
          <w:tcPr>
            <w:tcW w:w="850" w:type="dxa"/>
            <w:hideMark/>
          </w:tcPr>
          <w:p w14:paraId="0613F357"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466B04AE"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29F6A45" w14:textId="77777777" w:rsidR="004D2E42" w:rsidRPr="007A3600" w:rsidRDefault="004D2E42" w:rsidP="00AD3197">
            <w:pPr>
              <w:spacing w:before="80" w:after="80"/>
              <w:jc w:val="right"/>
              <w:rPr>
                <w:rFonts w:cs="Arial"/>
                <w:lang w:val="en-US"/>
              </w:rPr>
            </w:pPr>
            <w:r w:rsidRPr="007A3600">
              <w:rPr>
                <w:rFonts w:cs="Arial"/>
                <w:lang w:val="en-US"/>
              </w:rPr>
              <w:t>$84,351</w:t>
            </w:r>
          </w:p>
        </w:tc>
        <w:tc>
          <w:tcPr>
            <w:tcW w:w="1020" w:type="dxa"/>
            <w:hideMark/>
          </w:tcPr>
          <w:p w14:paraId="08BC917E" w14:textId="77777777" w:rsidR="004D2E42" w:rsidRPr="007A3600" w:rsidRDefault="004D2E42" w:rsidP="00AD3197">
            <w:pPr>
              <w:spacing w:before="80" w:after="80"/>
              <w:jc w:val="right"/>
              <w:rPr>
                <w:rFonts w:cs="Arial"/>
                <w:lang w:val="en-US"/>
              </w:rPr>
            </w:pPr>
            <w:r w:rsidRPr="007A3600">
              <w:rPr>
                <w:rFonts w:cs="Arial"/>
                <w:lang w:val="en-US"/>
              </w:rPr>
              <w:t>$11,602</w:t>
            </w:r>
          </w:p>
        </w:tc>
        <w:tc>
          <w:tcPr>
            <w:tcW w:w="850" w:type="dxa"/>
            <w:hideMark/>
          </w:tcPr>
          <w:p w14:paraId="452639A2"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67DD1CB"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3E63FB4" w14:textId="77777777" w:rsidR="004D2E42" w:rsidRPr="007A3600" w:rsidRDefault="004D2E42" w:rsidP="00AD3197">
            <w:pPr>
              <w:spacing w:before="80" w:after="80"/>
              <w:jc w:val="right"/>
              <w:rPr>
                <w:rFonts w:cs="Arial"/>
                <w:bCs/>
                <w:lang w:val="en-US"/>
              </w:rPr>
            </w:pPr>
            <w:r w:rsidRPr="007A3600">
              <w:rPr>
                <w:rFonts w:cs="Arial"/>
                <w:bCs/>
                <w:lang w:val="en-US"/>
              </w:rPr>
              <w:t>$545,781</w:t>
            </w:r>
          </w:p>
        </w:tc>
      </w:tr>
      <w:tr w:rsidR="00BC7F94" w:rsidRPr="007A3600" w14:paraId="3F6B7946" w14:textId="77777777" w:rsidTr="006A2DBD">
        <w:trPr>
          <w:trHeight w:val="289"/>
        </w:trPr>
        <w:tc>
          <w:tcPr>
            <w:tcW w:w="1814" w:type="dxa"/>
            <w:hideMark/>
          </w:tcPr>
          <w:p w14:paraId="66F76583" w14:textId="77777777" w:rsidR="004D2E42" w:rsidRPr="007A3600" w:rsidRDefault="004D2E42" w:rsidP="00AD3197">
            <w:pPr>
              <w:spacing w:before="80" w:after="80"/>
              <w:rPr>
                <w:rFonts w:cs="Arial"/>
                <w:lang w:val="en-US"/>
              </w:rPr>
            </w:pPr>
            <w:r w:rsidRPr="007A3600">
              <w:rPr>
                <w:rFonts w:cs="Arial"/>
                <w:lang w:val="en-US"/>
              </w:rPr>
              <w:t>Mrs Joan McKenna Kerr AM</w:t>
            </w:r>
          </w:p>
        </w:tc>
        <w:tc>
          <w:tcPr>
            <w:tcW w:w="4082" w:type="dxa"/>
            <w:hideMark/>
          </w:tcPr>
          <w:p w14:paraId="3BFE3C04"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23512EBC" w14:textId="77777777" w:rsidR="004D2E42" w:rsidRPr="007A3600" w:rsidRDefault="004D2E42" w:rsidP="00AD3197">
            <w:pPr>
              <w:spacing w:before="80" w:after="80"/>
              <w:jc w:val="right"/>
              <w:rPr>
                <w:rFonts w:cs="Arial"/>
                <w:lang w:val="en-US"/>
              </w:rPr>
            </w:pPr>
            <w:r w:rsidRPr="007A3600">
              <w:rPr>
                <w:rFonts w:cs="Arial"/>
                <w:lang w:val="en-US"/>
              </w:rPr>
              <w:t>$77,951</w:t>
            </w:r>
          </w:p>
        </w:tc>
        <w:tc>
          <w:tcPr>
            <w:tcW w:w="850" w:type="dxa"/>
            <w:hideMark/>
          </w:tcPr>
          <w:p w14:paraId="7C7AAE7F"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98533ED"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625D341" w14:textId="77777777" w:rsidR="004D2E42" w:rsidRPr="007A3600" w:rsidRDefault="004D2E42" w:rsidP="00AD3197">
            <w:pPr>
              <w:spacing w:before="80" w:after="80"/>
              <w:jc w:val="right"/>
              <w:rPr>
                <w:rFonts w:cs="Arial"/>
                <w:lang w:val="en-US"/>
              </w:rPr>
            </w:pPr>
            <w:r w:rsidRPr="007A3600">
              <w:rPr>
                <w:rFonts w:cs="Arial"/>
                <w:lang w:val="en-US"/>
              </w:rPr>
              <w:t>$12,004</w:t>
            </w:r>
          </w:p>
        </w:tc>
        <w:tc>
          <w:tcPr>
            <w:tcW w:w="1020" w:type="dxa"/>
            <w:hideMark/>
          </w:tcPr>
          <w:p w14:paraId="04263B62"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49C0DF1D"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73C4470"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E1A3B8E" w14:textId="77777777" w:rsidR="004D2E42" w:rsidRPr="007A3600" w:rsidRDefault="004D2E42" w:rsidP="00AD3197">
            <w:pPr>
              <w:spacing w:before="80" w:after="80"/>
              <w:jc w:val="right"/>
              <w:rPr>
                <w:rFonts w:cs="Arial"/>
                <w:bCs/>
                <w:lang w:val="en-US"/>
              </w:rPr>
            </w:pPr>
            <w:r w:rsidRPr="007A3600">
              <w:rPr>
                <w:rFonts w:cs="Arial"/>
                <w:bCs/>
                <w:lang w:val="en-US"/>
              </w:rPr>
              <w:t>$89,955</w:t>
            </w:r>
          </w:p>
        </w:tc>
      </w:tr>
      <w:tr w:rsidR="00B407C5" w:rsidRPr="007A3600" w14:paraId="2F119312"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19183F3C" w14:textId="7BC19853" w:rsidR="004D2E42" w:rsidRPr="00D13C44" w:rsidRDefault="004D2E42" w:rsidP="00AD3197">
            <w:pPr>
              <w:spacing w:before="80" w:after="80"/>
              <w:rPr>
                <w:rFonts w:cs="Arial"/>
                <w:vertAlign w:val="superscript"/>
                <w:lang w:val="en-US"/>
              </w:rPr>
            </w:pPr>
            <w:r w:rsidRPr="007A3600">
              <w:rPr>
                <w:rFonts w:cs="Arial"/>
                <w:lang w:val="en-US"/>
              </w:rPr>
              <w:t>Ms Correa McKenzie</w:t>
            </w:r>
            <w:r w:rsidR="00D13C44">
              <w:rPr>
                <w:rFonts w:cs="Arial"/>
                <w:vertAlign w:val="superscript"/>
                <w:lang w:val="en-US"/>
              </w:rPr>
              <w:t>5</w:t>
            </w:r>
          </w:p>
        </w:tc>
        <w:tc>
          <w:tcPr>
            <w:tcW w:w="4082" w:type="dxa"/>
            <w:hideMark/>
          </w:tcPr>
          <w:p w14:paraId="523E9B3D" w14:textId="77777777" w:rsidR="004D2E42" w:rsidRPr="007A3600" w:rsidRDefault="004D2E42" w:rsidP="00AD3197">
            <w:pPr>
              <w:spacing w:before="80" w:after="80"/>
              <w:rPr>
                <w:rFonts w:cs="Arial"/>
                <w:lang w:val="en-US"/>
              </w:rPr>
            </w:pPr>
            <w:r w:rsidRPr="007A3600">
              <w:rPr>
                <w:rFonts w:cs="Arial"/>
                <w:lang w:val="en-US"/>
              </w:rPr>
              <w:t>Deputy CEO Service Design and Improvement</w:t>
            </w:r>
          </w:p>
        </w:tc>
        <w:tc>
          <w:tcPr>
            <w:tcW w:w="1134" w:type="dxa"/>
            <w:hideMark/>
          </w:tcPr>
          <w:p w14:paraId="46D66713" w14:textId="77777777" w:rsidR="004D2E42" w:rsidRPr="007A3600" w:rsidRDefault="004D2E42" w:rsidP="00AD3197">
            <w:pPr>
              <w:spacing w:before="80" w:after="80"/>
              <w:jc w:val="right"/>
              <w:rPr>
                <w:rFonts w:cs="Arial"/>
                <w:lang w:val="en-US"/>
              </w:rPr>
            </w:pPr>
            <w:r w:rsidRPr="007A3600">
              <w:rPr>
                <w:rFonts w:cs="Arial"/>
                <w:lang w:val="en-US"/>
              </w:rPr>
              <w:t>$424,445</w:t>
            </w:r>
          </w:p>
        </w:tc>
        <w:tc>
          <w:tcPr>
            <w:tcW w:w="850" w:type="dxa"/>
            <w:hideMark/>
          </w:tcPr>
          <w:p w14:paraId="2A3D1DAB"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5A7F3D4"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741C32A" w14:textId="77777777" w:rsidR="004D2E42" w:rsidRPr="007A3600" w:rsidRDefault="004D2E42" w:rsidP="00AD3197">
            <w:pPr>
              <w:spacing w:before="80" w:after="80"/>
              <w:jc w:val="right"/>
              <w:rPr>
                <w:rFonts w:cs="Arial"/>
                <w:lang w:val="en-US"/>
              </w:rPr>
            </w:pPr>
            <w:r w:rsidRPr="007A3600">
              <w:rPr>
                <w:rFonts w:cs="Arial"/>
                <w:lang w:val="en-US"/>
              </w:rPr>
              <w:t>$48,832</w:t>
            </w:r>
          </w:p>
        </w:tc>
        <w:tc>
          <w:tcPr>
            <w:tcW w:w="1020" w:type="dxa"/>
            <w:hideMark/>
          </w:tcPr>
          <w:p w14:paraId="50E8F01C" w14:textId="77777777" w:rsidR="004D2E42" w:rsidRPr="007A3600" w:rsidRDefault="004D2E42" w:rsidP="00AD3197">
            <w:pPr>
              <w:spacing w:before="80" w:after="80"/>
              <w:jc w:val="right"/>
              <w:rPr>
                <w:rFonts w:cs="Arial"/>
                <w:lang w:val="en-US"/>
              </w:rPr>
            </w:pPr>
            <w:r w:rsidRPr="007A3600">
              <w:rPr>
                <w:rFonts w:cs="Arial"/>
                <w:lang w:val="en-US"/>
              </w:rPr>
              <w:t>$10,917</w:t>
            </w:r>
          </w:p>
        </w:tc>
        <w:tc>
          <w:tcPr>
            <w:tcW w:w="850" w:type="dxa"/>
            <w:hideMark/>
          </w:tcPr>
          <w:p w14:paraId="1350317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685C300"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54968FA5" w14:textId="77777777" w:rsidR="004D2E42" w:rsidRPr="007A3600" w:rsidRDefault="004D2E42" w:rsidP="00AD3197">
            <w:pPr>
              <w:spacing w:before="80" w:after="80"/>
              <w:jc w:val="right"/>
              <w:rPr>
                <w:rFonts w:cs="Arial"/>
                <w:bCs/>
                <w:lang w:val="en-US"/>
              </w:rPr>
            </w:pPr>
            <w:r w:rsidRPr="007A3600">
              <w:rPr>
                <w:rFonts w:cs="Arial"/>
                <w:bCs/>
                <w:lang w:val="en-US"/>
              </w:rPr>
              <w:t>$484,194</w:t>
            </w:r>
          </w:p>
        </w:tc>
      </w:tr>
      <w:tr w:rsidR="00BC7F94" w:rsidRPr="007A3600" w14:paraId="6698C9E7" w14:textId="77777777" w:rsidTr="006A2DBD">
        <w:trPr>
          <w:trHeight w:val="289"/>
        </w:trPr>
        <w:tc>
          <w:tcPr>
            <w:tcW w:w="1814" w:type="dxa"/>
            <w:hideMark/>
          </w:tcPr>
          <w:p w14:paraId="5043E31E" w14:textId="4CFD940C" w:rsidR="004D2E42" w:rsidRPr="00D13C44" w:rsidRDefault="004D2E42" w:rsidP="00AD3197">
            <w:pPr>
              <w:spacing w:before="80" w:after="80"/>
              <w:rPr>
                <w:rFonts w:cs="Arial"/>
                <w:vertAlign w:val="superscript"/>
                <w:lang w:val="en-US"/>
              </w:rPr>
            </w:pPr>
            <w:r w:rsidRPr="007A3600">
              <w:rPr>
                <w:rFonts w:cs="Arial"/>
                <w:lang w:val="en-US"/>
              </w:rPr>
              <w:t>Mr Scott McNaughton</w:t>
            </w:r>
            <w:r w:rsidR="00D13C44">
              <w:rPr>
                <w:rFonts w:cs="Arial"/>
                <w:vertAlign w:val="superscript"/>
                <w:lang w:val="en-US"/>
              </w:rPr>
              <w:t>6</w:t>
            </w:r>
          </w:p>
        </w:tc>
        <w:tc>
          <w:tcPr>
            <w:tcW w:w="4082" w:type="dxa"/>
            <w:hideMark/>
          </w:tcPr>
          <w:p w14:paraId="576CDDF9" w14:textId="77777777" w:rsidR="004D2E42" w:rsidRPr="007A3600" w:rsidRDefault="004D2E42" w:rsidP="00AD3197">
            <w:pPr>
              <w:spacing w:before="80" w:after="80"/>
              <w:rPr>
                <w:rFonts w:cs="Arial"/>
                <w:lang w:val="en-US"/>
              </w:rPr>
            </w:pPr>
            <w:r w:rsidRPr="007A3600">
              <w:rPr>
                <w:rFonts w:cs="Arial"/>
                <w:lang w:val="en-US"/>
              </w:rPr>
              <w:t>Deputy CEO Service Delivery</w:t>
            </w:r>
          </w:p>
        </w:tc>
        <w:tc>
          <w:tcPr>
            <w:tcW w:w="1134" w:type="dxa"/>
            <w:hideMark/>
          </w:tcPr>
          <w:p w14:paraId="068C7EC4" w14:textId="77777777" w:rsidR="004D2E42" w:rsidRPr="007A3600" w:rsidRDefault="004D2E42" w:rsidP="00AD3197">
            <w:pPr>
              <w:spacing w:before="80" w:after="80"/>
              <w:jc w:val="right"/>
              <w:rPr>
                <w:rFonts w:cs="Arial"/>
                <w:lang w:val="en-US"/>
              </w:rPr>
            </w:pPr>
            <w:r w:rsidRPr="007A3600">
              <w:rPr>
                <w:rFonts w:cs="Arial"/>
                <w:lang w:val="en-US"/>
              </w:rPr>
              <w:t>$396,019</w:t>
            </w:r>
          </w:p>
        </w:tc>
        <w:tc>
          <w:tcPr>
            <w:tcW w:w="850" w:type="dxa"/>
            <w:hideMark/>
          </w:tcPr>
          <w:p w14:paraId="56E7C87E"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50378D2"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413ECB1C" w14:textId="77777777" w:rsidR="004D2E42" w:rsidRPr="007A3600" w:rsidRDefault="004D2E42" w:rsidP="00AD3197">
            <w:pPr>
              <w:spacing w:before="80" w:after="80"/>
              <w:jc w:val="right"/>
              <w:rPr>
                <w:rFonts w:cs="Arial"/>
                <w:lang w:val="en-US"/>
              </w:rPr>
            </w:pPr>
            <w:r w:rsidRPr="007A3600">
              <w:rPr>
                <w:rFonts w:cs="Arial"/>
                <w:lang w:val="en-US"/>
              </w:rPr>
              <w:t>$78,725</w:t>
            </w:r>
          </w:p>
        </w:tc>
        <w:tc>
          <w:tcPr>
            <w:tcW w:w="1020" w:type="dxa"/>
            <w:hideMark/>
          </w:tcPr>
          <w:p w14:paraId="2102BB34" w14:textId="77777777" w:rsidR="004D2E42" w:rsidRPr="007A3600" w:rsidRDefault="004D2E42" w:rsidP="00AD3197">
            <w:pPr>
              <w:spacing w:before="80" w:after="80"/>
              <w:jc w:val="right"/>
              <w:rPr>
                <w:rFonts w:cs="Arial"/>
                <w:lang w:val="en-US"/>
              </w:rPr>
            </w:pPr>
            <w:r w:rsidRPr="007A3600">
              <w:rPr>
                <w:rFonts w:cs="Arial"/>
                <w:lang w:val="en-US"/>
              </w:rPr>
              <w:t>$10,883</w:t>
            </w:r>
          </w:p>
        </w:tc>
        <w:tc>
          <w:tcPr>
            <w:tcW w:w="850" w:type="dxa"/>
            <w:hideMark/>
          </w:tcPr>
          <w:p w14:paraId="00D47F0E"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731AE24C"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9686FE0" w14:textId="77777777" w:rsidR="004D2E42" w:rsidRPr="007A3600" w:rsidRDefault="004D2E42" w:rsidP="00AD3197">
            <w:pPr>
              <w:spacing w:before="80" w:after="80"/>
              <w:jc w:val="right"/>
              <w:rPr>
                <w:rFonts w:cs="Arial"/>
                <w:bCs/>
                <w:lang w:val="en-US"/>
              </w:rPr>
            </w:pPr>
            <w:r w:rsidRPr="007A3600">
              <w:rPr>
                <w:rFonts w:cs="Arial"/>
                <w:bCs/>
                <w:lang w:val="en-US"/>
              </w:rPr>
              <w:t>$485,627</w:t>
            </w:r>
          </w:p>
        </w:tc>
      </w:tr>
      <w:tr w:rsidR="00B407C5" w:rsidRPr="007A3600" w14:paraId="7870AA16"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0E86817B" w14:textId="37257FC7" w:rsidR="004D2E42" w:rsidRPr="00D13C44" w:rsidRDefault="004D2E42" w:rsidP="00AD3197">
            <w:pPr>
              <w:spacing w:before="80" w:after="80"/>
              <w:rPr>
                <w:rFonts w:cs="Arial"/>
                <w:vertAlign w:val="superscript"/>
                <w:lang w:val="en-US"/>
              </w:rPr>
            </w:pPr>
            <w:r w:rsidRPr="007A3600">
              <w:rPr>
                <w:rFonts w:cs="Arial"/>
                <w:lang w:val="en-US"/>
              </w:rPr>
              <w:t>Ms Debbie Mitchell</w:t>
            </w:r>
            <w:r w:rsidR="00D13C44">
              <w:rPr>
                <w:rFonts w:cs="Arial"/>
                <w:vertAlign w:val="superscript"/>
                <w:lang w:val="en-US"/>
              </w:rPr>
              <w:t>7</w:t>
            </w:r>
          </w:p>
        </w:tc>
        <w:tc>
          <w:tcPr>
            <w:tcW w:w="4082" w:type="dxa"/>
            <w:hideMark/>
          </w:tcPr>
          <w:p w14:paraId="59220800" w14:textId="77777777" w:rsidR="004D2E42" w:rsidRPr="007A3600" w:rsidRDefault="004D2E42" w:rsidP="00AD3197">
            <w:pPr>
              <w:spacing w:before="80" w:after="80"/>
              <w:rPr>
                <w:rFonts w:cs="Arial"/>
                <w:lang w:val="en-US"/>
              </w:rPr>
            </w:pPr>
            <w:r w:rsidRPr="007A3600">
              <w:rPr>
                <w:rFonts w:cs="Arial"/>
                <w:lang w:val="en-US"/>
              </w:rPr>
              <w:t>Deputy CEO Governance, Risk and Legal</w:t>
            </w:r>
          </w:p>
        </w:tc>
        <w:tc>
          <w:tcPr>
            <w:tcW w:w="1134" w:type="dxa"/>
            <w:hideMark/>
          </w:tcPr>
          <w:p w14:paraId="0999CA4F" w14:textId="77777777" w:rsidR="004D2E42" w:rsidRPr="007A3600" w:rsidRDefault="004D2E42" w:rsidP="00AD3197">
            <w:pPr>
              <w:spacing w:before="80" w:after="80"/>
              <w:jc w:val="right"/>
              <w:rPr>
                <w:rFonts w:cs="Arial"/>
                <w:lang w:val="en-US"/>
              </w:rPr>
            </w:pPr>
            <w:r w:rsidRPr="007A3600">
              <w:rPr>
                <w:rFonts w:cs="Arial"/>
                <w:lang w:val="en-US"/>
              </w:rPr>
              <w:t>$17,658</w:t>
            </w:r>
          </w:p>
        </w:tc>
        <w:tc>
          <w:tcPr>
            <w:tcW w:w="850" w:type="dxa"/>
            <w:hideMark/>
          </w:tcPr>
          <w:p w14:paraId="6BF2F829"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63273753"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28263DC" w14:textId="77777777" w:rsidR="004D2E42" w:rsidRPr="007A3600" w:rsidRDefault="004D2E42" w:rsidP="00AD3197">
            <w:pPr>
              <w:spacing w:before="80" w:after="80"/>
              <w:jc w:val="right"/>
              <w:rPr>
                <w:rFonts w:cs="Arial"/>
                <w:lang w:val="en-US"/>
              </w:rPr>
            </w:pPr>
            <w:r w:rsidRPr="007A3600">
              <w:rPr>
                <w:rFonts w:cs="Arial"/>
                <w:lang w:val="en-US"/>
              </w:rPr>
              <w:t>$2,597</w:t>
            </w:r>
          </w:p>
        </w:tc>
        <w:tc>
          <w:tcPr>
            <w:tcW w:w="1020" w:type="dxa"/>
            <w:hideMark/>
          </w:tcPr>
          <w:p w14:paraId="0F3DE0AB" w14:textId="77777777" w:rsidR="004D2E42" w:rsidRPr="007A3600" w:rsidRDefault="004D2E42" w:rsidP="00AD3197">
            <w:pPr>
              <w:spacing w:before="80" w:after="80"/>
              <w:jc w:val="right"/>
              <w:rPr>
                <w:rFonts w:cs="Arial"/>
                <w:lang w:val="en-US"/>
              </w:rPr>
            </w:pPr>
            <w:r w:rsidRPr="007A3600">
              <w:rPr>
                <w:rFonts w:cs="Arial"/>
                <w:lang w:val="en-US"/>
              </w:rPr>
              <w:t>$421</w:t>
            </w:r>
          </w:p>
        </w:tc>
        <w:tc>
          <w:tcPr>
            <w:tcW w:w="850" w:type="dxa"/>
            <w:hideMark/>
          </w:tcPr>
          <w:p w14:paraId="53E0A96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CCFD7D7" w14:textId="77777777" w:rsidR="004D2E42" w:rsidRPr="007A3600" w:rsidRDefault="004D2E42" w:rsidP="00AD3197">
            <w:pPr>
              <w:spacing w:before="80" w:after="80"/>
              <w:jc w:val="right"/>
              <w:rPr>
                <w:rFonts w:cs="Arial"/>
                <w:lang w:val="en-US"/>
              </w:rPr>
            </w:pPr>
            <w:r w:rsidRPr="007A3600">
              <w:rPr>
                <w:rFonts w:cs="Arial"/>
                <w:lang w:val="en-US"/>
              </w:rPr>
              <w:t>$434,520</w:t>
            </w:r>
          </w:p>
        </w:tc>
        <w:tc>
          <w:tcPr>
            <w:tcW w:w="1134" w:type="dxa"/>
            <w:hideMark/>
          </w:tcPr>
          <w:p w14:paraId="7C9843DF" w14:textId="77777777" w:rsidR="004D2E42" w:rsidRPr="007A3600" w:rsidRDefault="004D2E42" w:rsidP="00AD3197">
            <w:pPr>
              <w:spacing w:before="80" w:after="80"/>
              <w:jc w:val="right"/>
              <w:rPr>
                <w:rFonts w:cs="Arial"/>
                <w:bCs/>
                <w:lang w:val="en-US"/>
              </w:rPr>
            </w:pPr>
            <w:r w:rsidRPr="007A3600">
              <w:rPr>
                <w:rFonts w:cs="Arial"/>
                <w:bCs/>
                <w:lang w:val="en-US"/>
              </w:rPr>
              <w:t>$455,196</w:t>
            </w:r>
          </w:p>
        </w:tc>
      </w:tr>
      <w:tr w:rsidR="00BC7F94" w:rsidRPr="007A3600" w14:paraId="3B766D70" w14:textId="77777777" w:rsidTr="006A2DBD">
        <w:trPr>
          <w:trHeight w:val="289"/>
        </w:trPr>
        <w:tc>
          <w:tcPr>
            <w:tcW w:w="1814" w:type="dxa"/>
            <w:hideMark/>
          </w:tcPr>
          <w:p w14:paraId="1539F360" w14:textId="77777777" w:rsidR="004D2E42" w:rsidRPr="007A3600" w:rsidRDefault="004D2E42" w:rsidP="00AD3197">
            <w:pPr>
              <w:spacing w:before="80" w:after="80"/>
              <w:rPr>
                <w:rFonts w:cs="Arial"/>
                <w:lang w:val="en-US"/>
              </w:rPr>
            </w:pPr>
            <w:r w:rsidRPr="007A3600">
              <w:rPr>
                <w:rFonts w:cs="Arial"/>
                <w:lang w:val="en-US"/>
              </w:rPr>
              <w:t>Ms Janine Marine Mohamed</w:t>
            </w:r>
          </w:p>
        </w:tc>
        <w:tc>
          <w:tcPr>
            <w:tcW w:w="4082" w:type="dxa"/>
            <w:hideMark/>
          </w:tcPr>
          <w:p w14:paraId="6B3A5435" w14:textId="77777777" w:rsidR="004D2E42" w:rsidRPr="007A3600" w:rsidRDefault="004D2E42" w:rsidP="00AD3197">
            <w:pPr>
              <w:spacing w:before="80" w:after="80"/>
              <w:rPr>
                <w:rFonts w:cs="Arial"/>
                <w:lang w:val="en-US"/>
              </w:rPr>
            </w:pPr>
            <w:r w:rsidRPr="007A3600">
              <w:rPr>
                <w:rFonts w:cs="Arial"/>
                <w:lang w:val="en-US"/>
              </w:rPr>
              <w:t>Deputy CEO First Nations</w:t>
            </w:r>
          </w:p>
        </w:tc>
        <w:tc>
          <w:tcPr>
            <w:tcW w:w="1134" w:type="dxa"/>
            <w:hideMark/>
          </w:tcPr>
          <w:p w14:paraId="37BD6725" w14:textId="77777777" w:rsidR="004D2E42" w:rsidRPr="007A3600" w:rsidRDefault="004D2E42" w:rsidP="00AD3197">
            <w:pPr>
              <w:spacing w:before="80" w:after="80"/>
              <w:jc w:val="right"/>
              <w:rPr>
                <w:rFonts w:cs="Arial"/>
                <w:lang w:val="en-US"/>
              </w:rPr>
            </w:pPr>
            <w:r w:rsidRPr="007A3600">
              <w:rPr>
                <w:rFonts w:cs="Arial"/>
                <w:lang w:val="en-US"/>
              </w:rPr>
              <w:t>$423,028</w:t>
            </w:r>
          </w:p>
        </w:tc>
        <w:tc>
          <w:tcPr>
            <w:tcW w:w="850" w:type="dxa"/>
            <w:hideMark/>
          </w:tcPr>
          <w:p w14:paraId="782AD3E0"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E0F259F"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4623184F" w14:textId="77777777" w:rsidR="004D2E42" w:rsidRPr="007A3600" w:rsidRDefault="004D2E42" w:rsidP="00AD3197">
            <w:pPr>
              <w:spacing w:before="80" w:after="80"/>
              <w:jc w:val="right"/>
              <w:rPr>
                <w:rFonts w:cs="Arial"/>
                <w:lang w:val="en-US"/>
              </w:rPr>
            </w:pPr>
            <w:r w:rsidRPr="007A3600">
              <w:rPr>
                <w:rFonts w:cs="Arial"/>
                <w:lang w:val="en-US"/>
              </w:rPr>
              <w:t>$66,478</w:t>
            </w:r>
          </w:p>
        </w:tc>
        <w:tc>
          <w:tcPr>
            <w:tcW w:w="1020" w:type="dxa"/>
            <w:hideMark/>
          </w:tcPr>
          <w:p w14:paraId="4B68567B" w14:textId="77777777" w:rsidR="004D2E42" w:rsidRPr="007A3600" w:rsidRDefault="004D2E42" w:rsidP="00AD3197">
            <w:pPr>
              <w:spacing w:before="80" w:after="80"/>
              <w:jc w:val="right"/>
              <w:rPr>
                <w:rFonts w:cs="Arial"/>
                <w:lang w:val="en-US"/>
              </w:rPr>
            </w:pPr>
            <w:r w:rsidRPr="007A3600">
              <w:rPr>
                <w:rFonts w:cs="Arial"/>
                <w:lang w:val="en-US"/>
              </w:rPr>
              <w:t>$10,946</w:t>
            </w:r>
          </w:p>
        </w:tc>
        <w:tc>
          <w:tcPr>
            <w:tcW w:w="850" w:type="dxa"/>
            <w:hideMark/>
          </w:tcPr>
          <w:p w14:paraId="7CCA86F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0A8D394"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7C9956D" w14:textId="77777777" w:rsidR="004D2E42" w:rsidRPr="007A3600" w:rsidRDefault="004D2E42" w:rsidP="00AD3197">
            <w:pPr>
              <w:spacing w:before="80" w:after="80"/>
              <w:jc w:val="right"/>
              <w:rPr>
                <w:rFonts w:cs="Arial"/>
                <w:bCs/>
                <w:lang w:val="en-US"/>
              </w:rPr>
            </w:pPr>
            <w:r w:rsidRPr="007A3600">
              <w:rPr>
                <w:rFonts w:cs="Arial"/>
                <w:bCs/>
                <w:lang w:val="en-US"/>
              </w:rPr>
              <w:t>$500,452</w:t>
            </w:r>
          </w:p>
        </w:tc>
      </w:tr>
      <w:tr w:rsidR="00B407C5" w:rsidRPr="007A3600" w14:paraId="474F0D4D"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495123C6" w14:textId="77777777" w:rsidR="004D2E42" w:rsidRPr="007A3600" w:rsidRDefault="004D2E42" w:rsidP="00AD3197">
            <w:pPr>
              <w:spacing w:before="80" w:after="80"/>
              <w:rPr>
                <w:rFonts w:cs="Arial"/>
                <w:lang w:val="en-US"/>
              </w:rPr>
            </w:pPr>
            <w:r w:rsidRPr="007A3600">
              <w:rPr>
                <w:rFonts w:cs="Arial"/>
                <w:lang w:val="en-US"/>
              </w:rPr>
              <w:lastRenderedPageBreak/>
              <w:t>Dr Denis Napthine AO</w:t>
            </w:r>
          </w:p>
        </w:tc>
        <w:tc>
          <w:tcPr>
            <w:tcW w:w="4082" w:type="dxa"/>
            <w:hideMark/>
          </w:tcPr>
          <w:p w14:paraId="48D644B6"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5F16D587" w14:textId="77777777" w:rsidR="004D2E42" w:rsidRPr="007A3600" w:rsidRDefault="004D2E42" w:rsidP="00AD3197">
            <w:pPr>
              <w:spacing w:before="80" w:after="80"/>
              <w:jc w:val="right"/>
              <w:rPr>
                <w:rFonts w:cs="Arial"/>
                <w:lang w:val="en-US"/>
              </w:rPr>
            </w:pPr>
            <w:r w:rsidRPr="007A3600">
              <w:rPr>
                <w:rFonts w:cs="Arial"/>
                <w:lang w:val="en-US"/>
              </w:rPr>
              <w:t>$62,009</w:t>
            </w:r>
          </w:p>
        </w:tc>
        <w:tc>
          <w:tcPr>
            <w:tcW w:w="850" w:type="dxa"/>
            <w:hideMark/>
          </w:tcPr>
          <w:p w14:paraId="0A0A8CF7"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1CE88F1"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B685BA4" w14:textId="77777777" w:rsidR="004D2E42" w:rsidRPr="007A3600" w:rsidRDefault="004D2E42" w:rsidP="00AD3197">
            <w:pPr>
              <w:spacing w:before="80" w:after="80"/>
              <w:jc w:val="right"/>
              <w:rPr>
                <w:rFonts w:cs="Arial"/>
                <w:lang w:val="en-US"/>
              </w:rPr>
            </w:pPr>
            <w:r w:rsidRPr="007A3600">
              <w:rPr>
                <w:rFonts w:cs="Arial"/>
                <w:lang w:val="en-US"/>
              </w:rPr>
              <w:t>$9,549</w:t>
            </w:r>
          </w:p>
        </w:tc>
        <w:tc>
          <w:tcPr>
            <w:tcW w:w="1020" w:type="dxa"/>
            <w:hideMark/>
          </w:tcPr>
          <w:p w14:paraId="6D909777"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5F0F97DB"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74418E7D"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2043AC3" w14:textId="77777777" w:rsidR="004D2E42" w:rsidRPr="007A3600" w:rsidRDefault="004D2E42" w:rsidP="00AD3197">
            <w:pPr>
              <w:spacing w:before="80" w:after="80"/>
              <w:jc w:val="right"/>
              <w:rPr>
                <w:rFonts w:cs="Arial"/>
                <w:bCs/>
                <w:lang w:val="en-US"/>
              </w:rPr>
            </w:pPr>
            <w:r w:rsidRPr="007A3600">
              <w:rPr>
                <w:rFonts w:cs="Arial"/>
                <w:bCs/>
                <w:lang w:val="en-US"/>
              </w:rPr>
              <w:t>$71,558</w:t>
            </w:r>
          </w:p>
        </w:tc>
      </w:tr>
      <w:tr w:rsidR="00BC7F94" w:rsidRPr="007A3600" w14:paraId="5D60CFAA" w14:textId="77777777" w:rsidTr="006A2DBD">
        <w:trPr>
          <w:trHeight w:val="289"/>
        </w:trPr>
        <w:tc>
          <w:tcPr>
            <w:tcW w:w="1814" w:type="dxa"/>
            <w:hideMark/>
          </w:tcPr>
          <w:p w14:paraId="3EBE213C" w14:textId="77777777" w:rsidR="004D2E42" w:rsidRPr="007A3600" w:rsidRDefault="004D2E42" w:rsidP="00AD3197">
            <w:pPr>
              <w:spacing w:before="80" w:after="80"/>
              <w:rPr>
                <w:rFonts w:cs="Arial"/>
                <w:lang w:val="en-US"/>
              </w:rPr>
            </w:pPr>
            <w:r w:rsidRPr="007A3600">
              <w:rPr>
                <w:rFonts w:cs="Arial"/>
                <w:lang w:val="en-US"/>
              </w:rPr>
              <w:t>Ms Estelle Pearson</w:t>
            </w:r>
          </w:p>
        </w:tc>
        <w:tc>
          <w:tcPr>
            <w:tcW w:w="4082" w:type="dxa"/>
            <w:hideMark/>
          </w:tcPr>
          <w:p w14:paraId="1F0DC19B"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6DC923BC" w14:textId="77777777" w:rsidR="004D2E42" w:rsidRPr="007A3600" w:rsidRDefault="004D2E42" w:rsidP="00AD3197">
            <w:pPr>
              <w:spacing w:before="80" w:after="80"/>
              <w:jc w:val="right"/>
              <w:rPr>
                <w:rFonts w:cs="Arial"/>
                <w:lang w:val="en-US"/>
              </w:rPr>
            </w:pPr>
            <w:r w:rsidRPr="007A3600">
              <w:rPr>
                <w:rFonts w:cs="Arial"/>
                <w:lang w:val="en-US"/>
              </w:rPr>
              <w:t>$90,783</w:t>
            </w:r>
          </w:p>
        </w:tc>
        <w:tc>
          <w:tcPr>
            <w:tcW w:w="850" w:type="dxa"/>
            <w:hideMark/>
          </w:tcPr>
          <w:p w14:paraId="586CC7A0"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6033275B"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579ACEB" w14:textId="77777777" w:rsidR="004D2E42" w:rsidRPr="007A3600" w:rsidRDefault="004D2E42" w:rsidP="00AD3197">
            <w:pPr>
              <w:spacing w:before="80" w:after="80"/>
              <w:jc w:val="right"/>
              <w:rPr>
                <w:rFonts w:cs="Arial"/>
                <w:lang w:val="en-US"/>
              </w:rPr>
            </w:pPr>
            <w:r w:rsidRPr="007A3600">
              <w:rPr>
                <w:rFonts w:cs="Arial"/>
                <w:lang w:val="en-US"/>
              </w:rPr>
              <w:t>$13,743</w:t>
            </w:r>
          </w:p>
        </w:tc>
        <w:tc>
          <w:tcPr>
            <w:tcW w:w="1020" w:type="dxa"/>
            <w:hideMark/>
          </w:tcPr>
          <w:p w14:paraId="47EB8B90"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3255E52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244430AE"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70C4931" w14:textId="77777777" w:rsidR="004D2E42" w:rsidRPr="007A3600" w:rsidRDefault="004D2E42" w:rsidP="00AD3197">
            <w:pPr>
              <w:spacing w:before="80" w:after="80"/>
              <w:jc w:val="right"/>
              <w:rPr>
                <w:rFonts w:cs="Arial"/>
                <w:bCs/>
                <w:lang w:val="en-US"/>
              </w:rPr>
            </w:pPr>
            <w:r w:rsidRPr="007A3600">
              <w:rPr>
                <w:rFonts w:cs="Arial"/>
                <w:bCs/>
                <w:lang w:val="en-US"/>
              </w:rPr>
              <w:t>$104,526</w:t>
            </w:r>
          </w:p>
        </w:tc>
      </w:tr>
      <w:tr w:rsidR="00B407C5" w:rsidRPr="007A3600" w14:paraId="1FB4BD06"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660B980E" w14:textId="77777777" w:rsidR="004D2E42" w:rsidRPr="007A3600" w:rsidRDefault="004D2E42" w:rsidP="00AD3197">
            <w:pPr>
              <w:spacing w:before="80" w:after="80"/>
              <w:rPr>
                <w:rFonts w:cs="Arial"/>
                <w:lang w:val="en-US"/>
              </w:rPr>
            </w:pPr>
            <w:r w:rsidRPr="007A3600">
              <w:rPr>
                <w:rFonts w:cs="Arial"/>
                <w:lang w:val="en-US"/>
              </w:rPr>
              <w:t>Mr Samuel Porter</w:t>
            </w:r>
          </w:p>
        </w:tc>
        <w:tc>
          <w:tcPr>
            <w:tcW w:w="4082" w:type="dxa"/>
            <w:hideMark/>
          </w:tcPr>
          <w:p w14:paraId="65D52F1E" w14:textId="77777777" w:rsidR="004D2E42" w:rsidRPr="007A3600" w:rsidRDefault="004D2E42" w:rsidP="00AD3197">
            <w:pPr>
              <w:spacing w:before="80" w:after="80"/>
              <w:rPr>
                <w:rFonts w:cs="Arial"/>
                <w:lang w:val="en-US"/>
              </w:rPr>
            </w:pPr>
            <w:r w:rsidRPr="007A3600">
              <w:rPr>
                <w:rFonts w:cs="Arial"/>
                <w:lang w:val="en-US"/>
              </w:rPr>
              <w:t>Deputy CEO Enabling Services/ Chief Operating Officer</w:t>
            </w:r>
          </w:p>
        </w:tc>
        <w:tc>
          <w:tcPr>
            <w:tcW w:w="1134" w:type="dxa"/>
            <w:hideMark/>
          </w:tcPr>
          <w:p w14:paraId="3E7D9087" w14:textId="77777777" w:rsidR="004D2E42" w:rsidRPr="007A3600" w:rsidRDefault="004D2E42" w:rsidP="00AD3197">
            <w:pPr>
              <w:spacing w:before="80" w:after="80"/>
              <w:jc w:val="right"/>
              <w:rPr>
                <w:rFonts w:cs="Arial"/>
                <w:lang w:val="en-US"/>
              </w:rPr>
            </w:pPr>
            <w:r w:rsidRPr="007A3600">
              <w:rPr>
                <w:rFonts w:cs="Arial"/>
                <w:lang w:val="en-US"/>
              </w:rPr>
              <w:t>$477,166</w:t>
            </w:r>
          </w:p>
        </w:tc>
        <w:tc>
          <w:tcPr>
            <w:tcW w:w="850" w:type="dxa"/>
            <w:hideMark/>
          </w:tcPr>
          <w:p w14:paraId="721E63D5"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2E8C596"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6F0D1DB" w14:textId="77777777" w:rsidR="004D2E42" w:rsidRPr="007A3600" w:rsidRDefault="004D2E42" w:rsidP="00AD3197">
            <w:pPr>
              <w:spacing w:before="80" w:after="80"/>
              <w:jc w:val="right"/>
              <w:rPr>
                <w:rFonts w:cs="Arial"/>
                <w:lang w:val="en-US"/>
              </w:rPr>
            </w:pPr>
            <w:r w:rsidRPr="007A3600">
              <w:rPr>
                <w:rFonts w:cs="Arial"/>
                <w:lang w:val="en-US"/>
              </w:rPr>
              <w:t>$30,115</w:t>
            </w:r>
          </w:p>
        </w:tc>
        <w:tc>
          <w:tcPr>
            <w:tcW w:w="1020" w:type="dxa"/>
            <w:hideMark/>
          </w:tcPr>
          <w:p w14:paraId="5FAF612D" w14:textId="77777777" w:rsidR="004D2E42" w:rsidRPr="007A3600" w:rsidRDefault="004D2E42" w:rsidP="00AD3197">
            <w:pPr>
              <w:spacing w:before="80" w:after="80"/>
              <w:jc w:val="right"/>
              <w:rPr>
                <w:rFonts w:cs="Arial"/>
                <w:lang w:val="en-US"/>
              </w:rPr>
            </w:pPr>
            <w:r w:rsidRPr="007A3600">
              <w:rPr>
                <w:rFonts w:cs="Arial"/>
                <w:lang w:val="en-US"/>
              </w:rPr>
              <w:t>$12,528</w:t>
            </w:r>
          </w:p>
        </w:tc>
        <w:tc>
          <w:tcPr>
            <w:tcW w:w="850" w:type="dxa"/>
            <w:hideMark/>
          </w:tcPr>
          <w:p w14:paraId="662FD20A"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5399A98A"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490A0027" w14:textId="77777777" w:rsidR="004D2E42" w:rsidRPr="007A3600" w:rsidRDefault="004D2E42" w:rsidP="00AD3197">
            <w:pPr>
              <w:spacing w:before="80" w:after="80"/>
              <w:jc w:val="right"/>
              <w:rPr>
                <w:rFonts w:cs="Arial"/>
                <w:bCs/>
                <w:lang w:val="en-US"/>
              </w:rPr>
            </w:pPr>
            <w:r w:rsidRPr="007A3600">
              <w:rPr>
                <w:rFonts w:cs="Arial"/>
                <w:bCs/>
                <w:lang w:val="en-US"/>
              </w:rPr>
              <w:t>$519,809</w:t>
            </w:r>
          </w:p>
        </w:tc>
      </w:tr>
      <w:tr w:rsidR="00BC7F94" w:rsidRPr="007A3600" w14:paraId="66541F8D" w14:textId="77777777" w:rsidTr="006A2DBD">
        <w:trPr>
          <w:trHeight w:val="289"/>
        </w:trPr>
        <w:tc>
          <w:tcPr>
            <w:tcW w:w="1814" w:type="dxa"/>
            <w:hideMark/>
          </w:tcPr>
          <w:p w14:paraId="73C45562" w14:textId="34A3D2F4" w:rsidR="004D2E42" w:rsidRPr="00D13C44" w:rsidRDefault="004D2E42" w:rsidP="00AD3197">
            <w:pPr>
              <w:spacing w:before="80" w:after="80"/>
              <w:rPr>
                <w:rFonts w:cs="Arial"/>
                <w:vertAlign w:val="superscript"/>
                <w:lang w:val="en-US"/>
              </w:rPr>
            </w:pPr>
            <w:r w:rsidRPr="007A3600">
              <w:rPr>
                <w:rFonts w:cs="Arial"/>
                <w:lang w:val="en-US"/>
              </w:rPr>
              <w:t>Dr Peta Seaton AM</w:t>
            </w:r>
            <w:r w:rsidR="00D13C44">
              <w:rPr>
                <w:rFonts w:cs="Arial"/>
                <w:vertAlign w:val="superscript"/>
                <w:lang w:val="en-US"/>
              </w:rPr>
              <w:t>8</w:t>
            </w:r>
          </w:p>
        </w:tc>
        <w:tc>
          <w:tcPr>
            <w:tcW w:w="4082" w:type="dxa"/>
            <w:hideMark/>
          </w:tcPr>
          <w:p w14:paraId="4E0C985F"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543E5372" w14:textId="77777777" w:rsidR="004D2E42" w:rsidRPr="007A3600" w:rsidRDefault="004D2E42" w:rsidP="00AD3197">
            <w:pPr>
              <w:spacing w:before="80" w:after="80"/>
              <w:jc w:val="right"/>
              <w:rPr>
                <w:rFonts w:cs="Arial"/>
                <w:lang w:val="en-US"/>
              </w:rPr>
            </w:pPr>
            <w:r w:rsidRPr="007A3600">
              <w:rPr>
                <w:rFonts w:cs="Arial"/>
                <w:lang w:val="en-US"/>
              </w:rPr>
              <w:t>$30,784</w:t>
            </w:r>
          </w:p>
        </w:tc>
        <w:tc>
          <w:tcPr>
            <w:tcW w:w="850" w:type="dxa"/>
            <w:hideMark/>
          </w:tcPr>
          <w:p w14:paraId="76141B92"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7C72A41A"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550E6138" w14:textId="77777777" w:rsidR="004D2E42" w:rsidRPr="007A3600" w:rsidRDefault="004D2E42" w:rsidP="00AD3197">
            <w:pPr>
              <w:spacing w:before="80" w:after="80"/>
              <w:jc w:val="right"/>
              <w:rPr>
                <w:rFonts w:cs="Arial"/>
                <w:lang w:val="en-US"/>
              </w:rPr>
            </w:pPr>
            <w:r w:rsidRPr="007A3600">
              <w:rPr>
                <w:rFonts w:cs="Arial"/>
                <w:lang w:val="en-US"/>
              </w:rPr>
              <w:t>$4,741</w:t>
            </w:r>
          </w:p>
        </w:tc>
        <w:tc>
          <w:tcPr>
            <w:tcW w:w="1020" w:type="dxa"/>
            <w:hideMark/>
          </w:tcPr>
          <w:p w14:paraId="23B49137"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6133A5B9"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56993A2"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E517723" w14:textId="77777777" w:rsidR="004D2E42" w:rsidRPr="007A3600" w:rsidRDefault="004D2E42" w:rsidP="00AD3197">
            <w:pPr>
              <w:spacing w:before="80" w:after="80"/>
              <w:jc w:val="right"/>
              <w:rPr>
                <w:rFonts w:cs="Arial"/>
                <w:bCs/>
                <w:lang w:val="en-US"/>
              </w:rPr>
            </w:pPr>
            <w:r w:rsidRPr="007A3600">
              <w:rPr>
                <w:rFonts w:cs="Arial"/>
                <w:bCs/>
                <w:lang w:val="en-US"/>
              </w:rPr>
              <w:t>$35,525</w:t>
            </w:r>
          </w:p>
        </w:tc>
      </w:tr>
      <w:tr w:rsidR="00B407C5" w:rsidRPr="007A3600" w14:paraId="32B99EB1"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444B5A03" w14:textId="77777777" w:rsidR="004D2E42" w:rsidRPr="007A3600" w:rsidRDefault="004D2E42" w:rsidP="00AD3197">
            <w:pPr>
              <w:spacing w:before="80" w:after="80"/>
              <w:rPr>
                <w:rFonts w:cs="Arial"/>
                <w:lang w:val="en-US"/>
              </w:rPr>
            </w:pPr>
            <w:r w:rsidRPr="007A3600">
              <w:rPr>
                <w:rFonts w:cs="Arial"/>
                <w:lang w:val="en-US"/>
              </w:rPr>
              <w:t>Mr Matthew Swainson</w:t>
            </w:r>
          </w:p>
        </w:tc>
        <w:tc>
          <w:tcPr>
            <w:tcW w:w="4082" w:type="dxa"/>
            <w:hideMark/>
          </w:tcPr>
          <w:p w14:paraId="19C8ED40" w14:textId="77777777" w:rsidR="004D2E42" w:rsidRPr="007A3600" w:rsidRDefault="004D2E42" w:rsidP="00AD3197">
            <w:pPr>
              <w:spacing w:before="80" w:after="80"/>
              <w:rPr>
                <w:rFonts w:cs="Arial"/>
                <w:lang w:val="en-US"/>
              </w:rPr>
            </w:pPr>
            <w:r w:rsidRPr="007A3600">
              <w:rPr>
                <w:rFonts w:cs="Arial"/>
                <w:lang w:val="en-US"/>
              </w:rPr>
              <w:t>Deputy CEO Legal, Reviews, Actuarial and Data</w:t>
            </w:r>
          </w:p>
        </w:tc>
        <w:tc>
          <w:tcPr>
            <w:tcW w:w="1134" w:type="dxa"/>
            <w:hideMark/>
          </w:tcPr>
          <w:p w14:paraId="4C4260A7" w14:textId="77777777" w:rsidR="004D2E42" w:rsidRPr="007A3600" w:rsidRDefault="004D2E42" w:rsidP="00AD3197">
            <w:pPr>
              <w:spacing w:before="80" w:after="80"/>
              <w:jc w:val="right"/>
              <w:rPr>
                <w:rFonts w:cs="Arial"/>
                <w:lang w:val="en-US"/>
              </w:rPr>
            </w:pPr>
            <w:r w:rsidRPr="007A3600">
              <w:rPr>
                <w:rFonts w:cs="Arial"/>
                <w:lang w:val="en-US"/>
              </w:rPr>
              <w:t>$381,407</w:t>
            </w:r>
          </w:p>
        </w:tc>
        <w:tc>
          <w:tcPr>
            <w:tcW w:w="850" w:type="dxa"/>
            <w:hideMark/>
          </w:tcPr>
          <w:p w14:paraId="2982CD8C"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A143666"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477A5EC" w14:textId="77777777" w:rsidR="004D2E42" w:rsidRPr="007A3600" w:rsidRDefault="004D2E42" w:rsidP="00AD3197">
            <w:pPr>
              <w:spacing w:before="80" w:after="80"/>
              <w:jc w:val="right"/>
              <w:rPr>
                <w:rFonts w:cs="Arial"/>
                <w:lang w:val="en-US"/>
              </w:rPr>
            </w:pPr>
            <w:r w:rsidRPr="007A3600">
              <w:rPr>
                <w:rFonts w:cs="Arial"/>
                <w:lang w:val="en-US"/>
              </w:rPr>
              <w:t>$38,266</w:t>
            </w:r>
          </w:p>
        </w:tc>
        <w:tc>
          <w:tcPr>
            <w:tcW w:w="1020" w:type="dxa"/>
            <w:hideMark/>
          </w:tcPr>
          <w:p w14:paraId="4D25116C" w14:textId="77777777" w:rsidR="004D2E42" w:rsidRPr="007A3600" w:rsidRDefault="004D2E42" w:rsidP="00AD3197">
            <w:pPr>
              <w:spacing w:before="80" w:after="80"/>
              <w:jc w:val="right"/>
              <w:rPr>
                <w:rFonts w:cs="Arial"/>
                <w:lang w:val="en-US"/>
              </w:rPr>
            </w:pPr>
            <w:r w:rsidRPr="007A3600">
              <w:rPr>
                <w:rFonts w:cs="Arial"/>
                <w:lang w:val="en-US"/>
              </w:rPr>
              <w:t>$9,954</w:t>
            </w:r>
          </w:p>
        </w:tc>
        <w:tc>
          <w:tcPr>
            <w:tcW w:w="850" w:type="dxa"/>
            <w:hideMark/>
          </w:tcPr>
          <w:p w14:paraId="221A290A"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0A51F13"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39A60FD1" w14:textId="77777777" w:rsidR="004D2E42" w:rsidRPr="007A3600" w:rsidRDefault="004D2E42" w:rsidP="00AD3197">
            <w:pPr>
              <w:spacing w:before="80" w:after="80"/>
              <w:jc w:val="right"/>
              <w:rPr>
                <w:rFonts w:cs="Arial"/>
                <w:bCs/>
                <w:lang w:val="en-US"/>
              </w:rPr>
            </w:pPr>
            <w:r w:rsidRPr="007A3600">
              <w:rPr>
                <w:rFonts w:cs="Arial"/>
                <w:bCs/>
                <w:lang w:val="en-US"/>
              </w:rPr>
              <w:t>$429,627</w:t>
            </w:r>
          </w:p>
        </w:tc>
      </w:tr>
      <w:tr w:rsidR="00BC7F94" w:rsidRPr="007A3600" w14:paraId="2095805D" w14:textId="77777777" w:rsidTr="006A2DBD">
        <w:trPr>
          <w:trHeight w:val="289"/>
        </w:trPr>
        <w:tc>
          <w:tcPr>
            <w:tcW w:w="1814" w:type="dxa"/>
            <w:hideMark/>
          </w:tcPr>
          <w:p w14:paraId="1609B702" w14:textId="77777777" w:rsidR="004D2E42" w:rsidRPr="007A3600" w:rsidRDefault="004D2E42" w:rsidP="00AD3197">
            <w:pPr>
              <w:spacing w:before="80" w:after="80"/>
              <w:rPr>
                <w:rFonts w:cs="Arial"/>
                <w:lang w:val="en-US"/>
              </w:rPr>
            </w:pPr>
            <w:r w:rsidRPr="007A3600">
              <w:rPr>
                <w:rFonts w:cs="Arial"/>
                <w:lang w:val="en-US"/>
              </w:rPr>
              <w:t>Ms Leah Van Poppel</w:t>
            </w:r>
          </w:p>
        </w:tc>
        <w:tc>
          <w:tcPr>
            <w:tcW w:w="4082" w:type="dxa"/>
            <w:hideMark/>
          </w:tcPr>
          <w:p w14:paraId="0DBE7EE1"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60162539" w14:textId="77777777" w:rsidR="004D2E42" w:rsidRPr="007A3600" w:rsidRDefault="004D2E42" w:rsidP="00AD3197">
            <w:pPr>
              <w:spacing w:before="80" w:after="80"/>
              <w:jc w:val="right"/>
              <w:rPr>
                <w:rFonts w:cs="Arial"/>
                <w:lang w:val="en-US"/>
              </w:rPr>
            </w:pPr>
            <w:r w:rsidRPr="007A3600">
              <w:rPr>
                <w:rFonts w:cs="Arial"/>
                <w:lang w:val="en-US"/>
              </w:rPr>
              <w:t>$224,789</w:t>
            </w:r>
          </w:p>
        </w:tc>
        <w:tc>
          <w:tcPr>
            <w:tcW w:w="850" w:type="dxa"/>
            <w:hideMark/>
          </w:tcPr>
          <w:p w14:paraId="4C9EF158"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89D9D8E"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1B2093C" w14:textId="77777777" w:rsidR="004D2E42" w:rsidRPr="007A3600" w:rsidRDefault="004D2E42" w:rsidP="00AD3197">
            <w:pPr>
              <w:spacing w:before="80" w:after="80"/>
              <w:jc w:val="right"/>
              <w:rPr>
                <w:rFonts w:cs="Arial"/>
                <w:lang w:val="en-US"/>
              </w:rPr>
            </w:pPr>
            <w:r w:rsidRPr="007A3600">
              <w:rPr>
                <w:rFonts w:cs="Arial"/>
                <w:lang w:val="en-US"/>
              </w:rPr>
              <w:t>$34,268</w:t>
            </w:r>
          </w:p>
        </w:tc>
        <w:tc>
          <w:tcPr>
            <w:tcW w:w="1020" w:type="dxa"/>
            <w:hideMark/>
          </w:tcPr>
          <w:p w14:paraId="46190290"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488417E4"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E956DE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15A61C39" w14:textId="77777777" w:rsidR="004D2E42" w:rsidRPr="007A3600" w:rsidRDefault="004D2E42" w:rsidP="00AD3197">
            <w:pPr>
              <w:spacing w:before="80" w:after="80"/>
              <w:jc w:val="right"/>
              <w:rPr>
                <w:rFonts w:cs="Arial"/>
                <w:bCs/>
                <w:lang w:val="en-US"/>
              </w:rPr>
            </w:pPr>
            <w:r w:rsidRPr="007A3600">
              <w:rPr>
                <w:rFonts w:cs="Arial"/>
                <w:bCs/>
                <w:lang w:val="en-US"/>
              </w:rPr>
              <w:t>$259,057</w:t>
            </w:r>
          </w:p>
        </w:tc>
      </w:tr>
      <w:tr w:rsidR="00B407C5" w:rsidRPr="007A3600" w14:paraId="642FBF21" w14:textId="77777777" w:rsidTr="006A2DBD">
        <w:trPr>
          <w:cnfStyle w:val="000000100000" w:firstRow="0" w:lastRow="0" w:firstColumn="0" w:lastColumn="0" w:oddVBand="0" w:evenVBand="0" w:oddHBand="1" w:evenHBand="0" w:firstRowFirstColumn="0" w:firstRowLastColumn="0" w:lastRowFirstColumn="0" w:lastRowLastColumn="0"/>
          <w:trHeight w:val="289"/>
        </w:trPr>
        <w:tc>
          <w:tcPr>
            <w:tcW w:w="1814" w:type="dxa"/>
            <w:hideMark/>
          </w:tcPr>
          <w:p w14:paraId="226A3878" w14:textId="0BE0B66E" w:rsidR="004D2E42" w:rsidRPr="00D13C44" w:rsidRDefault="004D2E42" w:rsidP="00AD3197">
            <w:pPr>
              <w:spacing w:before="80" w:after="80"/>
              <w:rPr>
                <w:rFonts w:cs="Arial"/>
                <w:vertAlign w:val="superscript"/>
                <w:lang w:val="en-US"/>
              </w:rPr>
            </w:pPr>
            <w:r w:rsidRPr="007A3600">
              <w:rPr>
                <w:rFonts w:cs="Arial"/>
                <w:lang w:val="en-US"/>
              </w:rPr>
              <w:t>Mr Aaron Verlin</w:t>
            </w:r>
            <w:r w:rsidR="00D13C44">
              <w:rPr>
                <w:rFonts w:cs="Arial"/>
                <w:vertAlign w:val="superscript"/>
                <w:lang w:val="en-US"/>
              </w:rPr>
              <w:t>9</w:t>
            </w:r>
          </w:p>
        </w:tc>
        <w:tc>
          <w:tcPr>
            <w:tcW w:w="4082" w:type="dxa"/>
            <w:hideMark/>
          </w:tcPr>
          <w:p w14:paraId="60050E69" w14:textId="77777777" w:rsidR="004D2E42" w:rsidRPr="007A3600" w:rsidRDefault="004D2E42" w:rsidP="00AD3197">
            <w:pPr>
              <w:spacing w:before="80" w:after="80"/>
              <w:rPr>
                <w:rFonts w:cs="Arial"/>
                <w:lang w:val="en-US"/>
              </w:rPr>
            </w:pPr>
            <w:r w:rsidRPr="007A3600">
              <w:rPr>
                <w:rFonts w:cs="Arial"/>
                <w:lang w:val="en-US"/>
              </w:rPr>
              <w:t>Acting Deputy CEO Service Design and Improvement</w:t>
            </w:r>
          </w:p>
        </w:tc>
        <w:tc>
          <w:tcPr>
            <w:tcW w:w="1134" w:type="dxa"/>
            <w:hideMark/>
          </w:tcPr>
          <w:p w14:paraId="3D06C28A" w14:textId="77777777" w:rsidR="004D2E42" w:rsidRPr="007A3600" w:rsidRDefault="004D2E42" w:rsidP="00AD3197">
            <w:pPr>
              <w:spacing w:before="80" w:after="80"/>
              <w:jc w:val="right"/>
              <w:rPr>
                <w:rFonts w:cs="Arial"/>
                <w:lang w:val="en-US"/>
              </w:rPr>
            </w:pPr>
            <w:r w:rsidRPr="007A3600">
              <w:rPr>
                <w:rFonts w:cs="Arial"/>
                <w:lang w:val="en-US"/>
              </w:rPr>
              <w:t>$32,843</w:t>
            </w:r>
          </w:p>
        </w:tc>
        <w:tc>
          <w:tcPr>
            <w:tcW w:w="850" w:type="dxa"/>
            <w:hideMark/>
          </w:tcPr>
          <w:p w14:paraId="4761ED4B"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12D922D3"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F19C48E" w14:textId="77777777" w:rsidR="004D2E42" w:rsidRPr="007A3600" w:rsidRDefault="004D2E42" w:rsidP="00AD3197">
            <w:pPr>
              <w:spacing w:before="80" w:after="80"/>
              <w:jc w:val="right"/>
              <w:rPr>
                <w:rFonts w:cs="Arial"/>
                <w:lang w:val="en-US"/>
              </w:rPr>
            </w:pPr>
            <w:r w:rsidRPr="007A3600">
              <w:rPr>
                <w:rFonts w:cs="Arial"/>
                <w:lang w:val="en-US"/>
              </w:rPr>
              <w:t>$4,297</w:t>
            </w:r>
          </w:p>
        </w:tc>
        <w:tc>
          <w:tcPr>
            <w:tcW w:w="1020" w:type="dxa"/>
            <w:hideMark/>
          </w:tcPr>
          <w:p w14:paraId="0A965581" w14:textId="77777777" w:rsidR="004D2E42" w:rsidRPr="007A3600" w:rsidRDefault="004D2E42" w:rsidP="00AD3197">
            <w:pPr>
              <w:spacing w:before="80" w:after="80"/>
              <w:jc w:val="right"/>
              <w:rPr>
                <w:rFonts w:cs="Arial"/>
                <w:lang w:val="en-US"/>
              </w:rPr>
            </w:pPr>
            <w:r w:rsidRPr="007A3600">
              <w:rPr>
                <w:rFonts w:cs="Arial"/>
                <w:lang w:val="en-US"/>
              </w:rPr>
              <w:t>$765</w:t>
            </w:r>
          </w:p>
        </w:tc>
        <w:tc>
          <w:tcPr>
            <w:tcW w:w="850" w:type="dxa"/>
            <w:hideMark/>
          </w:tcPr>
          <w:p w14:paraId="445AE824"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6E88825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05FD5EF0" w14:textId="77777777" w:rsidR="004D2E42" w:rsidRPr="007A3600" w:rsidRDefault="004D2E42" w:rsidP="00AD3197">
            <w:pPr>
              <w:spacing w:before="80" w:after="80"/>
              <w:jc w:val="right"/>
              <w:rPr>
                <w:rFonts w:cs="Arial"/>
                <w:bCs/>
                <w:lang w:val="en-US"/>
              </w:rPr>
            </w:pPr>
            <w:r w:rsidRPr="007A3600">
              <w:rPr>
                <w:rFonts w:cs="Arial"/>
                <w:bCs/>
                <w:lang w:val="en-US"/>
              </w:rPr>
              <w:t>$37,905</w:t>
            </w:r>
          </w:p>
        </w:tc>
      </w:tr>
      <w:tr w:rsidR="00BC7F94" w:rsidRPr="007A3600" w14:paraId="6AA77ED7" w14:textId="77777777" w:rsidTr="006A2DBD">
        <w:trPr>
          <w:trHeight w:val="289"/>
        </w:trPr>
        <w:tc>
          <w:tcPr>
            <w:tcW w:w="1814" w:type="dxa"/>
            <w:hideMark/>
          </w:tcPr>
          <w:p w14:paraId="16C439B2" w14:textId="506CD19B" w:rsidR="004D2E42" w:rsidRPr="00D13C44" w:rsidRDefault="004D2E42" w:rsidP="00AD3197">
            <w:pPr>
              <w:spacing w:before="80" w:after="80"/>
              <w:rPr>
                <w:rFonts w:cs="Arial"/>
                <w:vertAlign w:val="superscript"/>
                <w:lang w:val="en-US"/>
              </w:rPr>
            </w:pPr>
            <w:r w:rsidRPr="007A3600">
              <w:rPr>
                <w:rFonts w:cs="Arial"/>
                <w:lang w:val="en-US"/>
              </w:rPr>
              <w:lastRenderedPageBreak/>
              <w:t>Dr Ian Watt AC</w:t>
            </w:r>
            <w:r w:rsidR="00D13C44">
              <w:rPr>
                <w:rFonts w:cs="Arial"/>
                <w:vertAlign w:val="superscript"/>
                <w:lang w:val="en-US"/>
              </w:rPr>
              <w:t>10</w:t>
            </w:r>
          </w:p>
        </w:tc>
        <w:tc>
          <w:tcPr>
            <w:tcW w:w="4082" w:type="dxa"/>
            <w:hideMark/>
          </w:tcPr>
          <w:p w14:paraId="00E619F0" w14:textId="77777777" w:rsidR="004D2E42" w:rsidRPr="007A3600" w:rsidRDefault="004D2E42" w:rsidP="00AD3197">
            <w:pPr>
              <w:spacing w:before="80" w:after="80"/>
              <w:rPr>
                <w:rFonts w:cs="Arial"/>
                <w:lang w:val="en-US"/>
              </w:rPr>
            </w:pPr>
            <w:r w:rsidRPr="007A3600">
              <w:rPr>
                <w:rFonts w:cs="Arial"/>
                <w:lang w:val="en-US"/>
              </w:rPr>
              <w:t>Board Member</w:t>
            </w:r>
          </w:p>
        </w:tc>
        <w:tc>
          <w:tcPr>
            <w:tcW w:w="1134" w:type="dxa"/>
            <w:hideMark/>
          </w:tcPr>
          <w:p w14:paraId="167DCF7A" w14:textId="77777777" w:rsidR="004D2E42" w:rsidRPr="007A3600" w:rsidRDefault="004D2E42" w:rsidP="00AD3197">
            <w:pPr>
              <w:spacing w:before="80" w:after="80"/>
              <w:jc w:val="right"/>
              <w:rPr>
                <w:rFonts w:cs="Arial"/>
                <w:lang w:val="en-US"/>
              </w:rPr>
            </w:pPr>
            <w:r w:rsidRPr="007A3600">
              <w:rPr>
                <w:rFonts w:cs="Arial"/>
                <w:lang w:val="en-US"/>
              </w:rPr>
              <w:t>$72,446</w:t>
            </w:r>
          </w:p>
        </w:tc>
        <w:tc>
          <w:tcPr>
            <w:tcW w:w="850" w:type="dxa"/>
            <w:hideMark/>
          </w:tcPr>
          <w:p w14:paraId="738D3324"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0AEFDDC9" w14:textId="77777777" w:rsidR="004D2E42" w:rsidRPr="007A3600" w:rsidRDefault="004D2E42" w:rsidP="00AD3197">
            <w:pPr>
              <w:spacing w:before="80" w:after="80"/>
              <w:jc w:val="right"/>
              <w:rPr>
                <w:rFonts w:cs="Arial"/>
                <w:lang w:val="en-US"/>
              </w:rPr>
            </w:pPr>
            <w:r w:rsidRPr="007A3600">
              <w:rPr>
                <w:rFonts w:cs="Arial"/>
                <w:lang w:val="en-US"/>
              </w:rPr>
              <w:t>0</w:t>
            </w:r>
          </w:p>
        </w:tc>
        <w:tc>
          <w:tcPr>
            <w:tcW w:w="1020" w:type="dxa"/>
            <w:hideMark/>
          </w:tcPr>
          <w:p w14:paraId="2F1C20E4" w14:textId="77777777" w:rsidR="004D2E42" w:rsidRPr="007A3600" w:rsidRDefault="004D2E42" w:rsidP="00AD3197">
            <w:pPr>
              <w:spacing w:before="80" w:after="80"/>
              <w:jc w:val="right"/>
              <w:rPr>
                <w:rFonts w:cs="Arial"/>
                <w:lang w:val="en-US"/>
              </w:rPr>
            </w:pPr>
            <w:r w:rsidRPr="007A3600">
              <w:rPr>
                <w:rFonts w:cs="Arial"/>
                <w:lang w:val="en-US"/>
              </w:rPr>
              <w:t>$11,157</w:t>
            </w:r>
          </w:p>
        </w:tc>
        <w:tc>
          <w:tcPr>
            <w:tcW w:w="1020" w:type="dxa"/>
            <w:hideMark/>
          </w:tcPr>
          <w:p w14:paraId="65269F7F" w14:textId="77777777" w:rsidR="004D2E42" w:rsidRPr="007A3600" w:rsidRDefault="004D2E42" w:rsidP="00AD3197">
            <w:pPr>
              <w:spacing w:before="80" w:after="80"/>
              <w:jc w:val="right"/>
              <w:rPr>
                <w:rFonts w:cs="Arial"/>
                <w:lang w:val="en-US"/>
              </w:rPr>
            </w:pPr>
            <w:r w:rsidRPr="007A3600">
              <w:rPr>
                <w:rFonts w:cs="Arial"/>
                <w:lang w:val="en-US"/>
              </w:rPr>
              <w:t>0</w:t>
            </w:r>
          </w:p>
        </w:tc>
        <w:tc>
          <w:tcPr>
            <w:tcW w:w="850" w:type="dxa"/>
            <w:hideMark/>
          </w:tcPr>
          <w:p w14:paraId="15C1AEB8"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42588BAE" w14:textId="77777777" w:rsidR="004D2E42" w:rsidRPr="007A3600" w:rsidRDefault="004D2E42" w:rsidP="00AD3197">
            <w:pPr>
              <w:spacing w:before="80" w:after="80"/>
              <w:jc w:val="right"/>
              <w:rPr>
                <w:rFonts w:cs="Arial"/>
                <w:lang w:val="en-US"/>
              </w:rPr>
            </w:pPr>
            <w:r w:rsidRPr="007A3600">
              <w:rPr>
                <w:rFonts w:cs="Arial"/>
                <w:lang w:val="en-US"/>
              </w:rPr>
              <w:t>0</w:t>
            </w:r>
          </w:p>
        </w:tc>
        <w:tc>
          <w:tcPr>
            <w:tcW w:w="1134" w:type="dxa"/>
            <w:hideMark/>
          </w:tcPr>
          <w:p w14:paraId="59F36CF3" w14:textId="77777777" w:rsidR="004D2E42" w:rsidRPr="007A3600" w:rsidRDefault="004D2E42" w:rsidP="00AD3197">
            <w:pPr>
              <w:spacing w:before="80" w:after="80"/>
              <w:jc w:val="right"/>
              <w:rPr>
                <w:rFonts w:cs="Arial"/>
                <w:bCs/>
                <w:lang w:val="en-US"/>
              </w:rPr>
            </w:pPr>
            <w:r w:rsidRPr="007A3600">
              <w:rPr>
                <w:rFonts w:cs="Arial"/>
                <w:bCs/>
                <w:lang w:val="en-US"/>
              </w:rPr>
              <w:t>$83,603</w:t>
            </w:r>
          </w:p>
        </w:tc>
      </w:tr>
    </w:tbl>
    <w:p w14:paraId="36B9F2C5" w14:textId="6E1C863D" w:rsidR="004D2E42" w:rsidRPr="007A3600" w:rsidRDefault="00A246BE" w:rsidP="00AD3197">
      <w:pPr>
        <w:pStyle w:val="Tablenotes"/>
        <w:rPr>
          <w:b/>
          <w:bCs/>
          <w:vertAlign w:val="superscript"/>
        </w:rPr>
      </w:pPr>
      <w:r>
        <w:rPr>
          <w:b/>
          <w:bCs/>
          <w:vertAlign w:val="superscript"/>
        </w:rPr>
        <w:t>Notes</w:t>
      </w:r>
      <w:r w:rsidR="008A2E84">
        <w:rPr>
          <w:b/>
          <w:bCs/>
          <w:vertAlign w:val="superscript"/>
        </w:rPr>
        <w:t>:</w:t>
      </w:r>
    </w:p>
    <w:p w14:paraId="16A3424A" w14:textId="30C796C6" w:rsidR="004D2E42" w:rsidRPr="007A3600" w:rsidRDefault="004D2E42" w:rsidP="00AD3197">
      <w:pPr>
        <w:pStyle w:val="Tablenotes"/>
      </w:pPr>
      <w:r w:rsidRPr="007A3600">
        <w:rPr>
          <w:vertAlign w:val="superscript"/>
        </w:rPr>
        <w:t xml:space="preserve">1 </w:t>
      </w:r>
      <w:r w:rsidRPr="007A3600">
        <w:t>Ms Meredith Allan – Term expired on 31 December 2024</w:t>
      </w:r>
      <w:r w:rsidR="00F97A79" w:rsidRPr="007A3600">
        <w:t>.</w:t>
      </w:r>
    </w:p>
    <w:p w14:paraId="1032D8BE" w14:textId="18D80DED" w:rsidR="004D2E42" w:rsidRPr="007A3600" w:rsidRDefault="004D2E42" w:rsidP="00AD3197">
      <w:pPr>
        <w:pStyle w:val="Tablenotes"/>
      </w:pPr>
      <w:r w:rsidRPr="007A3600">
        <w:rPr>
          <w:vertAlign w:val="superscript"/>
        </w:rPr>
        <w:t xml:space="preserve">2 </w:t>
      </w:r>
      <w:r w:rsidRPr="007A3600">
        <w:rPr>
          <w:lang w:val="en-US"/>
        </w:rPr>
        <w:t xml:space="preserve">Ms Allison Doyle </w:t>
      </w:r>
      <w:r w:rsidR="00ED6976">
        <w:rPr>
          <w:lang w:val="en-US"/>
        </w:rPr>
        <w:t>–</w:t>
      </w:r>
      <w:r w:rsidRPr="007A3600">
        <w:rPr>
          <w:lang w:val="en-US"/>
        </w:rPr>
        <w:t xml:space="preserve"> Acted in the position of Deputy CEO, Enabling Services/Chief Operating Officer between 9 September 2024 and 8 November 2024 and 13 May 2025 to 30 June 2025</w:t>
      </w:r>
      <w:r w:rsidR="00F97A79" w:rsidRPr="007A3600">
        <w:rPr>
          <w:lang w:val="en-US"/>
        </w:rPr>
        <w:t>.</w:t>
      </w:r>
    </w:p>
    <w:p w14:paraId="09B1ABEC" w14:textId="4840B0AD" w:rsidR="004D2E42" w:rsidRPr="007A3600" w:rsidRDefault="004D2E42" w:rsidP="00AD3197">
      <w:pPr>
        <w:pStyle w:val="Tablenotes"/>
        <w:rPr>
          <w:vertAlign w:val="superscript"/>
        </w:rPr>
      </w:pPr>
      <w:r w:rsidRPr="007A3600">
        <w:rPr>
          <w:vertAlign w:val="superscript"/>
        </w:rPr>
        <w:t xml:space="preserve">3 </w:t>
      </w:r>
      <w:r w:rsidRPr="007A3600">
        <w:rPr>
          <w:lang w:val="en-US"/>
        </w:rPr>
        <w:t>Ms Amity Durham – Joined 10 February 2025</w:t>
      </w:r>
      <w:r w:rsidR="00F97A79" w:rsidRPr="007A3600">
        <w:rPr>
          <w:lang w:val="en-US"/>
        </w:rPr>
        <w:t>.</w:t>
      </w:r>
    </w:p>
    <w:p w14:paraId="001D275F" w14:textId="67E90741" w:rsidR="004D2E42" w:rsidRPr="007A3600" w:rsidRDefault="004D2E42" w:rsidP="00AD3197">
      <w:pPr>
        <w:pStyle w:val="Tablenotes"/>
        <w:rPr>
          <w:vertAlign w:val="superscript"/>
        </w:rPr>
      </w:pPr>
      <w:r w:rsidRPr="007A3600">
        <w:rPr>
          <w:vertAlign w:val="superscript"/>
        </w:rPr>
        <w:t xml:space="preserve">4 </w:t>
      </w:r>
      <w:r w:rsidRPr="007A3600">
        <w:rPr>
          <w:lang w:val="en-US"/>
        </w:rPr>
        <w:t>Dr Rhonda Galbally AC – Appointed on 1 January 2025</w:t>
      </w:r>
      <w:r w:rsidR="00F97A79" w:rsidRPr="007A3600">
        <w:rPr>
          <w:lang w:val="en-US"/>
        </w:rPr>
        <w:t>.</w:t>
      </w:r>
    </w:p>
    <w:p w14:paraId="797C288C" w14:textId="64B01F3D" w:rsidR="004D2E42" w:rsidRPr="007A3600" w:rsidRDefault="004D2E42" w:rsidP="00AD3197">
      <w:pPr>
        <w:pStyle w:val="Tablenotes"/>
        <w:rPr>
          <w:vertAlign w:val="superscript"/>
        </w:rPr>
      </w:pPr>
      <w:r w:rsidRPr="007A3600">
        <w:rPr>
          <w:vertAlign w:val="superscript"/>
        </w:rPr>
        <w:t xml:space="preserve">5 </w:t>
      </w:r>
      <w:r w:rsidRPr="007A3600">
        <w:rPr>
          <w:lang w:val="en-US"/>
        </w:rPr>
        <w:t>Ms Correa McKenzie – Resigned on 11 June 2025</w:t>
      </w:r>
      <w:r w:rsidR="00F97A79" w:rsidRPr="007A3600">
        <w:rPr>
          <w:lang w:val="en-US"/>
        </w:rPr>
        <w:t>.</w:t>
      </w:r>
    </w:p>
    <w:p w14:paraId="2B2C762D" w14:textId="23CF8A9D" w:rsidR="004D2E42" w:rsidRPr="007A3600" w:rsidRDefault="004D2E42" w:rsidP="00AD3197">
      <w:pPr>
        <w:pStyle w:val="Tablenotes"/>
        <w:rPr>
          <w:vertAlign w:val="superscript"/>
        </w:rPr>
      </w:pPr>
      <w:r w:rsidRPr="007A3600">
        <w:rPr>
          <w:vertAlign w:val="superscript"/>
        </w:rPr>
        <w:t xml:space="preserve">6 </w:t>
      </w:r>
      <w:r w:rsidRPr="007A3600">
        <w:rPr>
          <w:lang w:val="en-US"/>
        </w:rPr>
        <w:t>Mr Scott McNaughton – Acted in the position of CEO from 1 July 2024 to 7 July 2024</w:t>
      </w:r>
      <w:r w:rsidR="00F97A79" w:rsidRPr="007A3600">
        <w:rPr>
          <w:lang w:val="en-US"/>
        </w:rPr>
        <w:t>.</w:t>
      </w:r>
    </w:p>
    <w:p w14:paraId="63BE7330" w14:textId="787BAD94" w:rsidR="004D2E42" w:rsidRPr="007A3600" w:rsidRDefault="004D2E42" w:rsidP="00AD3197">
      <w:pPr>
        <w:pStyle w:val="Tablenotes"/>
        <w:rPr>
          <w:vertAlign w:val="superscript"/>
        </w:rPr>
      </w:pPr>
      <w:r w:rsidRPr="007A3600">
        <w:rPr>
          <w:vertAlign w:val="superscript"/>
        </w:rPr>
        <w:t xml:space="preserve">7 </w:t>
      </w:r>
      <w:r w:rsidRPr="007A3600">
        <w:rPr>
          <w:lang w:val="en-US"/>
        </w:rPr>
        <w:t>Ms Debbie Mitchell – Retired on 12 July 2024</w:t>
      </w:r>
      <w:r w:rsidR="00F97A79" w:rsidRPr="007A3600">
        <w:rPr>
          <w:lang w:val="en-US"/>
        </w:rPr>
        <w:t>.</w:t>
      </w:r>
    </w:p>
    <w:p w14:paraId="1C55E649" w14:textId="15802BBE" w:rsidR="004D2E42" w:rsidRPr="007A3600" w:rsidRDefault="004D2E42" w:rsidP="00AD3197">
      <w:pPr>
        <w:pStyle w:val="Tablenotes"/>
        <w:rPr>
          <w:vertAlign w:val="superscript"/>
        </w:rPr>
      </w:pPr>
      <w:r w:rsidRPr="007A3600">
        <w:rPr>
          <w:vertAlign w:val="superscript"/>
        </w:rPr>
        <w:t xml:space="preserve">8 </w:t>
      </w:r>
      <w:r w:rsidRPr="007A3600">
        <w:rPr>
          <w:lang w:val="en-US"/>
        </w:rPr>
        <w:t xml:space="preserve">Dr Peta Seaton AM </w:t>
      </w:r>
      <w:r w:rsidR="00ED6976">
        <w:rPr>
          <w:lang w:val="en-US"/>
        </w:rPr>
        <w:t>–</w:t>
      </w:r>
      <w:r w:rsidRPr="007A3600">
        <w:rPr>
          <w:lang w:val="en-US"/>
        </w:rPr>
        <w:t xml:space="preserve"> </w:t>
      </w:r>
      <w:r w:rsidR="00FC4E09">
        <w:rPr>
          <w:lang w:val="en-US"/>
        </w:rPr>
        <w:t>T</w:t>
      </w:r>
      <w:r w:rsidRPr="007A3600">
        <w:t>erm expired on 31 December 2024</w:t>
      </w:r>
      <w:r w:rsidR="00F97A79" w:rsidRPr="007A3600">
        <w:t>.</w:t>
      </w:r>
    </w:p>
    <w:p w14:paraId="26703CF0" w14:textId="31AC6CD5" w:rsidR="004D2E42" w:rsidRPr="007A3600" w:rsidRDefault="004D2E42" w:rsidP="00AD3197">
      <w:pPr>
        <w:pStyle w:val="Tablenotes"/>
        <w:rPr>
          <w:vertAlign w:val="superscript"/>
        </w:rPr>
      </w:pPr>
      <w:r w:rsidRPr="007A3600">
        <w:rPr>
          <w:vertAlign w:val="superscript"/>
        </w:rPr>
        <w:t xml:space="preserve">9 </w:t>
      </w:r>
      <w:r w:rsidRPr="007A3600">
        <w:rPr>
          <w:lang w:val="en-US"/>
        </w:rPr>
        <w:t xml:space="preserve">Mr Aaron Verlin </w:t>
      </w:r>
      <w:r w:rsidR="00ED6976">
        <w:rPr>
          <w:lang w:val="en-US"/>
        </w:rPr>
        <w:t>–</w:t>
      </w:r>
      <w:r w:rsidRPr="007A3600">
        <w:rPr>
          <w:lang w:val="en-US"/>
        </w:rPr>
        <w:t xml:space="preserve"> </w:t>
      </w:r>
      <w:r w:rsidR="00FC4E09">
        <w:rPr>
          <w:lang w:val="en-US"/>
        </w:rPr>
        <w:t>A</w:t>
      </w:r>
      <w:r w:rsidRPr="007A3600">
        <w:rPr>
          <w:lang w:val="en-US"/>
        </w:rPr>
        <w:t>cted in the position of Deputy CEO, Service Design and Improvement between 31 May 2025 and 30 June 2025.</w:t>
      </w:r>
    </w:p>
    <w:p w14:paraId="734E02BE" w14:textId="7F052E89" w:rsidR="0085736A" w:rsidRPr="007A3600" w:rsidRDefault="004D2E42" w:rsidP="00AD3197">
      <w:pPr>
        <w:pStyle w:val="Tablenotes"/>
        <w:rPr>
          <w:lang w:val="en-US"/>
        </w:rPr>
      </w:pPr>
      <w:r w:rsidRPr="007A3600">
        <w:rPr>
          <w:vertAlign w:val="superscript"/>
        </w:rPr>
        <w:t xml:space="preserve">10 </w:t>
      </w:r>
      <w:r w:rsidRPr="007A3600">
        <w:rPr>
          <w:lang w:val="en-US"/>
        </w:rPr>
        <w:t>Dr Ian Watt AC – Appointed on 28 August 2024</w:t>
      </w:r>
      <w:r w:rsidR="00F97A79" w:rsidRPr="007A3600">
        <w:rPr>
          <w:lang w:val="en-US"/>
        </w:rPr>
        <w:t>.</w:t>
      </w:r>
      <w:r w:rsidR="0085736A" w:rsidRPr="007A3600">
        <w:rPr>
          <w:lang w:val="en-US"/>
        </w:rPr>
        <w:br w:type="page"/>
      </w:r>
    </w:p>
    <w:p w14:paraId="053E7521" w14:textId="1480BC58" w:rsidR="004D2E42" w:rsidRPr="007A3600" w:rsidRDefault="004D2E42" w:rsidP="00AD3197">
      <w:pPr>
        <w:pStyle w:val="Caption"/>
        <w:spacing w:before="240"/>
      </w:pPr>
      <w:r w:rsidRPr="007A3600">
        <w:lastRenderedPageBreak/>
        <w:t xml:space="preserve">Table </w:t>
      </w:r>
      <w:r w:rsidR="00963189" w:rsidRPr="007A3600">
        <w:t>16</w:t>
      </w:r>
      <w:r w:rsidRPr="007A3600">
        <w:t>: Senior executive remuneration</w:t>
      </w:r>
    </w:p>
    <w:tbl>
      <w:tblPr>
        <w:tblStyle w:val="NDISTable1"/>
        <w:tblW w:w="13265" w:type="dxa"/>
        <w:tblLayout w:type="fixed"/>
        <w:tblCellMar>
          <w:left w:w="57" w:type="dxa"/>
          <w:right w:w="57" w:type="dxa"/>
        </w:tblCellMar>
        <w:tblLook w:val="0420" w:firstRow="1" w:lastRow="0" w:firstColumn="0" w:lastColumn="0" w:noHBand="0" w:noVBand="1"/>
      </w:tblPr>
      <w:tblGrid>
        <w:gridCol w:w="2721"/>
        <w:gridCol w:w="850"/>
        <w:gridCol w:w="1361"/>
        <w:gridCol w:w="850"/>
        <w:gridCol w:w="1417"/>
        <w:gridCol w:w="1531"/>
        <w:gridCol w:w="1134"/>
        <w:gridCol w:w="850"/>
        <w:gridCol w:w="1134"/>
        <w:gridCol w:w="1417"/>
      </w:tblGrid>
      <w:tr w:rsidR="00B407C5" w:rsidRPr="007A3600" w14:paraId="094C7E25" w14:textId="77777777" w:rsidTr="009D1194">
        <w:trPr>
          <w:cnfStyle w:val="100000000000" w:firstRow="1" w:lastRow="0" w:firstColumn="0" w:lastColumn="0" w:oddVBand="0" w:evenVBand="0" w:oddHBand="0" w:evenHBand="0" w:firstRowFirstColumn="0" w:firstRowLastColumn="0" w:lastRowFirstColumn="0" w:lastRowLastColumn="0"/>
          <w:trHeight w:val="2324"/>
        </w:trPr>
        <w:tc>
          <w:tcPr>
            <w:tcW w:w="2721" w:type="dxa"/>
            <w:textDirection w:val="tbRl"/>
            <w:hideMark/>
          </w:tcPr>
          <w:p w14:paraId="48202B2F" w14:textId="77777777" w:rsidR="004D2E42" w:rsidRPr="007A3600" w:rsidRDefault="004D2E42" w:rsidP="009D1194">
            <w:pPr>
              <w:spacing w:before="40" w:after="80" w:line="288" w:lineRule="auto"/>
              <w:ind w:left="113" w:right="113"/>
              <w:rPr>
                <w:bCs/>
                <w:lang w:val="en-US"/>
              </w:rPr>
            </w:pPr>
            <w:r w:rsidRPr="007A3600">
              <w:rPr>
                <w:bCs/>
                <w:lang w:val="en-US"/>
              </w:rPr>
              <w:t>Total remuneration bands</w:t>
            </w:r>
          </w:p>
        </w:tc>
        <w:tc>
          <w:tcPr>
            <w:tcW w:w="850" w:type="dxa"/>
            <w:textDirection w:val="tbRl"/>
            <w:hideMark/>
          </w:tcPr>
          <w:p w14:paraId="15258CC2" w14:textId="77777777" w:rsidR="004D2E42" w:rsidRPr="007A3600" w:rsidRDefault="004D2E42" w:rsidP="009D1194">
            <w:pPr>
              <w:spacing w:before="40" w:after="80" w:line="288" w:lineRule="auto"/>
              <w:ind w:left="113" w:right="113"/>
              <w:rPr>
                <w:bCs/>
                <w:lang w:val="en-US"/>
              </w:rPr>
            </w:pPr>
            <w:r w:rsidRPr="007A3600">
              <w:rPr>
                <w:bCs/>
                <w:lang w:val="en-US"/>
              </w:rPr>
              <w:t>Number of senior executives</w:t>
            </w:r>
          </w:p>
        </w:tc>
        <w:tc>
          <w:tcPr>
            <w:tcW w:w="1361" w:type="dxa"/>
            <w:textDirection w:val="tbRl"/>
            <w:hideMark/>
          </w:tcPr>
          <w:p w14:paraId="5C95AA6B" w14:textId="77777777" w:rsidR="004D2E42" w:rsidRPr="007A3600" w:rsidRDefault="004D2E42" w:rsidP="009D1194">
            <w:pPr>
              <w:spacing w:before="40" w:after="80" w:line="288" w:lineRule="auto"/>
              <w:ind w:left="113" w:right="113"/>
              <w:rPr>
                <w:bCs/>
                <w:lang w:val="en-US"/>
              </w:rPr>
            </w:pPr>
            <w:r w:rsidRPr="007A3600">
              <w:rPr>
                <w:bCs/>
                <w:lang w:val="en-US"/>
              </w:rPr>
              <w:t>Short-term benefits – average base salary</w:t>
            </w:r>
          </w:p>
        </w:tc>
        <w:tc>
          <w:tcPr>
            <w:tcW w:w="850" w:type="dxa"/>
            <w:textDirection w:val="tbRl"/>
            <w:hideMark/>
          </w:tcPr>
          <w:p w14:paraId="74B7B0B2" w14:textId="77777777" w:rsidR="004D2E42" w:rsidRPr="007A3600" w:rsidRDefault="004D2E42" w:rsidP="009D1194">
            <w:pPr>
              <w:spacing w:before="40" w:after="80" w:line="288" w:lineRule="auto"/>
              <w:ind w:left="113" w:right="113"/>
              <w:rPr>
                <w:bCs/>
                <w:lang w:val="en-US"/>
              </w:rPr>
            </w:pPr>
            <w:r w:rsidRPr="007A3600">
              <w:rPr>
                <w:bCs/>
                <w:lang w:val="en-US"/>
              </w:rPr>
              <w:t>Short-term benefits – average bonuses</w:t>
            </w:r>
          </w:p>
        </w:tc>
        <w:tc>
          <w:tcPr>
            <w:tcW w:w="1417" w:type="dxa"/>
            <w:textDirection w:val="tbRl"/>
            <w:hideMark/>
          </w:tcPr>
          <w:p w14:paraId="46029719" w14:textId="77777777" w:rsidR="004D2E42" w:rsidRPr="007A3600" w:rsidRDefault="004D2E42" w:rsidP="009D1194">
            <w:pPr>
              <w:spacing w:before="40" w:after="80" w:line="288" w:lineRule="auto"/>
              <w:ind w:left="113" w:right="113"/>
              <w:rPr>
                <w:bCs/>
                <w:lang w:val="en-US"/>
              </w:rPr>
            </w:pPr>
            <w:r w:rsidRPr="007A3600">
              <w:rPr>
                <w:bCs/>
                <w:lang w:val="en-US"/>
              </w:rPr>
              <w:t>Short-term benefits – average other benefits and allowances</w:t>
            </w:r>
          </w:p>
        </w:tc>
        <w:tc>
          <w:tcPr>
            <w:tcW w:w="1531" w:type="dxa"/>
            <w:textDirection w:val="tbRl"/>
            <w:hideMark/>
          </w:tcPr>
          <w:p w14:paraId="6C6B6C6D" w14:textId="77777777" w:rsidR="004D2E42" w:rsidRPr="007A3600" w:rsidRDefault="004D2E42" w:rsidP="009D1194">
            <w:pPr>
              <w:spacing w:before="40" w:after="80" w:line="288" w:lineRule="auto"/>
              <w:ind w:left="113" w:right="113"/>
              <w:rPr>
                <w:bCs/>
                <w:lang w:val="en-US"/>
              </w:rPr>
            </w:pPr>
            <w:r w:rsidRPr="007A3600">
              <w:rPr>
                <w:bCs/>
                <w:lang w:val="en-US"/>
              </w:rPr>
              <w:t>Post-employment benefits – average superannuation contributions</w:t>
            </w:r>
          </w:p>
        </w:tc>
        <w:tc>
          <w:tcPr>
            <w:tcW w:w="1134" w:type="dxa"/>
            <w:textDirection w:val="tbRl"/>
            <w:hideMark/>
          </w:tcPr>
          <w:p w14:paraId="702B8356" w14:textId="77777777" w:rsidR="004D2E42" w:rsidRPr="007A3600" w:rsidRDefault="004D2E42" w:rsidP="009D1194">
            <w:pPr>
              <w:spacing w:before="40" w:after="80" w:line="288" w:lineRule="auto"/>
              <w:ind w:left="113" w:right="113"/>
              <w:rPr>
                <w:bCs/>
                <w:lang w:val="en-US"/>
              </w:rPr>
            </w:pPr>
            <w:r w:rsidRPr="007A3600">
              <w:rPr>
                <w:bCs/>
                <w:lang w:val="en-US"/>
              </w:rPr>
              <w:t>Other long-term benefits – average long service leave</w:t>
            </w:r>
          </w:p>
        </w:tc>
        <w:tc>
          <w:tcPr>
            <w:tcW w:w="850" w:type="dxa"/>
            <w:textDirection w:val="tbRl"/>
            <w:hideMark/>
          </w:tcPr>
          <w:p w14:paraId="505A7041" w14:textId="77777777" w:rsidR="004D2E42" w:rsidRPr="007A3600" w:rsidRDefault="004D2E42" w:rsidP="009D1194">
            <w:pPr>
              <w:spacing w:before="40" w:after="80" w:line="288" w:lineRule="auto"/>
              <w:ind w:left="113" w:right="113"/>
              <w:rPr>
                <w:bCs/>
                <w:lang w:val="en-US"/>
              </w:rPr>
            </w:pPr>
            <w:r w:rsidRPr="007A3600">
              <w:rPr>
                <w:bCs/>
                <w:lang w:val="en-US"/>
              </w:rPr>
              <w:t>Average other long-term benefits</w:t>
            </w:r>
          </w:p>
        </w:tc>
        <w:tc>
          <w:tcPr>
            <w:tcW w:w="1134" w:type="dxa"/>
            <w:textDirection w:val="tbRl"/>
            <w:hideMark/>
          </w:tcPr>
          <w:p w14:paraId="38914AC0" w14:textId="77777777" w:rsidR="004D2E42" w:rsidRPr="007A3600" w:rsidRDefault="004D2E42" w:rsidP="009D1194">
            <w:pPr>
              <w:spacing w:before="40" w:after="80" w:line="288" w:lineRule="auto"/>
              <w:ind w:left="113" w:right="113"/>
              <w:rPr>
                <w:bCs/>
                <w:lang w:val="en-US"/>
              </w:rPr>
            </w:pPr>
            <w:r w:rsidRPr="007A3600">
              <w:rPr>
                <w:bCs/>
                <w:lang w:val="en-US"/>
              </w:rPr>
              <w:t>Termination benefits – average termination benefits</w:t>
            </w:r>
          </w:p>
        </w:tc>
        <w:tc>
          <w:tcPr>
            <w:tcW w:w="1417" w:type="dxa"/>
            <w:textDirection w:val="tbRl"/>
            <w:hideMark/>
          </w:tcPr>
          <w:p w14:paraId="38ED791F" w14:textId="77777777" w:rsidR="004D2E42" w:rsidRPr="007A3600" w:rsidRDefault="004D2E42" w:rsidP="009D1194">
            <w:pPr>
              <w:spacing w:before="40" w:after="80" w:line="288" w:lineRule="auto"/>
              <w:ind w:left="113" w:right="113"/>
              <w:rPr>
                <w:bCs/>
                <w:lang w:val="en-US"/>
              </w:rPr>
            </w:pPr>
            <w:r w:rsidRPr="007A3600">
              <w:rPr>
                <w:bCs/>
                <w:lang w:val="en-US"/>
              </w:rPr>
              <w:t>Total remuneration – average total remuneration</w:t>
            </w:r>
          </w:p>
        </w:tc>
      </w:tr>
      <w:tr w:rsidR="0073083D" w:rsidRPr="007A3600" w14:paraId="15DDD949" w14:textId="77777777" w:rsidTr="0073083D">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569009C9" w14:textId="77777777" w:rsidR="0073083D" w:rsidRPr="007A3600" w:rsidRDefault="0073083D" w:rsidP="00AD3197">
            <w:pPr>
              <w:spacing w:before="40" w:after="80" w:line="288" w:lineRule="auto"/>
              <w:rPr>
                <w:lang w:val="en-US"/>
              </w:rPr>
            </w:pPr>
            <w:r w:rsidRPr="007A3600">
              <w:rPr>
                <w:lang w:val="en-US"/>
              </w:rPr>
              <w:t>$0 to $220,000</w:t>
            </w:r>
          </w:p>
        </w:tc>
        <w:tc>
          <w:tcPr>
            <w:tcW w:w="850" w:type="dxa"/>
            <w:hideMark/>
          </w:tcPr>
          <w:p w14:paraId="6ED454A2" w14:textId="77777777" w:rsidR="0073083D" w:rsidRPr="007A3600" w:rsidRDefault="0073083D" w:rsidP="00AD3197">
            <w:pPr>
              <w:spacing w:before="40" w:after="80" w:line="288" w:lineRule="auto"/>
              <w:jc w:val="right"/>
              <w:rPr>
                <w:lang w:val="en-US"/>
              </w:rPr>
            </w:pPr>
            <w:r w:rsidRPr="007A3600">
              <w:rPr>
                <w:lang w:val="en-US"/>
              </w:rPr>
              <w:t>52</w:t>
            </w:r>
          </w:p>
        </w:tc>
        <w:tc>
          <w:tcPr>
            <w:tcW w:w="1361" w:type="dxa"/>
            <w:hideMark/>
          </w:tcPr>
          <w:p w14:paraId="62BFCB47" w14:textId="77777777" w:rsidR="0073083D" w:rsidRPr="007A3600" w:rsidRDefault="0073083D" w:rsidP="00AD3197">
            <w:pPr>
              <w:spacing w:before="40" w:after="80" w:line="288" w:lineRule="auto"/>
              <w:jc w:val="right"/>
              <w:rPr>
                <w:lang w:val="en-US"/>
              </w:rPr>
            </w:pPr>
            <w:r w:rsidRPr="007A3600">
              <w:rPr>
                <w:lang w:val="en-US"/>
              </w:rPr>
              <w:t>$98,042</w:t>
            </w:r>
          </w:p>
        </w:tc>
        <w:tc>
          <w:tcPr>
            <w:tcW w:w="850" w:type="dxa"/>
            <w:hideMark/>
          </w:tcPr>
          <w:p w14:paraId="72E64984" w14:textId="1792F4BB"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079F4E48" w14:textId="77777777" w:rsidR="0073083D" w:rsidRPr="007A3600" w:rsidRDefault="0073083D" w:rsidP="00AD3197">
            <w:pPr>
              <w:spacing w:before="40" w:after="80" w:line="288" w:lineRule="auto"/>
              <w:jc w:val="right"/>
              <w:rPr>
                <w:lang w:val="en-US"/>
              </w:rPr>
            </w:pPr>
            <w:r w:rsidRPr="007A3600">
              <w:rPr>
                <w:lang w:val="en-US"/>
              </w:rPr>
              <w:t>$1,749</w:t>
            </w:r>
          </w:p>
        </w:tc>
        <w:tc>
          <w:tcPr>
            <w:tcW w:w="1531" w:type="dxa"/>
            <w:hideMark/>
          </w:tcPr>
          <w:p w14:paraId="058AE76B" w14:textId="77777777" w:rsidR="0073083D" w:rsidRPr="007A3600" w:rsidRDefault="0073083D" w:rsidP="00AD3197">
            <w:pPr>
              <w:spacing w:before="40" w:after="80" w:line="288" w:lineRule="auto"/>
              <w:jc w:val="right"/>
              <w:rPr>
                <w:lang w:val="en-US"/>
              </w:rPr>
            </w:pPr>
            <w:r w:rsidRPr="007A3600">
              <w:rPr>
                <w:lang w:val="en-US"/>
              </w:rPr>
              <w:t>$14,565</w:t>
            </w:r>
          </w:p>
        </w:tc>
        <w:tc>
          <w:tcPr>
            <w:tcW w:w="1134" w:type="dxa"/>
            <w:hideMark/>
          </w:tcPr>
          <w:p w14:paraId="3CDC9D62" w14:textId="77777777" w:rsidR="0073083D" w:rsidRPr="007A3600" w:rsidRDefault="0073083D" w:rsidP="00AD3197">
            <w:pPr>
              <w:spacing w:before="40" w:after="80" w:line="288" w:lineRule="auto"/>
              <w:jc w:val="right"/>
              <w:rPr>
                <w:lang w:val="en-US"/>
              </w:rPr>
            </w:pPr>
            <w:r w:rsidRPr="007A3600">
              <w:rPr>
                <w:lang w:val="en-US"/>
              </w:rPr>
              <w:t>$2,458</w:t>
            </w:r>
          </w:p>
        </w:tc>
        <w:tc>
          <w:tcPr>
            <w:tcW w:w="850" w:type="dxa"/>
            <w:hideMark/>
          </w:tcPr>
          <w:p w14:paraId="768E8434" w14:textId="3B8ACB1C"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5472A34B" w14:textId="77777777" w:rsidR="0073083D" w:rsidRPr="007A3600" w:rsidRDefault="0073083D" w:rsidP="00AD3197">
            <w:pPr>
              <w:spacing w:before="40" w:after="80" w:line="288" w:lineRule="auto"/>
              <w:jc w:val="right"/>
              <w:rPr>
                <w:lang w:val="en-US"/>
              </w:rPr>
            </w:pPr>
            <w:r w:rsidRPr="007A3600">
              <w:rPr>
                <w:lang w:val="en-US"/>
              </w:rPr>
              <w:t>$701</w:t>
            </w:r>
          </w:p>
        </w:tc>
        <w:tc>
          <w:tcPr>
            <w:tcW w:w="1417" w:type="dxa"/>
            <w:hideMark/>
          </w:tcPr>
          <w:p w14:paraId="4CEF5D5F" w14:textId="77777777" w:rsidR="0073083D" w:rsidRPr="007A3600" w:rsidRDefault="0073083D" w:rsidP="00AD3197">
            <w:pPr>
              <w:spacing w:before="40" w:after="80" w:line="288" w:lineRule="auto"/>
              <w:jc w:val="right"/>
              <w:rPr>
                <w:lang w:val="en-US"/>
              </w:rPr>
            </w:pPr>
            <w:r w:rsidRPr="007A3600">
              <w:rPr>
                <w:lang w:val="en-US"/>
              </w:rPr>
              <w:t>$117,515</w:t>
            </w:r>
          </w:p>
        </w:tc>
      </w:tr>
      <w:tr w:rsidR="0073083D" w:rsidRPr="007A3600" w14:paraId="65300270" w14:textId="77777777" w:rsidTr="007049C5">
        <w:trPr>
          <w:trHeight w:val="297"/>
        </w:trPr>
        <w:tc>
          <w:tcPr>
            <w:tcW w:w="2721" w:type="dxa"/>
            <w:hideMark/>
          </w:tcPr>
          <w:p w14:paraId="7AE57BD7" w14:textId="77777777" w:rsidR="0073083D" w:rsidRPr="007A3600" w:rsidRDefault="0073083D" w:rsidP="00AD3197">
            <w:pPr>
              <w:spacing w:before="40" w:after="80" w:line="288" w:lineRule="auto"/>
              <w:rPr>
                <w:lang w:val="en-US"/>
              </w:rPr>
            </w:pPr>
            <w:r w:rsidRPr="007A3600">
              <w:rPr>
                <w:lang w:val="en-US"/>
              </w:rPr>
              <w:t>$220,001 to $245,000</w:t>
            </w:r>
          </w:p>
        </w:tc>
        <w:tc>
          <w:tcPr>
            <w:tcW w:w="850" w:type="dxa"/>
            <w:hideMark/>
          </w:tcPr>
          <w:p w14:paraId="50CCDB65" w14:textId="77777777" w:rsidR="0073083D" w:rsidRPr="007A3600" w:rsidRDefault="0073083D" w:rsidP="00AD3197">
            <w:pPr>
              <w:spacing w:before="40" w:after="80" w:line="288" w:lineRule="auto"/>
              <w:jc w:val="right"/>
              <w:rPr>
                <w:lang w:val="en-US"/>
              </w:rPr>
            </w:pPr>
            <w:r w:rsidRPr="007A3600">
              <w:rPr>
                <w:lang w:val="en-US"/>
              </w:rPr>
              <w:t>12</w:t>
            </w:r>
          </w:p>
        </w:tc>
        <w:tc>
          <w:tcPr>
            <w:tcW w:w="1361" w:type="dxa"/>
            <w:hideMark/>
          </w:tcPr>
          <w:p w14:paraId="5E0987EF" w14:textId="77777777" w:rsidR="0073083D" w:rsidRPr="007A3600" w:rsidRDefault="0073083D" w:rsidP="00AD3197">
            <w:pPr>
              <w:spacing w:before="40" w:after="80" w:line="288" w:lineRule="auto"/>
              <w:jc w:val="right"/>
              <w:rPr>
                <w:lang w:val="en-US"/>
              </w:rPr>
            </w:pPr>
            <w:r w:rsidRPr="007A3600">
              <w:rPr>
                <w:lang w:val="en-US"/>
              </w:rPr>
              <w:t>$200,297</w:t>
            </w:r>
          </w:p>
        </w:tc>
        <w:tc>
          <w:tcPr>
            <w:tcW w:w="850" w:type="dxa"/>
            <w:hideMark/>
          </w:tcPr>
          <w:p w14:paraId="2EB0B84A" w14:textId="7BC36F17"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4C9AA7E7" w14:textId="77777777" w:rsidR="0073083D" w:rsidRPr="007A3600" w:rsidRDefault="0073083D" w:rsidP="00AD3197">
            <w:pPr>
              <w:spacing w:before="40" w:after="80" w:line="288" w:lineRule="auto"/>
              <w:jc w:val="right"/>
              <w:rPr>
                <w:lang w:val="en-US"/>
              </w:rPr>
            </w:pPr>
            <w:r w:rsidRPr="007A3600">
              <w:rPr>
                <w:lang w:val="en-US"/>
              </w:rPr>
              <w:t>$84</w:t>
            </w:r>
          </w:p>
        </w:tc>
        <w:tc>
          <w:tcPr>
            <w:tcW w:w="1531" w:type="dxa"/>
            <w:hideMark/>
          </w:tcPr>
          <w:p w14:paraId="64282B86" w14:textId="77777777" w:rsidR="0073083D" w:rsidRPr="007A3600" w:rsidRDefault="0073083D" w:rsidP="00AD3197">
            <w:pPr>
              <w:spacing w:before="40" w:after="80" w:line="288" w:lineRule="auto"/>
              <w:jc w:val="right"/>
              <w:rPr>
                <w:lang w:val="en-US"/>
              </w:rPr>
            </w:pPr>
            <w:r w:rsidRPr="007A3600">
              <w:rPr>
                <w:lang w:val="en-US"/>
              </w:rPr>
              <w:t>$28,906</w:t>
            </w:r>
          </w:p>
        </w:tc>
        <w:tc>
          <w:tcPr>
            <w:tcW w:w="1134" w:type="dxa"/>
            <w:hideMark/>
          </w:tcPr>
          <w:p w14:paraId="741A8F04" w14:textId="77777777" w:rsidR="0073083D" w:rsidRPr="007A3600" w:rsidRDefault="0073083D" w:rsidP="00AD3197">
            <w:pPr>
              <w:spacing w:before="40" w:after="80" w:line="288" w:lineRule="auto"/>
              <w:jc w:val="right"/>
              <w:rPr>
                <w:lang w:val="en-US"/>
              </w:rPr>
            </w:pPr>
            <w:r w:rsidRPr="007A3600">
              <w:rPr>
                <w:lang w:val="en-US"/>
              </w:rPr>
              <w:t>$5,312</w:t>
            </w:r>
          </w:p>
        </w:tc>
        <w:tc>
          <w:tcPr>
            <w:tcW w:w="850" w:type="dxa"/>
            <w:hideMark/>
          </w:tcPr>
          <w:p w14:paraId="39ED7667" w14:textId="2204E49D"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65E42143" w14:textId="288C8EB9"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7BDCEAFE" w14:textId="77777777" w:rsidR="0073083D" w:rsidRPr="007A3600" w:rsidRDefault="0073083D" w:rsidP="00AD3197">
            <w:pPr>
              <w:spacing w:before="40" w:after="80" w:line="288" w:lineRule="auto"/>
              <w:jc w:val="right"/>
              <w:rPr>
                <w:lang w:val="en-US"/>
              </w:rPr>
            </w:pPr>
            <w:r w:rsidRPr="007A3600">
              <w:rPr>
                <w:lang w:val="en-US"/>
              </w:rPr>
              <w:t>$234,599</w:t>
            </w:r>
          </w:p>
        </w:tc>
      </w:tr>
      <w:tr w:rsidR="0073083D" w:rsidRPr="007A3600" w14:paraId="209E4C68" w14:textId="77777777" w:rsidTr="0073083D">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7DDA7FBD" w14:textId="77777777" w:rsidR="0073083D" w:rsidRPr="007A3600" w:rsidRDefault="0073083D" w:rsidP="00AD3197">
            <w:pPr>
              <w:spacing w:before="40" w:after="80" w:line="288" w:lineRule="auto"/>
              <w:rPr>
                <w:lang w:val="en-US"/>
              </w:rPr>
            </w:pPr>
            <w:r w:rsidRPr="007A3600">
              <w:rPr>
                <w:lang w:val="en-US"/>
              </w:rPr>
              <w:t>$245,001 to $270,000</w:t>
            </w:r>
          </w:p>
        </w:tc>
        <w:tc>
          <w:tcPr>
            <w:tcW w:w="850" w:type="dxa"/>
            <w:hideMark/>
          </w:tcPr>
          <w:p w14:paraId="42637BEF" w14:textId="77777777" w:rsidR="0073083D" w:rsidRPr="007A3600" w:rsidRDefault="0073083D" w:rsidP="00AD3197">
            <w:pPr>
              <w:spacing w:before="40" w:after="80" w:line="288" w:lineRule="auto"/>
              <w:jc w:val="right"/>
              <w:rPr>
                <w:lang w:val="en-US"/>
              </w:rPr>
            </w:pPr>
            <w:r w:rsidRPr="007A3600">
              <w:rPr>
                <w:lang w:val="en-US"/>
              </w:rPr>
              <w:t>20</w:t>
            </w:r>
          </w:p>
        </w:tc>
        <w:tc>
          <w:tcPr>
            <w:tcW w:w="1361" w:type="dxa"/>
            <w:hideMark/>
          </w:tcPr>
          <w:p w14:paraId="7D96467A" w14:textId="77777777" w:rsidR="0073083D" w:rsidRPr="007A3600" w:rsidRDefault="0073083D" w:rsidP="00AD3197">
            <w:pPr>
              <w:spacing w:before="40" w:after="80" w:line="288" w:lineRule="auto"/>
              <w:jc w:val="right"/>
              <w:rPr>
                <w:lang w:val="en-US"/>
              </w:rPr>
            </w:pPr>
            <w:r w:rsidRPr="007A3600">
              <w:rPr>
                <w:lang w:val="en-US"/>
              </w:rPr>
              <w:t>$221,237</w:t>
            </w:r>
          </w:p>
        </w:tc>
        <w:tc>
          <w:tcPr>
            <w:tcW w:w="850" w:type="dxa"/>
            <w:hideMark/>
          </w:tcPr>
          <w:p w14:paraId="091AC18A" w14:textId="1389B84C"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27F917D" w14:textId="77777777" w:rsidR="0073083D" w:rsidRPr="007A3600" w:rsidRDefault="0073083D" w:rsidP="00AD3197">
            <w:pPr>
              <w:spacing w:before="40" w:after="80" w:line="288" w:lineRule="auto"/>
              <w:jc w:val="right"/>
              <w:rPr>
                <w:lang w:val="en-US"/>
              </w:rPr>
            </w:pPr>
            <w:r w:rsidRPr="007A3600">
              <w:rPr>
                <w:lang w:val="en-US"/>
              </w:rPr>
              <w:t>$121</w:t>
            </w:r>
          </w:p>
        </w:tc>
        <w:tc>
          <w:tcPr>
            <w:tcW w:w="1531" w:type="dxa"/>
            <w:hideMark/>
          </w:tcPr>
          <w:p w14:paraId="52FD57C1" w14:textId="77777777" w:rsidR="0073083D" w:rsidRPr="007A3600" w:rsidRDefault="0073083D" w:rsidP="00AD3197">
            <w:pPr>
              <w:spacing w:before="40" w:after="80" w:line="288" w:lineRule="auto"/>
              <w:jc w:val="right"/>
              <w:rPr>
                <w:lang w:val="en-US"/>
              </w:rPr>
            </w:pPr>
            <w:r w:rsidRPr="007A3600">
              <w:rPr>
                <w:lang w:val="en-US"/>
              </w:rPr>
              <w:t>$30,595</w:t>
            </w:r>
          </w:p>
        </w:tc>
        <w:tc>
          <w:tcPr>
            <w:tcW w:w="1134" w:type="dxa"/>
            <w:hideMark/>
          </w:tcPr>
          <w:p w14:paraId="5C1C5DCE" w14:textId="77777777" w:rsidR="0073083D" w:rsidRPr="007A3600" w:rsidRDefault="0073083D" w:rsidP="00AD3197">
            <w:pPr>
              <w:spacing w:before="40" w:after="80" w:line="288" w:lineRule="auto"/>
              <w:jc w:val="right"/>
              <w:rPr>
                <w:lang w:val="en-US"/>
              </w:rPr>
            </w:pPr>
            <w:r w:rsidRPr="007A3600">
              <w:rPr>
                <w:lang w:val="en-US"/>
              </w:rPr>
              <w:t>$5,688</w:t>
            </w:r>
          </w:p>
        </w:tc>
        <w:tc>
          <w:tcPr>
            <w:tcW w:w="850" w:type="dxa"/>
            <w:hideMark/>
          </w:tcPr>
          <w:p w14:paraId="474787BE" w14:textId="47A2F728"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1E2F710C" w14:textId="0BFD80F7"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1D1097DA" w14:textId="77777777" w:rsidR="0073083D" w:rsidRPr="007A3600" w:rsidRDefault="0073083D" w:rsidP="00AD3197">
            <w:pPr>
              <w:spacing w:before="40" w:after="80" w:line="288" w:lineRule="auto"/>
              <w:jc w:val="right"/>
              <w:rPr>
                <w:lang w:val="en-US"/>
              </w:rPr>
            </w:pPr>
            <w:r w:rsidRPr="007A3600">
              <w:rPr>
                <w:lang w:val="en-US"/>
              </w:rPr>
              <w:t>$257,641</w:t>
            </w:r>
          </w:p>
        </w:tc>
      </w:tr>
      <w:tr w:rsidR="0073083D" w:rsidRPr="007A3600" w14:paraId="7B5AFC52" w14:textId="77777777" w:rsidTr="007049C5">
        <w:trPr>
          <w:trHeight w:val="297"/>
        </w:trPr>
        <w:tc>
          <w:tcPr>
            <w:tcW w:w="2721" w:type="dxa"/>
            <w:hideMark/>
          </w:tcPr>
          <w:p w14:paraId="73E5ECD2" w14:textId="77777777" w:rsidR="0073083D" w:rsidRPr="007A3600" w:rsidRDefault="0073083D" w:rsidP="00AD3197">
            <w:pPr>
              <w:spacing w:before="40" w:after="80" w:line="288" w:lineRule="auto"/>
              <w:rPr>
                <w:lang w:val="en-US"/>
              </w:rPr>
            </w:pPr>
            <w:r w:rsidRPr="007A3600">
              <w:rPr>
                <w:lang w:val="en-US"/>
              </w:rPr>
              <w:t>$270,001 to $295,000</w:t>
            </w:r>
          </w:p>
        </w:tc>
        <w:tc>
          <w:tcPr>
            <w:tcW w:w="850" w:type="dxa"/>
            <w:hideMark/>
          </w:tcPr>
          <w:p w14:paraId="56BB3996" w14:textId="77777777" w:rsidR="0073083D" w:rsidRPr="007A3600" w:rsidRDefault="0073083D" w:rsidP="00AD3197">
            <w:pPr>
              <w:spacing w:before="40" w:after="80" w:line="288" w:lineRule="auto"/>
              <w:jc w:val="right"/>
              <w:rPr>
                <w:lang w:val="en-US"/>
              </w:rPr>
            </w:pPr>
            <w:r w:rsidRPr="007A3600">
              <w:rPr>
                <w:lang w:val="en-US"/>
              </w:rPr>
              <w:t>19</w:t>
            </w:r>
          </w:p>
        </w:tc>
        <w:tc>
          <w:tcPr>
            <w:tcW w:w="1361" w:type="dxa"/>
            <w:hideMark/>
          </w:tcPr>
          <w:p w14:paraId="679D0EB9" w14:textId="77777777" w:rsidR="0073083D" w:rsidRPr="007A3600" w:rsidRDefault="0073083D" w:rsidP="00AD3197">
            <w:pPr>
              <w:spacing w:before="40" w:after="80" w:line="288" w:lineRule="auto"/>
              <w:jc w:val="right"/>
              <w:rPr>
                <w:lang w:val="en-US"/>
              </w:rPr>
            </w:pPr>
            <w:r w:rsidRPr="007A3600">
              <w:rPr>
                <w:lang w:val="en-US"/>
              </w:rPr>
              <w:t>$234,701</w:t>
            </w:r>
          </w:p>
        </w:tc>
        <w:tc>
          <w:tcPr>
            <w:tcW w:w="850" w:type="dxa"/>
            <w:hideMark/>
          </w:tcPr>
          <w:p w14:paraId="0F4ACA3E" w14:textId="257007AA"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433D69BD" w14:textId="77777777" w:rsidR="0073083D" w:rsidRPr="007A3600" w:rsidRDefault="0073083D" w:rsidP="00AD3197">
            <w:pPr>
              <w:spacing w:before="40" w:after="80" w:line="288" w:lineRule="auto"/>
              <w:jc w:val="right"/>
              <w:rPr>
                <w:lang w:val="en-US"/>
              </w:rPr>
            </w:pPr>
            <w:r w:rsidRPr="007A3600">
              <w:rPr>
                <w:lang w:val="en-US"/>
              </w:rPr>
              <w:t>$742</w:t>
            </w:r>
          </w:p>
        </w:tc>
        <w:tc>
          <w:tcPr>
            <w:tcW w:w="1531" w:type="dxa"/>
            <w:hideMark/>
          </w:tcPr>
          <w:p w14:paraId="260E60DD" w14:textId="77777777" w:rsidR="0073083D" w:rsidRPr="007A3600" w:rsidRDefault="0073083D" w:rsidP="00AD3197">
            <w:pPr>
              <w:spacing w:before="40" w:after="80" w:line="288" w:lineRule="auto"/>
              <w:jc w:val="right"/>
              <w:rPr>
                <w:lang w:val="en-US"/>
              </w:rPr>
            </w:pPr>
            <w:r w:rsidRPr="007A3600">
              <w:rPr>
                <w:lang w:val="en-US"/>
              </w:rPr>
              <w:t>$35,613</w:t>
            </w:r>
          </w:p>
        </w:tc>
        <w:tc>
          <w:tcPr>
            <w:tcW w:w="1134" w:type="dxa"/>
            <w:hideMark/>
          </w:tcPr>
          <w:p w14:paraId="10A6B2AA" w14:textId="77777777" w:rsidR="0073083D" w:rsidRPr="007A3600" w:rsidRDefault="0073083D" w:rsidP="00AD3197">
            <w:pPr>
              <w:spacing w:before="40" w:after="80" w:line="288" w:lineRule="auto"/>
              <w:jc w:val="right"/>
              <w:rPr>
                <w:lang w:val="en-US"/>
              </w:rPr>
            </w:pPr>
            <w:r w:rsidRPr="007A3600">
              <w:rPr>
                <w:lang w:val="en-US"/>
              </w:rPr>
              <w:t>$6,149</w:t>
            </w:r>
          </w:p>
        </w:tc>
        <w:tc>
          <w:tcPr>
            <w:tcW w:w="850" w:type="dxa"/>
            <w:hideMark/>
          </w:tcPr>
          <w:p w14:paraId="6620D5F5" w14:textId="1507B88D"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14BD0CAC" w14:textId="77777777" w:rsidR="0073083D" w:rsidRPr="007A3600" w:rsidRDefault="0073083D" w:rsidP="00AD3197">
            <w:pPr>
              <w:spacing w:before="40" w:after="80" w:line="288" w:lineRule="auto"/>
              <w:jc w:val="right"/>
              <w:rPr>
                <w:lang w:val="en-US"/>
              </w:rPr>
            </w:pPr>
            <w:r w:rsidRPr="007A3600">
              <w:rPr>
                <w:lang w:val="en-US"/>
              </w:rPr>
              <w:t>$5,649</w:t>
            </w:r>
          </w:p>
        </w:tc>
        <w:tc>
          <w:tcPr>
            <w:tcW w:w="1417" w:type="dxa"/>
            <w:hideMark/>
          </w:tcPr>
          <w:p w14:paraId="339BCED8" w14:textId="77777777" w:rsidR="0073083D" w:rsidRPr="007A3600" w:rsidRDefault="0073083D" w:rsidP="00AD3197">
            <w:pPr>
              <w:spacing w:before="40" w:after="80" w:line="288" w:lineRule="auto"/>
              <w:jc w:val="right"/>
              <w:rPr>
                <w:lang w:val="en-US"/>
              </w:rPr>
            </w:pPr>
            <w:r w:rsidRPr="007A3600">
              <w:rPr>
                <w:lang w:val="en-US"/>
              </w:rPr>
              <w:t>$282,854</w:t>
            </w:r>
          </w:p>
        </w:tc>
      </w:tr>
      <w:tr w:rsidR="0073083D" w:rsidRPr="007A3600" w14:paraId="6A7F5747" w14:textId="77777777" w:rsidTr="0073083D">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6C8EDD68" w14:textId="77777777" w:rsidR="0073083D" w:rsidRPr="007A3600" w:rsidRDefault="0073083D" w:rsidP="00AD3197">
            <w:pPr>
              <w:spacing w:before="40" w:after="80" w:line="288" w:lineRule="auto"/>
              <w:rPr>
                <w:lang w:val="en-US"/>
              </w:rPr>
            </w:pPr>
            <w:r w:rsidRPr="007A3600">
              <w:rPr>
                <w:lang w:val="en-US"/>
              </w:rPr>
              <w:t>$295,001 to $320,000</w:t>
            </w:r>
          </w:p>
        </w:tc>
        <w:tc>
          <w:tcPr>
            <w:tcW w:w="850" w:type="dxa"/>
            <w:hideMark/>
          </w:tcPr>
          <w:p w14:paraId="3FD0D64B" w14:textId="77777777" w:rsidR="0073083D" w:rsidRPr="007A3600" w:rsidRDefault="0073083D" w:rsidP="00AD3197">
            <w:pPr>
              <w:spacing w:before="40" w:after="80" w:line="288" w:lineRule="auto"/>
              <w:jc w:val="right"/>
              <w:rPr>
                <w:lang w:val="en-US"/>
              </w:rPr>
            </w:pPr>
            <w:r w:rsidRPr="007A3600">
              <w:rPr>
                <w:lang w:val="en-US"/>
              </w:rPr>
              <w:t>14</w:t>
            </w:r>
          </w:p>
        </w:tc>
        <w:tc>
          <w:tcPr>
            <w:tcW w:w="1361" w:type="dxa"/>
            <w:hideMark/>
          </w:tcPr>
          <w:p w14:paraId="49B9CA4C" w14:textId="77777777" w:rsidR="0073083D" w:rsidRPr="007A3600" w:rsidRDefault="0073083D" w:rsidP="00AD3197">
            <w:pPr>
              <w:spacing w:before="40" w:after="80" w:line="288" w:lineRule="auto"/>
              <w:jc w:val="right"/>
              <w:rPr>
                <w:lang w:val="en-US"/>
              </w:rPr>
            </w:pPr>
            <w:r w:rsidRPr="007A3600">
              <w:rPr>
                <w:lang w:val="en-US"/>
              </w:rPr>
              <w:t>$261,358</w:t>
            </w:r>
          </w:p>
        </w:tc>
        <w:tc>
          <w:tcPr>
            <w:tcW w:w="850" w:type="dxa"/>
            <w:hideMark/>
          </w:tcPr>
          <w:p w14:paraId="77929149" w14:textId="55E2C63E"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4CDC88E4" w14:textId="77777777" w:rsidR="0073083D" w:rsidRPr="007A3600" w:rsidRDefault="0073083D" w:rsidP="00AD3197">
            <w:pPr>
              <w:spacing w:before="40" w:after="80" w:line="288" w:lineRule="auto"/>
              <w:jc w:val="right"/>
              <w:rPr>
                <w:lang w:val="en-US"/>
              </w:rPr>
            </w:pPr>
            <w:r w:rsidRPr="007A3600">
              <w:rPr>
                <w:lang w:val="en-US"/>
              </w:rPr>
              <w:t>$283</w:t>
            </w:r>
          </w:p>
        </w:tc>
        <w:tc>
          <w:tcPr>
            <w:tcW w:w="1531" w:type="dxa"/>
            <w:hideMark/>
          </w:tcPr>
          <w:p w14:paraId="437C77E8" w14:textId="77777777" w:rsidR="0073083D" w:rsidRPr="007A3600" w:rsidRDefault="0073083D" w:rsidP="00AD3197">
            <w:pPr>
              <w:spacing w:before="40" w:after="80" w:line="288" w:lineRule="auto"/>
              <w:jc w:val="right"/>
              <w:rPr>
                <w:lang w:val="en-US"/>
              </w:rPr>
            </w:pPr>
            <w:r w:rsidRPr="007A3600">
              <w:rPr>
                <w:lang w:val="en-US"/>
              </w:rPr>
              <w:t>$38,845</w:t>
            </w:r>
          </w:p>
        </w:tc>
        <w:tc>
          <w:tcPr>
            <w:tcW w:w="1134" w:type="dxa"/>
            <w:hideMark/>
          </w:tcPr>
          <w:p w14:paraId="1910DA66" w14:textId="77777777" w:rsidR="0073083D" w:rsidRPr="007A3600" w:rsidRDefault="0073083D" w:rsidP="00AD3197">
            <w:pPr>
              <w:spacing w:before="40" w:after="80" w:line="288" w:lineRule="auto"/>
              <w:jc w:val="right"/>
              <w:rPr>
                <w:lang w:val="en-US"/>
              </w:rPr>
            </w:pPr>
            <w:r w:rsidRPr="007A3600">
              <w:rPr>
                <w:lang w:val="en-US"/>
              </w:rPr>
              <w:t>$6,827</w:t>
            </w:r>
          </w:p>
        </w:tc>
        <w:tc>
          <w:tcPr>
            <w:tcW w:w="850" w:type="dxa"/>
            <w:hideMark/>
          </w:tcPr>
          <w:p w14:paraId="369729BC" w14:textId="788F2F2E"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6028F15A" w14:textId="3291F2A8"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1DC004A8" w14:textId="77777777" w:rsidR="0073083D" w:rsidRPr="007A3600" w:rsidRDefault="0073083D" w:rsidP="00AD3197">
            <w:pPr>
              <w:spacing w:before="40" w:after="80" w:line="288" w:lineRule="auto"/>
              <w:jc w:val="right"/>
              <w:rPr>
                <w:lang w:val="en-US"/>
              </w:rPr>
            </w:pPr>
            <w:r w:rsidRPr="007A3600">
              <w:rPr>
                <w:lang w:val="en-US"/>
              </w:rPr>
              <w:t>$307,313</w:t>
            </w:r>
          </w:p>
        </w:tc>
      </w:tr>
      <w:tr w:rsidR="0073083D" w:rsidRPr="007A3600" w14:paraId="275954CE" w14:textId="77777777" w:rsidTr="007049C5">
        <w:trPr>
          <w:trHeight w:val="297"/>
        </w:trPr>
        <w:tc>
          <w:tcPr>
            <w:tcW w:w="2721" w:type="dxa"/>
            <w:hideMark/>
          </w:tcPr>
          <w:p w14:paraId="32442C1D" w14:textId="77777777" w:rsidR="0073083D" w:rsidRPr="007A3600" w:rsidRDefault="0073083D" w:rsidP="00AD3197">
            <w:pPr>
              <w:spacing w:before="40" w:after="80" w:line="288" w:lineRule="auto"/>
              <w:rPr>
                <w:lang w:val="en-US"/>
              </w:rPr>
            </w:pPr>
            <w:r w:rsidRPr="007A3600">
              <w:rPr>
                <w:lang w:val="en-US"/>
              </w:rPr>
              <w:t>$320,001 to $345,000</w:t>
            </w:r>
          </w:p>
        </w:tc>
        <w:tc>
          <w:tcPr>
            <w:tcW w:w="850" w:type="dxa"/>
            <w:hideMark/>
          </w:tcPr>
          <w:p w14:paraId="7C5D2EE5" w14:textId="77777777" w:rsidR="0073083D" w:rsidRPr="007A3600" w:rsidRDefault="0073083D" w:rsidP="00AD3197">
            <w:pPr>
              <w:spacing w:before="40" w:after="80" w:line="288" w:lineRule="auto"/>
              <w:jc w:val="right"/>
              <w:rPr>
                <w:lang w:val="en-US"/>
              </w:rPr>
            </w:pPr>
            <w:r w:rsidRPr="007A3600">
              <w:rPr>
                <w:lang w:val="en-US"/>
              </w:rPr>
              <w:t>10</w:t>
            </w:r>
          </w:p>
        </w:tc>
        <w:tc>
          <w:tcPr>
            <w:tcW w:w="1361" w:type="dxa"/>
            <w:hideMark/>
          </w:tcPr>
          <w:p w14:paraId="1DDD09A5" w14:textId="77777777" w:rsidR="0073083D" w:rsidRPr="007A3600" w:rsidRDefault="0073083D" w:rsidP="00AD3197">
            <w:pPr>
              <w:spacing w:before="40" w:after="80" w:line="288" w:lineRule="auto"/>
              <w:jc w:val="right"/>
              <w:rPr>
                <w:lang w:val="en-US"/>
              </w:rPr>
            </w:pPr>
            <w:r w:rsidRPr="007A3600">
              <w:rPr>
                <w:lang w:val="en-US"/>
              </w:rPr>
              <w:t>$276,927</w:t>
            </w:r>
          </w:p>
        </w:tc>
        <w:tc>
          <w:tcPr>
            <w:tcW w:w="850" w:type="dxa"/>
            <w:hideMark/>
          </w:tcPr>
          <w:p w14:paraId="43C7BB8F" w14:textId="77DC2F48"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07334C3" w14:textId="77777777" w:rsidR="0073083D" w:rsidRPr="007A3600" w:rsidRDefault="0073083D" w:rsidP="00AD3197">
            <w:pPr>
              <w:spacing w:before="40" w:after="80" w:line="288" w:lineRule="auto"/>
              <w:jc w:val="right"/>
              <w:rPr>
                <w:lang w:val="en-US"/>
              </w:rPr>
            </w:pPr>
            <w:r w:rsidRPr="007A3600">
              <w:rPr>
                <w:lang w:val="en-US"/>
              </w:rPr>
              <w:t>$240</w:t>
            </w:r>
          </w:p>
        </w:tc>
        <w:tc>
          <w:tcPr>
            <w:tcW w:w="1531" w:type="dxa"/>
            <w:hideMark/>
          </w:tcPr>
          <w:p w14:paraId="3EBC188C" w14:textId="77777777" w:rsidR="0073083D" w:rsidRPr="007A3600" w:rsidRDefault="0073083D" w:rsidP="00AD3197">
            <w:pPr>
              <w:spacing w:before="40" w:after="80" w:line="288" w:lineRule="auto"/>
              <w:jc w:val="right"/>
              <w:rPr>
                <w:lang w:val="en-US"/>
              </w:rPr>
            </w:pPr>
            <w:r w:rsidRPr="007A3600">
              <w:rPr>
                <w:lang w:val="en-US"/>
              </w:rPr>
              <w:t>$43,115</w:t>
            </w:r>
          </w:p>
        </w:tc>
        <w:tc>
          <w:tcPr>
            <w:tcW w:w="1134" w:type="dxa"/>
            <w:hideMark/>
          </w:tcPr>
          <w:p w14:paraId="5106886D" w14:textId="77777777" w:rsidR="0073083D" w:rsidRPr="007A3600" w:rsidRDefault="0073083D" w:rsidP="00AD3197">
            <w:pPr>
              <w:spacing w:before="40" w:after="80" w:line="288" w:lineRule="auto"/>
              <w:jc w:val="right"/>
              <w:rPr>
                <w:lang w:val="en-US"/>
              </w:rPr>
            </w:pPr>
            <w:r w:rsidRPr="007A3600">
              <w:rPr>
                <w:lang w:val="en-US"/>
              </w:rPr>
              <w:t>$7,191</w:t>
            </w:r>
          </w:p>
        </w:tc>
        <w:tc>
          <w:tcPr>
            <w:tcW w:w="850" w:type="dxa"/>
            <w:hideMark/>
          </w:tcPr>
          <w:p w14:paraId="02ACA813" w14:textId="4EAA7583"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34B898A6" w14:textId="1AF33CED"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28C4F78B" w14:textId="77777777" w:rsidR="0073083D" w:rsidRPr="007A3600" w:rsidRDefault="0073083D" w:rsidP="00AD3197">
            <w:pPr>
              <w:spacing w:before="40" w:after="80" w:line="288" w:lineRule="auto"/>
              <w:jc w:val="right"/>
              <w:rPr>
                <w:lang w:val="en-US"/>
              </w:rPr>
            </w:pPr>
            <w:r w:rsidRPr="007A3600">
              <w:rPr>
                <w:lang w:val="en-US"/>
              </w:rPr>
              <w:t>$327,473</w:t>
            </w:r>
          </w:p>
        </w:tc>
      </w:tr>
      <w:tr w:rsidR="0073083D" w:rsidRPr="007A3600" w14:paraId="6E68DFB1" w14:textId="77777777" w:rsidTr="0073083D">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29173D5A" w14:textId="77777777" w:rsidR="0073083D" w:rsidRPr="007A3600" w:rsidRDefault="0073083D" w:rsidP="00AD3197">
            <w:pPr>
              <w:spacing w:before="40" w:after="80" w:line="288" w:lineRule="auto"/>
              <w:rPr>
                <w:lang w:val="en-US"/>
              </w:rPr>
            </w:pPr>
            <w:r w:rsidRPr="007A3600">
              <w:rPr>
                <w:lang w:val="en-US"/>
              </w:rPr>
              <w:t>$345,001 to $370,000</w:t>
            </w:r>
          </w:p>
        </w:tc>
        <w:tc>
          <w:tcPr>
            <w:tcW w:w="850" w:type="dxa"/>
            <w:hideMark/>
          </w:tcPr>
          <w:p w14:paraId="7B99695A" w14:textId="77777777" w:rsidR="0073083D" w:rsidRPr="007A3600" w:rsidRDefault="0073083D" w:rsidP="00AD3197">
            <w:pPr>
              <w:spacing w:before="40" w:after="80" w:line="288" w:lineRule="auto"/>
              <w:jc w:val="right"/>
              <w:rPr>
                <w:lang w:val="en-US"/>
              </w:rPr>
            </w:pPr>
            <w:r w:rsidRPr="007A3600">
              <w:rPr>
                <w:lang w:val="en-US"/>
              </w:rPr>
              <w:t>10</w:t>
            </w:r>
          </w:p>
        </w:tc>
        <w:tc>
          <w:tcPr>
            <w:tcW w:w="1361" w:type="dxa"/>
            <w:hideMark/>
          </w:tcPr>
          <w:p w14:paraId="476BA2B9" w14:textId="77777777" w:rsidR="0073083D" w:rsidRPr="007A3600" w:rsidRDefault="0073083D" w:rsidP="00AD3197">
            <w:pPr>
              <w:spacing w:before="40" w:after="80" w:line="288" w:lineRule="auto"/>
              <w:jc w:val="right"/>
              <w:rPr>
                <w:lang w:val="en-US"/>
              </w:rPr>
            </w:pPr>
            <w:r w:rsidRPr="007A3600">
              <w:rPr>
                <w:lang w:val="en-US"/>
              </w:rPr>
              <w:t>$305,800</w:t>
            </w:r>
          </w:p>
        </w:tc>
        <w:tc>
          <w:tcPr>
            <w:tcW w:w="850" w:type="dxa"/>
            <w:hideMark/>
          </w:tcPr>
          <w:p w14:paraId="074E64F5" w14:textId="550ED989"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583C4FF" w14:textId="77777777" w:rsidR="0073083D" w:rsidRPr="007A3600" w:rsidRDefault="0073083D" w:rsidP="00AD3197">
            <w:pPr>
              <w:spacing w:before="40" w:after="80" w:line="288" w:lineRule="auto"/>
              <w:jc w:val="right"/>
              <w:rPr>
                <w:lang w:val="en-US"/>
              </w:rPr>
            </w:pPr>
            <w:r w:rsidRPr="007A3600">
              <w:rPr>
                <w:lang w:val="en-US"/>
              </w:rPr>
              <w:t>$2,876</w:t>
            </w:r>
          </w:p>
        </w:tc>
        <w:tc>
          <w:tcPr>
            <w:tcW w:w="1531" w:type="dxa"/>
            <w:hideMark/>
          </w:tcPr>
          <w:p w14:paraId="0B295B1C" w14:textId="77777777" w:rsidR="0073083D" w:rsidRPr="007A3600" w:rsidRDefault="0073083D" w:rsidP="00AD3197">
            <w:pPr>
              <w:spacing w:before="40" w:after="80" w:line="288" w:lineRule="auto"/>
              <w:jc w:val="right"/>
              <w:rPr>
                <w:lang w:val="en-US"/>
              </w:rPr>
            </w:pPr>
            <w:r w:rsidRPr="007A3600">
              <w:rPr>
                <w:lang w:val="en-US"/>
              </w:rPr>
              <w:t>$38,301</w:t>
            </w:r>
          </w:p>
        </w:tc>
        <w:tc>
          <w:tcPr>
            <w:tcW w:w="1134" w:type="dxa"/>
            <w:hideMark/>
          </w:tcPr>
          <w:p w14:paraId="4C98E6EF" w14:textId="77777777" w:rsidR="0073083D" w:rsidRPr="007A3600" w:rsidRDefault="0073083D" w:rsidP="00AD3197">
            <w:pPr>
              <w:spacing w:before="40" w:after="80" w:line="288" w:lineRule="auto"/>
              <w:jc w:val="right"/>
              <w:rPr>
                <w:lang w:val="en-US"/>
              </w:rPr>
            </w:pPr>
            <w:r w:rsidRPr="007A3600">
              <w:rPr>
                <w:lang w:val="en-US"/>
              </w:rPr>
              <w:t>$7,784</w:t>
            </w:r>
          </w:p>
        </w:tc>
        <w:tc>
          <w:tcPr>
            <w:tcW w:w="850" w:type="dxa"/>
            <w:hideMark/>
          </w:tcPr>
          <w:p w14:paraId="20E04DA5" w14:textId="30544EC5"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580F7F38" w14:textId="246A4C53"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5905DBC" w14:textId="77777777" w:rsidR="0073083D" w:rsidRPr="007A3600" w:rsidRDefault="0073083D" w:rsidP="00AD3197">
            <w:pPr>
              <w:spacing w:before="40" w:after="80" w:line="288" w:lineRule="auto"/>
              <w:jc w:val="right"/>
              <w:rPr>
                <w:lang w:val="en-US"/>
              </w:rPr>
            </w:pPr>
            <w:r w:rsidRPr="007A3600">
              <w:rPr>
                <w:lang w:val="en-US"/>
              </w:rPr>
              <w:t>$354,761</w:t>
            </w:r>
          </w:p>
        </w:tc>
      </w:tr>
      <w:tr w:rsidR="0073083D" w:rsidRPr="007A3600" w14:paraId="79F8E44B" w14:textId="77777777" w:rsidTr="007049C5">
        <w:trPr>
          <w:trHeight w:val="297"/>
        </w:trPr>
        <w:tc>
          <w:tcPr>
            <w:tcW w:w="2721" w:type="dxa"/>
            <w:hideMark/>
          </w:tcPr>
          <w:p w14:paraId="485A86CE" w14:textId="77777777" w:rsidR="0073083D" w:rsidRPr="007A3600" w:rsidRDefault="0073083D" w:rsidP="00AD3197">
            <w:pPr>
              <w:spacing w:before="40" w:after="80" w:line="288" w:lineRule="auto"/>
              <w:rPr>
                <w:lang w:val="en-US"/>
              </w:rPr>
            </w:pPr>
            <w:r w:rsidRPr="007A3600">
              <w:rPr>
                <w:lang w:val="en-US"/>
              </w:rPr>
              <w:t>$370,001 to $395,000</w:t>
            </w:r>
          </w:p>
        </w:tc>
        <w:tc>
          <w:tcPr>
            <w:tcW w:w="850" w:type="dxa"/>
            <w:hideMark/>
          </w:tcPr>
          <w:p w14:paraId="53F27044" w14:textId="77777777" w:rsidR="0073083D" w:rsidRPr="007A3600" w:rsidRDefault="0073083D" w:rsidP="00AD3197">
            <w:pPr>
              <w:spacing w:before="40" w:after="80" w:line="288" w:lineRule="auto"/>
              <w:jc w:val="right"/>
              <w:rPr>
                <w:lang w:val="en-US"/>
              </w:rPr>
            </w:pPr>
            <w:r w:rsidRPr="007A3600">
              <w:rPr>
                <w:lang w:val="en-US"/>
              </w:rPr>
              <w:t>4</w:t>
            </w:r>
          </w:p>
        </w:tc>
        <w:tc>
          <w:tcPr>
            <w:tcW w:w="1361" w:type="dxa"/>
            <w:hideMark/>
          </w:tcPr>
          <w:p w14:paraId="16C9BBF8" w14:textId="77777777" w:rsidR="0073083D" w:rsidRPr="007A3600" w:rsidRDefault="0073083D" w:rsidP="00AD3197">
            <w:pPr>
              <w:spacing w:before="40" w:after="80" w:line="288" w:lineRule="auto"/>
              <w:jc w:val="right"/>
              <w:rPr>
                <w:lang w:val="en-US"/>
              </w:rPr>
            </w:pPr>
            <w:r w:rsidRPr="007A3600">
              <w:rPr>
                <w:lang w:val="en-US"/>
              </w:rPr>
              <w:t>$322,079</w:t>
            </w:r>
          </w:p>
        </w:tc>
        <w:tc>
          <w:tcPr>
            <w:tcW w:w="850" w:type="dxa"/>
            <w:hideMark/>
          </w:tcPr>
          <w:p w14:paraId="543CD5B6" w14:textId="35BC4AB1"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3CDF7EEF" w14:textId="77777777" w:rsidR="0073083D" w:rsidRPr="007A3600" w:rsidRDefault="0073083D" w:rsidP="00AD3197">
            <w:pPr>
              <w:spacing w:before="40" w:after="80" w:line="288" w:lineRule="auto"/>
              <w:jc w:val="right"/>
              <w:rPr>
                <w:lang w:val="en-US"/>
              </w:rPr>
            </w:pPr>
            <w:r w:rsidRPr="007A3600">
              <w:rPr>
                <w:lang w:val="en-US"/>
              </w:rPr>
              <w:t>$298</w:t>
            </w:r>
          </w:p>
        </w:tc>
        <w:tc>
          <w:tcPr>
            <w:tcW w:w="1531" w:type="dxa"/>
            <w:hideMark/>
          </w:tcPr>
          <w:p w14:paraId="65156C2A" w14:textId="77777777" w:rsidR="0073083D" w:rsidRPr="007A3600" w:rsidRDefault="0073083D" w:rsidP="00AD3197">
            <w:pPr>
              <w:spacing w:before="40" w:after="80" w:line="288" w:lineRule="auto"/>
              <w:jc w:val="right"/>
              <w:rPr>
                <w:lang w:val="en-US"/>
              </w:rPr>
            </w:pPr>
            <w:r w:rsidRPr="007A3600">
              <w:rPr>
                <w:lang w:val="en-US"/>
              </w:rPr>
              <w:t>$52,830</w:t>
            </w:r>
          </w:p>
        </w:tc>
        <w:tc>
          <w:tcPr>
            <w:tcW w:w="1134" w:type="dxa"/>
            <w:hideMark/>
          </w:tcPr>
          <w:p w14:paraId="01E38331" w14:textId="77777777" w:rsidR="0073083D" w:rsidRPr="007A3600" w:rsidRDefault="0073083D" w:rsidP="00AD3197">
            <w:pPr>
              <w:spacing w:before="40" w:after="80" w:line="288" w:lineRule="auto"/>
              <w:jc w:val="right"/>
              <w:rPr>
                <w:lang w:val="en-US"/>
              </w:rPr>
            </w:pPr>
            <w:r w:rsidRPr="007A3600">
              <w:rPr>
                <w:lang w:val="en-US"/>
              </w:rPr>
              <w:t>$8,187</w:t>
            </w:r>
          </w:p>
        </w:tc>
        <w:tc>
          <w:tcPr>
            <w:tcW w:w="850" w:type="dxa"/>
            <w:hideMark/>
          </w:tcPr>
          <w:p w14:paraId="102CB2EA" w14:textId="25342A86"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1DD872C2" w14:textId="790F46DA"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13B74C5A" w14:textId="77777777" w:rsidR="0073083D" w:rsidRPr="007A3600" w:rsidRDefault="0073083D" w:rsidP="00AD3197">
            <w:pPr>
              <w:spacing w:before="40" w:after="80" w:line="288" w:lineRule="auto"/>
              <w:jc w:val="right"/>
              <w:rPr>
                <w:lang w:val="en-US"/>
              </w:rPr>
            </w:pPr>
            <w:r w:rsidRPr="007A3600">
              <w:rPr>
                <w:lang w:val="en-US"/>
              </w:rPr>
              <w:t>$383,394</w:t>
            </w:r>
          </w:p>
        </w:tc>
      </w:tr>
      <w:tr w:rsidR="0073083D" w:rsidRPr="007A3600" w14:paraId="125FB909" w14:textId="77777777" w:rsidTr="0073083D">
        <w:trPr>
          <w:cnfStyle w:val="000000100000" w:firstRow="0" w:lastRow="0" w:firstColumn="0" w:lastColumn="0" w:oddVBand="0" w:evenVBand="0" w:oddHBand="1" w:evenHBand="0" w:firstRowFirstColumn="0" w:firstRowLastColumn="0" w:lastRowFirstColumn="0" w:lastRowLastColumn="0"/>
          <w:trHeight w:val="300"/>
        </w:trPr>
        <w:tc>
          <w:tcPr>
            <w:tcW w:w="2721" w:type="dxa"/>
            <w:hideMark/>
          </w:tcPr>
          <w:p w14:paraId="5C5B1C03" w14:textId="77777777" w:rsidR="0073083D" w:rsidRPr="007A3600" w:rsidRDefault="0073083D" w:rsidP="00AD3197">
            <w:pPr>
              <w:spacing w:before="40" w:after="80" w:line="288" w:lineRule="auto"/>
              <w:rPr>
                <w:lang w:val="en-US"/>
              </w:rPr>
            </w:pPr>
            <w:r w:rsidRPr="007A3600">
              <w:rPr>
                <w:lang w:val="en-US"/>
              </w:rPr>
              <w:t>$395,001 to $420,000</w:t>
            </w:r>
          </w:p>
        </w:tc>
        <w:tc>
          <w:tcPr>
            <w:tcW w:w="850" w:type="dxa"/>
            <w:hideMark/>
          </w:tcPr>
          <w:p w14:paraId="2E4E8837" w14:textId="77777777" w:rsidR="0073083D" w:rsidRPr="007A3600" w:rsidRDefault="0073083D" w:rsidP="00AD3197">
            <w:pPr>
              <w:spacing w:before="40" w:after="80" w:line="288" w:lineRule="auto"/>
              <w:jc w:val="right"/>
              <w:rPr>
                <w:lang w:val="en-US"/>
              </w:rPr>
            </w:pPr>
            <w:r w:rsidRPr="007A3600">
              <w:rPr>
                <w:lang w:val="en-US"/>
              </w:rPr>
              <w:t>3</w:t>
            </w:r>
          </w:p>
        </w:tc>
        <w:tc>
          <w:tcPr>
            <w:tcW w:w="1361" w:type="dxa"/>
            <w:hideMark/>
          </w:tcPr>
          <w:p w14:paraId="15CC79C1" w14:textId="77777777" w:rsidR="0073083D" w:rsidRPr="007A3600" w:rsidRDefault="0073083D" w:rsidP="00AD3197">
            <w:pPr>
              <w:spacing w:before="40" w:after="80" w:line="288" w:lineRule="auto"/>
              <w:jc w:val="right"/>
              <w:rPr>
                <w:lang w:val="en-US"/>
              </w:rPr>
            </w:pPr>
            <w:r w:rsidRPr="007A3600">
              <w:rPr>
                <w:lang w:val="en-US"/>
              </w:rPr>
              <w:t>$348,376</w:t>
            </w:r>
          </w:p>
        </w:tc>
        <w:tc>
          <w:tcPr>
            <w:tcW w:w="850" w:type="dxa"/>
            <w:hideMark/>
          </w:tcPr>
          <w:p w14:paraId="6067976F" w14:textId="138A2DB0"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0129719E" w14:textId="77777777" w:rsidR="0073083D" w:rsidRPr="007A3600" w:rsidRDefault="0073083D" w:rsidP="00AD3197">
            <w:pPr>
              <w:spacing w:before="40" w:after="80" w:line="288" w:lineRule="auto"/>
              <w:jc w:val="right"/>
              <w:rPr>
                <w:lang w:val="en-US"/>
              </w:rPr>
            </w:pPr>
            <w:r w:rsidRPr="007A3600">
              <w:rPr>
                <w:lang w:val="en-US"/>
              </w:rPr>
              <w:t>$49</w:t>
            </w:r>
          </w:p>
        </w:tc>
        <w:tc>
          <w:tcPr>
            <w:tcW w:w="1531" w:type="dxa"/>
            <w:hideMark/>
          </w:tcPr>
          <w:p w14:paraId="2DF86A47" w14:textId="77777777" w:rsidR="0073083D" w:rsidRPr="007A3600" w:rsidRDefault="0073083D" w:rsidP="00AD3197">
            <w:pPr>
              <w:spacing w:before="40" w:after="80" w:line="288" w:lineRule="auto"/>
              <w:jc w:val="right"/>
              <w:rPr>
                <w:lang w:val="en-US"/>
              </w:rPr>
            </w:pPr>
            <w:r w:rsidRPr="007A3600">
              <w:rPr>
                <w:lang w:val="en-US"/>
              </w:rPr>
              <w:t>$51,402</w:t>
            </w:r>
          </w:p>
        </w:tc>
        <w:tc>
          <w:tcPr>
            <w:tcW w:w="1134" w:type="dxa"/>
            <w:hideMark/>
          </w:tcPr>
          <w:p w14:paraId="2E120242" w14:textId="77777777" w:rsidR="0073083D" w:rsidRPr="007A3600" w:rsidRDefault="0073083D" w:rsidP="00AD3197">
            <w:pPr>
              <w:spacing w:before="40" w:after="80" w:line="288" w:lineRule="auto"/>
              <w:jc w:val="right"/>
              <w:rPr>
                <w:lang w:val="en-US"/>
              </w:rPr>
            </w:pPr>
            <w:r w:rsidRPr="007A3600">
              <w:rPr>
                <w:lang w:val="en-US"/>
              </w:rPr>
              <w:t>$8,581</w:t>
            </w:r>
          </w:p>
        </w:tc>
        <w:tc>
          <w:tcPr>
            <w:tcW w:w="850" w:type="dxa"/>
            <w:hideMark/>
          </w:tcPr>
          <w:p w14:paraId="03ED6281" w14:textId="66B30363"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44E89364" w14:textId="4C084AA3"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296B3F14" w14:textId="77777777" w:rsidR="0073083D" w:rsidRPr="007A3600" w:rsidRDefault="0073083D" w:rsidP="00AD3197">
            <w:pPr>
              <w:spacing w:before="40" w:after="80" w:line="288" w:lineRule="auto"/>
              <w:jc w:val="right"/>
              <w:rPr>
                <w:lang w:val="en-US"/>
              </w:rPr>
            </w:pPr>
            <w:r w:rsidRPr="007A3600">
              <w:rPr>
                <w:lang w:val="en-US"/>
              </w:rPr>
              <w:t>$408,408</w:t>
            </w:r>
          </w:p>
        </w:tc>
      </w:tr>
      <w:tr w:rsidR="0073083D" w:rsidRPr="007A3600" w14:paraId="73CF0E3E" w14:textId="77777777" w:rsidTr="007049C5">
        <w:trPr>
          <w:trHeight w:val="299"/>
        </w:trPr>
        <w:tc>
          <w:tcPr>
            <w:tcW w:w="2721" w:type="dxa"/>
            <w:hideMark/>
          </w:tcPr>
          <w:p w14:paraId="7D4A4EC8" w14:textId="77777777" w:rsidR="0073083D" w:rsidRPr="007A3600" w:rsidRDefault="0073083D" w:rsidP="00AD3197">
            <w:pPr>
              <w:spacing w:before="40" w:after="80" w:line="288" w:lineRule="auto"/>
              <w:rPr>
                <w:lang w:val="en-US"/>
              </w:rPr>
            </w:pPr>
            <w:r w:rsidRPr="007A3600">
              <w:rPr>
                <w:lang w:val="en-US"/>
              </w:rPr>
              <w:t>$420,001 to $445,000</w:t>
            </w:r>
          </w:p>
        </w:tc>
        <w:tc>
          <w:tcPr>
            <w:tcW w:w="850" w:type="dxa"/>
            <w:hideMark/>
          </w:tcPr>
          <w:p w14:paraId="26BD378F" w14:textId="77777777" w:rsidR="0073083D" w:rsidRPr="007A3600" w:rsidRDefault="0073083D" w:rsidP="00AD3197">
            <w:pPr>
              <w:spacing w:before="40" w:after="80" w:line="288" w:lineRule="auto"/>
              <w:jc w:val="right"/>
              <w:rPr>
                <w:lang w:val="en-US"/>
              </w:rPr>
            </w:pPr>
            <w:r w:rsidRPr="007A3600">
              <w:rPr>
                <w:lang w:val="en-US"/>
              </w:rPr>
              <w:t>0</w:t>
            </w:r>
          </w:p>
        </w:tc>
        <w:tc>
          <w:tcPr>
            <w:tcW w:w="1361" w:type="dxa"/>
            <w:hideMark/>
          </w:tcPr>
          <w:p w14:paraId="440927D0" w14:textId="67DDC313"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2E493F9D" w14:textId="3707740F"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4B1A36D6" w14:textId="45D84EAA" w:rsidR="0073083D" w:rsidRPr="007A3600" w:rsidRDefault="0073083D" w:rsidP="00AD3197">
            <w:pPr>
              <w:spacing w:before="40" w:after="80" w:line="288" w:lineRule="auto"/>
              <w:jc w:val="right"/>
              <w:rPr>
                <w:lang w:val="en-US"/>
              </w:rPr>
            </w:pPr>
            <w:r w:rsidRPr="007A3600">
              <w:rPr>
                <w:lang w:val="en-US"/>
              </w:rPr>
              <w:t>0</w:t>
            </w:r>
          </w:p>
        </w:tc>
        <w:tc>
          <w:tcPr>
            <w:tcW w:w="1531" w:type="dxa"/>
            <w:hideMark/>
          </w:tcPr>
          <w:p w14:paraId="47B6908D" w14:textId="164EA135"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41D43EC6" w14:textId="4E43C965"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06790BB3" w14:textId="19920BB9"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6CC2765D" w14:textId="6716EFFC"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7B43D1A8" w14:textId="70933188" w:rsidR="0073083D" w:rsidRPr="007A3600" w:rsidRDefault="0073083D" w:rsidP="00AD3197">
            <w:pPr>
              <w:spacing w:before="40" w:after="80" w:line="288" w:lineRule="auto"/>
              <w:jc w:val="right"/>
              <w:rPr>
                <w:lang w:val="en-US"/>
              </w:rPr>
            </w:pPr>
            <w:r w:rsidRPr="007A3600">
              <w:rPr>
                <w:lang w:val="en-US"/>
              </w:rPr>
              <w:t>0</w:t>
            </w:r>
          </w:p>
        </w:tc>
      </w:tr>
      <w:tr w:rsidR="0073083D" w:rsidRPr="007A3600" w14:paraId="2629BE55" w14:textId="77777777" w:rsidTr="0073083D">
        <w:trPr>
          <w:cnfStyle w:val="000000100000" w:firstRow="0" w:lastRow="0" w:firstColumn="0" w:lastColumn="0" w:oddVBand="0" w:evenVBand="0" w:oddHBand="1" w:evenHBand="0" w:firstRowFirstColumn="0" w:firstRowLastColumn="0" w:lastRowFirstColumn="0" w:lastRowLastColumn="0"/>
          <w:trHeight w:val="300"/>
        </w:trPr>
        <w:tc>
          <w:tcPr>
            <w:tcW w:w="2721" w:type="dxa"/>
            <w:hideMark/>
          </w:tcPr>
          <w:p w14:paraId="6962563C" w14:textId="77777777" w:rsidR="0073083D" w:rsidRPr="007A3600" w:rsidRDefault="0073083D" w:rsidP="00AD3197">
            <w:pPr>
              <w:spacing w:before="40" w:after="80" w:line="288" w:lineRule="auto"/>
              <w:rPr>
                <w:lang w:val="en-US"/>
              </w:rPr>
            </w:pPr>
            <w:r w:rsidRPr="007A3600">
              <w:rPr>
                <w:lang w:val="en-US"/>
              </w:rPr>
              <w:t>$445,001 to $470,000</w:t>
            </w:r>
          </w:p>
        </w:tc>
        <w:tc>
          <w:tcPr>
            <w:tcW w:w="850" w:type="dxa"/>
            <w:hideMark/>
          </w:tcPr>
          <w:p w14:paraId="7C93236B" w14:textId="77777777" w:rsidR="0073083D" w:rsidRPr="007A3600" w:rsidRDefault="0073083D" w:rsidP="00AD3197">
            <w:pPr>
              <w:spacing w:before="40" w:after="80" w:line="288" w:lineRule="auto"/>
              <w:jc w:val="right"/>
              <w:rPr>
                <w:lang w:val="en-US"/>
              </w:rPr>
            </w:pPr>
            <w:r w:rsidRPr="007A3600">
              <w:rPr>
                <w:lang w:val="en-US"/>
              </w:rPr>
              <w:t>0</w:t>
            </w:r>
          </w:p>
        </w:tc>
        <w:tc>
          <w:tcPr>
            <w:tcW w:w="1361" w:type="dxa"/>
            <w:hideMark/>
          </w:tcPr>
          <w:p w14:paraId="33C2C818" w14:textId="41918FE3"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5282FCE3" w14:textId="33FC22FD"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062C64D7" w14:textId="45862222" w:rsidR="0073083D" w:rsidRPr="007A3600" w:rsidRDefault="0073083D" w:rsidP="00AD3197">
            <w:pPr>
              <w:spacing w:before="40" w:after="80" w:line="288" w:lineRule="auto"/>
              <w:jc w:val="right"/>
              <w:rPr>
                <w:lang w:val="en-US"/>
              </w:rPr>
            </w:pPr>
            <w:r w:rsidRPr="007A3600">
              <w:rPr>
                <w:lang w:val="en-US"/>
              </w:rPr>
              <w:t>0</w:t>
            </w:r>
          </w:p>
        </w:tc>
        <w:tc>
          <w:tcPr>
            <w:tcW w:w="1531" w:type="dxa"/>
            <w:hideMark/>
          </w:tcPr>
          <w:p w14:paraId="70252D72" w14:textId="3B58DDC1"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5D4D6819" w14:textId="2D526D9C"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7D9F6051" w14:textId="12D87E7E"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663F1070" w14:textId="46F95AA3"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1C669333" w14:textId="08C2047D" w:rsidR="0073083D" w:rsidRPr="007A3600" w:rsidRDefault="0073083D" w:rsidP="00AD3197">
            <w:pPr>
              <w:spacing w:before="40" w:after="80" w:line="288" w:lineRule="auto"/>
              <w:jc w:val="right"/>
              <w:rPr>
                <w:lang w:val="en-US"/>
              </w:rPr>
            </w:pPr>
            <w:r w:rsidRPr="007A3600">
              <w:rPr>
                <w:lang w:val="en-US"/>
              </w:rPr>
              <w:t>0</w:t>
            </w:r>
          </w:p>
        </w:tc>
      </w:tr>
      <w:tr w:rsidR="0073083D" w:rsidRPr="007A3600" w14:paraId="71A855A3" w14:textId="77777777" w:rsidTr="007049C5">
        <w:trPr>
          <w:trHeight w:val="299"/>
        </w:trPr>
        <w:tc>
          <w:tcPr>
            <w:tcW w:w="2721" w:type="dxa"/>
            <w:hideMark/>
          </w:tcPr>
          <w:p w14:paraId="2A777C33" w14:textId="77777777" w:rsidR="0073083D" w:rsidRPr="007A3600" w:rsidRDefault="0073083D" w:rsidP="00AD3197">
            <w:pPr>
              <w:spacing w:before="40" w:after="80" w:line="288" w:lineRule="auto"/>
              <w:rPr>
                <w:lang w:val="en-US"/>
              </w:rPr>
            </w:pPr>
            <w:r w:rsidRPr="007A3600">
              <w:rPr>
                <w:lang w:val="en-US"/>
              </w:rPr>
              <w:t>$470,001 to $495,000</w:t>
            </w:r>
          </w:p>
        </w:tc>
        <w:tc>
          <w:tcPr>
            <w:tcW w:w="850" w:type="dxa"/>
            <w:hideMark/>
          </w:tcPr>
          <w:p w14:paraId="44E488A5" w14:textId="77777777" w:rsidR="0073083D" w:rsidRPr="007A3600" w:rsidRDefault="0073083D" w:rsidP="00AD3197">
            <w:pPr>
              <w:spacing w:before="40" w:after="80" w:line="288" w:lineRule="auto"/>
              <w:jc w:val="right"/>
              <w:rPr>
                <w:lang w:val="en-US"/>
              </w:rPr>
            </w:pPr>
            <w:r w:rsidRPr="007A3600">
              <w:rPr>
                <w:lang w:val="en-US"/>
              </w:rPr>
              <w:t>0</w:t>
            </w:r>
          </w:p>
        </w:tc>
        <w:tc>
          <w:tcPr>
            <w:tcW w:w="1361" w:type="dxa"/>
            <w:hideMark/>
          </w:tcPr>
          <w:p w14:paraId="0E5AECCC" w14:textId="0849C518"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513B1331" w14:textId="6AD71EF2"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25C2AC5" w14:textId="35A99356" w:rsidR="0073083D" w:rsidRPr="007A3600" w:rsidRDefault="0073083D" w:rsidP="00AD3197">
            <w:pPr>
              <w:spacing w:before="40" w:after="80" w:line="288" w:lineRule="auto"/>
              <w:jc w:val="right"/>
              <w:rPr>
                <w:lang w:val="en-US"/>
              </w:rPr>
            </w:pPr>
            <w:r w:rsidRPr="007A3600">
              <w:rPr>
                <w:lang w:val="en-US"/>
              </w:rPr>
              <w:t>0</w:t>
            </w:r>
          </w:p>
        </w:tc>
        <w:tc>
          <w:tcPr>
            <w:tcW w:w="1531" w:type="dxa"/>
            <w:hideMark/>
          </w:tcPr>
          <w:p w14:paraId="04E1BDF5" w14:textId="5B3FF686"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6341132E" w14:textId="3A0A0444"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5289A7DF" w14:textId="167969CA"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05F9FFE4" w14:textId="65DC1408"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62DA7431" w14:textId="39568EB7" w:rsidR="0073083D" w:rsidRPr="007A3600" w:rsidRDefault="0073083D" w:rsidP="00AD3197">
            <w:pPr>
              <w:spacing w:before="40" w:after="80" w:line="288" w:lineRule="auto"/>
              <w:jc w:val="right"/>
              <w:rPr>
                <w:lang w:val="en-US"/>
              </w:rPr>
            </w:pPr>
            <w:r w:rsidRPr="007A3600">
              <w:rPr>
                <w:lang w:val="en-US"/>
              </w:rPr>
              <w:t>0</w:t>
            </w:r>
          </w:p>
        </w:tc>
      </w:tr>
      <w:tr w:rsidR="0073083D" w:rsidRPr="007A3600" w14:paraId="27AF12DA" w14:textId="77777777" w:rsidTr="0073083D">
        <w:trPr>
          <w:cnfStyle w:val="000000100000" w:firstRow="0" w:lastRow="0" w:firstColumn="0" w:lastColumn="0" w:oddVBand="0" w:evenVBand="0" w:oddHBand="1" w:evenHBand="0" w:firstRowFirstColumn="0" w:firstRowLastColumn="0" w:lastRowFirstColumn="0" w:lastRowLastColumn="0"/>
          <w:trHeight w:val="295"/>
        </w:trPr>
        <w:tc>
          <w:tcPr>
            <w:tcW w:w="2721" w:type="dxa"/>
            <w:hideMark/>
          </w:tcPr>
          <w:p w14:paraId="61EA4640" w14:textId="77777777" w:rsidR="0073083D" w:rsidRPr="007A3600" w:rsidRDefault="0073083D" w:rsidP="00AD3197">
            <w:pPr>
              <w:spacing w:before="40" w:after="80" w:line="288" w:lineRule="auto"/>
              <w:rPr>
                <w:lang w:val="en-US"/>
              </w:rPr>
            </w:pPr>
            <w:r w:rsidRPr="007A3600">
              <w:rPr>
                <w:lang w:val="en-US"/>
              </w:rPr>
              <w:t>$495,001 and above</w:t>
            </w:r>
          </w:p>
        </w:tc>
        <w:tc>
          <w:tcPr>
            <w:tcW w:w="850" w:type="dxa"/>
            <w:hideMark/>
          </w:tcPr>
          <w:p w14:paraId="7395DEC9" w14:textId="77777777" w:rsidR="0073083D" w:rsidRPr="007A3600" w:rsidRDefault="0073083D" w:rsidP="00AD3197">
            <w:pPr>
              <w:spacing w:before="40" w:after="80" w:line="288" w:lineRule="auto"/>
              <w:jc w:val="right"/>
              <w:rPr>
                <w:lang w:val="en-US"/>
              </w:rPr>
            </w:pPr>
            <w:r w:rsidRPr="007A3600">
              <w:rPr>
                <w:lang w:val="en-US"/>
              </w:rPr>
              <w:t>0</w:t>
            </w:r>
          </w:p>
        </w:tc>
        <w:tc>
          <w:tcPr>
            <w:tcW w:w="1361" w:type="dxa"/>
            <w:hideMark/>
          </w:tcPr>
          <w:p w14:paraId="5790C78B" w14:textId="111AE417"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68440984" w14:textId="59CB1E5A"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152E0DFC" w14:textId="60584706" w:rsidR="0073083D" w:rsidRPr="007A3600" w:rsidRDefault="0073083D" w:rsidP="00AD3197">
            <w:pPr>
              <w:spacing w:before="40" w:after="80" w:line="288" w:lineRule="auto"/>
              <w:jc w:val="right"/>
              <w:rPr>
                <w:lang w:val="en-US"/>
              </w:rPr>
            </w:pPr>
            <w:r w:rsidRPr="007A3600">
              <w:rPr>
                <w:lang w:val="en-US"/>
              </w:rPr>
              <w:t>0</w:t>
            </w:r>
          </w:p>
        </w:tc>
        <w:tc>
          <w:tcPr>
            <w:tcW w:w="1531" w:type="dxa"/>
            <w:hideMark/>
          </w:tcPr>
          <w:p w14:paraId="22DB27C8" w14:textId="3FE16279"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4C91F614" w14:textId="448B9619" w:rsidR="0073083D" w:rsidRPr="007A3600" w:rsidRDefault="0073083D" w:rsidP="00AD3197">
            <w:pPr>
              <w:spacing w:before="40" w:after="80" w:line="288" w:lineRule="auto"/>
              <w:jc w:val="right"/>
              <w:rPr>
                <w:lang w:val="en-US"/>
              </w:rPr>
            </w:pPr>
            <w:r w:rsidRPr="007A3600">
              <w:rPr>
                <w:lang w:val="en-US"/>
              </w:rPr>
              <w:t>0</w:t>
            </w:r>
          </w:p>
        </w:tc>
        <w:tc>
          <w:tcPr>
            <w:tcW w:w="850" w:type="dxa"/>
            <w:hideMark/>
          </w:tcPr>
          <w:p w14:paraId="169A2F9D" w14:textId="4ADC1ED5" w:rsidR="0073083D" w:rsidRPr="007A3600" w:rsidRDefault="0073083D" w:rsidP="00AD3197">
            <w:pPr>
              <w:spacing w:before="40" w:after="80" w:line="288" w:lineRule="auto"/>
              <w:jc w:val="right"/>
              <w:rPr>
                <w:lang w:val="en-US"/>
              </w:rPr>
            </w:pPr>
            <w:r w:rsidRPr="007A3600">
              <w:rPr>
                <w:lang w:val="en-US"/>
              </w:rPr>
              <w:t>0</w:t>
            </w:r>
          </w:p>
        </w:tc>
        <w:tc>
          <w:tcPr>
            <w:tcW w:w="1134" w:type="dxa"/>
            <w:hideMark/>
          </w:tcPr>
          <w:p w14:paraId="3421656A" w14:textId="7CF1DDEF" w:rsidR="0073083D" w:rsidRPr="007A3600" w:rsidRDefault="0073083D" w:rsidP="00AD3197">
            <w:pPr>
              <w:spacing w:before="40" w:after="80" w:line="288" w:lineRule="auto"/>
              <w:jc w:val="right"/>
              <w:rPr>
                <w:lang w:val="en-US"/>
              </w:rPr>
            </w:pPr>
            <w:r w:rsidRPr="007A3600">
              <w:rPr>
                <w:lang w:val="en-US"/>
              </w:rPr>
              <w:t>0</w:t>
            </w:r>
          </w:p>
        </w:tc>
        <w:tc>
          <w:tcPr>
            <w:tcW w:w="1417" w:type="dxa"/>
            <w:hideMark/>
          </w:tcPr>
          <w:p w14:paraId="003C6303" w14:textId="4FCD7443" w:rsidR="0073083D" w:rsidRPr="007A3600" w:rsidRDefault="0073083D" w:rsidP="00AD3197">
            <w:pPr>
              <w:spacing w:before="40" w:after="80" w:line="288" w:lineRule="auto"/>
              <w:jc w:val="right"/>
              <w:rPr>
                <w:lang w:val="en-US"/>
              </w:rPr>
            </w:pPr>
            <w:r w:rsidRPr="007A3600">
              <w:rPr>
                <w:lang w:val="en-US"/>
              </w:rPr>
              <w:t>0</w:t>
            </w:r>
          </w:p>
        </w:tc>
      </w:tr>
    </w:tbl>
    <w:p w14:paraId="027307D9" w14:textId="29C6452D" w:rsidR="004D2E42" w:rsidRPr="007A3600" w:rsidRDefault="004D2E42" w:rsidP="00AD3197">
      <w:pPr>
        <w:pStyle w:val="Caption"/>
        <w:spacing w:before="240"/>
      </w:pPr>
      <w:r w:rsidRPr="007A3600">
        <w:lastRenderedPageBreak/>
        <w:t xml:space="preserve">Table </w:t>
      </w:r>
      <w:r w:rsidR="00880175" w:rsidRPr="007A3600">
        <w:t>17</w:t>
      </w:r>
      <w:r w:rsidRPr="007A3600">
        <w:t>: Other highly paid staff</w:t>
      </w:r>
    </w:p>
    <w:tbl>
      <w:tblPr>
        <w:tblStyle w:val="NDISTable1"/>
        <w:tblW w:w="0" w:type="auto"/>
        <w:tblLayout w:type="fixed"/>
        <w:tblCellMar>
          <w:left w:w="57" w:type="dxa"/>
          <w:right w:w="57" w:type="dxa"/>
        </w:tblCellMar>
        <w:tblLook w:val="0420" w:firstRow="1" w:lastRow="0" w:firstColumn="0" w:lastColumn="0" w:noHBand="0" w:noVBand="1"/>
      </w:tblPr>
      <w:tblGrid>
        <w:gridCol w:w="2721"/>
        <w:gridCol w:w="850"/>
        <w:gridCol w:w="1361"/>
        <w:gridCol w:w="850"/>
        <w:gridCol w:w="1417"/>
        <w:gridCol w:w="1531"/>
        <w:gridCol w:w="1134"/>
        <w:gridCol w:w="850"/>
        <w:gridCol w:w="1134"/>
        <w:gridCol w:w="1417"/>
      </w:tblGrid>
      <w:tr w:rsidR="00B407C5" w:rsidRPr="007A3600" w14:paraId="0BAB4183" w14:textId="77777777" w:rsidTr="009D1194">
        <w:trPr>
          <w:cnfStyle w:val="100000000000" w:firstRow="1" w:lastRow="0" w:firstColumn="0" w:lastColumn="0" w:oddVBand="0" w:evenVBand="0" w:oddHBand="0" w:evenHBand="0" w:firstRowFirstColumn="0" w:firstRowLastColumn="0" w:lastRowFirstColumn="0" w:lastRowLastColumn="0"/>
          <w:trHeight w:val="2608"/>
        </w:trPr>
        <w:tc>
          <w:tcPr>
            <w:tcW w:w="2721" w:type="dxa"/>
            <w:textDirection w:val="tbRl"/>
          </w:tcPr>
          <w:p w14:paraId="1200B8BF" w14:textId="77777777" w:rsidR="004D2E42" w:rsidRPr="007A3600" w:rsidRDefault="004D2E42" w:rsidP="009D1194">
            <w:pPr>
              <w:spacing w:before="40" w:after="80"/>
              <w:ind w:left="113" w:right="113"/>
              <w:rPr>
                <w:lang w:val="en-US"/>
              </w:rPr>
            </w:pPr>
            <w:r w:rsidRPr="007A3600">
              <w:rPr>
                <w:bCs/>
                <w:lang w:val="en-US"/>
              </w:rPr>
              <w:t>Total remuneration bands</w:t>
            </w:r>
          </w:p>
        </w:tc>
        <w:tc>
          <w:tcPr>
            <w:tcW w:w="850" w:type="dxa"/>
            <w:textDirection w:val="tbRl"/>
          </w:tcPr>
          <w:p w14:paraId="40BC319C" w14:textId="77777777" w:rsidR="004D2E42" w:rsidRPr="007A3600" w:rsidRDefault="004D2E42" w:rsidP="009D1194">
            <w:pPr>
              <w:spacing w:before="40" w:after="80"/>
              <w:ind w:left="113" w:right="113"/>
              <w:rPr>
                <w:lang w:val="en-US"/>
              </w:rPr>
            </w:pPr>
            <w:r w:rsidRPr="007A3600">
              <w:rPr>
                <w:bCs/>
                <w:lang w:val="en-US"/>
              </w:rPr>
              <w:t>Number of senior executives</w:t>
            </w:r>
          </w:p>
        </w:tc>
        <w:tc>
          <w:tcPr>
            <w:tcW w:w="1361" w:type="dxa"/>
            <w:textDirection w:val="tbRl"/>
          </w:tcPr>
          <w:p w14:paraId="0EC7FD53" w14:textId="77777777" w:rsidR="004D2E42" w:rsidRPr="007A3600" w:rsidRDefault="004D2E42" w:rsidP="009D1194">
            <w:pPr>
              <w:spacing w:before="40" w:after="80"/>
              <w:ind w:left="113" w:right="113"/>
              <w:rPr>
                <w:lang w:val="en-US"/>
              </w:rPr>
            </w:pPr>
            <w:r w:rsidRPr="007A3600">
              <w:rPr>
                <w:bCs/>
                <w:lang w:val="en-US"/>
              </w:rPr>
              <w:t>Short-term benefits – average base salary</w:t>
            </w:r>
          </w:p>
        </w:tc>
        <w:tc>
          <w:tcPr>
            <w:tcW w:w="850" w:type="dxa"/>
            <w:textDirection w:val="tbRl"/>
          </w:tcPr>
          <w:p w14:paraId="294E0FDA" w14:textId="77777777" w:rsidR="004D2E42" w:rsidRPr="007A3600" w:rsidRDefault="004D2E42" w:rsidP="009D1194">
            <w:pPr>
              <w:spacing w:before="40" w:after="80"/>
              <w:ind w:left="113" w:right="113"/>
              <w:rPr>
                <w:lang w:val="en-US"/>
              </w:rPr>
            </w:pPr>
            <w:r w:rsidRPr="007A3600">
              <w:rPr>
                <w:bCs/>
                <w:lang w:val="en-US"/>
              </w:rPr>
              <w:t>Short-term benefits – average bonuses</w:t>
            </w:r>
          </w:p>
        </w:tc>
        <w:tc>
          <w:tcPr>
            <w:tcW w:w="1417" w:type="dxa"/>
            <w:textDirection w:val="tbRl"/>
          </w:tcPr>
          <w:p w14:paraId="32C2E89A" w14:textId="77777777" w:rsidR="004D2E42" w:rsidRPr="007A3600" w:rsidRDefault="004D2E42" w:rsidP="009D1194">
            <w:pPr>
              <w:spacing w:before="40" w:after="80"/>
              <w:ind w:left="113" w:right="113"/>
              <w:rPr>
                <w:lang w:val="en-US"/>
              </w:rPr>
            </w:pPr>
            <w:r w:rsidRPr="007A3600">
              <w:rPr>
                <w:bCs/>
                <w:lang w:val="en-US"/>
              </w:rPr>
              <w:t>Short-term benefits – average other benefits and allowances</w:t>
            </w:r>
          </w:p>
        </w:tc>
        <w:tc>
          <w:tcPr>
            <w:tcW w:w="1531" w:type="dxa"/>
            <w:textDirection w:val="tbRl"/>
          </w:tcPr>
          <w:p w14:paraId="7A621D94" w14:textId="77777777" w:rsidR="004D2E42" w:rsidRPr="007A3600" w:rsidRDefault="004D2E42" w:rsidP="009D1194">
            <w:pPr>
              <w:spacing w:before="40" w:after="80"/>
              <w:ind w:left="113" w:right="113"/>
              <w:rPr>
                <w:lang w:val="en-US"/>
              </w:rPr>
            </w:pPr>
            <w:r w:rsidRPr="007A3600">
              <w:rPr>
                <w:bCs/>
                <w:lang w:val="en-US"/>
              </w:rPr>
              <w:t>Post-employment benefits – average superannuation contributions</w:t>
            </w:r>
          </w:p>
        </w:tc>
        <w:tc>
          <w:tcPr>
            <w:tcW w:w="1134" w:type="dxa"/>
            <w:textDirection w:val="tbRl"/>
          </w:tcPr>
          <w:p w14:paraId="2115BB77" w14:textId="77777777" w:rsidR="004D2E42" w:rsidRPr="007A3600" w:rsidRDefault="004D2E42" w:rsidP="009D1194">
            <w:pPr>
              <w:spacing w:before="40" w:after="80"/>
              <w:ind w:left="113" w:right="113"/>
              <w:rPr>
                <w:lang w:val="en-US"/>
              </w:rPr>
            </w:pPr>
            <w:r w:rsidRPr="007A3600">
              <w:rPr>
                <w:bCs/>
                <w:lang w:val="en-US"/>
              </w:rPr>
              <w:t>Other long-term benefits – average long service leave</w:t>
            </w:r>
          </w:p>
        </w:tc>
        <w:tc>
          <w:tcPr>
            <w:tcW w:w="850" w:type="dxa"/>
            <w:textDirection w:val="tbRl"/>
          </w:tcPr>
          <w:p w14:paraId="59C59214" w14:textId="77777777" w:rsidR="004D2E42" w:rsidRPr="007A3600" w:rsidRDefault="004D2E42" w:rsidP="009D1194">
            <w:pPr>
              <w:spacing w:before="40" w:after="80"/>
              <w:ind w:left="113" w:right="113"/>
              <w:rPr>
                <w:lang w:val="en-US"/>
              </w:rPr>
            </w:pPr>
            <w:r w:rsidRPr="007A3600">
              <w:rPr>
                <w:bCs/>
                <w:lang w:val="en-US"/>
              </w:rPr>
              <w:t>Average other long-term benefits</w:t>
            </w:r>
          </w:p>
        </w:tc>
        <w:tc>
          <w:tcPr>
            <w:tcW w:w="1134" w:type="dxa"/>
            <w:textDirection w:val="tbRl"/>
          </w:tcPr>
          <w:p w14:paraId="0B81FEE8" w14:textId="77777777" w:rsidR="004D2E42" w:rsidRPr="007A3600" w:rsidRDefault="004D2E42" w:rsidP="009D1194">
            <w:pPr>
              <w:spacing w:before="40" w:after="80"/>
              <w:ind w:left="113" w:right="113"/>
              <w:rPr>
                <w:lang w:val="en-US"/>
              </w:rPr>
            </w:pPr>
            <w:r w:rsidRPr="007A3600">
              <w:rPr>
                <w:bCs/>
                <w:lang w:val="en-US"/>
              </w:rPr>
              <w:t>Termination benefits – average termination benefits</w:t>
            </w:r>
          </w:p>
        </w:tc>
        <w:tc>
          <w:tcPr>
            <w:tcW w:w="1417" w:type="dxa"/>
            <w:textDirection w:val="tbRl"/>
          </w:tcPr>
          <w:p w14:paraId="151CC481" w14:textId="77777777" w:rsidR="004D2E42" w:rsidRPr="007A3600" w:rsidRDefault="004D2E42" w:rsidP="009D1194">
            <w:pPr>
              <w:spacing w:before="40" w:after="80"/>
              <w:ind w:left="113" w:right="113"/>
              <w:rPr>
                <w:lang w:val="en-US"/>
              </w:rPr>
            </w:pPr>
            <w:r w:rsidRPr="007A3600">
              <w:rPr>
                <w:bCs/>
                <w:lang w:val="en-US"/>
              </w:rPr>
              <w:t>Total remuneration – average total remuneration</w:t>
            </w:r>
          </w:p>
        </w:tc>
      </w:tr>
      <w:tr w:rsidR="00B407C5" w:rsidRPr="007A3600" w14:paraId="5725BBF7" w14:textId="77777777" w:rsidTr="005824A7">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43FCFE5B" w14:textId="77777777" w:rsidR="004D2E42" w:rsidRPr="007A3600" w:rsidRDefault="004D2E42" w:rsidP="00AD3197">
            <w:pPr>
              <w:spacing w:before="40" w:after="80" w:line="288" w:lineRule="auto"/>
              <w:rPr>
                <w:lang w:val="en-US"/>
              </w:rPr>
            </w:pPr>
            <w:r w:rsidRPr="007A3600">
              <w:rPr>
                <w:lang w:val="en-US"/>
              </w:rPr>
              <w:t>$260,000 to $270,000</w:t>
            </w:r>
          </w:p>
        </w:tc>
        <w:tc>
          <w:tcPr>
            <w:tcW w:w="850" w:type="dxa"/>
            <w:hideMark/>
          </w:tcPr>
          <w:p w14:paraId="5BB6B2A3" w14:textId="77777777" w:rsidR="004D2E42" w:rsidRPr="007A3600" w:rsidRDefault="004D2E42" w:rsidP="00AD3197">
            <w:pPr>
              <w:spacing w:before="40" w:after="80" w:line="288" w:lineRule="auto"/>
              <w:jc w:val="right"/>
              <w:rPr>
                <w:lang w:val="en-US"/>
              </w:rPr>
            </w:pPr>
            <w:r w:rsidRPr="007A3600">
              <w:rPr>
                <w:lang w:val="en-US"/>
              </w:rPr>
              <w:t>2</w:t>
            </w:r>
          </w:p>
        </w:tc>
        <w:tc>
          <w:tcPr>
            <w:tcW w:w="1361" w:type="dxa"/>
            <w:hideMark/>
          </w:tcPr>
          <w:p w14:paraId="0AEFFF4B" w14:textId="77777777" w:rsidR="004D2E42" w:rsidRPr="007A3600" w:rsidRDefault="004D2E42" w:rsidP="00AD3197">
            <w:pPr>
              <w:spacing w:before="40" w:after="80" w:line="288" w:lineRule="auto"/>
              <w:jc w:val="right"/>
              <w:rPr>
                <w:lang w:val="en-US"/>
              </w:rPr>
            </w:pPr>
            <w:r w:rsidRPr="007A3600">
              <w:rPr>
                <w:lang w:val="en-US"/>
              </w:rPr>
              <w:t>$174,582</w:t>
            </w:r>
          </w:p>
        </w:tc>
        <w:tc>
          <w:tcPr>
            <w:tcW w:w="850" w:type="dxa"/>
            <w:hideMark/>
          </w:tcPr>
          <w:p w14:paraId="34219F30"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08E4BE18" w14:textId="77777777" w:rsidR="004D2E42" w:rsidRPr="007A3600" w:rsidRDefault="004D2E42" w:rsidP="00AD3197">
            <w:pPr>
              <w:spacing w:before="40" w:after="80" w:line="288" w:lineRule="auto"/>
              <w:jc w:val="right"/>
              <w:rPr>
                <w:lang w:val="en-US"/>
              </w:rPr>
            </w:pPr>
            <w:r w:rsidRPr="007A3600">
              <w:rPr>
                <w:lang w:val="en-US"/>
              </w:rPr>
              <w:t>$60,841</w:t>
            </w:r>
          </w:p>
        </w:tc>
        <w:tc>
          <w:tcPr>
            <w:tcW w:w="1531" w:type="dxa"/>
            <w:hideMark/>
          </w:tcPr>
          <w:p w14:paraId="4A5D6766" w14:textId="77777777" w:rsidR="004D2E42" w:rsidRPr="007A3600" w:rsidRDefault="004D2E42" w:rsidP="00AD3197">
            <w:pPr>
              <w:spacing w:before="40" w:after="80" w:line="288" w:lineRule="auto"/>
              <w:jc w:val="right"/>
              <w:rPr>
                <w:lang w:val="en-US"/>
              </w:rPr>
            </w:pPr>
            <w:r w:rsidRPr="007A3600">
              <w:rPr>
                <w:lang w:val="en-US"/>
              </w:rPr>
              <w:t>$34,065</w:t>
            </w:r>
          </w:p>
        </w:tc>
        <w:tc>
          <w:tcPr>
            <w:tcW w:w="1134" w:type="dxa"/>
            <w:hideMark/>
          </w:tcPr>
          <w:p w14:paraId="7C54953C" w14:textId="77777777" w:rsidR="004D2E42" w:rsidRPr="007A3600" w:rsidRDefault="004D2E42" w:rsidP="00AD3197">
            <w:pPr>
              <w:spacing w:before="40" w:after="80" w:line="288" w:lineRule="auto"/>
              <w:jc w:val="right"/>
              <w:rPr>
                <w:lang w:val="en-US"/>
              </w:rPr>
            </w:pPr>
            <w:r w:rsidRPr="007A3600">
              <w:rPr>
                <w:lang w:val="en-US"/>
              </w:rPr>
              <w:t>$4,105</w:t>
            </w:r>
          </w:p>
        </w:tc>
        <w:tc>
          <w:tcPr>
            <w:tcW w:w="850" w:type="dxa"/>
            <w:hideMark/>
          </w:tcPr>
          <w:p w14:paraId="53EE0F30"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6EC98FF5"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45A49CF2" w14:textId="77777777" w:rsidR="004D2E42" w:rsidRPr="007A3600" w:rsidRDefault="004D2E42" w:rsidP="00AD3197">
            <w:pPr>
              <w:spacing w:before="40" w:after="80" w:line="288" w:lineRule="auto"/>
              <w:jc w:val="right"/>
              <w:rPr>
                <w:lang w:val="en-US"/>
              </w:rPr>
            </w:pPr>
            <w:r w:rsidRPr="007A3600">
              <w:rPr>
                <w:lang w:val="en-US"/>
              </w:rPr>
              <w:t>$273,593</w:t>
            </w:r>
          </w:p>
        </w:tc>
      </w:tr>
      <w:tr w:rsidR="0026718D" w:rsidRPr="007A3600" w14:paraId="668636C2" w14:textId="77777777" w:rsidTr="005824A7">
        <w:trPr>
          <w:trHeight w:val="297"/>
        </w:trPr>
        <w:tc>
          <w:tcPr>
            <w:tcW w:w="2721" w:type="dxa"/>
            <w:hideMark/>
          </w:tcPr>
          <w:p w14:paraId="5DA8DA94" w14:textId="77777777" w:rsidR="004D2E42" w:rsidRPr="007A3600" w:rsidRDefault="004D2E42" w:rsidP="00AD3197">
            <w:pPr>
              <w:spacing w:before="40" w:after="80" w:line="288" w:lineRule="auto"/>
              <w:rPr>
                <w:lang w:val="en-US"/>
              </w:rPr>
            </w:pPr>
            <w:r w:rsidRPr="007A3600">
              <w:rPr>
                <w:lang w:val="en-US"/>
              </w:rPr>
              <w:t>$270,001 to $295,000</w:t>
            </w:r>
          </w:p>
        </w:tc>
        <w:tc>
          <w:tcPr>
            <w:tcW w:w="850" w:type="dxa"/>
            <w:hideMark/>
          </w:tcPr>
          <w:p w14:paraId="31D65687"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06C24F11"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675FE05E"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642F61E5"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08CB6FAD"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7F87FF62"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1F5D5401"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5A6C7883"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0E5824BE" w14:textId="77777777" w:rsidR="004D2E42" w:rsidRPr="007A3600" w:rsidRDefault="004D2E42" w:rsidP="00AD3197">
            <w:pPr>
              <w:spacing w:before="40" w:after="80" w:line="288" w:lineRule="auto"/>
              <w:jc w:val="right"/>
              <w:rPr>
                <w:lang w:val="en-US"/>
              </w:rPr>
            </w:pPr>
            <w:r w:rsidRPr="007A3600">
              <w:rPr>
                <w:lang w:val="en-US"/>
              </w:rPr>
              <w:t>0</w:t>
            </w:r>
          </w:p>
        </w:tc>
      </w:tr>
      <w:tr w:rsidR="00B407C5" w:rsidRPr="007A3600" w14:paraId="1AC0B1FA" w14:textId="77777777" w:rsidTr="005824A7">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45EF90FC" w14:textId="77777777" w:rsidR="004D2E42" w:rsidRPr="007A3600" w:rsidRDefault="004D2E42" w:rsidP="00AD3197">
            <w:pPr>
              <w:spacing w:before="40" w:after="80" w:line="288" w:lineRule="auto"/>
              <w:rPr>
                <w:lang w:val="en-US"/>
              </w:rPr>
            </w:pPr>
            <w:r w:rsidRPr="007A3600">
              <w:rPr>
                <w:lang w:val="en-US"/>
              </w:rPr>
              <w:t>$295,001 to $320,000</w:t>
            </w:r>
          </w:p>
        </w:tc>
        <w:tc>
          <w:tcPr>
            <w:tcW w:w="850" w:type="dxa"/>
            <w:hideMark/>
          </w:tcPr>
          <w:p w14:paraId="1299EB97" w14:textId="77777777" w:rsidR="004D2E42" w:rsidRPr="007A3600" w:rsidRDefault="004D2E42" w:rsidP="00AD3197">
            <w:pPr>
              <w:spacing w:before="40" w:after="80" w:line="288" w:lineRule="auto"/>
              <w:jc w:val="right"/>
              <w:rPr>
                <w:lang w:val="en-US"/>
              </w:rPr>
            </w:pPr>
            <w:r w:rsidRPr="007A3600">
              <w:rPr>
                <w:lang w:val="en-US"/>
              </w:rPr>
              <w:t>2</w:t>
            </w:r>
          </w:p>
        </w:tc>
        <w:tc>
          <w:tcPr>
            <w:tcW w:w="1361" w:type="dxa"/>
            <w:hideMark/>
          </w:tcPr>
          <w:p w14:paraId="35EFC3BE" w14:textId="77777777" w:rsidR="004D2E42" w:rsidRPr="007A3600" w:rsidRDefault="004D2E42" w:rsidP="00AD3197">
            <w:pPr>
              <w:spacing w:before="40" w:after="80" w:line="288" w:lineRule="auto"/>
              <w:jc w:val="right"/>
              <w:rPr>
                <w:lang w:val="en-US"/>
              </w:rPr>
            </w:pPr>
            <w:r w:rsidRPr="007A3600">
              <w:rPr>
                <w:lang w:val="en-US"/>
              </w:rPr>
              <w:t>$190,600</w:t>
            </w:r>
          </w:p>
        </w:tc>
        <w:tc>
          <w:tcPr>
            <w:tcW w:w="850" w:type="dxa"/>
            <w:hideMark/>
          </w:tcPr>
          <w:p w14:paraId="4A35193A"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7215B1AA" w14:textId="77777777" w:rsidR="004D2E42" w:rsidRPr="007A3600" w:rsidRDefault="004D2E42" w:rsidP="00AD3197">
            <w:pPr>
              <w:spacing w:before="40" w:after="80" w:line="288" w:lineRule="auto"/>
              <w:jc w:val="right"/>
              <w:rPr>
                <w:lang w:val="en-US"/>
              </w:rPr>
            </w:pPr>
            <w:r w:rsidRPr="007A3600">
              <w:rPr>
                <w:lang w:val="en-US"/>
              </w:rPr>
              <w:t>$71,627</w:t>
            </w:r>
          </w:p>
        </w:tc>
        <w:tc>
          <w:tcPr>
            <w:tcW w:w="1531" w:type="dxa"/>
            <w:hideMark/>
          </w:tcPr>
          <w:p w14:paraId="454DC0AB" w14:textId="77777777" w:rsidR="004D2E42" w:rsidRPr="007A3600" w:rsidRDefault="004D2E42" w:rsidP="00AD3197">
            <w:pPr>
              <w:spacing w:before="40" w:after="80" w:line="288" w:lineRule="auto"/>
              <w:jc w:val="right"/>
              <w:rPr>
                <w:lang w:val="en-US"/>
              </w:rPr>
            </w:pPr>
            <w:r w:rsidRPr="007A3600">
              <w:rPr>
                <w:lang w:val="en-US"/>
              </w:rPr>
              <w:t>$36,651</w:t>
            </w:r>
          </w:p>
        </w:tc>
        <w:tc>
          <w:tcPr>
            <w:tcW w:w="1134" w:type="dxa"/>
            <w:hideMark/>
          </w:tcPr>
          <w:p w14:paraId="52E527FA" w14:textId="77777777" w:rsidR="004D2E42" w:rsidRPr="007A3600" w:rsidRDefault="004D2E42" w:rsidP="00AD3197">
            <w:pPr>
              <w:spacing w:before="40" w:after="80" w:line="288" w:lineRule="auto"/>
              <w:jc w:val="right"/>
              <w:rPr>
                <w:lang w:val="en-US"/>
              </w:rPr>
            </w:pPr>
            <w:r w:rsidRPr="007A3600">
              <w:rPr>
                <w:lang w:val="en-US"/>
              </w:rPr>
              <w:t>$4,379</w:t>
            </w:r>
          </w:p>
        </w:tc>
        <w:tc>
          <w:tcPr>
            <w:tcW w:w="850" w:type="dxa"/>
            <w:hideMark/>
          </w:tcPr>
          <w:p w14:paraId="3C3B8314"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52206743"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40265CBE" w14:textId="77777777" w:rsidR="004D2E42" w:rsidRPr="007A3600" w:rsidRDefault="004D2E42" w:rsidP="00AD3197">
            <w:pPr>
              <w:spacing w:before="40" w:after="80" w:line="288" w:lineRule="auto"/>
              <w:jc w:val="right"/>
              <w:rPr>
                <w:lang w:val="en-US"/>
              </w:rPr>
            </w:pPr>
            <w:r w:rsidRPr="007A3600">
              <w:rPr>
                <w:lang w:val="en-US"/>
              </w:rPr>
              <w:t>$303,257</w:t>
            </w:r>
          </w:p>
        </w:tc>
      </w:tr>
      <w:tr w:rsidR="0026718D" w:rsidRPr="007A3600" w14:paraId="084EFD9E" w14:textId="77777777" w:rsidTr="005824A7">
        <w:trPr>
          <w:trHeight w:val="297"/>
        </w:trPr>
        <w:tc>
          <w:tcPr>
            <w:tcW w:w="2721" w:type="dxa"/>
            <w:hideMark/>
          </w:tcPr>
          <w:p w14:paraId="6D788C33" w14:textId="77777777" w:rsidR="004D2E42" w:rsidRPr="007A3600" w:rsidRDefault="004D2E42" w:rsidP="00AD3197">
            <w:pPr>
              <w:spacing w:before="40" w:after="80" w:line="288" w:lineRule="auto"/>
              <w:rPr>
                <w:lang w:val="en-US"/>
              </w:rPr>
            </w:pPr>
            <w:r w:rsidRPr="007A3600">
              <w:rPr>
                <w:lang w:val="en-US"/>
              </w:rPr>
              <w:t>$320,001 to $345,000</w:t>
            </w:r>
          </w:p>
        </w:tc>
        <w:tc>
          <w:tcPr>
            <w:tcW w:w="850" w:type="dxa"/>
            <w:hideMark/>
          </w:tcPr>
          <w:p w14:paraId="44A76C33"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65EEBB1D"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128D3888"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4EBE6996"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79E57176"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723EB121"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6A1E232A"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2137FCEB"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7BEE841B" w14:textId="77777777" w:rsidR="004D2E42" w:rsidRPr="007A3600" w:rsidRDefault="004D2E42" w:rsidP="00AD3197">
            <w:pPr>
              <w:spacing w:before="40" w:after="80" w:line="288" w:lineRule="auto"/>
              <w:jc w:val="right"/>
              <w:rPr>
                <w:lang w:val="en-US"/>
              </w:rPr>
            </w:pPr>
            <w:r w:rsidRPr="007A3600">
              <w:rPr>
                <w:lang w:val="en-US"/>
              </w:rPr>
              <w:t>0</w:t>
            </w:r>
          </w:p>
        </w:tc>
      </w:tr>
      <w:tr w:rsidR="00B407C5" w:rsidRPr="007A3600" w14:paraId="2E0210BB" w14:textId="77777777" w:rsidTr="005824A7">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596448F9" w14:textId="77777777" w:rsidR="004D2E42" w:rsidRPr="007A3600" w:rsidRDefault="004D2E42" w:rsidP="00AD3197">
            <w:pPr>
              <w:spacing w:before="40" w:after="80" w:line="288" w:lineRule="auto"/>
              <w:rPr>
                <w:lang w:val="en-US"/>
              </w:rPr>
            </w:pPr>
            <w:r w:rsidRPr="007A3600">
              <w:rPr>
                <w:lang w:val="en-US"/>
              </w:rPr>
              <w:t>$345,001 to $370,000</w:t>
            </w:r>
          </w:p>
        </w:tc>
        <w:tc>
          <w:tcPr>
            <w:tcW w:w="850" w:type="dxa"/>
            <w:hideMark/>
          </w:tcPr>
          <w:p w14:paraId="77506998"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62EFF70F"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2AE5EA9E"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51668604"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65302064"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02578D79"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73DB1912"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375DB7A3"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215AA895" w14:textId="77777777" w:rsidR="004D2E42" w:rsidRPr="007A3600" w:rsidRDefault="004D2E42" w:rsidP="00AD3197">
            <w:pPr>
              <w:spacing w:before="40" w:after="80" w:line="288" w:lineRule="auto"/>
              <w:jc w:val="right"/>
              <w:rPr>
                <w:lang w:val="en-US"/>
              </w:rPr>
            </w:pPr>
            <w:r w:rsidRPr="007A3600">
              <w:rPr>
                <w:lang w:val="en-US"/>
              </w:rPr>
              <w:t>0</w:t>
            </w:r>
          </w:p>
        </w:tc>
      </w:tr>
      <w:tr w:rsidR="0026718D" w:rsidRPr="007A3600" w14:paraId="38B76983" w14:textId="77777777" w:rsidTr="005824A7">
        <w:trPr>
          <w:trHeight w:val="297"/>
        </w:trPr>
        <w:tc>
          <w:tcPr>
            <w:tcW w:w="2721" w:type="dxa"/>
            <w:hideMark/>
          </w:tcPr>
          <w:p w14:paraId="20489D0B" w14:textId="77777777" w:rsidR="004D2E42" w:rsidRPr="007A3600" w:rsidRDefault="004D2E42" w:rsidP="00AD3197">
            <w:pPr>
              <w:spacing w:before="40" w:after="80" w:line="288" w:lineRule="auto"/>
              <w:rPr>
                <w:lang w:val="en-US"/>
              </w:rPr>
            </w:pPr>
            <w:r w:rsidRPr="007A3600">
              <w:rPr>
                <w:lang w:val="en-US"/>
              </w:rPr>
              <w:t>$370,001 to $395,000</w:t>
            </w:r>
          </w:p>
        </w:tc>
        <w:tc>
          <w:tcPr>
            <w:tcW w:w="850" w:type="dxa"/>
            <w:hideMark/>
          </w:tcPr>
          <w:p w14:paraId="1CBD70EF"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2AA254AC"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309707C7"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2D122719"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2C72C0B3"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49576BF8"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39D5D3DF"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5B2DF67D"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0D560982" w14:textId="77777777" w:rsidR="004D2E42" w:rsidRPr="007A3600" w:rsidRDefault="004D2E42" w:rsidP="00AD3197">
            <w:pPr>
              <w:spacing w:before="40" w:after="80" w:line="288" w:lineRule="auto"/>
              <w:jc w:val="right"/>
              <w:rPr>
                <w:lang w:val="en-US"/>
              </w:rPr>
            </w:pPr>
            <w:r w:rsidRPr="007A3600">
              <w:rPr>
                <w:lang w:val="en-US"/>
              </w:rPr>
              <w:t>0</w:t>
            </w:r>
          </w:p>
        </w:tc>
      </w:tr>
      <w:tr w:rsidR="00B407C5" w:rsidRPr="007A3600" w14:paraId="37BC151C" w14:textId="77777777" w:rsidTr="005824A7">
        <w:trPr>
          <w:cnfStyle w:val="000000100000" w:firstRow="0" w:lastRow="0" w:firstColumn="0" w:lastColumn="0" w:oddVBand="0" w:evenVBand="0" w:oddHBand="1" w:evenHBand="0" w:firstRowFirstColumn="0" w:firstRowLastColumn="0" w:lastRowFirstColumn="0" w:lastRowLastColumn="0"/>
          <w:trHeight w:val="297"/>
        </w:trPr>
        <w:tc>
          <w:tcPr>
            <w:tcW w:w="2721" w:type="dxa"/>
            <w:hideMark/>
          </w:tcPr>
          <w:p w14:paraId="6F57A3A6" w14:textId="77777777" w:rsidR="004D2E42" w:rsidRPr="007A3600" w:rsidRDefault="004D2E42" w:rsidP="00AD3197">
            <w:pPr>
              <w:spacing w:before="40" w:after="80" w:line="288" w:lineRule="auto"/>
              <w:rPr>
                <w:lang w:val="en-US"/>
              </w:rPr>
            </w:pPr>
            <w:r w:rsidRPr="007A3600">
              <w:rPr>
                <w:lang w:val="en-US"/>
              </w:rPr>
              <w:t>$395,001 to $420,000</w:t>
            </w:r>
          </w:p>
        </w:tc>
        <w:tc>
          <w:tcPr>
            <w:tcW w:w="850" w:type="dxa"/>
            <w:hideMark/>
          </w:tcPr>
          <w:p w14:paraId="102E0813"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50F8829D"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68B7A656"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68752142"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7089D005"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71FE30FF"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3FAA971B"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0E73B304"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07A74985" w14:textId="77777777" w:rsidR="004D2E42" w:rsidRPr="007A3600" w:rsidRDefault="004D2E42" w:rsidP="00AD3197">
            <w:pPr>
              <w:spacing w:before="40" w:after="80" w:line="288" w:lineRule="auto"/>
              <w:jc w:val="right"/>
              <w:rPr>
                <w:lang w:val="en-US"/>
              </w:rPr>
            </w:pPr>
            <w:r w:rsidRPr="007A3600">
              <w:rPr>
                <w:lang w:val="en-US"/>
              </w:rPr>
              <w:t>0</w:t>
            </w:r>
          </w:p>
        </w:tc>
      </w:tr>
      <w:tr w:rsidR="0026718D" w:rsidRPr="007A3600" w14:paraId="1869FF09" w14:textId="77777777" w:rsidTr="005824A7">
        <w:trPr>
          <w:trHeight w:val="297"/>
        </w:trPr>
        <w:tc>
          <w:tcPr>
            <w:tcW w:w="2721" w:type="dxa"/>
            <w:hideMark/>
          </w:tcPr>
          <w:p w14:paraId="4582A9F0" w14:textId="77777777" w:rsidR="004D2E42" w:rsidRPr="007A3600" w:rsidRDefault="004D2E42" w:rsidP="00AD3197">
            <w:pPr>
              <w:spacing w:before="40" w:after="80" w:line="288" w:lineRule="auto"/>
              <w:rPr>
                <w:lang w:val="en-US"/>
              </w:rPr>
            </w:pPr>
            <w:r w:rsidRPr="007A3600">
              <w:rPr>
                <w:lang w:val="en-US"/>
              </w:rPr>
              <w:t>$420,001 to $445,000</w:t>
            </w:r>
          </w:p>
        </w:tc>
        <w:tc>
          <w:tcPr>
            <w:tcW w:w="850" w:type="dxa"/>
            <w:hideMark/>
          </w:tcPr>
          <w:p w14:paraId="40BE4310"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5E1FA5B6"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7F251C57"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4DBD4505"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710D9DC4"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326A56F3"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34966DBD"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09FCADC0"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3DA25A2B" w14:textId="77777777" w:rsidR="004D2E42" w:rsidRPr="007A3600" w:rsidRDefault="004D2E42" w:rsidP="00AD3197">
            <w:pPr>
              <w:spacing w:before="40" w:after="80" w:line="288" w:lineRule="auto"/>
              <w:jc w:val="right"/>
              <w:rPr>
                <w:lang w:val="en-US"/>
              </w:rPr>
            </w:pPr>
            <w:r w:rsidRPr="007A3600">
              <w:rPr>
                <w:lang w:val="en-US"/>
              </w:rPr>
              <w:t>0</w:t>
            </w:r>
          </w:p>
        </w:tc>
      </w:tr>
      <w:tr w:rsidR="00B407C5" w:rsidRPr="007A3600" w14:paraId="338BC203" w14:textId="77777777" w:rsidTr="005824A7">
        <w:trPr>
          <w:cnfStyle w:val="000000100000" w:firstRow="0" w:lastRow="0" w:firstColumn="0" w:lastColumn="0" w:oddVBand="0" w:evenVBand="0" w:oddHBand="1" w:evenHBand="0" w:firstRowFirstColumn="0" w:firstRowLastColumn="0" w:lastRowFirstColumn="0" w:lastRowLastColumn="0"/>
          <w:trHeight w:val="299"/>
        </w:trPr>
        <w:tc>
          <w:tcPr>
            <w:tcW w:w="2721" w:type="dxa"/>
            <w:hideMark/>
          </w:tcPr>
          <w:p w14:paraId="3569C6D3" w14:textId="77777777" w:rsidR="004D2E42" w:rsidRPr="007A3600" w:rsidRDefault="004D2E42" w:rsidP="00AD3197">
            <w:pPr>
              <w:spacing w:before="40" w:after="80" w:line="288" w:lineRule="auto"/>
              <w:rPr>
                <w:lang w:val="en-US"/>
              </w:rPr>
            </w:pPr>
            <w:r w:rsidRPr="007A3600">
              <w:rPr>
                <w:lang w:val="en-US"/>
              </w:rPr>
              <w:t>$445,001 to $470,000</w:t>
            </w:r>
          </w:p>
        </w:tc>
        <w:tc>
          <w:tcPr>
            <w:tcW w:w="850" w:type="dxa"/>
            <w:hideMark/>
          </w:tcPr>
          <w:p w14:paraId="35FD5C3A"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53C7F329"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38C860C9"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7A35C047"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7B1E6C02"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5922919F"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1E395535"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1886A0EE"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7FD899A8" w14:textId="77777777" w:rsidR="004D2E42" w:rsidRPr="007A3600" w:rsidRDefault="004D2E42" w:rsidP="00AD3197">
            <w:pPr>
              <w:spacing w:before="40" w:after="80" w:line="288" w:lineRule="auto"/>
              <w:jc w:val="right"/>
              <w:rPr>
                <w:lang w:val="en-US"/>
              </w:rPr>
            </w:pPr>
            <w:r w:rsidRPr="007A3600">
              <w:rPr>
                <w:lang w:val="en-US"/>
              </w:rPr>
              <w:t>0</w:t>
            </w:r>
          </w:p>
        </w:tc>
      </w:tr>
      <w:tr w:rsidR="0026718D" w:rsidRPr="007A3600" w14:paraId="7513E611" w14:textId="77777777" w:rsidTr="005824A7">
        <w:trPr>
          <w:trHeight w:val="299"/>
        </w:trPr>
        <w:tc>
          <w:tcPr>
            <w:tcW w:w="2721" w:type="dxa"/>
            <w:hideMark/>
          </w:tcPr>
          <w:p w14:paraId="139EA9DC" w14:textId="77777777" w:rsidR="004D2E42" w:rsidRPr="007A3600" w:rsidRDefault="004D2E42" w:rsidP="00AD3197">
            <w:pPr>
              <w:spacing w:before="40" w:after="80" w:line="288" w:lineRule="auto"/>
              <w:rPr>
                <w:lang w:val="en-US"/>
              </w:rPr>
            </w:pPr>
            <w:r w:rsidRPr="007A3600">
              <w:rPr>
                <w:lang w:val="en-US"/>
              </w:rPr>
              <w:t>$470,001 to $495,000</w:t>
            </w:r>
          </w:p>
        </w:tc>
        <w:tc>
          <w:tcPr>
            <w:tcW w:w="850" w:type="dxa"/>
            <w:hideMark/>
          </w:tcPr>
          <w:p w14:paraId="48E71C50"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6535F629"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62317F93"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1FF80DD6"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0A377FA5"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0E289990"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4697DAC4"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4AB0668C"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6C5ADE6D" w14:textId="77777777" w:rsidR="004D2E42" w:rsidRPr="007A3600" w:rsidRDefault="004D2E42" w:rsidP="00AD3197">
            <w:pPr>
              <w:spacing w:before="40" w:after="80" w:line="288" w:lineRule="auto"/>
              <w:jc w:val="right"/>
              <w:rPr>
                <w:lang w:val="en-US"/>
              </w:rPr>
            </w:pPr>
            <w:r w:rsidRPr="007A3600">
              <w:rPr>
                <w:lang w:val="en-US"/>
              </w:rPr>
              <w:t>0</w:t>
            </w:r>
          </w:p>
        </w:tc>
      </w:tr>
      <w:tr w:rsidR="00B407C5" w:rsidRPr="007A3600" w14:paraId="01F1E633" w14:textId="77777777" w:rsidTr="005824A7">
        <w:trPr>
          <w:cnfStyle w:val="000000100000" w:firstRow="0" w:lastRow="0" w:firstColumn="0" w:lastColumn="0" w:oddVBand="0" w:evenVBand="0" w:oddHBand="1" w:evenHBand="0" w:firstRowFirstColumn="0" w:firstRowLastColumn="0" w:lastRowFirstColumn="0" w:lastRowLastColumn="0"/>
          <w:trHeight w:val="299"/>
        </w:trPr>
        <w:tc>
          <w:tcPr>
            <w:tcW w:w="2721" w:type="dxa"/>
            <w:hideMark/>
          </w:tcPr>
          <w:p w14:paraId="176E1EBA" w14:textId="77777777" w:rsidR="004D2E42" w:rsidRPr="007A3600" w:rsidRDefault="004D2E42" w:rsidP="00AD3197">
            <w:pPr>
              <w:spacing w:before="40" w:after="80" w:line="288" w:lineRule="auto"/>
              <w:rPr>
                <w:lang w:val="en-US"/>
              </w:rPr>
            </w:pPr>
            <w:r w:rsidRPr="007A3600">
              <w:rPr>
                <w:lang w:val="en-US"/>
              </w:rPr>
              <w:t>$495,001 and above</w:t>
            </w:r>
          </w:p>
        </w:tc>
        <w:tc>
          <w:tcPr>
            <w:tcW w:w="850" w:type="dxa"/>
            <w:hideMark/>
          </w:tcPr>
          <w:p w14:paraId="769D857B" w14:textId="77777777" w:rsidR="004D2E42" w:rsidRPr="007A3600" w:rsidRDefault="004D2E42" w:rsidP="00AD3197">
            <w:pPr>
              <w:spacing w:before="40" w:after="80" w:line="288" w:lineRule="auto"/>
              <w:jc w:val="right"/>
              <w:rPr>
                <w:lang w:val="en-US"/>
              </w:rPr>
            </w:pPr>
            <w:r w:rsidRPr="007A3600">
              <w:rPr>
                <w:lang w:val="en-US"/>
              </w:rPr>
              <w:t>0</w:t>
            </w:r>
          </w:p>
        </w:tc>
        <w:tc>
          <w:tcPr>
            <w:tcW w:w="1361" w:type="dxa"/>
            <w:hideMark/>
          </w:tcPr>
          <w:p w14:paraId="1416BD91"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47731D25"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2631FA7F" w14:textId="77777777" w:rsidR="004D2E42" w:rsidRPr="007A3600" w:rsidRDefault="004D2E42" w:rsidP="00AD3197">
            <w:pPr>
              <w:spacing w:before="40" w:after="80" w:line="288" w:lineRule="auto"/>
              <w:jc w:val="right"/>
              <w:rPr>
                <w:lang w:val="en-US"/>
              </w:rPr>
            </w:pPr>
            <w:r w:rsidRPr="007A3600">
              <w:rPr>
                <w:lang w:val="en-US"/>
              </w:rPr>
              <w:t>0</w:t>
            </w:r>
          </w:p>
        </w:tc>
        <w:tc>
          <w:tcPr>
            <w:tcW w:w="1531" w:type="dxa"/>
            <w:hideMark/>
          </w:tcPr>
          <w:p w14:paraId="66639CBF"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16813796" w14:textId="77777777" w:rsidR="004D2E42" w:rsidRPr="007A3600" w:rsidRDefault="004D2E42" w:rsidP="00AD3197">
            <w:pPr>
              <w:spacing w:before="40" w:after="80" w:line="288" w:lineRule="auto"/>
              <w:jc w:val="right"/>
              <w:rPr>
                <w:lang w:val="en-US"/>
              </w:rPr>
            </w:pPr>
            <w:r w:rsidRPr="007A3600">
              <w:rPr>
                <w:lang w:val="en-US"/>
              </w:rPr>
              <w:t>0</w:t>
            </w:r>
          </w:p>
        </w:tc>
        <w:tc>
          <w:tcPr>
            <w:tcW w:w="850" w:type="dxa"/>
            <w:hideMark/>
          </w:tcPr>
          <w:p w14:paraId="763E340E" w14:textId="77777777" w:rsidR="004D2E42" w:rsidRPr="007A3600" w:rsidRDefault="004D2E42" w:rsidP="00AD3197">
            <w:pPr>
              <w:spacing w:before="40" w:after="80" w:line="288" w:lineRule="auto"/>
              <w:jc w:val="right"/>
              <w:rPr>
                <w:lang w:val="en-US"/>
              </w:rPr>
            </w:pPr>
            <w:r w:rsidRPr="007A3600">
              <w:rPr>
                <w:lang w:val="en-US"/>
              </w:rPr>
              <w:t>0</w:t>
            </w:r>
          </w:p>
        </w:tc>
        <w:tc>
          <w:tcPr>
            <w:tcW w:w="1134" w:type="dxa"/>
            <w:hideMark/>
          </w:tcPr>
          <w:p w14:paraId="4B5FF0A0" w14:textId="77777777" w:rsidR="004D2E42" w:rsidRPr="007A3600" w:rsidRDefault="004D2E42" w:rsidP="00AD3197">
            <w:pPr>
              <w:spacing w:before="40" w:after="80" w:line="288" w:lineRule="auto"/>
              <w:jc w:val="right"/>
              <w:rPr>
                <w:lang w:val="en-US"/>
              </w:rPr>
            </w:pPr>
            <w:r w:rsidRPr="007A3600">
              <w:rPr>
                <w:lang w:val="en-US"/>
              </w:rPr>
              <w:t>0</w:t>
            </w:r>
          </w:p>
        </w:tc>
        <w:tc>
          <w:tcPr>
            <w:tcW w:w="1417" w:type="dxa"/>
            <w:hideMark/>
          </w:tcPr>
          <w:p w14:paraId="3A9F0790" w14:textId="77777777" w:rsidR="004D2E42" w:rsidRPr="007A3600" w:rsidRDefault="004D2E42" w:rsidP="00AD3197">
            <w:pPr>
              <w:spacing w:before="40" w:after="80" w:line="288" w:lineRule="auto"/>
              <w:jc w:val="right"/>
              <w:rPr>
                <w:lang w:val="en-US"/>
              </w:rPr>
            </w:pPr>
            <w:r w:rsidRPr="007A3600">
              <w:rPr>
                <w:lang w:val="en-US"/>
              </w:rPr>
              <w:t>0</w:t>
            </w:r>
          </w:p>
        </w:tc>
      </w:tr>
    </w:tbl>
    <w:p w14:paraId="3818DF8F" w14:textId="77777777" w:rsidR="004D2E42" w:rsidRPr="007A3600" w:rsidRDefault="004D2E42" w:rsidP="00AD3197"/>
    <w:p w14:paraId="2D455129" w14:textId="77777777" w:rsidR="004D2E42" w:rsidRPr="007A3600" w:rsidRDefault="004D2E42" w:rsidP="00AD3197">
      <w:pPr>
        <w:sectPr w:rsidR="004D2E42" w:rsidRPr="007A3600" w:rsidSect="007049C5">
          <w:headerReference w:type="even" r:id="rId162"/>
          <w:headerReference w:type="default" r:id="rId163"/>
          <w:footerReference w:type="default" r:id="rId164"/>
          <w:headerReference w:type="first" r:id="rId165"/>
          <w:footerReference w:type="first" r:id="rId166"/>
          <w:pgSz w:w="16838" w:h="11906" w:orient="landscape" w:code="9"/>
          <w:pgMar w:top="1134" w:right="1440" w:bottom="1701" w:left="1440" w:header="561" w:footer="374" w:gutter="0"/>
          <w:cols w:space="708"/>
          <w:titlePg/>
          <w:docGrid w:linePitch="360"/>
        </w:sectPr>
      </w:pPr>
    </w:p>
    <w:p w14:paraId="6B5B8F78" w14:textId="5CEC8D64" w:rsidR="00894F10" w:rsidRPr="007A3600" w:rsidRDefault="00924091" w:rsidP="00AD3197">
      <w:pPr>
        <w:pStyle w:val="Heading3"/>
      </w:pPr>
      <w:bookmarkStart w:id="260" w:name="_8.4_Judicial_decisions"/>
      <w:bookmarkStart w:id="261" w:name="_Toc209695870"/>
      <w:bookmarkEnd w:id="260"/>
      <w:r w:rsidRPr="007A3600">
        <w:lastRenderedPageBreak/>
        <w:t>8</w:t>
      </w:r>
      <w:r w:rsidR="001B0DE9" w:rsidRPr="007A3600">
        <w:t>.</w:t>
      </w:r>
      <w:r w:rsidR="00F830CE" w:rsidRPr="007A3600">
        <w:t>4</w:t>
      </w:r>
      <w:r w:rsidR="001B0DE9" w:rsidRPr="007A3600">
        <w:tab/>
        <w:t>Judicial decisions and external reviews</w:t>
      </w:r>
      <w:bookmarkEnd w:id="256"/>
      <w:bookmarkEnd w:id="261"/>
    </w:p>
    <w:p w14:paraId="2C563F10" w14:textId="0D4825B4" w:rsidR="001B0DE9" w:rsidRPr="007A3600" w:rsidRDefault="00EB0E29" w:rsidP="00AD3197">
      <w:r w:rsidRPr="007A3600">
        <w:rPr>
          <w:lang w:val="en-GB"/>
        </w:rPr>
        <w:t xml:space="preserve">The </w:t>
      </w:r>
      <w:r w:rsidR="009266E0" w:rsidRPr="007A3600">
        <w:rPr>
          <w:lang w:val="en-GB"/>
        </w:rPr>
        <w:t xml:space="preserve">NDIA’s </w:t>
      </w:r>
      <w:r w:rsidRPr="007A3600">
        <w:rPr>
          <w:lang w:val="en-GB"/>
        </w:rPr>
        <w:t>operations and decisions are subject to scrutiny by external entities.</w:t>
      </w:r>
    </w:p>
    <w:p w14:paraId="00FE2106" w14:textId="6FEE0F24" w:rsidR="001B0DE9" w:rsidRPr="007A3600" w:rsidRDefault="00781ECA" w:rsidP="00AD3197">
      <w:pPr>
        <w:pStyle w:val="Heading4"/>
      </w:pPr>
      <w:bookmarkStart w:id="262" w:name="_Toc207017744"/>
      <w:r w:rsidRPr="007A3600">
        <w:t>Federal Court of Australia</w:t>
      </w:r>
      <w:bookmarkEnd w:id="262"/>
    </w:p>
    <w:p w14:paraId="72E3677D" w14:textId="26D3ADCE" w:rsidR="00781ECA" w:rsidRPr="007A3600" w:rsidRDefault="00DF63D2" w:rsidP="00AD3197">
      <w:r w:rsidRPr="007A3600">
        <w:t>In 2024–25</w:t>
      </w:r>
      <w:r w:rsidR="00EE4178" w:rsidRPr="007A3600">
        <w:t>,</w:t>
      </w:r>
      <w:r w:rsidRPr="007A3600">
        <w:t xml:space="preserve"> t</w:t>
      </w:r>
      <w:r w:rsidR="007D2F00" w:rsidRPr="007A3600">
        <w:t xml:space="preserve">he Federal Court </w:t>
      </w:r>
      <w:r w:rsidR="0058246B" w:rsidRPr="007A3600">
        <w:t xml:space="preserve">of Australia </w:t>
      </w:r>
      <w:r w:rsidR="007D2F00" w:rsidRPr="007A3600">
        <w:t xml:space="preserve">handed down </w:t>
      </w:r>
      <w:r w:rsidRPr="007A3600">
        <w:t xml:space="preserve">3 </w:t>
      </w:r>
      <w:r w:rsidR="007D2F00" w:rsidRPr="007A3600">
        <w:t>substantive decisions involving the NDIA</w:t>
      </w:r>
      <w:r w:rsidRPr="007A3600">
        <w:t>. The decisions</w:t>
      </w:r>
      <w:r w:rsidR="009266E0" w:rsidRPr="007A3600">
        <w:t>, which</w:t>
      </w:r>
      <w:r w:rsidR="007D2F00" w:rsidRPr="007A3600">
        <w:t xml:space="preserve"> relat</w:t>
      </w:r>
      <w:r w:rsidRPr="007A3600">
        <w:t>ed</w:t>
      </w:r>
      <w:r w:rsidR="007D2F00" w:rsidRPr="007A3600">
        <w:t xml:space="preserve"> to the determination of whether </w:t>
      </w:r>
      <w:r w:rsidR="009266E0" w:rsidRPr="007A3600">
        <w:t xml:space="preserve">NDIS </w:t>
      </w:r>
      <w:r w:rsidR="007D2F00" w:rsidRPr="007A3600">
        <w:t>claims made are</w:t>
      </w:r>
      <w:r w:rsidR="00AA4FF9" w:rsidRPr="007A3600">
        <w:t xml:space="preserve"> payable</w:t>
      </w:r>
      <w:r w:rsidR="009266E0" w:rsidRPr="007A3600">
        <w:t>, were</w:t>
      </w:r>
      <w:r w:rsidR="007D2F00" w:rsidRPr="007A3600">
        <w:t>:</w:t>
      </w:r>
    </w:p>
    <w:p w14:paraId="4CEFAB15" w14:textId="24FEAEB9" w:rsidR="00F750CF" w:rsidRPr="007A3600" w:rsidRDefault="00F750CF" w:rsidP="00AD3197">
      <w:pPr>
        <w:pStyle w:val="Bullet1"/>
      </w:pPr>
      <w:r w:rsidRPr="007A3600">
        <w:rPr>
          <w:i/>
          <w:iCs/>
        </w:rPr>
        <w:t xml:space="preserve">Northern Disability Services Pty Ltd v NDIA </w:t>
      </w:r>
      <w:r w:rsidRPr="007A3600">
        <w:t xml:space="preserve">[2024] FCA 892. </w:t>
      </w:r>
      <w:r w:rsidR="009266E0" w:rsidRPr="007A3600">
        <w:t xml:space="preserve">This </w:t>
      </w:r>
      <w:r w:rsidRPr="007A3600">
        <w:t xml:space="preserve">decision </w:t>
      </w:r>
      <w:r w:rsidR="009266E0" w:rsidRPr="007A3600">
        <w:t xml:space="preserve">confirmed that </w:t>
      </w:r>
      <w:r w:rsidRPr="007A3600">
        <w:t xml:space="preserve">the NDIA’s decision </w:t>
      </w:r>
      <w:r w:rsidR="009266E0" w:rsidRPr="007A3600">
        <w:t xml:space="preserve">about </w:t>
      </w:r>
      <w:r w:rsidRPr="007A3600">
        <w:t xml:space="preserve">whether to pay or reject a claim can be reviewed under the </w:t>
      </w:r>
      <w:r w:rsidRPr="007A3600">
        <w:rPr>
          <w:i/>
          <w:iCs/>
        </w:rPr>
        <w:t>Administrative Decisions (Judicial Review) Act 1977</w:t>
      </w:r>
      <w:r w:rsidRPr="007A3600">
        <w:t xml:space="preserve"> (Cth) (ADJR Act)</w:t>
      </w:r>
      <w:r w:rsidR="009266E0" w:rsidRPr="007A3600">
        <w:t xml:space="preserve"> because </w:t>
      </w:r>
      <w:r w:rsidRPr="007A3600">
        <w:t>it is a ‘decision under an enactment’.</w:t>
      </w:r>
    </w:p>
    <w:p w14:paraId="21832969" w14:textId="090526CF" w:rsidR="00F750CF" w:rsidRPr="007A3600" w:rsidRDefault="00F750CF" w:rsidP="00AD3197">
      <w:pPr>
        <w:pStyle w:val="Bullet1"/>
        <w:rPr>
          <w:szCs w:val="22"/>
        </w:rPr>
      </w:pPr>
      <w:r w:rsidRPr="007A3600">
        <w:rPr>
          <w:i/>
          <w:iCs/>
        </w:rPr>
        <w:t xml:space="preserve">Affinity Care Services Pty Ltd as Trustee for the Balmerino Australia Trust v NDIA </w:t>
      </w:r>
      <w:r w:rsidRPr="007A3600">
        <w:t xml:space="preserve">[2024] FCA 1314. </w:t>
      </w:r>
      <w:r w:rsidR="009266E0" w:rsidRPr="007A3600">
        <w:t xml:space="preserve">This decision </w:t>
      </w:r>
      <w:r w:rsidRPr="007A3600">
        <w:t>confirmed making a claim is not an entitlement to its payment</w:t>
      </w:r>
      <w:r w:rsidR="009266E0" w:rsidRPr="007A3600">
        <w:t xml:space="preserve">, and that </w:t>
      </w:r>
      <w:r w:rsidRPr="007A3600">
        <w:t xml:space="preserve">the NDIA can request information to assist its determination </w:t>
      </w:r>
      <w:r w:rsidR="009266E0" w:rsidRPr="007A3600">
        <w:t xml:space="preserve">about </w:t>
      </w:r>
      <w:r w:rsidRPr="007A3600">
        <w:t>whether to pay or reject a claim.</w:t>
      </w:r>
    </w:p>
    <w:p w14:paraId="3FD86062" w14:textId="1B66084C" w:rsidR="00F750CF" w:rsidRPr="007A3600" w:rsidRDefault="00F750CF" w:rsidP="00AD3197">
      <w:pPr>
        <w:pStyle w:val="Bullet1"/>
        <w:rPr>
          <w:b/>
          <w:bCs/>
          <w:i/>
          <w:iCs/>
          <w:szCs w:val="22"/>
        </w:rPr>
      </w:pPr>
      <w:r w:rsidRPr="007A3600">
        <w:rPr>
          <w:i/>
          <w:iCs/>
        </w:rPr>
        <w:t>Maysan Holdings v NDIA</w:t>
      </w:r>
      <w:r w:rsidRPr="007A3600">
        <w:t xml:space="preserve"> </w:t>
      </w:r>
      <w:r w:rsidR="00191539" w:rsidRPr="007A3600">
        <w:t>[</w:t>
      </w:r>
      <w:r w:rsidRPr="007A3600">
        <w:t>2025</w:t>
      </w:r>
      <w:r w:rsidR="00191539" w:rsidRPr="007A3600">
        <w:t>]</w:t>
      </w:r>
      <w:r w:rsidRPr="007A3600">
        <w:t xml:space="preserve"> FCA 628. </w:t>
      </w:r>
      <w:r w:rsidR="009266E0" w:rsidRPr="007A3600">
        <w:t xml:space="preserve">This decision confirmed that </w:t>
      </w:r>
      <w:r w:rsidRPr="007A3600">
        <w:t>the NDIA</w:t>
      </w:r>
      <w:r w:rsidR="009266E0" w:rsidRPr="007A3600">
        <w:t>’s decision</w:t>
      </w:r>
      <w:r w:rsidRPr="007A3600">
        <w:t xml:space="preserve"> to </w:t>
      </w:r>
      <w:r w:rsidR="009266E0" w:rsidRPr="007A3600">
        <w:t xml:space="preserve">start </w:t>
      </w:r>
      <w:r w:rsidRPr="007A3600">
        <w:t xml:space="preserve">manually reviewing claims made by a provider is not a reviewable decision under the ADJR Act because it was not a decision made under an enactment </w:t>
      </w:r>
      <w:r w:rsidR="009266E0" w:rsidRPr="007A3600">
        <w:t xml:space="preserve">that </w:t>
      </w:r>
      <w:r w:rsidRPr="007A3600">
        <w:t xml:space="preserve">affected the legal rights of the </w:t>
      </w:r>
      <w:r w:rsidR="00DF63D2" w:rsidRPr="007A3600">
        <w:t>a</w:t>
      </w:r>
      <w:r w:rsidRPr="007A3600">
        <w:t>pplicant.</w:t>
      </w:r>
    </w:p>
    <w:p w14:paraId="0DD83371" w14:textId="65033F5E" w:rsidR="00180D1F" w:rsidRPr="007A3600" w:rsidRDefault="00DF63D2" w:rsidP="00AD3197">
      <w:r w:rsidRPr="007A3600">
        <w:rPr>
          <w:lang w:val="en-GB"/>
        </w:rPr>
        <w:t>In 2024–25 t</w:t>
      </w:r>
      <w:r w:rsidR="00180D1F" w:rsidRPr="007A3600">
        <w:rPr>
          <w:lang w:val="en-GB"/>
        </w:rPr>
        <w:t xml:space="preserve">he Federal Court </w:t>
      </w:r>
      <w:r w:rsidRPr="007A3600">
        <w:rPr>
          <w:lang w:val="en-GB"/>
        </w:rPr>
        <w:t xml:space="preserve">also </w:t>
      </w:r>
      <w:r w:rsidR="00180D1F" w:rsidRPr="007A3600">
        <w:rPr>
          <w:lang w:val="en-GB"/>
        </w:rPr>
        <w:t xml:space="preserve">handed down </w:t>
      </w:r>
      <w:r w:rsidRPr="007A3600">
        <w:rPr>
          <w:lang w:val="en-GB"/>
        </w:rPr>
        <w:t xml:space="preserve">5 </w:t>
      </w:r>
      <w:r w:rsidR="00180D1F" w:rsidRPr="007A3600">
        <w:rPr>
          <w:lang w:val="en-GB"/>
        </w:rPr>
        <w:t>substantive decisions relating to appeals from the former Administrative Appeals Tribunal (AAT) and the Administrative Review Tribunal (ART) involving the NDIA:</w:t>
      </w:r>
    </w:p>
    <w:p w14:paraId="3A3A3404" w14:textId="0A6E2DD3" w:rsidR="00180D1F" w:rsidRPr="007A3600" w:rsidRDefault="00180D1F" w:rsidP="00AD3197">
      <w:pPr>
        <w:pStyle w:val="Bullet1"/>
      </w:pPr>
      <w:r w:rsidRPr="007A3600">
        <w:rPr>
          <w:i/>
          <w:iCs/>
        </w:rPr>
        <w:t>Sayed v NDIA (No 5)</w:t>
      </w:r>
      <w:r w:rsidRPr="007A3600">
        <w:t xml:space="preserve"> [2024] FCA 923. </w:t>
      </w:r>
      <w:r w:rsidR="009266E0" w:rsidRPr="007A3600">
        <w:t xml:space="preserve">This </w:t>
      </w:r>
      <w:r w:rsidRPr="007A3600">
        <w:t xml:space="preserve">decision concerned whether the AAT erred in concluding that the </w:t>
      </w:r>
      <w:r w:rsidR="008947E5" w:rsidRPr="007A3600">
        <w:t xml:space="preserve">NDIA </w:t>
      </w:r>
      <w:r w:rsidRPr="007A3600">
        <w:t xml:space="preserve">had not made an internal review decision under the NDIS Act. The Federal Court </w:t>
      </w:r>
      <w:r w:rsidR="009266E0" w:rsidRPr="007A3600">
        <w:t xml:space="preserve">decided that </w:t>
      </w:r>
      <w:r w:rsidRPr="007A3600">
        <w:t>the AAT correctly found it did not have jurisdiction, and the application was dismissed.</w:t>
      </w:r>
    </w:p>
    <w:p w14:paraId="65EA5F9B" w14:textId="694F95A4" w:rsidR="00180D1F" w:rsidRPr="007A3600" w:rsidRDefault="00180D1F" w:rsidP="00AD3197">
      <w:pPr>
        <w:pStyle w:val="Bullet1"/>
      </w:pPr>
      <w:r w:rsidRPr="007A3600">
        <w:rPr>
          <w:i/>
          <w:iCs/>
        </w:rPr>
        <w:t>Sayed v NDIA</w:t>
      </w:r>
      <w:r w:rsidRPr="007A3600" w:rsidDel="00D45EE5">
        <w:rPr>
          <w:i/>
          <w:iCs/>
        </w:rPr>
        <w:t xml:space="preserve"> </w:t>
      </w:r>
      <w:r w:rsidRPr="007A3600">
        <w:t xml:space="preserve">[2025] FCAFC 40. </w:t>
      </w:r>
      <w:r w:rsidR="009266E0" w:rsidRPr="007A3600">
        <w:t xml:space="preserve">This </w:t>
      </w:r>
      <w:r w:rsidRPr="007A3600">
        <w:t xml:space="preserve">decision concerned a further appeal regarding whether the AAT erred in concluding that the </w:t>
      </w:r>
      <w:r w:rsidR="008947E5" w:rsidRPr="007A3600">
        <w:t xml:space="preserve">NDIA </w:t>
      </w:r>
      <w:r w:rsidRPr="007A3600">
        <w:t xml:space="preserve">had not made an internal review decision under the NDIS Act. The </w:t>
      </w:r>
      <w:r w:rsidR="009266E0" w:rsidRPr="007A3600">
        <w:t xml:space="preserve">Full Federal </w:t>
      </w:r>
      <w:r w:rsidRPr="007A3600">
        <w:t>Court affirmed that the AAT correctly found it did not have jurisdiction, and the application was dismissed.</w:t>
      </w:r>
    </w:p>
    <w:p w14:paraId="6B62BB8F" w14:textId="1F4BBAF4" w:rsidR="00180D1F" w:rsidRPr="007A3600" w:rsidRDefault="00180D1F" w:rsidP="00AD3197">
      <w:pPr>
        <w:pStyle w:val="Bullet1"/>
      </w:pPr>
      <w:r w:rsidRPr="007A3600">
        <w:rPr>
          <w:i/>
          <w:iCs/>
        </w:rPr>
        <w:t>Kelly v NDIA</w:t>
      </w:r>
      <w:r w:rsidRPr="007A3600" w:rsidDel="00D45EE5">
        <w:rPr>
          <w:i/>
          <w:iCs/>
        </w:rPr>
        <w:t xml:space="preserve"> </w:t>
      </w:r>
      <w:r w:rsidRPr="007A3600">
        <w:t xml:space="preserve">[2024] FCA 1462. The decision concerned the meaning of </w:t>
      </w:r>
      <w:r w:rsidR="00DF63D2" w:rsidRPr="007A3600">
        <w:t>‘</w:t>
      </w:r>
      <w:r w:rsidRPr="007A3600">
        <w:t>permanent</w:t>
      </w:r>
      <w:r w:rsidR="00DF63D2" w:rsidRPr="007A3600">
        <w:t>’</w:t>
      </w:r>
      <w:r w:rsidRPr="007A3600">
        <w:t xml:space="preserve"> and </w:t>
      </w:r>
      <w:r w:rsidR="00DF63D2" w:rsidRPr="007A3600">
        <w:t>‘</w:t>
      </w:r>
      <w:r w:rsidRPr="007A3600">
        <w:t>likely</w:t>
      </w:r>
      <w:r w:rsidR="00DF63D2" w:rsidRPr="007A3600">
        <w:t>’</w:t>
      </w:r>
      <w:r w:rsidRPr="007A3600">
        <w:t xml:space="preserve"> in section 24(1)(b) of the NDIS Act and Rule 5.4 of the National Disability Insurance Scheme (Becoming a Participant) Rules 2016. The Federal Court </w:t>
      </w:r>
      <w:r w:rsidR="009266E0" w:rsidRPr="007A3600">
        <w:t xml:space="preserve">decided that </w:t>
      </w:r>
      <w:r w:rsidRPr="007A3600">
        <w:t>the AAT had not erred in its decision, and the application was dismissed.</w:t>
      </w:r>
    </w:p>
    <w:p w14:paraId="45C25FA0" w14:textId="10B5C1F5" w:rsidR="00180D1F" w:rsidRPr="007A3600" w:rsidRDefault="00180D1F" w:rsidP="00AD3197">
      <w:pPr>
        <w:pStyle w:val="Bullet1"/>
      </w:pPr>
      <w:r w:rsidRPr="007A3600">
        <w:rPr>
          <w:i/>
          <w:iCs/>
        </w:rPr>
        <w:lastRenderedPageBreak/>
        <w:t>Andrews v NDIA</w:t>
      </w:r>
      <w:r w:rsidRPr="007A3600" w:rsidDel="00D45EE5">
        <w:rPr>
          <w:i/>
          <w:iCs/>
        </w:rPr>
        <w:t xml:space="preserve"> </w:t>
      </w:r>
      <w:r w:rsidRPr="007A3600">
        <w:t>[2025] FCA 272. The decision concerned a review application being stayed by the AAT. The Federal Court made orders by consent setting aside the AAT’s decision to stay the review application and dismissed other claims</w:t>
      </w:r>
      <w:r w:rsidR="00DF63D2" w:rsidRPr="007A3600">
        <w:t>,</w:t>
      </w:r>
      <w:r w:rsidRPr="007A3600">
        <w:t xml:space="preserve"> including for damages, with partial costs awarded in favour of the </w:t>
      </w:r>
      <w:r w:rsidR="008947E5" w:rsidRPr="007A3600">
        <w:t>NDIA</w:t>
      </w:r>
      <w:r w:rsidRPr="007A3600">
        <w:t>. The matter was remitted for further decision by the ART.</w:t>
      </w:r>
    </w:p>
    <w:p w14:paraId="71CFD372" w14:textId="24265405" w:rsidR="00F750CF" w:rsidRPr="007A3600" w:rsidRDefault="00180D1F" w:rsidP="00AD3197">
      <w:pPr>
        <w:pStyle w:val="Bullet1"/>
      </w:pPr>
      <w:r w:rsidRPr="007A3600">
        <w:rPr>
          <w:i/>
          <w:iCs/>
        </w:rPr>
        <w:t>NDIA v Deayton</w:t>
      </w:r>
      <w:r w:rsidRPr="007A3600">
        <w:t xml:space="preserve"> [2025] FCA 562. The decision concerned whether the AAT misconstrued section 34(1)(c) and (f) of the NDIS Act and Rules 3.1(a) and 5.2(a) of the National Disability Insurance Scheme (Supports for Participants) Rules 2013</w:t>
      </w:r>
      <w:r w:rsidRPr="007A3600">
        <w:rPr>
          <w:i/>
          <w:iCs/>
        </w:rPr>
        <w:t xml:space="preserve"> </w:t>
      </w:r>
      <w:r w:rsidR="009266E0" w:rsidRPr="007A3600">
        <w:t xml:space="preserve">about </w:t>
      </w:r>
      <w:r w:rsidRPr="007A3600">
        <w:t>value for money and whether supports were appropriately funded through other systems or costs incurred solely and directly as a result of disability support needs. The Federal Court held the AAT had not erred in its decision, and the appeal was dismissed.</w:t>
      </w:r>
    </w:p>
    <w:p w14:paraId="055F1415" w14:textId="1AC7BF68" w:rsidR="00781ECA" w:rsidRPr="007A3600" w:rsidRDefault="00781ECA" w:rsidP="00AD3197">
      <w:pPr>
        <w:pStyle w:val="Heading4"/>
      </w:pPr>
      <w:bookmarkStart w:id="263" w:name="_Toc207017745"/>
      <w:r w:rsidRPr="007A3600">
        <w:t>Administrative Appeals Tribunal reviews</w:t>
      </w:r>
      <w:bookmarkEnd w:id="263"/>
    </w:p>
    <w:p w14:paraId="702263CF" w14:textId="4606C048" w:rsidR="008E0685" w:rsidRPr="007A3600" w:rsidRDefault="00DF63D2" w:rsidP="00AD3197">
      <w:r w:rsidRPr="007A3600">
        <w:rPr>
          <w:lang w:val="en-GB"/>
        </w:rPr>
        <w:t xml:space="preserve">Before </w:t>
      </w:r>
      <w:r w:rsidR="008E0685" w:rsidRPr="007A3600">
        <w:rPr>
          <w:lang w:val="en-GB"/>
        </w:rPr>
        <w:t>14 October 2024</w:t>
      </w:r>
      <w:r w:rsidR="00066CB2" w:rsidRPr="007A3600">
        <w:rPr>
          <w:lang w:val="en-GB"/>
        </w:rPr>
        <w:t>,</w:t>
      </w:r>
      <w:r w:rsidR="008E0685" w:rsidRPr="007A3600">
        <w:rPr>
          <w:lang w:val="en-GB"/>
        </w:rPr>
        <w:t xml:space="preserve"> the AAT was responsible for independently reviewing a range of decisions made under the NDIS Act, including decisions about whether a person meets the access criteria to become a participant in the NDIS and decisions relating to supports provided under the NDIS.</w:t>
      </w:r>
      <w:r w:rsidR="00F116A5" w:rsidRPr="007A3600">
        <w:rPr>
          <w:lang w:val="en-GB"/>
        </w:rPr>
        <w:t xml:space="preserve"> </w:t>
      </w:r>
      <w:r w:rsidR="008E0685" w:rsidRPr="007A3600">
        <w:rPr>
          <w:lang w:val="en-GB"/>
        </w:rPr>
        <w:t>On 14 October 2024</w:t>
      </w:r>
      <w:r w:rsidR="009266E0" w:rsidRPr="007A3600">
        <w:rPr>
          <w:lang w:val="en-GB"/>
        </w:rPr>
        <w:t>,</w:t>
      </w:r>
      <w:r w:rsidR="008E0685" w:rsidRPr="007A3600">
        <w:rPr>
          <w:lang w:val="en-GB"/>
        </w:rPr>
        <w:t xml:space="preserve"> the ART replaced the AAT and commenced operations</w:t>
      </w:r>
      <w:r w:rsidR="00066CB2" w:rsidRPr="007A3600">
        <w:rPr>
          <w:lang w:val="en-GB"/>
        </w:rPr>
        <w:t>,</w:t>
      </w:r>
      <w:r w:rsidR="008E0685" w:rsidRPr="007A3600">
        <w:rPr>
          <w:lang w:val="en-GB"/>
        </w:rPr>
        <w:t xml:space="preserve"> </w:t>
      </w:r>
      <w:r w:rsidR="0058246B" w:rsidRPr="007A3600">
        <w:rPr>
          <w:lang w:val="en-GB"/>
        </w:rPr>
        <w:t xml:space="preserve">and </w:t>
      </w:r>
      <w:r w:rsidR="008E0685" w:rsidRPr="007A3600">
        <w:rPr>
          <w:lang w:val="en-GB"/>
        </w:rPr>
        <w:t>all active matters</w:t>
      </w:r>
      <w:r w:rsidR="0058246B" w:rsidRPr="007A3600">
        <w:rPr>
          <w:lang w:val="en-GB"/>
        </w:rPr>
        <w:t xml:space="preserve"> were</w:t>
      </w:r>
      <w:r w:rsidR="008E0685" w:rsidRPr="007A3600">
        <w:rPr>
          <w:lang w:val="en-GB"/>
        </w:rPr>
        <w:t xml:space="preserve"> automatically transferred to it.</w:t>
      </w:r>
    </w:p>
    <w:p w14:paraId="725BDE0E" w14:textId="7DE56C3D" w:rsidR="008E0685" w:rsidRPr="007A3600" w:rsidRDefault="00DF63D2" w:rsidP="00AD3197">
      <w:r w:rsidRPr="007A3600">
        <w:t xml:space="preserve">In </w:t>
      </w:r>
      <w:r w:rsidR="008E0685" w:rsidRPr="007A3600">
        <w:t>2024</w:t>
      </w:r>
      <w:r w:rsidR="001A3C0C" w:rsidRPr="007A3600">
        <w:t>–</w:t>
      </w:r>
      <w:r w:rsidR="008E0685" w:rsidRPr="007A3600">
        <w:t>25</w:t>
      </w:r>
      <w:r w:rsidR="009266E0" w:rsidRPr="007A3600">
        <w:t>,</w:t>
      </w:r>
      <w:r w:rsidR="008E0685" w:rsidRPr="007A3600">
        <w:t xml:space="preserve"> </w:t>
      </w:r>
      <w:r w:rsidR="002320ED" w:rsidRPr="007A3600">
        <w:t xml:space="preserve">NDIS participants lodged </w:t>
      </w:r>
      <w:r w:rsidR="008E0685" w:rsidRPr="007A3600">
        <w:t>7</w:t>
      </w:r>
      <w:r w:rsidR="00D45195" w:rsidRPr="007A3600">
        <w:t>,</w:t>
      </w:r>
      <w:r w:rsidR="008E0685" w:rsidRPr="007A3600">
        <w:t>132 applications for external merits review in the AAT/ART. There were 4</w:t>
      </w:r>
      <w:r w:rsidR="00D45195" w:rsidRPr="007A3600">
        <w:t>,</w:t>
      </w:r>
      <w:r w:rsidR="008E0685" w:rsidRPr="007A3600">
        <w:t>914 cases finalised during 2024–25, 96.2% of which were finalised through alternative dispute resolution without requiring a substantive hearing.</w:t>
      </w:r>
    </w:p>
    <w:p w14:paraId="4962A19E" w14:textId="37090C02" w:rsidR="008E0685" w:rsidRPr="007A3600" w:rsidRDefault="008E0685" w:rsidP="00AD3197">
      <w:r w:rsidRPr="007A3600">
        <w:rPr>
          <w:lang w:val="en-GB"/>
        </w:rPr>
        <w:t>As at 30 June 2025, 5</w:t>
      </w:r>
      <w:r w:rsidR="00B95CE3" w:rsidRPr="007A3600">
        <w:rPr>
          <w:lang w:val="en-GB"/>
        </w:rPr>
        <w:t>,</w:t>
      </w:r>
      <w:r w:rsidRPr="007A3600">
        <w:rPr>
          <w:lang w:val="en-GB"/>
        </w:rPr>
        <w:t>185 ART applications were open. That is a 75% increase in open cases from the same time last year (2</w:t>
      </w:r>
      <w:r w:rsidR="00B95CE3" w:rsidRPr="007A3600">
        <w:rPr>
          <w:lang w:val="en-GB"/>
        </w:rPr>
        <w:t>,</w:t>
      </w:r>
      <w:r w:rsidRPr="007A3600">
        <w:rPr>
          <w:lang w:val="en-GB"/>
        </w:rPr>
        <w:t xml:space="preserve">973 cases as </w:t>
      </w:r>
      <w:bookmarkStart w:id="264" w:name="_Int_aWiDZndc"/>
      <w:r w:rsidRPr="007A3600">
        <w:rPr>
          <w:lang w:val="en-GB"/>
        </w:rPr>
        <w:t>at</w:t>
      </w:r>
      <w:bookmarkEnd w:id="264"/>
      <w:r w:rsidRPr="007A3600">
        <w:rPr>
          <w:lang w:val="en-GB"/>
        </w:rPr>
        <w:t xml:space="preserve"> 1 July 2024) and a 78% increase in open cases from the year before (2</w:t>
      </w:r>
      <w:r w:rsidR="00B95CE3" w:rsidRPr="007A3600">
        <w:rPr>
          <w:lang w:val="en-GB"/>
        </w:rPr>
        <w:t>,</w:t>
      </w:r>
      <w:r w:rsidRPr="007A3600">
        <w:rPr>
          <w:lang w:val="en-GB"/>
        </w:rPr>
        <w:t xml:space="preserve">915 cases as </w:t>
      </w:r>
      <w:bookmarkStart w:id="265" w:name="_Int_ihl13E9Y"/>
      <w:r w:rsidRPr="007A3600">
        <w:rPr>
          <w:lang w:val="en-GB"/>
        </w:rPr>
        <w:t>at</w:t>
      </w:r>
      <w:bookmarkEnd w:id="265"/>
      <w:r w:rsidRPr="007A3600">
        <w:rPr>
          <w:lang w:val="en-GB"/>
        </w:rPr>
        <w:t xml:space="preserve"> 1 July 2023).</w:t>
      </w:r>
    </w:p>
    <w:p w14:paraId="67DEFED7" w14:textId="4991E0DD" w:rsidR="008E0685" w:rsidRPr="007A3600" w:rsidRDefault="008E0685" w:rsidP="00AD3197">
      <w:pPr>
        <w:rPr>
          <w:rFonts w:eastAsia="Arial" w:cs="Arial"/>
        </w:rPr>
      </w:pPr>
      <w:r w:rsidRPr="007A3600">
        <w:rPr>
          <w:rFonts w:eastAsia="Arial" w:cs="Arial"/>
        </w:rPr>
        <w:t>The NDIA remains focused on resolving ART disputes by taking a participant-centric approach</w:t>
      </w:r>
      <w:r w:rsidR="002320ED" w:rsidRPr="007A3600">
        <w:rPr>
          <w:rFonts w:eastAsia="Arial" w:cs="Arial"/>
        </w:rPr>
        <w:t>,</w:t>
      </w:r>
      <w:r w:rsidRPr="007A3600">
        <w:rPr>
          <w:rFonts w:eastAsia="Arial" w:cs="Arial"/>
        </w:rPr>
        <w:t xml:space="preserve"> ensuring fair and timely outcomes for participants.</w:t>
      </w:r>
    </w:p>
    <w:p w14:paraId="79419896" w14:textId="66E53269" w:rsidR="00781ECA" w:rsidRPr="007A3600" w:rsidRDefault="008E0685" w:rsidP="00AD3197">
      <w:r w:rsidRPr="007A3600">
        <w:rPr>
          <w:rFonts w:eastAsiaTheme="minorEastAsia"/>
          <w:lang w:val="en-GB"/>
        </w:rPr>
        <w:t>The AAT/ART handed down 203 hearing decisions in 2024–25</w:t>
      </w:r>
      <w:r w:rsidR="002320ED" w:rsidRPr="007A3600">
        <w:rPr>
          <w:rFonts w:eastAsiaTheme="minorEastAsia"/>
          <w:lang w:val="en-GB"/>
        </w:rPr>
        <w:t>.</w:t>
      </w:r>
      <w:r w:rsidR="00C21C83" w:rsidRPr="007A3600">
        <w:rPr>
          <w:rFonts w:eastAsiaTheme="minorEastAsia"/>
          <w:lang w:val="en-GB"/>
        </w:rPr>
        <w:t xml:space="preserve"> </w:t>
      </w:r>
      <w:r w:rsidRPr="007A3600">
        <w:rPr>
          <w:rFonts w:eastAsiaTheme="minorEastAsia"/>
          <w:lang w:val="en-GB"/>
        </w:rPr>
        <w:t>It affirmed 107</w:t>
      </w:r>
      <w:r w:rsidR="00066CB2" w:rsidRPr="007A3600">
        <w:t> </w:t>
      </w:r>
      <w:r w:rsidRPr="007A3600">
        <w:rPr>
          <w:rFonts w:eastAsiaTheme="minorEastAsia"/>
          <w:lang w:val="en-GB"/>
        </w:rPr>
        <w:t xml:space="preserve">decisions, varied 9 decisions and set aside 87 decisions. </w:t>
      </w:r>
      <w:r w:rsidRPr="007A3600">
        <w:rPr>
          <w:lang w:val="en-GB"/>
        </w:rPr>
        <w:t xml:space="preserve">The </w:t>
      </w:r>
      <w:r w:rsidRPr="007A3600">
        <w:rPr>
          <w:i/>
          <w:lang w:val="en-GB"/>
        </w:rPr>
        <w:t>Administrative Review Tribunal Act 2024</w:t>
      </w:r>
      <w:r w:rsidRPr="007A3600">
        <w:rPr>
          <w:lang w:val="en-GB"/>
        </w:rPr>
        <w:t xml:space="preserve"> </w:t>
      </w:r>
      <w:r w:rsidR="0058246B" w:rsidRPr="007A3600">
        <w:rPr>
          <w:lang w:val="en-GB"/>
        </w:rPr>
        <w:t xml:space="preserve">(Cth) </w:t>
      </w:r>
      <w:r w:rsidRPr="007A3600">
        <w:rPr>
          <w:lang w:val="en-GB"/>
        </w:rPr>
        <w:t>also established the Guidance and Appeals Panel (GAP) as a new forum within the ART</w:t>
      </w:r>
      <w:r w:rsidR="003C55AC" w:rsidRPr="007A3600">
        <w:rPr>
          <w:lang w:val="en-GB"/>
        </w:rPr>
        <w:t xml:space="preserve"> to review complex or significant cases and ensure decisions are consistent and accurate. </w:t>
      </w:r>
      <w:r w:rsidRPr="007A3600">
        <w:rPr>
          <w:lang w:val="en-GB"/>
        </w:rPr>
        <w:t>As at 30 June 2025</w:t>
      </w:r>
      <w:r w:rsidR="009266E0" w:rsidRPr="007A3600">
        <w:rPr>
          <w:lang w:val="en-GB"/>
        </w:rPr>
        <w:t>,</w:t>
      </w:r>
      <w:r w:rsidRPr="007A3600">
        <w:rPr>
          <w:lang w:val="en-GB"/>
        </w:rPr>
        <w:t xml:space="preserve"> the ART President had accepted referrals of </w:t>
      </w:r>
      <w:r w:rsidR="00A60D34" w:rsidRPr="007A3600">
        <w:rPr>
          <w:lang w:val="en-GB"/>
        </w:rPr>
        <w:t>6</w:t>
      </w:r>
      <w:r w:rsidRPr="007A3600">
        <w:rPr>
          <w:lang w:val="en-GB"/>
        </w:rPr>
        <w:t xml:space="preserve"> NDIS applications for review by the GAP.</w:t>
      </w:r>
    </w:p>
    <w:p w14:paraId="680F9C47" w14:textId="77777777" w:rsidR="00CE5B16" w:rsidRPr="007A3600" w:rsidRDefault="00CE5B16" w:rsidP="00AD3197">
      <w:pPr>
        <w:pStyle w:val="Heading4"/>
      </w:pPr>
      <w:bookmarkStart w:id="266" w:name="_Toc207017746"/>
      <w:r w:rsidRPr="007A3600">
        <w:lastRenderedPageBreak/>
        <w:t>NDIS Quality and Safeguards Commission</w:t>
      </w:r>
    </w:p>
    <w:p w14:paraId="39EB50E5" w14:textId="581EE3A6" w:rsidR="00CE5B16" w:rsidRPr="007A3600" w:rsidRDefault="00CE5B16" w:rsidP="00AD3197">
      <w:r w:rsidRPr="007A3600">
        <w:t>The NDIS Quality and Safeguards Commission is an independent agency established to regulate and register NDIS providers</w:t>
      </w:r>
      <w:r w:rsidR="00066CB2" w:rsidRPr="007A3600">
        <w:t>;</w:t>
      </w:r>
      <w:r w:rsidRPr="007A3600">
        <w:t xml:space="preserve"> monitor their compliance with the NDIS Code of Conduct and NDIS Practice Standards</w:t>
      </w:r>
      <w:r w:rsidR="00066CB2" w:rsidRPr="007A3600">
        <w:t>;</w:t>
      </w:r>
      <w:r w:rsidRPr="007A3600">
        <w:t xml:space="preserve"> receive and respond to concerns, complaints and reportable incidents</w:t>
      </w:r>
      <w:r w:rsidR="007F761C" w:rsidRPr="007A3600">
        <w:t>;</w:t>
      </w:r>
      <w:r w:rsidRPr="007A3600">
        <w:t xml:space="preserve"> and provide education, guidance and best practice information to NDIS providers. </w:t>
      </w:r>
      <w:r w:rsidR="009266E0" w:rsidRPr="007A3600">
        <w:t xml:space="preserve">It </w:t>
      </w:r>
      <w:r w:rsidRPr="007A3600">
        <w:t>also conducts investigations and enforcement actions and coordinates nationally consistent NDIS worker screening with the states and territories.</w:t>
      </w:r>
    </w:p>
    <w:p w14:paraId="138B39C2" w14:textId="36458860" w:rsidR="00CE5B16" w:rsidRPr="007A3600" w:rsidRDefault="00CE5B16" w:rsidP="00AD3197">
      <w:r w:rsidRPr="007A3600">
        <w:t xml:space="preserve">The NDIA works with the NDIS Quality and Safeguards Commission to resolve matters within each organisation’s respective areas of responsibility under the NDIS Act. </w:t>
      </w:r>
      <w:r w:rsidR="009266E0" w:rsidRPr="007A3600">
        <w:t xml:space="preserve">A </w:t>
      </w:r>
      <w:r w:rsidRPr="007A3600">
        <w:t>Joint Operational Protocol governs the working arrangements between the NDIA and the NDIS Quality and Safeguards Commission.</w:t>
      </w:r>
    </w:p>
    <w:p w14:paraId="71152102" w14:textId="3D3B9AEB" w:rsidR="00781ECA" w:rsidRPr="007A3600" w:rsidRDefault="00132ADA" w:rsidP="00AD3197">
      <w:pPr>
        <w:pStyle w:val="Heading4"/>
      </w:pPr>
      <w:bookmarkStart w:id="267" w:name="_Toc207017749"/>
      <w:bookmarkEnd w:id="266"/>
      <w:r w:rsidRPr="007A3600">
        <w:t>Australian National Audit Office reports</w:t>
      </w:r>
      <w:bookmarkEnd w:id="267"/>
    </w:p>
    <w:p w14:paraId="4D0AFB7D" w14:textId="02B3A47F" w:rsidR="00A4469F" w:rsidRPr="007A3600" w:rsidRDefault="00FD3751" w:rsidP="00AD3197">
      <w:r w:rsidRPr="007A3600">
        <w:t>In 2024</w:t>
      </w:r>
      <w:r w:rsidR="00522B99" w:rsidRPr="007A3600">
        <w:t>–</w:t>
      </w:r>
      <w:r w:rsidRPr="007A3600">
        <w:t>25</w:t>
      </w:r>
      <w:r w:rsidR="009266E0" w:rsidRPr="007A3600">
        <w:t>,</w:t>
      </w:r>
      <w:r w:rsidRPr="007A3600">
        <w:t xml:space="preserve"> the ANAO </w:t>
      </w:r>
      <w:r w:rsidR="009266E0" w:rsidRPr="007A3600">
        <w:t xml:space="preserve">completed </w:t>
      </w:r>
      <w:r w:rsidRPr="007A3600">
        <w:t>2 performance audits involving the NDIA</w:t>
      </w:r>
      <w:r w:rsidR="00F86AC1" w:rsidRPr="007A3600">
        <w:t>:</w:t>
      </w:r>
    </w:p>
    <w:p w14:paraId="4A17C861" w14:textId="40BA3CBB" w:rsidR="00A4469F" w:rsidRPr="007A3600" w:rsidRDefault="00FD3751" w:rsidP="00AD3197">
      <w:pPr>
        <w:pStyle w:val="Bullet1"/>
      </w:pPr>
      <w:r w:rsidRPr="007A3600">
        <w:rPr>
          <w:i/>
        </w:rPr>
        <w:t>Effectiveness of the Board of the National Disability Insurance Agency</w:t>
      </w:r>
      <w:r w:rsidRPr="007A3600">
        <w:t xml:space="preserve"> (Auditor-General </w:t>
      </w:r>
      <w:r w:rsidR="00191539" w:rsidRPr="007A3600">
        <w:t>R</w:t>
      </w:r>
      <w:r w:rsidRPr="007A3600">
        <w:t xml:space="preserve">eport </w:t>
      </w:r>
      <w:r w:rsidR="002320ED" w:rsidRPr="007A3600">
        <w:t>N</w:t>
      </w:r>
      <w:r w:rsidRPr="007A3600">
        <w:t>o.</w:t>
      </w:r>
      <w:r w:rsidR="002320ED" w:rsidRPr="007A3600">
        <w:t xml:space="preserve"> </w:t>
      </w:r>
      <w:r w:rsidRPr="007A3600">
        <w:t>41 of 2024</w:t>
      </w:r>
      <w:r w:rsidR="00CE1302" w:rsidRPr="007A3600">
        <w:t>–</w:t>
      </w:r>
      <w:r w:rsidRPr="007A3600">
        <w:t>25). It made 3 recommendations relating to managing conflicts of interest, the frequency of NDIA Risk Management Framework reviews, and strengthening Board oversight of NDIA performance by more consistently seeking further information or assurance from management where relevant, all of which were agreed by the NDIA.</w:t>
      </w:r>
    </w:p>
    <w:p w14:paraId="34FD25C1" w14:textId="43B8AC4D" w:rsidR="00132ADA" w:rsidRPr="007A3600" w:rsidRDefault="00FD3751" w:rsidP="00AD3197">
      <w:pPr>
        <w:pStyle w:val="Bullet1"/>
      </w:pPr>
      <w:r w:rsidRPr="007A3600">
        <w:rPr>
          <w:i/>
        </w:rPr>
        <w:t xml:space="preserve">National Disability Insurance Agency’s </w:t>
      </w:r>
      <w:r w:rsidR="000326F2" w:rsidRPr="007A3600">
        <w:rPr>
          <w:i/>
          <w:iCs/>
        </w:rPr>
        <w:t>m</w:t>
      </w:r>
      <w:r w:rsidRPr="007A3600">
        <w:rPr>
          <w:i/>
          <w:iCs/>
        </w:rPr>
        <w:t>anagement</w:t>
      </w:r>
      <w:r w:rsidRPr="007A3600">
        <w:rPr>
          <w:i/>
        </w:rPr>
        <w:t xml:space="preserve"> of </w:t>
      </w:r>
      <w:r w:rsidR="000326F2" w:rsidRPr="007A3600">
        <w:rPr>
          <w:i/>
          <w:iCs/>
        </w:rPr>
        <w:t>c</w:t>
      </w:r>
      <w:r w:rsidRPr="007A3600">
        <w:rPr>
          <w:i/>
          <w:iCs/>
        </w:rPr>
        <w:t xml:space="preserve">laimant </w:t>
      </w:r>
      <w:r w:rsidR="000326F2" w:rsidRPr="007A3600">
        <w:rPr>
          <w:i/>
          <w:iCs/>
        </w:rPr>
        <w:t>c</w:t>
      </w:r>
      <w:r w:rsidRPr="007A3600">
        <w:rPr>
          <w:i/>
          <w:iCs/>
        </w:rPr>
        <w:t>ompliance</w:t>
      </w:r>
      <w:r w:rsidRPr="007A3600">
        <w:rPr>
          <w:i/>
        </w:rPr>
        <w:t xml:space="preserve"> with National Disability Insurance Scheme </w:t>
      </w:r>
      <w:r w:rsidR="0037612C" w:rsidRPr="007A3600">
        <w:rPr>
          <w:i/>
          <w:iCs/>
        </w:rPr>
        <w:t>claim</w:t>
      </w:r>
      <w:r w:rsidRPr="007A3600">
        <w:rPr>
          <w:i/>
          <w:iCs/>
        </w:rPr>
        <w:t xml:space="preserve"> </w:t>
      </w:r>
      <w:r w:rsidR="00D040B7" w:rsidRPr="007A3600">
        <w:rPr>
          <w:i/>
          <w:iCs/>
        </w:rPr>
        <w:t>r</w:t>
      </w:r>
      <w:r w:rsidRPr="007A3600">
        <w:rPr>
          <w:i/>
          <w:iCs/>
        </w:rPr>
        <w:t>equirements</w:t>
      </w:r>
      <w:r w:rsidRPr="007A3600">
        <w:t xml:space="preserve"> (Auditor-General </w:t>
      </w:r>
      <w:r w:rsidR="00191539" w:rsidRPr="007A3600">
        <w:t>R</w:t>
      </w:r>
      <w:r w:rsidRPr="007A3600">
        <w:t xml:space="preserve">eport </w:t>
      </w:r>
      <w:r w:rsidR="002320ED" w:rsidRPr="007A3600">
        <w:t>N</w:t>
      </w:r>
      <w:r w:rsidRPr="007A3600">
        <w:t>o.</w:t>
      </w:r>
      <w:r w:rsidR="002320ED" w:rsidRPr="007A3600">
        <w:t xml:space="preserve"> </w:t>
      </w:r>
      <w:r w:rsidRPr="007A3600">
        <w:t>48 of 2024</w:t>
      </w:r>
      <w:r w:rsidR="00CE1302" w:rsidRPr="007A3600">
        <w:t>–</w:t>
      </w:r>
      <w:r w:rsidRPr="007A3600">
        <w:t>25). It made 4</w:t>
      </w:r>
      <w:r w:rsidR="002320ED" w:rsidRPr="007A3600">
        <w:t> </w:t>
      </w:r>
      <w:r w:rsidRPr="007A3600">
        <w:t>recommendations to establish a fit-for-purpose compliance framework and improve risk management, payment assurance testing and performance reporting, all of which were agreed by the NDIA.</w:t>
      </w:r>
    </w:p>
    <w:p w14:paraId="27ACEBE2" w14:textId="29D2C451" w:rsidR="008E208E" w:rsidRPr="007A3600" w:rsidRDefault="00F86AC1" w:rsidP="00AD3197">
      <w:r w:rsidRPr="007A3600">
        <w:t xml:space="preserve">The ANAO </w:t>
      </w:r>
      <w:r w:rsidR="004B79CA" w:rsidRPr="007A3600">
        <w:t xml:space="preserve">also audited the 2024–25 performance and financial statements. </w:t>
      </w:r>
      <w:r w:rsidR="00773DDF" w:rsidRPr="007A3600">
        <w:t xml:space="preserve">The audited performance statements are provided in section </w:t>
      </w:r>
      <w:r w:rsidR="003D724F" w:rsidRPr="007A3600">
        <w:t>2</w:t>
      </w:r>
      <w:r w:rsidR="00D040B7" w:rsidRPr="007A3600">
        <w:t>, ‘Annual performance statements’</w:t>
      </w:r>
      <w:r w:rsidR="002F67E3" w:rsidRPr="007A3600">
        <w:t>,</w:t>
      </w:r>
      <w:r w:rsidR="00D040B7" w:rsidRPr="007A3600">
        <w:t xml:space="preserve"> in this report. A</w:t>
      </w:r>
      <w:r w:rsidR="00773DDF" w:rsidRPr="007A3600">
        <w:t xml:space="preserve">udited financial statements </w:t>
      </w:r>
      <w:r w:rsidR="009E4DC3" w:rsidRPr="007A3600">
        <w:t>and</w:t>
      </w:r>
      <w:r w:rsidR="00773DDF" w:rsidRPr="007A3600">
        <w:t xml:space="preserve"> the audit report</w:t>
      </w:r>
      <w:r w:rsidR="002F67E3" w:rsidRPr="007A3600">
        <w:t xml:space="preserve"> are</w:t>
      </w:r>
      <w:r w:rsidR="00773DDF" w:rsidRPr="007A3600">
        <w:t xml:space="preserve"> provided in </w:t>
      </w:r>
      <w:r w:rsidRPr="007A3600">
        <w:t>section</w:t>
      </w:r>
      <w:r w:rsidR="00F92860" w:rsidRPr="007A3600">
        <w:t xml:space="preserve"> </w:t>
      </w:r>
      <w:r w:rsidR="007F761C" w:rsidRPr="007A3600">
        <w:t>7</w:t>
      </w:r>
      <w:r w:rsidR="002F67E3" w:rsidRPr="007A3600">
        <w:t>, ‘ Financial statements’, in this report.</w:t>
      </w:r>
    </w:p>
    <w:p w14:paraId="2BD2A8EC" w14:textId="32B2F5E0" w:rsidR="00132ADA" w:rsidRPr="007A3600" w:rsidRDefault="00132ADA" w:rsidP="00AD3197">
      <w:pPr>
        <w:pStyle w:val="Heading4"/>
      </w:pPr>
      <w:bookmarkStart w:id="268" w:name="_Toc207017750"/>
      <w:r w:rsidRPr="007A3600">
        <w:t xml:space="preserve">Freedom of </w:t>
      </w:r>
      <w:r w:rsidR="002320ED" w:rsidRPr="007A3600">
        <w:t>i</w:t>
      </w:r>
      <w:r w:rsidRPr="007A3600">
        <w:t>nformation</w:t>
      </w:r>
      <w:bookmarkEnd w:id="268"/>
    </w:p>
    <w:p w14:paraId="1ED79E6E" w14:textId="77777777" w:rsidR="00B34447" w:rsidRPr="007A3600" w:rsidRDefault="00B34447" w:rsidP="00AD3197">
      <w:pPr>
        <w:jc w:val="both"/>
      </w:pPr>
      <w:r w:rsidRPr="007A3600">
        <w:t xml:space="preserve">Under the </w:t>
      </w:r>
      <w:r w:rsidRPr="007A3600">
        <w:rPr>
          <w:i/>
          <w:iCs/>
        </w:rPr>
        <w:t>Freedom of Information Act 1982</w:t>
      </w:r>
      <w:r w:rsidRPr="007A3600">
        <w:t xml:space="preserve"> (Cth) (FOI Act), a person may request access to documents held by the NDIA.</w:t>
      </w:r>
    </w:p>
    <w:p w14:paraId="50E5B3C8" w14:textId="31ED52F9" w:rsidR="00B34447" w:rsidRPr="007A3600" w:rsidRDefault="00B34447" w:rsidP="00AD3197">
      <w:pPr>
        <w:jc w:val="both"/>
      </w:pPr>
      <w:r w:rsidRPr="007A3600">
        <w:t xml:space="preserve">In 2024–25 the NDIA received 2,331 requests for information under the FOI Act and 20 requests for internal review of a decision. The Office of the Australian Information </w:t>
      </w:r>
      <w:r w:rsidRPr="007A3600">
        <w:lastRenderedPageBreak/>
        <w:t>Commissioner notified the NDIA that it had received 77 applications for an Information Commissioner review of a decision. Seventeen applications for review by the ART were made in the period</w:t>
      </w:r>
      <w:r w:rsidR="002320ED" w:rsidRPr="007A3600">
        <w:t>,</w:t>
      </w:r>
      <w:r w:rsidRPr="007A3600">
        <w:t xml:space="preserve"> and </w:t>
      </w:r>
      <w:r w:rsidR="002320ED" w:rsidRPr="007A3600">
        <w:t xml:space="preserve">there were </w:t>
      </w:r>
      <w:r w:rsidRPr="007A3600">
        <w:t>no higher court appeals.</w:t>
      </w:r>
    </w:p>
    <w:p w14:paraId="2123B5DE" w14:textId="168F5750" w:rsidR="00132ADA" w:rsidRPr="007A3600" w:rsidRDefault="00EA299B" w:rsidP="00AD3197">
      <w:pPr>
        <w:pStyle w:val="Heading4"/>
      </w:pPr>
      <w:bookmarkStart w:id="269" w:name="_Toc207017751"/>
      <w:r w:rsidRPr="007A3600">
        <w:t>Participant Information Access Scheme</w:t>
      </w:r>
      <w:bookmarkEnd w:id="269"/>
    </w:p>
    <w:p w14:paraId="6A9508E2" w14:textId="446CF755" w:rsidR="00123283" w:rsidRPr="007A3600" w:rsidRDefault="00123283" w:rsidP="00AD3197">
      <w:pPr>
        <w:rPr>
          <w:rFonts w:eastAsia="Arial" w:cs="Arial"/>
        </w:rPr>
      </w:pPr>
      <w:bookmarkStart w:id="270" w:name="_Toc201302439"/>
      <w:r w:rsidRPr="007A3600">
        <w:rPr>
          <w:rFonts w:eastAsia="Arial" w:cs="Arial"/>
          <w:lang w:val="en-GB"/>
        </w:rPr>
        <w:t xml:space="preserve">The Participant Information Access (PIA) </w:t>
      </w:r>
      <w:r w:rsidR="002320ED" w:rsidRPr="007A3600">
        <w:rPr>
          <w:rFonts w:eastAsia="Arial" w:cs="Arial"/>
          <w:lang w:val="en-GB"/>
        </w:rPr>
        <w:t>S</w:t>
      </w:r>
      <w:r w:rsidRPr="007A3600">
        <w:rPr>
          <w:rFonts w:eastAsia="Arial" w:cs="Arial"/>
          <w:lang w:val="en-GB"/>
        </w:rPr>
        <w:t>cheme allows for participants and their representatives to access their personal information</w:t>
      </w:r>
      <w:r w:rsidR="00BB32AA" w:rsidRPr="007A3600">
        <w:rPr>
          <w:rFonts w:eastAsia="Arial" w:cs="Arial"/>
          <w:lang w:val="en-GB"/>
        </w:rPr>
        <w:t xml:space="preserve"> under the NDIS Act without needing to make a formal application under the FOI Act. </w:t>
      </w:r>
      <w:r w:rsidR="00F22BE6" w:rsidRPr="007A3600">
        <w:rPr>
          <w:rFonts w:eastAsia="Arial" w:cs="Arial"/>
          <w:lang w:val="en-GB"/>
        </w:rPr>
        <w:t>I</w:t>
      </w:r>
      <w:r w:rsidR="002320ED" w:rsidRPr="007A3600">
        <w:rPr>
          <w:rFonts w:eastAsia="Arial" w:cs="Arial"/>
          <w:lang w:val="en-GB"/>
        </w:rPr>
        <w:t>n 2024</w:t>
      </w:r>
      <w:r w:rsidR="007B7B5F" w:rsidRPr="007A3600">
        <w:rPr>
          <w:rFonts w:eastAsia="Arial" w:cs="Arial"/>
          <w:lang w:val="en-GB"/>
        </w:rPr>
        <w:t>–</w:t>
      </w:r>
      <w:r w:rsidR="002320ED" w:rsidRPr="007A3600">
        <w:rPr>
          <w:rFonts w:eastAsia="Arial" w:cs="Arial"/>
          <w:lang w:val="en-GB"/>
        </w:rPr>
        <w:t xml:space="preserve">25 </w:t>
      </w:r>
      <w:r w:rsidRPr="007A3600">
        <w:rPr>
          <w:rFonts w:eastAsia="Arial" w:cs="Arial"/>
          <w:lang w:val="en-GB"/>
        </w:rPr>
        <w:t xml:space="preserve">the </w:t>
      </w:r>
      <w:r w:rsidR="008947E5" w:rsidRPr="007A3600">
        <w:rPr>
          <w:rFonts w:eastAsia="Arial" w:cs="Arial"/>
          <w:lang w:val="en-GB"/>
        </w:rPr>
        <w:t xml:space="preserve">NDIA </w:t>
      </w:r>
      <w:r w:rsidRPr="007A3600">
        <w:rPr>
          <w:rFonts w:eastAsia="Arial" w:cs="Arial"/>
          <w:lang w:val="en-GB"/>
        </w:rPr>
        <w:t>receiv</w:t>
      </w:r>
      <w:r w:rsidR="002320ED" w:rsidRPr="007A3600">
        <w:rPr>
          <w:rFonts w:eastAsia="Arial" w:cs="Arial"/>
          <w:lang w:val="en-GB"/>
        </w:rPr>
        <w:t>ed</w:t>
      </w:r>
      <w:r w:rsidRPr="007A3600">
        <w:rPr>
          <w:rFonts w:eastAsia="Arial" w:cs="Arial"/>
          <w:lang w:val="en-GB"/>
        </w:rPr>
        <w:t xml:space="preserve"> 13,301 </w:t>
      </w:r>
      <w:r w:rsidR="00125D11" w:rsidRPr="007A3600">
        <w:rPr>
          <w:rFonts w:eastAsia="Arial" w:cs="Arial"/>
          <w:lang w:val="en-GB"/>
        </w:rPr>
        <w:t>PIA</w:t>
      </w:r>
      <w:r w:rsidRPr="007A3600">
        <w:rPr>
          <w:rFonts w:eastAsia="Arial" w:cs="Arial"/>
          <w:lang w:val="en-GB"/>
        </w:rPr>
        <w:t xml:space="preserve"> requests.</w:t>
      </w:r>
    </w:p>
    <w:p w14:paraId="0D54775A" w14:textId="14154FBD" w:rsidR="00EA299B" w:rsidRPr="007A3600" w:rsidRDefault="00EA299B" w:rsidP="00AD3197">
      <w:pPr>
        <w:pStyle w:val="Heading4"/>
      </w:pPr>
      <w:bookmarkStart w:id="271" w:name="_Toc207017752"/>
      <w:bookmarkEnd w:id="270"/>
      <w:r w:rsidRPr="007A3600">
        <w:t>Commonwealth Ombudsman</w:t>
      </w:r>
      <w:bookmarkEnd w:id="271"/>
    </w:p>
    <w:p w14:paraId="7A08F6BA" w14:textId="77777777" w:rsidR="00106B3F" w:rsidRPr="007A3600" w:rsidRDefault="00106B3F" w:rsidP="00AD3197">
      <w:r w:rsidRPr="007A3600">
        <w:t xml:space="preserve">The Commonwealth Ombudsman considers complaints from individuals, groups or organisations about administrative actions and decisions of Australian Government agencies, including the NDIA, under the </w:t>
      </w:r>
      <w:r w:rsidRPr="007A3600">
        <w:rPr>
          <w:i/>
          <w:iCs/>
        </w:rPr>
        <w:t>Ombudsman Act 1976</w:t>
      </w:r>
      <w:r w:rsidRPr="007A3600">
        <w:t xml:space="preserve"> (Cth).</w:t>
      </w:r>
    </w:p>
    <w:p w14:paraId="15120DF1" w14:textId="45420ACF" w:rsidR="00EA299B" w:rsidRPr="007A3600" w:rsidRDefault="00106B3F" w:rsidP="00AD3197">
      <w:r w:rsidRPr="007A3600">
        <w:t xml:space="preserve">The NDIA assists the Commonwealth Ombudsman to address complaints by accepting complaint transfers and providing information and documents in response to Ombudsman </w:t>
      </w:r>
      <w:r w:rsidR="00C14656" w:rsidRPr="007A3600">
        <w:t>e</w:t>
      </w:r>
      <w:r w:rsidRPr="007A3600">
        <w:t>nquiries, requests and formal notices.</w:t>
      </w:r>
      <w:r w:rsidR="00F62DDC" w:rsidRPr="007A3600">
        <w:t xml:space="preserve"> </w:t>
      </w:r>
      <w:r w:rsidRPr="007A3600">
        <w:t>In 2024–25</w:t>
      </w:r>
      <w:r w:rsidR="009266E0" w:rsidRPr="007A3600">
        <w:t>,</w:t>
      </w:r>
      <w:r w:rsidRPr="007A3600">
        <w:t xml:space="preserve"> the Commonwealth Ombudsman referred 145 complaints to the NDIA.</w:t>
      </w:r>
    </w:p>
    <w:p w14:paraId="239F835F" w14:textId="510B10A6" w:rsidR="007173DB" w:rsidRPr="007A3600" w:rsidRDefault="007173DB" w:rsidP="00AD3197">
      <w:pPr>
        <w:pStyle w:val="Heading4"/>
      </w:pPr>
      <w:bookmarkStart w:id="272" w:name="_Toc207017755"/>
      <w:r w:rsidRPr="007A3600">
        <w:t>Merit Protection Commission</w:t>
      </w:r>
      <w:r w:rsidR="0036227E" w:rsidRPr="007A3600">
        <w:t>er</w:t>
      </w:r>
      <w:bookmarkEnd w:id="272"/>
    </w:p>
    <w:p w14:paraId="1F3ED26A" w14:textId="22C57296" w:rsidR="009F6A35" w:rsidRPr="007A3600" w:rsidRDefault="009F6A35" w:rsidP="00AD3197">
      <w:r w:rsidRPr="007A3600">
        <w:t>The Merit Protection Commission</w:t>
      </w:r>
      <w:r w:rsidR="0036227E" w:rsidRPr="007A3600">
        <w:t>er</w:t>
      </w:r>
      <w:r w:rsidRPr="007A3600">
        <w:t xml:space="preserve"> (MPC) reviews certain A</w:t>
      </w:r>
      <w:r w:rsidR="002F67E3" w:rsidRPr="007A3600">
        <w:t xml:space="preserve">ustralian </w:t>
      </w:r>
      <w:r w:rsidRPr="007A3600">
        <w:t>P</w:t>
      </w:r>
      <w:r w:rsidR="002F67E3" w:rsidRPr="007A3600">
        <w:t xml:space="preserve">ublic </w:t>
      </w:r>
      <w:r w:rsidRPr="007A3600">
        <w:t>S</w:t>
      </w:r>
      <w:r w:rsidR="002F67E3" w:rsidRPr="007A3600">
        <w:t>ervice (APS)</w:t>
      </w:r>
      <w:r w:rsidRPr="007A3600">
        <w:t xml:space="preserve"> engagement and promotion decisions, as well as a range of workplace decisions that may impact APS </w:t>
      </w:r>
      <w:r w:rsidR="001A6788" w:rsidRPr="007A3600">
        <w:t>staff</w:t>
      </w:r>
      <w:r w:rsidRPr="007A3600">
        <w:t>, such as leave requests, misconduct outcomes and performance management.</w:t>
      </w:r>
    </w:p>
    <w:p w14:paraId="481AEA66" w14:textId="3A6C0D5C" w:rsidR="009F6A35" w:rsidRPr="007A3600" w:rsidRDefault="009F6A35" w:rsidP="00AD3197">
      <w:r w:rsidRPr="007A3600">
        <w:t>In 2024</w:t>
      </w:r>
      <w:r w:rsidR="00CE1302" w:rsidRPr="007A3600">
        <w:t>–</w:t>
      </w:r>
      <w:r w:rsidRPr="007A3600">
        <w:t>25 the NDIA had 5 open/ongoing applications from the previous financial year</w:t>
      </w:r>
      <w:r w:rsidR="00DB7541" w:rsidRPr="007A3600">
        <w:t>,</w:t>
      </w:r>
      <w:r w:rsidRPr="007A3600">
        <w:t xml:space="preserve"> and 7 new applications submitted to the MPC concerning workplace decisions. </w:t>
      </w:r>
      <w:r w:rsidR="00F33817" w:rsidRPr="007A3600">
        <w:t>At</w:t>
      </w:r>
      <w:r w:rsidRPr="007A3600">
        <w:t xml:space="preserve"> 30 June 2025</w:t>
      </w:r>
      <w:r w:rsidR="009266E0" w:rsidRPr="007A3600">
        <w:t>,</w:t>
      </w:r>
      <w:r w:rsidRPr="007A3600">
        <w:t xml:space="preserve"> MPC recommendations resulted in the following outcomes:</w:t>
      </w:r>
    </w:p>
    <w:p w14:paraId="4B9F263E" w14:textId="6954BF21" w:rsidR="009F6A35" w:rsidRPr="007A3600" w:rsidRDefault="009F6A35" w:rsidP="00AD3197">
      <w:pPr>
        <w:pStyle w:val="Bullet1"/>
      </w:pPr>
      <w:r w:rsidRPr="007A3600">
        <w:t>3 of the NDIA’s original decisions were confirmed</w:t>
      </w:r>
    </w:p>
    <w:p w14:paraId="338AF489" w14:textId="77777777" w:rsidR="009F6A35" w:rsidRPr="007A3600" w:rsidRDefault="009F6A35" w:rsidP="00AD3197">
      <w:pPr>
        <w:pStyle w:val="Bullet1"/>
      </w:pPr>
      <w:r w:rsidRPr="007A3600">
        <w:t>2 of the NDIA’s original decisions were set aside and substituted</w:t>
      </w:r>
    </w:p>
    <w:p w14:paraId="74D407B4" w14:textId="6A5C5E6F" w:rsidR="009F6A35" w:rsidRPr="007A3600" w:rsidRDefault="00191539" w:rsidP="00AD3197">
      <w:pPr>
        <w:pStyle w:val="Bullet1"/>
      </w:pPr>
      <w:r w:rsidRPr="007A3600">
        <w:t>one</w:t>
      </w:r>
      <w:r w:rsidR="009F6A35" w:rsidRPr="007A3600">
        <w:t xml:space="preserve"> of the NDIA’s original decisions was varied</w:t>
      </w:r>
    </w:p>
    <w:p w14:paraId="05387FBA" w14:textId="5C74741D" w:rsidR="009F6A35" w:rsidRPr="007A3600" w:rsidRDefault="009F6A35" w:rsidP="00AD3197">
      <w:pPr>
        <w:pStyle w:val="Bullet1"/>
      </w:pPr>
      <w:r w:rsidRPr="007A3600">
        <w:t>4 applications were determined not reviewable</w:t>
      </w:r>
    </w:p>
    <w:p w14:paraId="6388B572" w14:textId="03B96C2A" w:rsidR="009F6A35" w:rsidRPr="007A3600" w:rsidRDefault="00191539" w:rsidP="00AD3197">
      <w:pPr>
        <w:pStyle w:val="Bullet1"/>
      </w:pPr>
      <w:r w:rsidRPr="007A3600">
        <w:t>one</w:t>
      </w:r>
      <w:r w:rsidR="009F6A35" w:rsidRPr="007A3600">
        <w:t xml:space="preserve"> application was withdrawn by the applicant</w:t>
      </w:r>
    </w:p>
    <w:p w14:paraId="0EA5BD12" w14:textId="15D4B6CF" w:rsidR="009F6A35" w:rsidRPr="007A3600" w:rsidRDefault="00191539" w:rsidP="00AD3197">
      <w:pPr>
        <w:pStyle w:val="Bullet1"/>
      </w:pPr>
      <w:r w:rsidRPr="007A3600">
        <w:t>one</w:t>
      </w:r>
      <w:r w:rsidR="009F6A35" w:rsidRPr="007A3600">
        <w:t xml:space="preserve"> matter was ongoing</w:t>
      </w:r>
      <w:r w:rsidR="002F67E3" w:rsidRPr="007A3600">
        <w:t xml:space="preserve"> </w:t>
      </w:r>
      <w:r w:rsidR="009266E0" w:rsidRPr="007A3600">
        <w:t>or</w:t>
      </w:r>
      <w:r w:rsidR="002F67E3" w:rsidRPr="007A3600">
        <w:t xml:space="preserve"> </w:t>
      </w:r>
      <w:r w:rsidR="009F6A35" w:rsidRPr="007A3600">
        <w:t>under review with the MPC</w:t>
      </w:r>
      <w:r w:rsidR="00E61A3C" w:rsidRPr="007A3600">
        <w:t>.</w:t>
      </w:r>
    </w:p>
    <w:p w14:paraId="65DA971B" w14:textId="4C7BC70B" w:rsidR="007D300F" w:rsidRPr="007A3600" w:rsidRDefault="007D300F" w:rsidP="00AD3197">
      <w:r w:rsidRPr="007A3600">
        <w:t>In 2024–25</w:t>
      </w:r>
      <w:r w:rsidR="00B37578" w:rsidRPr="007A3600">
        <w:t>,</w:t>
      </w:r>
      <w:r w:rsidR="009F6A35" w:rsidRPr="007A3600">
        <w:t xml:space="preserve"> the NDIA </w:t>
      </w:r>
      <w:r w:rsidRPr="007A3600">
        <w:t xml:space="preserve">had </w:t>
      </w:r>
      <w:r w:rsidR="009F6A35" w:rsidRPr="007A3600">
        <w:t>4 applications to the MPC related to engagement and promotion decisions</w:t>
      </w:r>
      <w:r w:rsidRPr="007A3600">
        <w:t xml:space="preserve"> reviewed:</w:t>
      </w:r>
    </w:p>
    <w:p w14:paraId="72B4C518" w14:textId="3C6C5509" w:rsidR="007D300F" w:rsidRPr="007A3600" w:rsidRDefault="009F6A35" w:rsidP="00AD3197">
      <w:pPr>
        <w:pStyle w:val="Bullet1"/>
      </w:pPr>
      <w:r w:rsidRPr="007A3600">
        <w:t>2 of the original decisions were upheld</w:t>
      </w:r>
    </w:p>
    <w:p w14:paraId="2B8DFBB3" w14:textId="6F2B182E" w:rsidR="007D300F" w:rsidRPr="007A3600" w:rsidRDefault="00191539" w:rsidP="00AD3197">
      <w:pPr>
        <w:pStyle w:val="Bullet1"/>
      </w:pPr>
      <w:r w:rsidRPr="007A3600">
        <w:lastRenderedPageBreak/>
        <w:t>one</w:t>
      </w:r>
      <w:r w:rsidR="009F6A35" w:rsidRPr="007A3600">
        <w:t xml:space="preserve"> was deemed invalid and closed</w:t>
      </w:r>
    </w:p>
    <w:p w14:paraId="497857FF" w14:textId="4B2D7FD5" w:rsidR="007173DB" w:rsidRPr="007A3600" w:rsidRDefault="009F6A35" w:rsidP="00AD3197">
      <w:pPr>
        <w:pStyle w:val="Bullet1"/>
      </w:pPr>
      <w:r w:rsidRPr="007A3600">
        <w:t>one was confirmed as lapsed by the MPC.</w:t>
      </w:r>
    </w:p>
    <w:p w14:paraId="3B09545E" w14:textId="6DB92CDD" w:rsidR="004E74F4" w:rsidRPr="007A3600" w:rsidRDefault="004E74F4" w:rsidP="00AD3197">
      <w:pPr>
        <w:pStyle w:val="Heading4"/>
      </w:pPr>
      <w:bookmarkStart w:id="273" w:name="_Toc207017756"/>
      <w:r w:rsidRPr="007A3600">
        <w:t>Other judicial decisions and external reviews</w:t>
      </w:r>
    </w:p>
    <w:p w14:paraId="6FF66406" w14:textId="14830D4B" w:rsidR="004E74F4" w:rsidRPr="007A3600" w:rsidRDefault="004E74F4" w:rsidP="00AD3197">
      <w:pPr>
        <w:pStyle w:val="Bullet1"/>
      </w:pPr>
      <w:r w:rsidRPr="007A3600">
        <w:t>Australian Human Rights Commission: In 2024–25</w:t>
      </w:r>
      <w:r w:rsidR="00B37578" w:rsidRPr="007A3600">
        <w:t>,</w:t>
      </w:r>
      <w:r w:rsidRPr="007A3600">
        <w:t xml:space="preserve"> the NDIA received 10</w:t>
      </w:r>
      <w:r w:rsidR="00EF719B" w:rsidRPr="007A3600">
        <w:t> </w:t>
      </w:r>
      <w:r w:rsidRPr="007A3600">
        <w:t>complaints, of which 6 were open at the end of the financial year.</w:t>
      </w:r>
    </w:p>
    <w:p w14:paraId="66FBA43D" w14:textId="37855B70" w:rsidR="004E74F4" w:rsidRPr="007A3600" w:rsidRDefault="00AA1169" w:rsidP="00AD3197">
      <w:pPr>
        <w:pStyle w:val="Bullet1"/>
      </w:pPr>
      <w:r w:rsidRPr="007A3600">
        <w:t>Fair Work Commission: In 2024–25 the NDIA received 20 applications, of which one was open at the end of the financial year.</w:t>
      </w:r>
    </w:p>
    <w:p w14:paraId="1F234481" w14:textId="674109ED" w:rsidR="00AA1169" w:rsidRPr="007A3600" w:rsidRDefault="00AA1169" w:rsidP="00AD3197">
      <w:pPr>
        <w:pStyle w:val="Bullet1"/>
      </w:pPr>
      <w:r w:rsidRPr="007A3600">
        <w:t>Federal Circuit and Family Court of Australia: In 2024–25 the NDIA received 3 applications, of which 3 were open at the end of the financial year.</w:t>
      </w:r>
    </w:p>
    <w:p w14:paraId="38C748A7" w14:textId="5F123215" w:rsidR="007173DB" w:rsidRPr="007A3600" w:rsidRDefault="00924091" w:rsidP="00AD3197">
      <w:pPr>
        <w:pStyle w:val="Heading3"/>
      </w:pPr>
      <w:bookmarkStart w:id="274" w:name="_8.3_Reports_by"/>
      <w:bookmarkStart w:id="275" w:name="_8.5_Reports_by"/>
      <w:bookmarkStart w:id="276" w:name="_8.5_Parliamentary_committee"/>
      <w:bookmarkStart w:id="277" w:name="_Toc209695871"/>
      <w:bookmarkEnd w:id="274"/>
      <w:bookmarkEnd w:id="275"/>
      <w:bookmarkEnd w:id="276"/>
      <w:r w:rsidRPr="007A3600">
        <w:t>8</w:t>
      </w:r>
      <w:r w:rsidR="007173DB" w:rsidRPr="007A3600">
        <w:t>.</w:t>
      </w:r>
      <w:r w:rsidR="00F830CE" w:rsidRPr="007A3600">
        <w:t>5</w:t>
      </w:r>
      <w:r w:rsidR="007173DB" w:rsidRPr="007A3600">
        <w:tab/>
      </w:r>
      <w:r w:rsidR="00E53397" w:rsidRPr="007A3600">
        <w:t>P</w:t>
      </w:r>
      <w:r w:rsidR="007173DB" w:rsidRPr="007A3600">
        <w:t xml:space="preserve">arliamentary </w:t>
      </w:r>
      <w:bookmarkEnd w:id="273"/>
      <w:r w:rsidR="003C2BFF" w:rsidRPr="007A3600">
        <w:t>c</w:t>
      </w:r>
      <w:r w:rsidR="007173DB" w:rsidRPr="007A3600">
        <w:t>ommittee</w:t>
      </w:r>
      <w:r w:rsidR="00E53397" w:rsidRPr="007A3600">
        <w:t xml:space="preserve"> inquiries</w:t>
      </w:r>
      <w:bookmarkEnd w:id="277"/>
    </w:p>
    <w:p w14:paraId="364EE100" w14:textId="64363E72" w:rsidR="00A537EA" w:rsidRPr="007A3600" w:rsidRDefault="004152DB" w:rsidP="00AD3197">
      <w:r w:rsidRPr="007A3600">
        <w:t xml:space="preserve">The NDIS provided </w:t>
      </w:r>
      <w:r w:rsidR="00F05DE2" w:rsidRPr="007A3600">
        <w:t>evidence</w:t>
      </w:r>
      <w:r w:rsidRPr="007A3600">
        <w:t xml:space="preserve"> </w:t>
      </w:r>
      <w:r w:rsidR="00F05DE2" w:rsidRPr="007A3600">
        <w:t xml:space="preserve">or submissions, or both, </w:t>
      </w:r>
      <w:r w:rsidR="00A537EA" w:rsidRPr="007A3600">
        <w:t>to the following parliamentary committee inquires over 2024</w:t>
      </w:r>
      <w:r w:rsidR="00C3563D" w:rsidRPr="007A3600">
        <w:t>–</w:t>
      </w:r>
      <w:r w:rsidR="00A537EA" w:rsidRPr="007A3600">
        <w:t>25</w:t>
      </w:r>
      <w:r w:rsidR="00C3563D" w:rsidRPr="007A3600">
        <w:t>.</w:t>
      </w:r>
    </w:p>
    <w:p w14:paraId="2D24CFD1" w14:textId="64C45CA9" w:rsidR="00BC6D8E" w:rsidRPr="007A3600" w:rsidRDefault="00BC6D8E" w:rsidP="00AD3197">
      <w:pPr>
        <w:keepNext/>
        <w:rPr>
          <w:b/>
          <w:color w:val="6B2876" w:themeColor="text2"/>
        </w:rPr>
      </w:pPr>
      <w:r w:rsidRPr="007A3600">
        <w:rPr>
          <w:b/>
          <w:color w:val="6B2876" w:themeColor="text2"/>
        </w:rPr>
        <w:t xml:space="preserve">Table </w:t>
      </w:r>
      <w:r w:rsidR="006D5D8D" w:rsidRPr="007A3600">
        <w:rPr>
          <w:b/>
          <w:bCs/>
          <w:color w:val="6B2876" w:themeColor="text2"/>
        </w:rPr>
        <w:t>18</w:t>
      </w:r>
      <w:r w:rsidRPr="007A3600">
        <w:rPr>
          <w:b/>
          <w:color w:val="6B2876" w:themeColor="text2"/>
        </w:rPr>
        <w:t>: Evidence or submissions provided by parliamentary committees in 2024</w:t>
      </w:r>
      <w:r w:rsidR="004D055A" w:rsidRPr="007A3600">
        <w:rPr>
          <w:b/>
          <w:color w:val="6B2876" w:themeColor="text2"/>
        </w:rPr>
        <w:t>–</w:t>
      </w:r>
      <w:r w:rsidRPr="007A3600">
        <w:rPr>
          <w:b/>
          <w:color w:val="6B2876" w:themeColor="text2"/>
        </w:rPr>
        <w:t>25</w:t>
      </w:r>
    </w:p>
    <w:tbl>
      <w:tblPr>
        <w:tblStyle w:val="NDISTable1"/>
        <w:tblW w:w="9128" w:type="dxa"/>
        <w:tblLayout w:type="fixed"/>
        <w:tblLook w:val="0420" w:firstRow="1" w:lastRow="0" w:firstColumn="0" w:lastColumn="0" w:noHBand="0" w:noVBand="1"/>
      </w:tblPr>
      <w:tblGrid>
        <w:gridCol w:w="2948"/>
        <w:gridCol w:w="6180"/>
      </w:tblGrid>
      <w:tr w:rsidR="00B407C5" w:rsidRPr="007A3600" w14:paraId="2CC0029D" w14:textId="77777777" w:rsidTr="00B81052">
        <w:trPr>
          <w:cnfStyle w:val="100000000000" w:firstRow="1" w:lastRow="0" w:firstColumn="0" w:lastColumn="0" w:oddVBand="0" w:evenVBand="0" w:oddHBand="0" w:evenHBand="0" w:firstRowFirstColumn="0" w:firstRowLastColumn="0" w:lastRowFirstColumn="0" w:lastRowLastColumn="0"/>
        </w:trPr>
        <w:tc>
          <w:tcPr>
            <w:tcW w:w="2948" w:type="dxa"/>
          </w:tcPr>
          <w:p w14:paraId="505BC59C" w14:textId="77777777" w:rsidR="00423A14" w:rsidRPr="007A3600" w:rsidRDefault="00423A14" w:rsidP="00AD3197">
            <w:pPr>
              <w:spacing w:before="100" w:after="100"/>
              <w:rPr>
                <w:rFonts w:cs="Arial"/>
              </w:rPr>
            </w:pPr>
            <w:r w:rsidRPr="007A3600">
              <w:rPr>
                <w:rFonts w:cs="Arial"/>
              </w:rPr>
              <w:t>Committee</w:t>
            </w:r>
          </w:p>
        </w:tc>
        <w:tc>
          <w:tcPr>
            <w:tcW w:w="6180" w:type="dxa"/>
          </w:tcPr>
          <w:p w14:paraId="6BB8D493" w14:textId="77777777" w:rsidR="00423A14" w:rsidRPr="007A3600" w:rsidRDefault="00423A14" w:rsidP="00AD3197">
            <w:pPr>
              <w:spacing w:before="100" w:after="100"/>
              <w:rPr>
                <w:rFonts w:cs="Arial"/>
              </w:rPr>
            </w:pPr>
            <w:r w:rsidRPr="007A3600">
              <w:rPr>
                <w:rFonts w:cs="Arial"/>
              </w:rPr>
              <w:t>Evidence or submission provided</w:t>
            </w:r>
          </w:p>
        </w:tc>
      </w:tr>
      <w:tr w:rsidR="00B81052" w:rsidRPr="007A3600" w14:paraId="72EA07F8" w14:textId="77777777" w:rsidTr="00B81052">
        <w:trPr>
          <w:cnfStyle w:val="000000100000" w:firstRow="0" w:lastRow="0" w:firstColumn="0" w:lastColumn="0" w:oddVBand="0" w:evenVBand="0" w:oddHBand="1" w:evenHBand="0" w:firstRowFirstColumn="0" w:firstRowLastColumn="0" w:lastRowFirstColumn="0" w:lastRowLastColumn="0"/>
        </w:trPr>
        <w:tc>
          <w:tcPr>
            <w:tcW w:w="2948" w:type="dxa"/>
          </w:tcPr>
          <w:p w14:paraId="3FD55591" w14:textId="4EDE30CB" w:rsidR="00423A14" w:rsidRPr="007A3600" w:rsidRDefault="00423A14" w:rsidP="00AD3197">
            <w:pPr>
              <w:spacing w:before="60" w:after="60"/>
              <w:rPr>
                <w:rFonts w:cs="Arial"/>
              </w:rPr>
            </w:pPr>
            <w:r w:rsidRPr="007A3600">
              <w:rPr>
                <w:rFonts w:cs="Arial"/>
              </w:rPr>
              <w:t>Joint Standing Committee on the National Disability Insurance Scheme</w:t>
            </w:r>
          </w:p>
        </w:tc>
        <w:tc>
          <w:tcPr>
            <w:tcW w:w="6180" w:type="dxa"/>
          </w:tcPr>
          <w:p w14:paraId="76405F2F" w14:textId="20044668" w:rsidR="00423A14" w:rsidRPr="007A3600" w:rsidRDefault="00423A14" w:rsidP="00AD3197">
            <w:pPr>
              <w:spacing w:before="60" w:after="60"/>
              <w:rPr>
                <w:rFonts w:cs="Arial"/>
              </w:rPr>
            </w:pPr>
            <w:r w:rsidRPr="007A3600">
              <w:rPr>
                <w:rFonts w:cs="Arial"/>
              </w:rPr>
              <w:t>NDIS participant experience in rural, regional and remote Australia</w:t>
            </w:r>
          </w:p>
          <w:p w14:paraId="1E90812B" w14:textId="77777777" w:rsidR="00423A14" w:rsidRPr="007A3600" w:rsidRDefault="00423A14" w:rsidP="00AD3197">
            <w:pPr>
              <w:spacing w:before="60" w:after="60"/>
              <w:rPr>
                <w:rFonts w:cs="Arial"/>
              </w:rPr>
            </w:pPr>
            <w:r w:rsidRPr="007A3600">
              <w:rPr>
                <w:lang w:val="en-US"/>
              </w:rPr>
              <w:t xml:space="preserve">This inquiry lapsed </w:t>
            </w:r>
            <w:r w:rsidRPr="007A3600">
              <w:t>when the Joint Standing Committee on the National Disability Insurance Scheme ceased to exist at the dissolution of the House of Representatives on 28 March 2025</w:t>
            </w:r>
          </w:p>
        </w:tc>
      </w:tr>
      <w:tr w:rsidR="00B81052" w:rsidRPr="007A3600" w14:paraId="4A03CE17" w14:textId="77777777" w:rsidTr="00B81052">
        <w:tc>
          <w:tcPr>
            <w:tcW w:w="2948" w:type="dxa"/>
          </w:tcPr>
          <w:p w14:paraId="36354AC1" w14:textId="77777777" w:rsidR="00423A14" w:rsidRPr="007A3600" w:rsidRDefault="00423A14" w:rsidP="00AD3197">
            <w:pPr>
              <w:spacing w:before="60" w:after="60"/>
              <w:rPr>
                <w:rFonts w:cs="Arial"/>
              </w:rPr>
            </w:pPr>
            <w:r w:rsidRPr="007A3600">
              <w:rPr>
                <w:rFonts w:cs="Arial"/>
              </w:rPr>
              <w:t>Joint Standing Committee on the National Disability Insurance Scheme</w:t>
            </w:r>
          </w:p>
        </w:tc>
        <w:tc>
          <w:tcPr>
            <w:tcW w:w="6180" w:type="dxa"/>
          </w:tcPr>
          <w:p w14:paraId="3581A781" w14:textId="77777777" w:rsidR="00423A14" w:rsidRPr="007A3600" w:rsidRDefault="00423A14" w:rsidP="00AD3197">
            <w:pPr>
              <w:spacing w:before="60" w:after="60"/>
              <w:rPr>
                <w:rFonts w:cs="Arial"/>
              </w:rPr>
            </w:pPr>
            <w:r w:rsidRPr="007A3600">
              <w:rPr>
                <w:rFonts w:cs="Arial"/>
              </w:rPr>
              <w:t xml:space="preserve">General issues – </w:t>
            </w:r>
            <w:r w:rsidRPr="007A3600">
              <w:rPr>
                <w:lang w:val="en-US"/>
              </w:rPr>
              <w:t>Annual Report No. 2 of the 47th Parliament, 21 November 2024</w:t>
            </w:r>
          </w:p>
        </w:tc>
      </w:tr>
      <w:tr w:rsidR="00B81052" w:rsidRPr="007A3600" w14:paraId="072E1089" w14:textId="77777777" w:rsidTr="00B81052">
        <w:trPr>
          <w:cnfStyle w:val="000000100000" w:firstRow="0" w:lastRow="0" w:firstColumn="0" w:lastColumn="0" w:oddVBand="0" w:evenVBand="0" w:oddHBand="1" w:evenHBand="0" w:firstRowFirstColumn="0" w:firstRowLastColumn="0" w:lastRowFirstColumn="0" w:lastRowLastColumn="0"/>
        </w:trPr>
        <w:tc>
          <w:tcPr>
            <w:tcW w:w="2948" w:type="dxa"/>
          </w:tcPr>
          <w:p w14:paraId="773E4225" w14:textId="27F4DED2" w:rsidR="00423A14" w:rsidRPr="007A3600" w:rsidRDefault="00423A14" w:rsidP="00AD3197">
            <w:pPr>
              <w:spacing w:before="60" w:after="60"/>
              <w:rPr>
                <w:rFonts w:cs="Arial"/>
              </w:rPr>
            </w:pPr>
            <w:r w:rsidRPr="007A3600">
              <w:rPr>
                <w:rFonts w:cs="Arial"/>
              </w:rPr>
              <w:t>Senate Standing Committee on Community Affairs</w:t>
            </w:r>
          </w:p>
        </w:tc>
        <w:tc>
          <w:tcPr>
            <w:tcW w:w="6180" w:type="dxa"/>
          </w:tcPr>
          <w:p w14:paraId="2A7C8CB0" w14:textId="77777777" w:rsidR="00423A14" w:rsidRPr="007A3600" w:rsidRDefault="00423A14" w:rsidP="00AD3197">
            <w:pPr>
              <w:spacing w:before="60" w:after="60"/>
              <w:rPr>
                <w:rFonts w:cs="Arial"/>
              </w:rPr>
            </w:pPr>
            <w:r w:rsidRPr="007A3600">
              <w:rPr>
                <w:rFonts w:cs="Arial"/>
              </w:rPr>
              <w:t>National Disability Insurance Scheme Amendment (Getting the NDIS Back on Track No. 1) Bill 2024</w:t>
            </w:r>
          </w:p>
        </w:tc>
      </w:tr>
      <w:tr w:rsidR="00B81052" w:rsidRPr="007A3600" w14:paraId="5B3E324B" w14:textId="77777777" w:rsidTr="00B81052">
        <w:tc>
          <w:tcPr>
            <w:tcW w:w="2948" w:type="dxa"/>
          </w:tcPr>
          <w:p w14:paraId="0D3D0E05" w14:textId="77777777" w:rsidR="00423A14" w:rsidRPr="007A3600" w:rsidRDefault="00423A14" w:rsidP="00AD3197">
            <w:pPr>
              <w:spacing w:before="60" w:after="60"/>
              <w:rPr>
                <w:rFonts w:cs="Arial"/>
              </w:rPr>
            </w:pPr>
            <w:r w:rsidRPr="007A3600">
              <w:rPr>
                <w:rFonts w:cs="Arial"/>
              </w:rPr>
              <w:t>Joint Committee of Public Accounts and Audit</w:t>
            </w:r>
          </w:p>
        </w:tc>
        <w:tc>
          <w:tcPr>
            <w:tcW w:w="6180" w:type="dxa"/>
          </w:tcPr>
          <w:p w14:paraId="7A4F9CC5" w14:textId="77777777" w:rsidR="00423A14" w:rsidRPr="007A3600" w:rsidRDefault="00423A14" w:rsidP="00AD3197">
            <w:pPr>
              <w:spacing w:before="60" w:after="60"/>
              <w:rPr>
                <w:rFonts w:cs="Arial"/>
              </w:rPr>
            </w:pPr>
            <w:r w:rsidRPr="007A3600">
              <w:rPr>
                <w:rFonts w:cs="Arial"/>
              </w:rPr>
              <w:t>Report 506: Inquiry into Commonwealth Financial Statements 2022–23 Auditor-General Report No. 9 2023–24</w:t>
            </w:r>
          </w:p>
        </w:tc>
      </w:tr>
      <w:tr w:rsidR="00B81052" w:rsidRPr="007A3600" w14:paraId="6A4821CC" w14:textId="77777777" w:rsidTr="00B81052">
        <w:trPr>
          <w:cnfStyle w:val="000000100000" w:firstRow="0" w:lastRow="0" w:firstColumn="0" w:lastColumn="0" w:oddVBand="0" w:evenVBand="0" w:oddHBand="1" w:evenHBand="0" w:firstRowFirstColumn="0" w:firstRowLastColumn="0" w:lastRowFirstColumn="0" w:lastRowLastColumn="0"/>
        </w:trPr>
        <w:tc>
          <w:tcPr>
            <w:tcW w:w="2948" w:type="dxa"/>
          </w:tcPr>
          <w:p w14:paraId="7C1C437B" w14:textId="77777777" w:rsidR="00423A14" w:rsidRPr="007A3600" w:rsidRDefault="00423A14" w:rsidP="00AD3197">
            <w:pPr>
              <w:spacing w:before="60" w:after="60"/>
              <w:rPr>
                <w:rFonts w:cs="Arial"/>
              </w:rPr>
            </w:pPr>
            <w:r w:rsidRPr="007A3600">
              <w:rPr>
                <w:rFonts w:cs="Arial"/>
              </w:rPr>
              <w:t>Joint Committee of Public Accounts and Audit</w:t>
            </w:r>
          </w:p>
        </w:tc>
        <w:tc>
          <w:tcPr>
            <w:tcW w:w="6180" w:type="dxa"/>
          </w:tcPr>
          <w:p w14:paraId="6355B686" w14:textId="77777777" w:rsidR="00423A14" w:rsidRPr="007A3600" w:rsidRDefault="00423A14" w:rsidP="00AD3197">
            <w:pPr>
              <w:spacing w:before="60" w:after="60"/>
              <w:rPr>
                <w:rFonts w:cs="Arial"/>
              </w:rPr>
            </w:pPr>
            <w:r w:rsidRPr="007A3600">
              <w:rPr>
                <w:rFonts w:cs="Arial"/>
              </w:rPr>
              <w:t>Report 510: Inquiry into the use and governance of artificial intelligence systems by public sector entities</w:t>
            </w:r>
          </w:p>
        </w:tc>
      </w:tr>
      <w:tr w:rsidR="00B81052" w:rsidRPr="007A3600" w14:paraId="69A55BDB" w14:textId="77777777" w:rsidTr="00B81052">
        <w:tc>
          <w:tcPr>
            <w:tcW w:w="2948" w:type="dxa"/>
          </w:tcPr>
          <w:p w14:paraId="6C457742" w14:textId="77777777" w:rsidR="00423A14" w:rsidRPr="007A3600" w:rsidRDefault="00423A14" w:rsidP="00AD3197">
            <w:pPr>
              <w:spacing w:before="60" w:after="60"/>
              <w:rPr>
                <w:rFonts w:cs="Arial"/>
              </w:rPr>
            </w:pPr>
            <w:r w:rsidRPr="007A3600">
              <w:rPr>
                <w:rFonts w:cs="Arial"/>
              </w:rPr>
              <w:t>Joint Committee of Public Accounts and Audit</w:t>
            </w:r>
          </w:p>
        </w:tc>
        <w:tc>
          <w:tcPr>
            <w:tcW w:w="6180" w:type="dxa"/>
          </w:tcPr>
          <w:p w14:paraId="3FFD0B40" w14:textId="77777777" w:rsidR="00423A14" w:rsidRPr="007A3600" w:rsidRDefault="00423A14" w:rsidP="00AD3197">
            <w:pPr>
              <w:spacing w:before="60" w:after="60"/>
              <w:rPr>
                <w:rFonts w:cs="Arial"/>
              </w:rPr>
            </w:pPr>
            <w:r w:rsidRPr="007A3600">
              <w:rPr>
                <w:rFonts w:cs="Arial"/>
              </w:rPr>
              <w:t>Report 504: Inquiry into procurement at Services Australia and the NDIA</w:t>
            </w:r>
          </w:p>
        </w:tc>
      </w:tr>
      <w:tr w:rsidR="00B81052" w:rsidRPr="007A3600" w14:paraId="2272CD4E" w14:textId="77777777" w:rsidTr="00B81052">
        <w:trPr>
          <w:cnfStyle w:val="000000100000" w:firstRow="0" w:lastRow="0" w:firstColumn="0" w:lastColumn="0" w:oddVBand="0" w:evenVBand="0" w:oddHBand="1" w:evenHBand="0" w:firstRowFirstColumn="0" w:firstRowLastColumn="0" w:lastRowFirstColumn="0" w:lastRowLastColumn="0"/>
        </w:trPr>
        <w:tc>
          <w:tcPr>
            <w:tcW w:w="2948" w:type="dxa"/>
          </w:tcPr>
          <w:p w14:paraId="07C1D6F3" w14:textId="77777777" w:rsidR="00423A14" w:rsidRPr="007A3600" w:rsidRDefault="00423A14" w:rsidP="00AD3197">
            <w:pPr>
              <w:spacing w:before="60" w:after="60"/>
            </w:pPr>
            <w:r w:rsidRPr="007A3600">
              <w:lastRenderedPageBreak/>
              <w:t>Senate Standing Committee on Legal and Constitutional Affairs</w:t>
            </w:r>
          </w:p>
        </w:tc>
        <w:tc>
          <w:tcPr>
            <w:tcW w:w="6180" w:type="dxa"/>
          </w:tcPr>
          <w:p w14:paraId="325FDB74" w14:textId="77777777" w:rsidR="00423A14" w:rsidRPr="007A3600" w:rsidRDefault="00423A14" w:rsidP="00AD3197">
            <w:pPr>
              <w:spacing w:before="60" w:after="60"/>
              <w:rPr>
                <w:rFonts w:cs="Arial"/>
              </w:rPr>
            </w:pPr>
            <w:r w:rsidRPr="007A3600">
              <w:rPr>
                <w:rFonts w:cs="Arial"/>
              </w:rPr>
              <w:t>Commonwealth Workplace Protection Orders Bill 2024 [Provisions]</w:t>
            </w:r>
          </w:p>
        </w:tc>
      </w:tr>
    </w:tbl>
    <w:p w14:paraId="579DA89B" w14:textId="2496A4BD" w:rsidR="00E92788" w:rsidRPr="007A3600" w:rsidRDefault="00A679C4" w:rsidP="00AD3197">
      <w:pPr>
        <w:pStyle w:val="Heading3"/>
      </w:pPr>
      <w:bookmarkStart w:id="278" w:name="_8.6_Royal_Commission"/>
      <w:bookmarkStart w:id="279" w:name="_Toc207017761"/>
      <w:bookmarkStart w:id="280" w:name="_Toc209695872"/>
      <w:bookmarkEnd w:id="278"/>
      <w:r w:rsidRPr="007A3600">
        <w:t>8.</w:t>
      </w:r>
      <w:r w:rsidR="00F830CE" w:rsidRPr="007A3600">
        <w:t>6</w:t>
      </w:r>
      <w:r w:rsidRPr="007A3600">
        <w:tab/>
      </w:r>
      <w:r w:rsidR="00E92788" w:rsidRPr="007A3600">
        <w:t>Royal Comm</w:t>
      </w:r>
      <w:r w:rsidR="009F6A35" w:rsidRPr="007A3600">
        <w:t>i</w:t>
      </w:r>
      <w:r w:rsidR="00E92788" w:rsidRPr="007A3600">
        <w:t>ssion into Violence, Abuse, Neglect and Exploitation of People with Disability</w:t>
      </w:r>
      <w:bookmarkEnd w:id="279"/>
      <w:bookmarkEnd w:id="280"/>
    </w:p>
    <w:p w14:paraId="13CAD51C" w14:textId="215ABD88" w:rsidR="000734D5" w:rsidRPr="007A3600" w:rsidRDefault="00350D2A" w:rsidP="00AD3197">
      <w:pPr>
        <w:spacing w:line="276" w:lineRule="auto"/>
        <w:rPr>
          <w:rFonts w:cs="Arial"/>
        </w:rPr>
      </w:pPr>
      <w:r w:rsidRPr="007A3600">
        <w:rPr>
          <w:rFonts w:cs="Arial"/>
        </w:rPr>
        <w:t xml:space="preserve">The </w:t>
      </w:r>
      <w:r w:rsidRPr="007A3600">
        <w:rPr>
          <w:rFonts w:cs="Arial"/>
          <w:i/>
          <w:iCs/>
        </w:rPr>
        <w:t xml:space="preserve">Joint </w:t>
      </w:r>
      <w:r w:rsidR="000734D5" w:rsidRPr="007A3600">
        <w:rPr>
          <w:rFonts w:cs="Arial"/>
          <w:i/>
          <w:iCs/>
        </w:rPr>
        <w:t>Australian, state and territory g</w:t>
      </w:r>
      <w:r w:rsidRPr="007A3600">
        <w:rPr>
          <w:rFonts w:cs="Arial"/>
          <w:i/>
          <w:iCs/>
        </w:rPr>
        <w:t xml:space="preserve">overnment </w:t>
      </w:r>
      <w:r w:rsidR="000734D5" w:rsidRPr="007A3600">
        <w:rPr>
          <w:rFonts w:cs="Arial"/>
          <w:i/>
          <w:iCs/>
        </w:rPr>
        <w:t>r</w:t>
      </w:r>
      <w:r w:rsidRPr="007A3600">
        <w:rPr>
          <w:rFonts w:cs="Arial"/>
          <w:i/>
          <w:iCs/>
        </w:rPr>
        <w:t>esponse to the Disability Royal Commission</w:t>
      </w:r>
      <w:r w:rsidRPr="007A3600">
        <w:rPr>
          <w:rFonts w:cs="Arial"/>
        </w:rPr>
        <w:t xml:space="preserve"> was published on 3</w:t>
      </w:r>
      <w:r w:rsidR="00B76117" w:rsidRPr="007A3600">
        <w:rPr>
          <w:rFonts w:cs="Arial"/>
        </w:rPr>
        <w:t>0</w:t>
      </w:r>
      <w:r w:rsidRPr="007A3600">
        <w:rPr>
          <w:rFonts w:cs="Arial"/>
        </w:rPr>
        <w:t xml:space="preserve"> July 2024</w:t>
      </w:r>
      <w:r w:rsidR="000734D5" w:rsidRPr="007A3600">
        <w:rPr>
          <w:rFonts w:cs="Arial"/>
        </w:rPr>
        <w:t xml:space="preserve">, responding </w:t>
      </w:r>
      <w:r w:rsidRPr="007A3600">
        <w:rPr>
          <w:rFonts w:cs="Arial"/>
        </w:rPr>
        <w:t xml:space="preserve">to the </w:t>
      </w:r>
      <w:r w:rsidR="000734D5" w:rsidRPr="007A3600">
        <w:rPr>
          <w:rFonts w:cs="Arial"/>
        </w:rPr>
        <w:t>Royal Commission into Violence, Abuse, Neglect and Exploitation of People with Disability (</w:t>
      </w:r>
      <w:r w:rsidRPr="007A3600">
        <w:rPr>
          <w:rFonts w:cs="Arial"/>
        </w:rPr>
        <w:t>Disability Royal Commission</w:t>
      </w:r>
      <w:r w:rsidR="000734D5" w:rsidRPr="007A3600">
        <w:rPr>
          <w:rFonts w:cs="Arial"/>
        </w:rPr>
        <w:t>)</w:t>
      </w:r>
      <w:r w:rsidRPr="007A3600">
        <w:rPr>
          <w:rFonts w:cs="Arial"/>
        </w:rPr>
        <w:t xml:space="preserve"> </w:t>
      </w:r>
      <w:r w:rsidR="00A55BEC" w:rsidRPr="007A3600">
        <w:rPr>
          <w:rFonts w:cs="Arial"/>
        </w:rPr>
        <w:t>f</w:t>
      </w:r>
      <w:r w:rsidRPr="007A3600">
        <w:rPr>
          <w:rFonts w:cs="Arial"/>
        </w:rPr>
        <w:t xml:space="preserve">inal </w:t>
      </w:r>
      <w:r w:rsidR="00A55BEC" w:rsidRPr="007A3600">
        <w:rPr>
          <w:rFonts w:cs="Arial"/>
        </w:rPr>
        <w:t>r</w:t>
      </w:r>
      <w:r w:rsidRPr="007A3600">
        <w:rPr>
          <w:rFonts w:cs="Arial"/>
        </w:rPr>
        <w:t xml:space="preserve">eport tabled in </w:t>
      </w:r>
      <w:r w:rsidR="00640010" w:rsidRPr="007A3600">
        <w:rPr>
          <w:rFonts w:cs="Arial"/>
        </w:rPr>
        <w:t>p</w:t>
      </w:r>
      <w:r w:rsidRPr="007A3600">
        <w:rPr>
          <w:rFonts w:cs="Arial"/>
        </w:rPr>
        <w:t>arliament in September 2023</w:t>
      </w:r>
      <w:r w:rsidR="000734D5" w:rsidRPr="007A3600">
        <w:rPr>
          <w:rFonts w:cs="Arial"/>
        </w:rPr>
        <w:t>.</w:t>
      </w:r>
      <w:r w:rsidRPr="007A3600">
        <w:rPr>
          <w:rFonts w:cs="Arial"/>
        </w:rPr>
        <w:t xml:space="preserve"> </w:t>
      </w:r>
    </w:p>
    <w:p w14:paraId="00536D0A" w14:textId="37C54EC2" w:rsidR="00350D2A" w:rsidRPr="007A3600" w:rsidRDefault="000734D5" w:rsidP="00AD3197">
      <w:pPr>
        <w:spacing w:line="276" w:lineRule="auto"/>
      </w:pPr>
      <w:r w:rsidRPr="007A3600">
        <w:rPr>
          <w:rFonts w:cs="Arial"/>
        </w:rPr>
        <w:t xml:space="preserve">The Disability Royal Commission final report made </w:t>
      </w:r>
      <w:r w:rsidR="00350D2A" w:rsidRPr="007A3600">
        <w:rPr>
          <w:rFonts w:cs="Arial"/>
        </w:rPr>
        <w:t>222</w:t>
      </w:r>
      <w:r w:rsidR="00524802" w:rsidRPr="007A3600">
        <w:rPr>
          <w:rFonts w:cs="Arial"/>
        </w:rPr>
        <w:t xml:space="preserve"> </w:t>
      </w:r>
      <w:r w:rsidR="00350D2A" w:rsidRPr="007A3600">
        <w:rPr>
          <w:rFonts w:cs="Arial"/>
        </w:rPr>
        <w:t>recommendations, of which 19</w:t>
      </w:r>
      <w:r w:rsidR="00524802" w:rsidRPr="007A3600">
        <w:rPr>
          <w:rFonts w:cs="Arial"/>
        </w:rPr>
        <w:t xml:space="preserve"> </w:t>
      </w:r>
      <w:r w:rsidR="00350D2A" w:rsidRPr="007A3600">
        <w:rPr>
          <w:rFonts w:cs="Arial"/>
        </w:rPr>
        <w:t>directly or substantively involve the NDIA.</w:t>
      </w:r>
      <w:r w:rsidRPr="007A3600">
        <w:rPr>
          <w:rFonts w:cs="Arial"/>
        </w:rPr>
        <w:t xml:space="preserve"> </w:t>
      </w:r>
      <w:r w:rsidR="00350D2A" w:rsidRPr="007A3600">
        <w:rPr>
          <w:rFonts w:cs="Arial"/>
        </w:rPr>
        <w:t xml:space="preserve">The NDIA is making progress on several initiatives to address the recommendations and themes from the </w:t>
      </w:r>
      <w:r w:rsidR="002419B1" w:rsidRPr="007A3600">
        <w:rPr>
          <w:rFonts w:cs="Arial"/>
        </w:rPr>
        <w:t>f</w:t>
      </w:r>
      <w:r w:rsidR="00350D2A" w:rsidRPr="007A3600">
        <w:rPr>
          <w:rFonts w:cs="Arial"/>
        </w:rPr>
        <w:t xml:space="preserve">inal </w:t>
      </w:r>
      <w:r w:rsidR="002419B1" w:rsidRPr="007A3600">
        <w:rPr>
          <w:rFonts w:cs="Arial"/>
        </w:rPr>
        <w:t>r</w:t>
      </w:r>
      <w:r w:rsidR="00350D2A" w:rsidRPr="007A3600">
        <w:rPr>
          <w:rFonts w:cs="Arial"/>
        </w:rPr>
        <w:t xml:space="preserve">eport. The National Interim Update 2024 was published on 23 December 2024 and </w:t>
      </w:r>
      <w:r w:rsidR="00B76117" w:rsidRPr="007A3600">
        <w:rPr>
          <w:rFonts w:cs="Arial"/>
        </w:rPr>
        <w:t xml:space="preserve">the NDIA provided input to the June 2025 </w:t>
      </w:r>
      <w:r w:rsidR="00350D2A" w:rsidRPr="007A3600">
        <w:rPr>
          <w:rFonts w:cs="Arial"/>
        </w:rPr>
        <w:t xml:space="preserve">Disability Royal Commission </w:t>
      </w:r>
      <w:r w:rsidR="00524802" w:rsidRPr="007A3600">
        <w:rPr>
          <w:rFonts w:cs="Arial"/>
        </w:rPr>
        <w:t>b</w:t>
      </w:r>
      <w:r w:rsidR="00350D2A" w:rsidRPr="007A3600">
        <w:rPr>
          <w:rFonts w:cs="Arial"/>
        </w:rPr>
        <w:t>iannual</w:t>
      </w:r>
      <w:r w:rsidR="00524802" w:rsidRPr="007A3600">
        <w:rPr>
          <w:rFonts w:cs="Arial"/>
        </w:rPr>
        <w:t xml:space="preserve"> </w:t>
      </w:r>
      <w:r w:rsidR="00350D2A" w:rsidRPr="007A3600">
        <w:rPr>
          <w:rFonts w:cs="Arial"/>
        </w:rPr>
        <w:t>report</w:t>
      </w:r>
      <w:r w:rsidR="00350D2A" w:rsidRPr="007A3600">
        <w:t>.</w:t>
      </w:r>
    </w:p>
    <w:p w14:paraId="35E204B3" w14:textId="5A7CBC58" w:rsidR="00E92788" w:rsidRPr="007A3600" w:rsidRDefault="00350D2A" w:rsidP="00AD3197">
      <w:r w:rsidRPr="007A3600">
        <w:rPr>
          <w:rFonts w:cs="Arial"/>
        </w:rPr>
        <w:t>The NDIA continues to work closely with the community</w:t>
      </w:r>
      <w:r w:rsidR="00640010" w:rsidRPr="007A3600">
        <w:rPr>
          <w:rFonts w:cs="Arial"/>
        </w:rPr>
        <w:t xml:space="preserve"> and </w:t>
      </w:r>
      <w:r w:rsidR="0094110A" w:rsidRPr="007A3600">
        <w:rPr>
          <w:rFonts w:cs="Arial"/>
        </w:rPr>
        <w:t>Australian</w:t>
      </w:r>
      <w:r w:rsidRPr="007A3600">
        <w:rPr>
          <w:rFonts w:cs="Arial"/>
        </w:rPr>
        <w:t xml:space="preserve"> and state and territory governments to address recommendations of the Disability Royal Commission. The</w:t>
      </w:r>
      <w:r w:rsidR="0006111B" w:rsidRPr="007A3600">
        <w:rPr>
          <w:rFonts w:cs="Arial"/>
        </w:rPr>
        <w:t xml:space="preserve"> </w:t>
      </w:r>
      <w:r w:rsidRPr="007A3600">
        <w:rPr>
          <w:rFonts w:cs="Arial"/>
        </w:rPr>
        <w:t>NDIA</w:t>
      </w:r>
      <w:r w:rsidRPr="007A3600">
        <w:t xml:space="preserve"> </w:t>
      </w:r>
      <w:r w:rsidRPr="007A3600">
        <w:rPr>
          <w:rFonts w:cs="Arial"/>
        </w:rPr>
        <w:t xml:space="preserve">will report to </w:t>
      </w:r>
      <w:r w:rsidR="0094110A" w:rsidRPr="007A3600">
        <w:rPr>
          <w:rFonts w:cs="Arial"/>
        </w:rPr>
        <w:t xml:space="preserve">the </w:t>
      </w:r>
      <w:r w:rsidR="000734D5" w:rsidRPr="007A3600">
        <w:rPr>
          <w:rFonts w:cs="Arial"/>
        </w:rPr>
        <w:t xml:space="preserve">Disability Reform Ministerial Council </w:t>
      </w:r>
      <w:r w:rsidRPr="007A3600">
        <w:rPr>
          <w:rFonts w:cs="Arial"/>
        </w:rPr>
        <w:t>and the community on the implementation of recommendations within its remit through the Disability Royal Commission reporting process.</w:t>
      </w:r>
    </w:p>
    <w:p w14:paraId="3B168949" w14:textId="48433986" w:rsidR="00E92788" w:rsidRPr="007A3600" w:rsidRDefault="00924091" w:rsidP="00AD3197">
      <w:pPr>
        <w:pStyle w:val="Heading3"/>
      </w:pPr>
      <w:bookmarkStart w:id="281" w:name="_8.4_Advertising_and"/>
      <w:bookmarkStart w:id="282" w:name="_8.7_Advertising_and"/>
      <w:bookmarkStart w:id="283" w:name="_Toc207017762"/>
      <w:bookmarkStart w:id="284" w:name="_Toc209695873"/>
      <w:bookmarkEnd w:id="281"/>
      <w:bookmarkEnd w:id="282"/>
      <w:r w:rsidRPr="007A3600">
        <w:t>8</w:t>
      </w:r>
      <w:r w:rsidR="00E92788" w:rsidRPr="007A3600">
        <w:t>.</w:t>
      </w:r>
      <w:r w:rsidR="00F830CE" w:rsidRPr="007A3600">
        <w:t>7</w:t>
      </w:r>
      <w:r w:rsidR="00566097" w:rsidRPr="007A3600">
        <w:tab/>
        <w:t>Advertising and market research</w:t>
      </w:r>
      <w:bookmarkEnd w:id="283"/>
      <w:bookmarkEnd w:id="284"/>
    </w:p>
    <w:p w14:paraId="57034A32" w14:textId="032DB529" w:rsidR="00566097" w:rsidRPr="007A3600" w:rsidRDefault="00E53397" w:rsidP="00AD3197">
      <w:r w:rsidRPr="007A3600">
        <w:t xml:space="preserve">The NDIA must report on payments over $16,900 (including GST) under </w:t>
      </w:r>
      <w:r w:rsidR="004B23E0" w:rsidRPr="007A3600">
        <w:t>section</w:t>
      </w:r>
      <w:r w:rsidR="00202CB6" w:rsidRPr="007A3600">
        <w:t> </w:t>
      </w:r>
      <w:r w:rsidR="004B23E0" w:rsidRPr="007A3600">
        <w:t xml:space="preserve">311A of the </w:t>
      </w:r>
      <w:r w:rsidR="004B23E0" w:rsidRPr="007A3600">
        <w:rPr>
          <w:i/>
          <w:iCs/>
        </w:rPr>
        <w:t>Commonwealth Electoral Act 1918</w:t>
      </w:r>
      <w:r w:rsidR="004B23E0" w:rsidRPr="007A3600">
        <w:t xml:space="preserve"> (Cth) to advertising, market research, polling, direct mail and media advertising organisations. Tables </w:t>
      </w:r>
      <w:r w:rsidR="002F27F8" w:rsidRPr="007A3600">
        <w:t>19</w:t>
      </w:r>
      <w:r w:rsidR="004B23E0" w:rsidRPr="007A3600">
        <w:t xml:space="preserve"> to </w:t>
      </w:r>
      <w:r w:rsidR="002F27F8" w:rsidRPr="007A3600">
        <w:t>23</w:t>
      </w:r>
      <w:r w:rsidR="004B23E0" w:rsidRPr="007A3600">
        <w:t xml:space="preserve"> show details of </w:t>
      </w:r>
      <w:r w:rsidRPr="007A3600">
        <w:t xml:space="preserve">these </w:t>
      </w:r>
      <w:r w:rsidR="004B23E0" w:rsidRPr="007A3600">
        <w:t>payments. The total of payments made to reportable organisations in 2024</w:t>
      </w:r>
      <w:r w:rsidR="003C2BFF" w:rsidRPr="007A3600">
        <w:t>–</w:t>
      </w:r>
      <w:r w:rsidR="004B23E0" w:rsidRPr="007A3600">
        <w:t xml:space="preserve">25 </w:t>
      </w:r>
      <w:r w:rsidR="00A82CCE" w:rsidRPr="007A3600">
        <w:t>wa</w:t>
      </w:r>
      <w:r w:rsidR="004B23E0" w:rsidRPr="007A3600">
        <w:t>s $1,076,715.33.</w:t>
      </w:r>
    </w:p>
    <w:p w14:paraId="19D2F5D3" w14:textId="0B8B9F5E" w:rsidR="002E3B6F" w:rsidRPr="007A3600" w:rsidRDefault="002E3B6F" w:rsidP="00AD3197">
      <w:pPr>
        <w:pStyle w:val="Caption"/>
      </w:pPr>
      <w:bookmarkStart w:id="285" w:name="_Toc207017763"/>
      <w:r w:rsidRPr="007A3600">
        <w:t xml:space="preserve">Table </w:t>
      </w:r>
      <w:r w:rsidR="002F27F8" w:rsidRPr="007A3600">
        <w:t>19</w:t>
      </w:r>
      <w:r w:rsidRPr="007A3600">
        <w:t>: Payments to advertising organisations in 2024–25</w:t>
      </w:r>
    </w:p>
    <w:tbl>
      <w:tblPr>
        <w:tblStyle w:val="NDISTable1"/>
        <w:tblpPr w:leftFromText="181" w:rightFromText="181" w:bottomFromText="142" w:vertAnchor="text" w:horzAnchor="margin" w:tblpY="1"/>
        <w:tblW w:w="0" w:type="auto"/>
        <w:tblLayout w:type="fixed"/>
        <w:tblLook w:val="0420" w:firstRow="1" w:lastRow="0" w:firstColumn="0" w:lastColumn="0" w:noHBand="0" w:noVBand="1"/>
      </w:tblPr>
      <w:tblGrid>
        <w:gridCol w:w="3402"/>
        <w:gridCol w:w="3402"/>
        <w:gridCol w:w="2381"/>
      </w:tblGrid>
      <w:tr w:rsidR="0026718D" w:rsidRPr="007A3600" w14:paraId="77FCF51B" w14:textId="77777777" w:rsidTr="00416593">
        <w:trPr>
          <w:cnfStyle w:val="100000000000" w:firstRow="1" w:lastRow="0" w:firstColumn="0" w:lastColumn="0" w:oddVBand="0" w:evenVBand="0" w:oddHBand="0" w:evenHBand="0" w:firstRowFirstColumn="0" w:firstRowLastColumn="0" w:lastRowFirstColumn="0" w:lastRowLastColumn="0"/>
        </w:trPr>
        <w:tc>
          <w:tcPr>
            <w:tcW w:w="3402" w:type="dxa"/>
          </w:tcPr>
          <w:p w14:paraId="4D2D5FA4" w14:textId="77777777" w:rsidR="002E3B6F" w:rsidRPr="007A3600" w:rsidRDefault="002E3B6F" w:rsidP="00AD3197">
            <w:r w:rsidRPr="007A3600">
              <w:t>Organisation</w:t>
            </w:r>
          </w:p>
        </w:tc>
        <w:tc>
          <w:tcPr>
            <w:tcW w:w="3402" w:type="dxa"/>
          </w:tcPr>
          <w:p w14:paraId="60BAF510" w14:textId="77777777" w:rsidR="002E3B6F" w:rsidRPr="007A3600" w:rsidRDefault="002E3B6F" w:rsidP="00AD3197">
            <w:r w:rsidRPr="007A3600">
              <w:t>Service provided</w:t>
            </w:r>
          </w:p>
        </w:tc>
        <w:tc>
          <w:tcPr>
            <w:tcW w:w="2381" w:type="dxa"/>
          </w:tcPr>
          <w:p w14:paraId="7F584285" w14:textId="77777777" w:rsidR="002E3B6F" w:rsidRPr="007A3600" w:rsidRDefault="002E3B6F" w:rsidP="00AD3197">
            <w:r w:rsidRPr="007A3600">
              <w:t>Amount paid</w:t>
            </w:r>
            <w:r w:rsidRPr="007A3600">
              <w:br/>
              <w:t>$ (including GST)</w:t>
            </w:r>
          </w:p>
        </w:tc>
      </w:tr>
      <w:tr w:rsidR="0029157E" w:rsidRPr="007A3600" w14:paraId="6D9BB65D" w14:textId="77777777" w:rsidTr="00CD02F1">
        <w:trPr>
          <w:cnfStyle w:val="000000100000" w:firstRow="0" w:lastRow="0" w:firstColumn="0" w:lastColumn="0" w:oddVBand="0" w:evenVBand="0" w:oddHBand="1" w:evenHBand="0" w:firstRowFirstColumn="0" w:firstRowLastColumn="0" w:lastRowFirstColumn="0" w:lastRowLastColumn="0"/>
        </w:trPr>
        <w:tc>
          <w:tcPr>
            <w:tcW w:w="3402" w:type="dxa"/>
          </w:tcPr>
          <w:p w14:paraId="3E53F256" w14:textId="77777777" w:rsidR="002E3B6F" w:rsidRPr="007A3600" w:rsidRDefault="002E3B6F" w:rsidP="00AD3197">
            <w:r w:rsidRPr="007A3600">
              <w:t>Universal McCann</w:t>
            </w:r>
          </w:p>
        </w:tc>
        <w:tc>
          <w:tcPr>
            <w:tcW w:w="3402" w:type="dxa"/>
          </w:tcPr>
          <w:p w14:paraId="3584ABE1" w14:textId="3D17E3F7" w:rsidR="002E3B6F" w:rsidRPr="007A3600" w:rsidRDefault="002E3B6F" w:rsidP="00AD3197">
            <w:r w:rsidRPr="007A3600">
              <w:t xml:space="preserve">Recruitment </w:t>
            </w:r>
            <w:r w:rsidR="00FD1831" w:rsidRPr="007A3600">
              <w:t>a</w:t>
            </w:r>
            <w:r w:rsidRPr="007A3600">
              <w:t>dvertising</w:t>
            </w:r>
          </w:p>
        </w:tc>
        <w:tc>
          <w:tcPr>
            <w:tcW w:w="2381" w:type="dxa"/>
          </w:tcPr>
          <w:p w14:paraId="3DC29A06" w14:textId="77777777" w:rsidR="002E3B6F" w:rsidRPr="007A3600" w:rsidRDefault="002E3B6F" w:rsidP="00AD3197">
            <w:pPr>
              <w:jc w:val="right"/>
            </w:pPr>
            <w:r w:rsidRPr="007A3600">
              <w:t>$414,904.63</w:t>
            </w:r>
          </w:p>
        </w:tc>
      </w:tr>
      <w:tr w:rsidR="00416593" w:rsidRPr="007A3600" w14:paraId="7CA1732E" w14:textId="77777777" w:rsidTr="007049C5">
        <w:tc>
          <w:tcPr>
            <w:tcW w:w="3402" w:type="dxa"/>
          </w:tcPr>
          <w:p w14:paraId="09AFF3FE" w14:textId="7F61DF9F" w:rsidR="002E3B6F" w:rsidRPr="007A3600" w:rsidRDefault="000D4B96" w:rsidP="00AD3197">
            <w:pPr>
              <w:rPr>
                <w:color w:val="FFFFFF"/>
              </w:rPr>
            </w:pPr>
            <w:r w:rsidRPr="007A3600">
              <w:rPr>
                <w:color w:val="FFFFFF"/>
              </w:rPr>
              <w:t>blank</w:t>
            </w:r>
          </w:p>
        </w:tc>
        <w:tc>
          <w:tcPr>
            <w:tcW w:w="3402" w:type="dxa"/>
          </w:tcPr>
          <w:p w14:paraId="3E300175" w14:textId="77777777" w:rsidR="002E3B6F" w:rsidRPr="007A3600" w:rsidRDefault="002E3B6F" w:rsidP="00AD3197">
            <w:pPr>
              <w:jc w:val="right"/>
              <w:rPr>
                <w:b/>
                <w:bCs/>
              </w:rPr>
            </w:pPr>
            <w:r w:rsidRPr="007A3600">
              <w:rPr>
                <w:b/>
                <w:bCs/>
              </w:rPr>
              <w:t>Total:</w:t>
            </w:r>
          </w:p>
        </w:tc>
        <w:tc>
          <w:tcPr>
            <w:tcW w:w="2381" w:type="dxa"/>
          </w:tcPr>
          <w:p w14:paraId="52B4C975" w14:textId="77777777" w:rsidR="002E3B6F" w:rsidRPr="007A3600" w:rsidRDefault="002E3B6F" w:rsidP="00AD3197">
            <w:pPr>
              <w:jc w:val="right"/>
              <w:rPr>
                <w:b/>
                <w:bCs/>
              </w:rPr>
            </w:pPr>
            <w:r w:rsidRPr="007A3600">
              <w:rPr>
                <w:b/>
                <w:bCs/>
              </w:rPr>
              <w:t>$414,904.63</w:t>
            </w:r>
          </w:p>
        </w:tc>
      </w:tr>
    </w:tbl>
    <w:p w14:paraId="58CC9835" w14:textId="066D98D8" w:rsidR="002E3B6F" w:rsidRPr="007A3600" w:rsidRDefault="002E3B6F" w:rsidP="00AD3197">
      <w:pPr>
        <w:pStyle w:val="Caption"/>
      </w:pPr>
      <w:r w:rsidRPr="007A3600">
        <w:lastRenderedPageBreak/>
        <w:t xml:space="preserve">Table </w:t>
      </w:r>
      <w:r w:rsidR="002F27F8" w:rsidRPr="007A3600">
        <w:t>20</w:t>
      </w:r>
      <w:r w:rsidRPr="007A3600">
        <w:t>: Payments to market research organisations in 2024–25</w:t>
      </w:r>
    </w:p>
    <w:tbl>
      <w:tblPr>
        <w:tblStyle w:val="NDISTable1"/>
        <w:tblpPr w:leftFromText="181" w:rightFromText="181" w:bottomFromText="142" w:vertAnchor="text" w:horzAnchor="margin" w:tblpY="1"/>
        <w:tblW w:w="0" w:type="auto"/>
        <w:tblLayout w:type="fixed"/>
        <w:tblLook w:val="0420" w:firstRow="1" w:lastRow="0" w:firstColumn="0" w:lastColumn="0" w:noHBand="0" w:noVBand="1"/>
      </w:tblPr>
      <w:tblGrid>
        <w:gridCol w:w="3402"/>
        <w:gridCol w:w="3402"/>
        <w:gridCol w:w="2381"/>
      </w:tblGrid>
      <w:tr w:rsidR="0029157E" w:rsidRPr="007A3600" w14:paraId="0B9A8CB2" w14:textId="77777777" w:rsidTr="00416593">
        <w:trPr>
          <w:cnfStyle w:val="100000000000" w:firstRow="1" w:lastRow="0" w:firstColumn="0" w:lastColumn="0" w:oddVBand="0" w:evenVBand="0" w:oddHBand="0" w:evenHBand="0" w:firstRowFirstColumn="0" w:firstRowLastColumn="0" w:lastRowFirstColumn="0" w:lastRowLastColumn="0"/>
        </w:trPr>
        <w:tc>
          <w:tcPr>
            <w:tcW w:w="3402" w:type="dxa"/>
          </w:tcPr>
          <w:p w14:paraId="3BF803B1" w14:textId="77777777" w:rsidR="002E3B6F" w:rsidRPr="007A3600" w:rsidRDefault="002E3B6F" w:rsidP="00AD3197">
            <w:r w:rsidRPr="007A3600">
              <w:t>Organisation</w:t>
            </w:r>
          </w:p>
        </w:tc>
        <w:tc>
          <w:tcPr>
            <w:tcW w:w="3402" w:type="dxa"/>
          </w:tcPr>
          <w:p w14:paraId="34B2805B" w14:textId="77777777" w:rsidR="002E3B6F" w:rsidRPr="007A3600" w:rsidRDefault="002E3B6F" w:rsidP="00AD3197">
            <w:r w:rsidRPr="007A3600">
              <w:t>Service provided</w:t>
            </w:r>
          </w:p>
        </w:tc>
        <w:tc>
          <w:tcPr>
            <w:tcW w:w="2381" w:type="dxa"/>
          </w:tcPr>
          <w:p w14:paraId="3EF301D8" w14:textId="77777777" w:rsidR="002E3B6F" w:rsidRPr="007A3600" w:rsidRDefault="002E3B6F" w:rsidP="00AD3197">
            <w:r w:rsidRPr="007A3600">
              <w:t>Amount paid</w:t>
            </w:r>
            <w:r w:rsidRPr="007A3600">
              <w:br/>
              <w:t>$ (including GST)</w:t>
            </w:r>
          </w:p>
        </w:tc>
      </w:tr>
      <w:tr w:rsidR="0026718D" w:rsidRPr="007A3600" w14:paraId="0ABA3DD7" w14:textId="77777777" w:rsidTr="006210B6">
        <w:trPr>
          <w:cnfStyle w:val="000000100000" w:firstRow="0" w:lastRow="0" w:firstColumn="0" w:lastColumn="0" w:oddVBand="0" w:evenVBand="0" w:oddHBand="1" w:evenHBand="0" w:firstRowFirstColumn="0" w:firstRowLastColumn="0" w:lastRowFirstColumn="0" w:lastRowLastColumn="0"/>
        </w:trPr>
        <w:tc>
          <w:tcPr>
            <w:tcW w:w="3402" w:type="dxa"/>
          </w:tcPr>
          <w:p w14:paraId="4314383E" w14:textId="77777777" w:rsidR="002E3B6F" w:rsidRPr="007A3600" w:rsidRDefault="002E3B6F" w:rsidP="00AD3197">
            <w:r w:rsidRPr="007A3600">
              <w:t>Hall and Partners Pty Ltd</w:t>
            </w:r>
          </w:p>
        </w:tc>
        <w:tc>
          <w:tcPr>
            <w:tcW w:w="3402" w:type="dxa"/>
          </w:tcPr>
          <w:p w14:paraId="79BE8979" w14:textId="10021B4A" w:rsidR="002E3B6F" w:rsidRPr="007A3600" w:rsidRDefault="002E3B6F" w:rsidP="00AD3197">
            <w:r w:rsidRPr="007A3600">
              <w:t xml:space="preserve">Community </w:t>
            </w:r>
            <w:r w:rsidR="00FD1831" w:rsidRPr="007A3600">
              <w:t>s</w:t>
            </w:r>
            <w:r w:rsidRPr="007A3600">
              <w:t xml:space="preserve">entiment </w:t>
            </w:r>
            <w:r w:rsidR="00FD1831" w:rsidRPr="007A3600">
              <w:t>i</w:t>
            </w:r>
            <w:r w:rsidRPr="007A3600">
              <w:t>nsights</w:t>
            </w:r>
          </w:p>
        </w:tc>
        <w:tc>
          <w:tcPr>
            <w:tcW w:w="2381" w:type="dxa"/>
          </w:tcPr>
          <w:p w14:paraId="1DACD6D4" w14:textId="77777777" w:rsidR="002E3B6F" w:rsidRPr="007A3600" w:rsidRDefault="002E3B6F" w:rsidP="00AD3197">
            <w:pPr>
              <w:jc w:val="right"/>
            </w:pPr>
            <w:r w:rsidRPr="007A3600">
              <w:t>$324,500.00</w:t>
            </w:r>
          </w:p>
        </w:tc>
      </w:tr>
      <w:tr w:rsidR="00CD02F1" w:rsidRPr="007A3600" w14:paraId="3699EFBA" w14:textId="77777777" w:rsidTr="007049C5">
        <w:tc>
          <w:tcPr>
            <w:tcW w:w="3402" w:type="dxa"/>
          </w:tcPr>
          <w:p w14:paraId="25E304C6" w14:textId="77777777" w:rsidR="002E3B6F" w:rsidRPr="007A3600" w:rsidRDefault="002E3B6F" w:rsidP="00AD3197">
            <w:r w:rsidRPr="007A3600">
              <w:t>ORIMA Research</w:t>
            </w:r>
          </w:p>
        </w:tc>
        <w:tc>
          <w:tcPr>
            <w:tcW w:w="3402" w:type="dxa"/>
          </w:tcPr>
          <w:p w14:paraId="113AE517" w14:textId="671FDE8A" w:rsidR="002E3B6F" w:rsidRPr="007A3600" w:rsidRDefault="002E3B6F" w:rsidP="00AD3197">
            <w:r w:rsidRPr="007A3600">
              <w:t xml:space="preserve">Market </w:t>
            </w:r>
            <w:r w:rsidR="00FD1831" w:rsidRPr="007A3600">
              <w:t>r</w:t>
            </w:r>
            <w:r w:rsidRPr="007A3600">
              <w:t xml:space="preserve">esearch and </w:t>
            </w:r>
            <w:r w:rsidR="00FD1831" w:rsidRPr="007A3600">
              <w:t>s</w:t>
            </w:r>
            <w:r w:rsidRPr="007A3600">
              <w:t xml:space="preserve">tatistical </w:t>
            </w:r>
            <w:r w:rsidR="00FD1831" w:rsidRPr="007A3600">
              <w:t>s</w:t>
            </w:r>
            <w:r w:rsidRPr="007A3600">
              <w:t>ervices</w:t>
            </w:r>
          </w:p>
        </w:tc>
        <w:tc>
          <w:tcPr>
            <w:tcW w:w="2381" w:type="dxa"/>
          </w:tcPr>
          <w:p w14:paraId="1B736FEF" w14:textId="77777777" w:rsidR="002E3B6F" w:rsidRPr="007A3600" w:rsidRDefault="002E3B6F" w:rsidP="00AD3197">
            <w:pPr>
              <w:jc w:val="right"/>
            </w:pPr>
            <w:r w:rsidRPr="007A3600">
              <w:t>$75,223.10</w:t>
            </w:r>
          </w:p>
        </w:tc>
      </w:tr>
      <w:tr w:rsidR="0026718D" w:rsidRPr="007A3600" w14:paraId="527F51DA" w14:textId="77777777" w:rsidTr="006210B6">
        <w:trPr>
          <w:cnfStyle w:val="000000100000" w:firstRow="0" w:lastRow="0" w:firstColumn="0" w:lastColumn="0" w:oddVBand="0" w:evenVBand="0" w:oddHBand="1" w:evenHBand="0" w:firstRowFirstColumn="0" w:firstRowLastColumn="0" w:lastRowFirstColumn="0" w:lastRowLastColumn="0"/>
        </w:trPr>
        <w:tc>
          <w:tcPr>
            <w:tcW w:w="3402" w:type="dxa"/>
          </w:tcPr>
          <w:p w14:paraId="4A8E8C7C" w14:textId="24B1EB63" w:rsidR="002E3B6F" w:rsidRPr="007A3600" w:rsidRDefault="0078641E" w:rsidP="00AD3197">
            <w:r w:rsidRPr="007A3600">
              <w:rPr>
                <w:color w:val="F7EEF7"/>
              </w:rPr>
              <w:t>blank</w:t>
            </w:r>
          </w:p>
        </w:tc>
        <w:tc>
          <w:tcPr>
            <w:tcW w:w="3402" w:type="dxa"/>
          </w:tcPr>
          <w:p w14:paraId="59B049B0" w14:textId="77777777" w:rsidR="002E3B6F" w:rsidRPr="007A3600" w:rsidRDefault="002E3B6F" w:rsidP="00AD3197">
            <w:pPr>
              <w:jc w:val="right"/>
              <w:rPr>
                <w:b/>
                <w:bCs/>
              </w:rPr>
            </w:pPr>
            <w:r w:rsidRPr="007A3600">
              <w:rPr>
                <w:b/>
                <w:bCs/>
              </w:rPr>
              <w:t>Total:</w:t>
            </w:r>
          </w:p>
        </w:tc>
        <w:tc>
          <w:tcPr>
            <w:tcW w:w="2381" w:type="dxa"/>
          </w:tcPr>
          <w:p w14:paraId="5B07BA34" w14:textId="77777777" w:rsidR="002E3B6F" w:rsidRPr="007A3600" w:rsidRDefault="002E3B6F" w:rsidP="00AD3197">
            <w:pPr>
              <w:jc w:val="right"/>
              <w:rPr>
                <w:b/>
                <w:bCs/>
              </w:rPr>
            </w:pPr>
            <w:r w:rsidRPr="007A3600">
              <w:rPr>
                <w:b/>
                <w:bCs/>
              </w:rPr>
              <w:t>$399,723.10</w:t>
            </w:r>
          </w:p>
        </w:tc>
      </w:tr>
    </w:tbl>
    <w:p w14:paraId="797406C9" w14:textId="358D49B6" w:rsidR="002E3B6F" w:rsidRPr="007A3600" w:rsidRDefault="002E3B6F" w:rsidP="00AD3197">
      <w:pPr>
        <w:pStyle w:val="Caption"/>
      </w:pPr>
      <w:r w:rsidRPr="007A3600">
        <w:t xml:space="preserve">Table </w:t>
      </w:r>
      <w:r w:rsidR="002F27F8" w:rsidRPr="007A3600">
        <w:t>21</w:t>
      </w:r>
      <w:r w:rsidRPr="007A3600">
        <w:t>: Payments to polling organisations in 2024–25</w:t>
      </w:r>
    </w:p>
    <w:tbl>
      <w:tblPr>
        <w:tblStyle w:val="NDISTable1"/>
        <w:tblpPr w:leftFromText="181" w:rightFromText="181" w:bottomFromText="142" w:vertAnchor="text" w:horzAnchor="margin" w:tblpY="1"/>
        <w:tblW w:w="9185" w:type="dxa"/>
        <w:tblLayout w:type="fixed"/>
        <w:tblLook w:val="0420" w:firstRow="1" w:lastRow="0" w:firstColumn="0" w:lastColumn="0" w:noHBand="0" w:noVBand="1"/>
      </w:tblPr>
      <w:tblGrid>
        <w:gridCol w:w="3402"/>
        <w:gridCol w:w="3402"/>
        <w:gridCol w:w="2381"/>
      </w:tblGrid>
      <w:tr w:rsidR="0026718D" w:rsidRPr="007A3600" w14:paraId="2650DA05" w14:textId="77777777" w:rsidTr="00416593">
        <w:trPr>
          <w:cnfStyle w:val="100000000000" w:firstRow="1" w:lastRow="0" w:firstColumn="0" w:lastColumn="0" w:oddVBand="0" w:evenVBand="0" w:oddHBand="0" w:evenHBand="0" w:firstRowFirstColumn="0" w:firstRowLastColumn="0" w:lastRowFirstColumn="0" w:lastRowLastColumn="0"/>
        </w:trPr>
        <w:tc>
          <w:tcPr>
            <w:tcW w:w="3402" w:type="dxa"/>
          </w:tcPr>
          <w:p w14:paraId="7335511E" w14:textId="77777777" w:rsidR="002E3B6F" w:rsidRPr="007A3600" w:rsidRDefault="002E3B6F" w:rsidP="00AD3197">
            <w:r w:rsidRPr="007A3600">
              <w:t>Organisation</w:t>
            </w:r>
          </w:p>
        </w:tc>
        <w:tc>
          <w:tcPr>
            <w:tcW w:w="3402" w:type="dxa"/>
          </w:tcPr>
          <w:p w14:paraId="5F75CEBA" w14:textId="77777777" w:rsidR="002E3B6F" w:rsidRPr="007A3600" w:rsidRDefault="002E3B6F" w:rsidP="00AD3197">
            <w:r w:rsidRPr="007A3600">
              <w:t>Service provided</w:t>
            </w:r>
          </w:p>
        </w:tc>
        <w:tc>
          <w:tcPr>
            <w:tcW w:w="2381" w:type="dxa"/>
          </w:tcPr>
          <w:p w14:paraId="4588A5E3" w14:textId="77777777" w:rsidR="002E3B6F" w:rsidRPr="007A3600" w:rsidRDefault="002E3B6F" w:rsidP="00AD3197">
            <w:r w:rsidRPr="007A3600">
              <w:t>Amount paid</w:t>
            </w:r>
            <w:r w:rsidRPr="007A3600">
              <w:br/>
              <w:t>$ (including GST)</w:t>
            </w:r>
          </w:p>
        </w:tc>
      </w:tr>
      <w:tr w:rsidR="0029157E" w:rsidRPr="007A3600" w14:paraId="004E3D26" w14:textId="77777777" w:rsidTr="00416593">
        <w:trPr>
          <w:cnfStyle w:val="000000100000" w:firstRow="0" w:lastRow="0" w:firstColumn="0" w:lastColumn="0" w:oddVBand="0" w:evenVBand="0" w:oddHBand="1" w:evenHBand="0" w:firstRowFirstColumn="0" w:firstRowLastColumn="0" w:lastRowFirstColumn="0" w:lastRowLastColumn="0"/>
        </w:trPr>
        <w:tc>
          <w:tcPr>
            <w:tcW w:w="3402" w:type="dxa"/>
          </w:tcPr>
          <w:p w14:paraId="06C8C285" w14:textId="77777777" w:rsidR="002E3B6F" w:rsidRPr="007A3600" w:rsidRDefault="002E3B6F" w:rsidP="00AD3197">
            <w:r w:rsidRPr="007A3600">
              <w:t>Nil</w:t>
            </w:r>
          </w:p>
        </w:tc>
        <w:tc>
          <w:tcPr>
            <w:tcW w:w="3402" w:type="dxa"/>
          </w:tcPr>
          <w:p w14:paraId="5EDB0D7B" w14:textId="1E9E7D48" w:rsidR="002E3B6F" w:rsidRPr="007A3600" w:rsidRDefault="0078641E" w:rsidP="00AD3197">
            <w:pPr>
              <w:jc w:val="right"/>
              <w:rPr>
                <w:b/>
                <w:bCs/>
                <w:color w:val="F7EEF7"/>
              </w:rPr>
            </w:pPr>
            <w:r w:rsidRPr="007A3600">
              <w:rPr>
                <w:color w:val="F7EEF7"/>
              </w:rPr>
              <w:t>blank</w:t>
            </w:r>
          </w:p>
        </w:tc>
        <w:tc>
          <w:tcPr>
            <w:tcW w:w="2381" w:type="dxa"/>
          </w:tcPr>
          <w:p w14:paraId="14A1051F" w14:textId="718016DC" w:rsidR="002E3B6F" w:rsidRPr="007A3600" w:rsidRDefault="0078641E" w:rsidP="00AD3197">
            <w:pPr>
              <w:jc w:val="right"/>
              <w:rPr>
                <w:b/>
                <w:bCs/>
                <w:color w:val="F7EEF7"/>
              </w:rPr>
            </w:pPr>
            <w:r w:rsidRPr="007A3600">
              <w:rPr>
                <w:color w:val="F7EEF7"/>
              </w:rPr>
              <w:t>blank</w:t>
            </w:r>
          </w:p>
        </w:tc>
      </w:tr>
    </w:tbl>
    <w:p w14:paraId="548C87D6" w14:textId="08519EFE" w:rsidR="002E3B6F" w:rsidRPr="007A3600" w:rsidRDefault="002E3B6F" w:rsidP="00AD3197">
      <w:pPr>
        <w:pStyle w:val="Caption"/>
      </w:pPr>
      <w:r w:rsidRPr="007A3600">
        <w:t xml:space="preserve">Table </w:t>
      </w:r>
      <w:r w:rsidR="002F27F8" w:rsidRPr="007A3600">
        <w:t>22</w:t>
      </w:r>
      <w:r w:rsidRPr="007A3600">
        <w:t>: Payments to direct mail organisations in 2024–25</w:t>
      </w:r>
    </w:p>
    <w:tbl>
      <w:tblPr>
        <w:tblStyle w:val="NDISTable1"/>
        <w:tblpPr w:leftFromText="181" w:rightFromText="181" w:bottomFromText="142" w:vertAnchor="text" w:horzAnchor="margin" w:tblpY="1"/>
        <w:tblW w:w="0" w:type="auto"/>
        <w:tblLayout w:type="fixed"/>
        <w:tblLook w:val="0420" w:firstRow="1" w:lastRow="0" w:firstColumn="0" w:lastColumn="0" w:noHBand="0" w:noVBand="1"/>
      </w:tblPr>
      <w:tblGrid>
        <w:gridCol w:w="3402"/>
        <w:gridCol w:w="3402"/>
        <w:gridCol w:w="2381"/>
      </w:tblGrid>
      <w:tr w:rsidR="0026718D" w:rsidRPr="007A3600" w14:paraId="5C1A80C1" w14:textId="77777777" w:rsidTr="006210B6">
        <w:trPr>
          <w:cnfStyle w:val="100000000000" w:firstRow="1" w:lastRow="0" w:firstColumn="0" w:lastColumn="0" w:oddVBand="0" w:evenVBand="0" w:oddHBand="0" w:evenHBand="0" w:firstRowFirstColumn="0" w:firstRowLastColumn="0" w:lastRowFirstColumn="0" w:lastRowLastColumn="0"/>
        </w:trPr>
        <w:tc>
          <w:tcPr>
            <w:tcW w:w="3402" w:type="dxa"/>
          </w:tcPr>
          <w:p w14:paraId="2E43FCF4" w14:textId="77777777" w:rsidR="002E3B6F" w:rsidRPr="007A3600" w:rsidRDefault="002E3B6F" w:rsidP="00AD3197">
            <w:r w:rsidRPr="007A3600">
              <w:t>Organisation</w:t>
            </w:r>
          </w:p>
        </w:tc>
        <w:tc>
          <w:tcPr>
            <w:tcW w:w="3402" w:type="dxa"/>
          </w:tcPr>
          <w:p w14:paraId="014BE733" w14:textId="77777777" w:rsidR="002E3B6F" w:rsidRPr="007A3600" w:rsidRDefault="002E3B6F" w:rsidP="00AD3197">
            <w:r w:rsidRPr="007A3600">
              <w:t>Service provided</w:t>
            </w:r>
          </w:p>
        </w:tc>
        <w:tc>
          <w:tcPr>
            <w:tcW w:w="2381" w:type="dxa"/>
          </w:tcPr>
          <w:p w14:paraId="57F138BD" w14:textId="77777777" w:rsidR="002E3B6F" w:rsidRPr="007A3600" w:rsidRDefault="002E3B6F" w:rsidP="00AD3197">
            <w:r w:rsidRPr="007A3600">
              <w:t>Amount paid</w:t>
            </w:r>
            <w:r w:rsidRPr="007A3600">
              <w:br/>
              <w:t>$ (including GST)</w:t>
            </w:r>
          </w:p>
        </w:tc>
      </w:tr>
      <w:tr w:rsidR="0029157E" w:rsidRPr="007A3600" w14:paraId="7A7BD9C5" w14:textId="77777777" w:rsidTr="00416593">
        <w:trPr>
          <w:cnfStyle w:val="000000100000" w:firstRow="0" w:lastRow="0" w:firstColumn="0" w:lastColumn="0" w:oddVBand="0" w:evenVBand="0" w:oddHBand="1" w:evenHBand="0" w:firstRowFirstColumn="0" w:firstRowLastColumn="0" w:lastRowFirstColumn="0" w:lastRowLastColumn="0"/>
        </w:trPr>
        <w:tc>
          <w:tcPr>
            <w:tcW w:w="3402" w:type="dxa"/>
          </w:tcPr>
          <w:p w14:paraId="7FCA4619" w14:textId="77777777" w:rsidR="002E3B6F" w:rsidRPr="007A3600" w:rsidRDefault="002E3B6F" w:rsidP="00AD3197">
            <w:r w:rsidRPr="007A3600">
              <w:t>National Mailing &amp; Marketing Pty Ltd</w:t>
            </w:r>
          </w:p>
        </w:tc>
        <w:tc>
          <w:tcPr>
            <w:tcW w:w="3402" w:type="dxa"/>
          </w:tcPr>
          <w:p w14:paraId="0DF0330F" w14:textId="77777777" w:rsidR="002E3B6F" w:rsidRPr="007A3600" w:rsidRDefault="002E3B6F" w:rsidP="00AD3197">
            <w:r w:rsidRPr="007A3600">
              <w:t>Mail and booklets distribution</w:t>
            </w:r>
          </w:p>
        </w:tc>
        <w:tc>
          <w:tcPr>
            <w:tcW w:w="2381" w:type="dxa"/>
          </w:tcPr>
          <w:p w14:paraId="52E3713C" w14:textId="77777777" w:rsidR="002E3B6F" w:rsidRPr="007A3600" w:rsidRDefault="002E3B6F" w:rsidP="00AD3197">
            <w:pPr>
              <w:jc w:val="right"/>
            </w:pPr>
            <w:r w:rsidRPr="007A3600">
              <w:t>$94,041.58</w:t>
            </w:r>
          </w:p>
        </w:tc>
      </w:tr>
      <w:tr w:rsidR="00416593" w:rsidRPr="007A3600" w14:paraId="5386DA07" w14:textId="77777777" w:rsidTr="007049C5">
        <w:tc>
          <w:tcPr>
            <w:tcW w:w="3402" w:type="dxa"/>
          </w:tcPr>
          <w:p w14:paraId="7C5E45A3" w14:textId="688C7112" w:rsidR="002E3B6F" w:rsidRPr="007A3600" w:rsidRDefault="000D4B96" w:rsidP="00AD3197">
            <w:r w:rsidRPr="007A3600">
              <w:rPr>
                <w:color w:val="FFFFFF"/>
              </w:rPr>
              <w:t>blank</w:t>
            </w:r>
          </w:p>
        </w:tc>
        <w:tc>
          <w:tcPr>
            <w:tcW w:w="3402" w:type="dxa"/>
          </w:tcPr>
          <w:p w14:paraId="47A26DC8" w14:textId="77777777" w:rsidR="002E3B6F" w:rsidRPr="007A3600" w:rsidRDefault="002E3B6F" w:rsidP="00AD3197">
            <w:pPr>
              <w:jc w:val="right"/>
              <w:rPr>
                <w:b/>
                <w:bCs/>
              </w:rPr>
            </w:pPr>
            <w:r w:rsidRPr="007A3600">
              <w:rPr>
                <w:b/>
                <w:bCs/>
              </w:rPr>
              <w:t>Total:</w:t>
            </w:r>
          </w:p>
        </w:tc>
        <w:tc>
          <w:tcPr>
            <w:tcW w:w="2381" w:type="dxa"/>
          </w:tcPr>
          <w:p w14:paraId="3D5A7D54" w14:textId="77777777" w:rsidR="002E3B6F" w:rsidRPr="007A3600" w:rsidRDefault="002E3B6F" w:rsidP="00AD3197">
            <w:pPr>
              <w:jc w:val="right"/>
              <w:rPr>
                <w:b/>
                <w:bCs/>
              </w:rPr>
            </w:pPr>
            <w:r w:rsidRPr="007A3600">
              <w:rPr>
                <w:b/>
                <w:bCs/>
              </w:rPr>
              <w:t>$94,041.58</w:t>
            </w:r>
          </w:p>
        </w:tc>
      </w:tr>
    </w:tbl>
    <w:p w14:paraId="77672890" w14:textId="3E4D3AFC" w:rsidR="002E3B6F" w:rsidRPr="007A3600" w:rsidRDefault="002E3B6F" w:rsidP="00AD3197">
      <w:pPr>
        <w:pStyle w:val="Caption"/>
      </w:pPr>
      <w:r w:rsidRPr="007A3600">
        <w:t xml:space="preserve">Table </w:t>
      </w:r>
      <w:r w:rsidR="002F27F8" w:rsidRPr="007A3600">
        <w:t>23</w:t>
      </w:r>
      <w:r w:rsidRPr="007A3600">
        <w:t>: Payments to media advertising organisations in 2024–25</w:t>
      </w:r>
    </w:p>
    <w:tbl>
      <w:tblPr>
        <w:tblStyle w:val="NDISTable1"/>
        <w:tblpPr w:leftFromText="181" w:rightFromText="181" w:bottomFromText="142" w:vertAnchor="text" w:horzAnchor="margin" w:tblpY="1"/>
        <w:tblW w:w="0" w:type="auto"/>
        <w:tblLayout w:type="fixed"/>
        <w:tblLook w:val="0420" w:firstRow="1" w:lastRow="0" w:firstColumn="0" w:lastColumn="0" w:noHBand="0" w:noVBand="1"/>
      </w:tblPr>
      <w:tblGrid>
        <w:gridCol w:w="3402"/>
        <w:gridCol w:w="3402"/>
        <w:gridCol w:w="2381"/>
      </w:tblGrid>
      <w:tr w:rsidR="00B407C5" w:rsidRPr="007A3600" w14:paraId="77D13030" w14:textId="77777777" w:rsidTr="007049C5">
        <w:trPr>
          <w:cnfStyle w:val="100000000000" w:firstRow="1" w:lastRow="0" w:firstColumn="0" w:lastColumn="0" w:oddVBand="0" w:evenVBand="0" w:oddHBand="0" w:evenHBand="0" w:firstRowFirstColumn="0" w:firstRowLastColumn="0" w:lastRowFirstColumn="0" w:lastRowLastColumn="0"/>
        </w:trPr>
        <w:tc>
          <w:tcPr>
            <w:tcW w:w="3402" w:type="dxa"/>
          </w:tcPr>
          <w:p w14:paraId="4B8C1D57" w14:textId="77777777" w:rsidR="002E3B6F" w:rsidRPr="007A3600" w:rsidRDefault="002E3B6F" w:rsidP="00AD3197">
            <w:r w:rsidRPr="007A3600">
              <w:t>Organisation</w:t>
            </w:r>
          </w:p>
        </w:tc>
        <w:tc>
          <w:tcPr>
            <w:tcW w:w="3402" w:type="dxa"/>
          </w:tcPr>
          <w:p w14:paraId="594E645A" w14:textId="77777777" w:rsidR="002E3B6F" w:rsidRPr="007A3600" w:rsidRDefault="002E3B6F" w:rsidP="00AD3197">
            <w:r w:rsidRPr="007A3600">
              <w:t>Service provided</w:t>
            </w:r>
          </w:p>
        </w:tc>
        <w:tc>
          <w:tcPr>
            <w:tcW w:w="2381" w:type="dxa"/>
          </w:tcPr>
          <w:p w14:paraId="2F6CB10E" w14:textId="77777777" w:rsidR="002E3B6F" w:rsidRPr="007A3600" w:rsidRDefault="002E3B6F" w:rsidP="00AD3197">
            <w:r w:rsidRPr="007A3600">
              <w:t>Amount paid</w:t>
            </w:r>
            <w:r w:rsidRPr="007A3600">
              <w:br/>
              <w:t>$ (including GST)</w:t>
            </w:r>
          </w:p>
        </w:tc>
      </w:tr>
      <w:tr w:rsidR="00B407C5" w:rsidRPr="007A3600" w14:paraId="5F112EB2" w14:textId="77777777" w:rsidTr="007049C5">
        <w:trPr>
          <w:cnfStyle w:val="000000100000" w:firstRow="0" w:lastRow="0" w:firstColumn="0" w:lastColumn="0" w:oddVBand="0" w:evenVBand="0" w:oddHBand="1" w:evenHBand="0" w:firstRowFirstColumn="0" w:firstRowLastColumn="0" w:lastRowFirstColumn="0" w:lastRowLastColumn="0"/>
        </w:trPr>
        <w:tc>
          <w:tcPr>
            <w:tcW w:w="3402" w:type="dxa"/>
          </w:tcPr>
          <w:p w14:paraId="2F3293EE" w14:textId="77777777" w:rsidR="002E3B6F" w:rsidRPr="007A3600" w:rsidRDefault="002E3B6F" w:rsidP="00AD3197">
            <w:r w:rsidRPr="007A3600">
              <w:t>Indigenous Media NT Pty Ltd</w:t>
            </w:r>
          </w:p>
        </w:tc>
        <w:tc>
          <w:tcPr>
            <w:tcW w:w="3402" w:type="dxa"/>
          </w:tcPr>
          <w:p w14:paraId="4261D9EB" w14:textId="0BDC9745" w:rsidR="002E3B6F" w:rsidRPr="007A3600" w:rsidRDefault="002E3B6F" w:rsidP="00AD3197">
            <w:r w:rsidRPr="007A3600">
              <w:t xml:space="preserve">Communication </w:t>
            </w:r>
            <w:r w:rsidR="00FD1831" w:rsidRPr="007A3600">
              <w:t>p</w:t>
            </w:r>
            <w:r w:rsidRPr="007A3600">
              <w:t>roducts</w:t>
            </w:r>
          </w:p>
        </w:tc>
        <w:tc>
          <w:tcPr>
            <w:tcW w:w="2381" w:type="dxa"/>
          </w:tcPr>
          <w:p w14:paraId="3EF1D8A6" w14:textId="77777777" w:rsidR="002E3B6F" w:rsidRPr="007A3600" w:rsidRDefault="002E3B6F" w:rsidP="00AD3197">
            <w:pPr>
              <w:jc w:val="right"/>
            </w:pPr>
            <w:r w:rsidRPr="007A3600">
              <w:t>$83,127.00</w:t>
            </w:r>
          </w:p>
        </w:tc>
      </w:tr>
      <w:tr w:rsidR="002E3B6F" w:rsidRPr="007A3600" w14:paraId="46C46F15" w14:textId="77777777" w:rsidTr="007049C5">
        <w:tc>
          <w:tcPr>
            <w:tcW w:w="3402" w:type="dxa"/>
          </w:tcPr>
          <w:p w14:paraId="31394D10" w14:textId="77777777" w:rsidR="002E3B6F" w:rsidRPr="007A3600" w:rsidRDefault="002E3B6F" w:rsidP="00AD3197">
            <w:r w:rsidRPr="007A3600">
              <w:t>Meta Platforms Inc</w:t>
            </w:r>
          </w:p>
        </w:tc>
        <w:tc>
          <w:tcPr>
            <w:tcW w:w="3402" w:type="dxa"/>
          </w:tcPr>
          <w:p w14:paraId="7E4E35F3" w14:textId="77777777" w:rsidR="002E3B6F" w:rsidRPr="007A3600" w:rsidRDefault="002E3B6F" w:rsidP="00AD3197">
            <w:r w:rsidRPr="007A3600">
              <w:t>Social media advertising platform</w:t>
            </w:r>
          </w:p>
        </w:tc>
        <w:tc>
          <w:tcPr>
            <w:tcW w:w="2381" w:type="dxa"/>
          </w:tcPr>
          <w:p w14:paraId="1978B500" w14:textId="77777777" w:rsidR="002E3B6F" w:rsidRPr="007A3600" w:rsidRDefault="002E3B6F" w:rsidP="00AD3197">
            <w:pPr>
              <w:jc w:val="right"/>
            </w:pPr>
            <w:r w:rsidRPr="007A3600">
              <w:t>$26,751.02</w:t>
            </w:r>
          </w:p>
        </w:tc>
      </w:tr>
      <w:tr w:rsidR="00B407C5" w:rsidRPr="007A3600" w14:paraId="509AC99A" w14:textId="77777777" w:rsidTr="007049C5">
        <w:trPr>
          <w:cnfStyle w:val="000000100000" w:firstRow="0" w:lastRow="0" w:firstColumn="0" w:lastColumn="0" w:oddVBand="0" w:evenVBand="0" w:oddHBand="1" w:evenHBand="0" w:firstRowFirstColumn="0" w:firstRowLastColumn="0" w:lastRowFirstColumn="0" w:lastRowLastColumn="0"/>
        </w:trPr>
        <w:tc>
          <w:tcPr>
            <w:tcW w:w="3402" w:type="dxa"/>
          </w:tcPr>
          <w:p w14:paraId="78E6474D" w14:textId="77777777" w:rsidR="002E3B6F" w:rsidRPr="007A3600" w:rsidRDefault="002E3B6F" w:rsidP="00AD3197">
            <w:r w:rsidRPr="007A3600">
              <w:t>Tonic Health Media Limited</w:t>
            </w:r>
          </w:p>
        </w:tc>
        <w:tc>
          <w:tcPr>
            <w:tcW w:w="3402" w:type="dxa"/>
          </w:tcPr>
          <w:p w14:paraId="354A4A89" w14:textId="77777777" w:rsidR="002E3B6F" w:rsidRPr="007A3600" w:rsidRDefault="002E3B6F" w:rsidP="00AD3197">
            <w:r w:rsidRPr="007A3600">
              <w:t>Advertising service</w:t>
            </w:r>
          </w:p>
        </w:tc>
        <w:tc>
          <w:tcPr>
            <w:tcW w:w="2381" w:type="dxa"/>
          </w:tcPr>
          <w:p w14:paraId="7E1A4375" w14:textId="77777777" w:rsidR="002E3B6F" w:rsidRPr="007A3600" w:rsidRDefault="002E3B6F" w:rsidP="00AD3197">
            <w:pPr>
              <w:jc w:val="right"/>
            </w:pPr>
            <w:r w:rsidRPr="007A3600">
              <w:t>$58,168.00</w:t>
            </w:r>
          </w:p>
        </w:tc>
      </w:tr>
      <w:tr w:rsidR="002E3B6F" w:rsidRPr="007A3600" w14:paraId="648E969D" w14:textId="77777777" w:rsidTr="007049C5">
        <w:tc>
          <w:tcPr>
            <w:tcW w:w="3402" w:type="dxa"/>
          </w:tcPr>
          <w:p w14:paraId="5D34FA93" w14:textId="2D189E6C" w:rsidR="002E3B6F" w:rsidRPr="007A3600" w:rsidRDefault="00F64151" w:rsidP="00AD3197">
            <w:pPr>
              <w:rPr>
                <w:color w:val="FFFFFF"/>
              </w:rPr>
            </w:pPr>
            <w:r w:rsidRPr="007A3600">
              <w:rPr>
                <w:color w:val="FFFFFF"/>
              </w:rPr>
              <w:t>blank</w:t>
            </w:r>
          </w:p>
        </w:tc>
        <w:tc>
          <w:tcPr>
            <w:tcW w:w="3402" w:type="dxa"/>
          </w:tcPr>
          <w:p w14:paraId="547DCD3E" w14:textId="77777777" w:rsidR="002E3B6F" w:rsidRPr="007A3600" w:rsidRDefault="002E3B6F" w:rsidP="00AD3197">
            <w:pPr>
              <w:jc w:val="right"/>
              <w:rPr>
                <w:b/>
                <w:bCs/>
              </w:rPr>
            </w:pPr>
            <w:r w:rsidRPr="007A3600">
              <w:rPr>
                <w:b/>
                <w:bCs/>
              </w:rPr>
              <w:t>Total:</w:t>
            </w:r>
          </w:p>
        </w:tc>
        <w:tc>
          <w:tcPr>
            <w:tcW w:w="2381" w:type="dxa"/>
          </w:tcPr>
          <w:p w14:paraId="79379651" w14:textId="77777777" w:rsidR="002E3B6F" w:rsidRPr="007A3600" w:rsidRDefault="002E3B6F" w:rsidP="00AD3197">
            <w:pPr>
              <w:jc w:val="right"/>
              <w:rPr>
                <w:b/>
                <w:bCs/>
              </w:rPr>
            </w:pPr>
            <w:r w:rsidRPr="007A3600">
              <w:rPr>
                <w:b/>
                <w:bCs/>
              </w:rPr>
              <w:t>$168,046.02</w:t>
            </w:r>
          </w:p>
        </w:tc>
      </w:tr>
    </w:tbl>
    <w:p w14:paraId="23419891" w14:textId="2A5FF237" w:rsidR="001B0DE9" w:rsidRPr="007A3600" w:rsidRDefault="00924091" w:rsidP="00AD3197">
      <w:pPr>
        <w:pStyle w:val="Heading3"/>
      </w:pPr>
      <w:bookmarkStart w:id="286" w:name="_8.5_Climate_statement"/>
      <w:bookmarkStart w:id="287" w:name="_8.8_Climate_statement"/>
      <w:bookmarkStart w:id="288" w:name="_Toc209695874"/>
      <w:bookmarkEnd w:id="286"/>
      <w:bookmarkEnd w:id="287"/>
      <w:r w:rsidRPr="007A3600">
        <w:lastRenderedPageBreak/>
        <w:t>8</w:t>
      </w:r>
      <w:r w:rsidR="00F82FF8" w:rsidRPr="007A3600">
        <w:t>.</w:t>
      </w:r>
      <w:r w:rsidR="00F830CE" w:rsidRPr="007A3600">
        <w:t>8</w:t>
      </w:r>
      <w:r w:rsidR="00F82FF8" w:rsidRPr="007A3600">
        <w:tab/>
      </w:r>
      <w:r w:rsidR="00037178" w:rsidRPr="007A3600">
        <w:t>Climate statement</w:t>
      </w:r>
      <w:bookmarkEnd w:id="285"/>
      <w:bookmarkEnd w:id="288"/>
    </w:p>
    <w:p w14:paraId="69F70E9B" w14:textId="2934A63B" w:rsidR="00A64DC2" w:rsidRPr="007A3600" w:rsidRDefault="00A64DC2" w:rsidP="00AD3197">
      <w:pPr>
        <w:pStyle w:val="Heading4"/>
      </w:pPr>
      <w:bookmarkStart w:id="289" w:name="_Toc207017764"/>
      <w:r w:rsidRPr="007A3600">
        <w:t>Commonwealth climate disclosure</w:t>
      </w:r>
      <w:bookmarkEnd w:id="289"/>
    </w:p>
    <w:p w14:paraId="45F82F9E" w14:textId="03E71B98" w:rsidR="00A64DC2" w:rsidRPr="007A3600" w:rsidRDefault="000734D5" w:rsidP="00AD3197">
      <w:r w:rsidRPr="007A3600">
        <w:t xml:space="preserve">The </w:t>
      </w:r>
      <w:r w:rsidR="00A64DC2" w:rsidRPr="007A3600">
        <w:t xml:space="preserve">Commonwealth Climate Disclosure Policy is the </w:t>
      </w:r>
      <w:r w:rsidR="004C1E83" w:rsidRPr="007A3600">
        <w:t xml:space="preserve">Australian </w:t>
      </w:r>
      <w:r w:rsidR="00A64DC2" w:rsidRPr="007A3600">
        <w:t xml:space="preserve">Government’s policy for </w:t>
      </w:r>
      <w:r w:rsidR="00640010" w:rsidRPr="007A3600">
        <w:t>C</w:t>
      </w:r>
      <w:r w:rsidR="00A64DC2" w:rsidRPr="007A3600">
        <w:t>ommonwealth entities to publicly disclose their exposure to climate risks and opportunities, as well as their actions to manage them, delivering transparent and consistent climate disclosures to the Australian public. </w:t>
      </w:r>
    </w:p>
    <w:p w14:paraId="5D479C09" w14:textId="0FB24187" w:rsidR="00A64DC2" w:rsidRPr="007A3600" w:rsidRDefault="00A64DC2" w:rsidP="00AD3197">
      <w:r w:rsidRPr="007A3600">
        <w:t xml:space="preserve">Under the policy, Corporate Commonwealth Entities (CCEs) are required to complete climate disclosures. The NDIA meets the thresholds of Tranche 1 in the </w:t>
      </w:r>
      <w:r w:rsidR="00BA04A4" w:rsidRPr="007A3600">
        <w:t>p</w:t>
      </w:r>
      <w:r w:rsidRPr="007A3600">
        <w:t>olicy and is required to include climate-related disclosures in our Annual Report 2024</w:t>
      </w:r>
      <w:r w:rsidR="00CE1302" w:rsidRPr="007A3600">
        <w:t>–</w:t>
      </w:r>
      <w:r w:rsidRPr="007A3600">
        <w:t xml:space="preserve">25 onwards. This disclosure </w:t>
      </w:r>
      <w:r w:rsidR="00BA04A4" w:rsidRPr="007A3600">
        <w:t xml:space="preserve">reflects the requirements in </w:t>
      </w:r>
      <w:hyperlink r:id="rId167" w:history="1">
        <w:r w:rsidRPr="007A3600">
          <w:rPr>
            <w:rStyle w:val="Hyperlink"/>
          </w:rPr>
          <w:t>Year 1 Commonwealth Climate Disclosure Requirements</w:t>
        </w:r>
      </w:hyperlink>
      <w:r w:rsidR="00640010" w:rsidRPr="007A3600">
        <w:t>.</w:t>
      </w:r>
    </w:p>
    <w:p w14:paraId="1F39E4BB" w14:textId="563C4C72" w:rsidR="00A64DC2" w:rsidRPr="007A3600" w:rsidRDefault="00A64DC2" w:rsidP="00AD3197">
      <w:pPr>
        <w:pStyle w:val="Heading4"/>
      </w:pPr>
      <w:bookmarkStart w:id="290" w:name="_Toc207017765"/>
      <w:r w:rsidRPr="007A3600">
        <w:t>Climate governance</w:t>
      </w:r>
      <w:bookmarkEnd w:id="290"/>
    </w:p>
    <w:p w14:paraId="679E2023" w14:textId="02B7DE8B" w:rsidR="00037178" w:rsidRPr="007A3600" w:rsidRDefault="00A64DC2" w:rsidP="00AD3197">
      <w:r w:rsidRPr="007A3600">
        <w:t xml:space="preserve">The NDIA is working to embed climate risk and opportunity management within our existing governance and risk management practices. The roles and responsibilities delegated under section 12 of the </w:t>
      </w:r>
      <w:r w:rsidR="000734D5" w:rsidRPr="007A3600">
        <w:rPr>
          <w:i/>
          <w:iCs/>
        </w:rPr>
        <w:t>Public Governance, Performance and Accountability Act 2013</w:t>
      </w:r>
      <w:r w:rsidR="000734D5" w:rsidRPr="007A3600">
        <w:t xml:space="preserve"> (Cth) (</w:t>
      </w:r>
      <w:r w:rsidRPr="007A3600">
        <w:t>PGPA Act</w:t>
      </w:r>
      <w:r w:rsidR="000734D5" w:rsidRPr="007A3600">
        <w:t>)</w:t>
      </w:r>
      <w:r w:rsidRPr="007A3600">
        <w:t xml:space="preserve"> from the accountable authority to the executive and operational level are detailed in </w:t>
      </w:r>
      <w:r w:rsidR="00887E22" w:rsidRPr="007A3600">
        <w:t>f</w:t>
      </w:r>
      <w:r w:rsidRPr="007A3600">
        <w:t xml:space="preserve">igure </w:t>
      </w:r>
      <w:r w:rsidR="006F51CE" w:rsidRPr="007A3600">
        <w:t>4</w:t>
      </w:r>
      <w:r w:rsidRPr="007A3600">
        <w:t>.</w:t>
      </w:r>
    </w:p>
    <w:p w14:paraId="3222C26D" w14:textId="4D19721D" w:rsidR="00CE7BFB" w:rsidRPr="007A3600" w:rsidRDefault="00CE7BFB" w:rsidP="00AD3197">
      <w:pPr>
        <w:pStyle w:val="Caption"/>
      </w:pPr>
      <w:r w:rsidRPr="007A3600">
        <w:t xml:space="preserve">Figure </w:t>
      </w:r>
      <w:r w:rsidR="006F51CE" w:rsidRPr="007A3600">
        <w:t>4</w:t>
      </w:r>
      <w:r w:rsidR="000734D5" w:rsidRPr="007A3600">
        <w:t>:</w:t>
      </w:r>
      <w:r w:rsidRPr="007A3600">
        <w:t xml:space="preserve"> Climate governance structure</w:t>
      </w:r>
    </w:p>
    <w:p w14:paraId="1C795275" w14:textId="267B104F" w:rsidR="00207829" w:rsidRPr="007A3600" w:rsidRDefault="003F22C2" w:rsidP="00AD3197">
      <w:pPr>
        <w:jc w:val="center"/>
      </w:pPr>
      <w:r w:rsidRPr="007A3600">
        <w:rPr>
          <w:noProof/>
        </w:rPr>
        <w:drawing>
          <wp:inline distT="0" distB="0" distL="0" distR="0" wp14:anchorId="32AB6A83" wp14:editId="3B739E6B">
            <wp:extent cx="4250267" cy="3986266"/>
            <wp:effectExtent l="0" t="0" r="0" b="0"/>
            <wp:docPr id="43196809" name="Picture 2" descr="The climate governance structure which includes two groups.&#10;The first group includes the Board (accountable authority) on the top level with the Chief Executive Officer, Strategic Leadership Team and Audit and Risk Committee on the lower level.. The Board has lines to connect it to the Chief Executive Officer and Audit and Risk Committee. The Strategic Leadership Team has a line to connect to the Chief Executive Officer.&#10;The second group includes the Chief Corporate and Commercial Officer and Senior Executive Staff on the top level with all staff on the bottom level. The Chief Corporate and Commercial Officer and Senior Executive Staff have line to connect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96809" name="Picture 2" descr="The climate governance structure which includes two groups.&#10;The first group includes the Board (accountable authority) on the top level with the Chief Executive Officer, Strategic Leadership Team and Audit and Risk Committee on the lower level.. The Board has lines to connect it to the Chief Executive Officer and Audit and Risk Committee. The Strategic Leadership Team has a line to connect to the Chief Executive Officer.&#10;The second group includes the Chief Corporate and Commercial Officer and Senior Executive Staff on the top level with all staff on the bottom level. The Chief Corporate and Commercial Officer and Senior Executive Staff have line to connect them."/>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4259822" cy="3995228"/>
                    </a:xfrm>
                    <a:prstGeom prst="rect">
                      <a:avLst/>
                    </a:prstGeom>
                    <a:noFill/>
                  </pic:spPr>
                </pic:pic>
              </a:graphicData>
            </a:graphic>
          </wp:inline>
        </w:drawing>
      </w:r>
    </w:p>
    <w:p w14:paraId="4DDED32A" w14:textId="1879A302" w:rsidR="0040373E" w:rsidRPr="007A3600" w:rsidRDefault="0040373E" w:rsidP="00AD3197">
      <w:r w:rsidRPr="007A3600">
        <w:rPr>
          <w:b/>
          <w:bCs/>
        </w:rPr>
        <w:lastRenderedPageBreak/>
        <w:t xml:space="preserve">Board: </w:t>
      </w:r>
      <w:r w:rsidR="00640010" w:rsidRPr="007A3600">
        <w:t>I</w:t>
      </w:r>
      <w:r w:rsidRPr="007A3600">
        <w:t>nformed of climate</w:t>
      </w:r>
      <w:r w:rsidR="00640010" w:rsidRPr="007A3600">
        <w:t>-</w:t>
      </w:r>
      <w:r w:rsidRPr="007A3600">
        <w:t xml:space="preserve">related risks through Audit and Risk </w:t>
      </w:r>
      <w:r w:rsidR="00640010" w:rsidRPr="007A3600">
        <w:t>C</w:t>
      </w:r>
      <w:r w:rsidRPr="007A3600">
        <w:t>ommittee meetings and as needed for urgent risks.</w:t>
      </w:r>
    </w:p>
    <w:p w14:paraId="52750956" w14:textId="77777777" w:rsidR="00BA04A4" w:rsidRPr="007A3600" w:rsidRDefault="00BA04A4" w:rsidP="00AD3197">
      <w:r w:rsidRPr="007A3600">
        <w:rPr>
          <w:b/>
          <w:bCs/>
        </w:rPr>
        <w:t>Executive levels:</w:t>
      </w:r>
      <w:r w:rsidRPr="007A3600">
        <w:t xml:space="preserve"> Responsible for oversight and management of risk and implementing an effective risk management approach and culture.</w:t>
      </w:r>
    </w:p>
    <w:p w14:paraId="7857DE3A" w14:textId="08FC4F6D" w:rsidR="0040373E" w:rsidRPr="007A3600" w:rsidRDefault="0040373E" w:rsidP="00AD3197">
      <w:r w:rsidRPr="007A3600">
        <w:rPr>
          <w:b/>
          <w:bCs/>
        </w:rPr>
        <w:t>Management levels:</w:t>
      </w:r>
      <w:r w:rsidRPr="007A3600">
        <w:t xml:space="preserve"> </w:t>
      </w:r>
      <w:r w:rsidR="00640010" w:rsidRPr="007A3600">
        <w:t>R</w:t>
      </w:r>
      <w:r w:rsidRPr="007A3600">
        <w:t>esponsible for embedding and implementing climate</w:t>
      </w:r>
      <w:r w:rsidR="00640010" w:rsidRPr="007A3600">
        <w:t>-</w:t>
      </w:r>
      <w:r w:rsidRPr="007A3600">
        <w:t>related risk management approaches and practices throughout NDIA.</w:t>
      </w:r>
    </w:p>
    <w:p w14:paraId="2667C320" w14:textId="322E812E" w:rsidR="003F09D9" w:rsidRPr="007A3600" w:rsidRDefault="0040373E" w:rsidP="00AD3197">
      <w:r w:rsidRPr="007A3600">
        <w:rPr>
          <w:b/>
          <w:bCs/>
        </w:rPr>
        <w:t>All staff:</w:t>
      </w:r>
      <w:r w:rsidRPr="007A3600">
        <w:t xml:space="preserve"> </w:t>
      </w:r>
      <w:r w:rsidR="00640010" w:rsidRPr="007A3600">
        <w:t>R</w:t>
      </w:r>
      <w:r w:rsidRPr="007A3600">
        <w:t>esponsible for identifying, assessing, controlling, monitoring and reporting risks within their area of influence.</w:t>
      </w:r>
    </w:p>
    <w:p w14:paraId="7D4B2963" w14:textId="624D8D0D" w:rsidR="00924748" w:rsidRPr="007A3600" w:rsidRDefault="00924748" w:rsidP="00AD3197">
      <w:pPr>
        <w:pStyle w:val="Heading4"/>
        <w:rPr>
          <w:bCs/>
        </w:rPr>
      </w:pPr>
      <w:bookmarkStart w:id="291" w:name="_Toc207017766"/>
      <w:r w:rsidRPr="007A3600">
        <w:rPr>
          <w:bCs/>
        </w:rPr>
        <w:t>Climate skills and competencies</w:t>
      </w:r>
      <w:bookmarkEnd w:id="291"/>
    </w:p>
    <w:p w14:paraId="6421BC8C" w14:textId="65338263" w:rsidR="00924748" w:rsidRPr="007A3600" w:rsidRDefault="00924748" w:rsidP="00AD3197">
      <w:r w:rsidRPr="007A3600">
        <w:t>The NDIA will continue to identify ways in which we can embed climate considerations in our business-as-usual activities to ensure climate considerations are a routine part of our business decision</w:t>
      </w:r>
      <w:r w:rsidR="00B70AC1" w:rsidRPr="007A3600">
        <w:t>-</w:t>
      </w:r>
      <w:r w:rsidRPr="007A3600">
        <w:t xml:space="preserve">making. </w:t>
      </w:r>
      <w:r w:rsidR="00D3087C" w:rsidRPr="007A3600">
        <w:t xml:space="preserve">The NDIA’s pathway to reducing emissions is outlined in the NDIA Climate Approach. </w:t>
      </w:r>
      <w:r w:rsidRPr="007A3600">
        <w:t xml:space="preserve">We will promote the NDIA Climate Approach and encourage staff to complete readily available APS Academy training. Ongoing progress towards addressing knowledge gaps will be monitored through the APS Learn reporting system and regularly reported to the Chief Corporate and Commercial Officer as part of climate reporting. </w:t>
      </w:r>
      <w:r w:rsidR="00DC2EA5" w:rsidRPr="007A3600">
        <w:t>W</w:t>
      </w:r>
      <w:r w:rsidRPr="007A3600">
        <w:t xml:space="preserve">e will </w:t>
      </w:r>
      <w:r w:rsidR="00DC2EA5" w:rsidRPr="007A3600">
        <w:t xml:space="preserve">also </w:t>
      </w:r>
      <w:r w:rsidRPr="007A3600">
        <w:t xml:space="preserve">continue to collaborate with and support other </w:t>
      </w:r>
      <w:r w:rsidR="00A868CC" w:rsidRPr="007A3600">
        <w:t xml:space="preserve">Australian Government </w:t>
      </w:r>
      <w:r w:rsidRPr="007A3600">
        <w:t>entities to share expertise and resources and build capability.</w:t>
      </w:r>
    </w:p>
    <w:p w14:paraId="0911D218" w14:textId="09FED318" w:rsidR="00005784" w:rsidRPr="007A3600" w:rsidRDefault="00005784" w:rsidP="00AD3197">
      <w:pPr>
        <w:pStyle w:val="Caption"/>
      </w:pPr>
      <w:r w:rsidRPr="007A3600">
        <w:t xml:space="preserve">Table </w:t>
      </w:r>
      <w:r w:rsidR="00BD6389" w:rsidRPr="007A3600">
        <w:t>24</w:t>
      </w:r>
      <w:r w:rsidRPr="007A3600">
        <w:t>: Climate capability upskilling plan</w:t>
      </w:r>
    </w:p>
    <w:tbl>
      <w:tblPr>
        <w:tblStyle w:val="NDISTable1"/>
        <w:tblW w:w="9185" w:type="dxa"/>
        <w:tblLayout w:type="fixed"/>
        <w:tblLook w:val="0420" w:firstRow="1" w:lastRow="0" w:firstColumn="0" w:lastColumn="0" w:noHBand="0" w:noVBand="1"/>
      </w:tblPr>
      <w:tblGrid>
        <w:gridCol w:w="4649"/>
        <w:gridCol w:w="2268"/>
        <w:gridCol w:w="2268"/>
      </w:tblGrid>
      <w:tr w:rsidR="00D504AD" w:rsidRPr="007A3600" w14:paraId="57C81A5E" w14:textId="77777777" w:rsidTr="0002060E">
        <w:trPr>
          <w:cnfStyle w:val="100000000000" w:firstRow="1" w:lastRow="0" w:firstColumn="0" w:lastColumn="0" w:oddVBand="0" w:evenVBand="0" w:oddHBand="0" w:evenHBand="0" w:firstRowFirstColumn="0" w:firstRowLastColumn="0" w:lastRowFirstColumn="0" w:lastRowLastColumn="0"/>
        </w:trPr>
        <w:tc>
          <w:tcPr>
            <w:tcW w:w="4649" w:type="dxa"/>
          </w:tcPr>
          <w:p w14:paraId="7B99128C" w14:textId="400FDFE1" w:rsidR="001F618F" w:rsidRPr="007A3600" w:rsidRDefault="001F618F" w:rsidP="00AD3197">
            <w:r w:rsidRPr="007A3600">
              <w:t>Training</w:t>
            </w:r>
          </w:p>
        </w:tc>
        <w:tc>
          <w:tcPr>
            <w:tcW w:w="2268" w:type="dxa"/>
          </w:tcPr>
          <w:p w14:paraId="3A697806" w14:textId="3C0C921B" w:rsidR="001F618F" w:rsidRPr="007A3600" w:rsidRDefault="001F618F" w:rsidP="00AD3197">
            <w:r w:rsidRPr="007A3600">
              <w:t>Who</w:t>
            </w:r>
          </w:p>
        </w:tc>
        <w:tc>
          <w:tcPr>
            <w:tcW w:w="2268" w:type="dxa"/>
          </w:tcPr>
          <w:p w14:paraId="7B2E5F0F" w14:textId="494DE7B4" w:rsidR="001F618F" w:rsidRPr="007A3600" w:rsidRDefault="001F618F" w:rsidP="00AD3197">
            <w:r w:rsidRPr="007A3600">
              <w:t>Requirement</w:t>
            </w:r>
          </w:p>
        </w:tc>
      </w:tr>
      <w:tr w:rsidR="00D504AD" w:rsidRPr="007A3600" w14:paraId="39A90161" w14:textId="77777777" w:rsidTr="0002060E">
        <w:trPr>
          <w:cnfStyle w:val="000000100000" w:firstRow="0" w:lastRow="0" w:firstColumn="0" w:lastColumn="0" w:oddVBand="0" w:evenVBand="0" w:oddHBand="1" w:evenHBand="0" w:firstRowFirstColumn="0" w:firstRowLastColumn="0" w:lastRowFirstColumn="0" w:lastRowLastColumn="0"/>
        </w:trPr>
        <w:tc>
          <w:tcPr>
            <w:tcW w:w="4649" w:type="dxa"/>
          </w:tcPr>
          <w:p w14:paraId="40C34277" w14:textId="4B2FB5A2" w:rsidR="001F618F" w:rsidRPr="007A3600" w:rsidRDefault="001F618F" w:rsidP="00AD3197">
            <w:r w:rsidRPr="007A3600">
              <w:t>Climate Risk and Opportunity Management Program (CROMP) module</w:t>
            </w:r>
            <w:r w:rsidR="00A54BCB" w:rsidRPr="007A3600">
              <w:t> </w:t>
            </w:r>
            <w:r w:rsidRPr="007A3600">
              <w:t>1</w:t>
            </w:r>
          </w:p>
        </w:tc>
        <w:tc>
          <w:tcPr>
            <w:tcW w:w="2268" w:type="dxa"/>
          </w:tcPr>
          <w:p w14:paraId="1DD9AEEB" w14:textId="4FA56BCD" w:rsidR="001F618F" w:rsidRPr="007A3600" w:rsidRDefault="001F618F" w:rsidP="00AD3197">
            <w:r w:rsidRPr="007A3600">
              <w:t>All staff</w:t>
            </w:r>
          </w:p>
        </w:tc>
        <w:tc>
          <w:tcPr>
            <w:tcW w:w="2268" w:type="dxa"/>
          </w:tcPr>
          <w:p w14:paraId="43181F20" w14:textId="1825645A" w:rsidR="001F618F" w:rsidRPr="007A3600" w:rsidRDefault="001F618F" w:rsidP="00AD3197">
            <w:r w:rsidRPr="007A3600">
              <w:t>Encouraged</w:t>
            </w:r>
          </w:p>
        </w:tc>
      </w:tr>
      <w:tr w:rsidR="0002060E" w:rsidRPr="007A3600" w14:paraId="171E1501" w14:textId="77777777" w:rsidTr="007049C5">
        <w:tc>
          <w:tcPr>
            <w:tcW w:w="4649" w:type="dxa"/>
          </w:tcPr>
          <w:p w14:paraId="636B155F" w14:textId="5B9B6609" w:rsidR="001F618F" w:rsidRPr="007A3600" w:rsidRDefault="001F618F" w:rsidP="00AD3197">
            <w:r w:rsidRPr="007A3600">
              <w:t>CROMP module</w:t>
            </w:r>
            <w:r w:rsidR="00DC2EA5" w:rsidRPr="007A3600">
              <w:t>s</w:t>
            </w:r>
            <w:r w:rsidRPr="007A3600">
              <w:t xml:space="preserve"> 1 and 2</w:t>
            </w:r>
          </w:p>
        </w:tc>
        <w:tc>
          <w:tcPr>
            <w:tcW w:w="2268" w:type="dxa"/>
          </w:tcPr>
          <w:p w14:paraId="1E1FB70E" w14:textId="04FD059B" w:rsidR="001F618F" w:rsidRPr="007A3600" w:rsidRDefault="001F618F" w:rsidP="00AD3197">
            <w:r w:rsidRPr="007A3600">
              <w:t>Staff contributing to disclosure</w:t>
            </w:r>
          </w:p>
        </w:tc>
        <w:tc>
          <w:tcPr>
            <w:tcW w:w="2268" w:type="dxa"/>
          </w:tcPr>
          <w:p w14:paraId="41BE49E2" w14:textId="79CCBF15" w:rsidR="001F618F" w:rsidRPr="007A3600" w:rsidRDefault="001F618F" w:rsidP="00AD3197">
            <w:r w:rsidRPr="007A3600">
              <w:t>Mandatory</w:t>
            </w:r>
          </w:p>
        </w:tc>
      </w:tr>
      <w:tr w:rsidR="00D504AD" w:rsidRPr="007A3600" w14:paraId="0E185672" w14:textId="77777777" w:rsidTr="0002060E">
        <w:trPr>
          <w:cnfStyle w:val="000000100000" w:firstRow="0" w:lastRow="0" w:firstColumn="0" w:lastColumn="0" w:oddVBand="0" w:evenVBand="0" w:oddHBand="1" w:evenHBand="0" w:firstRowFirstColumn="0" w:firstRowLastColumn="0" w:lastRowFirstColumn="0" w:lastRowLastColumn="0"/>
        </w:trPr>
        <w:tc>
          <w:tcPr>
            <w:tcW w:w="4649" w:type="dxa"/>
          </w:tcPr>
          <w:p w14:paraId="62F1BFC6" w14:textId="3ECB762D" w:rsidR="001F618F" w:rsidRPr="007A3600" w:rsidRDefault="001F618F" w:rsidP="00AD3197">
            <w:r w:rsidRPr="007A3600">
              <w:t>Foundations of Net Zero in Government Operations</w:t>
            </w:r>
          </w:p>
        </w:tc>
        <w:tc>
          <w:tcPr>
            <w:tcW w:w="2268" w:type="dxa"/>
          </w:tcPr>
          <w:p w14:paraId="6F56EF49" w14:textId="1E816568" w:rsidR="001F618F" w:rsidRPr="007A3600" w:rsidRDefault="001F618F" w:rsidP="00AD3197">
            <w:r w:rsidRPr="007A3600">
              <w:t>Staff contributing to disclosure</w:t>
            </w:r>
          </w:p>
        </w:tc>
        <w:tc>
          <w:tcPr>
            <w:tcW w:w="2268" w:type="dxa"/>
          </w:tcPr>
          <w:p w14:paraId="7526B3FC" w14:textId="651BFE14" w:rsidR="001F618F" w:rsidRPr="007A3600" w:rsidRDefault="001F618F" w:rsidP="00AD3197">
            <w:r w:rsidRPr="007A3600">
              <w:t>Mandatory</w:t>
            </w:r>
          </w:p>
        </w:tc>
      </w:tr>
      <w:tr w:rsidR="0002060E" w:rsidRPr="007A3600" w14:paraId="3B4CAA23" w14:textId="77777777" w:rsidTr="007049C5">
        <w:tc>
          <w:tcPr>
            <w:tcW w:w="4649" w:type="dxa"/>
          </w:tcPr>
          <w:p w14:paraId="0AFB9657" w14:textId="7DEF210D" w:rsidR="001F618F" w:rsidRPr="007A3600" w:rsidRDefault="001F618F" w:rsidP="00AD3197">
            <w:r w:rsidRPr="007A3600">
              <w:t>Sustainable Procurement Course (APS Learn)</w:t>
            </w:r>
          </w:p>
        </w:tc>
        <w:tc>
          <w:tcPr>
            <w:tcW w:w="2268" w:type="dxa"/>
          </w:tcPr>
          <w:p w14:paraId="70C3487E" w14:textId="59D3DD1E" w:rsidR="001F618F" w:rsidRPr="007A3600" w:rsidRDefault="001F618F" w:rsidP="00AD3197">
            <w:r w:rsidRPr="007A3600">
              <w:t>Procurement and Capital Team</w:t>
            </w:r>
          </w:p>
        </w:tc>
        <w:tc>
          <w:tcPr>
            <w:tcW w:w="2268" w:type="dxa"/>
          </w:tcPr>
          <w:p w14:paraId="0EC0EF28" w14:textId="2FD6A93B" w:rsidR="001F618F" w:rsidRPr="007A3600" w:rsidRDefault="001F618F" w:rsidP="00AD3197">
            <w:r w:rsidRPr="007A3600">
              <w:t>Encouraged</w:t>
            </w:r>
          </w:p>
        </w:tc>
      </w:tr>
      <w:tr w:rsidR="00D504AD" w:rsidRPr="007A3600" w14:paraId="3F7A5B05" w14:textId="77777777" w:rsidTr="0002060E">
        <w:trPr>
          <w:cnfStyle w:val="000000100000" w:firstRow="0" w:lastRow="0" w:firstColumn="0" w:lastColumn="0" w:oddVBand="0" w:evenVBand="0" w:oddHBand="1" w:evenHBand="0" w:firstRowFirstColumn="0" w:firstRowLastColumn="0" w:lastRowFirstColumn="0" w:lastRowLastColumn="0"/>
        </w:trPr>
        <w:tc>
          <w:tcPr>
            <w:tcW w:w="4649" w:type="dxa"/>
          </w:tcPr>
          <w:p w14:paraId="41902BE7" w14:textId="33D90DAD" w:rsidR="001F618F" w:rsidRPr="007A3600" w:rsidRDefault="001F618F" w:rsidP="00AD3197">
            <w:r w:rsidRPr="007A3600">
              <w:lastRenderedPageBreak/>
              <w:t xml:space="preserve">Webinars through </w:t>
            </w:r>
            <w:r w:rsidR="000734D5" w:rsidRPr="007A3600">
              <w:t>Australian Government Department of Climate Change, Energy, the Environment and Water</w:t>
            </w:r>
            <w:r w:rsidRPr="007A3600">
              <w:t xml:space="preserve"> or Finance Communities of Practice</w:t>
            </w:r>
          </w:p>
        </w:tc>
        <w:tc>
          <w:tcPr>
            <w:tcW w:w="2268" w:type="dxa"/>
          </w:tcPr>
          <w:p w14:paraId="52F11050" w14:textId="4B467056" w:rsidR="001F618F" w:rsidRPr="007A3600" w:rsidRDefault="001F618F" w:rsidP="00AD3197">
            <w:r w:rsidRPr="007A3600">
              <w:t>Staff contributing to disclosure</w:t>
            </w:r>
          </w:p>
        </w:tc>
        <w:tc>
          <w:tcPr>
            <w:tcW w:w="2268" w:type="dxa"/>
          </w:tcPr>
          <w:p w14:paraId="050BAD46" w14:textId="68506091" w:rsidR="001F618F" w:rsidRPr="007A3600" w:rsidRDefault="001F618F" w:rsidP="00AD3197">
            <w:r w:rsidRPr="007A3600">
              <w:t>Mandatory</w:t>
            </w:r>
          </w:p>
        </w:tc>
      </w:tr>
    </w:tbl>
    <w:p w14:paraId="7BB099C3" w14:textId="54290B2E" w:rsidR="00D11F31" w:rsidRPr="007A3600" w:rsidRDefault="00D11F31" w:rsidP="00AD3197">
      <w:pPr>
        <w:pStyle w:val="Heading4"/>
        <w:spacing w:before="240"/>
        <w:rPr>
          <w:bCs/>
        </w:rPr>
      </w:pPr>
      <w:bookmarkStart w:id="292" w:name="_Toc207017767"/>
      <w:r w:rsidRPr="007A3600">
        <w:rPr>
          <w:bCs/>
        </w:rPr>
        <w:t>Climate risk management</w:t>
      </w:r>
      <w:bookmarkEnd w:id="292"/>
    </w:p>
    <w:p w14:paraId="4107C427" w14:textId="46DC5055" w:rsidR="00D11F31" w:rsidRPr="007A3600" w:rsidRDefault="00D11F31" w:rsidP="00AD3197">
      <w:r w:rsidRPr="007A3600">
        <w:t xml:space="preserve">The NDIA has commenced work on our first climate risk and opportunity assessment this year under the </w:t>
      </w:r>
      <w:hyperlink r:id="rId169" w:tgtFrame="_blank" w:history="1">
        <w:r w:rsidRPr="007A3600">
          <w:rPr>
            <w:rStyle w:val="Hyperlink"/>
          </w:rPr>
          <w:t>Australian Government’s Approach to Climate Risk and Opportunity Management in the Public Sector 2024</w:t>
        </w:r>
        <w:r w:rsidR="00CE1302" w:rsidRPr="007A3600">
          <w:t>–</w:t>
        </w:r>
        <w:r w:rsidRPr="007A3600">
          <w:rPr>
            <w:rStyle w:val="Hyperlink"/>
          </w:rPr>
          <w:t>2026</w:t>
        </w:r>
      </w:hyperlink>
      <w:r w:rsidR="00320100" w:rsidRPr="007A3600">
        <w:t>. This is undertaken</w:t>
      </w:r>
      <w:r w:rsidRPr="007A3600">
        <w:t xml:space="preserve"> in line with the Climate Risk and Opportunity Management Program’s (CROMP) </w:t>
      </w:r>
      <w:hyperlink r:id="rId170" w:tgtFrame="_blank" w:history="1">
        <w:r w:rsidRPr="007A3600">
          <w:rPr>
            <w:rStyle w:val="Hyperlink"/>
          </w:rPr>
          <w:t>Organisation Application Guide</w:t>
        </w:r>
      </w:hyperlink>
      <w:r w:rsidRPr="007A3600">
        <w:t xml:space="preserve">. We focused on the first </w:t>
      </w:r>
      <w:r w:rsidR="00640010" w:rsidRPr="007A3600">
        <w:t xml:space="preserve">3 </w:t>
      </w:r>
      <w:r w:rsidRPr="007A3600">
        <w:t>steps of the CROMP organisation</w:t>
      </w:r>
      <w:r w:rsidR="006309C7" w:rsidRPr="007A3600">
        <w:t>-</w:t>
      </w:r>
      <w:r w:rsidRPr="007A3600">
        <w:t xml:space="preserve">wide climate risk and opportunity assessment. </w:t>
      </w:r>
      <w:r w:rsidR="00640010" w:rsidRPr="007A3600">
        <w:t>W</w:t>
      </w:r>
      <w:r w:rsidRPr="007A3600">
        <w:t xml:space="preserve">e aim to complete all </w:t>
      </w:r>
      <w:r w:rsidR="00640010" w:rsidRPr="007A3600">
        <w:t>6 </w:t>
      </w:r>
      <w:r w:rsidRPr="007A3600">
        <w:t>steps of the climate risk and opportunity assessment</w:t>
      </w:r>
      <w:r w:rsidR="00640010" w:rsidRPr="007A3600">
        <w:t xml:space="preserve"> in 2025</w:t>
      </w:r>
      <w:r w:rsidR="00C32206" w:rsidRPr="007A3600">
        <w:t>–</w:t>
      </w:r>
      <w:r w:rsidR="00640010" w:rsidRPr="007A3600">
        <w:t>26</w:t>
      </w:r>
      <w:r w:rsidRPr="007A3600">
        <w:t>.</w:t>
      </w:r>
    </w:p>
    <w:p w14:paraId="61FCDED0" w14:textId="196392A3" w:rsidR="00D11F31" w:rsidRPr="007A3600" w:rsidRDefault="00D11F31" w:rsidP="00AD3197">
      <w:r w:rsidRPr="007A3600">
        <w:t>Climate</w:t>
      </w:r>
      <w:r w:rsidR="00640010" w:rsidRPr="007A3600">
        <w:t>-</w:t>
      </w:r>
      <w:r w:rsidRPr="007A3600">
        <w:t>related risks and opportunities, including those identified through CROMP, will progressively be embedded within our existing risk registers contained within our integrated risk management system.</w:t>
      </w:r>
    </w:p>
    <w:p w14:paraId="3CFCB8D0" w14:textId="0AD7E059" w:rsidR="00D11F31" w:rsidRPr="007A3600" w:rsidRDefault="00D11F31" w:rsidP="00AD3197">
      <w:r w:rsidRPr="007A3600">
        <w:t>We will review and refine this process next year as we continue our work under CROMP. As our climate knowledge and maturity grows, we will also utilise CROMP to assess the nature, likelihood and management of the effects of climate change.</w:t>
      </w:r>
    </w:p>
    <w:p w14:paraId="464AE8F1" w14:textId="676ED15A" w:rsidR="00D11F31" w:rsidRPr="007A3600" w:rsidRDefault="00D11F31" w:rsidP="00AD3197">
      <w:r w:rsidRPr="007A3600">
        <w:t>Our assessed scope included our staff, assets and operations. We will utilise internal data sources, including our integrated risk management system, incident registers, insurance claims and the NDIA Climate Approach</w:t>
      </w:r>
      <w:r w:rsidR="00640010" w:rsidRPr="007A3600">
        <w:t>,</w:t>
      </w:r>
      <w:r w:rsidRPr="007A3600">
        <w:t xml:space="preserve"> to support our risk management activities.</w:t>
      </w:r>
    </w:p>
    <w:p w14:paraId="42D7362C" w14:textId="5922DC5C" w:rsidR="00D11F31" w:rsidRPr="007A3600" w:rsidRDefault="00D11F31" w:rsidP="00AD3197">
      <w:r w:rsidRPr="007A3600">
        <w:t xml:space="preserve">Input from key areas of the NDIA enabled us to complete an initial view of assets, infrastructure and staff that may be at risk from climate change. External data sources used to inform our organisational climate-related risks </w:t>
      </w:r>
      <w:r w:rsidR="00640010" w:rsidRPr="007A3600">
        <w:t xml:space="preserve">are </w:t>
      </w:r>
      <w:r w:rsidRPr="007A3600">
        <w:t xml:space="preserve">included the Intergovernmental Panel on Climate Change Sixth Assessment Report (2021), </w:t>
      </w:r>
      <w:hyperlink r:id="rId171" w:tgtFrame="_blank" w:history="1">
        <w:r w:rsidRPr="007A3600">
          <w:rPr>
            <w:rStyle w:val="Hyperlink"/>
          </w:rPr>
          <w:t>Climate Change in Australia</w:t>
        </w:r>
      </w:hyperlink>
      <w:r w:rsidRPr="007A3600">
        <w:t xml:space="preserve">, the State of </w:t>
      </w:r>
      <w:r w:rsidR="00202CB6" w:rsidRPr="007A3600">
        <w:t xml:space="preserve">the </w:t>
      </w:r>
      <w:r w:rsidRPr="007A3600">
        <w:t>Climate 2024 report and the climate scenario and transition summaries in the CROMP Organisation Application Guide.</w:t>
      </w:r>
    </w:p>
    <w:p w14:paraId="554620E8" w14:textId="459ECD49" w:rsidR="00D11F31" w:rsidRPr="007A3600" w:rsidRDefault="00D11F31" w:rsidP="00AD3197">
      <w:pPr>
        <w:pStyle w:val="Heading4"/>
        <w:rPr>
          <w:bCs/>
        </w:rPr>
      </w:pPr>
      <w:bookmarkStart w:id="293" w:name="_Toc207017768"/>
      <w:r w:rsidRPr="007A3600">
        <w:rPr>
          <w:bCs/>
        </w:rPr>
        <w:t>Climate</w:t>
      </w:r>
      <w:r w:rsidR="00640010" w:rsidRPr="007A3600">
        <w:rPr>
          <w:bCs/>
        </w:rPr>
        <w:t>-</w:t>
      </w:r>
      <w:r w:rsidRPr="007A3600">
        <w:rPr>
          <w:bCs/>
        </w:rPr>
        <w:t>related risks and opportunities</w:t>
      </w:r>
      <w:bookmarkEnd w:id="293"/>
    </w:p>
    <w:p w14:paraId="7EA6B6D0" w14:textId="0D02A5AC" w:rsidR="00EC3624" w:rsidRPr="007A3600" w:rsidRDefault="00D11F31" w:rsidP="00AD3197">
      <w:r w:rsidRPr="007A3600">
        <w:t xml:space="preserve">Through our initial climate risk assessment, we have identified and categorised our material climate-related risks and opportunities. These are identified in </w:t>
      </w:r>
      <w:r w:rsidR="00F842A2" w:rsidRPr="007A3600">
        <w:t>t</w:t>
      </w:r>
      <w:r w:rsidRPr="007A3600">
        <w:t>able</w:t>
      </w:r>
      <w:r w:rsidR="000E05D0" w:rsidRPr="007A3600">
        <w:t xml:space="preserve"> </w:t>
      </w:r>
      <w:r w:rsidR="00246087" w:rsidRPr="007A3600">
        <w:t>2</w:t>
      </w:r>
      <w:r w:rsidR="00B57768" w:rsidRPr="007A3600">
        <w:t>5</w:t>
      </w:r>
      <w:r w:rsidRPr="007A3600">
        <w:t>. In future years, our disclosure will expand in line with the progressive implementation schedule in the CCD requirements.</w:t>
      </w:r>
    </w:p>
    <w:p w14:paraId="7B5C8655" w14:textId="399A7454" w:rsidR="00D11F31" w:rsidRPr="007A3600" w:rsidRDefault="00D11F31" w:rsidP="00AD3197">
      <w:pPr>
        <w:pStyle w:val="Caption"/>
      </w:pPr>
      <w:r w:rsidRPr="007A3600">
        <w:lastRenderedPageBreak/>
        <w:t xml:space="preserve">Table </w:t>
      </w:r>
      <w:r w:rsidR="00CB0A3C" w:rsidRPr="007A3600">
        <w:t>2</w:t>
      </w:r>
      <w:r w:rsidR="00B57768" w:rsidRPr="007A3600">
        <w:t>5</w:t>
      </w:r>
      <w:r w:rsidRPr="007A3600">
        <w:t>: Categorisation of material climate-related risks and opportunities</w:t>
      </w:r>
    </w:p>
    <w:tbl>
      <w:tblPr>
        <w:tblStyle w:val="NDISTable1"/>
        <w:tblW w:w="0" w:type="auto"/>
        <w:tblLayout w:type="fixed"/>
        <w:tblLook w:val="0420" w:firstRow="1" w:lastRow="0" w:firstColumn="0" w:lastColumn="0" w:noHBand="0" w:noVBand="1"/>
      </w:tblPr>
      <w:tblGrid>
        <w:gridCol w:w="4592"/>
        <w:gridCol w:w="2154"/>
        <w:gridCol w:w="2154"/>
      </w:tblGrid>
      <w:tr w:rsidR="00B407C5" w:rsidRPr="007A3600" w14:paraId="14E3AA98" w14:textId="77777777" w:rsidTr="006210B6">
        <w:trPr>
          <w:cnfStyle w:val="100000000000" w:firstRow="1" w:lastRow="0" w:firstColumn="0" w:lastColumn="0" w:oddVBand="0" w:evenVBand="0" w:oddHBand="0" w:evenHBand="0" w:firstRowFirstColumn="0" w:firstRowLastColumn="0" w:lastRowFirstColumn="0" w:lastRowLastColumn="0"/>
        </w:trPr>
        <w:tc>
          <w:tcPr>
            <w:tcW w:w="4592" w:type="dxa"/>
          </w:tcPr>
          <w:p w14:paraId="4F0A7699" w14:textId="4DAE2423" w:rsidR="00615126" w:rsidRPr="007A3600" w:rsidRDefault="000C08A6" w:rsidP="00AD3197">
            <w:pPr>
              <w:pStyle w:val="TableBody"/>
            </w:pPr>
            <w:r w:rsidRPr="007A3600">
              <w:t>Risk or opportunity description</w:t>
            </w:r>
          </w:p>
        </w:tc>
        <w:tc>
          <w:tcPr>
            <w:tcW w:w="2154" w:type="dxa"/>
          </w:tcPr>
          <w:p w14:paraId="5F74BE25" w14:textId="3ED1C258" w:rsidR="00615126" w:rsidRPr="007A3600" w:rsidRDefault="000C08A6" w:rsidP="00AD3197">
            <w:pPr>
              <w:pStyle w:val="TableBody"/>
            </w:pPr>
            <w:r w:rsidRPr="007A3600">
              <w:t>Risk/opportunity</w:t>
            </w:r>
          </w:p>
        </w:tc>
        <w:tc>
          <w:tcPr>
            <w:tcW w:w="2154" w:type="dxa"/>
          </w:tcPr>
          <w:p w14:paraId="1CAF873B" w14:textId="14494321" w:rsidR="00615126" w:rsidRPr="007A3600" w:rsidRDefault="000C08A6" w:rsidP="00AD3197">
            <w:pPr>
              <w:pStyle w:val="TableBody"/>
            </w:pPr>
            <w:r w:rsidRPr="007A3600">
              <w:t>Risk type</w:t>
            </w:r>
          </w:p>
        </w:tc>
      </w:tr>
      <w:tr w:rsidR="0026718D" w:rsidRPr="007A3600" w14:paraId="6E7D82A2" w14:textId="77777777" w:rsidTr="006210B6">
        <w:trPr>
          <w:cnfStyle w:val="000000100000" w:firstRow="0" w:lastRow="0" w:firstColumn="0" w:lastColumn="0" w:oddVBand="0" w:evenVBand="0" w:oddHBand="1" w:evenHBand="0" w:firstRowFirstColumn="0" w:firstRowLastColumn="0" w:lastRowFirstColumn="0" w:lastRowLastColumn="0"/>
        </w:trPr>
        <w:tc>
          <w:tcPr>
            <w:tcW w:w="4592" w:type="dxa"/>
          </w:tcPr>
          <w:p w14:paraId="7D14399E" w14:textId="3F99B8A4" w:rsidR="00352550" w:rsidRPr="007A3600" w:rsidRDefault="00352550" w:rsidP="00AD3197">
            <w:pPr>
              <w:pStyle w:val="TableBody"/>
            </w:pPr>
            <w:r w:rsidRPr="007A3600">
              <w:t>Health and safety of staff in extreme weather events</w:t>
            </w:r>
          </w:p>
        </w:tc>
        <w:tc>
          <w:tcPr>
            <w:tcW w:w="2154" w:type="dxa"/>
          </w:tcPr>
          <w:p w14:paraId="0BF36FA4" w14:textId="1EBEC25D" w:rsidR="00352550" w:rsidRPr="007A3600" w:rsidRDefault="00352550" w:rsidP="00AD3197">
            <w:pPr>
              <w:pStyle w:val="TableBody"/>
            </w:pPr>
            <w:r w:rsidRPr="007A3600">
              <w:t>Risk</w:t>
            </w:r>
          </w:p>
        </w:tc>
        <w:tc>
          <w:tcPr>
            <w:tcW w:w="2154" w:type="dxa"/>
          </w:tcPr>
          <w:p w14:paraId="150EA931" w14:textId="173327FA" w:rsidR="00352550" w:rsidRPr="007A3600" w:rsidRDefault="00352550" w:rsidP="00AD3197">
            <w:pPr>
              <w:pStyle w:val="TableBody"/>
              <w:rPr>
                <w:vertAlign w:val="superscript"/>
              </w:rPr>
            </w:pPr>
            <w:r w:rsidRPr="007A3600">
              <w:t>Physical</w:t>
            </w:r>
          </w:p>
        </w:tc>
      </w:tr>
      <w:tr w:rsidR="0026718D" w:rsidRPr="007A3600" w14:paraId="677E10F5" w14:textId="77777777" w:rsidTr="007049C5">
        <w:tc>
          <w:tcPr>
            <w:tcW w:w="4592" w:type="dxa"/>
          </w:tcPr>
          <w:p w14:paraId="600965C7" w14:textId="074D51EF" w:rsidR="00352550" w:rsidRPr="007A3600" w:rsidRDefault="00352550" w:rsidP="00AD3197">
            <w:pPr>
              <w:pStyle w:val="TableBody"/>
            </w:pPr>
            <w:r w:rsidRPr="007A3600">
              <w:t>Safe and reliable access to infrastructure and assets to enable business continuity in extreme weather events</w:t>
            </w:r>
          </w:p>
        </w:tc>
        <w:tc>
          <w:tcPr>
            <w:tcW w:w="2154" w:type="dxa"/>
          </w:tcPr>
          <w:p w14:paraId="639276E8" w14:textId="382C8388" w:rsidR="00352550" w:rsidRPr="007A3600" w:rsidRDefault="00352550" w:rsidP="00AD3197">
            <w:pPr>
              <w:pStyle w:val="TableBody"/>
              <w:rPr>
                <w:vertAlign w:val="superscript"/>
              </w:rPr>
            </w:pPr>
            <w:r w:rsidRPr="007A3600">
              <w:t>Risk</w:t>
            </w:r>
          </w:p>
        </w:tc>
        <w:tc>
          <w:tcPr>
            <w:tcW w:w="2154" w:type="dxa"/>
          </w:tcPr>
          <w:p w14:paraId="04E8868A" w14:textId="20917285" w:rsidR="00352550" w:rsidRPr="007A3600" w:rsidRDefault="00352550" w:rsidP="00AD3197">
            <w:pPr>
              <w:pStyle w:val="TableBody"/>
            </w:pPr>
            <w:r w:rsidRPr="007A3600">
              <w:t>Physical</w:t>
            </w:r>
          </w:p>
        </w:tc>
      </w:tr>
      <w:tr w:rsidR="0026718D" w:rsidRPr="007A3600" w14:paraId="2F55F5B3" w14:textId="77777777" w:rsidTr="006210B6">
        <w:trPr>
          <w:cnfStyle w:val="000000100000" w:firstRow="0" w:lastRow="0" w:firstColumn="0" w:lastColumn="0" w:oddVBand="0" w:evenVBand="0" w:oddHBand="1" w:evenHBand="0" w:firstRowFirstColumn="0" w:firstRowLastColumn="0" w:lastRowFirstColumn="0" w:lastRowLastColumn="0"/>
        </w:trPr>
        <w:tc>
          <w:tcPr>
            <w:tcW w:w="4592" w:type="dxa"/>
          </w:tcPr>
          <w:p w14:paraId="6A5D6303" w14:textId="6F8420A0" w:rsidR="00352550" w:rsidRPr="007A3600" w:rsidRDefault="00352550" w:rsidP="00AD3197">
            <w:pPr>
              <w:pStyle w:val="TableBody"/>
            </w:pPr>
            <w:r w:rsidRPr="007A3600">
              <w:t>Increasing cost of asset management and maintenance</w:t>
            </w:r>
          </w:p>
        </w:tc>
        <w:tc>
          <w:tcPr>
            <w:tcW w:w="2154" w:type="dxa"/>
          </w:tcPr>
          <w:p w14:paraId="1BAC6C65" w14:textId="7352524F" w:rsidR="00352550" w:rsidRPr="007A3600" w:rsidRDefault="00352550" w:rsidP="00AD3197">
            <w:pPr>
              <w:pStyle w:val="TableBody"/>
              <w:rPr>
                <w:vertAlign w:val="superscript"/>
              </w:rPr>
            </w:pPr>
            <w:r w:rsidRPr="007A3600">
              <w:t>Risk</w:t>
            </w:r>
          </w:p>
        </w:tc>
        <w:tc>
          <w:tcPr>
            <w:tcW w:w="2154" w:type="dxa"/>
          </w:tcPr>
          <w:p w14:paraId="40C70D4C" w14:textId="06E323D9" w:rsidR="00352550" w:rsidRPr="007A3600" w:rsidRDefault="00352550" w:rsidP="00AD3197">
            <w:pPr>
              <w:pStyle w:val="TableBody"/>
              <w:rPr>
                <w:vertAlign w:val="superscript"/>
              </w:rPr>
            </w:pPr>
            <w:r w:rsidRPr="007A3600">
              <w:t>Physical</w:t>
            </w:r>
          </w:p>
        </w:tc>
      </w:tr>
      <w:tr w:rsidR="0026718D" w:rsidRPr="007A3600" w14:paraId="69425DE4" w14:textId="77777777" w:rsidTr="007049C5">
        <w:tc>
          <w:tcPr>
            <w:tcW w:w="4592" w:type="dxa"/>
          </w:tcPr>
          <w:p w14:paraId="0FBFACBF" w14:textId="3AE4808D" w:rsidR="00352550" w:rsidRPr="007A3600" w:rsidRDefault="00352550" w:rsidP="00AD3197">
            <w:pPr>
              <w:pStyle w:val="TableBody"/>
            </w:pPr>
            <w:r w:rsidRPr="007A3600">
              <w:t>Reputational opportunity associated with transitioning to net zero ahead of 2030</w:t>
            </w:r>
          </w:p>
        </w:tc>
        <w:tc>
          <w:tcPr>
            <w:tcW w:w="2154" w:type="dxa"/>
          </w:tcPr>
          <w:p w14:paraId="4752D143" w14:textId="6B2486C0" w:rsidR="00352550" w:rsidRPr="007A3600" w:rsidRDefault="00352550" w:rsidP="00AD3197">
            <w:pPr>
              <w:pStyle w:val="TableBody"/>
              <w:rPr>
                <w:vertAlign w:val="superscript"/>
              </w:rPr>
            </w:pPr>
            <w:r w:rsidRPr="007A3600">
              <w:t>Opportunity</w:t>
            </w:r>
          </w:p>
        </w:tc>
        <w:tc>
          <w:tcPr>
            <w:tcW w:w="2154" w:type="dxa"/>
          </w:tcPr>
          <w:p w14:paraId="4F32C1D1" w14:textId="52E2F2E7" w:rsidR="00352550" w:rsidRPr="007A3600" w:rsidRDefault="00352550" w:rsidP="00AD3197">
            <w:pPr>
              <w:pStyle w:val="TableBody"/>
              <w:rPr>
                <w:vertAlign w:val="superscript"/>
              </w:rPr>
            </w:pPr>
            <w:r w:rsidRPr="007A3600">
              <w:t>Transition</w:t>
            </w:r>
          </w:p>
        </w:tc>
      </w:tr>
    </w:tbl>
    <w:p w14:paraId="17C02C41" w14:textId="64CE8037" w:rsidR="00501040" w:rsidRPr="007A3600" w:rsidRDefault="00501040" w:rsidP="00AD3197">
      <w:pPr>
        <w:spacing w:before="240"/>
      </w:pPr>
      <w:r w:rsidRPr="007A3600">
        <w:t>These risks and opportunity statements have been assessed across a variety of timeframes and climate scenarios. The relevant timeframes include 2030 (short-term) and 2050 (mid-term), as recommended within the CROMP Organisation Application Guide.</w:t>
      </w:r>
    </w:p>
    <w:p w14:paraId="426E6778" w14:textId="156CF8D8" w:rsidR="00501040" w:rsidRPr="007A3600" w:rsidRDefault="00501040" w:rsidP="00AD3197">
      <w:r w:rsidRPr="007A3600">
        <w:t>We expect the identified risks to increase in severity over time with the likely increase in extreme weather events associated with climate change. Conversely, we anticipate the identified opportunities to reduce in benefit over time. The NDIA Climate Approach sets out our proposed actions in the short term to maximise the transitional opportunities of moving towards net zero.</w:t>
      </w:r>
    </w:p>
    <w:p w14:paraId="208446BB" w14:textId="0109820B" w:rsidR="00501040" w:rsidRPr="007A3600" w:rsidRDefault="00501040" w:rsidP="00AD3197">
      <w:r w:rsidRPr="007A3600">
        <w:t>The current and anticipated effects of climate change on the NDIA’s operational model include:</w:t>
      </w:r>
    </w:p>
    <w:p w14:paraId="0D9A2923" w14:textId="61199BDD" w:rsidR="00501040" w:rsidRPr="007A3600" w:rsidRDefault="00501040" w:rsidP="00AD3197">
      <w:pPr>
        <w:pStyle w:val="Bullet1"/>
      </w:pPr>
      <w:r w:rsidRPr="007A3600">
        <w:t>reduced staff productivity associated with:</w:t>
      </w:r>
    </w:p>
    <w:p w14:paraId="6E28D5D7" w14:textId="066FEBB2" w:rsidR="00501040" w:rsidRPr="007A3600" w:rsidRDefault="00501040" w:rsidP="00AD3197">
      <w:pPr>
        <w:pStyle w:val="Bullet2"/>
        <w:ind w:left="1071"/>
      </w:pPr>
      <w:r w:rsidRPr="007A3600">
        <w:t>reduced access to offices and technology in extreme weather events such as cyclones, floods and bushfires</w:t>
      </w:r>
    </w:p>
    <w:p w14:paraId="2FA086CD" w14:textId="6D0D14B5" w:rsidR="00501040" w:rsidRPr="007A3600" w:rsidRDefault="00501040" w:rsidP="00AD3197">
      <w:pPr>
        <w:pStyle w:val="Bullet2"/>
        <w:ind w:left="1071"/>
      </w:pPr>
      <w:r w:rsidRPr="007A3600">
        <w:t>lower productivity during extreme heat events in various locations</w:t>
      </w:r>
    </w:p>
    <w:p w14:paraId="38D49FA7" w14:textId="51209C88" w:rsidR="00352550" w:rsidRPr="007A3600" w:rsidRDefault="00501040" w:rsidP="00AD3197">
      <w:pPr>
        <w:pStyle w:val="Bullet1"/>
      </w:pPr>
      <w:r w:rsidRPr="007A3600">
        <w:t>increasing asset management and maintenance cost</w:t>
      </w:r>
      <w:r w:rsidR="00640010" w:rsidRPr="007A3600">
        <w:t>,</w:t>
      </w:r>
      <w:r w:rsidRPr="007A3600">
        <w:t xml:space="preserve"> including electricity, insurance and repairs from extreme weather damage.</w:t>
      </w:r>
    </w:p>
    <w:p w14:paraId="7B57D2B9" w14:textId="783640BC" w:rsidR="002F7DE0" w:rsidRPr="007A3600" w:rsidRDefault="002F7DE0" w:rsidP="00AD3197">
      <w:pPr>
        <w:pStyle w:val="Heading4"/>
        <w:rPr>
          <w:bCs/>
        </w:rPr>
      </w:pPr>
      <w:bookmarkStart w:id="294" w:name="_Toc207017769"/>
      <w:r w:rsidRPr="007A3600">
        <w:rPr>
          <w:bCs/>
        </w:rPr>
        <w:t>Climate</w:t>
      </w:r>
      <w:r w:rsidR="00640010" w:rsidRPr="007A3600">
        <w:rPr>
          <w:bCs/>
        </w:rPr>
        <w:t>-</w:t>
      </w:r>
      <w:r w:rsidRPr="007A3600">
        <w:rPr>
          <w:bCs/>
        </w:rPr>
        <w:t>related targets</w:t>
      </w:r>
      <w:bookmarkEnd w:id="294"/>
    </w:p>
    <w:p w14:paraId="733C1072" w14:textId="0451FC14" w:rsidR="002F7DE0" w:rsidRPr="007A3600" w:rsidRDefault="002F7DE0" w:rsidP="00AD3197">
      <w:r w:rsidRPr="007A3600">
        <w:t>As a CCE, the NDIA is not required to adopt the targets of the APS Net Zero in Government Operations Strategy</w:t>
      </w:r>
      <w:r w:rsidR="0055394B" w:rsidRPr="007A3600">
        <w:t>.</w:t>
      </w:r>
      <w:r w:rsidRPr="007A3600">
        <w:t xml:space="preserve"> </w:t>
      </w:r>
      <w:r w:rsidR="0055394B" w:rsidRPr="007A3600">
        <w:t>H</w:t>
      </w:r>
      <w:r w:rsidRPr="007A3600">
        <w:t xml:space="preserve">owever, we recognise we have an important role in supporting national emissions reduction efforts and have adopted the Government’s </w:t>
      </w:r>
      <w:hyperlink r:id="rId172" w:tgtFrame="_blank" w:history="1">
        <w:r w:rsidRPr="007A3600">
          <w:rPr>
            <w:rStyle w:val="Hyperlink"/>
          </w:rPr>
          <w:t>APS Net Zero by 2030</w:t>
        </w:r>
      </w:hyperlink>
      <w:r w:rsidRPr="007A3600">
        <w:t xml:space="preserve"> targets where possible. </w:t>
      </w:r>
      <w:r w:rsidR="00B766AB" w:rsidRPr="007A3600">
        <w:t>Please r</w:t>
      </w:r>
      <w:r w:rsidR="00444242" w:rsidRPr="007A3600">
        <w:t xml:space="preserve">efer to </w:t>
      </w:r>
      <w:r w:rsidR="000734D5" w:rsidRPr="007A3600">
        <w:t xml:space="preserve">the </w:t>
      </w:r>
      <w:r w:rsidR="000734D5" w:rsidRPr="007A3600">
        <w:lastRenderedPageBreak/>
        <w:t>Department of Finance’s</w:t>
      </w:r>
      <w:r w:rsidRPr="007A3600">
        <w:t xml:space="preserve"> </w:t>
      </w:r>
      <w:hyperlink r:id="rId173" w:history="1">
        <w:r w:rsidR="000734D5" w:rsidRPr="007A3600">
          <w:rPr>
            <w:rStyle w:val="Hyperlink"/>
          </w:rPr>
          <w:t>Australian Government Emissions Reporting</w:t>
        </w:r>
      </w:hyperlink>
      <w:r w:rsidRPr="007A3600">
        <w:t xml:space="preserve"> for details</w:t>
      </w:r>
      <w:r w:rsidR="004809FB" w:rsidRPr="007A3600">
        <w:t>,</w:t>
      </w:r>
      <w:r w:rsidRPr="007A3600">
        <w:t xml:space="preserve"> including scope, emissions sources and timeframes.</w:t>
      </w:r>
    </w:p>
    <w:p w14:paraId="624FCE63" w14:textId="3040179F" w:rsidR="002F7DE0" w:rsidRPr="007A3600" w:rsidRDefault="002F7DE0" w:rsidP="00AD3197">
      <w:r w:rsidRPr="007A3600">
        <w:t>Our approach to reducing emissions is detailed in the NDIA Climate Approach and we will report our progress annually through our annual climate disclosure. The NDIA Climate Approach is overseen by the Chief Corporate and Commercial Officer.</w:t>
      </w:r>
    </w:p>
    <w:p w14:paraId="2AAD983D" w14:textId="73B07DE9" w:rsidR="002F7DE0" w:rsidRPr="007A3600" w:rsidRDefault="002F7DE0" w:rsidP="00AD3197">
      <w:r w:rsidRPr="007A3600">
        <w:t>This year we have made good progress towards the NDIA Climate Approach</w:t>
      </w:r>
      <w:r w:rsidR="00F842A2" w:rsidRPr="007A3600">
        <w:t>.</w:t>
      </w:r>
      <w:r w:rsidRPr="007A3600">
        <w:t xml:space="preserve"> </w:t>
      </w:r>
      <w:r w:rsidR="00F842A2" w:rsidRPr="007A3600">
        <w:t>F</w:t>
      </w:r>
      <w:r w:rsidR="00640010" w:rsidRPr="007A3600">
        <w:t>or example, we</w:t>
      </w:r>
      <w:r w:rsidRPr="007A3600">
        <w:t>:</w:t>
      </w:r>
    </w:p>
    <w:p w14:paraId="60B621B1" w14:textId="77A9DD2D" w:rsidR="002F7DE0" w:rsidRPr="007A3600" w:rsidRDefault="00640010" w:rsidP="00AD3197">
      <w:pPr>
        <w:pStyle w:val="Bullet1"/>
      </w:pPr>
      <w:r w:rsidRPr="007A3600">
        <w:t>c</w:t>
      </w:r>
      <w:r w:rsidR="002F7DE0" w:rsidRPr="007A3600">
        <w:t>ommit</w:t>
      </w:r>
      <w:r w:rsidRPr="007A3600">
        <w:t>ted</w:t>
      </w:r>
      <w:r w:rsidR="002F7DE0" w:rsidRPr="007A3600">
        <w:t xml:space="preserve"> to the NDIA Climate Approach to encourage adherence to the </w:t>
      </w:r>
      <w:hyperlink r:id="rId174" w:tgtFrame="_blank" w:history="1">
        <w:r w:rsidR="002F7DE0" w:rsidRPr="007A3600">
          <w:rPr>
            <w:rStyle w:val="Hyperlink"/>
          </w:rPr>
          <w:t>APS Net Zero by 2030</w:t>
        </w:r>
      </w:hyperlink>
      <w:r w:rsidR="002F7DE0" w:rsidRPr="007A3600">
        <w:t xml:space="preserve"> targets</w:t>
      </w:r>
    </w:p>
    <w:p w14:paraId="463772B8" w14:textId="4F88DBA8" w:rsidR="002F7DE0" w:rsidRPr="007A3600" w:rsidRDefault="00640010" w:rsidP="00AD3197">
      <w:pPr>
        <w:pStyle w:val="Bullet1"/>
      </w:pPr>
      <w:r w:rsidRPr="007A3600">
        <w:t>m</w:t>
      </w:r>
      <w:r w:rsidR="002F7DE0" w:rsidRPr="007A3600">
        <w:t xml:space="preserve">aintained 64 </w:t>
      </w:r>
      <w:r w:rsidR="004809FB" w:rsidRPr="007A3600">
        <w:t>l</w:t>
      </w:r>
      <w:r w:rsidR="002F7DE0" w:rsidRPr="007A3600">
        <w:t xml:space="preserve">ow </w:t>
      </w:r>
      <w:r w:rsidR="004809FB" w:rsidRPr="007A3600">
        <w:t>e</w:t>
      </w:r>
      <w:r w:rsidR="002F7DE0" w:rsidRPr="007A3600">
        <w:t xml:space="preserve">mission </w:t>
      </w:r>
      <w:r w:rsidR="004809FB" w:rsidRPr="007A3600">
        <w:t>v</w:t>
      </w:r>
      <w:r w:rsidR="002F7DE0" w:rsidRPr="007A3600">
        <w:t>ehicles</w:t>
      </w:r>
      <w:r w:rsidR="002F7DE0" w:rsidRPr="007A3600" w:rsidDel="000A09F0">
        <w:t xml:space="preserve"> </w:t>
      </w:r>
      <w:r w:rsidR="002F7DE0" w:rsidRPr="007A3600">
        <w:t xml:space="preserve">in metro and regional areas, </w:t>
      </w:r>
      <w:r w:rsidR="000B1D0D" w:rsidRPr="007A3600">
        <w:t>as well as</w:t>
      </w:r>
      <w:r w:rsidR="002F7DE0" w:rsidRPr="007A3600">
        <w:t xml:space="preserve"> 7 </w:t>
      </w:r>
      <w:r w:rsidR="000A09F0" w:rsidRPr="007A3600">
        <w:t>b</w:t>
      </w:r>
      <w:r w:rsidR="002F7DE0" w:rsidRPr="007A3600">
        <w:t xml:space="preserve">attery </w:t>
      </w:r>
      <w:r w:rsidR="000A09F0" w:rsidRPr="007A3600">
        <w:t>e</w:t>
      </w:r>
      <w:r w:rsidR="002F7DE0" w:rsidRPr="007A3600">
        <w:t xml:space="preserve">lectric </w:t>
      </w:r>
      <w:r w:rsidR="000A09F0" w:rsidRPr="007A3600">
        <w:t>v</w:t>
      </w:r>
      <w:r w:rsidR="002F7DE0" w:rsidRPr="007A3600">
        <w:t>ehicles (BEVs)</w:t>
      </w:r>
    </w:p>
    <w:p w14:paraId="5838DA81" w14:textId="6E3F0860" w:rsidR="002F7DE0" w:rsidRPr="007A3600" w:rsidRDefault="000734D5" w:rsidP="00AD3197">
      <w:pPr>
        <w:pStyle w:val="Bullet1"/>
      </w:pPr>
      <w:r w:rsidRPr="007A3600">
        <w:t>i</w:t>
      </w:r>
      <w:r w:rsidR="00640010" w:rsidRPr="007A3600">
        <w:t>nstalled e</w:t>
      </w:r>
      <w:r w:rsidR="002F7DE0" w:rsidRPr="007A3600">
        <w:t>lectric vehicle charging stations at offices with BEV vehicles</w:t>
      </w:r>
    </w:p>
    <w:p w14:paraId="182362A7" w14:textId="744F9BF6" w:rsidR="002F7DE0" w:rsidRPr="007A3600" w:rsidRDefault="00B766AB" w:rsidP="00AD3197">
      <w:pPr>
        <w:pStyle w:val="Bullet1"/>
      </w:pPr>
      <w:r w:rsidRPr="007A3600">
        <w:t xml:space="preserve">started </w:t>
      </w:r>
      <w:r w:rsidR="002F7DE0" w:rsidRPr="007A3600">
        <w:t xml:space="preserve">rolling out </w:t>
      </w:r>
      <w:r w:rsidR="000D2C83" w:rsidRPr="007A3600">
        <w:t>light emitting diode (</w:t>
      </w:r>
      <w:r w:rsidR="002F7DE0" w:rsidRPr="007A3600">
        <w:t>LED</w:t>
      </w:r>
      <w:r w:rsidR="000D2C83" w:rsidRPr="007A3600">
        <w:t>)</w:t>
      </w:r>
      <w:r w:rsidR="002F7DE0" w:rsidRPr="007A3600">
        <w:t xml:space="preserve"> lighting to replace end</w:t>
      </w:r>
      <w:r w:rsidR="00640010" w:rsidRPr="007A3600">
        <w:t>-</w:t>
      </w:r>
      <w:r w:rsidR="002F7DE0" w:rsidRPr="007A3600">
        <w:t>of</w:t>
      </w:r>
      <w:r w:rsidR="00640010" w:rsidRPr="007A3600">
        <w:t>-</w:t>
      </w:r>
      <w:r w:rsidR="002F7DE0" w:rsidRPr="007A3600">
        <w:t>life fluorescent lights in our facilities</w:t>
      </w:r>
    </w:p>
    <w:p w14:paraId="208C67B4" w14:textId="78FEBDDF" w:rsidR="002F7DE0" w:rsidRPr="007A3600" w:rsidRDefault="00640010" w:rsidP="00AD3197">
      <w:pPr>
        <w:pStyle w:val="Bullet1"/>
      </w:pPr>
      <w:r w:rsidRPr="007A3600">
        <w:t xml:space="preserve">included a consideration of the Environmentally Sustainable Procurement (ESP) Policy in all </w:t>
      </w:r>
      <w:r w:rsidR="002F7DE0" w:rsidRPr="007A3600">
        <w:t>approaches to market for construction contracts over $7.5</w:t>
      </w:r>
      <w:r w:rsidRPr="007A3600">
        <w:t> </w:t>
      </w:r>
      <w:r w:rsidR="002F7DE0" w:rsidRPr="007A3600">
        <w:t>million</w:t>
      </w:r>
      <w:r w:rsidRPr="007A3600">
        <w:t>. S</w:t>
      </w:r>
      <w:r w:rsidR="002F7DE0" w:rsidRPr="007A3600">
        <w:t xml:space="preserve">pecific evaluation criteria </w:t>
      </w:r>
      <w:r w:rsidRPr="007A3600">
        <w:t xml:space="preserve">were included </w:t>
      </w:r>
      <w:r w:rsidR="002F7DE0" w:rsidRPr="007A3600">
        <w:t>in approach to market documentation requiring tenderers to submit an ESP Plan for evaluation</w:t>
      </w:r>
    </w:p>
    <w:p w14:paraId="45731F5C" w14:textId="1DEFA661" w:rsidR="002F7DE0" w:rsidRPr="007A3600" w:rsidRDefault="00B766AB" w:rsidP="00AD3197">
      <w:pPr>
        <w:pStyle w:val="Bullet1"/>
      </w:pPr>
      <w:r w:rsidRPr="007A3600">
        <w:t xml:space="preserve">started </w:t>
      </w:r>
      <w:r w:rsidR="002F7DE0" w:rsidRPr="007A3600">
        <w:t>purchasing 100% recycled corporate uniforms and copy paper</w:t>
      </w:r>
    </w:p>
    <w:p w14:paraId="6C86E463" w14:textId="4B63D558" w:rsidR="002F7DE0" w:rsidRPr="007A3600" w:rsidRDefault="00B766AB" w:rsidP="00AD3197">
      <w:pPr>
        <w:pStyle w:val="Bullet1"/>
      </w:pPr>
      <w:r w:rsidRPr="007A3600">
        <w:t xml:space="preserve">started </w:t>
      </w:r>
      <w:r w:rsidR="002F7DE0" w:rsidRPr="007A3600">
        <w:t>skills development through launch of the NDIA Climate Approach to all staff and through engagement with key stakeholders.</w:t>
      </w:r>
    </w:p>
    <w:p w14:paraId="0DF48D40" w14:textId="545E569F" w:rsidR="002F7DE0" w:rsidRPr="007A3600" w:rsidRDefault="002F7DE0" w:rsidP="00AD3197">
      <w:pPr>
        <w:pStyle w:val="Heading4"/>
      </w:pPr>
      <w:bookmarkStart w:id="295" w:name="_Emissions_reporting"/>
      <w:bookmarkStart w:id="296" w:name="_Toc207017770"/>
      <w:bookmarkEnd w:id="295"/>
      <w:r w:rsidRPr="007A3600">
        <w:t>Emissions reporting</w:t>
      </w:r>
      <w:bookmarkEnd w:id="296"/>
    </w:p>
    <w:p w14:paraId="144580B4" w14:textId="2F0B4675" w:rsidR="00E112EC" w:rsidRPr="007A3600" w:rsidRDefault="002F7DE0" w:rsidP="00AD3197">
      <w:hyperlink r:id="rId175" w:tgtFrame="_blank" w:history="1">
        <w:r w:rsidRPr="007A3600">
          <w:rPr>
            <w:rStyle w:val="Hyperlink"/>
          </w:rPr>
          <w:t>APS Net Zero by 2030</w:t>
        </w:r>
      </w:hyperlink>
      <w:r w:rsidRPr="007A3600">
        <w:rPr>
          <w:u w:val="single"/>
        </w:rPr>
        <w:t xml:space="preserve"> </w:t>
      </w:r>
      <w:r w:rsidRPr="007A3600">
        <w:t xml:space="preserve">is the Government’s policy for the APS to reduce its greenhouse gas emissions to net zero by 2030 and transparently report on its emissions. As part of the Net Zero in Government Operations Strategy and </w:t>
      </w:r>
      <w:r w:rsidR="00B766AB" w:rsidRPr="007A3600">
        <w:t xml:space="preserve">relevant </w:t>
      </w:r>
      <w:r w:rsidRPr="007A3600">
        <w:t>reporting requirements</w:t>
      </w:r>
      <w:r w:rsidR="00640010" w:rsidRPr="007A3600">
        <w:t>,</w:t>
      </w:r>
      <w:r w:rsidRPr="007A3600">
        <w:t xml:space="preserve"> CCEs such as the NDIA are required to report on their operational greenhouse gas (GHG) emissions.</w:t>
      </w:r>
    </w:p>
    <w:p w14:paraId="0C5D8FBF" w14:textId="50B8C90C" w:rsidR="00CD3C2B" w:rsidRPr="007A3600" w:rsidRDefault="003B1792" w:rsidP="00AD3197">
      <w:r w:rsidRPr="007A3600">
        <w:t xml:space="preserve">Tables </w:t>
      </w:r>
      <w:r w:rsidR="001C6CA1" w:rsidRPr="007A3600">
        <w:t>2</w:t>
      </w:r>
      <w:r w:rsidR="000204F5" w:rsidRPr="007A3600">
        <w:t>6</w:t>
      </w:r>
      <w:r w:rsidRPr="007A3600">
        <w:t xml:space="preserve"> and </w:t>
      </w:r>
      <w:r w:rsidR="001C6CA1" w:rsidRPr="007A3600">
        <w:t>2</w:t>
      </w:r>
      <w:r w:rsidR="000204F5" w:rsidRPr="007A3600">
        <w:t>7</w:t>
      </w:r>
      <w:r w:rsidR="00CD3C2B" w:rsidRPr="007A3600">
        <w:t xml:space="preserve"> present </w:t>
      </w:r>
      <w:r w:rsidR="00EC2620" w:rsidRPr="007A3600">
        <w:t xml:space="preserve">GHG </w:t>
      </w:r>
      <w:r w:rsidR="00CD3C2B" w:rsidRPr="007A3600">
        <w:t xml:space="preserve">emissions </w:t>
      </w:r>
      <w:r w:rsidR="00EC2620" w:rsidRPr="007A3600">
        <w:t>in</w:t>
      </w:r>
      <w:r w:rsidR="00CD3C2B" w:rsidRPr="007A3600">
        <w:t xml:space="preserve"> 2024–25. The emissions reported are calculated on the basis of </w:t>
      </w:r>
      <w:r w:rsidR="00EC2620" w:rsidRPr="007A3600">
        <w:t>c</w:t>
      </w:r>
      <w:r w:rsidR="00CD3C2B" w:rsidRPr="007A3600">
        <w:t xml:space="preserve">arbon </w:t>
      </w:r>
      <w:r w:rsidR="00EC2620" w:rsidRPr="007A3600">
        <w:t>d</w:t>
      </w:r>
      <w:r w:rsidR="00CD3C2B" w:rsidRPr="007A3600">
        <w:t xml:space="preserve">ioxide </w:t>
      </w:r>
      <w:r w:rsidR="00EC2620" w:rsidRPr="007A3600">
        <w:t>e</w:t>
      </w:r>
      <w:r w:rsidR="00CD3C2B" w:rsidRPr="007A3600">
        <w:t>quivalent (CO2-e) and in line with the Emissions Reporting Framework</w:t>
      </w:r>
      <w:r w:rsidR="00B766AB" w:rsidRPr="007A3600">
        <w:t>, and are reliant on data sourced from third party providers</w:t>
      </w:r>
      <w:r w:rsidR="00CD3C2B" w:rsidRPr="007A3600">
        <w:t xml:space="preserve">. </w:t>
      </w:r>
    </w:p>
    <w:p w14:paraId="36FD648D" w14:textId="5C05C32D" w:rsidR="0080171B" w:rsidRPr="007A3600" w:rsidRDefault="0080171B" w:rsidP="00AD3197">
      <w:pPr>
        <w:pStyle w:val="Caption"/>
      </w:pPr>
      <w:r w:rsidRPr="007A3600">
        <w:lastRenderedPageBreak/>
        <w:t xml:space="preserve">Table </w:t>
      </w:r>
      <w:r w:rsidR="001C6CA1" w:rsidRPr="007A3600">
        <w:t>2</w:t>
      </w:r>
      <w:r w:rsidR="000204F5" w:rsidRPr="007A3600">
        <w:t>6</w:t>
      </w:r>
      <w:r w:rsidRPr="007A3600">
        <w:t xml:space="preserve">: </w:t>
      </w:r>
      <w:r w:rsidR="002F7DE0" w:rsidRPr="007A3600">
        <w:t xml:space="preserve">2024–25 </w:t>
      </w:r>
      <w:r w:rsidR="008A3348" w:rsidRPr="007A3600">
        <w:t>G</w:t>
      </w:r>
      <w:r w:rsidRPr="007A3600">
        <w:t>reenhouse gas emissions inventory – location-based</w:t>
      </w:r>
      <w:r w:rsidR="00015EFE" w:rsidRPr="007A3600">
        <w:t xml:space="preserve"> </w:t>
      </w:r>
      <w:r w:rsidRPr="007A3600">
        <w:t>method</w:t>
      </w:r>
    </w:p>
    <w:tbl>
      <w:tblPr>
        <w:tblStyle w:val="NDISTable1"/>
        <w:tblW w:w="9074" w:type="dxa"/>
        <w:tblLayout w:type="fixed"/>
        <w:tblLook w:val="0420" w:firstRow="1" w:lastRow="0" w:firstColumn="0" w:lastColumn="0" w:noHBand="0" w:noVBand="1"/>
      </w:tblPr>
      <w:tblGrid>
        <w:gridCol w:w="3061"/>
        <w:gridCol w:w="1361"/>
        <w:gridCol w:w="1361"/>
        <w:gridCol w:w="1361"/>
        <w:gridCol w:w="1930"/>
      </w:tblGrid>
      <w:tr w:rsidR="0026718D" w:rsidRPr="007A3600" w14:paraId="3A052C16" w14:textId="77777777" w:rsidTr="0026718D">
        <w:trPr>
          <w:cnfStyle w:val="100000000000" w:firstRow="1" w:lastRow="0" w:firstColumn="0" w:lastColumn="0" w:oddVBand="0" w:evenVBand="0" w:oddHBand="0" w:evenHBand="0" w:firstRowFirstColumn="0" w:firstRowLastColumn="0" w:lastRowFirstColumn="0" w:lastRowLastColumn="0"/>
        </w:trPr>
        <w:tc>
          <w:tcPr>
            <w:tcW w:w="3061" w:type="dxa"/>
          </w:tcPr>
          <w:p w14:paraId="2F0105FF" w14:textId="77777777" w:rsidR="00525CD9" w:rsidRPr="007A3600" w:rsidRDefault="00525CD9" w:rsidP="00AD3197">
            <w:pPr>
              <w:pStyle w:val="TableBody"/>
              <w:rPr>
                <w:b/>
                <w:bCs/>
              </w:rPr>
            </w:pPr>
            <w:r w:rsidRPr="007A3600">
              <w:t>Emission source</w:t>
            </w:r>
          </w:p>
        </w:tc>
        <w:tc>
          <w:tcPr>
            <w:tcW w:w="1361" w:type="dxa"/>
          </w:tcPr>
          <w:p w14:paraId="554FD2DD" w14:textId="77777777" w:rsidR="00525CD9" w:rsidRPr="007A3600" w:rsidRDefault="00525CD9" w:rsidP="00AD3197">
            <w:pPr>
              <w:pStyle w:val="TableBody"/>
              <w:jc w:val="right"/>
              <w:rPr>
                <w:b/>
                <w:bCs/>
              </w:rPr>
            </w:pPr>
            <w:r w:rsidRPr="007A3600">
              <w:t>Scope 1</w:t>
            </w:r>
            <w:r w:rsidRPr="007A3600">
              <w:br/>
              <w:t>t CO</w:t>
            </w:r>
            <w:r w:rsidRPr="007A3600">
              <w:rPr>
                <w:vertAlign w:val="subscript"/>
              </w:rPr>
              <w:t>2</w:t>
            </w:r>
            <w:r w:rsidRPr="007A3600">
              <w:t>-e</w:t>
            </w:r>
          </w:p>
        </w:tc>
        <w:tc>
          <w:tcPr>
            <w:tcW w:w="1361" w:type="dxa"/>
          </w:tcPr>
          <w:p w14:paraId="72595035" w14:textId="2E76AC7C" w:rsidR="00525CD9" w:rsidRPr="007A3600" w:rsidRDefault="00525CD9" w:rsidP="00AD3197">
            <w:pPr>
              <w:pStyle w:val="TableBody"/>
              <w:jc w:val="right"/>
              <w:rPr>
                <w:b/>
                <w:bCs/>
              </w:rPr>
            </w:pPr>
            <w:r w:rsidRPr="007A3600">
              <w:t>Scope 2</w:t>
            </w:r>
            <w:r w:rsidRPr="007A3600">
              <w:br/>
              <w:t xml:space="preserve"> </w:t>
            </w:r>
            <w:r w:rsidR="00BF4D3F" w:rsidRPr="007A3600">
              <w:t>t CO</w:t>
            </w:r>
            <w:r w:rsidR="00BF4D3F" w:rsidRPr="007A3600">
              <w:rPr>
                <w:vertAlign w:val="subscript"/>
              </w:rPr>
              <w:t>2</w:t>
            </w:r>
            <w:r w:rsidR="00BF4D3F" w:rsidRPr="007A3600">
              <w:t>-</w:t>
            </w:r>
            <w:r w:rsidRPr="007A3600" w:rsidDel="00BF4D3F">
              <w:t>e</w:t>
            </w:r>
          </w:p>
        </w:tc>
        <w:tc>
          <w:tcPr>
            <w:tcW w:w="1361" w:type="dxa"/>
          </w:tcPr>
          <w:p w14:paraId="6766FEFB" w14:textId="32E961A7" w:rsidR="00525CD9" w:rsidRPr="007A3600" w:rsidRDefault="00525CD9" w:rsidP="00AD3197">
            <w:pPr>
              <w:pStyle w:val="TableBody"/>
              <w:jc w:val="right"/>
              <w:rPr>
                <w:b/>
                <w:bCs/>
              </w:rPr>
            </w:pPr>
            <w:r w:rsidRPr="007A3600">
              <w:t>Scope 3</w:t>
            </w:r>
            <w:r w:rsidRPr="007A3600">
              <w:br/>
              <w:t xml:space="preserve"> </w:t>
            </w:r>
            <w:r w:rsidR="00BF4D3F" w:rsidRPr="007A3600">
              <w:t>t CO</w:t>
            </w:r>
            <w:r w:rsidR="00BF4D3F" w:rsidRPr="007A3600">
              <w:rPr>
                <w:vertAlign w:val="subscript"/>
              </w:rPr>
              <w:t>2</w:t>
            </w:r>
            <w:r w:rsidR="00BF4D3F" w:rsidRPr="007A3600">
              <w:t>-</w:t>
            </w:r>
            <w:r w:rsidRPr="007A3600" w:rsidDel="00BF4D3F">
              <w:t>e</w:t>
            </w:r>
          </w:p>
        </w:tc>
        <w:tc>
          <w:tcPr>
            <w:tcW w:w="1930" w:type="dxa"/>
          </w:tcPr>
          <w:p w14:paraId="7550DB97" w14:textId="77777777" w:rsidR="00525CD9" w:rsidRPr="007A3600" w:rsidRDefault="00525CD9" w:rsidP="00AD3197">
            <w:pPr>
              <w:pStyle w:val="TableBody"/>
              <w:jc w:val="right"/>
              <w:rPr>
                <w:b/>
                <w:bCs/>
              </w:rPr>
            </w:pPr>
            <w:r w:rsidRPr="007A3600">
              <w:t>Percentage of electricity used</w:t>
            </w:r>
          </w:p>
        </w:tc>
      </w:tr>
      <w:tr w:rsidR="0029157E" w:rsidRPr="007A3600" w14:paraId="14DAA754" w14:textId="77777777" w:rsidTr="0026718D">
        <w:trPr>
          <w:cnfStyle w:val="000000100000" w:firstRow="0" w:lastRow="0" w:firstColumn="0" w:lastColumn="0" w:oddVBand="0" w:evenVBand="0" w:oddHBand="1" w:evenHBand="0" w:firstRowFirstColumn="0" w:firstRowLastColumn="0" w:lastRowFirstColumn="0" w:lastRowLastColumn="0"/>
        </w:trPr>
        <w:tc>
          <w:tcPr>
            <w:tcW w:w="3061" w:type="dxa"/>
          </w:tcPr>
          <w:p w14:paraId="7DD2A142" w14:textId="29573E31" w:rsidR="0060280C" w:rsidRPr="007A3600" w:rsidRDefault="0060280C" w:rsidP="00AD3197">
            <w:pPr>
              <w:pStyle w:val="TableBody"/>
            </w:pPr>
            <w:r w:rsidRPr="007A3600">
              <w:rPr>
                <w:color w:val="000000"/>
                <w:szCs w:val="24"/>
              </w:rPr>
              <w:t>Electricity (</w:t>
            </w:r>
            <w:r w:rsidR="0060173C" w:rsidRPr="007A3600">
              <w:rPr>
                <w:color w:val="000000"/>
                <w:szCs w:val="24"/>
              </w:rPr>
              <w:t>l</w:t>
            </w:r>
            <w:r w:rsidRPr="007A3600">
              <w:rPr>
                <w:color w:val="000000"/>
                <w:szCs w:val="24"/>
              </w:rPr>
              <w:t>ocation-</w:t>
            </w:r>
            <w:r w:rsidR="0060173C" w:rsidRPr="007A3600">
              <w:rPr>
                <w:color w:val="000000"/>
                <w:szCs w:val="24"/>
              </w:rPr>
              <w:t>b</w:t>
            </w:r>
            <w:r w:rsidRPr="007A3600">
              <w:rPr>
                <w:color w:val="000000"/>
                <w:szCs w:val="24"/>
              </w:rPr>
              <w:t xml:space="preserve">ased </w:t>
            </w:r>
            <w:r w:rsidR="0060173C" w:rsidRPr="007A3600">
              <w:rPr>
                <w:color w:val="000000"/>
                <w:szCs w:val="24"/>
              </w:rPr>
              <w:t>a</w:t>
            </w:r>
            <w:r w:rsidRPr="007A3600">
              <w:rPr>
                <w:color w:val="000000"/>
                <w:szCs w:val="24"/>
              </w:rPr>
              <w:t>pproach)</w:t>
            </w:r>
            <w:r w:rsidRPr="007A3600">
              <w:rPr>
                <w:color w:val="000000"/>
                <w:szCs w:val="24"/>
                <w:vertAlign w:val="superscript"/>
              </w:rPr>
              <w:t>1,3</w:t>
            </w:r>
            <w:r w:rsidRPr="007A3600">
              <w:rPr>
                <w:rFonts w:eastAsia="Aptos"/>
                <w:color w:val="000000" w:themeColor="accent6"/>
                <w:sz w:val="20"/>
                <w:szCs w:val="20"/>
                <w:vertAlign w:val="superscript"/>
              </w:rPr>
              <w:t xml:space="preserve"> </w:t>
            </w:r>
          </w:p>
        </w:tc>
        <w:tc>
          <w:tcPr>
            <w:tcW w:w="1361" w:type="dxa"/>
          </w:tcPr>
          <w:p w14:paraId="14815019" w14:textId="4964C6C9" w:rsidR="0060280C" w:rsidRPr="007A3600" w:rsidRDefault="00EB609B" w:rsidP="00AD3197">
            <w:pPr>
              <w:pStyle w:val="TableBody"/>
              <w:jc w:val="right"/>
            </w:pPr>
            <w:r>
              <w:rPr>
                <w:color w:val="000000"/>
                <w:szCs w:val="24"/>
              </w:rPr>
              <w:t>N/A</w:t>
            </w:r>
          </w:p>
        </w:tc>
        <w:tc>
          <w:tcPr>
            <w:tcW w:w="1361" w:type="dxa"/>
          </w:tcPr>
          <w:p w14:paraId="3FEA90F2" w14:textId="2494330F" w:rsidR="0060280C" w:rsidRPr="007A3600" w:rsidRDefault="0060280C" w:rsidP="00AD3197">
            <w:pPr>
              <w:pStyle w:val="TableBody"/>
              <w:jc w:val="right"/>
              <w:rPr>
                <w:vertAlign w:val="superscript"/>
              </w:rPr>
            </w:pPr>
            <w:r w:rsidRPr="007A3600">
              <w:rPr>
                <w:color w:val="000000"/>
                <w:szCs w:val="24"/>
              </w:rPr>
              <w:t>1,569.02</w:t>
            </w:r>
          </w:p>
        </w:tc>
        <w:tc>
          <w:tcPr>
            <w:tcW w:w="1361" w:type="dxa"/>
          </w:tcPr>
          <w:p w14:paraId="24C760CB" w14:textId="647799BB" w:rsidR="0060280C" w:rsidRPr="007A3600" w:rsidRDefault="0060280C" w:rsidP="00AD3197">
            <w:pPr>
              <w:pStyle w:val="TableBody"/>
              <w:jc w:val="right"/>
              <w:rPr>
                <w:vertAlign w:val="superscript"/>
              </w:rPr>
            </w:pPr>
            <w:r w:rsidRPr="007A3600">
              <w:rPr>
                <w:color w:val="000000"/>
                <w:szCs w:val="24"/>
              </w:rPr>
              <w:t>160.73</w:t>
            </w:r>
          </w:p>
        </w:tc>
        <w:tc>
          <w:tcPr>
            <w:tcW w:w="1930" w:type="dxa"/>
          </w:tcPr>
          <w:p w14:paraId="0FD90D29" w14:textId="5B5183DF" w:rsidR="0060280C" w:rsidRPr="007A3600" w:rsidRDefault="0060280C" w:rsidP="00AD3197">
            <w:pPr>
              <w:pStyle w:val="TableBody"/>
              <w:jc w:val="right"/>
              <w:rPr>
                <w:vertAlign w:val="superscript"/>
              </w:rPr>
            </w:pPr>
            <w:r w:rsidRPr="007A3600">
              <w:rPr>
                <w:color w:val="000000"/>
                <w:szCs w:val="24"/>
              </w:rPr>
              <w:t>1,729.76</w:t>
            </w:r>
          </w:p>
        </w:tc>
      </w:tr>
      <w:tr w:rsidR="005C2608" w:rsidRPr="007A3600" w14:paraId="709BC4F6" w14:textId="77777777" w:rsidTr="0026718D">
        <w:tc>
          <w:tcPr>
            <w:tcW w:w="3061" w:type="dxa"/>
          </w:tcPr>
          <w:p w14:paraId="5B421ED9" w14:textId="17339293" w:rsidR="0060280C" w:rsidRPr="007A3600" w:rsidRDefault="0060280C" w:rsidP="00AD3197">
            <w:pPr>
              <w:pStyle w:val="TableBody"/>
            </w:pPr>
            <w:r w:rsidRPr="007A3600">
              <w:rPr>
                <w:color w:val="000000"/>
                <w:szCs w:val="24"/>
              </w:rPr>
              <w:t xml:space="preserve">Natural </w:t>
            </w:r>
            <w:r w:rsidR="0060173C" w:rsidRPr="007A3600">
              <w:rPr>
                <w:color w:val="000000"/>
                <w:szCs w:val="24"/>
              </w:rPr>
              <w:t>g</w:t>
            </w:r>
            <w:r w:rsidRPr="007A3600">
              <w:rPr>
                <w:color w:val="000000"/>
                <w:szCs w:val="24"/>
              </w:rPr>
              <w:t>as</w:t>
            </w:r>
          </w:p>
        </w:tc>
        <w:tc>
          <w:tcPr>
            <w:tcW w:w="1361" w:type="dxa"/>
          </w:tcPr>
          <w:p w14:paraId="12A6595B" w14:textId="7627333C" w:rsidR="0060280C" w:rsidRPr="007A3600" w:rsidRDefault="0060280C" w:rsidP="00AD3197">
            <w:pPr>
              <w:pStyle w:val="TableBody"/>
              <w:jc w:val="right"/>
            </w:pPr>
            <w:r w:rsidRPr="007A3600">
              <w:rPr>
                <w:color w:val="000000"/>
                <w:szCs w:val="24"/>
              </w:rPr>
              <w:t>0.73</w:t>
            </w:r>
          </w:p>
        </w:tc>
        <w:tc>
          <w:tcPr>
            <w:tcW w:w="1361" w:type="dxa"/>
          </w:tcPr>
          <w:p w14:paraId="12BEA877" w14:textId="3A2AECB4" w:rsidR="0060280C" w:rsidRPr="007A3600" w:rsidRDefault="00EB609B" w:rsidP="00AD3197">
            <w:pPr>
              <w:pStyle w:val="TableBody"/>
              <w:jc w:val="right"/>
              <w:rPr>
                <w:vertAlign w:val="superscript"/>
              </w:rPr>
            </w:pPr>
            <w:r>
              <w:rPr>
                <w:color w:val="000000"/>
                <w:szCs w:val="24"/>
              </w:rPr>
              <w:t>N/A</w:t>
            </w:r>
          </w:p>
        </w:tc>
        <w:tc>
          <w:tcPr>
            <w:tcW w:w="1361" w:type="dxa"/>
          </w:tcPr>
          <w:p w14:paraId="37519DBF" w14:textId="78CFFB4C" w:rsidR="0060280C" w:rsidRPr="007A3600" w:rsidRDefault="0060280C" w:rsidP="00AD3197">
            <w:pPr>
              <w:pStyle w:val="TableBody"/>
              <w:jc w:val="right"/>
              <w:rPr>
                <w:vertAlign w:val="superscript"/>
              </w:rPr>
            </w:pPr>
            <w:r w:rsidRPr="007A3600">
              <w:rPr>
                <w:color w:val="000000"/>
                <w:szCs w:val="24"/>
              </w:rPr>
              <w:t>0.06</w:t>
            </w:r>
          </w:p>
        </w:tc>
        <w:tc>
          <w:tcPr>
            <w:tcW w:w="1930" w:type="dxa"/>
          </w:tcPr>
          <w:p w14:paraId="511D6AEC" w14:textId="5DE88DA4" w:rsidR="0060280C" w:rsidRPr="007A3600" w:rsidRDefault="0060280C" w:rsidP="00AD3197">
            <w:pPr>
              <w:pStyle w:val="TableBody"/>
              <w:jc w:val="right"/>
              <w:rPr>
                <w:vertAlign w:val="superscript"/>
              </w:rPr>
            </w:pPr>
            <w:r w:rsidRPr="007A3600">
              <w:rPr>
                <w:color w:val="000000"/>
                <w:szCs w:val="24"/>
              </w:rPr>
              <w:t>0.78</w:t>
            </w:r>
          </w:p>
        </w:tc>
      </w:tr>
      <w:tr w:rsidR="0029157E" w:rsidRPr="007A3600" w14:paraId="0999C128" w14:textId="77777777" w:rsidTr="0026718D">
        <w:trPr>
          <w:cnfStyle w:val="000000100000" w:firstRow="0" w:lastRow="0" w:firstColumn="0" w:lastColumn="0" w:oddVBand="0" w:evenVBand="0" w:oddHBand="1" w:evenHBand="0" w:firstRowFirstColumn="0" w:firstRowLastColumn="0" w:lastRowFirstColumn="0" w:lastRowLastColumn="0"/>
        </w:trPr>
        <w:tc>
          <w:tcPr>
            <w:tcW w:w="3061" w:type="dxa"/>
          </w:tcPr>
          <w:p w14:paraId="09BA499E" w14:textId="308ADFEE" w:rsidR="00E669F7" w:rsidRPr="007A3600" w:rsidRDefault="00E669F7" w:rsidP="00AD3197">
            <w:pPr>
              <w:pStyle w:val="TableBody"/>
            </w:pPr>
            <w:r w:rsidRPr="007A3600">
              <w:rPr>
                <w:color w:val="000000"/>
                <w:szCs w:val="24"/>
              </w:rPr>
              <w:t>Solid w</w:t>
            </w:r>
            <w:r w:rsidR="0060280C" w:rsidRPr="007A3600">
              <w:rPr>
                <w:color w:val="000000"/>
                <w:szCs w:val="24"/>
              </w:rPr>
              <w:t>aste</w:t>
            </w:r>
            <w:r w:rsidR="0060280C" w:rsidRPr="007A3600">
              <w:rPr>
                <w:color w:val="000000"/>
                <w:szCs w:val="24"/>
                <w:vertAlign w:val="superscript"/>
              </w:rPr>
              <w:t>1</w:t>
            </w:r>
          </w:p>
        </w:tc>
        <w:tc>
          <w:tcPr>
            <w:tcW w:w="1361" w:type="dxa"/>
          </w:tcPr>
          <w:p w14:paraId="4AA6F1DD" w14:textId="5ABD6EB9" w:rsidR="00E669F7" w:rsidRPr="007A3600" w:rsidRDefault="00E669F7" w:rsidP="00AD3197">
            <w:pPr>
              <w:pStyle w:val="TableBody"/>
              <w:jc w:val="right"/>
            </w:pPr>
            <w:r w:rsidRPr="007A3600">
              <w:rPr>
                <w:rFonts w:ascii="Symbol" w:eastAsia="Symbol" w:hAnsi="Symbol" w:cs="Symbol"/>
              </w:rPr>
              <w:sym w:font="Symbol" w:char="F02D"/>
            </w:r>
          </w:p>
        </w:tc>
        <w:tc>
          <w:tcPr>
            <w:tcW w:w="1361" w:type="dxa"/>
          </w:tcPr>
          <w:p w14:paraId="01997F5C" w14:textId="1BC78D82" w:rsidR="00E669F7" w:rsidRPr="007A3600" w:rsidRDefault="00EB609B" w:rsidP="00AD3197">
            <w:pPr>
              <w:pStyle w:val="TableBody"/>
              <w:jc w:val="right"/>
              <w:rPr>
                <w:vertAlign w:val="superscript"/>
              </w:rPr>
            </w:pPr>
            <w:r>
              <w:rPr>
                <w:color w:val="000000"/>
                <w:szCs w:val="24"/>
              </w:rPr>
              <w:t>N/A</w:t>
            </w:r>
          </w:p>
        </w:tc>
        <w:tc>
          <w:tcPr>
            <w:tcW w:w="1361" w:type="dxa"/>
          </w:tcPr>
          <w:p w14:paraId="78B79840" w14:textId="391719B7" w:rsidR="00E669F7" w:rsidRPr="007A3600" w:rsidRDefault="00E669F7" w:rsidP="00AD3197">
            <w:pPr>
              <w:pStyle w:val="TableBody"/>
              <w:jc w:val="right"/>
              <w:rPr>
                <w:vertAlign w:val="superscript"/>
              </w:rPr>
            </w:pPr>
            <w:r w:rsidRPr="007A3600">
              <w:rPr>
                <w:color w:val="000000"/>
                <w:szCs w:val="24"/>
              </w:rPr>
              <w:t>4.50</w:t>
            </w:r>
          </w:p>
        </w:tc>
        <w:tc>
          <w:tcPr>
            <w:tcW w:w="1930" w:type="dxa"/>
          </w:tcPr>
          <w:p w14:paraId="3658D96B" w14:textId="46424D15" w:rsidR="00E669F7" w:rsidRPr="007A3600" w:rsidRDefault="00E669F7" w:rsidP="00AD3197">
            <w:pPr>
              <w:pStyle w:val="TableBody"/>
              <w:jc w:val="right"/>
              <w:rPr>
                <w:vertAlign w:val="superscript"/>
              </w:rPr>
            </w:pPr>
            <w:r w:rsidRPr="007A3600">
              <w:rPr>
                <w:color w:val="000000"/>
                <w:szCs w:val="24"/>
              </w:rPr>
              <w:t>4.50</w:t>
            </w:r>
          </w:p>
        </w:tc>
      </w:tr>
      <w:tr w:rsidR="005C2608" w:rsidRPr="007A3600" w14:paraId="16F4AFD7" w14:textId="77777777" w:rsidTr="0026718D">
        <w:tc>
          <w:tcPr>
            <w:tcW w:w="3061" w:type="dxa"/>
          </w:tcPr>
          <w:p w14:paraId="09BC68BA" w14:textId="78940308" w:rsidR="00E669F7" w:rsidRPr="007A3600" w:rsidRDefault="00E669F7" w:rsidP="00AD3197">
            <w:pPr>
              <w:pStyle w:val="TableBody"/>
            </w:pPr>
            <w:r w:rsidRPr="007A3600">
              <w:rPr>
                <w:color w:val="000000"/>
                <w:szCs w:val="24"/>
              </w:rPr>
              <w:t>Refrigerants</w:t>
            </w:r>
            <w:r w:rsidRPr="007A3600">
              <w:rPr>
                <w:rFonts w:eastAsia="Aptos"/>
                <w:color w:val="000000" w:themeColor="accent6"/>
                <w:szCs w:val="24"/>
                <w:vertAlign w:val="superscript"/>
              </w:rPr>
              <w:t>2</w:t>
            </w:r>
          </w:p>
        </w:tc>
        <w:tc>
          <w:tcPr>
            <w:tcW w:w="1361" w:type="dxa"/>
          </w:tcPr>
          <w:p w14:paraId="1C0A508F" w14:textId="304D9111" w:rsidR="00E669F7" w:rsidRPr="007A3600" w:rsidRDefault="00E669F7" w:rsidP="00AD3197">
            <w:pPr>
              <w:pStyle w:val="TableBody"/>
              <w:jc w:val="right"/>
            </w:pPr>
            <w:r w:rsidRPr="007A3600">
              <w:rPr>
                <w:rFonts w:ascii="Symbol" w:eastAsia="Symbol" w:hAnsi="Symbol" w:cs="Symbol"/>
              </w:rPr>
              <w:sym w:font="Symbol" w:char="F02D"/>
            </w:r>
          </w:p>
        </w:tc>
        <w:tc>
          <w:tcPr>
            <w:tcW w:w="1361" w:type="dxa"/>
          </w:tcPr>
          <w:p w14:paraId="52C13F23" w14:textId="518C7F14" w:rsidR="00E669F7" w:rsidRPr="007A3600" w:rsidRDefault="00EB609B" w:rsidP="00AD3197">
            <w:pPr>
              <w:pStyle w:val="TableBody"/>
              <w:jc w:val="right"/>
              <w:rPr>
                <w:vertAlign w:val="superscript"/>
              </w:rPr>
            </w:pPr>
            <w:r>
              <w:rPr>
                <w:color w:val="000000"/>
                <w:szCs w:val="24"/>
              </w:rPr>
              <w:t>N/A</w:t>
            </w:r>
          </w:p>
        </w:tc>
        <w:tc>
          <w:tcPr>
            <w:tcW w:w="1361" w:type="dxa"/>
          </w:tcPr>
          <w:p w14:paraId="5A9FFC9A" w14:textId="15F40DB7" w:rsidR="00E669F7" w:rsidRPr="007A3600" w:rsidRDefault="00EB609B" w:rsidP="00AD3197">
            <w:pPr>
              <w:pStyle w:val="TableBody"/>
              <w:jc w:val="right"/>
              <w:rPr>
                <w:vertAlign w:val="superscript"/>
              </w:rPr>
            </w:pPr>
            <w:r>
              <w:rPr>
                <w:color w:val="000000"/>
                <w:szCs w:val="24"/>
              </w:rPr>
              <w:t>N/A</w:t>
            </w:r>
          </w:p>
        </w:tc>
        <w:tc>
          <w:tcPr>
            <w:tcW w:w="1930" w:type="dxa"/>
          </w:tcPr>
          <w:p w14:paraId="46AA8672" w14:textId="2AC2F532" w:rsidR="00E669F7" w:rsidRPr="007A3600" w:rsidRDefault="00E669F7" w:rsidP="00AD3197">
            <w:pPr>
              <w:pStyle w:val="TableBody"/>
              <w:jc w:val="right"/>
              <w:rPr>
                <w:vertAlign w:val="superscript"/>
              </w:rPr>
            </w:pPr>
            <w:r w:rsidRPr="007A3600">
              <w:rPr>
                <w:rFonts w:ascii="Symbol" w:eastAsia="Symbol" w:hAnsi="Symbol" w:cs="Symbol"/>
              </w:rPr>
              <w:sym w:font="Symbol" w:char="F02D"/>
            </w:r>
          </w:p>
        </w:tc>
      </w:tr>
      <w:tr w:rsidR="0029157E" w:rsidRPr="007A3600" w14:paraId="162D2E63" w14:textId="77777777" w:rsidTr="0026718D">
        <w:trPr>
          <w:cnfStyle w:val="000000100000" w:firstRow="0" w:lastRow="0" w:firstColumn="0" w:lastColumn="0" w:oddVBand="0" w:evenVBand="0" w:oddHBand="1" w:evenHBand="0" w:firstRowFirstColumn="0" w:firstRowLastColumn="0" w:lastRowFirstColumn="0" w:lastRowLastColumn="0"/>
        </w:trPr>
        <w:tc>
          <w:tcPr>
            <w:tcW w:w="3061" w:type="dxa"/>
          </w:tcPr>
          <w:p w14:paraId="76799E1C" w14:textId="408BCE88" w:rsidR="0060280C" w:rsidRPr="007A3600" w:rsidRDefault="0060280C" w:rsidP="00AD3197">
            <w:pPr>
              <w:pStyle w:val="TableBody"/>
            </w:pPr>
            <w:r w:rsidRPr="007A3600">
              <w:rPr>
                <w:color w:val="000000"/>
                <w:szCs w:val="24"/>
              </w:rPr>
              <w:t xml:space="preserve">Fleet and </w:t>
            </w:r>
            <w:r w:rsidR="0060173C" w:rsidRPr="007A3600">
              <w:rPr>
                <w:color w:val="000000"/>
                <w:szCs w:val="24"/>
              </w:rPr>
              <w:t>o</w:t>
            </w:r>
            <w:r w:rsidRPr="007A3600">
              <w:rPr>
                <w:color w:val="000000"/>
                <w:szCs w:val="24"/>
              </w:rPr>
              <w:t xml:space="preserve">ther </w:t>
            </w:r>
            <w:r w:rsidR="0060173C" w:rsidRPr="007A3600">
              <w:rPr>
                <w:color w:val="000000"/>
                <w:szCs w:val="24"/>
              </w:rPr>
              <w:t>v</w:t>
            </w:r>
            <w:r w:rsidRPr="007A3600">
              <w:rPr>
                <w:color w:val="000000"/>
                <w:szCs w:val="24"/>
              </w:rPr>
              <w:t>ehicles</w:t>
            </w:r>
          </w:p>
        </w:tc>
        <w:tc>
          <w:tcPr>
            <w:tcW w:w="1361" w:type="dxa"/>
          </w:tcPr>
          <w:p w14:paraId="32B3844B" w14:textId="338E791D" w:rsidR="0060280C" w:rsidRPr="007A3600" w:rsidRDefault="0060280C" w:rsidP="00AD3197">
            <w:pPr>
              <w:pStyle w:val="TableBody"/>
              <w:jc w:val="right"/>
            </w:pPr>
            <w:r w:rsidRPr="007A3600">
              <w:rPr>
                <w:color w:val="000000"/>
                <w:szCs w:val="24"/>
              </w:rPr>
              <w:t>136.66</w:t>
            </w:r>
          </w:p>
        </w:tc>
        <w:tc>
          <w:tcPr>
            <w:tcW w:w="1361" w:type="dxa"/>
          </w:tcPr>
          <w:p w14:paraId="2BE70F48" w14:textId="4EBEEB17" w:rsidR="0060280C" w:rsidRPr="007A3600" w:rsidRDefault="00EB609B" w:rsidP="00AD3197">
            <w:pPr>
              <w:pStyle w:val="TableBody"/>
              <w:jc w:val="right"/>
              <w:rPr>
                <w:vertAlign w:val="superscript"/>
              </w:rPr>
            </w:pPr>
            <w:r>
              <w:rPr>
                <w:color w:val="000000"/>
                <w:szCs w:val="24"/>
              </w:rPr>
              <w:t>N/A</w:t>
            </w:r>
          </w:p>
        </w:tc>
        <w:tc>
          <w:tcPr>
            <w:tcW w:w="1361" w:type="dxa"/>
          </w:tcPr>
          <w:p w14:paraId="5A42156C" w14:textId="6CB6998A" w:rsidR="0060280C" w:rsidRPr="007A3600" w:rsidRDefault="0060280C" w:rsidP="00AD3197">
            <w:pPr>
              <w:pStyle w:val="TableBody"/>
              <w:jc w:val="right"/>
              <w:rPr>
                <w:vertAlign w:val="superscript"/>
              </w:rPr>
            </w:pPr>
            <w:r w:rsidRPr="007A3600">
              <w:rPr>
                <w:color w:val="000000"/>
                <w:szCs w:val="24"/>
              </w:rPr>
              <w:t>34.29</w:t>
            </w:r>
          </w:p>
        </w:tc>
        <w:tc>
          <w:tcPr>
            <w:tcW w:w="1930" w:type="dxa"/>
          </w:tcPr>
          <w:p w14:paraId="343CA907" w14:textId="342D334D" w:rsidR="0060280C" w:rsidRPr="007A3600" w:rsidRDefault="0060280C" w:rsidP="00AD3197">
            <w:pPr>
              <w:pStyle w:val="TableBody"/>
              <w:jc w:val="right"/>
              <w:rPr>
                <w:vertAlign w:val="superscript"/>
              </w:rPr>
            </w:pPr>
            <w:r w:rsidRPr="007A3600">
              <w:rPr>
                <w:color w:val="000000"/>
                <w:szCs w:val="24"/>
              </w:rPr>
              <w:t>170.96</w:t>
            </w:r>
          </w:p>
        </w:tc>
      </w:tr>
      <w:tr w:rsidR="005C2608" w:rsidRPr="007A3600" w14:paraId="46DA5BA0" w14:textId="77777777" w:rsidTr="0026718D">
        <w:tc>
          <w:tcPr>
            <w:tcW w:w="3061" w:type="dxa"/>
          </w:tcPr>
          <w:p w14:paraId="3C756F49" w14:textId="7AAE9C1A" w:rsidR="0060280C" w:rsidRPr="007A3600" w:rsidRDefault="0060280C" w:rsidP="00AD3197">
            <w:pPr>
              <w:pStyle w:val="TableBody"/>
            </w:pPr>
            <w:r w:rsidRPr="007A3600">
              <w:rPr>
                <w:color w:val="000000"/>
                <w:szCs w:val="24"/>
              </w:rPr>
              <w:t xml:space="preserve">Domestic </w:t>
            </w:r>
            <w:r w:rsidR="0060173C" w:rsidRPr="007A3600">
              <w:rPr>
                <w:color w:val="000000"/>
                <w:szCs w:val="24"/>
              </w:rPr>
              <w:t>c</w:t>
            </w:r>
            <w:r w:rsidRPr="007A3600">
              <w:rPr>
                <w:color w:val="000000"/>
                <w:szCs w:val="24"/>
              </w:rPr>
              <w:t xml:space="preserve">ommercial </w:t>
            </w:r>
            <w:r w:rsidR="0060173C" w:rsidRPr="007A3600">
              <w:rPr>
                <w:color w:val="000000"/>
                <w:szCs w:val="24"/>
              </w:rPr>
              <w:t>f</w:t>
            </w:r>
            <w:r w:rsidRPr="007A3600">
              <w:rPr>
                <w:color w:val="000000"/>
                <w:szCs w:val="24"/>
              </w:rPr>
              <w:t>lights</w:t>
            </w:r>
            <w:r w:rsidRPr="007A3600">
              <w:rPr>
                <w:rFonts w:eastAsia="Aptos"/>
                <w:color w:val="000000" w:themeColor="accent6"/>
                <w:szCs w:val="24"/>
                <w:vertAlign w:val="superscript"/>
              </w:rPr>
              <w:t>3</w:t>
            </w:r>
          </w:p>
        </w:tc>
        <w:tc>
          <w:tcPr>
            <w:tcW w:w="1361" w:type="dxa"/>
          </w:tcPr>
          <w:p w14:paraId="003B2980" w14:textId="0D4DA162" w:rsidR="0060280C" w:rsidRPr="007A3600" w:rsidRDefault="00EB609B" w:rsidP="00AD3197">
            <w:pPr>
              <w:pStyle w:val="TableBody"/>
              <w:jc w:val="right"/>
            </w:pPr>
            <w:r>
              <w:rPr>
                <w:color w:val="000000"/>
                <w:szCs w:val="24"/>
              </w:rPr>
              <w:t>N/A</w:t>
            </w:r>
          </w:p>
        </w:tc>
        <w:tc>
          <w:tcPr>
            <w:tcW w:w="1361" w:type="dxa"/>
          </w:tcPr>
          <w:p w14:paraId="78B3CF24" w14:textId="7634DFC6" w:rsidR="0060280C" w:rsidRPr="007A3600" w:rsidRDefault="00EB609B" w:rsidP="00AD3197">
            <w:pPr>
              <w:pStyle w:val="TableBody"/>
              <w:jc w:val="right"/>
              <w:rPr>
                <w:vertAlign w:val="superscript"/>
              </w:rPr>
            </w:pPr>
            <w:r>
              <w:rPr>
                <w:color w:val="000000"/>
                <w:szCs w:val="24"/>
              </w:rPr>
              <w:t>N/A</w:t>
            </w:r>
          </w:p>
        </w:tc>
        <w:tc>
          <w:tcPr>
            <w:tcW w:w="1361" w:type="dxa"/>
          </w:tcPr>
          <w:p w14:paraId="251E8866" w14:textId="0DF8293A" w:rsidR="0060280C" w:rsidRPr="007A3600" w:rsidRDefault="0060280C" w:rsidP="00AD3197">
            <w:pPr>
              <w:pStyle w:val="TableBody"/>
              <w:jc w:val="right"/>
              <w:rPr>
                <w:vertAlign w:val="superscript"/>
              </w:rPr>
            </w:pPr>
            <w:r w:rsidRPr="007A3600">
              <w:rPr>
                <w:color w:val="000000"/>
                <w:szCs w:val="24"/>
              </w:rPr>
              <w:t>1,410.99</w:t>
            </w:r>
          </w:p>
        </w:tc>
        <w:tc>
          <w:tcPr>
            <w:tcW w:w="1930" w:type="dxa"/>
          </w:tcPr>
          <w:p w14:paraId="1F637DB5" w14:textId="04523CF6" w:rsidR="0060280C" w:rsidRPr="007A3600" w:rsidRDefault="0060280C" w:rsidP="00AD3197">
            <w:pPr>
              <w:pStyle w:val="TableBody"/>
              <w:jc w:val="right"/>
              <w:rPr>
                <w:vertAlign w:val="superscript"/>
              </w:rPr>
            </w:pPr>
            <w:r w:rsidRPr="007A3600">
              <w:rPr>
                <w:color w:val="000000"/>
                <w:szCs w:val="24"/>
              </w:rPr>
              <w:t>1,410.99</w:t>
            </w:r>
          </w:p>
        </w:tc>
      </w:tr>
      <w:tr w:rsidR="0029157E" w:rsidRPr="007A3600" w14:paraId="491AB7CB" w14:textId="77777777" w:rsidTr="0026718D">
        <w:trPr>
          <w:cnfStyle w:val="000000100000" w:firstRow="0" w:lastRow="0" w:firstColumn="0" w:lastColumn="0" w:oddVBand="0" w:evenVBand="0" w:oddHBand="1" w:evenHBand="0" w:firstRowFirstColumn="0" w:firstRowLastColumn="0" w:lastRowFirstColumn="0" w:lastRowLastColumn="0"/>
        </w:trPr>
        <w:tc>
          <w:tcPr>
            <w:tcW w:w="3061" w:type="dxa"/>
          </w:tcPr>
          <w:p w14:paraId="56A15BFC" w14:textId="0F24662A" w:rsidR="0060280C" w:rsidRPr="007A3600" w:rsidRDefault="0060280C" w:rsidP="00AD3197">
            <w:pPr>
              <w:pStyle w:val="TableBody"/>
            </w:pPr>
            <w:r w:rsidRPr="007A3600">
              <w:rPr>
                <w:color w:val="000000"/>
                <w:szCs w:val="24"/>
              </w:rPr>
              <w:t xml:space="preserve">Domestic </w:t>
            </w:r>
            <w:r w:rsidR="0060173C" w:rsidRPr="007A3600">
              <w:rPr>
                <w:color w:val="000000"/>
                <w:szCs w:val="24"/>
              </w:rPr>
              <w:t>h</w:t>
            </w:r>
            <w:r w:rsidRPr="007A3600">
              <w:rPr>
                <w:color w:val="000000"/>
                <w:szCs w:val="24"/>
              </w:rPr>
              <w:t xml:space="preserve">ire </w:t>
            </w:r>
            <w:r w:rsidR="0060173C" w:rsidRPr="007A3600">
              <w:rPr>
                <w:color w:val="000000"/>
                <w:szCs w:val="24"/>
              </w:rPr>
              <w:t>c</w:t>
            </w:r>
            <w:r w:rsidRPr="007A3600">
              <w:rPr>
                <w:color w:val="000000"/>
                <w:szCs w:val="24"/>
              </w:rPr>
              <w:t>ar</w:t>
            </w:r>
          </w:p>
        </w:tc>
        <w:tc>
          <w:tcPr>
            <w:tcW w:w="1361" w:type="dxa"/>
          </w:tcPr>
          <w:p w14:paraId="0752A7BE" w14:textId="6579B174" w:rsidR="0060280C" w:rsidRPr="007A3600" w:rsidRDefault="00EB609B" w:rsidP="00AD3197">
            <w:pPr>
              <w:pStyle w:val="TableBody"/>
              <w:jc w:val="right"/>
            </w:pPr>
            <w:r>
              <w:rPr>
                <w:color w:val="000000"/>
                <w:szCs w:val="24"/>
              </w:rPr>
              <w:t>N/A</w:t>
            </w:r>
          </w:p>
        </w:tc>
        <w:tc>
          <w:tcPr>
            <w:tcW w:w="1361" w:type="dxa"/>
          </w:tcPr>
          <w:p w14:paraId="08F9EBA9" w14:textId="0899992B" w:rsidR="0060280C" w:rsidRPr="007A3600" w:rsidRDefault="00EB609B" w:rsidP="00AD3197">
            <w:pPr>
              <w:pStyle w:val="TableBody"/>
              <w:jc w:val="right"/>
              <w:rPr>
                <w:vertAlign w:val="superscript"/>
              </w:rPr>
            </w:pPr>
            <w:r>
              <w:rPr>
                <w:color w:val="000000"/>
                <w:szCs w:val="24"/>
              </w:rPr>
              <w:t>N/A</w:t>
            </w:r>
          </w:p>
        </w:tc>
        <w:tc>
          <w:tcPr>
            <w:tcW w:w="1361" w:type="dxa"/>
          </w:tcPr>
          <w:p w14:paraId="76D25861" w14:textId="010C5802" w:rsidR="0060280C" w:rsidRPr="007A3600" w:rsidRDefault="0060280C" w:rsidP="00AD3197">
            <w:pPr>
              <w:pStyle w:val="TableBody"/>
              <w:jc w:val="right"/>
              <w:rPr>
                <w:vertAlign w:val="superscript"/>
              </w:rPr>
            </w:pPr>
            <w:r w:rsidRPr="007A3600">
              <w:rPr>
                <w:color w:val="000000"/>
                <w:szCs w:val="24"/>
              </w:rPr>
              <w:t>17.98</w:t>
            </w:r>
          </w:p>
        </w:tc>
        <w:tc>
          <w:tcPr>
            <w:tcW w:w="1930" w:type="dxa"/>
          </w:tcPr>
          <w:p w14:paraId="7E9584F5" w14:textId="5198F355" w:rsidR="0060280C" w:rsidRPr="007A3600" w:rsidRDefault="0060280C" w:rsidP="00AD3197">
            <w:pPr>
              <w:pStyle w:val="TableBody"/>
              <w:jc w:val="right"/>
              <w:rPr>
                <w:vertAlign w:val="superscript"/>
              </w:rPr>
            </w:pPr>
            <w:r w:rsidRPr="007A3600">
              <w:rPr>
                <w:color w:val="000000"/>
                <w:szCs w:val="24"/>
              </w:rPr>
              <w:t>17.98</w:t>
            </w:r>
          </w:p>
        </w:tc>
      </w:tr>
      <w:tr w:rsidR="005C2608" w:rsidRPr="007A3600" w14:paraId="5D4C5799" w14:textId="77777777" w:rsidTr="0026718D">
        <w:tc>
          <w:tcPr>
            <w:tcW w:w="3061" w:type="dxa"/>
          </w:tcPr>
          <w:p w14:paraId="536B675A" w14:textId="22BBD668" w:rsidR="0060280C" w:rsidRPr="007A3600" w:rsidRDefault="0060280C" w:rsidP="00AD3197">
            <w:pPr>
              <w:pStyle w:val="TableBody"/>
            </w:pPr>
            <w:r w:rsidRPr="007A3600">
              <w:rPr>
                <w:color w:val="000000"/>
                <w:szCs w:val="24"/>
              </w:rPr>
              <w:t xml:space="preserve">Domestic </w:t>
            </w:r>
            <w:r w:rsidR="0060173C" w:rsidRPr="007A3600">
              <w:rPr>
                <w:color w:val="000000"/>
                <w:szCs w:val="24"/>
              </w:rPr>
              <w:t>t</w:t>
            </w:r>
            <w:r w:rsidRPr="007A3600">
              <w:rPr>
                <w:color w:val="000000"/>
                <w:szCs w:val="24"/>
              </w:rPr>
              <w:t xml:space="preserve">ravel </w:t>
            </w:r>
            <w:r w:rsidR="0060173C" w:rsidRPr="007A3600">
              <w:rPr>
                <w:color w:val="000000"/>
                <w:szCs w:val="24"/>
              </w:rPr>
              <w:t>a</w:t>
            </w:r>
            <w:r w:rsidRPr="007A3600">
              <w:rPr>
                <w:color w:val="000000"/>
                <w:szCs w:val="24"/>
              </w:rPr>
              <w:t>ccommodation</w:t>
            </w:r>
            <w:r w:rsidRPr="007A3600">
              <w:rPr>
                <w:color w:val="000000"/>
                <w:szCs w:val="24"/>
                <w:vertAlign w:val="superscript"/>
              </w:rPr>
              <w:t>4</w:t>
            </w:r>
          </w:p>
        </w:tc>
        <w:tc>
          <w:tcPr>
            <w:tcW w:w="1361" w:type="dxa"/>
          </w:tcPr>
          <w:p w14:paraId="5A68DCF5" w14:textId="0795BAED" w:rsidR="0060280C" w:rsidRPr="007A3600" w:rsidRDefault="00EB609B" w:rsidP="00AD3197">
            <w:pPr>
              <w:pStyle w:val="TableBody"/>
              <w:jc w:val="right"/>
            </w:pPr>
            <w:r>
              <w:rPr>
                <w:color w:val="000000"/>
                <w:szCs w:val="24"/>
              </w:rPr>
              <w:t>N/A</w:t>
            </w:r>
          </w:p>
        </w:tc>
        <w:tc>
          <w:tcPr>
            <w:tcW w:w="1361" w:type="dxa"/>
          </w:tcPr>
          <w:p w14:paraId="03F1871D" w14:textId="1630C156" w:rsidR="0060280C" w:rsidRPr="007A3600" w:rsidRDefault="00EB609B" w:rsidP="00AD3197">
            <w:pPr>
              <w:pStyle w:val="TableBody"/>
              <w:jc w:val="right"/>
              <w:rPr>
                <w:vertAlign w:val="superscript"/>
              </w:rPr>
            </w:pPr>
            <w:r>
              <w:rPr>
                <w:color w:val="000000"/>
                <w:szCs w:val="24"/>
              </w:rPr>
              <w:t>N/A</w:t>
            </w:r>
          </w:p>
        </w:tc>
        <w:tc>
          <w:tcPr>
            <w:tcW w:w="1361" w:type="dxa"/>
          </w:tcPr>
          <w:p w14:paraId="63D90A6C" w14:textId="03D55750" w:rsidR="0060280C" w:rsidRPr="007A3600" w:rsidRDefault="0060280C" w:rsidP="00AD3197">
            <w:pPr>
              <w:pStyle w:val="TableBody"/>
              <w:jc w:val="right"/>
              <w:rPr>
                <w:vertAlign w:val="superscript"/>
              </w:rPr>
            </w:pPr>
            <w:r w:rsidRPr="007A3600">
              <w:rPr>
                <w:color w:val="000000"/>
                <w:szCs w:val="24"/>
              </w:rPr>
              <w:t>393.44</w:t>
            </w:r>
          </w:p>
        </w:tc>
        <w:tc>
          <w:tcPr>
            <w:tcW w:w="1930" w:type="dxa"/>
          </w:tcPr>
          <w:p w14:paraId="1871B57E" w14:textId="2A834924" w:rsidR="0060280C" w:rsidRPr="007A3600" w:rsidRDefault="0060280C" w:rsidP="00AD3197">
            <w:pPr>
              <w:pStyle w:val="TableBody"/>
              <w:jc w:val="right"/>
              <w:rPr>
                <w:vertAlign w:val="superscript"/>
              </w:rPr>
            </w:pPr>
            <w:r w:rsidRPr="007A3600">
              <w:rPr>
                <w:color w:val="000000"/>
                <w:szCs w:val="24"/>
              </w:rPr>
              <w:t>393.44</w:t>
            </w:r>
          </w:p>
        </w:tc>
      </w:tr>
      <w:tr w:rsidR="0029157E" w:rsidRPr="007A3600" w14:paraId="0134BC9E" w14:textId="77777777" w:rsidTr="0026718D">
        <w:trPr>
          <w:cnfStyle w:val="000000100000" w:firstRow="0" w:lastRow="0" w:firstColumn="0" w:lastColumn="0" w:oddVBand="0" w:evenVBand="0" w:oddHBand="1" w:evenHBand="0" w:firstRowFirstColumn="0" w:firstRowLastColumn="0" w:lastRowFirstColumn="0" w:lastRowLastColumn="0"/>
        </w:trPr>
        <w:tc>
          <w:tcPr>
            <w:tcW w:w="3061" w:type="dxa"/>
          </w:tcPr>
          <w:p w14:paraId="3376DC77" w14:textId="1B1D186C" w:rsidR="00E669F7" w:rsidRPr="007A3600" w:rsidRDefault="00E669F7" w:rsidP="00AD3197">
            <w:pPr>
              <w:pStyle w:val="TableBody"/>
            </w:pPr>
            <w:r w:rsidRPr="007A3600">
              <w:rPr>
                <w:color w:val="000000"/>
                <w:szCs w:val="24"/>
              </w:rPr>
              <w:t>Other energy</w:t>
            </w:r>
          </w:p>
        </w:tc>
        <w:tc>
          <w:tcPr>
            <w:tcW w:w="1361" w:type="dxa"/>
          </w:tcPr>
          <w:p w14:paraId="71F48F61" w14:textId="463E9A09" w:rsidR="00E669F7" w:rsidRPr="007A3600" w:rsidRDefault="00E669F7" w:rsidP="00AD3197">
            <w:pPr>
              <w:pStyle w:val="TableBody"/>
              <w:jc w:val="right"/>
            </w:pPr>
            <w:r w:rsidRPr="007A3600">
              <w:rPr>
                <w:rFonts w:ascii="Symbol" w:eastAsia="Symbol" w:hAnsi="Symbol" w:cs="Symbol"/>
              </w:rPr>
              <w:sym w:font="Symbol" w:char="F02D"/>
            </w:r>
          </w:p>
        </w:tc>
        <w:tc>
          <w:tcPr>
            <w:tcW w:w="1361" w:type="dxa"/>
          </w:tcPr>
          <w:p w14:paraId="4E2D6763" w14:textId="6775AC4C" w:rsidR="00E669F7" w:rsidRPr="007A3600" w:rsidRDefault="00EB609B" w:rsidP="00AD3197">
            <w:pPr>
              <w:pStyle w:val="TableBody"/>
              <w:jc w:val="right"/>
              <w:rPr>
                <w:vertAlign w:val="superscript"/>
              </w:rPr>
            </w:pPr>
            <w:r>
              <w:rPr>
                <w:color w:val="000000"/>
                <w:szCs w:val="24"/>
              </w:rPr>
              <w:t>N/A</w:t>
            </w:r>
          </w:p>
        </w:tc>
        <w:tc>
          <w:tcPr>
            <w:tcW w:w="1361" w:type="dxa"/>
          </w:tcPr>
          <w:p w14:paraId="3EE41137" w14:textId="6AA82AF3" w:rsidR="00E669F7" w:rsidRPr="007A3600" w:rsidRDefault="00E669F7" w:rsidP="00AD3197">
            <w:pPr>
              <w:pStyle w:val="TableBody"/>
              <w:jc w:val="right"/>
              <w:rPr>
                <w:vertAlign w:val="superscript"/>
              </w:rPr>
            </w:pPr>
            <w:r w:rsidRPr="007A3600">
              <w:rPr>
                <w:rFonts w:ascii="Symbol" w:eastAsia="Symbol" w:hAnsi="Symbol" w:cs="Symbol"/>
              </w:rPr>
              <w:sym w:font="Symbol" w:char="F02D"/>
            </w:r>
          </w:p>
        </w:tc>
        <w:tc>
          <w:tcPr>
            <w:tcW w:w="1930" w:type="dxa"/>
          </w:tcPr>
          <w:p w14:paraId="4E753310" w14:textId="5084AAC1" w:rsidR="00E669F7" w:rsidRPr="007A3600" w:rsidRDefault="00E669F7" w:rsidP="00AD3197">
            <w:pPr>
              <w:pStyle w:val="TableBody"/>
              <w:jc w:val="right"/>
              <w:rPr>
                <w:vertAlign w:val="superscript"/>
              </w:rPr>
            </w:pPr>
            <w:r w:rsidRPr="007A3600">
              <w:rPr>
                <w:rFonts w:ascii="Symbol" w:eastAsia="Symbol" w:hAnsi="Symbol" w:cs="Symbol"/>
              </w:rPr>
              <w:sym w:font="Symbol" w:char="F02D"/>
            </w:r>
          </w:p>
        </w:tc>
      </w:tr>
      <w:tr w:rsidR="005C2608" w:rsidRPr="007A3600" w14:paraId="094CB0EE" w14:textId="77777777" w:rsidTr="0026718D">
        <w:tc>
          <w:tcPr>
            <w:tcW w:w="3061" w:type="dxa"/>
          </w:tcPr>
          <w:p w14:paraId="097F7ABC" w14:textId="58151801" w:rsidR="0060280C" w:rsidRPr="007A3600" w:rsidRDefault="0060280C" w:rsidP="00AD3197">
            <w:pPr>
              <w:pStyle w:val="TableBody"/>
            </w:pPr>
            <w:r w:rsidRPr="007A3600">
              <w:rPr>
                <w:b/>
                <w:bCs/>
              </w:rPr>
              <w:t>Total t CO</w:t>
            </w:r>
            <w:r w:rsidRPr="007A3600">
              <w:rPr>
                <w:b/>
                <w:bCs/>
                <w:vertAlign w:val="subscript"/>
              </w:rPr>
              <w:t>2</w:t>
            </w:r>
            <w:r w:rsidRPr="007A3600">
              <w:rPr>
                <w:b/>
                <w:bCs/>
              </w:rPr>
              <w:t>-e</w:t>
            </w:r>
          </w:p>
        </w:tc>
        <w:tc>
          <w:tcPr>
            <w:tcW w:w="1361" w:type="dxa"/>
          </w:tcPr>
          <w:p w14:paraId="7A9440C1" w14:textId="3C46B056" w:rsidR="0060280C" w:rsidRPr="007A3600" w:rsidRDefault="0060280C" w:rsidP="00AD3197">
            <w:pPr>
              <w:pStyle w:val="TableBody"/>
              <w:jc w:val="right"/>
            </w:pPr>
            <w:r w:rsidRPr="007A3600">
              <w:rPr>
                <w:b/>
                <w:bCs/>
                <w:color w:val="000000"/>
                <w:szCs w:val="24"/>
              </w:rPr>
              <w:t>137.39</w:t>
            </w:r>
          </w:p>
        </w:tc>
        <w:tc>
          <w:tcPr>
            <w:tcW w:w="1361" w:type="dxa"/>
          </w:tcPr>
          <w:p w14:paraId="248530BD" w14:textId="7EE7A223" w:rsidR="0060280C" w:rsidRPr="007A3600" w:rsidRDefault="0060280C" w:rsidP="00AD3197">
            <w:pPr>
              <w:pStyle w:val="TableBody"/>
              <w:jc w:val="right"/>
              <w:rPr>
                <w:vertAlign w:val="superscript"/>
              </w:rPr>
            </w:pPr>
            <w:r w:rsidRPr="007A3600">
              <w:rPr>
                <w:b/>
                <w:bCs/>
                <w:color w:val="000000"/>
                <w:szCs w:val="24"/>
              </w:rPr>
              <w:t>1,569.02</w:t>
            </w:r>
          </w:p>
        </w:tc>
        <w:tc>
          <w:tcPr>
            <w:tcW w:w="1361" w:type="dxa"/>
          </w:tcPr>
          <w:p w14:paraId="24AB899F" w14:textId="1744232F" w:rsidR="0060280C" w:rsidRPr="007A3600" w:rsidRDefault="0060280C" w:rsidP="00AD3197">
            <w:pPr>
              <w:pStyle w:val="TableBody"/>
              <w:jc w:val="right"/>
              <w:rPr>
                <w:vertAlign w:val="superscript"/>
              </w:rPr>
            </w:pPr>
            <w:r w:rsidRPr="007A3600">
              <w:rPr>
                <w:b/>
                <w:bCs/>
                <w:color w:val="000000"/>
                <w:szCs w:val="24"/>
              </w:rPr>
              <w:t>2,022.00</w:t>
            </w:r>
          </w:p>
        </w:tc>
        <w:tc>
          <w:tcPr>
            <w:tcW w:w="1930" w:type="dxa"/>
          </w:tcPr>
          <w:p w14:paraId="63CB4CC3" w14:textId="2C068F54" w:rsidR="0060280C" w:rsidRPr="007A3600" w:rsidRDefault="0060280C" w:rsidP="00AD3197">
            <w:pPr>
              <w:pStyle w:val="TableBody"/>
              <w:jc w:val="right"/>
              <w:rPr>
                <w:vertAlign w:val="superscript"/>
              </w:rPr>
            </w:pPr>
            <w:r w:rsidRPr="007A3600">
              <w:rPr>
                <w:b/>
                <w:bCs/>
                <w:color w:val="000000"/>
                <w:szCs w:val="24"/>
              </w:rPr>
              <w:t>3,728.42</w:t>
            </w:r>
          </w:p>
        </w:tc>
      </w:tr>
    </w:tbl>
    <w:p w14:paraId="0F46D846" w14:textId="622FB662" w:rsidR="00772D24" w:rsidRPr="007A3600" w:rsidRDefault="002D06C2" w:rsidP="00AD3197">
      <w:pPr>
        <w:pStyle w:val="Tablenotes"/>
      </w:pPr>
      <w:r>
        <w:rPr>
          <w:b/>
          <w:bCs/>
        </w:rPr>
        <w:t>N</w:t>
      </w:r>
      <w:r w:rsidR="00772D24" w:rsidRPr="007A3600">
        <w:rPr>
          <w:b/>
          <w:bCs/>
        </w:rPr>
        <w:t>otes:</w:t>
      </w:r>
      <w:r w:rsidR="00772D24" w:rsidRPr="007A3600">
        <w:t xml:space="preserve"> The table above presents emissions related to electricity usage using the location-based accounting method. CO</w:t>
      </w:r>
      <w:r w:rsidR="00772D24" w:rsidRPr="007A3600">
        <w:rPr>
          <w:vertAlign w:val="subscript"/>
        </w:rPr>
        <w:t>2</w:t>
      </w:r>
      <w:r w:rsidR="00772D24" w:rsidRPr="007A3600">
        <w:t xml:space="preserve">-e = </w:t>
      </w:r>
      <w:r w:rsidR="0060173C" w:rsidRPr="007A3600">
        <w:t>c</w:t>
      </w:r>
      <w:r w:rsidR="00772D24" w:rsidRPr="007A3600">
        <w:t xml:space="preserve">arbon </w:t>
      </w:r>
      <w:r w:rsidR="0060173C" w:rsidRPr="007A3600">
        <w:t>d</w:t>
      </w:r>
      <w:r w:rsidR="00772D24" w:rsidRPr="007A3600">
        <w:t xml:space="preserve">ioxide </w:t>
      </w:r>
      <w:r w:rsidR="0060173C" w:rsidRPr="007A3600">
        <w:t>e</w:t>
      </w:r>
      <w:r w:rsidR="00772D24" w:rsidRPr="007A3600">
        <w:t>quivalent</w:t>
      </w:r>
      <w:r w:rsidR="00C35912" w:rsidRPr="007A3600">
        <w:t>;</w:t>
      </w:r>
      <w:r w:rsidR="00772D24" w:rsidRPr="007A3600">
        <w:t xml:space="preserve"> </w:t>
      </w:r>
      <w:r w:rsidR="00EB609B">
        <w:t>N/A</w:t>
      </w:r>
      <w:r w:rsidR="00772D24" w:rsidRPr="007A3600">
        <w:t xml:space="preserve"> = not applicable</w:t>
      </w:r>
      <w:r w:rsidR="008F1D44" w:rsidRPr="007A3600">
        <w:t xml:space="preserve">; </w:t>
      </w:r>
      <w:r w:rsidR="008F1D44" w:rsidRPr="007A3600">
        <w:rPr>
          <w:rFonts w:ascii="Symbol" w:eastAsia="Symbol" w:hAnsi="Symbol" w:cs="Symbol"/>
        </w:rPr>
        <w:sym w:font="Symbol" w:char="F02D"/>
      </w:r>
      <w:r w:rsidR="008F1D44" w:rsidRPr="007A3600">
        <w:t xml:space="preserve"> </w:t>
      </w:r>
      <w:r w:rsidR="00C36872">
        <w:t xml:space="preserve">= </w:t>
      </w:r>
      <w:r w:rsidR="00772D24" w:rsidRPr="007A3600">
        <w:t>no available data.</w:t>
      </w:r>
    </w:p>
    <w:p w14:paraId="2BE3BD10" w14:textId="10B166BE" w:rsidR="00772D24" w:rsidRPr="007A3600" w:rsidRDefault="00772D24" w:rsidP="00AD3197">
      <w:pPr>
        <w:pStyle w:val="Tablenotes"/>
      </w:pPr>
      <w:r w:rsidRPr="007A3600">
        <w:rPr>
          <w:vertAlign w:val="superscript"/>
        </w:rPr>
        <w:t>1</w:t>
      </w:r>
      <w:r w:rsidRPr="007A3600">
        <w:t xml:space="preserve"> A portion of electricity and solid waste data could not be sourced or could not be separated from landlord data and has not been included for 2024</w:t>
      </w:r>
      <w:r w:rsidR="003153ED" w:rsidRPr="007A3600">
        <w:t>–</w:t>
      </w:r>
      <w:r w:rsidRPr="007A3600">
        <w:t>25.</w:t>
      </w:r>
    </w:p>
    <w:p w14:paraId="5AD8E6AA" w14:textId="00BF30C3" w:rsidR="00772D24" w:rsidRPr="007A3600" w:rsidRDefault="00772D24" w:rsidP="00AD3197">
      <w:pPr>
        <w:pStyle w:val="Tablenotes"/>
      </w:pPr>
      <w:r w:rsidRPr="007A3600">
        <w:rPr>
          <w:vertAlign w:val="superscript"/>
        </w:rPr>
        <w:t xml:space="preserve">2 </w:t>
      </w:r>
      <w:r w:rsidRPr="007A3600">
        <w:t>Reporting on refrigerants could not be sourced, noting this is optional for 2024</w:t>
      </w:r>
      <w:r w:rsidR="003153ED" w:rsidRPr="007A3600">
        <w:t>–</w:t>
      </w:r>
      <w:r w:rsidRPr="007A3600">
        <w:t xml:space="preserve">25. </w:t>
      </w:r>
    </w:p>
    <w:p w14:paraId="4E15F3C4" w14:textId="41BE62FC" w:rsidR="00772D24" w:rsidRPr="007A3600" w:rsidRDefault="00772D24" w:rsidP="00AD3197">
      <w:pPr>
        <w:pStyle w:val="Tablenotes"/>
      </w:pPr>
      <w:r w:rsidRPr="007A3600">
        <w:rPr>
          <w:vertAlign w:val="superscript"/>
        </w:rPr>
        <w:t>3</w:t>
      </w:r>
      <w:r w:rsidRPr="007A3600">
        <w:t xml:space="preserve"> Emissions from electricity consumed by electric and plug-in hybrid vehicles has only been reported for electricity directly purchased by the NDIA. Emissions associated with electricity consumption from public charging stations has not been reported for 2024</w:t>
      </w:r>
      <w:r w:rsidR="0089335D" w:rsidRPr="007A3600">
        <w:t>–</w:t>
      </w:r>
      <w:r w:rsidRPr="007A3600">
        <w:t>25.</w:t>
      </w:r>
    </w:p>
    <w:p w14:paraId="11B87697" w14:textId="26D10ACF" w:rsidR="00525CD9" w:rsidRPr="007A3600" w:rsidRDefault="00772D24" w:rsidP="00AD3197">
      <w:pPr>
        <w:pStyle w:val="Tablenotes"/>
      </w:pPr>
      <w:r w:rsidRPr="007A3600">
        <w:rPr>
          <w:vertAlign w:val="superscript"/>
        </w:rPr>
        <w:t>4</w:t>
      </w:r>
      <w:r w:rsidRPr="007A3600">
        <w:t xml:space="preserve"> Travel data is accurate as of 21</w:t>
      </w:r>
      <w:r w:rsidR="0089335D" w:rsidRPr="007A3600">
        <w:t xml:space="preserve"> July </w:t>
      </w:r>
      <w:r w:rsidRPr="007A3600">
        <w:t>2025</w:t>
      </w:r>
      <w:r w:rsidR="007A3D7C" w:rsidRPr="007A3600">
        <w:t>;</w:t>
      </w:r>
      <w:r w:rsidRPr="007A3600">
        <w:t xml:space="preserve"> however</w:t>
      </w:r>
      <w:r w:rsidR="00877211" w:rsidRPr="007A3600">
        <w:t>,</w:t>
      </w:r>
      <w:r w:rsidRPr="007A3600">
        <w:t xml:space="preserve"> travel processed after this date may not be included.</w:t>
      </w:r>
    </w:p>
    <w:p w14:paraId="0613F832" w14:textId="505F9D83" w:rsidR="003230AF" w:rsidRPr="007A3600" w:rsidRDefault="003230AF" w:rsidP="00AD3197">
      <w:pPr>
        <w:pStyle w:val="Caption"/>
        <w:spacing w:before="240"/>
      </w:pPr>
      <w:r w:rsidRPr="007A3600">
        <w:t xml:space="preserve">Table </w:t>
      </w:r>
      <w:r w:rsidR="00E4286A" w:rsidRPr="007A3600">
        <w:t>2</w:t>
      </w:r>
      <w:r w:rsidR="005C353F" w:rsidRPr="007A3600">
        <w:t>7</w:t>
      </w:r>
      <w:r w:rsidRPr="007A3600">
        <w:t>: 2024–25 Electricity greenhouse gas emissions</w:t>
      </w:r>
    </w:p>
    <w:tbl>
      <w:tblPr>
        <w:tblStyle w:val="NDISTable1"/>
        <w:tblW w:w="8957" w:type="dxa"/>
        <w:tblLayout w:type="fixed"/>
        <w:tblLook w:val="0420" w:firstRow="1" w:lastRow="0" w:firstColumn="0" w:lastColumn="0" w:noHBand="0" w:noVBand="1"/>
      </w:tblPr>
      <w:tblGrid>
        <w:gridCol w:w="3175"/>
        <w:gridCol w:w="1247"/>
        <w:gridCol w:w="1247"/>
        <w:gridCol w:w="1247"/>
        <w:gridCol w:w="2041"/>
      </w:tblGrid>
      <w:tr w:rsidR="0029157E" w:rsidRPr="007A3600" w14:paraId="486FBEF1" w14:textId="77777777" w:rsidTr="003B5EF7">
        <w:trPr>
          <w:cnfStyle w:val="100000000000" w:firstRow="1" w:lastRow="0" w:firstColumn="0" w:lastColumn="0" w:oddVBand="0" w:evenVBand="0" w:oddHBand="0" w:evenHBand="0" w:firstRowFirstColumn="0" w:firstRowLastColumn="0" w:lastRowFirstColumn="0" w:lastRowLastColumn="0"/>
        </w:trPr>
        <w:tc>
          <w:tcPr>
            <w:tcW w:w="3175" w:type="dxa"/>
          </w:tcPr>
          <w:p w14:paraId="320736F0" w14:textId="1FD031C2" w:rsidR="0080171B" w:rsidRPr="007A3600" w:rsidRDefault="00E06B87" w:rsidP="00AD3197">
            <w:pPr>
              <w:pStyle w:val="TableBody"/>
            </w:pPr>
            <w:r w:rsidRPr="007A3600">
              <w:t>Emission source</w:t>
            </w:r>
          </w:p>
        </w:tc>
        <w:tc>
          <w:tcPr>
            <w:tcW w:w="1247" w:type="dxa"/>
          </w:tcPr>
          <w:p w14:paraId="59D35420" w14:textId="605655B6" w:rsidR="0080171B" w:rsidRPr="007A3600" w:rsidRDefault="00E06B87" w:rsidP="00AD3197">
            <w:pPr>
              <w:pStyle w:val="TableBody"/>
              <w:jc w:val="right"/>
            </w:pPr>
            <w:r w:rsidRPr="007A3600">
              <w:t>Scope 1</w:t>
            </w:r>
            <w:r w:rsidRPr="007A3600">
              <w:br/>
            </w:r>
            <w:r w:rsidR="00DB20E9" w:rsidRPr="007A3600">
              <w:t>t CO</w:t>
            </w:r>
            <w:r w:rsidR="00DB20E9" w:rsidRPr="007A3600">
              <w:rPr>
                <w:vertAlign w:val="subscript"/>
              </w:rPr>
              <w:t>2</w:t>
            </w:r>
            <w:r w:rsidR="00DB20E9" w:rsidRPr="007A3600">
              <w:t>-</w:t>
            </w:r>
            <w:r w:rsidRPr="007A3600" w:rsidDel="00DB20E9">
              <w:t>e</w:t>
            </w:r>
          </w:p>
        </w:tc>
        <w:tc>
          <w:tcPr>
            <w:tcW w:w="1247" w:type="dxa"/>
          </w:tcPr>
          <w:p w14:paraId="1B4F3FA5" w14:textId="4D59BB0E" w:rsidR="0080171B" w:rsidRPr="007A3600" w:rsidRDefault="00E06B87" w:rsidP="00AD3197">
            <w:pPr>
              <w:pStyle w:val="TableBody"/>
              <w:jc w:val="right"/>
            </w:pPr>
            <w:r w:rsidRPr="007A3600">
              <w:t>Scope 2</w:t>
            </w:r>
            <w:r w:rsidRPr="007A3600">
              <w:br/>
            </w:r>
            <w:r w:rsidR="00DB20E9" w:rsidRPr="007A3600">
              <w:t>t CO</w:t>
            </w:r>
            <w:r w:rsidR="00DB20E9" w:rsidRPr="007A3600">
              <w:rPr>
                <w:vertAlign w:val="subscript"/>
              </w:rPr>
              <w:t>2</w:t>
            </w:r>
            <w:r w:rsidR="00DB20E9" w:rsidRPr="007A3600">
              <w:t>-e</w:t>
            </w:r>
          </w:p>
        </w:tc>
        <w:tc>
          <w:tcPr>
            <w:tcW w:w="1247" w:type="dxa"/>
          </w:tcPr>
          <w:p w14:paraId="4A49659F" w14:textId="64A86B38" w:rsidR="0080171B" w:rsidRPr="007A3600" w:rsidRDefault="00FC6339" w:rsidP="00AD3197">
            <w:pPr>
              <w:pStyle w:val="TableBody"/>
              <w:jc w:val="right"/>
            </w:pPr>
            <w:r w:rsidRPr="007A3600">
              <w:t>Scope 3</w:t>
            </w:r>
            <w:r w:rsidRPr="007A3600">
              <w:br/>
              <w:t xml:space="preserve"> </w:t>
            </w:r>
            <w:r w:rsidR="00DB20E9" w:rsidRPr="007A3600">
              <w:t>t CO</w:t>
            </w:r>
            <w:r w:rsidR="00DB20E9" w:rsidRPr="007A3600">
              <w:rPr>
                <w:vertAlign w:val="subscript"/>
              </w:rPr>
              <w:t>2</w:t>
            </w:r>
            <w:r w:rsidR="00DB20E9" w:rsidRPr="007A3600">
              <w:t>-</w:t>
            </w:r>
            <w:r w:rsidRPr="007A3600" w:rsidDel="00DB20E9">
              <w:t>e</w:t>
            </w:r>
          </w:p>
        </w:tc>
        <w:tc>
          <w:tcPr>
            <w:tcW w:w="2041" w:type="dxa"/>
          </w:tcPr>
          <w:p w14:paraId="7CCC65F1" w14:textId="0C89BD1D" w:rsidR="00FC6339" w:rsidRPr="007A3600" w:rsidRDefault="00FC6339" w:rsidP="00AD3197">
            <w:pPr>
              <w:pStyle w:val="TableBody"/>
              <w:jc w:val="right"/>
            </w:pPr>
            <w:r w:rsidRPr="007A3600">
              <w:t>Total</w:t>
            </w:r>
            <w:r w:rsidR="00DB20E9" w:rsidRPr="007A3600">
              <w:t xml:space="preserve"> </w:t>
            </w:r>
            <w:r w:rsidR="00DB20E9" w:rsidRPr="007A3600">
              <w:br/>
              <w:t>t CO</w:t>
            </w:r>
            <w:r w:rsidR="00DB20E9" w:rsidRPr="007A3600">
              <w:rPr>
                <w:vertAlign w:val="subscript"/>
              </w:rPr>
              <w:t>2</w:t>
            </w:r>
            <w:r w:rsidR="00DB20E9" w:rsidRPr="007A3600">
              <w:t>-</w:t>
            </w:r>
            <w:r w:rsidRPr="007A3600" w:rsidDel="00DB20E9">
              <w:t>e</w:t>
            </w:r>
          </w:p>
        </w:tc>
      </w:tr>
      <w:tr w:rsidR="00D504AD" w:rsidRPr="007A3600" w14:paraId="1956A4F0"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01FD0F14" w14:textId="6073CDA2" w:rsidR="001341B4" w:rsidRPr="007A3600" w:rsidRDefault="001341B4" w:rsidP="00AD3197">
            <w:pPr>
              <w:pStyle w:val="TableBody"/>
            </w:pPr>
            <w:r w:rsidRPr="007A3600">
              <w:rPr>
                <w:rFonts w:eastAsia="Times New Roman"/>
                <w:szCs w:val="24"/>
              </w:rPr>
              <w:t>Location-based electricity emissions</w:t>
            </w:r>
          </w:p>
        </w:tc>
        <w:tc>
          <w:tcPr>
            <w:tcW w:w="1247" w:type="dxa"/>
          </w:tcPr>
          <w:p w14:paraId="6438187A" w14:textId="55A4A6F4" w:rsidR="001341B4" w:rsidRPr="007A3600" w:rsidRDefault="001341B4" w:rsidP="00AD3197">
            <w:pPr>
              <w:pStyle w:val="TableBody"/>
              <w:jc w:val="right"/>
            </w:pPr>
            <w:r w:rsidRPr="007A3600">
              <w:rPr>
                <w:color w:val="000000"/>
                <w:szCs w:val="24"/>
              </w:rPr>
              <w:t>1,569.02</w:t>
            </w:r>
          </w:p>
        </w:tc>
        <w:tc>
          <w:tcPr>
            <w:tcW w:w="1247" w:type="dxa"/>
          </w:tcPr>
          <w:p w14:paraId="570FF296" w14:textId="28A5B615" w:rsidR="001341B4" w:rsidRPr="007A3600" w:rsidRDefault="001341B4" w:rsidP="00AD3197">
            <w:pPr>
              <w:pStyle w:val="TableBody"/>
              <w:jc w:val="right"/>
              <w:rPr>
                <w:vertAlign w:val="superscript"/>
              </w:rPr>
            </w:pPr>
            <w:r w:rsidRPr="007A3600">
              <w:rPr>
                <w:color w:val="000000"/>
                <w:szCs w:val="24"/>
              </w:rPr>
              <w:t>160.73</w:t>
            </w:r>
          </w:p>
        </w:tc>
        <w:tc>
          <w:tcPr>
            <w:tcW w:w="1247" w:type="dxa"/>
          </w:tcPr>
          <w:p w14:paraId="19DA5569" w14:textId="78471C7E" w:rsidR="001341B4" w:rsidRPr="007A3600" w:rsidRDefault="001341B4" w:rsidP="00AD3197">
            <w:pPr>
              <w:pStyle w:val="TableBody"/>
              <w:jc w:val="right"/>
              <w:rPr>
                <w:vertAlign w:val="superscript"/>
              </w:rPr>
            </w:pPr>
            <w:r w:rsidRPr="007A3600">
              <w:rPr>
                <w:color w:val="000000"/>
                <w:szCs w:val="24"/>
              </w:rPr>
              <w:t>1,729.76</w:t>
            </w:r>
          </w:p>
        </w:tc>
        <w:tc>
          <w:tcPr>
            <w:tcW w:w="2041" w:type="dxa"/>
          </w:tcPr>
          <w:p w14:paraId="680B6CB7" w14:textId="5B1CF7F2" w:rsidR="001341B4" w:rsidRPr="007A3600" w:rsidRDefault="001341B4" w:rsidP="00AD3197">
            <w:pPr>
              <w:pStyle w:val="TableBody"/>
              <w:jc w:val="right"/>
              <w:rPr>
                <w:vertAlign w:val="superscript"/>
              </w:rPr>
            </w:pPr>
            <w:r w:rsidRPr="007A3600">
              <w:rPr>
                <w:color w:val="000000"/>
                <w:szCs w:val="24"/>
              </w:rPr>
              <w:t>2,406,002.20540</w:t>
            </w:r>
          </w:p>
        </w:tc>
      </w:tr>
      <w:tr w:rsidR="0026718D" w:rsidRPr="007A3600" w14:paraId="77C1FD64" w14:textId="77777777" w:rsidTr="0026718D">
        <w:tc>
          <w:tcPr>
            <w:tcW w:w="3175" w:type="dxa"/>
          </w:tcPr>
          <w:p w14:paraId="2C0259B7" w14:textId="518D78F4" w:rsidR="001341B4" w:rsidRPr="007A3600" w:rsidRDefault="001341B4" w:rsidP="00AD3197">
            <w:pPr>
              <w:pStyle w:val="TableBody"/>
            </w:pPr>
            <w:r w:rsidRPr="007A3600">
              <w:rPr>
                <w:rFonts w:eastAsia="Times New Roman"/>
                <w:szCs w:val="24"/>
              </w:rPr>
              <w:t>Market-based electricity emissions</w:t>
            </w:r>
          </w:p>
        </w:tc>
        <w:tc>
          <w:tcPr>
            <w:tcW w:w="1247" w:type="dxa"/>
          </w:tcPr>
          <w:p w14:paraId="713882BE" w14:textId="7DA15C2D" w:rsidR="001341B4" w:rsidRPr="007A3600" w:rsidRDefault="001341B4" w:rsidP="00AD3197">
            <w:pPr>
              <w:pStyle w:val="TableBody"/>
              <w:jc w:val="right"/>
              <w:rPr>
                <w:vertAlign w:val="superscript"/>
              </w:rPr>
            </w:pPr>
            <w:r w:rsidRPr="007A3600">
              <w:rPr>
                <w:color w:val="000000"/>
                <w:szCs w:val="24"/>
              </w:rPr>
              <w:t>1,357.80</w:t>
            </w:r>
          </w:p>
        </w:tc>
        <w:tc>
          <w:tcPr>
            <w:tcW w:w="1247" w:type="dxa"/>
          </w:tcPr>
          <w:p w14:paraId="1FFC94E2" w14:textId="325A1FC3" w:rsidR="001341B4" w:rsidRPr="007A3600" w:rsidRDefault="001341B4" w:rsidP="00AD3197">
            <w:pPr>
              <w:pStyle w:val="TableBody"/>
              <w:jc w:val="right"/>
            </w:pPr>
            <w:r w:rsidRPr="007A3600">
              <w:rPr>
                <w:color w:val="000000"/>
                <w:szCs w:val="24"/>
              </w:rPr>
              <w:t>184.39</w:t>
            </w:r>
          </w:p>
        </w:tc>
        <w:tc>
          <w:tcPr>
            <w:tcW w:w="1247" w:type="dxa"/>
          </w:tcPr>
          <w:p w14:paraId="37E85E45" w14:textId="46815322" w:rsidR="001341B4" w:rsidRPr="007A3600" w:rsidRDefault="001341B4" w:rsidP="00AD3197">
            <w:pPr>
              <w:pStyle w:val="TableBody"/>
              <w:jc w:val="right"/>
              <w:rPr>
                <w:vertAlign w:val="superscript"/>
              </w:rPr>
            </w:pPr>
            <w:r w:rsidRPr="007A3600">
              <w:rPr>
                <w:color w:val="000000"/>
                <w:szCs w:val="24"/>
              </w:rPr>
              <w:t>1,542.20</w:t>
            </w:r>
          </w:p>
        </w:tc>
        <w:tc>
          <w:tcPr>
            <w:tcW w:w="2041" w:type="dxa"/>
          </w:tcPr>
          <w:p w14:paraId="6875516F" w14:textId="6A5F0A47" w:rsidR="001341B4" w:rsidRPr="007A3600" w:rsidRDefault="001341B4" w:rsidP="00AD3197">
            <w:pPr>
              <w:pStyle w:val="TableBody"/>
              <w:jc w:val="right"/>
              <w:rPr>
                <w:vertAlign w:val="superscript"/>
              </w:rPr>
            </w:pPr>
            <w:r w:rsidRPr="007A3600">
              <w:rPr>
                <w:color w:val="000000"/>
                <w:szCs w:val="24"/>
              </w:rPr>
              <w:t>1,676,299.7875</w:t>
            </w:r>
          </w:p>
        </w:tc>
      </w:tr>
      <w:tr w:rsidR="00D504AD" w:rsidRPr="007A3600" w14:paraId="55E9970D"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6822DF02" w14:textId="5B1A3835" w:rsidR="001341B4" w:rsidRPr="007A3600" w:rsidRDefault="001341B4" w:rsidP="00AD3197">
            <w:pPr>
              <w:pStyle w:val="TableBody"/>
            </w:pPr>
            <w:r w:rsidRPr="007A3600">
              <w:rPr>
                <w:rFonts w:eastAsia="Times New Roman"/>
                <w:b/>
                <w:bCs/>
                <w:szCs w:val="24"/>
              </w:rPr>
              <w:lastRenderedPageBreak/>
              <w:t>Total renewable electricity consumed</w:t>
            </w:r>
          </w:p>
        </w:tc>
        <w:tc>
          <w:tcPr>
            <w:tcW w:w="1247" w:type="dxa"/>
          </w:tcPr>
          <w:p w14:paraId="1CD24F55" w14:textId="7FFA8D2A" w:rsidR="001341B4" w:rsidRPr="007A3600" w:rsidRDefault="00EB609B" w:rsidP="00AD3197">
            <w:pPr>
              <w:pStyle w:val="TableBody"/>
              <w:jc w:val="right"/>
              <w:rPr>
                <w:vertAlign w:val="superscript"/>
              </w:rPr>
            </w:pPr>
            <w:r>
              <w:rPr>
                <w:b/>
                <w:bCs/>
                <w:color w:val="000000"/>
                <w:szCs w:val="24"/>
              </w:rPr>
              <w:t>N/A</w:t>
            </w:r>
          </w:p>
        </w:tc>
        <w:tc>
          <w:tcPr>
            <w:tcW w:w="1247" w:type="dxa"/>
          </w:tcPr>
          <w:p w14:paraId="4B3A302B" w14:textId="4A067A1F" w:rsidR="001341B4" w:rsidRPr="007A3600" w:rsidRDefault="00EB609B" w:rsidP="00AD3197">
            <w:pPr>
              <w:pStyle w:val="TableBody"/>
              <w:jc w:val="right"/>
              <w:rPr>
                <w:vertAlign w:val="superscript"/>
              </w:rPr>
            </w:pPr>
            <w:r>
              <w:rPr>
                <w:b/>
                <w:bCs/>
                <w:color w:val="000000"/>
                <w:szCs w:val="24"/>
              </w:rPr>
              <w:t>N/A</w:t>
            </w:r>
          </w:p>
        </w:tc>
        <w:tc>
          <w:tcPr>
            <w:tcW w:w="1247" w:type="dxa"/>
          </w:tcPr>
          <w:p w14:paraId="1256B59E" w14:textId="7587C675" w:rsidR="001341B4" w:rsidRPr="007A3600" w:rsidRDefault="00EB609B" w:rsidP="00AD3197">
            <w:pPr>
              <w:pStyle w:val="TableBody"/>
              <w:jc w:val="right"/>
            </w:pPr>
            <w:r>
              <w:rPr>
                <w:b/>
                <w:bCs/>
                <w:color w:val="000000"/>
                <w:szCs w:val="24"/>
              </w:rPr>
              <w:t>N/A</w:t>
            </w:r>
          </w:p>
        </w:tc>
        <w:tc>
          <w:tcPr>
            <w:tcW w:w="2041" w:type="dxa"/>
          </w:tcPr>
          <w:p w14:paraId="238239A1" w14:textId="76B640FC" w:rsidR="001341B4" w:rsidRPr="007A3600" w:rsidRDefault="001341B4" w:rsidP="00AD3197">
            <w:pPr>
              <w:pStyle w:val="TableBody"/>
              <w:jc w:val="right"/>
            </w:pPr>
            <w:r w:rsidRPr="007A3600">
              <w:rPr>
                <w:b/>
                <w:bCs/>
                <w:color w:val="000000"/>
                <w:szCs w:val="24"/>
              </w:rPr>
              <w:t>729,702.42</w:t>
            </w:r>
          </w:p>
        </w:tc>
      </w:tr>
      <w:tr w:rsidR="0026718D" w:rsidRPr="007A3600" w14:paraId="4C86B886" w14:textId="77777777" w:rsidTr="0026718D">
        <w:tc>
          <w:tcPr>
            <w:tcW w:w="3175" w:type="dxa"/>
          </w:tcPr>
          <w:p w14:paraId="46F49457" w14:textId="48E7EF4B" w:rsidR="001341B4" w:rsidRPr="007A3600" w:rsidRDefault="001341B4" w:rsidP="00AD3197">
            <w:pPr>
              <w:pStyle w:val="TableBody"/>
              <w:jc w:val="right"/>
            </w:pPr>
            <w:r w:rsidRPr="007A3600">
              <w:rPr>
                <w:rFonts w:eastAsia="Times New Roman"/>
                <w:color w:val="000000" w:themeColor="accent6"/>
                <w:szCs w:val="24"/>
              </w:rPr>
              <w:t>Renewable Power Percentage</w:t>
            </w:r>
            <w:r w:rsidRPr="007A3600">
              <w:rPr>
                <w:rFonts w:eastAsia="Times New Roman"/>
                <w:color w:val="000000" w:themeColor="accent6"/>
                <w:szCs w:val="24"/>
                <w:vertAlign w:val="superscript"/>
              </w:rPr>
              <w:t>1</w:t>
            </w:r>
          </w:p>
        </w:tc>
        <w:tc>
          <w:tcPr>
            <w:tcW w:w="1247" w:type="dxa"/>
          </w:tcPr>
          <w:p w14:paraId="2FEBB9F4" w14:textId="74D5767B" w:rsidR="001341B4" w:rsidRPr="007A3600" w:rsidRDefault="00EB609B" w:rsidP="00AD3197">
            <w:pPr>
              <w:pStyle w:val="TableBody"/>
              <w:jc w:val="right"/>
              <w:rPr>
                <w:vertAlign w:val="superscript"/>
              </w:rPr>
            </w:pPr>
            <w:r>
              <w:rPr>
                <w:color w:val="000000"/>
                <w:szCs w:val="24"/>
              </w:rPr>
              <w:t>N/A</w:t>
            </w:r>
          </w:p>
        </w:tc>
        <w:tc>
          <w:tcPr>
            <w:tcW w:w="1247" w:type="dxa"/>
          </w:tcPr>
          <w:p w14:paraId="01499226" w14:textId="3C2F2FD0" w:rsidR="001341B4" w:rsidRPr="007A3600" w:rsidRDefault="00EB609B" w:rsidP="00AD3197">
            <w:pPr>
              <w:pStyle w:val="TableBody"/>
              <w:jc w:val="right"/>
              <w:rPr>
                <w:vertAlign w:val="superscript"/>
              </w:rPr>
            </w:pPr>
            <w:r>
              <w:rPr>
                <w:color w:val="000000"/>
                <w:szCs w:val="24"/>
              </w:rPr>
              <w:t>N/A</w:t>
            </w:r>
          </w:p>
        </w:tc>
        <w:tc>
          <w:tcPr>
            <w:tcW w:w="1247" w:type="dxa"/>
          </w:tcPr>
          <w:p w14:paraId="7E785A5F" w14:textId="794A2463" w:rsidR="001341B4" w:rsidRPr="007A3600" w:rsidRDefault="00EB609B" w:rsidP="00AD3197">
            <w:pPr>
              <w:pStyle w:val="TableBody"/>
              <w:jc w:val="right"/>
            </w:pPr>
            <w:r>
              <w:rPr>
                <w:color w:val="000000"/>
                <w:szCs w:val="24"/>
              </w:rPr>
              <w:t>N/A</w:t>
            </w:r>
          </w:p>
        </w:tc>
        <w:tc>
          <w:tcPr>
            <w:tcW w:w="2041" w:type="dxa"/>
          </w:tcPr>
          <w:p w14:paraId="6A2FF2E9" w14:textId="4C54931E" w:rsidR="001341B4" w:rsidRPr="007A3600" w:rsidRDefault="001341B4" w:rsidP="00AD3197">
            <w:pPr>
              <w:pStyle w:val="TableBody"/>
              <w:jc w:val="right"/>
            </w:pPr>
            <w:r w:rsidRPr="007A3600">
              <w:rPr>
                <w:color w:val="000000"/>
                <w:szCs w:val="24"/>
              </w:rPr>
              <w:t>437,772.10</w:t>
            </w:r>
          </w:p>
        </w:tc>
      </w:tr>
      <w:tr w:rsidR="00D504AD" w:rsidRPr="007A3600" w14:paraId="27B6315F"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1D2F2DA7" w14:textId="639CC308" w:rsidR="001341B4" w:rsidRPr="007A3600" w:rsidRDefault="001341B4" w:rsidP="00AD3197">
            <w:pPr>
              <w:pStyle w:val="TableBody"/>
              <w:jc w:val="right"/>
            </w:pPr>
            <w:r w:rsidRPr="007A3600">
              <w:rPr>
                <w:rFonts w:eastAsia="Times New Roman"/>
                <w:color w:val="000000" w:themeColor="accent6"/>
                <w:szCs w:val="24"/>
              </w:rPr>
              <w:t>Jurisdictional Renewable Power Percentage</w:t>
            </w:r>
            <w:r w:rsidRPr="007A3600">
              <w:rPr>
                <w:rFonts w:eastAsia="Times New Roman"/>
                <w:color w:val="000000" w:themeColor="accent6"/>
                <w:szCs w:val="24"/>
                <w:vertAlign w:val="superscript"/>
              </w:rPr>
              <w:t>2, 3</w:t>
            </w:r>
          </w:p>
        </w:tc>
        <w:tc>
          <w:tcPr>
            <w:tcW w:w="1247" w:type="dxa"/>
          </w:tcPr>
          <w:p w14:paraId="35F72654" w14:textId="2C62E466" w:rsidR="001341B4" w:rsidRPr="007A3600" w:rsidRDefault="00EB609B" w:rsidP="00AD3197">
            <w:pPr>
              <w:pStyle w:val="TableBody"/>
              <w:jc w:val="right"/>
              <w:rPr>
                <w:vertAlign w:val="superscript"/>
              </w:rPr>
            </w:pPr>
            <w:r>
              <w:rPr>
                <w:color w:val="000000"/>
                <w:szCs w:val="24"/>
              </w:rPr>
              <w:t>N/A</w:t>
            </w:r>
          </w:p>
        </w:tc>
        <w:tc>
          <w:tcPr>
            <w:tcW w:w="1247" w:type="dxa"/>
          </w:tcPr>
          <w:p w14:paraId="65862301" w14:textId="68E0EF66" w:rsidR="001341B4" w:rsidRPr="007A3600" w:rsidRDefault="00EB609B" w:rsidP="00AD3197">
            <w:pPr>
              <w:pStyle w:val="TableBody"/>
              <w:jc w:val="right"/>
              <w:rPr>
                <w:vertAlign w:val="superscript"/>
              </w:rPr>
            </w:pPr>
            <w:r>
              <w:rPr>
                <w:color w:val="000000"/>
                <w:szCs w:val="24"/>
              </w:rPr>
              <w:t>N/A</w:t>
            </w:r>
          </w:p>
        </w:tc>
        <w:tc>
          <w:tcPr>
            <w:tcW w:w="1247" w:type="dxa"/>
          </w:tcPr>
          <w:p w14:paraId="65F9C9EF" w14:textId="184D0DCC" w:rsidR="001341B4" w:rsidRPr="007A3600" w:rsidRDefault="00EB609B" w:rsidP="00AD3197">
            <w:pPr>
              <w:pStyle w:val="TableBody"/>
              <w:jc w:val="right"/>
            </w:pPr>
            <w:r>
              <w:rPr>
                <w:color w:val="000000"/>
                <w:szCs w:val="24"/>
              </w:rPr>
              <w:t>N/A</w:t>
            </w:r>
          </w:p>
        </w:tc>
        <w:tc>
          <w:tcPr>
            <w:tcW w:w="2041" w:type="dxa"/>
          </w:tcPr>
          <w:p w14:paraId="3AC4B73B" w14:textId="3636E73C" w:rsidR="001341B4" w:rsidRPr="007A3600" w:rsidRDefault="001341B4" w:rsidP="00AD3197">
            <w:pPr>
              <w:pStyle w:val="TableBody"/>
              <w:jc w:val="right"/>
            </w:pPr>
            <w:r w:rsidRPr="007A3600">
              <w:rPr>
                <w:color w:val="000000"/>
                <w:szCs w:val="24"/>
              </w:rPr>
              <w:t>228,343.01</w:t>
            </w:r>
          </w:p>
        </w:tc>
      </w:tr>
      <w:tr w:rsidR="0026718D" w:rsidRPr="007A3600" w14:paraId="2CB61F18" w14:textId="77777777" w:rsidTr="0026718D">
        <w:tc>
          <w:tcPr>
            <w:tcW w:w="3175" w:type="dxa"/>
          </w:tcPr>
          <w:p w14:paraId="3F6B6C1D" w14:textId="7351C2DC" w:rsidR="001341B4" w:rsidRPr="007A3600" w:rsidRDefault="001341B4" w:rsidP="00AD3197">
            <w:pPr>
              <w:pStyle w:val="TableBody"/>
              <w:jc w:val="right"/>
            </w:pPr>
            <w:r w:rsidRPr="007A3600">
              <w:rPr>
                <w:rFonts w:eastAsia="Times New Roman"/>
                <w:color w:val="000000" w:themeColor="accent6"/>
                <w:szCs w:val="24"/>
              </w:rPr>
              <w:t>GreenPower</w:t>
            </w:r>
            <w:r w:rsidRPr="007A3600">
              <w:rPr>
                <w:rFonts w:eastAsia="Times New Roman"/>
                <w:color w:val="000000" w:themeColor="accent6"/>
                <w:szCs w:val="24"/>
                <w:vertAlign w:val="superscript"/>
              </w:rPr>
              <w:t>2</w:t>
            </w:r>
          </w:p>
        </w:tc>
        <w:tc>
          <w:tcPr>
            <w:tcW w:w="1247" w:type="dxa"/>
          </w:tcPr>
          <w:p w14:paraId="171F6742" w14:textId="5F171A9B" w:rsidR="001341B4" w:rsidRPr="007A3600" w:rsidRDefault="00EB609B" w:rsidP="00AD3197">
            <w:pPr>
              <w:pStyle w:val="TableBody"/>
              <w:jc w:val="right"/>
              <w:rPr>
                <w:vertAlign w:val="superscript"/>
              </w:rPr>
            </w:pPr>
            <w:r>
              <w:rPr>
                <w:color w:val="000000"/>
                <w:szCs w:val="24"/>
              </w:rPr>
              <w:t>N/A</w:t>
            </w:r>
          </w:p>
        </w:tc>
        <w:tc>
          <w:tcPr>
            <w:tcW w:w="1247" w:type="dxa"/>
          </w:tcPr>
          <w:p w14:paraId="2AC916D6" w14:textId="1464A1CD" w:rsidR="001341B4" w:rsidRPr="007A3600" w:rsidRDefault="00EB609B" w:rsidP="00AD3197">
            <w:pPr>
              <w:pStyle w:val="TableBody"/>
              <w:jc w:val="right"/>
              <w:rPr>
                <w:vertAlign w:val="superscript"/>
              </w:rPr>
            </w:pPr>
            <w:r>
              <w:rPr>
                <w:color w:val="000000"/>
                <w:szCs w:val="24"/>
              </w:rPr>
              <w:t>N/A</w:t>
            </w:r>
          </w:p>
        </w:tc>
        <w:tc>
          <w:tcPr>
            <w:tcW w:w="1247" w:type="dxa"/>
          </w:tcPr>
          <w:p w14:paraId="7F7DCAA2" w14:textId="739FE1C1" w:rsidR="001341B4" w:rsidRPr="007A3600" w:rsidRDefault="00EB609B" w:rsidP="00AD3197">
            <w:pPr>
              <w:pStyle w:val="TableBody"/>
              <w:jc w:val="right"/>
            </w:pPr>
            <w:r>
              <w:rPr>
                <w:color w:val="000000"/>
                <w:szCs w:val="24"/>
              </w:rPr>
              <w:t>N/A</w:t>
            </w:r>
          </w:p>
        </w:tc>
        <w:tc>
          <w:tcPr>
            <w:tcW w:w="2041" w:type="dxa"/>
          </w:tcPr>
          <w:p w14:paraId="17D3A037" w14:textId="1B6CBAC6" w:rsidR="001341B4" w:rsidRPr="007A3600" w:rsidRDefault="001341B4" w:rsidP="00AD3197">
            <w:pPr>
              <w:pStyle w:val="TableBody"/>
              <w:jc w:val="right"/>
            </w:pPr>
            <w:r w:rsidRPr="007A3600">
              <w:rPr>
                <w:color w:val="000000"/>
                <w:szCs w:val="24"/>
              </w:rPr>
              <w:t>63,587.31</w:t>
            </w:r>
          </w:p>
        </w:tc>
      </w:tr>
      <w:tr w:rsidR="00D504AD" w:rsidRPr="007A3600" w14:paraId="1D1C42A1"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576BB16E" w14:textId="6AA2AFCD" w:rsidR="001341B4" w:rsidRPr="007A3600" w:rsidRDefault="001341B4" w:rsidP="00AD3197">
            <w:pPr>
              <w:pStyle w:val="TableBody"/>
              <w:jc w:val="right"/>
            </w:pPr>
            <w:r w:rsidRPr="007A3600">
              <w:rPr>
                <w:rFonts w:eastAsia="Times New Roman"/>
                <w:color w:val="000000" w:themeColor="accent6"/>
                <w:szCs w:val="24"/>
              </w:rPr>
              <w:t>Large-scale generation certificates</w:t>
            </w:r>
            <w:r w:rsidRPr="007A3600">
              <w:rPr>
                <w:rFonts w:eastAsia="Times New Roman"/>
                <w:color w:val="000000" w:themeColor="accent6"/>
                <w:szCs w:val="24"/>
                <w:vertAlign w:val="superscript"/>
              </w:rPr>
              <w:t>2</w:t>
            </w:r>
          </w:p>
        </w:tc>
        <w:tc>
          <w:tcPr>
            <w:tcW w:w="1247" w:type="dxa"/>
          </w:tcPr>
          <w:p w14:paraId="5982BC80" w14:textId="57A4905D" w:rsidR="001341B4" w:rsidRPr="007A3600" w:rsidRDefault="00EB609B" w:rsidP="00AD3197">
            <w:pPr>
              <w:pStyle w:val="TableBody"/>
              <w:jc w:val="right"/>
              <w:rPr>
                <w:vertAlign w:val="superscript"/>
              </w:rPr>
            </w:pPr>
            <w:r>
              <w:rPr>
                <w:color w:val="000000"/>
                <w:szCs w:val="24"/>
              </w:rPr>
              <w:t>N/A</w:t>
            </w:r>
          </w:p>
        </w:tc>
        <w:tc>
          <w:tcPr>
            <w:tcW w:w="1247" w:type="dxa"/>
          </w:tcPr>
          <w:p w14:paraId="078657CA" w14:textId="5F432550" w:rsidR="001341B4" w:rsidRPr="007A3600" w:rsidRDefault="00EB609B" w:rsidP="00AD3197">
            <w:pPr>
              <w:pStyle w:val="TableBody"/>
              <w:jc w:val="right"/>
              <w:rPr>
                <w:vertAlign w:val="superscript"/>
              </w:rPr>
            </w:pPr>
            <w:r>
              <w:rPr>
                <w:color w:val="000000"/>
                <w:szCs w:val="24"/>
              </w:rPr>
              <w:t>N/A</w:t>
            </w:r>
          </w:p>
        </w:tc>
        <w:tc>
          <w:tcPr>
            <w:tcW w:w="1247" w:type="dxa"/>
          </w:tcPr>
          <w:p w14:paraId="47E29954" w14:textId="2DFB4CA0" w:rsidR="001341B4" w:rsidRPr="007A3600" w:rsidRDefault="00EB609B" w:rsidP="00AD3197">
            <w:pPr>
              <w:pStyle w:val="TableBody"/>
              <w:jc w:val="right"/>
            </w:pPr>
            <w:r>
              <w:rPr>
                <w:color w:val="000000"/>
                <w:szCs w:val="24"/>
              </w:rPr>
              <w:t>N/A</w:t>
            </w:r>
          </w:p>
        </w:tc>
        <w:tc>
          <w:tcPr>
            <w:tcW w:w="2041" w:type="dxa"/>
          </w:tcPr>
          <w:p w14:paraId="5B210727" w14:textId="1B28A9A0" w:rsidR="001341B4" w:rsidRPr="007A3600" w:rsidRDefault="003F10C0" w:rsidP="00AD3197">
            <w:pPr>
              <w:pStyle w:val="TableBody"/>
              <w:jc w:val="right"/>
            </w:pPr>
            <w:r w:rsidRPr="007A3600">
              <w:rPr>
                <w:color w:val="000000"/>
                <w:szCs w:val="24"/>
              </w:rPr>
              <w:t>–</w:t>
            </w:r>
          </w:p>
        </w:tc>
      </w:tr>
      <w:tr w:rsidR="0026718D" w:rsidRPr="007A3600" w14:paraId="261D5E07" w14:textId="77777777" w:rsidTr="0026718D">
        <w:tc>
          <w:tcPr>
            <w:tcW w:w="3175" w:type="dxa"/>
          </w:tcPr>
          <w:p w14:paraId="5E1B7455" w14:textId="21F31EE9" w:rsidR="001341B4" w:rsidRPr="007A3600" w:rsidRDefault="001341B4" w:rsidP="00AD3197">
            <w:pPr>
              <w:pStyle w:val="TableBody"/>
              <w:jc w:val="right"/>
            </w:pPr>
            <w:r w:rsidRPr="007A3600">
              <w:rPr>
                <w:rFonts w:eastAsia="Times New Roman"/>
                <w:color w:val="000000" w:themeColor="accent6"/>
                <w:szCs w:val="24"/>
              </w:rPr>
              <w:t>Behind the meter solar</w:t>
            </w:r>
            <w:r w:rsidRPr="007A3600">
              <w:rPr>
                <w:rFonts w:eastAsia="Times New Roman"/>
                <w:color w:val="000000" w:themeColor="accent6"/>
                <w:szCs w:val="24"/>
                <w:vertAlign w:val="superscript"/>
              </w:rPr>
              <w:t>4</w:t>
            </w:r>
          </w:p>
        </w:tc>
        <w:tc>
          <w:tcPr>
            <w:tcW w:w="1247" w:type="dxa"/>
          </w:tcPr>
          <w:p w14:paraId="5E4ABACB" w14:textId="1CB75272" w:rsidR="001341B4" w:rsidRPr="007A3600" w:rsidRDefault="00EB609B" w:rsidP="00AD3197">
            <w:pPr>
              <w:pStyle w:val="TableBody"/>
              <w:jc w:val="right"/>
              <w:rPr>
                <w:vertAlign w:val="superscript"/>
              </w:rPr>
            </w:pPr>
            <w:r>
              <w:rPr>
                <w:color w:val="000000"/>
                <w:szCs w:val="24"/>
              </w:rPr>
              <w:t>N/A</w:t>
            </w:r>
          </w:p>
        </w:tc>
        <w:tc>
          <w:tcPr>
            <w:tcW w:w="1247" w:type="dxa"/>
          </w:tcPr>
          <w:p w14:paraId="73ECD662" w14:textId="3FE29B5B" w:rsidR="001341B4" w:rsidRPr="007A3600" w:rsidRDefault="00EB609B" w:rsidP="00AD3197">
            <w:pPr>
              <w:pStyle w:val="TableBody"/>
              <w:jc w:val="right"/>
              <w:rPr>
                <w:vertAlign w:val="superscript"/>
              </w:rPr>
            </w:pPr>
            <w:r>
              <w:rPr>
                <w:color w:val="000000"/>
                <w:szCs w:val="24"/>
              </w:rPr>
              <w:t>N/A</w:t>
            </w:r>
          </w:p>
        </w:tc>
        <w:tc>
          <w:tcPr>
            <w:tcW w:w="1247" w:type="dxa"/>
          </w:tcPr>
          <w:p w14:paraId="5FE9693B" w14:textId="736ED7E2" w:rsidR="001341B4" w:rsidRPr="007A3600" w:rsidRDefault="00EB609B" w:rsidP="00AD3197">
            <w:pPr>
              <w:pStyle w:val="TableBody"/>
              <w:jc w:val="right"/>
            </w:pPr>
            <w:r>
              <w:rPr>
                <w:color w:val="000000"/>
                <w:szCs w:val="24"/>
              </w:rPr>
              <w:t>N/A</w:t>
            </w:r>
          </w:p>
        </w:tc>
        <w:tc>
          <w:tcPr>
            <w:tcW w:w="2041" w:type="dxa"/>
          </w:tcPr>
          <w:p w14:paraId="1876F18D" w14:textId="0200196C" w:rsidR="001341B4" w:rsidRPr="007A3600" w:rsidRDefault="003F10C0" w:rsidP="00AD3197">
            <w:pPr>
              <w:pStyle w:val="TableBody"/>
              <w:jc w:val="right"/>
            </w:pPr>
            <w:r w:rsidRPr="007A3600">
              <w:rPr>
                <w:color w:val="000000"/>
                <w:szCs w:val="24"/>
              </w:rPr>
              <w:t>–</w:t>
            </w:r>
          </w:p>
        </w:tc>
      </w:tr>
      <w:tr w:rsidR="00D504AD" w:rsidRPr="007A3600" w14:paraId="2ABE8FB4"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65C436B9" w14:textId="3108A19C" w:rsidR="001341B4" w:rsidRPr="007A3600" w:rsidRDefault="001341B4" w:rsidP="00AD3197">
            <w:pPr>
              <w:pStyle w:val="TableBody"/>
            </w:pPr>
            <w:r w:rsidRPr="007A3600">
              <w:rPr>
                <w:rFonts w:eastAsia="Times New Roman"/>
                <w:b/>
                <w:bCs/>
                <w:szCs w:val="24"/>
              </w:rPr>
              <w:t>Total renewable electricity produced</w:t>
            </w:r>
          </w:p>
        </w:tc>
        <w:tc>
          <w:tcPr>
            <w:tcW w:w="1247" w:type="dxa"/>
          </w:tcPr>
          <w:p w14:paraId="33743E16" w14:textId="7E5CF388" w:rsidR="001341B4" w:rsidRPr="007A3600" w:rsidRDefault="00EB609B" w:rsidP="00AD3197">
            <w:pPr>
              <w:pStyle w:val="TableBody"/>
              <w:jc w:val="right"/>
              <w:rPr>
                <w:vertAlign w:val="superscript"/>
              </w:rPr>
            </w:pPr>
            <w:r>
              <w:rPr>
                <w:b/>
                <w:bCs/>
                <w:color w:val="000000"/>
                <w:szCs w:val="24"/>
              </w:rPr>
              <w:t>N/A</w:t>
            </w:r>
          </w:p>
        </w:tc>
        <w:tc>
          <w:tcPr>
            <w:tcW w:w="1247" w:type="dxa"/>
          </w:tcPr>
          <w:p w14:paraId="0D7E9488" w14:textId="4EF7A11D" w:rsidR="001341B4" w:rsidRPr="007A3600" w:rsidRDefault="00EB609B" w:rsidP="00AD3197">
            <w:pPr>
              <w:pStyle w:val="TableBody"/>
              <w:jc w:val="right"/>
              <w:rPr>
                <w:vertAlign w:val="superscript"/>
              </w:rPr>
            </w:pPr>
            <w:r>
              <w:rPr>
                <w:b/>
                <w:bCs/>
                <w:color w:val="000000"/>
                <w:szCs w:val="24"/>
              </w:rPr>
              <w:t>N/A</w:t>
            </w:r>
          </w:p>
        </w:tc>
        <w:tc>
          <w:tcPr>
            <w:tcW w:w="1247" w:type="dxa"/>
          </w:tcPr>
          <w:p w14:paraId="4C14E445" w14:textId="0CECC75B" w:rsidR="001341B4" w:rsidRPr="007A3600" w:rsidRDefault="00EB609B" w:rsidP="00AD3197">
            <w:pPr>
              <w:pStyle w:val="TableBody"/>
              <w:jc w:val="right"/>
            </w:pPr>
            <w:r>
              <w:rPr>
                <w:b/>
                <w:bCs/>
                <w:color w:val="000000"/>
                <w:szCs w:val="24"/>
              </w:rPr>
              <w:t>N/A</w:t>
            </w:r>
          </w:p>
        </w:tc>
        <w:tc>
          <w:tcPr>
            <w:tcW w:w="2041" w:type="dxa"/>
          </w:tcPr>
          <w:p w14:paraId="5886141D" w14:textId="58DC03D9" w:rsidR="001341B4" w:rsidRPr="007A3600" w:rsidRDefault="003F10C0" w:rsidP="00AD3197">
            <w:pPr>
              <w:pStyle w:val="TableBody"/>
              <w:jc w:val="right"/>
            </w:pPr>
            <w:r w:rsidRPr="007A3600">
              <w:rPr>
                <w:b/>
                <w:bCs/>
                <w:color w:val="000000"/>
                <w:szCs w:val="24"/>
              </w:rPr>
              <w:t>–</w:t>
            </w:r>
          </w:p>
        </w:tc>
      </w:tr>
      <w:tr w:rsidR="0026718D" w:rsidRPr="007A3600" w14:paraId="24C83851" w14:textId="77777777" w:rsidTr="0026718D">
        <w:tc>
          <w:tcPr>
            <w:tcW w:w="3175" w:type="dxa"/>
          </w:tcPr>
          <w:p w14:paraId="277D7CD2" w14:textId="4D9DB7A0" w:rsidR="001341B4" w:rsidRPr="007A3600" w:rsidRDefault="001341B4" w:rsidP="00AD3197">
            <w:pPr>
              <w:pStyle w:val="TableBody"/>
              <w:jc w:val="right"/>
            </w:pPr>
            <w:r w:rsidRPr="007A3600">
              <w:rPr>
                <w:rFonts w:eastAsia="Times New Roman"/>
                <w:color w:val="000000"/>
                <w:szCs w:val="24"/>
              </w:rPr>
              <w:t>Large-scale generation certificates</w:t>
            </w:r>
            <w:r w:rsidRPr="007A3600">
              <w:rPr>
                <w:rFonts w:eastAsia="Times New Roman"/>
                <w:color w:val="000000"/>
                <w:szCs w:val="24"/>
                <w:vertAlign w:val="superscript"/>
              </w:rPr>
              <w:t>2</w:t>
            </w:r>
          </w:p>
        </w:tc>
        <w:tc>
          <w:tcPr>
            <w:tcW w:w="1247" w:type="dxa"/>
          </w:tcPr>
          <w:p w14:paraId="142A416F" w14:textId="72A89E29" w:rsidR="001341B4" w:rsidRPr="007A3600" w:rsidRDefault="00EB609B" w:rsidP="00AD3197">
            <w:pPr>
              <w:pStyle w:val="TableBody"/>
              <w:jc w:val="right"/>
              <w:rPr>
                <w:vertAlign w:val="superscript"/>
              </w:rPr>
            </w:pPr>
            <w:r>
              <w:rPr>
                <w:color w:val="000000"/>
                <w:szCs w:val="24"/>
              </w:rPr>
              <w:t>N/A</w:t>
            </w:r>
          </w:p>
        </w:tc>
        <w:tc>
          <w:tcPr>
            <w:tcW w:w="1247" w:type="dxa"/>
          </w:tcPr>
          <w:p w14:paraId="341CFB31" w14:textId="49C87C43" w:rsidR="001341B4" w:rsidRPr="007A3600" w:rsidRDefault="00EB609B" w:rsidP="00AD3197">
            <w:pPr>
              <w:pStyle w:val="TableBody"/>
              <w:jc w:val="right"/>
              <w:rPr>
                <w:vertAlign w:val="superscript"/>
              </w:rPr>
            </w:pPr>
            <w:r>
              <w:rPr>
                <w:color w:val="000000"/>
                <w:szCs w:val="24"/>
              </w:rPr>
              <w:t>N/A</w:t>
            </w:r>
          </w:p>
        </w:tc>
        <w:tc>
          <w:tcPr>
            <w:tcW w:w="1247" w:type="dxa"/>
          </w:tcPr>
          <w:p w14:paraId="56DD65A9" w14:textId="2B53E970" w:rsidR="001341B4" w:rsidRPr="007A3600" w:rsidRDefault="00EB609B" w:rsidP="00AD3197">
            <w:pPr>
              <w:pStyle w:val="TableBody"/>
              <w:jc w:val="right"/>
            </w:pPr>
            <w:r>
              <w:rPr>
                <w:color w:val="000000"/>
                <w:szCs w:val="24"/>
              </w:rPr>
              <w:t>N/A</w:t>
            </w:r>
          </w:p>
        </w:tc>
        <w:tc>
          <w:tcPr>
            <w:tcW w:w="2041" w:type="dxa"/>
          </w:tcPr>
          <w:p w14:paraId="0691DC97" w14:textId="0B8C7DD8" w:rsidR="001341B4" w:rsidRPr="007A3600" w:rsidRDefault="003F10C0" w:rsidP="00AD3197">
            <w:pPr>
              <w:pStyle w:val="TableBody"/>
              <w:jc w:val="right"/>
            </w:pPr>
            <w:r w:rsidRPr="007A3600">
              <w:rPr>
                <w:color w:val="000000"/>
                <w:szCs w:val="24"/>
              </w:rPr>
              <w:t>–</w:t>
            </w:r>
          </w:p>
        </w:tc>
      </w:tr>
      <w:tr w:rsidR="00D504AD" w:rsidRPr="007A3600" w14:paraId="31C6859C" w14:textId="77777777" w:rsidTr="0026718D">
        <w:trPr>
          <w:cnfStyle w:val="000000100000" w:firstRow="0" w:lastRow="0" w:firstColumn="0" w:lastColumn="0" w:oddVBand="0" w:evenVBand="0" w:oddHBand="1" w:evenHBand="0" w:firstRowFirstColumn="0" w:firstRowLastColumn="0" w:lastRowFirstColumn="0" w:lastRowLastColumn="0"/>
        </w:trPr>
        <w:tc>
          <w:tcPr>
            <w:tcW w:w="3175" w:type="dxa"/>
          </w:tcPr>
          <w:p w14:paraId="7D54A516" w14:textId="2D7BD1FC" w:rsidR="001341B4" w:rsidRPr="007A3600" w:rsidRDefault="001341B4" w:rsidP="00AD3197">
            <w:pPr>
              <w:pStyle w:val="TableBody"/>
              <w:jc w:val="right"/>
            </w:pPr>
            <w:r w:rsidRPr="007A3600">
              <w:rPr>
                <w:rFonts w:eastAsia="Times New Roman"/>
                <w:color w:val="000000"/>
                <w:szCs w:val="24"/>
              </w:rPr>
              <w:t>Behind the meter solar</w:t>
            </w:r>
            <w:r w:rsidRPr="007A3600">
              <w:rPr>
                <w:rFonts w:eastAsia="Times New Roman"/>
                <w:color w:val="000000"/>
                <w:szCs w:val="24"/>
                <w:vertAlign w:val="superscript"/>
              </w:rPr>
              <w:t>4</w:t>
            </w:r>
          </w:p>
        </w:tc>
        <w:tc>
          <w:tcPr>
            <w:tcW w:w="1247" w:type="dxa"/>
          </w:tcPr>
          <w:p w14:paraId="334E3541" w14:textId="4D2F3206" w:rsidR="001341B4" w:rsidRPr="007A3600" w:rsidRDefault="00EB609B" w:rsidP="00AD3197">
            <w:pPr>
              <w:pStyle w:val="TableBody"/>
              <w:jc w:val="right"/>
              <w:rPr>
                <w:vertAlign w:val="superscript"/>
              </w:rPr>
            </w:pPr>
            <w:r>
              <w:rPr>
                <w:color w:val="000000"/>
                <w:szCs w:val="24"/>
              </w:rPr>
              <w:t>N/A</w:t>
            </w:r>
          </w:p>
        </w:tc>
        <w:tc>
          <w:tcPr>
            <w:tcW w:w="1247" w:type="dxa"/>
          </w:tcPr>
          <w:p w14:paraId="5A5DC69E" w14:textId="269EDCD5" w:rsidR="001341B4" w:rsidRPr="007A3600" w:rsidRDefault="00EB609B" w:rsidP="00AD3197">
            <w:pPr>
              <w:pStyle w:val="TableBody"/>
              <w:jc w:val="right"/>
              <w:rPr>
                <w:vertAlign w:val="superscript"/>
              </w:rPr>
            </w:pPr>
            <w:r>
              <w:rPr>
                <w:color w:val="000000"/>
                <w:szCs w:val="24"/>
              </w:rPr>
              <w:t>N/A</w:t>
            </w:r>
          </w:p>
        </w:tc>
        <w:tc>
          <w:tcPr>
            <w:tcW w:w="1247" w:type="dxa"/>
          </w:tcPr>
          <w:p w14:paraId="5A998A97" w14:textId="378AAA40" w:rsidR="001341B4" w:rsidRPr="007A3600" w:rsidRDefault="00EB609B" w:rsidP="00AD3197">
            <w:pPr>
              <w:pStyle w:val="TableBody"/>
              <w:jc w:val="right"/>
            </w:pPr>
            <w:r>
              <w:rPr>
                <w:color w:val="000000"/>
                <w:szCs w:val="24"/>
              </w:rPr>
              <w:t>N/A</w:t>
            </w:r>
          </w:p>
        </w:tc>
        <w:tc>
          <w:tcPr>
            <w:tcW w:w="2041" w:type="dxa"/>
          </w:tcPr>
          <w:p w14:paraId="4F66B1F9" w14:textId="27C48211" w:rsidR="001341B4" w:rsidRPr="007A3600" w:rsidRDefault="003F10C0" w:rsidP="00AD3197">
            <w:pPr>
              <w:pStyle w:val="TableBody"/>
              <w:jc w:val="right"/>
            </w:pPr>
            <w:r w:rsidRPr="007A3600">
              <w:rPr>
                <w:color w:val="000000"/>
                <w:szCs w:val="24"/>
              </w:rPr>
              <w:t>–</w:t>
            </w:r>
          </w:p>
        </w:tc>
      </w:tr>
    </w:tbl>
    <w:p w14:paraId="53ED2E39" w14:textId="76DED175" w:rsidR="00ED6F2F" w:rsidRPr="007A3600" w:rsidRDefault="002D06C2" w:rsidP="00AD3197">
      <w:pPr>
        <w:pStyle w:val="Tablenotes"/>
      </w:pPr>
      <w:r>
        <w:rPr>
          <w:b/>
          <w:bCs/>
        </w:rPr>
        <w:t>N</w:t>
      </w:r>
      <w:r w:rsidR="00ED6F2F" w:rsidRPr="007A3600">
        <w:rPr>
          <w:b/>
          <w:bCs/>
        </w:rPr>
        <w:t>otes:</w:t>
      </w:r>
      <w:r w:rsidR="00ED6F2F" w:rsidRPr="007A3600">
        <w:t xml:space="preserve"> The table above presents emissions related to electricity usage using both the location-based and the market-based accounting methods. </w:t>
      </w:r>
      <w:r w:rsidR="00A564F3" w:rsidRPr="007A3600">
        <w:t xml:space="preserve">Electricity usage is measured in kilowatt hours (kWh). </w:t>
      </w:r>
      <w:r w:rsidR="00ED6F2F" w:rsidRPr="007A3600">
        <w:t>CO</w:t>
      </w:r>
      <w:r w:rsidR="00ED6F2F" w:rsidRPr="007A3600">
        <w:rPr>
          <w:vertAlign w:val="subscript"/>
        </w:rPr>
        <w:t>2</w:t>
      </w:r>
      <w:r w:rsidR="00ED6F2F" w:rsidRPr="007A3600">
        <w:t xml:space="preserve">-e = </w:t>
      </w:r>
      <w:r w:rsidR="000F0321" w:rsidRPr="007A3600">
        <w:t>c</w:t>
      </w:r>
      <w:r w:rsidR="00ED6F2F" w:rsidRPr="007A3600">
        <w:t xml:space="preserve">arbon </w:t>
      </w:r>
      <w:r w:rsidR="000F0321" w:rsidRPr="007A3600">
        <w:t>d</w:t>
      </w:r>
      <w:r w:rsidR="00ED6F2F" w:rsidRPr="007A3600">
        <w:t xml:space="preserve">ioxide </w:t>
      </w:r>
      <w:r w:rsidR="000F0321" w:rsidRPr="007A3600">
        <w:t>e</w:t>
      </w:r>
      <w:r w:rsidR="00ED6F2F" w:rsidRPr="007A3600">
        <w:t>quivalent</w:t>
      </w:r>
      <w:r w:rsidR="002E4983" w:rsidRPr="007A3600">
        <w:t>;</w:t>
      </w:r>
      <w:r w:rsidR="00ED6F2F" w:rsidRPr="007A3600" w:rsidDel="002E4983">
        <w:t xml:space="preserve"> </w:t>
      </w:r>
      <w:r w:rsidR="00EB609B">
        <w:t>N/A</w:t>
      </w:r>
      <w:r w:rsidR="00ED6F2F" w:rsidRPr="007A3600">
        <w:t xml:space="preserve"> = not applicable</w:t>
      </w:r>
      <w:r w:rsidR="002E4983" w:rsidRPr="007A3600">
        <w:t>;</w:t>
      </w:r>
      <w:r w:rsidR="00ED6F2F" w:rsidRPr="007A3600">
        <w:t xml:space="preserve"> </w:t>
      </w:r>
      <w:r w:rsidR="000B73C6">
        <w:t>–</w:t>
      </w:r>
      <w:r w:rsidR="00ED6F2F" w:rsidRPr="007A3600">
        <w:t xml:space="preserve"> = no available data.</w:t>
      </w:r>
    </w:p>
    <w:p w14:paraId="4D133166" w14:textId="54DA132B" w:rsidR="00ED6F2F" w:rsidRPr="007A3600" w:rsidRDefault="00ED6F2F" w:rsidP="00AD3197">
      <w:pPr>
        <w:pStyle w:val="Tablenotes"/>
      </w:pPr>
      <w:r w:rsidRPr="007A3600">
        <w:rPr>
          <w:vertAlign w:val="superscript"/>
        </w:rPr>
        <w:t>1</w:t>
      </w:r>
      <w:r w:rsidRPr="007A3600">
        <w:t xml:space="preserve"> Listed as </w:t>
      </w:r>
      <w:r w:rsidR="00867BFE" w:rsidRPr="007A3600">
        <w:t>m</w:t>
      </w:r>
      <w:r w:rsidRPr="007A3600">
        <w:t xml:space="preserve">andatory </w:t>
      </w:r>
      <w:r w:rsidR="00867BFE" w:rsidRPr="007A3600">
        <w:t>r</w:t>
      </w:r>
      <w:r w:rsidRPr="007A3600">
        <w:t>enewables in 2023</w:t>
      </w:r>
      <w:r w:rsidR="00867BFE" w:rsidRPr="007A3600">
        <w:t>–</w:t>
      </w:r>
      <w:r w:rsidRPr="007A3600">
        <w:t xml:space="preserve">24 </w:t>
      </w:r>
      <w:r w:rsidR="00867BFE" w:rsidRPr="007A3600">
        <w:t>a</w:t>
      </w:r>
      <w:r w:rsidRPr="007A3600">
        <w:t xml:space="preserve">nnual </w:t>
      </w:r>
      <w:r w:rsidR="00867BFE" w:rsidRPr="007A3600">
        <w:t>r</w:t>
      </w:r>
      <w:r w:rsidRPr="007A3600">
        <w:t xml:space="preserve">eports. The </w:t>
      </w:r>
      <w:r w:rsidR="00867BFE" w:rsidRPr="007A3600">
        <w:t>R</w:t>
      </w:r>
      <w:r w:rsidRPr="007A3600">
        <w:t xml:space="preserve">enewable </w:t>
      </w:r>
      <w:r w:rsidR="00867BFE" w:rsidRPr="007A3600">
        <w:t>P</w:t>
      </w:r>
      <w:r w:rsidRPr="007A3600">
        <w:t xml:space="preserve">ower </w:t>
      </w:r>
      <w:r w:rsidR="00867BFE" w:rsidRPr="007A3600">
        <w:t>P</w:t>
      </w:r>
      <w:r w:rsidRPr="007A3600">
        <w:t xml:space="preserve">ercentage (RPP) accounts for the portion of electricity used, from the grid, which falls within the Renewable Energy Target. </w:t>
      </w:r>
    </w:p>
    <w:p w14:paraId="745AF715" w14:textId="5F4F5BD4" w:rsidR="00ED6F2F" w:rsidRPr="007A3600" w:rsidRDefault="00ED6F2F" w:rsidP="00AD3197">
      <w:pPr>
        <w:pStyle w:val="Tablenotes"/>
      </w:pPr>
      <w:r w:rsidRPr="007A3600">
        <w:rPr>
          <w:vertAlign w:val="superscript"/>
        </w:rPr>
        <w:t>2</w:t>
      </w:r>
      <w:r w:rsidRPr="007A3600">
        <w:t xml:space="preserve"> Listed as </w:t>
      </w:r>
      <w:r w:rsidR="00A904D3" w:rsidRPr="007A3600">
        <w:t>v</w:t>
      </w:r>
      <w:r w:rsidRPr="007A3600">
        <w:t>oluntary renewables in 2023</w:t>
      </w:r>
      <w:r w:rsidR="00A904D3" w:rsidRPr="007A3600">
        <w:t>–</w:t>
      </w:r>
      <w:r w:rsidRPr="007A3600">
        <w:t xml:space="preserve">24 </w:t>
      </w:r>
      <w:r w:rsidR="00A904D3" w:rsidRPr="007A3600">
        <w:t>a</w:t>
      </w:r>
      <w:r w:rsidRPr="007A3600">
        <w:t xml:space="preserve">nnual </w:t>
      </w:r>
      <w:r w:rsidR="00A904D3" w:rsidRPr="007A3600">
        <w:t>r</w:t>
      </w:r>
      <w:r w:rsidRPr="007A3600">
        <w:t xml:space="preserve">eports. </w:t>
      </w:r>
    </w:p>
    <w:p w14:paraId="60C5E972" w14:textId="5CCC6B88" w:rsidR="00ED6F2F" w:rsidRPr="007A3600" w:rsidRDefault="00ED6F2F" w:rsidP="00AD3197">
      <w:pPr>
        <w:pStyle w:val="Tablenotes"/>
      </w:pPr>
      <w:r w:rsidRPr="007A3600">
        <w:rPr>
          <w:vertAlign w:val="superscript"/>
        </w:rPr>
        <w:t>3</w:t>
      </w:r>
      <w:r w:rsidRPr="007A3600">
        <w:t xml:space="preserve"> The Australian Capital Territory is currently the only state with a </w:t>
      </w:r>
      <w:r w:rsidR="00A904D3" w:rsidRPr="007A3600">
        <w:t>J</w:t>
      </w:r>
      <w:r w:rsidRPr="007A3600">
        <w:t xml:space="preserve">urisdictional </w:t>
      </w:r>
      <w:r w:rsidR="00A904D3" w:rsidRPr="007A3600">
        <w:t>R</w:t>
      </w:r>
      <w:r w:rsidRPr="007A3600">
        <w:t xml:space="preserve">enewable </w:t>
      </w:r>
      <w:r w:rsidR="00A904D3" w:rsidRPr="007A3600">
        <w:t>P</w:t>
      </w:r>
      <w:r w:rsidRPr="007A3600">
        <w:t xml:space="preserve">ower </w:t>
      </w:r>
      <w:r w:rsidR="00A904D3" w:rsidRPr="007A3600">
        <w:t>P</w:t>
      </w:r>
      <w:r w:rsidRPr="007A3600">
        <w:t xml:space="preserve">ercentage (JRPP). </w:t>
      </w:r>
    </w:p>
    <w:p w14:paraId="784A09FA" w14:textId="7F137ECD" w:rsidR="005A018D" w:rsidRPr="007A3600" w:rsidRDefault="00ED6F2F" w:rsidP="00AD3197">
      <w:pPr>
        <w:pStyle w:val="Tablenotes"/>
      </w:pPr>
      <w:r w:rsidRPr="007A3600">
        <w:rPr>
          <w:vertAlign w:val="superscript"/>
        </w:rPr>
        <w:t>4</w:t>
      </w:r>
      <w:r w:rsidRPr="007A3600">
        <w:t xml:space="preserve"> Reporting behind</w:t>
      </w:r>
      <w:r w:rsidR="00A904D3" w:rsidRPr="007A3600">
        <w:t>-</w:t>
      </w:r>
      <w:r w:rsidRPr="007A3600">
        <w:t>the</w:t>
      </w:r>
      <w:r w:rsidR="00A904D3" w:rsidRPr="007A3600">
        <w:t>-</w:t>
      </w:r>
      <w:r w:rsidRPr="007A3600">
        <w:t>meter solar consumption and production is optional. The quality of data is expected to improve over time as emissions reporting matures.</w:t>
      </w:r>
    </w:p>
    <w:p w14:paraId="71AFFFAD" w14:textId="442FED23" w:rsidR="00F82FF8" w:rsidRPr="007A3600" w:rsidRDefault="00924091" w:rsidP="00AD3197">
      <w:pPr>
        <w:pStyle w:val="Heading3"/>
      </w:pPr>
      <w:bookmarkStart w:id="297" w:name="_8.6_Compliance_with"/>
      <w:bookmarkStart w:id="298" w:name="_8.9_Compliance_with"/>
      <w:bookmarkStart w:id="299" w:name="_Toc207017771"/>
      <w:bookmarkStart w:id="300" w:name="_Toc209695875"/>
      <w:bookmarkEnd w:id="297"/>
      <w:bookmarkEnd w:id="298"/>
      <w:r w:rsidRPr="007A3600">
        <w:t>8</w:t>
      </w:r>
      <w:r w:rsidR="00A0580F" w:rsidRPr="007A3600">
        <w:t>.</w:t>
      </w:r>
      <w:r w:rsidR="00F830CE" w:rsidRPr="007A3600">
        <w:t>9</w:t>
      </w:r>
      <w:r w:rsidR="00A0580F" w:rsidRPr="007A3600">
        <w:tab/>
        <w:t>Compliance with Carer Recognition Act</w:t>
      </w:r>
      <w:bookmarkEnd w:id="299"/>
      <w:bookmarkEnd w:id="300"/>
    </w:p>
    <w:p w14:paraId="65C23FD1" w14:textId="77777777" w:rsidR="00317491" w:rsidRPr="007A3600" w:rsidRDefault="00317491" w:rsidP="00AD3197">
      <w:r w:rsidRPr="007A3600">
        <w:t xml:space="preserve">Through the </w:t>
      </w:r>
      <w:r w:rsidRPr="007A3600">
        <w:rPr>
          <w:i/>
          <w:iCs/>
        </w:rPr>
        <w:t>Carer Recognition Act 2010</w:t>
      </w:r>
      <w:r w:rsidRPr="007A3600">
        <w:t xml:space="preserve"> (Cth), the Australian Government recognises the exceptional contribution made by unpaid carers. The Act stipulates that carers should have the same rights, choices and opportunities as other Australians.</w:t>
      </w:r>
    </w:p>
    <w:p w14:paraId="6B5A67FE" w14:textId="03EF730C" w:rsidR="002D2315" w:rsidRPr="007A3600" w:rsidRDefault="00317491" w:rsidP="00AD3197">
      <w:r w:rsidRPr="007A3600">
        <w:t xml:space="preserve">The NDIA consults with carer organisations to develop support mechanisms and implement reforms. Consultation ensures programs and services continue to </w:t>
      </w:r>
      <w:r w:rsidRPr="007A3600">
        <w:lastRenderedPageBreak/>
        <w:t>consider the needs of carers in addition to those of people with disability and meet the requirements of the Act.</w:t>
      </w:r>
    </w:p>
    <w:p w14:paraId="344D3CD7" w14:textId="52B52071" w:rsidR="00A0580F" w:rsidRPr="007A3600" w:rsidRDefault="00A0580F" w:rsidP="00AD3197">
      <w:pPr>
        <w:pStyle w:val="Heading4"/>
      </w:pPr>
      <w:bookmarkStart w:id="301" w:name="_Toc207017772"/>
      <w:r w:rsidRPr="007A3600">
        <w:t>Awareness and understanding</w:t>
      </w:r>
      <w:bookmarkEnd w:id="301"/>
    </w:p>
    <w:p w14:paraId="6C9A1A8A" w14:textId="3FAB7372" w:rsidR="00A0580F" w:rsidRPr="007A3600" w:rsidRDefault="00265511" w:rsidP="00AD3197">
      <w:r w:rsidRPr="007A3600">
        <w:t xml:space="preserve">The NDIA promotes staff awareness and understanding of the principles contained within the </w:t>
      </w:r>
      <w:r w:rsidRPr="007A3600">
        <w:rPr>
          <w:i/>
          <w:iCs/>
        </w:rPr>
        <w:t>Carer Recognition Act 2010</w:t>
      </w:r>
      <w:r w:rsidRPr="007A3600">
        <w:t xml:space="preserve"> and the Statement for Australia’s Carers through online tools and resources, including guides on the support available to employees with caring responsibilities and also those who support people with caring responsibilities.</w:t>
      </w:r>
    </w:p>
    <w:p w14:paraId="211581F5" w14:textId="09AA66B9" w:rsidR="00A0580F" w:rsidRPr="007A3600" w:rsidRDefault="00A0580F" w:rsidP="00AD3197">
      <w:pPr>
        <w:pStyle w:val="Heading4"/>
      </w:pPr>
      <w:bookmarkStart w:id="302" w:name="_Toc207017773"/>
      <w:r w:rsidRPr="007A3600">
        <w:t>Workplace support for carers</w:t>
      </w:r>
      <w:bookmarkEnd w:id="302"/>
    </w:p>
    <w:p w14:paraId="627DD373" w14:textId="4EE6401F" w:rsidR="00B455A4" w:rsidRPr="007A3600" w:rsidRDefault="00B455A4" w:rsidP="00AD3197">
      <w:r w:rsidRPr="007A3600">
        <w:t xml:space="preserve">The NDIA complies with its obligations under the </w:t>
      </w:r>
      <w:r w:rsidRPr="007A3600">
        <w:rPr>
          <w:i/>
          <w:iCs/>
        </w:rPr>
        <w:t>Carer Recognition Act 2010</w:t>
      </w:r>
      <w:r w:rsidRPr="007A3600">
        <w:t xml:space="preserve"> and adheres to the principles of the Statement for Australia’s Carers. The NDIA’s Enterprise Agreement 2024–27 and human resources policies are also developed having regard to the Statement for Australia’s Carers.</w:t>
      </w:r>
    </w:p>
    <w:p w14:paraId="7D42D317" w14:textId="144317C3" w:rsidR="00A0580F" w:rsidRPr="007A3600" w:rsidRDefault="00B455A4" w:rsidP="00AD3197">
      <w:r w:rsidRPr="007A3600">
        <w:t>The NDIA supports carers in the workplace through its employment policies, including flexible working arrangements and access to carers leave.</w:t>
      </w:r>
    </w:p>
    <w:p w14:paraId="17F14A06" w14:textId="693373B6" w:rsidR="00A0580F" w:rsidRPr="007A3600" w:rsidRDefault="00A0580F" w:rsidP="00AD3197">
      <w:pPr>
        <w:pStyle w:val="Heading4"/>
      </w:pPr>
      <w:bookmarkStart w:id="303" w:name="_Toc207017774"/>
      <w:r w:rsidRPr="007A3600">
        <w:t>Recognition of the role of carers</w:t>
      </w:r>
      <w:bookmarkEnd w:id="303"/>
    </w:p>
    <w:p w14:paraId="6B80E6FE" w14:textId="437EE351" w:rsidR="0069482B" w:rsidRPr="007A3600" w:rsidRDefault="0069482B" w:rsidP="00AD3197">
      <w:r w:rsidRPr="007A3600">
        <w:t>The NDIA recognises the essential role carers play in supporting people with disability to pursue their goals. NDIA staff are encouraged to listen to carers and support them in their role.</w:t>
      </w:r>
    </w:p>
    <w:p w14:paraId="4B2A823A" w14:textId="274C6D0E" w:rsidR="0069482B" w:rsidRPr="007A3600" w:rsidRDefault="0069482B" w:rsidP="00AD3197">
      <w:r w:rsidRPr="007A3600">
        <w:t>The NDIA includes information in each participant’s plan about the support they receive from their carers. When developing the participant’s plan, the NDIA focuses on capacity building and social and economic inclusion for participants. This includes support to build the participant’s independence, daily life supports and short breaks or respite. These supports are important in helping carers to sustain their caring role.</w:t>
      </w:r>
    </w:p>
    <w:p w14:paraId="38D2D0E6" w14:textId="2F0D679D" w:rsidR="0069482B" w:rsidRPr="007A3600" w:rsidRDefault="0069482B" w:rsidP="00AD3197">
      <w:r w:rsidRPr="007A3600">
        <w:t>The NDIA recognises that increasing the capacity of the community to help people with disability and increasing community and workforce participation of people with disability improves the situation of carers.</w:t>
      </w:r>
    </w:p>
    <w:p w14:paraId="0AA4DBA1" w14:textId="3A616B47" w:rsidR="0069482B" w:rsidRPr="007A3600" w:rsidRDefault="0069482B" w:rsidP="00AD3197">
      <w:r w:rsidRPr="007A3600">
        <w:t>The NDIA encourages feedback from carers to inform improvements to the way the NDIS supports their needs.</w:t>
      </w:r>
    </w:p>
    <w:p w14:paraId="1F5095A3" w14:textId="6391DF75" w:rsidR="00A0580F" w:rsidRPr="007A3600" w:rsidRDefault="002B3CD7" w:rsidP="00AD3197">
      <w:r w:rsidRPr="007A3600">
        <w:t>The NDIA also engages with participant and carer stakeholder groups to co-design tools and resources that help them</w:t>
      </w:r>
      <w:r w:rsidR="005E5757" w:rsidRPr="007A3600">
        <w:t>.</w:t>
      </w:r>
      <w:r w:rsidRPr="007A3600">
        <w:t xml:space="preserve"> </w:t>
      </w:r>
      <w:r w:rsidR="005E5757" w:rsidRPr="007A3600">
        <w:t>T</w:t>
      </w:r>
      <w:r w:rsidRPr="007A3600">
        <w:t xml:space="preserve">he NDIS publishes </w:t>
      </w:r>
      <w:r w:rsidR="005E5757" w:rsidRPr="007A3600">
        <w:t xml:space="preserve">these </w:t>
      </w:r>
      <w:r w:rsidRPr="007A3600">
        <w:t>on its website to support them to understand the valuable role carers play in helping participants to increase their community and workforce participation.</w:t>
      </w:r>
    </w:p>
    <w:p w14:paraId="1E18EDF4" w14:textId="75EB0945" w:rsidR="00A0580F" w:rsidRPr="007A3600" w:rsidRDefault="00A0580F" w:rsidP="00AD3197">
      <w:pPr>
        <w:pStyle w:val="Heading4"/>
      </w:pPr>
      <w:bookmarkStart w:id="304" w:name="_Toc207017775"/>
      <w:r w:rsidRPr="007A3600">
        <w:lastRenderedPageBreak/>
        <w:t>Consultation with carers</w:t>
      </w:r>
      <w:bookmarkEnd w:id="304"/>
    </w:p>
    <w:p w14:paraId="71A09260" w14:textId="52596C40" w:rsidR="00677140" w:rsidRPr="007A3600" w:rsidRDefault="00677140" w:rsidP="00AD3197">
      <w:r w:rsidRPr="007A3600">
        <w:t>Carer representative organisations continue to play a significant role supporting the reform of the NDIS. Building on the work started in 2023, the reform program now includes the implementation and operationalisation of the 2024 changes to the NDIS Act. These reforms aim to improve the experience of NDIS participants and carers and make the NDIS stronger for the future.</w:t>
      </w:r>
    </w:p>
    <w:p w14:paraId="381C6B0E" w14:textId="724F8757" w:rsidR="00677140" w:rsidRPr="007A3600" w:rsidRDefault="00677140" w:rsidP="00AD3197">
      <w:r w:rsidRPr="007A3600">
        <w:t xml:space="preserve">Carer representative organisations work closely with the NDIA. </w:t>
      </w:r>
      <w:r w:rsidR="005E5757" w:rsidRPr="007A3600">
        <w:t>For example</w:t>
      </w:r>
      <w:r w:rsidRPr="007A3600">
        <w:t>:</w:t>
      </w:r>
    </w:p>
    <w:p w14:paraId="3543CD6E" w14:textId="282FEEC6" w:rsidR="00677140" w:rsidRPr="007A3600" w:rsidRDefault="00677140" w:rsidP="00AD3197">
      <w:pPr>
        <w:pStyle w:val="Bullet1"/>
      </w:pPr>
      <w:r w:rsidRPr="007A3600">
        <w:t xml:space="preserve">Carers Australia and the National Mental Health Consumer and Carer Forum are both members of the NDIA’s Disability Representative and Carers Organisations Forum, which meets quarterly with the NDIA’s </w:t>
      </w:r>
      <w:r w:rsidR="00A904D3" w:rsidRPr="007A3600">
        <w:t xml:space="preserve">Chief Executive Officer </w:t>
      </w:r>
      <w:r w:rsidRPr="007A3600">
        <w:t xml:space="preserve">and senior leaders. The NDIA provides funding for their participation in the </w:t>
      </w:r>
      <w:r w:rsidR="005E5757" w:rsidRPr="007A3600">
        <w:t>f</w:t>
      </w:r>
      <w:r w:rsidRPr="007A3600">
        <w:t>orum and other co-design and consultation activities.</w:t>
      </w:r>
    </w:p>
    <w:p w14:paraId="052CCA88" w14:textId="164B2844" w:rsidR="00677140" w:rsidRPr="007A3600" w:rsidRDefault="00677140" w:rsidP="00AD3197">
      <w:pPr>
        <w:pStyle w:val="Bullet1"/>
      </w:pPr>
      <w:r w:rsidRPr="007A3600">
        <w:t xml:space="preserve">Carers Australia meets monthly with the NDIA </w:t>
      </w:r>
      <w:r w:rsidR="005E5757" w:rsidRPr="007A3600">
        <w:t xml:space="preserve">through </w:t>
      </w:r>
      <w:r w:rsidRPr="007A3600">
        <w:t>the Stakeholder Engagement Model to discuss key issues and priorities for its members.</w:t>
      </w:r>
    </w:p>
    <w:p w14:paraId="22628785" w14:textId="03FFE958" w:rsidR="00677140" w:rsidRPr="007A3600" w:rsidRDefault="00677140" w:rsidP="00AD3197">
      <w:pPr>
        <w:pStyle w:val="Bullet1"/>
      </w:pPr>
      <w:r w:rsidRPr="007A3600">
        <w:t>Carers Australia is a member of the Participant Safeguarding Co-design Working Group. The aim of the group is to support people to create safeguards that suit their individual needs, match their level of risk and support them to take part in their communities. The group held 6 sessions between its commencement in October 2024 and June 2025.</w:t>
      </w:r>
    </w:p>
    <w:p w14:paraId="38F5B110" w14:textId="78EB6939" w:rsidR="00677140" w:rsidRPr="007A3600" w:rsidRDefault="00677140" w:rsidP="00AD3197">
      <w:pPr>
        <w:pStyle w:val="Bullet1"/>
      </w:pPr>
      <w:r w:rsidRPr="007A3600">
        <w:t>Recognising the importance of co-design led by the sector, the NDIA has also engaged Carers Australia to deliver a series of co-design sessions on improving our risk assessment and safeguarding processes. Two sessions involving 20 carers or supporters have been delivered to date.</w:t>
      </w:r>
    </w:p>
    <w:p w14:paraId="4496920C" w14:textId="50516151" w:rsidR="00677140" w:rsidRPr="007A3600" w:rsidRDefault="00677140" w:rsidP="00AD3197">
      <w:pPr>
        <w:pStyle w:val="Bullet1"/>
      </w:pPr>
      <w:r w:rsidRPr="007A3600">
        <w:t>Carers Australia take</w:t>
      </w:r>
      <w:r w:rsidR="001477DE" w:rsidRPr="007A3600">
        <w:t>s</w:t>
      </w:r>
      <w:r w:rsidRPr="007A3600">
        <w:t xml:space="preserve"> part in the Navigator Co-design Working Group, which gives advice to the NDIA on the future Navigator service. This group held 7</w:t>
      </w:r>
      <w:r w:rsidR="005E5757" w:rsidRPr="007A3600">
        <w:t> </w:t>
      </w:r>
      <w:r w:rsidRPr="007A3600">
        <w:t>meetings between July 2024 and June 2025.</w:t>
      </w:r>
    </w:p>
    <w:p w14:paraId="5F6DAB07" w14:textId="096CD20F" w:rsidR="00677140" w:rsidRPr="007A3600" w:rsidRDefault="00677140" w:rsidP="00AD3197">
      <w:pPr>
        <w:pStyle w:val="Bullet1"/>
      </w:pPr>
      <w:r w:rsidRPr="007A3600">
        <w:t>The National Mental Health Consumer and Carer Forum was a member of the Assessments and Budgeting Co-design Working Group, which focuses on supporting the design of the new planning pathway. The group held 6</w:t>
      </w:r>
      <w:r w:rsidR="005E5757" w:rsidRPr="007A3600">
        <w:t> </w:t>
      </w:r>
      <w:r w:rsidRPr="007A3600">
        <w:t>sessions between July 2024 and June 2025.</w:t>
      </w:r>
    </w:p>
    <w:p w14:paraId="0D470F20" w14:textId="6F6BC457" w:rsidR="00677140" w:rsidRPr="007A3600" w:rsidRDefault="00677140" w:rsidP="00AD3197">
      <w:pPr>
        <w:pStyle w:val="Bullet1"/>
      </w:pPr>
      <w:r w:rsidRPr="007A3600">
        <w:t>Mental Health Carers Australia participated in 5 consultation sessions between July 2024 and June 2025 as part of the psychosocial early intervention reform project. These sessions helped design a new support pathway for people with psychosocial disabilities.</w:t>
      </w:r>
    </w:p>
    <w:p w14:paraId="35A06194" w14:textId="54386505" w:rsidR="00A0580F" w:rsidRPr="007A3600" w:rsidRDefault="00677140" w:rsidP="00AD3197">
      <w:pPr>
        <w:pStyle w:val="Bullet1"/>
      </w:pPr>
      <w:r w:rsidRPr="007A3600">
        <w:t xml:space="preserve">To inform the design and development of a dedicated pathway for children </w:t>
      </w:r>
      <w:r w:rsidR="00384F9B" w:rsidRPr="007A3600">
        <w:t xml:space="preserve">aged </w:t>
      </w:r>
      <w:r w:rsidRPr="007A3600">
        <w:t xml:space="preserve">under 9 </w:t>
      </w:r>
      <w:r w:rsidR="00384F9B" w:rsidRPr="007A3600">
        <w:t xml:space="preserve">years </w:t>
      </w:r>
      <w:r w:rsidRPr="007A3600">
        <w:t>in the NDIS</w:t>
      </w:r>
      <w:r w:rsidR="005E5757" w:rsidRPr="007A3600">
        <w:t>,</w:t>
      </w:r>
      <w:r w:rsidRPr="007A3600">
        <w:t xml:space="preserve"> </w:t>
      </w:r>
      <w:r w:rsidR="00753517" w:rsidRPr="007A3600">
        <w:t>we have</w:t>
      </w:r>
      <w:r w:rsidRPr="007A3600">
        <w:t xml:space="preserve"> also established a parent and carer consultation group in 2025.</w:t>
      </w:r>
    </w:p>
    <w:p w14:paraId="1A5B6E4F" w14:textId="56761C75" w:rsidR="00A0580F" w:rsidRPr="007A3600" w:rsidRDefault="00924091" w:rsidP="00AD3197">
      <w:pPr>
        <w:pStyle w:val="Heading3"/>
      </w:pPr>
      <w:bookmarkStart w:id="305" w:name="_8.7_Privacy_obligations"/>
      <w:bookmarkStart w:id="306" w:name="_8.10_Privacy_obligations"/>
      <w:bookmarkStart w:id="307" w:name="_Toc207017776"/>
      <w:bookmarkStart w:id="308" w:name="_Toc209695876"/>
      <w:bookmarkEnd w:id="305"/>
      <w:bookmarkEnd w:id="306"/>
      <w:r w:rsidRPr="007A3600">
        <w:lastRenderedPageBreak/>
        <w:t>8</w:t>
      </w:r>
      <w:r w:rsidR="00A0580F" w:rsidRPr="007A3600">
        <w:t>.</w:t>
      </w:r>
      <w:r w:rsidR="00F830CE" w:rsidRPr="007A3600">
        <w:t>10</w:t>
      </w:r>
      <w:r w:rsidR="00A0580F" w:rsidRPr="007A3600">
        <w:tab/>
        <w:t>Privacy obligations</w:t>
      </w:r>
      <w:bookmarkEnd w:id="307"/>
      <w:bookmarkEnd w:id="308"/>
    </w:p>
    <w:p w14:paraId="3762D609" w14:textId="77777777" w:rsidR="008133FA" w:rsidRPr="007A3600" w:rsidRDefault="008133FA" w:rsidP="00AD3197">
      <w:r w:rsidRPr="007A3600">
        <w:t xml:space="preserve">The NDIA complies with its privacy obligations as required under both the </w:t>
      </w:r>
      <w:r w:rsidRPr="007A3600">
        <w:rPr>
          <w:i/>
          <w:iCs/>
        </w:rPr>
        <w:t>Privacy Act 1988</w:t>
      </w:r>
      <w:r w:rsidRPr="007A3600">
        <w:t xml:space="preserve"> (Cth) and the NDIS Act.</w:t>
      </w:r>
    </w:p>
    <w:p w14:paraId="65B9D83B" w14:textId="11A7795D" w:rsidR="008133FA" w:rsidRPr="007A3600" w:rsidRDefault="008133FA" w:rsidP="00AD3197">
      <w:r w:rsidRPr="007A3600">
        <w:t>This includes ensuring practices and procedures are consistent with requirements under the Australian Privacy Principles, the Notifiable Data Breaches Scheme and the Australian Government Agencies Privacy Code, such as having an established privacy policy and privacy management plan and maintaining privacy incident and privacy impact assessment registers.</w:t>
      </w:r>
    </w:p>
    <w:p w14:paraId="25A93BC8" w14:textId="425DFD31" w:rsidR="008133FA" w:rsidRPr="007A3600" w:rsidRDefault="008133FA" w:rsidP="00AD3197">
      <w:r w:rsidRPr="007A3600">
        <w:t xml:space="preserve">The </w:t>
      </w:r>
      <w:r w:rsidR="005E5757" w:rsidRPr="007A3600">
        <w:t xml:space="preserve">NDIA </w:t>
      </w:r>
      <w:r w:rsidRPr="007A3600">
        <w:t>actively promotes privacy awareness through the appointment of a privacy champion and privacy officers and through the delivery of mandatory training materials for staff.</w:t>
      </w:r>
    </w:p>
    <w:p w14:paraId="3F93FF6C" w14:textId="3AB82056" w:rsidR="00A0580F" w:rsidRPr="007A3600" w:rsidRDefault="008133FA" w:rsidP="00AD3197">
      <w:r w:rsidRPr="007A3600">
        <w:t>Staff are regularly reminded of our privacy obligations under law, particularly in relation to ensur</w:t>
      </w:r>
      <w:r w:rsidR="001F75D6" w:rsidRPr="007A3600">
        <w:t>ing</w:t>
      </w:r>
      <w:r w:rsidRPr="007A3600">
        <w:t xml:space="preserve"> that people with disability have their privacy and dignity respected.</w:t>
      </w:r>
    </w:p>
    <w:p w14:paraId="08A8F6D8" w14:textId="44233224" w:rsidR="00A0580F" w:rsidRPr="007A3600" w:rsidRDefault="00924091" w:rsidP="00AD3197">
      <w:pPr>
        <w:pStyle w:val="Heading3"/>
      </w:pPr>
      <w:bookmarkStart w:id="309" w:name="_Toc207017777"/>
      <w:bookmarkStart w:id="310" w:name="_Toc209695877"/>
      <w:r w:rsidRPr="007A3600">
        <w:t>8</w:t>
      </w:r>
      <w:r w:rsidR="00A0580F" w:rsidRPr="007A3600">
        <w:t>.</w:t>
      </w:r>
      <w:r w:rsidR="00690094" w:rsidRPr="007A3600">
        <w:t>1</w:t>
      </w:r>
      <w:r w:rsidR="00F830CE" w:rsidRPr="007A3600">
        <w:t>1</w:t>
      </w:r>
      <w:r w:rsidR="00A0580F" w:rsidRPr="007A3600">
        <w:tab/>
        <w:t>Other PGPA Act reportable items</w:t>
      </w:r>
      <w:bookmarkEnd w:id="309"/>
      <w:bookmarkEnd w:id="310"/>
    </w:p>
    <w:p w14:paraId="6800DCE2" w14:textId="54CF9B72" w:rsidR="00A0580F" w:rsidRPr="007A3600" w:rsidRDefault="00093F3A" w:rsidP="00AD3197">
      <w:pPr>
        <w:pStyle w:val="Heading4"/>
      </w:pPr>
      <w:bookmarkStart w:id="311" w:name="_Location_of_major"/>
      <w:bookmarkStart w:id="312" w:name="_Toc207017778"/>
      <w:bookmarkEnd w:id="311"/>
      <w:r w:rsidRPr="007A3600">
        <w:t>Location of major activities or facilities</w:t>
      </w:r>
      <w:bookmarkEnd w:id="312"/>
    </w:p>
    <w:p w14:paraId="2F144DFE" w14:textId="518F25B7" w:rsidR="00093F3A" w:rsidRPr="007A3600" w:rsidRDefault="002063BC" w:rsidP="00AD3197">
      <w:r w:rsidRPr="007A3600">
        <w:t>As at 30 June 2025 the NDIA operated at 151 locations across Australia. Approximately 75% of these sites are shared with other Australian Government entities.</w:t>
      </w:r>
    </w:p>
    <w:p w14:paraId="14AB89CB" w14:textId="3B8B3629" w:rsidR="00093F3A" w:rsidRPr="007A3600" w:rsidRDefault="00E525EA" w:rsidP="00AD3197">
      <w:pPr>
        <w:pStyle w:val="Heading4"/>
      </w:pPr>
      <w:bookmarkStart w:id="313" w:name="_Indemnities_and_insurance"/>
      <w:bookmarkStart w:id="314" w:name="_Toc207017779"/>
      <w:bookmarkEnd w:id="313"/>
      <w:r w:rsidRPr="007A3600">
        <w:t>Indemnities and insurance premiums</w:t>
      </w:r>
      <w:bookmarkEnd w:id="314"/>
    </w:p>
    <w:p w14:paraId="36520567" w14:textId="2E9299B5" w:rsidR="00E525EA" w:rsidRPr="007A3600" w:rsidRDefault="00BF1B61" w:rsidP="00AD3197">
      <w:r w:rsidRPr="007A3600">
        <w:t>The NDIA purchased directors’ and officers’ liability cover from Comcover (the Commonwealth’s self-insurance fund). The premium paid in 2024–25 for this cover was $326,936.72 (GST inclusive).</w:t>
      </w:r>
    </w:p>
    <w:p w14:paraId="1AC217FB" w14:textId="117340E7" w:rsidR="00912C74" w:rsidRPr="007A3600" w:rsidRDefault="00B056BB" w:rsidP="00AD3197">
      <w:pPr>
        <w:pStyle w:val="Heading4"/>
      </w:pPr>
      <w:bookmarkStart w:id="315" w:name="_Related_entity_transactions"/>
      <w:bookmarkStart w:id="316" w:name="_Significant_noncompliance_with"/>
      <w:bookmarkStart w:id="317" w:name="_Significant_non-compliance_with"/>
      <w:bookmarkStart w:id="318" w:name="_Toc207017782"/>
      <w:bookmarkEnd w:id="315"/>
      <w:bookmarkEnd w:id="316"/>
      <w:bookmarkEnd w:id="317"/>
      <w:r w:rsidRPr="007A3600">
        <w:t>Significant non</w:t>
      </w:r>
      <w:r w:rsidR="00B766AB" w:rsidRPr="007A3600">
        <w:t>-</w:t>
      </w:r>
      <w:r w:rsidRPr="007A3600">
        <w:t xml:space="preserve">compliance with the </w:t>
      </w:r>
      <w:bookmarkEnd w:id="318"/>
      <w:r w:rsidR="00A904D3" w:rsidRPr="007A3600">
        <w:t>f</w:t>
      </w:r>
      <w:r w:rsidRPr="007A3600">
        <w:t xml:space="preserve">inance </w:t>
      </w:r>
      <w:r w:rsidR="00A904D3" w:rsidRPr="007A3600">
        <w:t>l</w:t>
      </w:r>
      <w:r w:rsidRPr="007A3600">
        <w:t>aw</w:t>
      </w:r>
    </w:p>
    <w:p w14:paraId="34480340" w14:textId="38BE7B4D" w:rsidR="00B056BB" w:rsidRPr="007A3600" w:rsidRDefault="00B056BB" w:rsidP="00AD3197">
      <w:pPr>
        <w:pStyle w:val="Caption"/>
      </w:pPr>
      <w:r w:rsidRPr="007A3600">
        <w:t xml:space="preserve">Table </w:t>
      </w:r>
      <w:r w:rsidR="000B13EF" w:rsidRPr="007A3600">
        <w:t>2</w:t>
      </w:r>
      <w:r w:rsidR="005C353F" w:rsidRPr="007A3600">
        <w:t>8</w:t>
      </w:r>
      <w:r w:rsidRPr="007A3600">
        <w:t xml:space="preserve">: </w:t>
      </w:r>
      <w:r w:rsidR="00DF78E1" w:rsidRPr="007A3600">
        <w:t>Significant non</w:t>
      </w:r>
      <w:r w:rsidR="00B766AB" w:rsidRPr="007A3600">
        <w:t>-</w:t>
      </w:r>
      <w:r w:rsidR="00DF78E1" w:rsidRPr="007A3600">
        <w:t xml:space="preserve">compliance with the </w:t>
      </w:r>
      <w:r w:rsidR="00A904D3" w:rsidRPr="007A3600">
        <w:t>f</w:t>
      </w:r>
      <w:r w:rsidR="00DF78E1" w:rsidRPr="007A3600">
        <w:t xml:space="preserve">inance </w:t>
      </w:r>
      <w:r w:rsidR="00A904D3" w:rsidRPr="007A3600">
        <w:t>l</w:t>
      </w:r>
      <w:r w:rsidR="00DF78E1" w:rsidRPr="007A3600">
        <w:t>aw</w:t>
      </w:r>
    </w:p>
    <w:tbl>
      <w:tblPr>
        <w:tblStyle w:val="NDISTable1"/>
        <w:tblW w:w="9022" w:type="dxa"/>
        <w:tblLayout w:type="fixed"/>
        <w:tblLook w:val="0420" w:firstRow="1" w:lastRow="0" w:firstColumn="0" w:lastColumn="0" w:noHBand="0" w:noVBand="1"/>
      </w:tblPr>
      <w:tblGrid>
        <w:gridCol w:w="4511"/>
        <w:gridCol w:w="4511"/>
      </w:tblGrid>
      <w:tr w:rsidR="00B407C5" w:rsidRPr="007A3600" w14:paraId="38D40042" w14:textId="77777777" w:rsidTr="003F53F7">
        <w:trPr>
          <w:cnfStyle w:val="100000000000" w:firstRow="1" w:lastRow="0" w:firstColumn="0" w:lastColumn="0" w:oddVBand="0" w:evenVBand="0" w:oddHBand="0" w:evenHBand="0" w:firstRowFirstColumn="0" w:firstRowLastColumn="0" w:lastRowFirstColumn="0" w:lastRowLastColumn="0"/>
          <w:trHeight w:val="520"/>
        </w:trPr>
        <w:tc>
          <w:tcPr>
            <w:tcW w:w="0" w:type="dxa"/>
            <w:hideMark/>
          </w:tcPr>
          <w:p w14:paraId="23489D57" w14:textId="277ADC78" w:rsidR="00DC37E2" w:rsidRPr="007A3600" w:rsidRDefault="00DC37E2" w:rsidP="00AD3197">
            <w:pPr>
              <w:rPr>
                <w:b/>
                <w:bCs/>
                <w:lang w:val="en-US"/>
              </w:rPr>
            </w:pPr>
            <w:r w:rsidRPr="007A3600">
              <w:rPr>
                <w:lang w:val="en-US"/>
              </w:rPr>
              <w:t>Description of noncompliance</w:t>
            </w:r>
          </w:p>
        </w:tc>
        <w:tc>
          <w:tcPr>
            <w:tcW w:w="0" w:type="dxa"/>
            <w:hideMark/>
          </w:tcPr>
          <w:p w14:paraId="33C8C901" w14:textId="7FFA39F2" w:rsidR="00DC37E2" w:rsidRPr="007A3600" w:rsidRDefault="00DC37E2" w:rsidP="00AD3197">
            <w:pPr>
              <w:rPr>
                <w:b/>
                <w:bCs/>
                <w:lang w:val="en-US"/>
              </w:rPr>
            </w:pPr>
            <w:r w:rsidRPr="007A3600">
              <w:rPr>
                <w:lang w:val="en-US"/>
              </w:rPr>
              <w:t xml:space="preserve">Remedial </w:t>
            </w:r>
            <w:r w:rsidR="005E5757" w:rsidRPr="007A3600">
              <w:rPr>
                <w:lang w:val="en-US"/>
              </w:rPr>
              <w:t>a</w:t>
            </w:r>
            <w:r w:rsidRPr="007A3600">
              <w:rPr>
                <w:lang w:val="en-US"/>
              </w:rPr>
              <w:t>ction</w:t>
            </w:r>
          </w:p>
        </w:tc>
      </w:tr>
      <w:tr w:rsidR="0026718D" w:rsidRPr="007A3600" w14:paraId="7691483B" w14:textId="77777777" w:rsidTr="003F53F7">
        <w:trPr>
          <w:cnfStyle w:val="000000100000" w:firstRow="0" w:lastRow="0" w:firstColumn="0" w:lastColumn="0" w:oddVBand="0" w:evenVBand="0" w:oddHBand="1" w:evenHBand="0" w:firstRowFirstColumn="0" w:firstRowLastColumn="0" w:lastRowFirstColumn="0" w:lastRowLastColumn="0"/>
          <w:trHeight w:val="519"/>
        </w:trPr>
        <w:tc>
          <w:tcPr>
            <w:tcW w:w="0" w:type="dxa"/>
          </w:tcPr>
          <w:p w14:paraId="381AB619" w14:textId="17C39204" w:rsidR="00DC37E2" w:rsidRPr="007A3600" w:rsidRDefault="00EB609B" w:rsidP="00AD3197">
            <w:pPr>
              <w:rPr>
                <w:lang w:val="en-US"/>
              </w:rPr>
            </w:pPr>
            <w:r>
              <w:rPr>
                <w:lang w:val="en-US"/>
              </w:rPr>
              <w:t>N/A</w:t>
            </w:r>
          </w:p>
        </w:tc>
        <w:tc>
          <w:tcPr>
            <w:tcW w:w="0" w:type="dxa"/>
          </w:tcPr>
          <w:p w14:paraId="73C8B9EA" w14:textId="44C54ED6" w:rsidR="00DC37E2" w:rsidRPr="007A3600" w:rsidRDefault="00EB609B" w:rsidP="00AD3197">
            <w:pPr>
              <w:rPr>
                <w:lang w:val="en-US"/>
              </w:rPr>
            </w:pPr>
            <w:r>
              <w:rPr>
                <w:lang w:val="en-US"/>
              </w:rPr>
              <w:t>N/A</w:t>
            </w:r>
          </w:p>
        </w:tc>
      </w:tr>
    </w:tbl>
    <w:p w14:paraId="70ACA2A5" w14:textId="759AD961" w:rsidR="00B64C50" w:rsidRPr="007A3600" w:rsidRDefault="00924091" w:rsidP="00AD3197">
      <w:pPr>
        <w:pStyle w:val="Heading3"/>
      </w:pPr>
      <w:bookmarkStart w:id="319" w:name="_Toc207017783"/>
      <w:bookmarkStart w:id="320" w:name="_Toc209695878"/>
      <w:r w:rsidRPr="007A3600">
        <w:lastRenderedPageBreak/>
        <w:t>8</w:t>
      </w:r>
      <w:r w:rsidR="00967D6D" w:rsidRPr="007A3600">
        <w:t>.</w:t>
      </w:r>
      <w:r w:rsidR="003E4A68" w:rsidRPr="007A3600">
        <w:t>1</w:t>
      </w:r>
      <w:r w:rsidR="00F830CE" w:rsidRPr="007A3600">
        <w:t>2</w:t>
      </w:r>
      <w:r w:rsidR="00061F0D" w:rsidRPr="007A3600">
        <w:tab/>
        <w:t>Disclosures relating to procurements and grants</w:t>
      </w:r>
      <w:bookmarkEnd w:id="319"/>
      <w:bookmarkEnd w:id="320"/>
    </w:p>
    <w:p w14:paraId="153D965E" w14:textId="25302118" w:rsidR="002E1869" w:rsidRPr="007A3600" w:rsidRDefault="002E1869" w:rsidP="00AD3197">
      <w:r w:rsidRPr="007A3600">
        <w:t xml:space="preserve">NDIA procurement and grants activities are guided by internal procurement and grants processes, consistent with its status as a </w:t>
      </w:r>
      <w:r w:rsidR="008D488B" w:rsidRPr="007A3600">
        <w:t xml:space="preserve">corporate Commonwealth entity </w:t>
      </w:r>
      <w:r w:rsidRPr="007A3600">
        <w:t xml:space="preserve">under the </w:t>
      </w:r>
      <w:r w:rsidR="0025540E" w:rsidRPr="007A3600">
        <w:t>PGPA Act</w:t>
      </w:r>
      <w:r w:rsidRPr="007A3600">
        <w:t>.</w:t>
      </w:r>
    </w:p>
    <w:p w14:paraId="1D6B7265" w14:textId="0B944DC6" w:rsidR="00061F0D" w:rsidRPr="007A3600" w:rsidRDefault="002E1869" w:rsidP="00AD3197">
      <w:r w:rsidRPr="007A3600">
        <w:t>Procurement and grant activities were undertaken in accordance with the applicable internal frameworks which support accountability, probity and value for money.</w:t>
      </w:r>
    </w:p>
    <w:p w14:paraId="6740C773" w14:textId="3F480B7C" w:rsidR="00AC6FBF" w:rsidRPr="007A3600" w:rsidRDefault="00924091" w:rsidP="00AD3197">
      <w:pPr>
        <w:pStyle w:val="Heading3"/>
      </w:pPr>
      <w:bookmarkStart w:id="321" w:name="_8.10_NDIS_Act"/>
      <w:bookmarkStart w:id="322" w:name="_8.13_NDIS_Act"/>
      <w:bookmarkStart w:id="323" w:name="_Toc207017784"/>
      <w:bookmarkStart w:id="324" w:name="_Toc209695879"/>
      <w:bookmarkEnd w:id="321"/>
      <w:bookmarkEnd w:id="322"/>
      <w:r w:rsidRPr="007A3600">
        <w:t>8</w:t>
      </w:r>
      <w:r w:rsidR="00AC6FBF" w:rsidRPr="007A3600">
        <w:t>.</w:t>
      </w:r>
      <w:r w:rsidR="004B6102" w:rsidRPr="007A3600">
        <w:t>1</w:t>
      </w:r>
      <w:r w:rsidR="00F830CE" w:rsidRPr="007A3600">
        <w:t>3</w:t>
      </w:r>
      <w:r w:rsidR="00AC6FBF" w:rsidRPr="007A3600">
        <w:tab/>
        <w:t>NDIS Act reportable items</w:t>
      </w:r>
      <w:bookmarkEnd w:id="323"/>
      <w:bookmarkEnd w:id="324"/>
    </w:p>
    <w:p w14:paraId="3B3063EA" w14:textId="32A64510" w:rsidR="00AC6FBF" w:rsidRPr="007A3600" w:rsidRDefault="00AC6FBF" w:rsidP="00AD3197">
      <w:r w:rsidRPr="007A3600">
        <w:t xml:space="preserve">No directions or ministerial statements were given to the NDIA under sections 121 and 125 of the NDIS Act. No legislative instruments were made by the Minister </w:t>
      </w:r>
      <w:r w:rsidR="004F4E1C" w:rsidRPr="007A3600">
        <w:t xml:space="preserve">for the National Disability Insurance Scheme </w:t>
      </w:r>
      <w:r w:rsidRPr="007A3600">
        <w:t>under section 172(3) of the NDIS Act.</w:t>
      </w:r>
    </w:p>
    <w:p w14:paraId="6728A2AC" w14:textId="77777777" w:rsidR="006B23EB" w:rsidRPr="007A3600" w:rsidRDefault="006B23EB" w:rsidP="00AD3197">
      <w:pPr>
        <w:pStyle w:val="Heading3"/>
        <w:sectPr w:rsidR="006B23EB" w:rsidRPr="007A3600" w:rsidSect="000F17C1">
          <w:footerReference w:type="default" r:id="rId176"/>
          <w:footerReference w:type="first" r:id="rId177"/>
          <w:pgSz w:w="11906" w:h="16838" w:code="9"/>
          <w:pgMar w:top="142" w:right="1440" w:bottom="1701" w:left="1440" w:header="561" w:footer="374" w:gutter="0"/>
          <w:cols w:space="708"/>
          <w:titlePg/>
          <w:docGrid w:linePitch="360"/>
        </w:sectPr>
      </w:pPr>
      <w:bookmarkStart w:id="325" w:name="_Toc207017785"/>
    </w:p>
    <w:p w14:paraId="530FD202" w14:textId="3E6C2B91" w:rsidR="006B23EB" w:rsidRPr="007A3600" w:rsidRDefault="00924091" w:rsidP="00AD3197">
      <w:pPr>
        <w:pStyle w:val="Heading3"/>
        <w:spacing w:before="240"/>
      </w:pPr>
      <w:bookmarkStart w:id="326" w:name="_Toc209695880"/>
      <w:r w:rsidRPr="007A3600">
        <w:lastRenderedPageBreak/>
        <w:t>8</w:t>
      </w:r>
      <w:r w:rsidR="006B23EB" w:rsidRPr="007A3600">
        <w:t>.1</w:t>
      </w:r>
      <w:r w:rsidR="00F830CE" w:rsidRPr="007A3600">
        <w:t>4</w:t>
      </w:r>
      <w:r w:rsidR="006B23EB" w:rsidRPr="007A3600">
        <w:tab/>
        <w:t>Correction of material errors in NDIA Annual Report 2023–24</w:t>
      </w:r>
      <w:bookmarkEnd w:id="326"/>
    </w:p>
    <w:p w14:paraId="20F873DD" w14:textId="359F9A05" w:rsidR="006B23EB" w:rsidRPr="007A3600" w:rsidRDefault="006B23EB" w:rsidP="00AD3197">
      <w:pPr>
        <w:spacing w:after="120"/>
      </w:pPr>
      <w:r w:rsidRPr="007A3600">
        <w:t xml:space="preserve">Our Annual Report 2023–24 was missing workforce statistics for the prior year period (2022–23). These statistics are provided in tables </w:t>
      </w:r>
      <w:r w:rsidR="004C46CF" w:rsidRPr="007A3600">
        <w:t>2</w:t>
      </w:r>
      <w:r w:rsidR="00D92283" w:rsidRPr="007A3600">
        <w:t>9</w:t>
      </w:r>
      <w:r w:rsidRPr="007A3600">
        <w:t xml:space="preserve"> a</w:t>
      </w:r>
      <w:r w:rsidR="001632F6" w:rsidRPr="007A3600">
        <w:t>n</w:t>
      </w:r>
      <w:r w:rsidRPr="007A3600">
        <w:t xml:space="preserve">d </w:t>
      </w:r>
      <w:r w:rsidR="00D92283" w:rsidRPr="007A3600">
        <w:t>30</w:t>
      </w:r>
      <w:r w:rsidRPr="007A3600">
        <w:t>.</w:t>
      </w:r>
    </w:p>
    <w:p w14:paraId="7681B6A7" w14:textId="01732056" w:rsidR="006B23EB" w:rsidRPr="007A3600" w:rsidRDefault="006B23EB" w:rsidP="00AD3197">
      <w:pPr>
        <w:pStyle w:val="Caption"/>
        <w:spacing w:after="120"/>
      </w:pPr>
      <w:r w:rsidRPr="007A3600">
        <w:t xml:space="preserve">Table </w:t>
      </w:r>
      <w:r w:rsidR="00D92283" w:rsidRPr="007A3600">
        <w:t>29</w:t>
      </w:r>
      <w:r w:rsidRPr="007A3600">
        <w:t>: All ongoing employees –</w:t>
      </w:r>
      <w:r w:rsidR="00440C8C">
        <w:t xml:space="preserve"> </w:t>
      </w:r>
      <w:r w:rsidRPr="007A3600">
        <w:t>reporting period (2022–23)</w:t>
      </w:r>
    </w:p>
    <w:tbl>
      <w:tblPr>
        <w:tblStyle w:val="NDISTable1"/>
        <w:tblW w:w="0" w:type="auto"/>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39782872" w14:textId="77777777" w:rsidTr="009D1194">
        <w:trPr>
          <w:cnfStyle w:val="100000000000" w:firstRow="1" w:lastRow="0" w:firstColumn="0" w:lastColumn="0" w:oddVBand="0" w:evenVBand="0" w:oddHBand="0" w:evenHBand="0" w:firstRowFirstColumn="0" w:firstRowLastColumn="0" w:lastRowFirstColumn="0" w:lastRowLastColumn="0"/>
          <w:trHeight w:val="1928"/>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69492EE9" w14:textId="77777777" w:rsidR="006B23EB" w:rsidRPr="007A3600" w:rsidRDefault="006B23EB" w:rsidP="009D1194">
            <w:pPr>
              <w:spacing w:after="0" w:line="240" w:lineRule="auto"/>
              <w:ind w:left="113" w:right="113"/>
              <w:rPr>
                <w:rFonts w:cs="Arial"/>
              </w:rPr>
            </w:pPr>
            <w:r w:rsidRPr="007A3600">
              <w:rPr>
                <w:rFonts w:cs="Arial"/>
              </w:rPr>
              <w:t>State or territory</w:t>
            </w:r>
          </w:p>
        </w:tc>
        <w:tc>
          <w:tcPr>
            <w:tcW w:w="794" w:type="dxa"/>
            <w:noWrap/>
            <w:textDirection w:val="tbRl"/>
            <w:hideMark/>
          </w:tcPr>
          <w:p w14:paraId="37997F6E" w14:textId="56D8C924"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Man/</w:t>
            </w:r>
            <w:r w:rsidR="00A904D3" w:rsidRPr="007A3600">
              <w:rPr>
                <w:rFonts w:cs="Arial"/>
              </w:rPr>
              <w:t>m</w:t>
            </w:r>
            <w:r w:rsidRPr="007A3600">
              <w:rPr>
                <w:rFonts w:cs="Arial"/>
              </w:rPr>
              <w:t>ale full time</w:t>
            </w:r>
          </w:p>
        </w:tc>
        <w:tc>
          <w:tcPr>
            <w:tcW w:w="794" w:type="dxa"/>
            <w:textDirection w:val="tbRl"/>
          </w:tcPr>
          <w:p w14:paraId="16BA7030" w14:textId="55A95D18"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Man/</w:t>
            </w:r>
            <w:r w:rsidR="00A904D3" w:rsidRPr="007A3600">
              <w:rPr>
                <w:rFonts w:cs="Arial"/>
              </w:rPr>
              <w:t>m</w:t>
            </w:r>
            <w:r w:rsidRPr="007A3600">
              <w:rPr>
                <w:rFonts w:cs="Arial"/>
              </w:rPr>
              <w:t>ale part time</w:t>
            </w:r>
          </w:p>
        </w:tc>
        <w:tc>
          <w:tcPr>
            <w:tcW w:w="794" w:type="dxa"/>
            <w:textDirection w:val="tbRl"/>
          </w:tcPr>
          <w:p w14:paraId="096E9105" w14:textId="5D65349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Man/</w:t>
            </w:r>
            <w:r w:rsidR="00A904D3" w:rsidRPr="007A3600">
              <w:rPr>
                <w:rFonts w:cs="Arial"/>
              </w:rPr>
              <w:t>m</w:t>
            </w:r>
            <w:r w:rsidRPr="007A3600">
              <w:rPr>
                <w:rFonts w:cs="Arial"/>
              </w:rPr>
              <w:t>ale total</w:t>
            </w:r>
          </w:p>
        </w:tc>
        <w:tc>
          <w:tcPr>
            <w:tcW w:w="794" w:type="dxa"/>
            <w:noWrap/>
            <w:textDirection w:val="tbRl"/>
            <w:hideMark/>
          </w:tcPr>
          <w:p w14:paraId="71BE2D67" w14:textId="0E9F5AA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Woman/</w:t>
            </w:r>
            <w:r w:rsidR="00A904D3" w:rsidRPr="007A3600">
              <w:rPr>
                <w:rFonts w:cs="Arial"/>
              </w:rPr>
              <w:t>f</w:t>
            </w:r>
            <w:r w:rsidRPr="007A3600">
              <w:rPr>
                <w:rFonts w:cs="Arial"/>
              </w:rPr>
              <w:t>emale full time</w:t>
            </w:r>
          </w:p>
        </w:tc>
        <w:tc>
          <w:tcPr>
            <w:tcW w:w="794" w:type="dxa"/>
            <w:textDirection w:val="tbRl"/>
          </w:tcPr>
          <w:p w14:paraId="27E0B84A" w14:textId="12656B53"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Woman/</w:t>
            </w:r>
            <w:r w:rsidR="00A904D3" w:rsidRPr="007A3600">
              <w:rPr>
                <w:rFonts w:cs="Arial"/>
              </w:rPr>
              <w:t>f</w:t>
            </w:r>
            <w:r w:rsidRPr="007A3600">
              <w:rPr>
                <w:rFonts w:cs="Arial"/>
              </w:rPr>
              <w:t>emale part time</w:t>
            </w:r>
          </w:p>
        </w:tc>
        <w:tc>
          <w:tcPr>
            <w:tcW w:w="794" w:type="dxa"/>
            <w:textDirection w:val="tbRl"/>
          </w:tcPr>
          <w:p w14:paraId="730AA9B3" w14:textId="57D2FA89"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Woman/</w:t>
            </w:r>
            <w:r w:rsidR="00A904D3" w:rsidRPr="007A3600">
              <w:rPr>
                <w:rFonts w:cs="Arial"/>
              </w:rPr>
              <w:t>f</w:t>
            </w:r>
            <w:r w:rsidRPr="007A3600">
              <w:rPr>
                <w:rFonts w:cs="Arial"/>
              </w:rPr>
              <w:t>emale total</w:t>
            </w:r>
          </w:p>
        </w:tc>
        <w:tc>
          <w:tcPr>
            <w:tcW w:w="794" w:type="dxa"/>
            <w:noWrap/>
            <w:textDirection w:val="tbRl"/>
            <w:hideMark/>
          </w:tcPr>
          <w:p w14:paraId="7B1D286B"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Non-binary full time</w:t>
            </w:r>
          </w:p>
        </w:tc>
        <w:tc>
          <w:tcPr>
            <w:tcW w:w="794" w:type="dxa"/>
            <w:textDirection w:val="tbRl"/>
          </w:tcPr>
          <w:p w14:paraId="28A47C65"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Non-binary part time</w:t>
            </w:r>
          </w:p>
        </w:tc>
        <w:tc>
          <w:tcPr>
            <w:tcW w:w="794" w:type="dxa"/>
            <w:textDirection w:val="tbRl"/>
          </w:tcPr>
          <w:p w14:paraId="4944FB58"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Non-binary total</w:t>
            </w:r>
          </w:p>
        </w:tc>
        <w:tc>
          <w:tcPr>
            <w:tcW w:w="794" w:type="dxa"/>
            <w:textDirection w:val="tbRl"/>
            <w:hideMark/>
          </w:tcPr>
          <w:p w14:paraId="766B31D6"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Prefers not to answer full time</w:t>
            </w:r>
          </w:p>
        </w:tc>
        <w:tc>
          <w:tcPr>
            <w:tcW w:w="794" w:type="dxa"/>
            <w:textDirection w:val="tbRl"/>
          </w:tcPr>
          <w:p w14:paraId="0963DAE7"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Prefers not to answer part time</w:t>
            </w:r>
          </w:p>
        </w:tc>
        <w:tc>
          <w:tcPr>
            <w:tcW w:w="794" w:type="dxa"/>
            <w:textDirection w:val="tbRl"/>
          </w:tcPr>
          <w:p w14:paraId="56D182A5"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Prefers not to answer total</w:t>
            </w:r>
          </w:p>
        </w:tc>
        <w:tc>
          <w:tcPr>
            <w:tcW w:w="794" w:type="dxa"/>
            <w:textDirection w:val="tbRl"/>
            <w:hideMark/>
          </w:tcPr>
          <w:p w14:paraId="3E8DCCA8"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Uses a different term full time</w:t>
            </w:r>
          </w:p>
        </w:tc>
        <w:tc>
          <w:tcPr>
            <w:tcW w:w="794" w:type="dxa"/>
            <w:textDirection w:val="tbRl"/>
          </w:tcPr>
          <w:p w14:paraId="60F12544"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Uses a different term part time</w:t>
            </w:r>
          </w:p>
        </w:tc>
        <w:tc>
          <w:tcPr>
            <w:tcW w:w="794" w:type="dxa"/>
            <w:textDirection w:val="tbRl"/>
          </w:tcPr>
          <w:p w14:paraId="1E2F928C"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Uses a different term total</w:t>
            </w:r>
          </w:p>
        </w:tc>
        <w:tc>
          <w:tcPr>
            <w:tcW w:w="907" w:type="dxa"/>
            <w:textDirection w:val="tbRl"/>
            <w:hideMark/>
          </w:tcPr>
          <w:p w14:paraId="2215CD78"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rPr>
            </w:pPr>
            <w:r w:rsidRPr="007A3600">
              <w:rPr>
                <w:rFonts w:cs="Arial"/>
              </w:rPr>
              <w:t xml:space="preserve">Total </w:t>
            </w:r>
          </w:p>
        </w:tc>
      </w:tr>
      <w:tr w:rsidR="00B407C5" w:rsidRPr="007A3600" w14:paraId="4C20F10B"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1B46B90" w14:textId="77777777" w:rsidR="006B23EB" w:rsidRPr="007A3600" w:rsidRDefault="006B23EB" w:rsidP="00AD3197">
            <w:pPr>
              <w:spacing w:after="0" w:line="240" w:lineRule="auto"/>
              <w:rPr>
                <w:rFonts w:cs="Arial"/>
                <w:bCs/>
              </w:rPr>
            </w:pPr>
            <w:r w:rsidRPr="007A3600">
              <w:rPr>
                <w:rFonts w:cs="Arial"/>
                <w:bCs/>
              </w:rPr>
              <w:t>NSW</w:t>
            </w:r>
          </w:p>
        </w:tc>
        <w:tc>
          <w:tcPr>
            <w:tcW w:w="794" w:type="dxa"/>
            <w:noWrap/>
          </w:tcPr>
          <w:p w14:paraId="118F5E7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244</w:t>
            </w:r>
          </w:p>
        </w:tc>
        <w:tc>
          <w:tcPr>
            <w:tcW w:w="794" w:type="dxa"/>
            <w:noWrap/>
          </w:tcPr>
          <w:p w14:paraId="4427A4F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20</w:t>
            </w:r>
          </w:p>
        </w:tc>
        <w:tc>
          <w:tcPr>
            <w:tcW w:w="794" w:type="dxa"/>
            <w:noWrap/>
          </w:tcPr>
          <w:p w14:paraId="3FF0783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264</w:t>
            </w:r>
          </w:p>
        </w:tc>
        <w:tc>
          <w:tcPr>
            <w:tcW w:w="794" w:type="dxa"/>
            <w:noWrap/>
          </w:tcPr>
          <w:p w14:paraId="07419434"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780</w:t>
            </w:r>
          </w:p>
        </w:tc>
        <w:tc>
          <w:tcPr>
            <w:tcW w:w="794" w:type="dxa"/>
            <w:noWrap/>
          </w:tcPr>
          <w:p w14:paraId="79DF52C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179</w:t>
            </w:r>
          </w:p>
        </w:tc>
        <w:tc>
          <w:tcPr>
            <w:tcW w:w="794" w:type="dxa"/>
            <w:noWrap/>
          </w:tcPr>
          <w:p w14:paraId="0777658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959</w:t>
            </w:r>
          </w:p>
        </w:tc>
        <w:tc>
          <w:tcPr>
            <w:tcW w:w="794" w:type="dxa"/>
            <w:noWrap/>
          </w:tcPr>
          <w:p w14:paraId="0A7DA4D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112873B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57EBF724"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274FAB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CC41C9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A8AD22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AAE276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w:t>
            </w:r>
          </w:p>
        </w:tc>
        <w:tc>
          <w:tcPr>
            <w:tcW w:w="794" w:type="dxa"/>
          </w:tcPr>
          <w:p w14:paraId="462B25B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794" w:type="dxa"/>
          </w:tcPr>
          <w:p w14:paraId="0051A76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3</w:t>
            </w:r>
          </w:p>
        </w:tc>
        <w:tc>
          <w:tcPr>
            <w:tcW w:w="907" w:type="dxa"/>
          </w:tcPr>
          <w:p w14:paraId="57900BC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1,226</w:t>
            </w:r>
          </w:p>
        </w:tc>
      </w:tr>
      <w:tr w:rsidR="00A766F7" w:rsidRPr="007A3600" w14:paraId="504A1DA2" w14:textId="77777777" w:rsidTr="00124E3C">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26CBFEC0" w14:textId="77777777" w:rsidR="006B23EB" w:rsidRPr="007A3600" w:rsidRDefault="006B23EB" w:rsidP="00AD3197">
            <w:pPr>
              <w:spacing w:after="0" w:line="240" w:lineRule="auto"/>
              <w:rPr>
                <w:rFonts w:cs="Arial"/>
                <w:bCs/>
              </w:rPr>
            </w:pPr>
            <w:r w:rsidRPr="007A3600">
              <w:rPr>
                <w:rFonts w:cs="Arial"/>
                <w:bCs/>
              </w:rPr>
              <w:t>Qld</w:t>
            </w:r>
          </w:p>
        </w:tc>
        <w:tc>
          <w:tcPr>
            <w:tcW w:w="794" w:type="dxa"/>
            <w:noWrap/>
          </w:tcPr>
          <w:p w14:paraId="7AF8D7B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217</w:t>
            </w:r>
          </w:p>
        </w:tc>
        <w:tc>
          <w:tcPr>
            <w:tcW w:w="794" w:type="dxa"/>
            <w:noWrap/>
          </w:tcPr>
          <w:p w14:paraId="3778DB7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w:t>
            </w:r>
          </w:p>
        </w:tc>
        <w:tc>
          <w:tcPr>
            <w:tcW w:w="794" w:type="dxa"/>
            <w:noWrap/>
          </w:tcPr>
          <w:p w14:paraId="3287C5B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224</w:t>
            </w:r>
          </w:p>
        </w:tc>
        <w:tc>
          <w:tcPr>
            <w:tcW w:w="794" w:type="dxa"/>
            <w:noWrap/>
          </w:tcPr>
          <w:p w14:paraId="1DB999E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636</w:t>
            </w:r>
          </w:p>
        </w:tc>
        <w:tc>
          <w:tcPr>
            <w:tcW w:w="794" w:type="dxa"/>
            <w:noWrap/>
          </w:tcPr>
          <w:p w14:paraId="7452469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119</w:t>
            </w:r>
          </w:p>
        </w:tc>
        <w:tc>
          <w:tcPr>
            <w:tcW w:w="794" w:type="dxa"/>
            <w:noWrap/>
          </w:tcPr>
          <w:p w14:paraId="136B5C5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755</w:t>
            </w:r>
          </w:p>
        </w:tc>
        <w:tc>
          <w:tcPr>
            <w:tcW w:w="794" w:type="dxa"/>
            <w:noWrap/>
          </w:tcPr>
          <w:p w14:paraId="18C11EF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43CCA7A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1D4913B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786A0C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2D30D2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5AD15C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C28F6A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3</w:t>
            </w:r>
          </w:p>
        </w:tc>
        <w:tc>
          <w:tcPr>
            <w:tcW w:w="794" w:type="dxa"/>
          </w:tcPr>
          <w:p w14:paraId="3A8BB84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1D28E0B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3</w:t>
            </w:r>
          </w:p>
        </w:tc>
        <w:tc>
          <w:tcPr>
            <w:tcW w:w="907" w:type="dxa"/>
          </w:tcPr>
          <w:p w14:paraId="4442C34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982</w:t>
            </w:r>
          </w:p>
        </w:tc>
      </w:tr>
      <w:tr w:rsidR="00B407C5" w:rsidRPr="007A3600" w14:paraId="05B11BF7"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65FBB73" w14:textId="77777777" w:rsidR="006B23EB" w:rsidRPr="007A3600" w:rsidRDefault="006B23EB" w:rsidP="00AD3197">
            <w:pPr>
              <w:spacing w:after="0" w:line="240" w:lineRule="auto"/>
              <w:rPr>
                <w:rFonts w:cs="Arial"/>
                <w:bCs/>
              </w:rPr>
            </w:pPr>
            <w:r w:rsidRPr="007A3600">
              <w:rPr>
                <w:rFonts w:cs="Arial"/>
                <w:bCs/>
              </w:rPr>
              <w:t>SA</w:t>
            </w:r>
          </w:p>
        </w:tc>
        <w:tc>
          <w:tcPr>
            <w:tcW w:w="794" w:type="dxa"/>
            <w:noWrap/>
          </w:tcPr>
          <w:p w14:paraId="61A6FE5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108</w:t>
            </w:r>
          </w:p>
        </w:tc>
        <w:tc>
          <w:tcPr>
            <w:tcW w:w="794" w:type="dxa"/>
            <w:noWrap/>
          </w:tcPr>
          <w:p w14:paraId="5E777DE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w:t>
            </w:r>
          </w:p>
        </w:tc>
        <w:tc>
          <w:tcPr>
            <w:tcW w:w="794" w:type="dxa"/>
            <w:noWrap/>
          </w:tcPr>
          <w:p w14:paraId="2927141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112</w:t>
            </w:r>
          </w:p>
        </w:tc>
        <w:tc>
          <w:tcPr>
            <w:tcW w:w="794" w:type="dxa"/>
            <w:noWrap/>
          </w:tcPr>
          <w:p w14:paraId="5B3B71A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251</w:t>
            </w:r>
          </w:p>
        </w:tc>
        <w:tc>
          <w:tcPr>
            <w:tcW w:w="794" w:type="dxa"/>
            <w:noWrap/>
          </w:tcPr>
          <w:p w14:paraId="1283FAB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90</w:t>
            </w:r>
          </w:p>
        </w:tc>
        <w:tc>
          <w:tcPr>
            <w:tcW w:w="794" w:type="dxa"/>
            <w:noWrap/>
          </w:tcPr>
          <w:p w14:paraId="6C354F2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341</w:t>
            </w:r>
          </w:p>
        </w:tc>
        <w:tc>
          <w:tcPr>
            <w:tcW w:w="794" w:type="dxa"/>
            <w:noWrap/>
          </w:tcPr>
          <w:p w14:paraId="5429CEB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62EB92E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026F74A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08DAB7C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49C9455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497597E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F512EC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794" w:type="dxa"/>
          </w:tcPr>
          <w:p w14:paraId="287CEC3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5B7F35A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907" w:type="dxa"/>
          </w:tcPr>
          <w:p w14:paraId="3A3B081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454</w:t>
            </w:r>
          </w:p>
        </w:tc>
      </w:tr>
      <w:tr w:rsidR="00A766F7" w:rsidRPr="007A3600" w14:paraId="55DAD6D9" w14:textId="77777777" w:rsidTr="00124E3C">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68A9783" w14:textId="77777777" w:rsidR="006B23EB" w:rsidRPr="007A3600" w:rsidRDefault="006B23EB" w:rsidP="00AD3197">
            <w:pPr>
              <w:spacing w:after="0" w:line="240" w:lineRule="auto"/>
              <w:rPr>
                <w:rFonts w:cs="Arial"/>
                <w:bCs/>
              </w:rPr>
            </w:pPr>
            <w:r w:rsidRPr="007A3600">
              <w:rPr>
                <w:rFonts w:cs="Arial"/>
                <w:bCs/>
              </w:rPr>
              <w:t>Tas</w:t>
            </w:r>
          </w:p>
        </w:tc>
        <w:tc>
          <w:tcPr>
            <w:tcW w:w="794" w:type="dxa"/>
            <w:noWrap/>
          </w:tcPr>
          <w:p w14:paraId="3DE3730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34</w:t>
            </w:r>
          </w:p>
        </w:tc>
        <w:tc>
          <w:tcPr>
            <w:tcW w:w="794" w:type="dxa"/>
            <w:noWrap/>
          </w:tcPr>
          <w:p w14:paraId="59C19A4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w:t>
            </w:r>
          </w:p>
        </w:tc>
        <w:tc>
          <w:tcPr>
            <w:tcW w:w="794" w:type="dxa"/>
            <w:noWrap/>
          </w:tcPr>
          <w:p w14:paraId="7349815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36</w:t>
            </w:r>
          </w:p>
        </w:tc>
        <w:tc>
          <w:tcPr>
            <w:tcW w:w="794" w:type="dxa"/>
            <w:noWrap/>
          </w:tcPr>
          <w:p w14:paraId="65F3F31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68</w:t>
            </w:r>
          </w:p>
        </w:tc>
        <w:tc>
          <w:tcPr>
            <w:tcW w:w="794" w:type="dxa"/>
            <w:noWrap/>
          </w:tcPr>
          <w:p w14:paraId="5AC1CFB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17</w:t>
            </w:r>
          </w:p>
        </w:tc>
        <w:tc>
          <w:tcPr>
            <w:tcW w:w="794" w:type="dxa"/>
            <w:noWrap/>
          </w:tcPr>
          <w:p w14:paraId="584B4E5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85</w:t>
            </w:r>
          </w:p>
        </w:tc>
        <w:tc>
          <w:tcPr>
            <w:tcW w:w="794" w:type="dxa"/>
            <w:noWrap/>
          </w:tcPr>
          <w:p w14:paraId="5C0940C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6A074F6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357E5AA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B691EB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ACB84E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CB7786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7591D38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766C443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32820D7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424B17B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121</w:t>
            </w:r>
          </w:p>
        </w:tc>
      </w:tr>
      <w:tr w:rsidR="00B407C5" w:rsidRPr="007A3600" w14:paraId="3A898FC1"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7712237" w14:textId="77777777" w:rsidR="006B23EB" w:rsidRPr="007A3600" w:rsidRDefault="006B23EB" w:rsidP="00AD3197">
            <w:pPr>
              <w:spacing w:after="0" w:line="240" w:lineRule="auto"/>
              <w:rPr>
                <w:rFonts w:cs="Arial"/>
                <w:bCs/>
              </w:rPr>
            </w:pPr>
            <w:r w:rsidRPr="007A3600">
              <w:rPr>
                <w:rFonts w:cs="Arial"/>
                <w:bCs/>
              </w:rPr>
              <w:t>Vic</w:t>
            </w:r>
          </w:p>
        </w:tc>
        <w:tc>
          <w:tcPr>
            <w:tcW w:w="794" w:type="dxa"/>
            <w:noWrap/>
          </w:tcPr>
          <w:p w14:paraId="5A3A7A9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487</w:t>
            </w:r>
          </w:p>
        </w:tc>
        <w:tc>
          <w:tcPr>
            <w:tcW w:w="794" w:type="dxa"/>
            <w:noWrap/>
          </w:tcPr>
          <w:p w14:paraId="107DA7D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29</w:t>
            </w:r>
          </w:p>
        </w:tc>
        <w:tc>
          <w:tcPr>
            <w:tcW w:w="794" w:type="dxa"/>
            <w:noWrap/>
          </w:tcPr>
          <w:p w14:paraId="3F9C59F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516</w:t>
            </w:r>
          </w:p>
        </w:tc>
        <w:tc>
          <w:tcPr>
            <w:tcW w:w="794" w:type="dxa"/>
            <w:noWrap/>
          </w:tcPr>
          <w:p w14:paraId="6C342C6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1,082</w:t>
            </w:r>
          </w:p>
        </w:tc>
        <w:tc>
          <w:tcPr>
            <w:tcW w:w="794" w:type="dxa"/>
            <w:noWrap/>
          </w:tcPr>
          <w:p w14:paraId="2899275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258</w:t>
            </w:r>
          </w:p>
        </w:tc>
        <w:tc>
          <w:tcPr>
            <w:tcW w:w="794" w:type="dxa"/>
            <w:noWrap/>
          </w:tcPr>
          <w:p w14:paraId="1686207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1,340</w:t>
            </w:r>
          </w:p>
        </w:tc>
        <w:tc>
          <w:tcPr>
            <w:tcW w:w="794" w:type="dxa"/>
            <w:noWrap/>
          </w:tcPr>
          <w:p w14:paraId="329897D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230559A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1F4C8FD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57370BD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5CDFDA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A8A26D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100370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6</w:t>
            </w:r>
          </w:p>
        </w:tc>
        <w:tc>
          <w:tcPr>
            <w:tcW w:w="794" w:type="dxa"/>
          </w:tcPr>
          <w:p w14:paraId="204CFC2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4472963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6</w:t>
            </w:r>
          </w:p>
        </w:tc>
        <w:tc>
          <w:tcPr>
            <w:tcW w:w="907" w:type="dxa"/>
          </w:tcPr>
          <w:p w14:paraId="7AF8EC2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1,862</w:t>
            </w:r>
          </w:p>
        </w:tc>
      </w:tr>
      <w:tr w:rsidR="00A766F7" w:rsidRPr="007A3600" w14:paraId="2A730D62" w14:textId="77777777" w:rsidTr="00124E3C">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A5CC072" w14:textId="77777777" w:rsidR="006B23EB" w:rsidRPr="007A3600" w:rsidRDefault="006B23EB" w:rsidP="00AD3197">
            <w:pPr>
              <w:spacing w:after="0" w:line="240" w:lineRule="auto"/>
              <w:rPr>
                <w:rFonts w:cs="Arial"/>
                <w:bCs/>
              </w:rPr>
            </w:pPr>
            <w:r w:rsidRPr="007A3600">
              <w:rPr>
                <w:rFonts w:cs="Arial"/>
                <w:bCs/>
              </w:rPr>
              <w:t>WA</w:t>
            </w:r>
          </w:p>
        </w:tc>
        <w:tc>
          <w:tcPr>
            <w:tcW w:w="794" w:type="dxa"/>
            <w:noWrap/>
          </w:tcPr>
          <w:p w14:paraId="634FAD6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74</w:t>
            </w:r>
          </w:p>
        </w:tc>
        <w:tc>
          <w:tcPr>
            <w:tcW w:w="794" w:type="dxa"/>
            <w:noWrap/>
          </w:tcPr>
          <w:p w14:paraId="02BB458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6</w:t>
            </w:r>
          </w:p>
        </w:tc>
        <w:tc>
          <w:tcPr>
            <w:tcW w:w="794" w:type="dxa"/>
            <w:noWrap/>
          </w:tcPr>
          <w:p w14:paraId="6566CCA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80</w:t>
            </w:r>
          </w:p>
        </w:tc>
        <w:tc>
          <w:tcPr>
            <w:tcW w:w="794" w:type="dxa"/>
            <w:noWrap/>
          </w:tcPr>
          <w:p w14:paraId="33C59AC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223</w:t>
            </w:r>
          </w:p>
        </w:tc>
        <w:tc>
          <w:tcPr>
            <w:tcW w:w="794" w:type="dxa"/>
            <w:noWrap/>
          </w:tcPr>
          <w:p w14:paraId="3ED0988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34</w:t>
            </w:r>
          </w:p>
        </w:tc>
        <w:tc>
          <w:tcPr>
            <w:tcW w:w="794" w:type="dxa"/>
            <w:noWrap/>
          </w:tcPr>
          <w:p w14:paraId="6378DFD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257</w:t>
            </w:r>
          </w:p>
        </w:tc>
        <w:tc>
          <w:tcPr>
            <w:tcW w:w="794" w:type="dxa"/>
            <w:noWrap/>
          </w:tcPr>
          <w:p w14:paraId="2F2F2E2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400AE7E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7D6FA9A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3FCBC3C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7239DC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7C68193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09BD82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35C0182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256C3F2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44C0907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337</w:t>
            </w:r>
          </w:p>
        </w:tc>
      </w:tr>
      <w:tr w:rsidR="00B407C5" w:rsidRPr="007A3600" w14:paraId="36CFCA67"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AD52E83" w14:textId="77777777" w:rsidR="006B23EB" w:rsidRPr="007A3600" w:rsidRDefault="006B23EB" w:rsidP="00AD3197">
            <w:pPr>
              <w:spacing w:after="0" w:line="240" w:lineRule="auto"/>
              <w:rPr>
                <w:rFonts w:cs="Arial"/>
                <w:bCs/>
              </w:rPr>
            </w:pPr>
            <w:r w:rsidRPr="007A3600">
              <w:rPr>
                <w:rFonts w:cs="Arial"/>
                <w:bCs/>
              </w:rPr>
              <w:t>ACT</w:t>
            </w:r>
          </w:p>
        </w:tc>
        <w:tc>
          <w:tcPr>
            <w:tcW w:w="794" w:type="dxa"/>
            <w:noWrap/>
          </w:tcPr>
          <w:p w14:paraId="7F661D1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102</w:t>
            </w:r>
          </w:p>
        </w:tc>
        <w:tc>
          <w:tcPr>
            <w:tcW w:w="794" w:type="dxa"/>
            <w:noWrap/>
          </w:tcPr>
          <w:p w14:paraId="0B781DA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3</w:t>
            </w:r>
          </w:p>
        </w:tc>
        <w:tc>
          <w:tcPr>
            <w:tcW w:w="794" w:type="dxa"/>
            <w:noWrap/>
          </w:tcPr>
          <w:p w14:paraId="1A1779F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105</w:t>
            </w:r>
          </w:p>
        </w:tc>
        <w:tc>
          <w:tcPr>
            <w:tcW w:w="794" w:type="dxa"/>
            <w:noWrap/>
          </w:tcPr>
          <w:p w14:paraId="11AE1BA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148</w:t>
            </w:r>
          </w:p>
        </w:tc>
        <w:tc>
          <w:tcPr>
            <w:tcW w:w="794" w:type="dxa"/>
            <w:noWrap/>
          </w:tcPr>
          <w:p w14:paraId="5F68586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17</w:t>
            </w:r>
          </w:p>
        </w:tc>
        <w:tc>
          <w:tcPr>
            <w:tcW w:w="794" w:type="dxa"/>
            <w:noWrap/>
          </w:tcPr>
          <w:p w14:paraId="4113FC6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165</w:t>
            </w:r>
          </w:p>
        </w:tc>
        <w:tc>
          <w:tcPr>
            <w:tcW w:w="794" w:type="dxa"/>
            <w:noWrap/>
          </w:tcPr>
          <w:p w14:paraId="36C6A98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7E61622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7900278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5F9FF8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2CD880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1E8838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009DB9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w:t>
            </w:r>
          </w:p>
        </w:tc>
        <w:tc>
          <w:tcPr>
            <w:tcW w:w="794" w:type="dxa"/>
          </w:tcPr>
          <w:p w14:paraId="3539B64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0213734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w:t>
            </w:r>
          </w:p>
        </w:tc>
        <w:tc>
          <w:tcPr>
            <w:tcW w:w="907" w:type="dxa"/>
          </w:tcPr>
          <w:p w14:paraId="3F3A335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272</w:t>
            </w:r>
          </w:p>
        </w:tc>
      </w:tr>
      <w:tr w:rsidR="00A766F7" w:rsidRPr="007A3600" w14:paraId="0E528256" w14:textId="77777777" w:rsidTr="00124E3C">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C949454" w14:textId="77777777" w:rsidR="006B23EB" w:rsidRPr="007A3600" w:rsidRDefault="006B23EB" w:rsidP="00AD3197">
            <w:pPr>
              <w:spacing w:after="0" w:line="240" w:lineRule="auto"/>
              <w:rPr>
                <w:rFonts w:cs="Arial"/>
                <w:bCs/>
              </w:rPr>
            </w:pPr>
            <w:r w:rsidRPr="007A3600">
              <w:rPr>
                <w:rFonts w:cs="Arial"/>
                <w:bCs/>
              </w:rPr>
              <w:t>NT</w:t>
            </w:r>
          </w:p>
        </w:tc>
        <w:tc>
          <w:tcPr>
            <w:tcW w:w="794" w:type="dxa"/>
            <w:noWrap/>
          </w:tcPr>
          <w:p w14:paraId="4B0B3C3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15</w:t>
            </w:r>
          </w:p>
        </w:tc>
        <w:tc>
          <w:tcPr>
            <w:tcW w:w="794" w:type="dxa"/>
            <w:noWrap/>
          </w:tcPr>
          <w:p w14:paraId="09122B2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90E45D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15</w:t>
            </w:r>
          </w:p>
        </w:tc>
        <w:tc>
          <w:tcPr>
            <w:tcW w:w="794" w:type="dxa"/>
            <w:noWrap/>
          </w:tcPr>
          <w:p w14:paraId="539A3EA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51</w:t>
            </w:r>
          </w:p>
        </w:tc>
        <w:tc>
          <w:tcPr>
            <w:tcW w:w="794" w:type="dxa"/>
            <w:noWrap/>
          </w:tcPr>
          <w:p w14:paraId="5F62FFB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w:t>
            </w:r>
          </w:p>
        </w:tc>
        <w:tc>
          <w:tcPr>
            <w:tcW w:w="794" w:type="dxa"/>
            <w:noWrap/>
          </w:tcPr>
          <w:p w14:paraId="73F9B26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58</w:t>
            </w:r>
          </w:p>
        </w:tc>
        <w:tc>
          <w:tcPr>
            <w:tcW w:w="794" w:type="dxa"/>
            <w:noWrap/>
          </w:tcPr>
          <w:p w14:paraId="4D3EE55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00F17AF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4B067A2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52899EC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49E52A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8D68AC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69966BD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tcPr>
          <w:p w14:paraId="4AB369B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5FEACF0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907" w:type="dxa"/>
          </w:tcPr>
          <w:p w14:paraId="4E14C83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74</w:t>
            </w:r>
          </w:p>
        </w:tc>
      </w:tr>
      <w:tr w:rsidR="00B407C5" w:rsidRPr="007A3600" w14:paraId="5C0F8408"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E5EDD3C" w14:textId="53E23A20" w:rsidR="006B23EB" w:rsidRPr="007A3600" w:rsidRDefault="006B23EB" w:rsidP="00AD3197">
            <w:pPr>
              <w:spacing w:after="0" w:line="240" w:lineRule="auto"/>
              <w:rPr>
                <w:rFonts w:cs="Arial"/>
                <w:bCs/>
              </w:rPr>
            </w:pPr>
            <w:r w:rsidRPr="007A3600">
              <w:rPr>
                <w:rFonts w:cs="Arial"/>
                <w:bCs/>
              </w:rPr>
              <w:t xml:space="preserve">External </w:t>
            </w:r>
            <w:r w:rsidR="00A904D3" w:rsidRPr="007A3600">
              <w:rPr>
                <w:rFonts w:cs="Arial"/>
                <w:bCs/>
              </w:rPr>
              <w:t>t</w:t>
            </w:r>
            <w:r w:rsidRPr="007A3600">
              <w:rPr>
                <w:rFonts w:cs="Arial"/>
                <w:bCs/>
              </w:rPr>
              <w:t>erritories</w:t>
            </w:r>
          </w:p>
        </w:tc>
        <w:tc>
          <w:tcPr>
            <w:tcW w:w="794" w:type="dxa"/>
            <w:noWrap/>
          </w:tcPr>
          <w:p w14:paraId="6859FEE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5F95591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F87610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07A33B8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C2FF4E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6D203B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1E6B67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3AF1D0D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69E6709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487A6DE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BD72C5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8CC848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490626F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0C116A0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131CA2E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907" w:type="dxa"/>
          </w:tcPr>
          <w:p w14:paraId="4CA11E2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0</w:t>
            </w:r>
          </w:p>
        </w:tc>
      </w:tr>
      <w:tr w:rsidR="00A766F7" w:rsidRPr="007A3600" w14:paraId="5960C668" w14:textId="77777777" w:rsidTr="00124E3C">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A48FF05" w14:textId="77777777" w:rsidR="006B23EB" w:rsidRPr="007A3600" w:rsidRDefault="006B23EB" w:rsidP="00AD3197">
            <w:pPr>
              <w:spacing w:after="0" w:line="240" w:lineRule="auto"/>
              <w:rPr>
                <w:rFonts w:cs="Arial"/>
                <w:bCs/>
              </w:rPr>
            </w:pPr>
            <w:r w:rsidRPr="007A3600">
              <w:rPr>
                <w:rFonts w:cs="Arial"/>
                <w:bCs/>
              </w:rPr>
              <w:t>Overseas</w:t>
            </w:r>
          </w:p>
        </w:tc>
        <w:tc>
          <w:tcPr>
            <w:tcW w:w="794" w:type="dxa"/>
            <w:noWrap/>
          </w:tcPr>
          <w:p w14:paraId="3D6C540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FE0A25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67C142A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C276A3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0F22C6D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4433713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048BF50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0844969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4A50FDE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029A73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78FFCA9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80B906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3EB02E1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07E409D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5259168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3EC2FC9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0</w:t>
            </w:r>
          </w:p>
        </w:tc>
      </w:tr>
      <w:tr w:rsidR="00B407C5" w:rsidRPr="007A3600" w14:paraId="4D385CB7"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70A85B4B" w14:textId="77777777" w:rsidR="006B23EB" w:rsidRPr="007A3600" w:rsidRDefault="006B23EB" w:rsidP="00AD3197">
            <w:pPr>
              <w:spacing w:after="0" w:line="240" w:lineRule="auto"/>
              <w:rPr>
                <w:rFonts w:cs="Arial"/>
                <w:bCs/>
              </w:rPr>
            </w:pPr>
            <w:r w:rsidRPr="007A3600">
              <w:rPr>
                <w:rFonts w:cs="Arial"/>
                <w:bCs/>
              </w:rPr>
              <w:t xml:space="preserve">Total </w:t>
            </w:r>
          </w:p>
        </w:tc>
        <w:tc>
          <w:tcPr>
            <w:tcW w:w="794" w:type="dxa"/>
            <w:noWrap/>
          </w:tcPr>
          <w:p w14:paraId="05C3527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1,281</w:t>
            </w:r>
          </w:p>
        </w:tc>
        <w:tc>
          <w:tcPr>
            <w:tcW w:w="794" w:type="dxa"/>
            <w:noWrap/>
          </w:tcPr>
          <w:p w14:paraId="313E9F2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71</w:t>
            </w:r>
          </w:p>
        </w:tc>
        <w:tc>
          <w:tcPr>
            <w:tcW w:w="794" w:type="dxa"/>
            <w:noWrap/>
          </w:tcPr>
          <w:p w14:paraId="4A6D714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1,352</w:t>
            </w:r>
          </w:p>
        </w:tc>
        <w:tc>
          <w:tcPr>
            <w:tcW w:w="794" w:type="dxa"/>
            <w:noWrap/>
          </w:tcPr>
          <w:p w14:paraId="63A00BF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3,239</w:t>
            </w:r>
          </w:p>
        </w:tc>
        <w:tc>
          <w:tcPr>
            <w:tcW w:w="794" w:type="dxa"/>
            <w:noWrap/>
          </w:tcPr>
          <w:p w14:paraId="0DF79B4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721</w:t>
            </w:r>
          </w:p>
        </w:tc>
        <w:tc>
          <w:tcPr>
            <w:tcW w:w="794" w:type="dxa"/>
            <w:noWrap/>
          </w:tcPr>
          <w:p w14:paraId="6F0DEF5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3,960</w:t>
            </w:r>
          </w:p>
        </w:tc>
        <w:tc>
          <w:tcPr>
            <w:tcW w:w="794" w:type="dxa"/>
            <w:noWrap/>
          </w:tcPr>
          <w:p w14:paraId="04A43EB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noWrap/>
          </w:tcPr>
          <w:p w14:paraId="2C07B9F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noWrap/>
          </w:tcPr>
          <w:p w14:paraId="3F771D3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57A9907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1F170C6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5242AA1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6284582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15</w:t>
            </w:r>
          </w:p>
        </w:tc>
        <w:tc>
          <w:tcPr>
            <w:tcW w:w="794" w:type="dxa"/>
          </w:tcPr>
          <w:p w14:paraId="0A36863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1</w:t>
            </w:r>
          </w:p>
        </w:tc>
        <w:tc>
          <w:tcPr>
            <w:tcW w:w="794" w:type="dxa"/>
          </w:tcPr>
          <w:p w14:paraId="68C6DE3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16</w:t>
            </w:r>
          </w:p>
        </w:tc>
        <w:tc>
          <w:tcPr>
            <w:tcW w:w="907" w:type="dxa"/>
          </w:tcPr>
          <w:p w14:paraId="3047CAB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5,328</w:t>
            </w:r>
          </w:p>
        </w:tc>
      </w:tr>
    </w:tbl>
    <w:p w14:paraId="0649C5F4" w14:textId="37882A08" w:rsidR="006B23EB" w:rsidRPr="007A3600" w:rsidRDefault="006B23EB" w:rsidP="00AD3197">
      <w:pPr>
        <w:pStyle w:val="Caption"/>
        <w:spacing w:before="240"/>
      </w:pPr>
      <w:r w:rsidRPr="007A3600">
        <w:lastRenderedPageBreak/>
        <w:t xml:space="preserve">Table </w:t>
      </w:r>
      <w:r w:rsidR="00D92283" w:rsidRPr="007A3600">
        <w:t>30</w:t>
      </w:r>
      <w:r w:rsidRPr="007A3600">
        <w:t>: All non-ongoing employees –</w:t>
      </w:r>
      <w:r w:rsidR="008D6B5A">
        <w:t xml:space="preserve"> </w:t>
      </w:r>
      <w:r w:rsidRPr="007A3600">
        <w:t>reporting period (2022–23)</w:t>
      </w:r>
    </w:p>
    <w:tbl>
      <w:tblPr>
        <w:tblStyle w:val="NDISTable1"/>
        <w:tblW w:w="14008" w:type="dxa"/>
        <w:tblLayout w:type="fixed"/>
        <w:tblCellMar>
          <w:left w:w="57" w:type="dxa"/>
          <w:right w:w="57" w:type="dxa"/>
        </w:tblCellMar>
        <w:tblLook w:val="04A0" w:firstRow="1" w:lastRow="0" w:firstColumn="1" w:lastColumn="0" w:noHBand="0" w:noVBand="1"/>
      </w:tblPr>
      <w:tblGrid>
        <w:gridCol w:w="1191"/>
        <w:gridCol w:w="794"/>
        <w:gridCol w:w="794"/>
        <w:gridCol w:w="794"/>
        <w:gridCol w:w="794"/>
        <w:gridCol w:w="794"/>
        <w:gridCol w:w="794"/>
        <w:gridCol w:w="794"/>
        <w:gridCol w:w="794"/>
        <w:gridCol w:w="794"/>
        <w:gridCol w:w="794"/>
        <w:gridCol w:w="794"/>
        <w:gridCol w:w="794"/>
        <w:gridCol w:w="794"/>
        <w:gridCol w:w="794"/>
        <w:gridCol w:w="794"/>
        <w:gridCol w:w="907"/>
      </w:tblGrid>
      <w:tr w:rsidR="00B407C5" w:rsidRPr="007A3600" w14:paraId="46F6F369" w14:textId="77777777" w:rsidTr="009D1194">
        <w:trPr>
          <w:cnfStyle w:val="100000000000" w:firstRow="1" w:lastRow="0" w:firstColumn="0" w:lastColumn="0" w:oddVBand="0" w:evenVBand="0" w:oddHBand="0" w:evenHBand="0" w:firstRowFirstColumn="0" w:firstRowLastColumn="0" w:lastRowFirstColumn="0" w:lastRowLastColumn="0"/>
          <w:trHeight w:val="1928"/>
        </w:trPr>
        <w:tc>
          <w:tcPr>
            <w:cnfStyle w:val="001000000000" w:firstRow="0" w:lastRow="0" w:firstColumn="1" w:lastColumn="0" w:oddVBand="0" w:evenVBand="0" w:oddHBand="0" w:evenHBand="0" w:firstRowFirstColumn="0" w:firstRowLastColumn="0" w:lastRowFirstColumn="0" w:lastRowLastColumn="0"/>
            <w:tcW w:w="1191" w:type="dxa"/>
            <w:noWrap/>
            <w:textDirection w:val="tbRl"/>
            <w:hideMark/>
          </w:tcPr>
          <w:p w14:paraId="573BE394" w14:textId="77777777" w:rsidR="006B23EB" w:rsidRPr="007A3600" w:rsidRDefault="006B23EB" w:rsidP="009D1194">
            <w:pPr>
              <w:spacing w:after="0" w:line="240" w:lineRule="auto"/>
              <w:ind w:left="113" w:right="113"/>
              <w:rPr>
                <w:rFonts w:cs="Arial"/>
              </w:rPr>
            </w:pPr>
            <w:r w:rsidRPr="007A3600">
              <w:rPr>
                <w:rFonts w:cs="Arial"/>
              </w:rPr>
              <w:t>State or territory</w:t>
            </w:r>
          </w:p>
        </w:tc>
        <w:tc>
          <w:tcPr>
            <w:tcW w:w="794" w:type="dxa"/>
            <w:noWrap/>
            <w:textDirection w:val="tbRl"/>
            <w:hideMark/>
          </w:tcPr>
          <w:p w14:paraId="2F96789D" w14:textId="2821FE84"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Man/</w:t>
            </w:r>
            <w:r w:rsidR="00A904D3" w:rsidRPr="007A3600">
              <w:rPr>
                <w:rFonts w:cs="Arial"/>
                <w:bCs/>
              </w:rPr>
              <w:t>m</w:t>
            </w:r>
            <w:r w:rsidRPr="007A3600">
              <w:rPr>
                <w:rFonts w:cs="Arial"/>
                <w:bCs/>
              </w:rPr>
              <w:t>ale full time</w:t>
            </w:r>
          </w:p>
        </w:tc>
        <w:tc>
          <w:tcPr>
            <w:tcW w:w="794" w:type="dxa"/>
            <w:textDirection w:val="tbRl"/>
          </w:tcPr>
          <w:p w14:paraId="3A9DDC54" w14:textId="3B2DC4A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Man/</w:t>
            </w:r>
            <w:r w:rsidR="00A904D3" w:rsidRPr="007A3600">
              <w:rPr>
                <w:rFonts w:cs="Arial"/>
                <w:bCs/>
              </w:rPr>
              <w:t>m</w:t>
            </w:r>
            <w:r w:rsidRPr="007A3600">
              <w:rPr>
                <w:rFonts w:cs="Arial"/>
                <w:bCs/>
              </w:rPr>
              <w:t>ale part time</w:t>
            </w:r>
          </w:p>
        </w:tc>
        <w:tc>
          <w:tcPr>
            <w:tcW w:w="794" w:type="dxa"/>
            <w:textDirection w:val="tbRl"/>
          </w:tcPr>
          <w:p w14:paraId="551A4C52" w14:textId="65DE0512"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Man/</w:t>
            </w:r>
            <w:r w:rsidR="00A904D3" w:rsidRPr="007A3600">
              <w:rPr>
                <w:rFonts w:cs="Arial"/>
                <w:bCs/>
              </w:rPr>
              <w:t>m</w:t>
            </w:r>
            <w:r w:rsidRPr="007A3600">
              <w:rPr>
                <w:rFonts w:cs="Arial"/>
                <w:bCs/>
              </w:rPr>
              <w:t>ale total</w:t>
            </w:r>
          </w:p>
        </w:tc>
        <w:tc>
          <w:tcPr>
            <w:tcW w:w="794" w:type="dxa"/>
            <w:noWrap/>
            <w:textDirection w:val="tbRl"/>
            <w:hideMark/>
          </w:tcPr>
          <w:p w14:paraId="6CEEBC67" w14:textId="11756B8B"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Woman/</w:t>
            </w:r>
            <w:r w:rsidR="00A904D3" w:rsidRPr="007A3600">
              <w:rPr>
                <w:rFonts w:cs="Arial"/>
                <w:bCs/>
              </w:rPr>
              <w:t>f</w:t>
            </w:r>
            <w:r w:rsidRPr="007A3600">
              <w:rPr>
                <w:rFonts w:cs="Arial"/>
                <w:bCs/>
              </w:rPr>
              <w:t>emale full time</w:t>
            </w:r>
          </w:p>
        </w:tc>
        <w:tc>
          <w:tcPr>
            <w:tcW w:w="794" w:type="dxa"/>
            <w:textDirection w:val="tbRl"/>
          </w:tcPr>
          <w:p w14:paraId="1DBEBAB9" w14:textId="60AB6B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Woman/</w:t>
            </w:r>
            <w:r w:rsidR="00A904D3" w:rsidRPr="007A3600">
              <w:rPr>
                <w:rFonts w:cs="Arial"/>
                <w:bCs/>
              </w:rPr>
              <w:t>f</w:t>
            </w:r>
            <w:r w:rsidRPr="007A3600">
              <w:rPr>
                <w:rFonts w:cs="Arial"/>
                <w:bCs/>
              </w:rPr>
              <w:t>emale part time</w:t>
            </w:r>
          </w:p>
        </w:tc>
        <w:tc>
          <w:tcPr>
            <w:tcW w:w="794" w:type="dxa"/>
            <w:textDirection w:val="tbRl"/>
          </w:tcPr>
          <w:p w14:paraId="390E1610" w14:textId="2B46A85F"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Woman/</w:t>
            </w:r>
            <w:r w:rsidR="00A904D3" w:rsidRPr="007A3600">
              <w:rPr>
                <w:rFonts w:cs="Arial"/>
                <w:bCs/>
              </w:rPr>
              <w:t>f</w:t>
            </w:r>
            <w:r w:rsidRPr="007A3600">
              <w:rPr>
                <w:rFonts w:cs="Arial"/>
                <w:bCs/>
              </w:rPr>
              <w:t>emale total</w:t>
            </w:r>
          </w:p>
        </w:tc>
        <w:tc>
          <w:tcPr>
            <w:tcW w:w="794" w:type="dxa"/>
            <w:noWrap/>
            <w:textDirection w:val="tbRl"/>
            <w:hideMark/>
          </w:tcPr>
          <w:p w14:paraId="6C7128E5"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Non-binary full time</w:t>
            </w:r>
          </w:p>
        </w:tc>
        <w:tc>
          <w:tcPr>
            <w:tcW w:w="794" w:type="dxa"/>
            <w:textDirection w:val="tbRl"/>
          </w:tcPr>
          <w:p w14:paraId="4C3AC52A"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Non-binary part time</w:t>
            </w:r>
          </w:p>
        </w:tc>
        <w:tc>
          <w:tcPr>
            <w:tcW w:w="794" w:type="dxa"/>
            <w:textDirection w:val="tbRl"/>
          </w:tcPr>
          <w:p w14:paraId="05AAAC5C"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Non-binary total</w:t>
            </w:r>
          </w:p>
        </w:tc>
        <w:tc>
          <w:tcPr>
            <w:tcW w:w="794" w:type="dxa"/>
            <w:textDirection w:val="tbRl"/>
            <w:hideMark/>
          </w:tcPr>
          <w:p w14:paraId="7FA2FF90"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Prefers not to answer full time</w:t>
            </w:r>
          </w:p>
        </w:tc>
        <w:tc>
          <w:tcPr>
            <w:tcW w:w="794" w:type="dxa"/>
            <w:textDirection w:val="tbRl"/>
          </w:tcPr>
          <w:p w14:paraId="2B3335B8"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Prefers not to answer part time</w:t>
            </w:r>
          </w:p>
        </w:tc>
        <w:tc>
          <w:tcPr>
            <w:tcW w:w="794" w:type="dxa"/>
            <w:textDirection w:val="tbRl"/>
          </w:tcPr>
          <w:p w14:paraId="66A097CD"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Prefers not to answer total</w:t>
            </w:r>
          </w:p>
        </w:tc>
        <w:tc>
          <w:tcPr>
            <w:tcW w:w="794" w:type="dxa"/>
            <w:textDirection w:val="tbRl"/>
            <w:hideMark/>
          </w:tcPr>
          <w:p w14:paraId="39EC8A03"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Uses a different term full time</w:t>
            </w:r>
          </w:p>
        </w:tc>
        <w:tc>
          <w:tcPr>
            <w:tcW w:w="794" w:type="dxa"/>
            <w:textDirection w:val="tbRl"/>
          </w:tcPr>
          <w:p w14:paraId="42775634"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Cs/>
              </w:rPr>
            </w:pPr>
            <w:r w:rsidRPr="007A3600">
              <w:rPr>
                <w:rFonts w:cs="Arial"/>
                <w:bCs/>
              </w:rPr>
              <w:t>Uses a different term part time</w:t>
            </w:r>
          </w:p>
        </w:tc>
        <w:tc>
          <w:tcPr>
            <w:tcW w:w="794" w:type="dxa"/>
            <w:textDirection w:val="tbRl"/>
          </w:tcPr>
          <w:p w14:paraId="7732DCCF"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Uses a different term total</w:t>
            </w:r>
          </w:p>
        </w:tc>
        <w:tc>
          <w:tcPr>
            <w:tcW w:w="907" w:type="dxa"/>
            <w:textDirection w:val="tbRl"/>
            <w:hideMark/>
          </w:tcPr>
          <w:p w14:paraId="754DDBD2" w14:textId="77777777" w:rsidR="006B23EB" w:rsidRPr="007A3600" w:rsidRDefault="006B23EB" w:rsidP="009D1194">
            <w:pPr>
              <w:spacing w:after="0" w:line="240" w:lineRule="auto"/>
              <w:ind w:left="113" w:right="113"/>
              <w:cnfStyle w:val="100000000000" w:firstRow="1" w:lastRow="0" w:firstColumn="0" w:lastColumn="0" w:oddVBand="0" w:evenVBand="0" w:oddHBand="0" w:evenHBand="0" w:firstRowFirstColumn="0" w:firstRowLastColumn="0" w:lastRowFirstColumn="0" w:lastRowLastColumn="0"/>
              <w:rPr>
                <w:rFonts w:cs="Arial"/>
                <w:b/>
                <w:bCs/>
              </w:rPr>
            </w:pPr>
            <w:r w:rsidRPr="007A3600">
              <w:rPr>
                <w:rFonts w:cs="Arial"/>
                <w:bCs/>
              </w:rPr>
              <w:t>Total</w:t>
            </w:r>
          </w:p>
        </w:tc>
      </w:tr>
      <w:tr w:rsidR="00B407C5" w:rsidRPr="007A3600" w14:paraId="2D53112A"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AE4E12F" w14:textId="77777777" w:rsidR="006B23EB" w:rsidRPr="007A3600" w:rsidRDefault="006B23EB" w:rsidP="00AD3197">
            <w:pPr>
              <w:spacing w:after="0" w:line="240" w:lineRule="auto"/>
              <w:rPr>
                <w:rFonts w:cs="Arial"/>
                <w:b/>
                <w:bCs/>
              </w:rPr>
            </w:pPr>
            <w:r w:rsidRPr="007A3600">
              <w:rPr>
                <w:rFonts w:cs="Arial"/>
                <w:bCs/>
              </w:rPr>
              <w:t>NSW</w:t>
            </w:r>
          </w:p>
        </w:tc>
        <w:tc>
          <w:tcPr>
            <w:tcW w:w="794" w:type="dxa"/>
            <w:noWrap/>
          </w:tcPr>
          <w:p w14:paraId="099F79F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15</w:t>
            </w:r>
          </w:p>
        </w:tc>
        <w:tc>
          <w:tcPr>
            <w:tcW w:w="794" w:type="dxa"/>
            <w:noWrap/>
          </w:tcPr>
          <w:p w14:paraId="4617449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w:t>
            </w:r>
          </w:p>
        </w:tc>
        <w:tc>
          <w:tcPr>
            <w:tcW w:w="794" w:type="dxa"/>
            <w:noWrap/>
          </w:tcPr>
          <w:p w14:paraId="05AFF7E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17</w:t>
            </w:r>
          </w:p>
        </w:tc>
        <w:tc>
          <w:tcPr>
            <w:tcW w:w="794" w:type="dxa"/>
            <w:noWrap/>
          </w:tcPr>
          <w:p w14:paraId="4AC5391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28</w:t>
            </w:r>
          </w:p>
        </w:tc>
        <w:tc>
          <w:tcPr>
            <w:tcW w:w="794" w:type="dxa"/>
            <w:noWrap/>
          </w:tcPr>
          <w:p w14:paraId="0B2C3D1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3B2F658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29</w:t>
            </w:r>
          </w:p>
        </w:tc>
        <w:tc>
          <w:tcPr>
            <w:tcW w:w="794" w:type="dxa"/>
            <w:noWrap/>
          </w:tcPr>
          <w:p w14:paraId="2455E5C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0E5CA39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12FC965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F209A8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0D5818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9D76A1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80CED5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42F9C9F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03C50A4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907" w:type="dxa"/>
          </w:tcPr>
          <w:p w14:paraId="3927221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46</w:t>
            </w:r>
          </w:p>
        </w:tc>
      </w:tr>
      <w:tr w:rsidR="00D60EF6" w:rsidRPr="007A3600" w14:paraId="5F6E1B08"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6C63F10" w14:textId="77777777" w:rsidR="006B23EB" w:rsidRPr="007A3600" w:rsidRDefault="006B23EB" w:rsidP="00AD3197">
            <w:pPr>
              <w:spacing w:after="0" w:line="240" w:lineRule="auto"/>
              <w:rPr>
                <w:rFonts w:cs="Arial"/>
                <w:b/>
                <w:bCs/>
              </w:rPr>
            </w:pPr>
            <w:r w:rsidRPr="007A3600">
              <w:rPr>
                <w:rFonts w:cs="Arial"/>
                <w:bCs/>
              </w:rPr>
              <w:t>Qld</w:t>
            </w:r>
          </w:p>
        </w:tc>
        <w:tc>
          <w:tcPr>
            <w:tcW w:w="794" w:type="dxa"/>
            <w:noWrap/>
          </w:tcPr>
          <w:p w14:paraId="5E6E3B9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15</w:t>
            </w:r>
          </w:p>
        </w:tc>
        <w:tc>
          <w:tcPr>
            <w:tcW w:w="794" w:type="dxa"/>
            <w:noWrap/>
          </w:tcPr>
          <w:p w14:paraId="45F1674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5913CA9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16</w:t>
            </w:r>
          </w:p>
        </w:tc>
        <w:tc>
          <w:tcPr>
            <w:tcW w:w="794" w:type="dxa"/>
            <w:noWrap/>
          </w:tcPr>
          <w:p w14:paraId="674FB462"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70</w:t>
            </w:r>
          </w:p>
        </w:tc>
        <w:tc>
          <w:tcPr>
            <w:tcW w:w="794" w:type="dxa"/>
            <w:noWrap/>
          </w:tcPr>
          <w:p w14:paraId="77C7EFE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5</w:t>
            </w:r>
          </w:p>
        </w:tc>
        <w:tc>
          <w:tcPr>
            <w:tcW w:w="794" w:type="dxa"/>
            <w:noWrap/>
          </w:tcPr>
          <w:p w14:paraId="4C4BB57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75</w:t>
            </w:r>
          </w:p>
        </w:tc>
        <w:tc>
          <w:tcPr>
            <w:tcW w:w="794" w:type="dxa"/>
            <w:noWrap/>
          </w:tcPr>
          <w:p w14:paraId="0F7D0E1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4B915D5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22B7CC0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01AB2B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B47A4C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688140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D75DE5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3DE04CA2"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60E8BB3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5B62268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91</w:t>
            </w:r>
          </w:p>
        </w:tc>
      </w:tr>
      <w:tr w:rsidR="00B407C5" w:rsidRPr="007A3600" w14:paraId="522EBF51"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1E0FEF01" w14:textId="77777777" w:rsidR="006B23EB" w:rsidRPr="007A3600" w:rsidRDefault="006B23EB" w:rsidP="00AD3197">
            <w:pPr>
              <w:spacing w:after="0" w:line="240" w:lineRule="auto"/>
              <w:rPr>
                <w:rFonts w:cs="Arial"/>
                <w:b/>
                <w:bCs/>
              </w:rPr>
            </w:pPr>
            <w:r w:rsidRPr="007A3600">
              <w:rPr>
                <w:rFonts w:cs="Arial"/>
                <w:bCs/>
              </w:rPr>
              <w:t>SA</w:t>
            </w:r>
          </w:p>
        </w:tc>
        <w:tc>
          <w:tcPr>
            <w:tcW w:w="794" w:type="dxa"/>
            <w:noWrap/>
          </w:tcPr>
          <w:p w14:paraId="6450BED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5</w:t>
            </w:r>
          </w:p>
        </w:tc>
        <w:tc>
          <w:tcPr>
            <w:tcW w:w="794" w:type="dxa"/>
            <w:noWrap/>
          </w:tcPr>
          <w:p w14:paraId="08B566B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3233427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5</w:t>
            </w:r>
          </w:p>
        </w:tc>
        <w:tc>
          <w:tcPr>
            <w:tcW w:w="794" w:type="dxa"/>
            <w:noWrap/>
          </w:tcPr>
          <w:p w14:paraId="7388C47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7</w:t>
            </w:r>
          </w:p>
        </w:tc>
        <w:tc>
          <w:tcPr>
            <w:tcW w:w="794" w:type="dxa"/>
            <w:noWrap/>
          </w:tcPr>
          <w:p w14:paraId="60E5D3C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6BFA95A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8</w:t>
            </w:r>
          </w:p>
        </w:tc>
        <w:tc>
          <w:tcPr>
            <w:tcW w:w="794" w:type="dxa"/>
            <w:noWrap/>
          </w:tcPr>
          <w:p w14:paraId="074C9E3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215D3BA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10C55F1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EDCBEE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59498C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60B6FE7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674CD6C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09D9397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6D7E262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907" w:type="dxa"/>
          </w:tcPr>
          <w:p w14:paraId="1B8B830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13</w:t>
            </w:r>
          </w:p>
        </w:tc>
      </w:tr>
      <w:tr w:rsidR="00D60EF6" w:rsidRPr="007A3600" w14:paraId="504A8E80"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66E7877" w14:textId="77777777" w:rsidR="006B23EB" w:rsidRPr="007A3600" w:rsidRDefault="006B23EB" w:rsidP="00AD3197">
            <w:pPr>
              <w:spacing w:after="0" w:line="240" w:lineRule="auto"/>
              <w:rPr>
                <w:rFonts w:cs="Arial"/>
                <w:b/>
                <w:bCs/>
              </w:rPr>
            </w:pPr>
            <w:r w:rsidRPr="007A3600">
              <w:rPr>
                <w:rFonts w:cs="Arial"/>
                <w:bCs/>
              </w:rPr>
              <w:t>Tas</w:t>
            </w:r>
          </w:p>
        </w:tc>
        <w:tc>
          <w:tcPr>
            <w:tcW w:w="794" w:type="dxa"/>
            <w:noWrap/>
          </w:tcPr>
          <w:p w14:paraId="3710589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0923F0F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42DF6E6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109BFE6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4B7B6EB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595420C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0B7A3D2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6B889FE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736AB36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5F729FC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B68C29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CFE6CF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7A6B2C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7124F92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3276E88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16C2F55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2</w:t>
            </w:r>
          </w:p>
        </w:tc>
      </w:tr>
      <w:tr w:rsidR="00B407C5" w:rsidRPr="007A3600" w14:paraId="507BAF1B"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5749AF6C" w14:textId="77777777" w:rsidR="006B23EB" w:rsidRPr="007A3600" w:rsidRDefault="006B23EB" w:rsidP="00AD3197">
            <w:pPr>
              <w:spacing w:after="0" w:line="240" w:lineRule="auto"/>
              <w:rPr>
                <w:rFonts w:cs="Arial"/>
                <w:b/>
                <w:bCs/>
              </w:rPr>
            </w:pPr>
            <w:r w:rsidRPr="007A3600">
              <w:rPr>
                <w:rFonts w:cs="Arial"/>
                <w:bCs/>
              </w:rPr>
              <w:t>Vic</w:t>
            </w:r>
          </w:p>
        </w:tc>
        <w:tc>
          <w:tcPr>
            <w:tcW w:w="794" w:type="dxa"/>
            <w:noWrap/>
          </w:tcPr>
          <w:p w14:paraId="40DBA3C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29</w:t>
            </w:r>
          </w:p>
        </w:tc>
        <w:tc>
          <w:tcPr>
            <w:tcW w:w="794" w:type="dxa"/>
            <w:noWrap/>
          </w:tcPr>
          <w:p w14:paraId="4527694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2</w:t>
            </w:r>
          </w:p>
        </w:tc>
        <w:tc>
          <w:tcPr>
            <w:tcW w:w="794" w:type="dxa"/>
            <w:noWrap/>
          </w:tcPr>
          <w:p w14:paraId="13FDB98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31</w:t>
            </w:r>
          </w:p>
        </w:tc>
        <w:tc>
          <w:tcPr>
            <w:tcW w:w="794" w:type="dxa"/>
            <w:noWrap/>
          </w:tcPr>
          <w:p w14:paraId="07C364D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74</w:t>
            </w:r>
          </w:p>
        </w:tc>
        <w:tc>
          <w:tcPr>
            <w:tcW w:w="794" w:type="dxa"/>
            <w:noWrap/>
          </w:tcPr>
          <w:p w14:paraId="6E01063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7</w:t>
            </w:r>
          </w:p>
        </w:tc>
        <w:tc>
          <w:tcPr>
            <w:tcW w:w="794" w:type="dxa"/>
            <w:noWrap/>
          </w:tcPr>
          <w:p w14:paraId="385851F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81</w:t>
            </w:r>
          </w:p>
        </w:tc>
        <w:tc>
          <w:tcPr>
            <w:tcW w:w="794" w:type="dxa"/>
            <w:noWrap/>
          </w:tcPr>
          <w:p w14:paraId="2F4D0616"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38EF4AE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4F19D37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CD1672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86DFEA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2ECE55A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CB9E35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w:t>
            </w:r>
          </w:p>
        </w:tc>
        <w:tc>
          <w:tcPr>
            <w:tcW w:w="794" w:type="dxa"/>
          </w:tcPr>
          <w:p w14:paraId="4252F5A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03A7670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w:t>
            </w:r>
          </w:p>
        </w:tc>
        <w:tc>
          <w:tcPr>
            <w:tcW w:w="907" w:type="dxa"/>
          </w:tcPr>
          <w:p w14:paraId="4828637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116</w:t>
            </w:r>
          </w:p>
        </w:tc>
      </w:tr>
      <w:tr w:rsidR="00D60EF6" w:rsidRPr="007A3600" w14:paraId="07E80773"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3F97C78" w14:textId="77777777" w:rsidR="006B23EB" w:rsidRPr="007A3600" w:rsidRDefault="006B23EB" w:rsidP="00AD3197">
            <w:pPr>
              <w:spacing w:after="0" w:line="240" w:lineRule="auto"/>
              <w:rPr>
                <w:rFonts w:cs="Arial"/>
                <w:b/>
                <w:bCs/>
              </w:rPr>
            </w:pPr>
            <w:r w:rsidRPr="007A3600">
              <w:rPr>
                <w:rFonts w:cs="Arial"/>
                <w:bCs/>
              </w:rPr>
              <w:t>WA</w:t>
            </w:r>
          </w:p>
        </w:tc>
        <w:tc>
          <w:tcPr>
            <w:tcW w:w="794" w:type="dxa"/>
            <w:noWrap/>
          </w:tcPr>
          <w:p w14:paraId="0528E36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5</w:t>
            </w:r>
          </w:p>
        </w:tc>
        <w:tc>
          <w:tcPr>
            <w:tcW w:w="794" w:type="dxa"/>
            <w:noWrap/>
          </w:tcPr>
          <w:p w14:paraId="0CA7EDA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2154413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5</w:t>
            </w:r>
          </w:p>
        </w:tc>
        <w:tc>
          <w:tcPr>
            <w:tcW w:w="794" w:type="dxa"/>
            <w:noWrap/>
          </w:tcPr>
          <w:p w14:paraId="3855800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21</w:t>
            </w:r>
          </w:p>
        </w:tc>
        <w:tc>
          <w:tcPr>
            <w:tcW w:w="794" w:type="dxa"/>
            <w:noWrap/>
          </w:tcPr>
          <w:p w14:paraId="431DE2EA"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6C96F85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22</w:t>
            </w:r>
          </w:p>
        </w:tc>
        <w:tc>
          <w:tcPr>
            <w:tcW w:w="794" w:type="dxa"/>
            <w:noWrap/>
          </w:tcPr>
          <w:p w14:paraId="76C1C01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01F37C9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74FF69E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58F5E0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6815F9B1"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E18F762"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ED73CA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723E822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6314B1F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2BFC44C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27</w:t>
            </w:r>
          </w:p>
        </w:tc>
      </w:tr>
      <w:tr w:rsidR="00B407C5" w:rsidRPr="007A3600" w14:paraId="1BFE4CEF"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B72893D" w14:textId="77777777" w:rsidR="006B23EB" w:rsidRPr="007A3600" w:rsidRDefault="006B23EB" w:rsidP="00AD3197">
            <w:pPr>
              <w:spacing w:after="0" w:line="240" w:lineRule="auto"/>
              <w:rPr>
                <w:rFonts w:cs="Arial"/>
                <w:b/>
                <w:bCs/>
              </w:rPr>
            </w:pPr>
            <w:r w:rsidRPr="007A3600">
              <w:rPr>
                <w:rFonts w:cs="Arial"/>
                <w:bCs/>
              </w:rPr>
              <w:t>ACT</w:t>
            </w:r>
          </w:p>
        </w:tc>
        <w:tc>
          <w:tcPr>
            <w:tcW w:w="794" w:type="dxa"/>
            <w:noWrap/>
          </w:tcPr>
          <w:p w14:paraId="2407C76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w:t>
            </w:r>
          </w:p>
        </w:tc>
        <w:tc>
          <w:tcPr>
            <w:tcW w:w="794" w:type="dxa"/>
            <w:noWrap/>
          </w:tcPr>
          <w:p w14:paraId="597A413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4223CF2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4</w:t>
            </w:r>
          </w:p>
        </w:tc>
        <w:tc>
          <w:tcPr>
            <w:tcW w:w="794" w:type="dxa"/>
            <w:noWrap/>
          </w:tcPr>
          <w:p w14:paraId="72CF5A5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9</w:t>
            </w:r>
          </w:p>
        </w:tc>
        <w:tc>
          <w:tcPr>
            <w:tcW w:w="794" w:type="dxa"/>
            <w:noWrap/>
          </w:tcPr>
          <w:p w14:paraId="17C9C4E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w:t>
            </w:r>
          </w:p>
        </w:tc>
        <w:tc>
          <w:tcPr>
            <w:tcW w:w="794" w:type="dxa"/>
            <w:noWrap/>
          </w:tcPr>
          <w:p w14:paraId="3292963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10</w:t>
            </w:r>
          </w:p>
        </w:tc>
        <w:tc>
          <w:tcPr>
            <w:tcW w:w="794" w:type="dxa"/>
            <w:noWrap/>
          </w:tcPr>
          <w:p w14:paraId="3C99E22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7686872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21FCB75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712775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A78622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175A323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7A45E6E2"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66B76A0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256C81F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907" w:type="dxa"/>
          </w:tcPr>
          <w:p w14:paraId="4EC2A344"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14</w:t>
            </w:r>
          </w:p>
        </w:tc>
      </w:tr>
      <w:tr w:rsidR="00D60EF6" w:rsidRPr="007A3600" w14:paraId="71D3F484"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05DA2F84" w14:textId="77777777" w:rsidR="006B23EB" w:rsidRPr="007A3600" w:rsidRDefault="006B23EB" w:rsidP="00AD3197">
            <w:pPr>
              <w:spacing w:after="0" w:line="240" w:lineRule="auto"/>
              <w:rPr>
                <w:rFonts w:cs="Arial"/>
                <w:b/>
                <w:bCs/>
              </w:rPr>
            </w:pPr>
            <w:r w:rsidRPr="007A3600">
              <w:rPr>
                <w:rFonts w:cs="Arial"/>
                <w:bCs/>
              </w:rPr>
              <w:t>NT</w:t>
            </w:r>
          </w:p>
        </w:tc>
        <w:tc>
          <w:tcPr>
            <w:tcW w:w="794" w:type="dxa"/>
            <w:noWrap/>
          </w:tcPr>
          <w:p w14:paraId="1E5D816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4</w:t>
            </w:r>
          </w:p>
        </w:tc>
        <w:tc>
          <w:tcPr>
            <w:tcW w:w="794" w:type="dxa"/>
            <w:noWrap/>
          </w:tcPr>
          <w:p w14:paraId="0439BA2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35A69E44"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4</w:t>
            </w:r>
          </w:p>
        </w:tc>
        <w:tc>
          <w:tcPr>
            <w:tcW w:w="794" w:type="dxa"/>
            <w:noWrap/>
          </w:tcPr>
          <w:p w14:paraId="5412707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11</w:t>
            </w:r>
          </w:p>
        </w:tc>
        <w:tc>
          <w:tcPr>
            <w:tcW w:w="794" w:type="dxa"/>
            <w:noWrap/>
          </w:tcPr>
          <w:p w14:paraId="6271764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35D41F1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11</w:t>
            </w:r>
          </w:p>
        </w:tc>
        <w:tc>
          <w:tcPr>
            <w:tcW w:w="794" w:type="dxa"/>
            <w:noWrap/>
          </w:tcPr>
          <w:p w14:paraId="25BAB61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06E945D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3E27F6C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1E3335A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2D9EA0E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398EEE0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3B4F0412"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615C0BD7"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233F2720"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48CCBF4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15</w:t>
            </w:r>
          </w:p>
        </w:tc>
      </w:tr>
      <w:tr w:rsidR="00B407C5" w:rsidRPr="007A3600" w14:paraId="4C38DCE9"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6B585C58" w14:textId="0E0E59BF" w:rsidR="006B23EB" w:rsidRPr="007A3600" w:rsidRDefault="006B23EB" w:rsidP="00AD3197">
            <w:pPr>
              <w:spacing w:after="0" w:line="240" w:lineRule="auto"/>
              <w:rPr>
                <w:rFonts w:cs="Arial"/>
                <w:b/>
                <w:bCs/>
              </w:rPr>
            </w:pPr>
            <w:r w:rsidRPr="007A3600">
              <w:rPr>
                <w:rFonts w:cs="Arial"/>
                <w:bCs/>
              </w:rPr>
              <w:t xml:space="preserve">External </w:t>
            </w:r>
            <w:r w:rsidR="00A904D3" w:rsidRPr="007A3600">
              <w:rPr>
                <w:rFonts w:cs="Arial"/>
                <w:bCs/>
              </w:rPr>
              <w:t>t</w:t>
            </w:r>
            <w:r w:rsidRPr="007A3600">
              <w:rPr>
                <w:rFonts w:cs="Arial"/>
                <w:bCs/>
              </w:rPr>
              <w:t>erritories</w:t>
            </w:r>
          </w:p>
        </w:tc>
        <w:tc>
          <w:tcPr>
            <w:tcW w:w="794" w:type="dxa"/>
            <w:noWrap/>
          </w:tcPr>
          <w:p w14:paraId="37DB877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7BE9B96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507B5D7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27BD9A8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2FDE60B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013162B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5EA4C13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7195912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noWrap/>
          </w:tcPr>
          <w:p w14:paraId="11ED9A1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633D755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47CB76A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6393BBA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Times New Roman" w:cs="Arial"/>
              </w:rPr>
              <w:t>0</w:t>
            </w:r>
          </w:p>
        </w:tc>
        <w:tc>
          <w:tcPr>
            <w:tcW w:w="794" w:type="dxa"/>
          </w:tcPr>
          <w:p w14:paraId="359317D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6705631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794" w:type="dxa"/>
          </w:tcPr>
          <w:p w14:paraId="54B79C6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lang w:eastAsia="en-US"/>
              </w:rPr>
              <w:t>0</w:t>
            </w:r>
          </w:p>
        </w:tc>
        <w:tc>
          <w:tcPr>
            <w:tcW w:w="907" w:type="dxa"/>
          </w:tcPr>
          <w:p w14:paraId="22F92CD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rPr>
            </w:pPr>
            <w:r w:rsidRPr="007A3600">
              <w:rPr>
                <w:rFonts w:eastAsia="Arial" w:cs="Arial"/>
                <w:b/>
                <w:bCs/>
                <w:lang w:eastAsia="en-US"/>
              </w:rPr>
              <w:t>0</w:t>
            </w:r>
          </w:p>
        </w:tc>
      </w:tr>
      <w:tr w:rsidR="00D60EF6" w:rsidRPr="007A3600" w14:paraId="4A5BDC97" w14:textId="77777777" w:rsidTr="006210B6">
        <w:trPr>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3C7FBD12" w14:textId="77777777" w:rsidR="006B23EB" w:rsidRPr="007A3600" w:rsidRDefault="006B23EB" w:rsidP="00AD3197">
            <w:pPr>
              <w:spacing w:after="0" w:line="240" w:lineRule="auto"/>
              <w:rPr>
                <w:rFonts w:cs="Arial"/>
                <w:b/>
                <w:bCs/>
              </w:rPr>
            </w:pPr>
            <w:r w:rsidRPr="007A3600">
              <w:rPr>
                <w:rFonts w:cs="Arial"/>
                <w:bCs/>
              </w:rPr>
              <w:t>Overseas</w:t>
            </w:r>
          </w:p>
        </w:tc>
        <w:tc>
          <w:tcPr>
            <w:tcW w:w="794" w:type="dxa"/>
            <w:noWrap/>
          </w:tcPr>
          <w:p w14:paraId="0B8540FF"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21B27D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36D5301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2BA29DE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891501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9BA1E4E"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noWrap/>
          </w:tcPr>
          <w:p w14:paraId="142966A9"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13543072"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noWrap/>
          </w:tcPr>
          <w:p w14:paraId="1FD35118"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08DACABB"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4CA02693"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36F4A98C"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Times New Roman" w:cs="Arial"/>
              </w:rPr>
              <w:t>0</w:t>
            </w:r>
          </w:p>
        </w:tc>
        <w:tc>
          <w:tcPr>
            <w:tcW w:w="794" w:type="dxa"/>
          </w:tcPr>
          <w:p w14:paraId="6319390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59AD7ADD"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794" w:type="dxa"/>
          </w:tcPr>
          <w:p w14:paraId="6F4F4866"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lang w:eastAsia="en-US"/>
              </w:rPr>
              <w:t>0</w:t>
            </w:r>
          </w:p>
        </w:tc>
        <w:tc>
          <w:tcPr>
            <w:tcW w:w="907" w:type="dxa"/>
          </w:tcPr>
          <w:p w14:paraId="4F996245" w14:textId="77777777" w:rsidR="006B23EB" w:rsidRPr="007A3600" w:rsidRDefault="006B23EB" w:rsidP="00AD3197">
            <w:pPr>
              <w:spacing w:after="0" w:line="240" w:lineRule="auto"/>
              <w:jc w:val="right"/>
              <w:cnfStyle w:val="000000000000" w:firstRow="0" w:lastRow="0" w:firstColumn="0" w:lastColumn="0" w:oddVBand="0" w:evenVBand="0" w:oddHBand="0" w:evenHBand="0" w:firstRowFirstColumn="0" w:firstRowLastColumn="0" w:lastRowFirstColumn="0" w:lastRowLastColumn="0"/>
              <w:rPr>
                <w:rFonts w:cs="Arial"/>
              </w:rPr>
            </w:pPr>
            <w:r w:rsidRPr="007A3600">
              <w:rPr>
                <w:rFonts w:eastAsia="Arial" w:cs="Arial"/>
                <w:b/>
                <w:bCs/>
                <w:lang w:eastAsia="en-US"/>
              </w:rPr>
              <w:t>0</w:t>
            </w:r>
          </w:p>
        </w:tc>
      </w:tr>
      <w:tr w:rsidR="00B407C5" w:rsidRPr="007A3600" w14:paraId="3AD016B0" w14:textId="77777777" w:rsidTr="00124E3C">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191" w:type="dxa"/>
            <w:hideMark/>
          </w:tcPr>
          <w:p w14:paraId="412A596F" w14:textId="77777777" w:rsidR="006B23EB" w:rsidRPr="007A3600" w:rsidRDefault="006B23EB" w:rsidP="00AD3197">
            <w:pPr>
              <w:spacing w:after="0" w:line="240" w:lineRule="auto"/>
              <w:rPr>
                <w:rFonts w:cs="Arial"/>
                <w:b/>
                <w:bCs/>
              </w:rPr>
            </w:pPr>
            <w:r w:rsidRPr="007A3600">
              <w:rPr>
                <w:rFonts w:cs="Arial"/>
                <w:bCs/>
              </w:rPr>
              <w:t>Total</w:t>
            </w:r>
          </w:p>
        </w:tc>
        <w:tc>
          <w:tcPr>
            <w:tcW w:w="794" w:type="dxa"/>
            <w:noWrap/>
          </w:tcPr>
          <w:p w14:paraId="10B5C33B"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78</w:t>
            </w:r>
          </w:p>
        </w:tc>
        <w:tc>
          <w:tcPr>
            <w:tcW w:w="794" w:type="dxa"/>
            <w:noWrap/>
          </w:tcPr>
          <w:p w14:paraId="280F61FC"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5</w:t>
            </w:r>
          </w:p>
        </w:tc>
        <w:tc>
          <w:tcPr>
            <w:tcW w:w="794" w:type="dxa"/>
            <w:noWrap/>
          </w:tcPr>
          <w:p w14:paraId="712ED92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83</w:t>
            </w:r>
          </w:p>
        </w:tc>
        <w:tc>
          <w:tcPr>
            <w:tcW w:w="794" w:type="dxa"/>
            <w:noWrap/>
          </w:tcPr>
          <w:p w14:paraId="2D4EDBB5"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220</w:t>
            </w:r>
          </w:p>
        </w:tc>
        <w:tc>
          <w:tcPr>
            <w:tcW w:w="794" w:type="dxa"/>
            <w:noWrap/>
          </w:tcPr>
          <w:p w14:paraId="454F7D81"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17</w:t>
            </w:r>
          </w:p>
        </w:tc>
        <w:tc>
          <w:tcPr>
            <w:tcW w:w="794" w:type="dxa"/>
            <w:noWrap/>
          </w:tcPr>
          <w:p w14:paraId="158E9409"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color w:val="000000"/>
                <w:lang w:eastAsia="en-US"/>
              </w:rPr>
              <w:t>237</w:t>
            </w:r>
          </w:p>
        </w:tc>
        <w:tc>
          <w:tcPr>
            <w:tcW w:w="794" w:type="dxa"/>
            <w:noWrap/>
          </w:tcPr>
          <w:p w14:paraId="19D1CC67"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noWrap/>
          </w:tcPr>
          <w:p w14:paraId="209B489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noWrap/>
          </w:tcPr>
          <w:p w14:paraId="003B782F"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047E5B93"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7E8BC83A"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538D5FA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Times New Roman" w:cs="Arial"/>
                <w:b/>
                <w:bCs/>
              </w:rPr>
              <w:t>0</w:t>
            </w:r>
          </w:p>
        </w:tc>
        <w:tc>
          <w:tcPr>
            <w:tcW w:w="794" w:type="dxa"/>
          </w:tcPr>
          <w:p w14:paraId="719A6F3D"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4</w:t>
            </w:r>
          </w:p>
        </w:tc>
        <w:tc>
          <w:tcPr>
            <w:tcW w:w="794" w:type="dxa"/>
          </w:tcPr>
          <w:p w14:paraId="4CAA6980"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0</w:t>
            </w:r>
          </w:p>
        </w:tc>
        <w:tc>
          <w:tcPr>
            <w:tcW w:w="794" w:type="dxa"/>
          </w:tcPr>
          <w:p w14:paraId="409E3488"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4</w:t>
            </w:r>
          </w:p>
        </w:tc>
        <w:tc>
          <w:tcPr>
            <w:tcW w:w="907" w:type="dxa"/>
          </w:tcPr>
          <w:p w14:paraId="105227DE" w14:textId="77777777" w:rsidR="006B23EB" w:rsidRPr="007A3600" w:rsidRDefault="006B23EB" w:rsidP="00AD3197">
            <w:pPr>
              <w:spacing w:after="0" w:line="240" w:lineRule="auto"/>
              <w:jc w:val="right"/>
              <w:cnfStyle w:val="000000100000" w:firstRow="0" w:lastRow="0" w:firstColumn="0" w:lastColumn="0" w:oddVBand="0" w:evenVBand="0" w:oddHBand="1" w:evenHBand="0" w:firstRowFirstColumn="0" w:firstRowLastColumn="0" w:lastRowFirstColumn="0" w:lastRowLastColumn="0"/>
              <w:rPr>
                <w:rFonts w:cs="Arial"/>
                <w:b/>
                <w:bCs/>
              </w:rPr>
            </w:pPr>
            <w:r w:rsidRPr="007A3600">
              <w:rPr>
                <w:rFonts w:eastAsia="Arial" w:cs="Arial"/>
                <w:b/>
                <w:bCs/>
                <w:lang w:eastAsia="en-US"/>
              </w:rPr>
              <w:t>324</w:t>
            </w:r>
          </w:p>
        </w:tc>
      </w:tr>
    </w:tbl>
    <w:p w14:paraId="5788AA61" w14:textId="779CBD1C" w:rsidR="006B23EB" w:rsidRPr="007A3600" w:rsidRDefault="006B23EB" w:rsidP="00AD3197">
      <w:pPr>
        <w:pStyle w:val="Heading3"/>
        <w:sectPr w:rsidR="006B23EB" w:rsidRPr="007A3600" w:rsidSect="007049C5">
          <w:footerReference w:type="default" r:id="rId178"/>
          <w:headerReference w:type="first" r:id="rId179"/>
          <w:footerReference w:type="first" r:id="rId180"/>
          <w:pgSz w:w="16838" w:h="11906" w:orient="landscape" w:code="9"/>
          <w:pgMar w:top="1134" w:right="1440" w:bottom="1701" w:left="1440" w:header="561" w:footer="374" w:gutter="0"/>
          <w:cols w:space="708"/>
          <w:titlePg/>
          <w:docGrid w:linePitch="360"/>
        </w:sectPr>
      </w:pPr>
    </w:p>
    <w:p w14:paraId="67C4CF52" w14:textId="717CECAF" w:rsidR="00061F0D" w:rsidRPr="007A3600" w:rsidRDefault="005D4370" w:rsidP="00AD3197">
      <w:pPr>
        <w:pStyle w:val="Heading3"/>
      </w:pPr>
      <w:bookmarkStart w:id="327" w:name="_Toc209695881"/>
      <w:r>
        <w:lastRenderedPageBreak/>
        <w:t>8</w:t>
      </w:r>
      <w:r w:rsidR="00CA0ED3" w:rsidRPr="007A3600">
        <w:t>.</w:t>
      </w:r>
      <w:r w:rsidR="00AC6FBF" w:rsidRPr="007A3600">
        <w:t>1</w:t>
      </w:r>
      <w:r w:rsidR="00F830CE" w:rsidRPr="007A3600">
        <w:t>5</w:t>
      </w:r>
      <w:r w:rsidR="00CA0ED3" w:rsidRPr="007A3600">
        <w:tab/>
        <w:t>Glossary</w:t>
      </w:r>
      <w:bookmarkEnd w:id="325"/>
      <w:bookmarkEnd w:id="327"/>
    </w:p>
    <w:p w14:paraId="3799407C" w14:textId="77D36CE9" w:rsidR="00CA0ED3" w:rsidRPr="007A3600" w:rsidRDefault="00CA0ED3" w:rsidP="00AD3197">
      <w:pPr>
        <w:pStyle w:val="Caption"/>
      </w:pPr>
      <w:bookmarkStart w:id="328" w:name="_Toc207017786"/>
      <w:r w:rsidRPr="007A3600">
        <w:t>Definitions</w:t>
      </w:r>
      <w:bookmarkEnd w:id="328"/>
    </w:p>
    <w:tbl>
      <w:tblPr>
        <w:tblStyle w:val="NDISTable1"/>
        <w:tblW w:w="4999" w:type="pct"/>
        <w:tblLayout w:type="fixed"/>
        <w:tblLook w:val="0420" w:firstRow="1" w:lastRow="0" w:firstColumn="0" w:lastColumn="0" w:noHBand="0" w:noVBand="1"/>
      </w:tblPr>
      <w:tblGrid>
        <w:gridCol w:w="3685"/>
        <w:gridCol w:w="5329"/>
      </w:tblGrid>
      <w:tr w:rsidR="0026718D" w:rsidRPr="007A3600" w14:paraId="5749BCA7" w14:textId="77777777" w:rsidTr="0026718D">
        <w:trPr>
          <w:cnfStyle w:val="100000000000" w:firstRow="1" w:lastRow="0" w:firstColumn="0" w:lastColumn="0" w:oddVBand="0" w:evenVBand="0" w:oddHBand="0" w:evenHBand="0" w:firstRowFirstColumn="0" w:firstRowLastColumn="0" w:lastRowFirstColumn="0" w:lastRowLastColumn="0"/>
        </w:trPr>
        <w:tc>
          <w:tcPr>
            <w:tcW w:w="3685" w:type="dxa"/>
          </w:tcPr>
          <w:p w14:paraId="5EF436D8" w14:textId="77777777" w:rsidR="001935B0" w:rsidRPr="007A3600" w:rsidRDefault="001935B0" w:rsidP="00AD3197">
            <w:pPr>
              <w:pStyle w:val="TableBody"/>
            </w:pPr>
            <w:r w:rsidRPr="007A3600">
              <w:t>Term</w:t>
            </w:r>
          </w:p>
        </w:tc>
        <w:tc>
          <w:tcPr>
            <w:tcW w:w="5329" w:type="dxa"/>
          </w:tcPr>
          <w:p w14:paraId="59E8E944" w14:textId="77777777" w:rsidR="001935B0" w:rsidRPr="007A3600" w:rsidRDefault="001935B0" w:rsidP="00AD3197">
            <w:pPr>
              <w:pStyle w:val="TableBody"/>
            </w:pPr>
            <w:r w:rsidRPr="007A3600">
              <w:t>Definition</w:t>
            </w:r>
          </w:p>
        </w:tc>
      </w:tr>
      <w:tr w:rsidR="00851CEA" w:rsidRPr="007A3600" w14:paraId="2B0C77DA"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4FF0C5C0" w14:textId="2D5009D1" w:rsidR="00851CEA" w:rsidRPr="007A3600" w:rsidRDefault="00851CEA" w:rsidP="00AD3197">
            <w:pPr>
              <w:pStyle w:val="TableBody"/>
            </w:pPr>
            <w:r w:rsidRPr="007A3600">
              <w:t>Administrative Appeals Tribunal (AAT)</w:t>
            </w:r>
          </w:p>
        </w:tc>
        <w:tc>
          <w:tcPr>
            <w:tcW w:w="5329" w:type="dxa"/>
          </w:tcPr>
          <w:p w14:paraId="62DF4950" w14:textId="7295624D" w:rsidR="00851CEA" w:rsidRPr="007A3600" w:rsidRDefault="00851CEA" w:rsidP="00AD3197">
            <w:pPr>
              <w:pStyle w:val="TableBody"/>
            </w:pPr>
            <w:r w:rsidRPr="007A3600">
              <w:t xml:space="preserve">The AAT was an independent body that reviewed administrative decisions made under Commonwealth laws. It was abolished on 14 October 2024 and replaced with the </w:t>
            </w:r>
            <w:hyperlink r:id="rId181" w:tooltip="Administrative Review Tribunal" w:history="1">
              <w:r w:rsidRPr="007A3600">
                <w:t>Administrative Review Tribunal</w:t>
              </w:r>
            </w:hyperlink>
            <w:r w:rsidRPr="007A3600">
              <w:t>.</w:t>
            </w:r>
          </w:p>
        </w:tc>
      </w:tr>
      <w:tr w:rsidR="00851CEA" w:rsidRPr="007A3600" w14:paraId="5A2E2EB3" w14:textId="77777777" w:rsidTr="0026718D">
        <w:tc>
          <w:tcPr>
            <w:tcW w:w="3685" w:type="dxa"/>
          </w:tcPr>
          <w:p w14:paraId="162300D6" w14:textId="67E919D5" w:rsidR="00851CEA" w:rsidRPr="007A3600" w:rsidRDefault="00851CEA" w:rsidP="00AD3197">
            <w:pPr>
              <w:pStyle w:val="TableBody"/>
            </w:pPr>
            <w:r w:rsidRPr="007A3600">
              <w:rPr>
                <w:lang w:val="en-GB"/>
              </w:rPr>
              <w:t>Administrative Review Tribunal (ART)</w:t>
            </w:r>
          </w:p>
        </w:tc>
        <w:tc>
          <w:tcPr>
            <w:tcW w:w="5329" w:type="dxa"/>
          </w:tcPr>
          <w:p w14:paraId="7490F5F0" w14:textId="22057620" w:rsidR="00851CEA" w:rsidRPr="007A3600" w:rsidRDefault="00851CEA" w:rsidP="00AD3197">
            <w:pPr>
              <w:pStyle w:val="TableBody"/>
            </w:pPr>
            <w:r w:rsidRPr="007A3600">
              <w:t xml:space="preserve">The ART was established by the </w:t>
            </w:r>
            <w:hyperlink r:id="rId182" w:tgtFrame="_blank" w:history="1">
              <w:r w:rsidRPr="007A3600">
                <w:rPr>
                  <w:rStyle w:val="Hyperlink"/>
                  <w:i/>
                  <w:iCs/>
                </w:rPr>
                <w:t>Administrative Review Tribunal Act 2024</w:t>
              </w:r>
              <w:r w:rsidRPr="007A3600">
                <w:rPr>
                  <w:rStyle w:val="Hyperlink"/>
                </w:rPr>
                <w:t xml:space="preserve"> (external)</w:t>
              </w:r>
            </w:hyperlink>
            <w:r w:rsidRPr="007A3600">
              <w:t xml:space="preserve"> and commenced operation on 14 October 2024. It replaced the former </w:t>
            </w:r>
            <w:r w:rsidR="00132BD0">
              <w:t>AAT</w:t>
            </w:r>
            <w:r w:rsidRPr="007A3600">
              <w:t>.</w:t>
            </w:r>
          </w:p>
          <w:p w14:paraId="57E3D34E" w14:textId="7837F829" w:rsidR="00851CEA" w:rsidRPr="007A3600" w:rsidRDefault="00851CEA" w:rsidP="00AD3197">
            <w:pPr>
              <w:pStyle w:val="TableBody"/>
            </w:pPr>
            <w:r w:rsidRPr="007A3600">
              <w:t>The ART reviews decisions made by Australian Government agencies, departments and ministers.</w:t>
            </w:r>
          </w:p>
        </w:tc>
      </w:tr>
      <w:tr w:rsidR="0022081C" w:rsidRPr="007A3600" w14:paraId="56F7E2C1"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002AA472" w14:textId="69D9D9CF" w:rsidR="0022081C" w:rsidRPr="007A3600" w:rsidRDefault="0022081C" w:rsidP="00AD3197">
            <w:pPr>
              <w:pStyle w:val="TableBody"/>
              <w:rPr>
                <w:lang w:val="en-GB"/>
              </w:rPr>
            </w:pPr>
            <w:r w:rsidRPr="007A3600">
              <w:rPr>
                <w:lang w:val="en-GB"/>
              </w:rPr>
              <w:t>Agency</w:t>
            </w:r>
          </w:p>
        </w:tc>
        <w:tc>
          <w:tcPr>
            <w:tcW w:w="5329" w:type="dxa"/>
          </w:tcPr>
          <w:p w14:paraId="7EF34DAD" w14:textId="2D71C857" w:rsidR="0022081C" w:rsidRPr="007A3600" w:rsidRDefault="0022081C" w:rsidP="00AD3197">
            <w:pPr>
              <w:pStyle w:val="TableBody"/>
            </w:pPr>
            <w:r w:rsidRPr="007A3600">
              <w:t xml:space="preserve">The </w:t>
            </w:r>
            <w:r w:rsidR="0067480D" w:rsidRPr="007A3600">
              <w:t>National Disability Insurance Agency (NDIA).</w:t>
            </w:r>
          </w:p>
        </w:tc>
      </w:tr>
      <w:tr w:rsidR="00851CEA" w:rsidRPr="007A3600" w14:paraId="4AA3E7C0" w14:textId="77777777" w:rsidTr="0026718D">
        <w:tc>
          <w:tcPr>
            <w:tcW w:w="3685" w:type="dxa"/>
          </w:tcPr>
          <w:p w14:paraId="66C002C9" w14:textId="16384664" w:rsidR="00851CEA" w:rsidRPr="007A3600" w:rsidRDefault="00851CEA" w:rsidP="00AD3197">
            <w:pPr>
              <w:pStyle w:val="TableBody"/>
            </w:pPr>
            <w:r w:rsidRPr="007A3600">
              <w:rPr>
                <w:lang w:val="en-GB"/>
              </w:rPr>
              <w:t>Co-design</w:t>
            </w:r>
          </w:p>
        </w:tc>
        <w:tc>
          <w:tcPr>
            <w:tcW w:w="5329" w:type="dxa"/>
          </w:tcPr>
          <w:p w14:paraId="07F129CC" w14:textId="77777777" w:rsidR="00851CEA" w:rsidRPr="007A3600" w:rsidRDefault="00851CEA" w:rsidP="00AD3197">
            <w:pPr>
              <w:pStyle w:val="TableBody"/>
            </w:pPr>
            <w:r w:rsidRPr="007A3600">
              <w:t xml:space="preserve">A process where people work together to solve problems – developing ideas, products and systems that work for everyone. Through co-design, people with different perspectives and viewpoints work together to: </w:t>
            </w:r>
          </w:p>
          <w:p w14:paraId="49DD24D1" w14:textId="77777777" w:rsidR="00851CEA" w:rsidRPr="007A3600" w:rsidRDefault="00851CEA" w:rsidP="00AD3197">
            <w:pPr>
              <w:pStyle w:val="Tablebullet"/>
            </w:pPr>
            <w:r w:rsidRPr="007A3600">
              <w:t>identify and understand problems</w:t>
            </w:r>
          </w:p>
          <w:p w14:paraId="6F37CC42" w14:textId="43DA381F" w:rsidR="00851CEA" w:rsidRPr="007A3600" w:rsidRDefault="00851CEA" w:rsidP="00AD3197">
            <w:pPr>
              <w:pStyle w:val="Tablebullet"/>
            </w:pPr>
            <w:r w:rsidRPr="007A3600">
              <w:t>create and agree on solutions.</w:t>
            </w:r>
          </w:p>
        </w:tc>
      </w:tr>
      <w:tr w:rsidR="00851CEA" w:rsidRPr="007A3600" w14:paraId="08FD8B9D"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74877449" w14:textId="25A7E111" w:rsidR="00851CEA" w:rsidRPr="007A3600" w:rsidRDefault="00851CEA" w:rsidP="00AD3197">
            <w:pPr>
              <w:pStyle w:val="TableBody"/>
            </w:pPr>
            <w:r w:rsidRPr="007A3600">
              <w:rPr>
                <w:lang w:val="en-GB"/>
              </w:rPr>
              <w:t>Crack Down on Fraud program</w:t>
            </w:r>
          </w:p>
        </w:tc>
        <w:tc>
          <w:tcPr>
            <w:tcW w:w="5329" w:type="dxa"/>
          </w:tcPr>
          <w:p w14:paraId="0B85042B" w14:textId="347220EB" w:rsidR="00851CEA" w:rsidRPr="007A3600" w:rsidRDefault="00851CEA" w:rsidP="00AD3197">
            <w:pPr>
              <w:pStyle w:val="TableBody"/>
            </w:pPr>
            <w:r w:rsidRPr="007A3600">
              <w:t>A program of improvements to the NDIA and NDIS information and communications technology (ICT) systems and processes to detect, prevent and respond to fraud.</w:t>
            </w:r>
          </w:p>
        </w:tc>
      </w:tr>
      <w:tr w:rsidR="00851CEA" w:rsidRPr="007A3600" w14:paraId="701A7A49" w14:textId="77777777" w:rsidTr="0026718D">
        <w:tc>
          <w:tcPr>
            <w:tcW w:w="3685" w:type="dxa"/>
          </w:tcPr>
          <w:p w14:paraId="2CAF5C98" w14:textId="1965A5C0" w:rsidR="00851CEA" w:rsidRPr="007A3600" w:rsidRDefault="00851CEA" w:rsidP="00AD3197">
            <w:pPr>
              <w:pStyle w:val="TableBody"/>
            </w:pPr>
            <w:r w:rsidRPr="007A3600">
              <w:t>Disability sector</w:t>
            </w:r>
          </w:p>
        </w:tc>
        <w:tc>
          <w:tcPr>
            <w:tcW w:w="5329" w:type="dxa"/>
          </w:tcPr>
          <w:p w14:paraId="5E8003B1" w14:textId="6B946A13" w:rsidR="00851CEA" w:rsidRPr="007A3600" w:rsidRDefault="00851CEA" w:rsidP="00AD3197">
            <w:pPr>
              <w:pStyle w:val="TableBody"/>
            </w:pPr>
            <w:r w:rsidRPr="007A3600">
              <w:t>Organisations and sole traders that deliver disability support services, and the peak bodies that represent them.</w:t>
            </w:r>
          </w:p>
        </w:tc>
      </w:tr>
      <w:tr w:rsidR="00851CEA" w:rsidRPr="007A3600" w14:paraId="1499AB68"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20F6D7D2" w14:textId="37B64500" w:rsidR="00851CEA" w:rsidRPr="007A3600" w:rsidRDefault="00851CEA" w:rsidP="00AD3197">
            <w:pPr>
              <w:pStyle w:val="TableBody"/>
            </w:pPr>
            <w:r w:rsidRPr="007A3600">
              <w:t>Early childhood approach</w:t>
            </w:r>
          </w:p>
        </w:tc>
        <w:tc>
          <w:tcPr>
            <w:tcW w:w="5329" w:type="dxa"/>
          </w:tcPr>
          <w:p w14:paraId="38C26496" w14:textId="6681F2A1" w:rsidR="00851CEA" w:rsidRPr="007A3600" w:rsidRDefault="00851CEA" w:rsidP="00AD3197">
            <w:pPr>
              <w:pStyle w:val="TableBody"/>
            </w:pPr>
            <w:r w:rsidRPr="007A3600">
              <w:t>An approach tailored to the needs of children and their families. Children younger than 6 with developmental delay or developmental concerns, and children younger than 9 with disability, are supported through this approach.</w:t>
            </w:r>
          </w:p>
        </w:tc>
      </w:tr>
      <w:tr w:rsidR="00851CEA" w:rsidRPr="007A3600" w14:paraId="5E61EEDC" w14:textId="77777777" w:rsidTr="0026718D">
        <w:tc>
          <w:tcPr>
            <w:tcW w:w="3685" w:type="dxa"/>
          </w:tcPr>
          <w:p w14:paraId="09F7C594" w14:textId="2245FE54" w:rsidR="00851CEA" w:rsidRPr="007A3600" w:rsidRDefault="00851CEA" w:rsidP="00AD3197">
            <w:pPr>
              <w:pStyle w:val="TableBody"/>
            </w:pPr>
            <w:r w:rsidRPr="007A3600">
              <w:lastRenderedPageBreak/>
              <w:t>Foundational supports</w:t>
            </w:r>
          </w:p>
        </w:tc>
        <w:tc>
          <w:tcPr>
            <w:tcW w:w="5329" w:type="dxa"/>
          </w:tcPr>
          <w:p w14:paraId="01636D3A" w14:textId="723AAF4F" w:rsidR="00851CEA" w:rsidRPr="007A3600" w:rsidRDefault="00851CEA" w:rsidP="00AD3197">
            <w:pPr>
              <w:pStyle w:val="TableBody"/>
            </w:pPr>
            <w:r w:rsidRPr="007A3600">
              <w:t>Disability-specific supports that are available for and benefit people with disability, families and carers outside of NDIS individual budgets.</w:t>
            </w:r>
          </w:p>
        </w:tc>
      </w:tr>
      <w:tr w:rsidR="00851CEA" w:rsidRPr="007A3600" w14:paraId="7C4C08C1"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41DAF3F5" w14:textId="50645EE3" w:rsidR="00851CEA" w:rsidRPr="007A3600" w:rsidRDefault="00851CEA" w:rsidP="00AD3197">
            <w:pPr>
              <w:pStyle w:val="TableBody"/>
            </w:pPr>
            <w:r w:rsidRPr="007A3600">
              <w:t>Local area coordination partners</w:t>
            </w:r>
          </w:p>
        </w:tc>
        <w:tc>
          <w:tcPr>
            <w:tcW w:w="5329" w:type="dxa"/>
          </w:tcPr>
          <w:p w14:paraId="07CDC6B0" w14:textId="3599079A" w:rsidR="00851CEA" w:rsidRPr="007A3600" w:rsidRDefault="00851CEA" w:rsidP="00AD3197">
            <w:pPr>
              <w:pStyle w:val="TableBody"/>
            </w:pPr>
            <w:r w:rsidRPr="007A3600">
              <w:t>Local organisations funded by the NDIA to deliver local area coordination services to people with disability aged between 9 and 64.</w:t>
            </w:r>
          </w:p>
        </w:tc>
      </w:tr>
      <w:tr w:rsidR="00851CEA" w:rsidRPr="007A3600" w14:paraId="57F4B8F8" w14:textId="77777777" w:rsidTr="0026718D">
        <w:tc>
          <w:tcPr>
            <w:tcW w:w="3685" w:type="dxa"/>
          </w:tcPr>
          <w:p w14:paraId="0A58C68C" w14:textId="4AC57051" w:rsidR="00851CEA" w:rsidRPr="007A3600" w:rsidRDefault="00851CEA" w:rsidP="00AD3197">
            <w:pPr>
              <w:pStyle w:val="TableBody"/>
            </w:pPr>
            <w:r w:rsidRPr="007A3600">
              <w:t>New framework planning</w:t>
            </w:r>
          </w:p>
        </w:tc>
        <w:tc>
          <w:tcPr>
            <w:tcW w:w="5329" w:type="dxa"/>
          </w:tcPr>
          <w:p w14:paraId="0AC58E67" w14:textId="1372B74F" w:rsidR="00851CEA" w:rsidRPr="007A3600" w:rsidRDefault="00851CEA" w:rsidP="00AD3197">
            <w:pPr>
              <w:pStyle w:val="TableBody"/>
            </w:pPr>
            <w:r w:rsidRPr="007A3600">
              <w:t>A new way of working with participants to assess their support needs and develop their plans. We will begin rolling it out from mid-2026.</w:t>
            </w:r>
          </w:p>
        </w:tc>
      </w:tr>
      <w:tr w:rsidR="00851CEA" w:rsidRPr="007A3600" w14:paraId="1BC26FCA"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62731046" w14:textId="32EF0A0C" w:rsidR="00851CEA" w:rsidRPr="007A3600" w:rsidRDefault="00851CEA" w:rsidP="00AD3197">
            <w:pPr>
              <w:pStyle w:val="TableBody"/>
            </w:pPr>
            <w:r w:rsidRPr="007A3600">
              <w:t>Participant Service Charter</w:t>
            </w:r>
          </w:p>
        </w:tc>
        <w:tc>
          <w:tcPr>
            <w:tcW w:w="5329" w:type="dxa"/>
          </w:tcPr>
          <w:p w14:paraId="73443C19" w14:textId="1761389E" w:rsidR="00851CEA" w:rsidRPr="007A3600" w:rsidRDefault="00851CEA" w:rsidP="00AD3197">
            <w:pPr>
              <w:pStyle w:val="TableBody"/>
            </w:pPr>
            <w:r w:rsidRPr="007A3600">
              <w:t>Outlines the NDIA’s commitment to participants in how they can expect to be treated when they deal with the NDIA and partners in the community organisations.</w:t>
            </w:r>
          </w:p>
        </w:tc>
      </w:tr>
      <w:tr w:rsidR="00851CEA" w:rsidRPr="007A3600" w14:paraId="58C498EC" w14:textId="77777777" w:rsidTr="0026718D">
        <w:tc>
          <w:tcPr>
            <w:tcW w:w="3685" w:type="dxa"/>
          </w:tcPr>
          <w:p w14:paraId="5C8F019C" w14:textId="07C5B91A" w:rsidR="00851CEA" w:rsidRPr="007A3600" w:rsidRDefault="00851CEA" w:rsidP="00AD3197">
            <w:pPr>
              <w:pStyle w:val="TableBody"/>
            </w:pPr>
            <w:r w:rsidRPr="007A3600">
              <w:rPr>
                <w:lang w:eastAsia="ja-JP"/>
              </w:rPr>
              <w:t>Participant Service Guarantee</w:t>
            </w:r>
          </w:p>
        </w:tc>
        <w:tc>
          <w:tcPr>
            <w:tcW w:w="5329" w:type="dxa"/>
          </w:tcPr>
          <w:p w14:paraId="753DA3DF" w14:textId="475ADAA9" w:rsidR="00851CEA" w:rsidRPr="007A3600" w:rsidRDefault="00851CEA" w:rsidP="00AD3197">
            <w:pPr>
              <w:pStyle w:val="TableBody"/>
            </w:pPr>
            <w:r w:rsidRPr="007A3600">
              <w:t xml:space="preserve">Sets timeframes for key NDIS processes and decisions. </w:t>
            </w:r>
            <w:r w:rsidRPr="007A3600">
              <w:rPr>
                <w:rFonts w:eastAsia="Times New Roman"/>
                <w:color w:val="222222"/>
              </w:rPr>
              <w:t>The</w:t>
            </w:r>
            <w:r w:rsidRPr="007A3600">
              <w:t xml:space="preserve"> NDIA must make decisions about access, plan reassessments, variations and reviews, and nominee changes within these timeframes.</w:t>
            </w:r>
          </w:p>
        </w:tc>
      </w:tr>
      <w:tr w:rsidR="00851CEA" w:rsidRPr="007A3600" w14:paraId="2000F4E5"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4D63EF6C" w14:textId="0383526D" w:rsidR="00851CEA" w:rsidRPr="007A3600" w:rsidRDefault="00851CEA" w:rsidP="00AD3197">
            <w:pPr>
              <w:pStyle w:val="TableBody"/>
            </w:pPr>
            <w:r w:rsidRPr="007A3600">
              <w:t>Partners in the community</w:t>
            </w:r>
          </w:p>
        </w:tc>
        <w:tc>
          <w:tcPr>
            <w:tcW w:w="5329" w:type="dxa"/>
          </w:tcPr>
          <w:p w14:paraId="0DE4DD0D" w14:textId="5FFDC895" w:rsidR="00851CEA" w:rsidRPr="007A3600" w:rsidRDefault="00851CEA" w:rsidP="00AD3197">
            <w:pPr>
              <w:pStyle w:val="TableBody"/>
            </w:pPr>
            <w:r w:rsidRPr="007A3600">
              <w:t>Community-based organisations funded by the NDIA to help deliver the NDIS in some parts of Australia. This includes early childhood partners and local area coordinators. They are also known as ‘NDIS partners’.</w:t>
            </w:r>
          </w:p>
        </w:tc>
      </w:tr>
      <w:tr w:rsidR="00851CEA" w:rsidRPr="007A3600" w14:paraId="33E8B81C" w14:textId="77777777" w:rsidTr="0026718D">
        <w:tc>
          <w:tcPr>
            <w:tcW w:w="3685" w:type="dxa"/>
          </w:tcPr>
          <w:p w14:paraId="36C28F02" w14:textId="2604E3AF" w:rsidR="00851CEA" w:rsidRPr="007A3600" w:rsidRDefault="00851CEA" w:rsidP="00AD3197">
            <w:pPr>
              <w:pStyle w:val="TableBody"/>
            </w:pPr>
            <w:r w:rsidRPr="007A3600">
              <w:t>Plan</w:t>
            </w:r>
          </w:p>
        </w:tc>
        <w:tc>
          <w:tcPr>
            <w:tcW w:w="5329" w:type="dxa"/>
          </w:tcPr>
          <w:p w14:paraId="60F50C60" w14:textId="3ED5369F" w:rsidR="00851CEA" w:rsidRPr="007A3600" w:rsidRDefault="00851CEA" w:rsidP="00AD3197">
            <w:pPr>
              <w:pStyle w:val="TableBody"/>
            </w:pPr>
            <w:r w:rsidRPr="007A3600">
              <w:t>A written agreement worked out with the participant, stating their goals and needs, and the reasonable and necessary supports the NDIS will fund for them. Each participant has their own individual plan.</w:t>
            </w:r>
          </w:p>
        </w:tc>
      </w:tr>
      <w:tr w:rsidR="00242337" w:rsidRPr="007A3600" w14:paraId="4053D02B"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6D14E2FF" w14:textId="5DC2145D" w:rsidR="00242337" w:rsidRPr="007A3600" w:rsidRDefault="00242337" w:rsidP="00AD3197">
            <w:pPr>
              <w:pStyle w:val="TableBody"/>
            </w:pPr>
            <w:r w:rsidRPr="007A3600">
              <w:t>Scheme</w:t>
            </w:r>
          </w:p>
        </w:tc>
        <w:tc>
          <w:tcPr>
            <w:tcW w:w="5329" w:type="dxa"/>
          </w:tcPr>
          <w:p w14:paraId="5555315E" w14:textId="36FACCD8" w:rsidR="00242337" w:rsidRPr="007A3600" w:rsidRDefault="004D0677" w:rsidP="00AD3197">
            <w:pPr>
              <w:pStyle w:val="TableBody"/>
            </w:pPr>
            <w:r w:rsidRPr="007A3600">
              <w:t>The National Disability Insurance Scheme (NDIS).</w:t>
            </w:r>
          </w:p>
        </w:tc>
      </w:tr>
      <w:tr w:rsidR="00851CEA" w:rsidRPr="007A3600" w14:paraId="020BB486" w14:textId="77777777" w:rsidTr="0026718D">
        <w:tc>
          <w:tcPr>
            <w:tcW w:w="3685" w:type="dxa"/>
          </w:tcPr>
          <w:p w14:paraId="69C37422" w14:textId="11F65696" w:rsidR="00851CEA" w:rsidRPr="007A3600" w:rsidRDefault="00851CEA" w:rsidP="00AD3197">
            <w:pPr>
              <w:pStyle w:val="TableBody"/>
            </w:pPr>
            <w:r w:rsidRPr="007A3600">
              <w:rPr>
                <w:lang w:val="en-GB"/>
              </w:rPr>
              <w:lastRenderedPageBreak/>
              <w:t>Scheme reforms</w:t>
            </w:r>
          </w:p>
        </w:tc>
        <w:tc>
          <w:tcPr>
            <w:tcW w:w="5329" w:type="dxa"/>
          </w:tcPr>
          <w:p w14:paraId="32647E8D" w14:textId="77777777" w:rsidR="00851CEA" w:rsidRPr="007A3600" w:rsidRDefault="00851CEA" w:rsidP="00AD3197">
            <w:pPr>
              <w:pStyle w:val="TableBody"/>
              <w:rPr>
                <w:b/>
                <w:bCs/>
              </w:rPr>
            </w:pPr>
            <w:r w:rsidRPr="007A3600">
              <w:t xml:space="preserve">The actions being taken to make the NDIS stronger. It includes changes brought about or recommended </w:t>
            </w:r>
            <w:r w:rsidRPr="007A3600">
              <w:rPr>
                <w:bCs/>
              </w:rPr>
              <w:t>by:</w:t>
            </w:r>
          </w:p>
          <w:p w14:paraId="5457BAB1" w14:textId="25B8B0E2" w:rsidR="00851CEA" w:rsidRPr="007A3600" w:rsidRDefault="00946BD6" w:rsidP="00AD3197">
            <w:pPr>
              <w:pStyle w:val="Tablebullet"/>
              <w:rPr>
                <w:rFonts w:eastAsia="MS Mincho"/>
              </w:rPr>
            </w:pPr>
            <w:hyperlink r:id="rId183" w:history="1">
              <w:r>
                <w:rPr>
                  <w:rStyle w:val="Hyperlink"/>
                </w:rPr>
                <w:t>Changes to NDIS legislation (external)</w:t>
              </w:r>
            </w:hyperlink>
          </w:p>
          <w:p w14:paraId="44A1FF7A" w14:textId="77777777" w:rsidR="00851CEA" w:rsidRPr="007A3600" w:rsidRDefault="00851CEA" w:rsidP="00AD3197">
            <w:pPr>
              <w:pStyle w:val="Tablebullet"/>
              <w:rPr>
                <w:rFonts w:eastAsia="MS Mincho"/>
              </w:rPr>
            </w:pPr>
            <w:hyperlink r:id="rId184" w:history="1">
              <w:r w:rsidRPr="007A3600">
                <w:rPr>
                  <w:rStyle w:val="Hyperlink"/>
                </w:rPr>
                <w:t>Independent Review into the NDIS (external)</w:t>
              </w:r>
            </w:hyperlink>
          </w:p>
          <w:p w14:paraId="0A4B33B7" w14:textId="65C602B3" w:rsidR="00851CEA" w:rsidRPr="007A3600" w:rsidRDefault="00851CEA" w:rsidP="00AD3197">
            <w:pPr>
              <w:pStyle w:val="Tablebullet"/>
            </w:pPr>
            <w:hyperlink r:id="rId185" w:history="1">
              <w:r w:rsidRPr="007A3600">
                <w:rPr>
                  <w:rStyle w:val="Hyperlink"/>
                </w:rPr>
                <w:t>Royal Commission into Violence, Abuse, Neglect and Exploitation of People with Disability (external)</w:t>
              </w:r>
            </w:hyperlink>
            <w:r w:rsidR="007239BE">
              <w:t>.</w:t>
            </w:r>
          </w:p>
        </w:tc>
      </w:tr>
      <w:tr w:rsidR="00851CEA" w:rsidRPr="007A3600" w14:paraId="6F05BC51" w14:textId="77777777" w:rsidTr="0026718D">
        <w:trPr>
          <w:cnfStyle w:val="000000100000" w:firstRow="0" w:lastRow="0" w:firstColumn="0" w:lastColumn="0" w:oddVBand="0" w:evenVBand="0" w:oddHBand="1" w:evenHBand="0" w:firstRowFirstColumn="0" w:firstRowLastColumn="0" w:lastRowFirstColumn="0" w:lastRowLastColumn="0"/>
        </w:trPr>
        <w:tc>
          <w:tcPr>
            <w:tcW w:w="3685" w:type="dxa"/>
          </w:tcPr>
          <w:p w14:paraId="67BAB216" w14:textId="5291DFAD" w:rsidR="00851CEA" w:rsidRPr="007A3600" w:rsidRDefault="00851CEA" w:rsidP="00AD3197">
            <w:pPr>
              <w:pStyle w:val="TableBody"/>
            </w:pPr>
            <w:r w:rsidRPr="007A3600">
              <w:t>Supported independent living</w:t>
            </w:r>
          </w:p>
        </w:tc>
        <w:tc>
          <w:tcPr>
            <w:tcW w:w="5329" w:type="dxa"/>
          </w:tcPr>
          <w:p w14:paraId="004EEDCF" w14:textId="413EDA65" w:rsidR="00851CEA" w:rsidRPr="007A3600" w:rsidRDefault="00851CEA" w:rsidP="00AD3197">
            <w:pPr>
              <w:pStyle w:val="TableBody"/>
            </w:pPr>
            <w:r w:rsidRPr="007A3600">
              <w:t>Paid personal support for daily tasks (e.g. personal care, cooking meals) to help participants live as independently as possible, while building their skills.</w:t>
            </w:r>
          </w:p>
        </w:tc>
      </w:tr>
    </w:tbl>
    <w:p w14:paraId="27B78798" w14:textId="1FA89EFD" w:rsidR="00CA0ED3" w:rsidRPr="007A3600" w:rsidRDefault="00CA0ED3" w:rsidP="00AD3197">
      <w:pPr>
        <w:pStyle w:val="Heading4"/>
        <w:spacing w:before="240"/>
      </w:pPr>
      <w:bookmarkStart w:id="329" w:name="_Toc207017787"/>
      <w:r w:rsidRPr="007A3600">
        <w:t>A</w:t>
      </w:r>
      <w:r w:rsidR="00F64A96" w:rsidRPr="007A3600">
        <w:t>bbreviations and a</w:t>
      </w:r>
      <w:r w:rsidRPr="007A3600">
        <w:t>cronyms</w:t>
      </w:r>
      <w:bookmarkEnd w:id="329"/>
    </w:p>
    <w:tbl>
      <w:tblPr>
        <w:tblStyle w:val="NDISTable1"/>
        <w:tblW w:w="5000" w:type="pct"/>
        <w:tblLayout w:type="fixed"/>
        <w:tblLook w:val="0420" w:firstRow="1" w:lastRow="0" w:firstColumn="0" w:lastColumn="0" w:noHBand="0" w:noVBand="1"/>
      </w:tblPr>
      <w:tblGrid>
        <w:gridCol w:w="1547"/>
        <w:gridCol w:w="7469"/>
      </w:tblGrid>
      <w:tr w:rsidR="0026718D" w:rsidRPr="007A3600" w14:paraId="2E27567E" w14:textId="77777777" w:rsidTr="00F809EC">
        <w:trPr>
          <w:cnfStyle w:val="100000000000" w:firstRow="1" w:lastRow="0" w:firstColumn="0" w:lastColumn="0" w:oddVBand="0" w:evenVBand="0" w:oddHBand="0" w:evenHBand="0" w:firstRowFirstColumn="0" w:firstRowLastColumn="0" w:lastRowFirstColumn="0" w:lastRowLastColumn="0"/>
        </w:trPr>
        <w:tc>
          <w:tcPr>
            <w:tcW w:w="1547" w:type="dxa"/>
          </w:tcPr>
          <w:p w14:paraId="0719671F" w14:textId="77777777" w:rsidR="001935B0" w:rsidRPr="007A3600" w:rsidRDefault="001935B0" w:rsidP="00AD3197">
            <w:pPr>
              <w:pStyle w:val="TableBody"/>
            </w:pPr>
            <w:r w:rsidRPr="007A3600">
              <w:t>Term</w:t>
            </w:r>
          </w:p>
        </w:tc>
        <w:tc>
          <w:tcPr>
            <w:tcW w:w="7469" w:type="dxa"/>
          </w:tcPr>
          <w:p w14:paraId="7495B400" w14:textId="77777777" w:rsidR="001935B0" w:rsidRPr="007A3600" w:rsidRDefault="001935B0" w:rsidP="00AD3197">
            <w:pPr>
              <w:pStyle w:val="TableBody"/>
            </w:pPr>
            <w:r w:rsidRPr="007A3600">
              <w:t>Definition</w:t>
            </w:r>
          </w:p>
        </w:tc>
      </w:tr>
      <w:tr w:rsidR="0026718D" w:rsidRPr="007A3600" w14:paraId="2E897B83"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62DE83B" w14:textId="0C64F3D6" w:rsidR="00A51794" w:rsidRPr="007A3600" w:rsidRDefault="00A51794" w:rsidP="00AD3197">
            <w:pPr>
              <w:pStyle w:val="TableBody"/>
            </w:pPr>
            <w:r w:rsidRPr="007A3600">
              <w:t>AASB</w:t>
            </w:r>
          </w:p>
        </w:tc>
        <w:tc>
          <w:tcPr>
            <w:tcW w:w="7469" w:type="dxa"/>
          </w:tcPr>
          <w:p w14:paraId="1A32EBB7" w14:textId="17EB07A6" w:rsidR="00A51794" w:rsidRPr="007A3600" w:rsidRDefault="00A51794" w:rsidP="00AD3197">
            <w:pPr>
              <w:pStyle w:val="TableBody"/>
            </w:pPr>
            <w:r w:rsidRPr="007A3600">
              <w:t>Australian Accounting Standards Board</w:t>
            </w:r>
          </w:p>
        </w:tc>
      </w:tr>
      <w:tr w:rsidR="009B324A" w:rsidRPr="007A3600" w14:paraId="3244B522" w14:textId="77777777" w:rsidTr="00F809EC">
        <w:tc>
          <w:tcPr>
            <w:tcW w:w="1547" w:type="dxa"/>
          </w:tcPr>
          <w:p w14:paraId="6B54149F" w14:textId="2E9139E8" w:rsidR="00A51794" w:rsidRPr="007A3600" w:rsidRDefault="00A51794" w:rsidP="00AD3197">
            <w:pPr>
              <w:pStyle w:val="TableBody"/>
            </w:pPr>
            <w:r w:rsidRPr="007A3600">
              <w:t>AAT</w:t>
            </w:r>
          </w:p>
        </w:tc>
        <w:tc>
          <w:tcPr>
            <w:tcW w:w="7469" w:type="dxa"/>
          </w:tcPr>
          <w:p w14:paraId="13A81545" w14:textId="14674184" w:rsidR="00A51794" w:rsidRPr="007A3600" w:rsidRDefault="00A51794" w:rsidP="00AD3197">
            <w:pPr>
              <w:pStyle w:val="TableBody"/>
            </w:pPr>
            <w:r w:rsidRPr="007A3600">
              <w:t>Administrative Appeals Tribunal</w:t>
            </w:r>
          </w:p>
        </w:tc>
      </w:tr>
      <w:tr w:rsidR="0026718D" w:rsidRPr="007A3600" w14:paraId="1D39481E"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0EBE7203" w14:textId="58491C53" w:rsidR="00A51794" w:rsidRPr="007A3600" w:rsidRDefault="00A51794" w:rsidP="00AD3197">
            <w:pPr>
              <w:pStyle w:val="TableBody"/>
            </w:pPr>
            <w:r w:rsidRPr="007A3600">
              <w:t>AC</w:t>
            </w:r>
          </w:p>
        </w:tc>
        <w:tc>
          <w:tcPr>
            <w:tcW w:w="7469" w:type="dxa"/>
          </w:tcPr>
          <w:p w14:paraId="3B2889BF" w14:textId="07D07EE9" w:rsidR="00A51794" w:rsidRPr="007A3600" w:rsidRDefault="00A51794" w:rsidP="00AD3197">
            <w:pPr>
              <w:pStyle w:val="TableBody"/>
            </w:pPr>
            <w:r w:rsidRPr="007A3600">
              <w:t>Companion of the Order of Australia</w:t>
            </w:r>
          </w:p>
        </w:tc>
      </w:tr>
      <w:tr w:rsidR="009B324A" w:rsidRPr="007A3600" w14:paraId="2D613560" w14:textId="77777777" w:rsidTr="00F809EC">
        <w:tc>
          <w:tcPr>
            <w:tcW w:w="1547" w:type="dxa"/>
          </w:tcPr>
          <w:p w14:paraId="5B188F85" w14:textId="64A1738E" w:rsidR="00A51794" w:rsidRPr="007A3600" w:rsidRDefault="00A51794" w:rsidP="00AD3197">
            <w:pPr>
              <w:pStyle w:val="TableBody"/>
            </w:pPr>
            <w:r w:rsidRPr="007A3600">
              <w:t>ACT</w:t>
            </w:r>
          </w:p>
        </w:tc>
        <w:tc>
          <w:tcPr>
            <w:tcW w:w="7469" w:type="dxa"/>
          </w:tcPr>
          <w:p w14:paraId="5846C0D9" w14:textId="20DAF04B" w:rsidR="00A51794" w:rsidRPr="007A3600" w:rsidRDefault="00A51794" w:rsidP="00AD3197">
            <w:pPr>
              <w:pStyle w:val="TableBody"/>
            </w:pPr>
            <w:r w:rsidRPr="007A3600">
              <w:t>Australian Capital Territory</w:t>
            </w:r>
          </w:p>
        </w:tc>
      </w:tr>
      <w:tr w:rsidR="0026718D" w:rsidRPr="007A3600" w14:paraId="68BFBAC2"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58202266" w14:textId="0A4141B2" w:rsidR="00A51794" w:rsidRPr="007A3600" w:rsidRDefault="00A51794" w:rsidP="00AD3197">
            <w:pPr>
              <w:pStyle w:val="TableBody"/>
            </w:pPr>
            <w:r w:rsidRPr="007A3600">
              <w:t>ADJR Act</w:t>
            </w:r>
          </w:p>
        </w:tc>
        <w:tc>
          <w:tcPr>
            <w:tcW w:w="7469" w:type="dxa"/>
          </w:tcPr>
          <w:p w14:paraId="63D47600" w14:textId="0481F1FB" w:rsidR="00A51794" w:rsidRPr="007A3600" w:rsidRDefault="00A51794" w:rsidP="00AD3197">
            <w:pPr>
              <w:pStyle w:val="TableBody"/>
            </w:pPr>
            <w:r w:rsidRPr="007A3600">
              <w:rPr>
                <w:i/>
                <w:iCs/>
              </w:rPr>
              <w:t>Administrative Decisions (Judicial Review) Act 1977</w:t>
            </w:r>
            <w:r w:rsidRPr="007A3600">
              <w:t xml:space="preserve"> (Cth)</w:t>
            </w:r>
          </w:p>
        </w:tc>
      </w:tr>
      <w:tr w:rsidR="009B324A" w:rsidRPr="007A3600" w14:paraId="34913C66" w14:textId="77777777" w:rsidTr="00F809EC">
        <w:tc>
          <w:tcPr>
            <w:tcW w:w="1547" w:type="dxa"/>
          </w:tcPr>
          <w:p w14:paraId="446102B5" w14:textId="082CD306" w:rsidR="00A51794" w:rsidRPr="007A3600" w:rsidRDefault="00A51794" w:rsidP="00AD3197">
            <w:pPr>
              <w:pStyle w:val="TableBody"/>
            </w:pPr>
            <w:r w:rsidRPr="007A3600">
              <w:t>AFSR</w:t>
            </w:r>
          </w:p>
        </w:tc>
        <w:tc>
          <w:tcPr>
            <w:tcW w:w="7469" w:type="dxa"/>
          </w:tcPr>
          <w:p w14:paraId="58B1B59D" w14:textId="3AA8406E" w:rsidR="00A51794" w:rsidRPr="007A3600" w:rsidRDefault="00A51794" w:rsidP="00AD3197">
            <w:pPr>
              <w:pStyle w:val="TableBody"/>
            </w:pPr>
            <w:r w:rsidRPr="007A3600">
              <w:t>Annual Financial Sustainability Report</w:t>
            </w:r>
          </w:p>
        </w:tc>
      </w:tr>
      <w:tr w:rsidR="0026718D" w:rsidRPr="007A3600" w14:paraId="20415643"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AA0CCC1" w14:textId="63BC9F17" w:rsidR="00A51794" w:rsidRPr="007A3600" w:rsidRDefault="00A51794" w:rsidP="00AD3197">
            <w:pPr>
              <w:pStyle w:val="TableBody"/>
            </w:pPr>
            <w:r w:rsidRPr="007A3600">
              <w:t>AICD</w:t>
            </w:r>
          </w:p>
        </w:tc>
        <w:tc>
          <w:tcPr>
            <w:tcW w:w="7469" w:type="dxa"/>
          </w:tcPr>
          <w:p w14:paraId="45DBE732" w14:textId="56301B1B" w:rsidR="00A51794" w:rsidRPr="007A3600" w:rsidRDefault="00A51794" w:rsidP="00AD3197">
            <w:pPr>
              <w:pStyle w:val="TableBody"/>
            </w:pPr>
            <w:r w:rsidRPr="007A3600">
              <w:t>Australian Institute of Company Directors</w:t>
            </w:r>
          </w:p>
        </w:tc>
      </w:tr>
      <w:tr w:rsidR="009B324A" w:rsidRPr="007A3600" w14:paraId="2152E3E3" w14:textId="77777777" w:rsidTr="00F809EC">
        <w:tc>
          <w:tcPr>
            <w:tcW w:w="1547" w:type="dxa"/>
          </w:tcPr>
          <w:p w14:paraId="093BD6BC" w14:textId="0E8CCE47" w:rsidR="00A51794" w:rsidRPr="007A3600" w:rsidRDefault="00A51794" w:rsidP="00AD3197">
            <w:pPr>
              <w:pStyle w:val="TableBody"/>
            </w:pPr>
            <w:r w:rsidRPr="007A3600">
              <w:t>AM</w:t>
            </w:r>
          </w:p>
        </w:tc>
        <w:tc>
          <w:tcPr>
            <w:tcW w:w="7469" w:type="dxa"/>
          </w:tcPr>
          <w:p w14:paraId="57A99F58" w14:textId="4AD229BF" w:rsidR="00A51794" w:rsidRPr="007A3600" w:rsidRDefault="00A51794" w:rsidP="00AD3197">
            <w:pPr>
              <w:pStyle w:val="TableBody"/>
            </w:pPr>
            <w:r w:rsidRPr="007A3600">
              <w:t>Member of the Order of Australia</w:t>
            </w:r>
          </w:p>
        </w:tc>
      </w:tr>
      <w:tr w:rsidR="0026718D" w:rsidRPr="007A3600" w14:paraId="642613D3"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73A7219" w14:textId="7B9867D0" w:rsidR="00A51794" w:rsidRPr="007A3600" w:rsidRDefault="00A51794" w:rsidP="00AD3197">
            <w:pPr>
              <w:pStyle w:val="TableBody"/>
            </w:pPr>
            <w:r w:rsidRPr="007A3600">
              <w:t>ANAO</w:t>
            </w:r>
          </w:p>
        </w:tc>
        <w:tc>
          <w:tcPr>
            <w:tcW w:w="7469" w:type="dxa"/>
          </w:tcPr>
          <w:p w14:paraId="0837EA59" w14:textId="20D39831" w:rsidR="00A51794" w:rsidRPr="007A3600" w:rsidRDefault="00A51794" w:rsidP="00AD3197">
            <w:pPr>
              <w:pStyle w:val="TableBody"/>
            </w:pPr>
            <w:r w:rsidRPr="007A3600">
              <w:t>Australian National Audit Office</w:t>
            </w:r>
          </w:p>
        </w:tc>
      </w:tr>
      <w:tr w:rsidR="009B324A" w:rsidRPr="007A3600" w14:paraId="5DB0ED04" w14:textId="77777777" w:rsidTr="00F809EC">
        <w:tc>
          <w:tcPr>
            <w:tcW w:w="1547" w:type="dxa"/>
          </w:tcPr>
          <w:p w14:paraId="54A7B457" w14:textId="70824C91" w:rsidR="00A51794" w:rsidRPr="007A3600" w:rsidRDefault="00A51794" w:rsidP="00AD3197">
            <w:pPr>
              <w:pStyle w:val="TableBody"/>
            </w:pPr>
            <w:r w:rsidRPr="007A3600">
              <w:t>AO</w:t>
            </w:r>
          </w:p>
        </w:tc>
        <w:tc>
          <w:tcPr>
            <w:tcW w:w="7469" w:type="dxa"/>
          </w:tcPr>
          <w:p w14:paraId="40BE402E" w14:textId="51C03C6D" w:rsidR="00A51794" w:rsidRPr="007A3600" w:rsidRDefault="00A51794" w:rsidP="00AD3197">
            <w:pPr>
              <w:pStyle w:val="TableBody"/>
            </w:pPr>
            <w:r w:rsidRPr="007A3600">
              <w:t>Officer of the Order of Australia</w:t>
            </w:r>
          </w:p>
        </w:tc>
      </w:tr>
      <w:tr w:rsidR="0026718D" w:rsidRPr="007A3600" w14:paraId="3889C12D"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57F60CE8" w14:textId="56DB1536" w:rsidR="00A51794" w:rsidRPr="007A3600" w:rsidRDefault="00A51794" w:rsidP="00AD3197">
            <w:pPr>
              <w:pStyle w:val="TableBody"/>
            </w:pPr>
            <w:r w:rsidRPr="007A3600">
              <w:t>APM</w:t>
            </w:r>
          </w:p>
        </w:tc>
        <w:tc>
          <w:tcPr>
            <w:tcW w:w="7469" w:type="dxa"/>
          </w:tcPr>
          <w:p w14:paraId="1559FE9E" w14:textId="2DC99CDF" w:rsidR="00A51794" w:rsidRPr="007A3600" w:rsidRDefault="00A51794" w:rsidP="00AD3197">
            <w:pPr>
              <w:pStyle w:val="TableBody"/>
            </w:pPr>
            <w:r w:rsidRPr="007A3600">
              <w:t>Australian Police Medal</w:t>
            </w:r>
          </w:p>
        </w:tc>
      </w:tr>
      <w:tr w:rsidR="009B324A" w:rsidRPr="007A3600" w14:paraId="5BD08E69" w14:textId="77777777" w:rsidTr="00F809EC">
        <w:tc>
          <w:tcPr>
            <w:tcW w:w="1547" w:type="dxa"/>
          </w:tcPr>
          <w:p w14:paraId="0B7E7526" w14:textId="2A93F233" w:rsidR="00A51794" w:rsidRPr="007A3600" w:rsidRDefault="00A51794" w:rsidP="00AD3197">
            <w:pPr>
              <w:pStyle w:val="TableBody"/>
            </w:pPr>
            <w:r w:rsidRPr="007A3600">
              <w:t>APS</w:t>
            </w:r>
          </w:p>
        </w:tc>
        <w:tc>
          <w:tcPr>
            <w:tcW w:w="7469" w:type="dxa"/>
          </w:tcPr>
          <w:p w14:paraId="0D60F62B" w14:textId="08BF6A8B" w:rsidR="00A51794" w:rsidRPr="007A3600" w:rsidRDefault="00A51794" w:rsidP="00AD3197">
            <w:pPr>
              <w:pStyle w:val="TableBody"/>
            </w:pPr>
            <w:r w:rsidRPr="007A3600">
              <w:t>Australian Public Service</w:t>
            </w:r>
          </w:p>
        </w:tc>
      </w:tr>
      <w:tr w:rsidR="0026718D" w:rsidRPr="007A3600" w14:paraId="25FB2606"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349A1B5" w14:textId="32670C12" w:rsidR="00A51794" w:rsidRPr="007A3600" w:rsidRDefault="00A51794" w:rsidP="00AD3197">
            <w:pPr>
              <w:pStyle w:val="TableBody"/>
            </w:pPr>
            <w:r w:rsidRPr="007A3600">
              <w:t>ART</w:t>
            </w:r>
          </w:p>
        </w:tc>
        <w:tc>
          <w:tcPr>
            <w:tcW w:w="7469" w:type="dxa"/>
          </w:tcPr>
          <w:p w14:paraId="2ACD6DD4" w14:textId="3646E382" w:rsidR="00A51794" w:rsidRPr="007A3600" w:rsidRDefault="00A51794" w:rsidP="00AD3197">
            <w:pPr>
              <w:pStyle w:val="TableBody"/>
            </w:pPr>
            <w:r w:rsidRPr="007A3600">
              <w:t>Administrative Review Tribunal</w:t>
            </w:r>
          </w:p>
        </w:tc>
      </w:tr>
      <w:tr w:rsidR="009B324A" w:rsidRPr="007A3600" w14:paraId="46BB4B05" w14:textId="77777777" w:rsidTr="00F809EC">
        <w:tc>
          <w:tcPr>
            <w:tcW w:w="1547" w:type="dxa"/>
          </w:tcPr>
          <w:p w14:paraId="1446DA9F" w14:textId="5892CB51" w:rsidR="00A51794" w:rsidRPr="007A3600" w:rsidRDefault="00A51794" w:rsidP="00AD3197">
            <w:pPr>
              <w:pStyle w:val="TableBody"/>
            </w:pPr>
            <w:r w:rsidRPr="007A3600">
              <w:t>BEV</w:t>
            </w:r>
          </w:p>
        </w:tc>
        <w:tc>
          <w:tcPr>
            <w:tcW w:w="7469" w:type="dxa"/>
          </w:tcPr>
          <w:p w14:paraId="7D3DCBAB" w14:textId="128EBB25" w:rsidR="00A51794" w:rsidRPr="007A3600" w:rsidRDefault="00A51794" w:rsidP="00AD3197">
            <w:pPr>
              <w:pStyle w:val="TableBody"/>
            </w:pPr>
            <w:r w:rsidRPr="007A3600">
              <w:t>battery electric vehicle</w:t>
            </w:r>
          </w:p>
        </w:tc>
      </w:tr>
      <w:tr w:rsidR="0026718D" w:rsidRPr="007A3600" w14:paraId="2BFD5533"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11EF0946" w14:textId="08AE3052" w:rsidR="00A51794" w:rsidRPr="007A3600" w:rsidRDefault="00A51794" w:rsidP="00AD3197">
            <w:pPr>
              <w:pStyle w:val="TableBody"/>
            </w:pPr>
            <w:r w:rsidRPr="007A3600">
              <w:lastRenderedPageBreak/>
              <w:t>CALD</w:t>
            </w:r>
          </w:p>
        </w:tc>
        <w:tc>
          <w:tcPr>
            <w:tcW w:w="7469" w:type="dxa"/>
          </w:tcPr>
          <w:p w14:paraId="1A438977" w14:textId="1D805DE8" w:rsidR="00A51794" w:rsidRPr="007A3600" w:rsidRDefault="00A51794" w:rsidP="00AD3197">
            <w:pPr>
              <w:pStyle w:val="TableBody"/>
            </w:pPr>
            <w:r w:rsidRPr="007A3600">
              <w:t>Culturally and linguistically diverse</w:t>
            </w:r>
          </w:p>
        </w:tc>
      </w:tr>
      <w:tr w:rsidR="009B324A" w:rsidRPr="007A3600" w14:paraId="29E5F437" w14:textId="77777777" w:rsidTr="00F809EC">
        <w:tc>
          <w:tcPr>
            <w:tcW w:w="1547" w:type="dxa"/>
          </w:tcPr>
          <w:p w14:paraId="68D37C69" w14:textId="609F55E3" w:rsidR="00A51794" w:rsidRPr="007A3600" w:rsidRDefault="00A51794" w:rsidP="00AD3197">
            <w:pPr>
              <w:pStyle w:val="TableBody"/>
            </w:pPr>
            <w:r w:rsidRPr="007A3600">
              <w:t>CCE</w:t>
            </w:r>
          </w:p>
        </w:tc>
        <w:tc>
          <w:tcPr>
            <w:tcW w:w="7469" w:type="dxa"/>
          </w:tcPr>
          <w:p w14:paraId="1458B35F" w14:textId="5BAEBFAD" w:rsidR="00A51794" w:rsidRPr="007A3600" w:rsidRDefault="00A51794" w:rsidP="00AD3197">
            <w:pPr>
              <w:pStyle w:val="TableBody"/>
            </w:pPr>
            <w:r w:rsidRPr="007A3600">
              <w:t>Corporate Commonwealth Entity</w:t>
            </w:r>
          </w:p>
        </w:tc>
      </w:tr>
      <w:tr w:rsidR="0026718D" w:rsidRPr="007A3600" w14:paraId="2ED1BDB1"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45201F0A" w14:textId="59FC445C" w:rsidR="00A51794" w:rsidRPr="007A3600" w:rsidRDefault="00A51794" w:rsidP="00AD3197">
            <w:pPr>
              <w:pStyle w:val="TableBody"/>
            </w:pPr>
            <w:r w:rsidRPr="007A3600">
              <w:t>CDoF</w:t>
            </w:r>
          </w:p>
        </w:tc>
        <w:tc>
          <w:tcPr>
            <w:tcW w:w="7469" w:type="dxa"/>
          </w:tcPr>
          <w:p w14:paraId="7C539D98" w14:textId="3DD76892" w:rsidR="00A51794" w:rsidRPr="007A3600" w:rsidRDefault="00A51794" w:rsidP="00AD3197">
            <w:pPr>
              <w:pStyle w:val="TableBody"/>
            </w:pPr>
            <w:r w:rsidRPr="007A3600">
              <w:t>Crack Down on Fraud program</w:t>
            </w:r>
          </w:p>
        </w:tc>
      </w:tr>
      <w:tr w:rsidR="009B324A" w:rsidRPr="007A3600" w14:paraId="32D7999F" w14:textId="77777777" w:rsidTr="00F809EC">
        <w:tc>
          <w:tcPr>
            <w:tcW w:w="1547" w:type="dxa"/>
          </w:tcPr>
          <w:p w14:paraId="39DEC4E9" w14:textId="0BD37924" w:rsidR="00A51794" w:rsidRPr="007A3600" w:rsidRDefault="00A51794" w:rsidP="00AD3197">
            <w:pPr>
              <w:pStyle w:val="TableBody"/>
            </w:pPr>
            <w:r w:rsidRPr="007A3600">
              <w:t>CEO</w:t>
            </w:r>
          </w:p>
        </w:tc>
        <w:tc>
          <w:tcPr>
            <w:tcW w:w="7469" w:type="dxa"/>
          </w:tcPr>
          <w:p w14:paraId="3234E8E6" w14:textId="4ADB1439" w:rsidR="00A51794" w:rsidRPr="007A3600" w:rsidRDefault="00A51794" w:rsidP="00AD3197">
            <w:pPr>
              <w:pStyle w:val="TableBody"/>
            </w:pPr>
            <w:r w:rsidRPr="007A3600">
              <w:t>Chief Executive Officer</w:t>
            </w:r>
          </w:p>
        </w:tc>
      </w:tr>
      <w:tr w:rsidR="0026718D" w:rsidRPr="007A3600" w14:paraId="0473EC62"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785E132E" w14:textId="51A3A6BF" w:rsidR="00A51794" w:rsidRPr="007A3600" w:rsidRDefault="00A51794" w:rsidP="00AD3197">
            <w:pPr>
              <w:pStyle w:val="TableBody"/>
            </w:pPr>
            <w:r w:rsidRPr="007A3600">
              <w:t>CO</w:t>
            </w:r>
            <w:r w:rsidRPr="007A3600">
              <w:rPr>
                <w:vertAlign w:val="subscript"/>
              </w:rPr>
              <w:t>2</w:t>
            </w:r>
            <w:r w:rsidRPr="007A3600">
              <w:t>-e</w:t>
            </w:r>
          </w:p>
        </w:tc>
        <w:tc>
          <w:tcPr>
            <w:tcW w:w="7469" w:type="dxa"/>
          </w:tcPr>
          <w:p w14:paraId="4C12B343" w14:textId="0E40D7A3" w:rsidR="00A51794" w:rsidRPr="007A3600" w:rsidRDefault="00A51794" w:rsidP="00AD3197">
            <w:pPr>
              <w:pStyle w:val="TableBody"/>
            </w:pPr>
            <w:r w:rsidRPr="007A3600">
              <w:t>carbon dioxide equivalent</w:t>
            </w:r>
          </w:p>
        </w:tc>
      </w:tr>
      <w:tr w:rsidR="009B324A" w:rsidRPr="007A3600" w14:paraId="19510EFD" w14:textId="77777777" w:rsidTr="00F809EC">
        <w:tc>
          <w:tcPr>
            <w:tcW w:w="1547" w:type="dxa"/>
          </w:tcPr>
          <w:p w14:paraId="2FDBC6D2" w14:textId="689D516B" w:rsidR="00A51794" w:rsidRPr="007A3600" w:rsidRDefault="00A51794" w:rsidP="00AD3197">
            <w:pPr>
              <w:pStyle w:val="TableBody"/>
            </w:pPr>
            <w:r w:rsidRPr="007A3600">
              <w:t>CROMP</w:t>
            </w:r>
          </w:p>
        </w:tc>
        <w:tc>
          <w:tcPr>
            <w:tcW w:w="7469" w:type="dxa"/>
          </w:tcPr>
          <w:p w14:paraId="1D672708" w14:textId="76496177" w:rsidR="00A51794" w:rsidRPr="007A3600" w:rsidRDefault="00A51794" w:rsidP="00AD3197">
            <w:pPr>
              <w:pStyle w:val="TableBody"/>
            </w:pPr>
            <w:r w:rsidRPr="007A3600">
              <w:t>Climate Risk and Opportunity Management Program</w:t>
            </w:r>
          </w:p>
        </w:tc>
      </w:tr>
      <w:tr w:rsidR="0026718D" w:rsidRPr="007A3600" w14:paraId="7C00A7B9"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C931C07" w14:textId="782D0C23" w:rsidR="00A51794" w:rsidRPr="007A3600" w:rsidRDefault="00A51794" w:rsidP="00AD3197">
            <w:pPr>
              <w:pStyle w:val="TableBody"/>
            </w:pPr>
            <w:r w:rsidRPr="007A3600">
              <w:t>Cth</w:t>
            </w:r>
          </w:p>
        </w:tc>
        <w:tc>
          <w:tcPr>
            <w:tcW w:w="7469" w:type="dxa"/>
          </w:tcPr>
          <w:p w14:paraId="22A701E6" w14:textId="733788EE" w:rsidR="00A51794" w:rsidRPr="007A3600" w:rsidRDefault="00A51794" w:rsidP="00AD3197">
            <w:pPr>
              <w:pStyle w:val="TableBody"/>
            </w:pPr>
            <w:r w:rsidRPr="007A3600">
              <w:t>Commonwealth</w:t>
            </w:r>
          </w:p>
        </w:tc>
      </w:tr>
      <w:tr w:rsidR="009B324A" w:rsidRPr="007A3600" w14:paraId="2F74A20A" w14:textId="77777777" w:rsidTr="00F809EC">
        <w:tc>
          <w:tcPr>
            <w:tcW w:w="1547" w:type="dxa"/>
          </w:tcPr>
          <w:p w14:paraId="1E298966" w14:textId="348D1A28" w:rsidR="00A51794" w:rsidRPr="007A3600" w:rsidRDefault="00A51794" w:rsidP="00AD3197">
            <w:pPr>
              <w:pStyle w:val="TableBody"/>
            </w:pPr>
            <w:r w:rsidRPr="007A3600">
              <w:t>DAP</w:t>
            </w:r>
          </w:p>
        </w:tc>
        <w:tc>
          <w:tcPr>
            <w:tcW w:w="7469" w:type="dxa"/>
          </w:tcPr>
          <w:p w14:paraId="3A88DC35" w14:textId="24314893" w:rsidR="00A51794" w:rsidRPr="007A3600" w:rsidRDefault="00A51794" w:rsidP="00AD3197">
            <w:pPr>
              <w:pStyle w:val="TableBody"/>
            </w:pPr>
            <w:r w:rsidRPr="007A3600">
              <w:t>Disability Action Plan</w:t>
            </w:r>
          </w:p>
        </w:tc>
      </w:tr>
      <w:tr w:rsidR="0026718D" w:rsidRPr="007A3600" w14:paraId="14EFA584"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5C838617" w14:textId="11B9F34A" w:rsidR="00A51794" w:rsidRPr="007A3600" w:rsidRDefault="00A51794" w:rsidP="00AD3197">
            <w:pPr>
              <w:pStyle w:val="TableBody"/>
            </w:pPr>
            <w:r w:rsidRPr="007A3600">
              <w:t>DHDA</w:t>
            </w:r>
          </w:p>
        </w:tc>
        <w:tc>
          <w:tcPr>
            <w:tcW w:w="7469" w:type="dxa"/>
          </w:tcPr>
          <w:p w14:paraId="3CBC0A9B" w14:textId="25B72717" w:rsidR="00A51794" w:rsidRPr="007A3600" w:rsidRDefault="00A51794" w:rsidP="00AD3197">
            <w:pPr>
              <w:pStyle w:val="TableBody"/>
            </w:pPr>
            <w:r w:rsidRPr="007A3600">
              <w:t>Health, Disability and Ageing portfolio</w:t>
            </w:r>
          </w:p>
        </w:tc>
      </w:tr>
      <w:tr w:rsidR="009B324A" w:rsidRPr="007A3600" w14:paraId="743178F4" w14:textId="77777777" w:rsidTr="00F809EC">
        <w:tc>
          <w:tcPr>
            <w:tcW w:w="1547" w:type="dxa"/>
          </w:tcPr>
          <w:p w14:paraId="124DED55" w14:textId="7E636296" w:rsidR="00A51794" w:rsidRPr="007A3600" w:rsidRDefault="00A51794" w:rsidP="00AD3197">
            <w:pPr>
              <w:pStyle w:val="TableBody"/>
            </w:pPr>
            <w:r w:rsidRPr="007A3600">
              <w:t>DRMC</w:t>
            </w:r>
          </w:p>
        </w:tc>
        <w:tc>
          <w:tcPr>
            <w:tcW w:w="7469" w:type="dxa"/>
          </w:tcPr>
          <w:p w14:paraId="529689CE" w14:textId="45CA0E67" w:rsidR="00A51794" w:rsidRPr="007A3600" w:rsidRDefault="00A51794" w:rsidP="00AD3197">
            <w:pPr>
              <w:pStyle w:val="TableBody"/>
            </w:pPr>
            <w:r w:rsidRPr="007A3600">
              <w:t>Disability Reform Ministerial Council</w:t>
            </w:r>
          </w:p>
        </w:tc>
      </w:tr>
      <w:tr w:rsidR="0026718D" w:rsidRPr="007A3600" w14:paraId="52303343"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725FB14" w14:textId="73974D45" w:rsidR="00A51794" w:rsidRPr="007A3600" w:rsidRDefault="00A51794" w:rsidP="00AD3197">
            <w:pPr>
              <w:pStyle w:val="TableBody"/>
            </w:pPr>
            <w:r w:rsidRPr="007A3600">
              <w:t>ESP</w:t>
            </w:r>
          </w:p>
        </w:tc>
        <w:tc>
          <w:tcPr>
            <w:tcW w:w="7469" w:type="dxa"/>
          </w:tcPr>
          <w:p w14:paraId="771DED94" w14:textId="0E7C57B1" w:rsidR="00A51794" w:rsidRPr="007A3600" w:rsidRDefault="00A51794" w:rsidP="00AD3197">
            <w:pPr>
              <w:pStyle w:val="TableBody"/>
            </w:pPr>
            <w:r w:rsidRPr="007A3600">
              <w:t>Environmentally Sustainable Procurement</w:t>
            </w:r>
          </w:p>
        </w:tc>
      </w:tr>
      <w:tr w:rsidR="009B324A" w:rsidRPr="007A3600" w14:paraId="3BAD2335" w14:textId="77777777" w:rsidTr="00F809EC">
        <w:tc>
          <w:tcPr>
            <w:tcW w:w="1547" w:type="dxa"/>
          </w:tcPr>
          <w:p w14:paraId="6391F91D" w14:textId="533CCC16" w:rsidR="00A51794" w:rsidRPr="007A3600" w:rsidRDefault="00A51794" w:rsidP="00AD3197">
            <w:pPr>
              <w:pStyle w:val="TableBody"/>
            </w:pPr>
            <w:r w:rsidRPr="007A3600">
              <w:t>FCA</w:t>
            </w:r>
          </w:p>
        </w:tc>
        <w:tc>
          <w:tcPr>
            <w:tcW w:w="7469" w:type="dxa"/>
          </w:tcPr>
          <w:p w14:paraId="720EC51F" w14:textId="5E6E36F7" w:rsidR="00A51794" w:rsidRPr="007A3600" w:rsidRDefault="00A51794" w:rsidP="00AD3197">
            <w:pPr>
              <w:pStyle w:val="TableBody"/>
            </w:pPr>
            <w:r w:rsidRPr="007A3600">
              <w:t>Federal Court of Australia</w:t>
            </w:r>
          </w:p>
        </w:tc>
      </w:tr>
      <w:tr w:rsidR="0026718D" w:rsidRPr="007A3600" w14:paraId="47BE1CBD"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582193BE" w14:textId="453F8CCE" w:rsidR="00A51794" w:rsidRPr="007A3600" w:rsidRDefault="00A51794" w:rsidP="00AD3197">
            <w:pPr>
              <w:pStyle w:val="TableBody"/>
            </w:pPr>
            <w:r w:rsidRPr="007A3600">
              <w:t>FCAFC</w:t>
            </w:r>
          </w:p>
        </w:tc>
        <w:tc>
          <w:tcPr>
            <w:tcW w:w="7469" w:type="dxa"/>
          </w:tcPr>
          <w:p w14:paraId="1B2DD12B" w14:textId="320983F8" w:rsidR="00A51794" w:rsidRPr="007A3600" w:rsidRDefault="00A51794" w:rsidP="00AD3197">
            <w:pPr>
              <w:pStyle w:val="TableBody"/>
            </w:pPr>
            <w:r w:rsidRPr="007A3600">
              <w:t>Federal Circuit and Family Court of Australia</w:t>
            </w:r>
          </w:p>
        </w:tc>
      </w:tr>
      <w:tr w:rsidR="009B324A" w:rsidRPr="007A3600" w14:paraId="2C542EDE" w14:textId="77777777" w:rsidTr="00F809EC">
        <w:tc>
          <w:tcPr>
            <w:tcW w:w="1547" w:type="dxa"/>
          </w:tcPr>
          <w:p w14:paraId="25F69AE2" w14:textId="32187F5C" w:rsidR="00A51794" w:rsidRPr="007A3600" w:rsidRDefault="00A51794" w:rsidP="00AD3197">
            <w:pPr>
              <w:pStyle w:val="TableBody"/>
            </w:pPr>
            <w:r w:rsidRPr="007A3600">
              <w:t>FFT</w:t>
            </w:r>
          </w:p>
        </w:tc>
        <w:tc>
          <w:tcPr>
            <w:tcW w:w="7469" w:type="dxa"/>
          </w:tcPr>
          <w:p w14:paraId="00A09A82" w14:textId="70DAC416" w:rsidR="00A51794" w:rsidRPr="007A3600" w:rsidRDefault="00A51794" w:rsidP="00AD3197">
            <w:pPr>
              <w:pStyle w:val="TableBody"/>
            </w:pPr>
            <w:r w:rsidRPr="007A3600">
              <w:t>Fraud Fusion Taskforce</w:t>
            </w:r>
          </w:p>
        </w:tc>
      </w:tr>
      <w:tr w:rsidR="0026718D" w:rsidRPr="007A3600" w14:paraId="4B5BE80D"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42CAF196" w14:textId="13A16DC4" w:rsidR="00A51794" w:rsidRPr="007A3600" w:rsidRDefault="00A51794" w:rsidP="00AD3197">
            <w:pPr>
              <w:pStyle w:val="TableBody"/>
            </w:pPr>
            <w:r w:rsidRPr="007A3600">
              <w:t>FOI Act</w:t>
            </w:r>
          </w:p>
        </w:tc>
        <w:tc>
          <w:tcPr>
            <w:tcW w:w="7469" w:type="dxa"/>
          </w:tcPr>
          <w:p w14:paraId="7EA2EC9B" w14:textId="32FCAFBA" w:rsidR="00A51794" w:rsidRPr="007A3600" w:rsidRDefault="00A51794" w:rsidP="00AD3197">
            <w:pPr>
              <w:pStyle w:val="TableBody"/>
            </w:pPr>
            <w:r w:rsidRPr="007A3600">
              <w:rPr>
                <w:i/>
                <w:iCs/>
              </w:rPr>
              <w:t>Freedom of Information Act 1982</w:t>
            </w:r>
            <w:r w:rsidRPr="007A3600">
              <w:t xml:space="preserve"> (Cth)</w:t>
            </w:r>
          </w:p>
        </w:tc>
      </w:tr>
      <w:tr w:rsidR="009B324A" w:rsidRPr="007A3600" w14:paraId="72BA9E13" w14:textId="77777777" w:rsidTr="00F809EC">
        <w:tc>
          <w:tcPr>
            <w:tcW w:w="1547" w:type="dxa"/>
          </w:tcPr>
          <w:p w14:paraId="598CC0CE" w14:textId="22EE3CE7" w:rsidR="00A51794" w:rsidRPr="007A3600" w:rsidRDefault="00A51794" w:rsidP="00AD3197">
            <w:pPr>
              <w:pStyle w:val="TableBody"/>
            </w:pPr>
            <w:r w:rsidRPr="007A3600">
              <w:t>GAP</w:t>
            </w:r>
          </w:p>
        </w:tc>
        <w:tc>
          <w:tcPr>
            <w:tcW w:w="7469" w:type="dxa"/>
          </w:tcPr>
          <w:p w14:paraId="07CD86D7" w14:textId="28A32497" w:rsidR="00A51794" w:rsidRPr="007A3600" w:rsidRDefault="00A51794" w:rsidP="00AD3197">
            <w:pPr>
              <w:pStyle w:val="TableBody"/>
            </w:pPr>
            <w:r w:rsidRPr="007A3600">
              <w:t>Guidance and Appeals Panel</w:t>
            </w:r>
          </w:p>
        </w:tc>
      </w:tr>
      <w:tr w:rsidR="0026718D" w:rsidRPr="007A3600" w14:paraId="420248A1"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3862F7E" w14:textId="15BF70F3" w:rsidR="00A51794" w:rsidRPr="007A3600" w:rsidRDefault="00A51794" w:rsidP="00AD3197">
            <w:pPr>
              <w:pStyle w:val="TableBody"/>
            </w:pPr>
            <w:r w:rsidRPr="007A3600">
              <w:t>GHG</w:t>
            </w:r>
          </w:p>
        </w:tc>
        <w:tc>
          <w:tcPr>
            <w:tcW w:w="7469" w:type="dxa"/>
          </w:tcPr>
          <w:p w14:paraId="3DD8D222" w14:textId="6C5CE7AD" w:rsidR="00A51794" w:rsidRPr="007A3600" w:rsidRDefault="00A51794" w:rsidP="00AD3197">
            <w:pPr>
              <w:pStyle w:val="TableBody"/>
            </w:pPr>
            <w:r w:rsidRPr="007A3600">
              <w:t>greenhouse gas</w:t>
            </w:r>
          </w:p>
        </w:tc>
      </w:tr>
      <w:tr w:rsidR="009B324A" w:rsidRPr="007A3600" w14:paraId="588576E0" w14:textId="77777777" w:rsidTr="00F809EC">
        <w:tc>
          <w:tcPr>
            <w:tcW w:w="1547" w:type="dxa"/>
          </w:tcPr>
          <w:p w14:paraId="6B1DB24A" w14:textId="4330CA0A" w:rsidR="00A51794" w:rsidRPr="007A3600" w:rsidRDefault="00A51794" w:rsidP="00AD3197">
            <w:pPr>
              <w:pStyle w:val="TableBody"/>
            </w:pPr>
            <w:r w:rsidRPr="007A3600">
              <w:t>GST</w:t>
            </w:r>
          </w:p>
        </w:tc>
        <w:tc>
          <w:tcPr>
            <w:tcW w:w="7469" w:type="dxa"/>
          </w:tcPr>
          <w:p w14:paraId="6D4DB0D3" w14:textId="41C3B494" w:rsidR="00A51794" w:rsidRPr="007A3600" w:rsidRDefault="00A51794" w:rsidP="00AD3197">
            <w:pPr>
              <w:pStyle w:val="TableBody"/>
            </w:pPr>
            <w:r w:rsidRPr="007A3600">
              <w:t>goods and services tax</w:t>
            </w:r>
          </w:p>
        </w:tc>
      </w:tr>
      <w:tr w:rsidR="0026718D" w:rsidRPr="007A3600" w14:paraId="20941EEE"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9C746E2" w14:textId="0BF36E88" w:rsidR="00A51794" w:rsidRPr="007A3600" w:rsidRDefault="00A51794" w:rsidP="00AD3197">
            <w:pPr>
              <w:pStyle w:val="TableBody"/>
            </w:pPr>
            <w:r w:rsidRPr="007A3600">
              <w:t>IAC</w:t>
            </w:r>
          </w:p>
        </w:tc>
        <w:tc>
          <w:tcPr>
            <w:tcW w:w="7469" w:type="dxa"/>
          </w:tcPr>
          <w:p w14:paraId="2CF726B1" w14:textId="14E405F1" w:rsidR="00A51794" w:rsidRPr="007A3600" w:rsidRDefault="00A51794" w:rsidP="00AD3197">
            <w:pPr>
              <w:pStyle w:val="TableBody"/>
            </w:pPr>
            <w:r w:rsidRPr="007A3600">
              <w:t>Independent Advisory Council</w:t>
            </w:r>
          </w:p>
        </w:tc>
      </w:tr>
      <w:tr w:rsidR="0026718D" w:rsidRPr="007A3600" w14:paraId="7E12E95A" w14:textId="77777777" w:rsidTr="00F809EC">
        <w:tc>
          <w:tcPr>
            <w:tcW w:w="1547" w:type="dxa"/>
          </w:tcPr>
          <w:p w14:paraId="1E714D4A" w14:textId="1DBB54A2" w:rsidR="00A51794" w:rsidRPr="007A3600" w:rsidRDefault="00A51794" w:rsidP="00AD3197">
            <w:pPr>
              <w:pStyle w:val="TableBody"/>
            </w:pPr>
            <w:r w:rsidRPr="007A3600">
              <w:t>JRPP</w:t>
            </w:r>
          </w:p>
        </w:tc>
        <w:tc>
          <w:tcPr>
            <w:tcW w:w="7469" w:type="dxa"/>
          </w:tcPr>
          <w:p w14:paraId="7BAEDAF5" w14:textId="36AA98DA" w:rsidR="00A51794" w:rsidRPr="007A3600" w:rsidRDefault="00A51794" w:rsidP="00AD3197">
            <w:pPr>
              <w:pStyle w:val="TableBody"/>
            </w:pPr>
            <w:r w:rsidRPr="007A3600">
              <w:t>Jurisdictional Renewable Power Percentage</w:t>
            </w:r>
          </w:p>
        </w:tc>
      </w:tr>
      <w:tr w:rsidR="009B324A" w:rsidRPr="007A3600" w14:paraId="09E07476"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A4E1BCE" w14:textId="49B6C068" w:rsidR="00A51794" w:rsidRPr="007A3600" w:rsidRDefault="00A51794" w:rsidP="00AD3197">
            <w:pPr>
              <w:pStyle w:val="TableBody"/>
            </w:pPr>
            <w:r w:rsidRPr="007A3600">
              <w:t>LED</w:t>
            </w:r>
          </w:p>
        </w:tc>
        <w:tc>
          <w:tcPr>
            <w:tcW w:w="7469" w:type="dxa"/>
          </w:tcPr>
          <w:p w14:paraId="618D6ECC" w14:textId="03002E20" w:rsidR="00A51794" w:rsidRPr="007A3600" w:rsidRDefault="00A51794" w:rsidP="00AD3197">
            <w:pPr>
              <w:pStyle w:val="TableBody"/>
            </w:pPr>
            <w:r w:rsidRPr="007A3600">
              <w:t>light emitting diode</w:t>
            </w:r>
          </w:p>
        </w:tc>
      </w:tr>
      <w:tr w:rsidR="009B324A" w:rsidRPr="007A3600" w14:paraId="2B49C01D" w14:textId="77777777" w:rsidTr="00F809EC">
        <w:tc>
          <w:tcPr>
            <w:tcW w:w="1547" w:type="dxa"/>
          </w:tcPr>
          <w:p w14:paraId="278C36B1" w14:textId="7C7934A6" w:rsidR="00A51794" w:rsidRPr="007A3600" w:rsidRDefault="00A51794" w:rsidP="00AD3197">
            <w:pPr>
              <w:pStyle w:val="TableBody"/>
            </w:pPr>
            <w:r w:rsidRPr="007A3600">
              <w:t>LGBTIQA+</w:t>
            </w:r>
          </w:p>
        </w:tc>
        <w:tc>
          <w:tcPr>
            <w:tcW w:w="7469" w:type="dxa"/>
          </w:tcPr>
          <w:p w14:paraId="491AFC31" w14:textId="50E5CD6C" w:rsidR="00A51794" w:rsidRPr="007A3600" w:rsidRDefault="00A51794" w:rsidP="00AD3197">
            <w:pPr>
              <w:pStyle w:val="TableBody"/>
            </w:pPr>
            <w:r w:rsidRPr="007A3600">
              <w:t>Lesbian, gay, bisexual, transgender, intersex, queer, and asexual</w:t>
            </w:r>
          </w:p>
        </w:tc>
      </w:tr>
      <w:tr w:rsidR="0026718D" w:rsidRPr="007A3600" w14:paraId="768B95BE"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35C8667F" w14:textId="1B0691A9" w:rsidR="00A51794" w:rsidRPr="007A3600" w:rsidRDefault="00A51794" w:rsidP="00AD3197">
            <w:pPr>
              <w:pStyle w:val="TableBody"/>
            </w:pPr>
            <w:r w:rsidRPr="007A3600">
              <w:t>MP</w:t>
            </w:r>
          </w:p>
        </w:tc>
        <w:tc>
          <w:tcPr>
            <w:tcW w:w="7469" w:type="dxa"/>
          </w:tcPr>
          <w:p w14:paraId="6410E0C3" w14:textId="660EC9AC" w:rsidR="00A51794" w:rsidRPr="007A3600" w:rsidRDefault="00A51794" w:rsidP="00AD3197">
            <w:pPr>
              <w:pStyle w:val="TableBody"/>
            </w:pPr>
            <w:r w:rsidRPr="007A3600">
              <w:t>Member of Parliament</w:t>
            </w:r>
          </w:p>
        </w:tc>
      </w:tr>
      <w:tr w:rsidR="009B324A" w:rsidRPr="007A3600" w14:paraId="06819875" w14:textId="77777777" w:rsidTr="00F809EC">
        <w:tc>
          <w:tcPr>
            <w:tcW w:w="1547" w:type="dxa"/>
          </w:tcPr>
          <w:p w14:paraId="4D70C7A2" w14:textId="605BBE0C" w:rsidR="00A51794" w:rsidRPr="007A3600" w:rsidRDefault="00A51794" w:rsidP="00AD3197">
            <w:pPr>
              <w:pStyle w:val="TableBody"/>
            </w:pPr>
            <w:r w:rsidRPr="007A3600">
              <w:t>MPC</w:t>
            </w:r>
          </w:p>
        </w:tc>
        <w:tc>
          <w:tcPr>
            <w:tcW w:w="7469" w:type="dxa"/>
          </w:tcPr>
          <w:p w14:paraId="7AA77D5F" w14:textId="3A96C826" w:rsidR="00A51794" w:rsidRPr="007A3600" w:rsidRDefault="00A51794" w:rsidP="00AD3197">
            <w:pPr>
              <w:pStyle w:val="TableBody"/>
            </w:pPr>
            <w:r w:rsidRPr="007A3600">
              <w:t>Merit Protection Commissioner</w:t>
            </w:r>
          </w:p>
        </w:tc>
      </w:tr>
      <w:tr w:rsidR="0026718D" w:rsidRPr="007A3600" w14:paraId="319F0487"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62AF527A" w14:textId="458921F6" w:rsidR="00A51794" w:rsidRPr="007A3600" w:rsidRDefault="00A51794" w:rsidP="00AD3197">
            <w:pPr>
              <w:pStyle w:val="TableBody"/>
            </w:pPr>
            <w:r w:rsidRPr="007A3600">
              <w:t>N/A</w:t>
            </w:r>
          </w:p>
        </w:tc>
        <w:tc>
          <w:tcPr>
            <w:tcW w:w="7469" w:type="dxa"/>
          </w:tcPr>
          <w:p w14:paraId="7AFC06D5" w14:textId="38E8B123" w:rsidR="00A51794" w:rsidRPr="007A3600" w:rsidRDefault="00A51794" w:rsidP="00AD3197">
            <w:pPr>
              <w:pStyle w:val="TableBody"/>
            </w:pPr>
            <w:r w:rsidRPr="007A3600">
              <w:t>not applicable</w:t>
            </w:r>
          </w:p>
        </w:tc>
      </w:tr>
      <w:tr w:rsidR="009B324A" w:rsidRPr="007A3600" w14:paraId="71B84DF9" w14:textId="77777777" w:rsidTr="00F809EC">
        <w:tc>
          <w:tcPr>
            <w:tcW w:w="1547" w:type="dxa"/>
          </w:tcPr>
          <w:p w14:paraId="69DCEE50" w14:textId="51E04C3A" w:rsidR="00A51794" w:rsidRPr="007A3600" w:rsidRDefault="00A51794" w:rsidP="00AD3197">
            <w:pPr>
              <w:pStyle w:val="TableBody"/>
            </w:pPr>
            <w:r w:rsidRPr="007A3600">
              <w:t>NCC</w:t>
            </w:r>
          </w:p>
        </w:tc>
        <w:tc>
          <w:tcPr>
            <w:tcW w:w="7469" w:type="dxa"/>
          </w:tcPr>
          <w:p w14:paraId="5BAF5E0F" w14:textId="621D1DC8" w:rsidR="00A51794" w:rsidRPr="007A3600" w:rsidRDefault="00A51794" w:rsidP="00AD3197">
            <w:pPr>
              <w:pStyle w:val="TableBody"/>
            </w:pPr>
            <w:r w:rsidRPr="007A3600">
              <w:t xml:space="preserve">National </w:t>
            </w:r>
            <w:r w:rsidR="0007470B">
              <w:t>Contact</w:t>
            </w:r>
            <w:r w:rsidR="0007470B" w:rsidRPr="007A3600">
              <w:t xml:space="preserve"> </w:t>
            </w:r>
            <w:r w:rsidRPr="007A3600">
              <w:t>Centre</w:t>
            </w:r>
          </w:p>
        </w:tc>
      </w:tr>
      <w:tr w:rsidR="0026718D" w:rsidRPr="007A3600" w14:paraId="3698BE95"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8A96F88" w14:textId="3BF85053" w:rsidR="00A51794" w:rsidRPr="007A3600" w:rsidRDefault="00A51794" w:rsidP="00AD3197">
            <w:pPr>
              <w:pStyle w:val="TableBody"/>
            </w:pPr>
            <w:r w:rsidRPr="007A3600">
              <w:lastRenderedPageBreak/>
              <w:t>NDIA</w:t>
            </w:r>
          </w:p>
        </w:tc>
        <w:tc>
          <w:tcPr>
            <w:tcW w:w="7469" w:type="dxa"/>
          </w:tcPr>
          <w:p w14:paraId="07287838" w14:textId="402E42D7" w:rsidR="00A51794" w:rsidRPr="007A3600" w:rsidRDefault="00A51794" w:rsidP="00AD3197">
            <w:pPr>
              <w:pStyle w:val="TableBody"/>
            </w:pPr>
            <w:r w:rsidRPr="007A3600">
              <w:t>National Disability Insurance Agency</w:t>
            </w:r>
          </w:p>
        </w:tc>
      </w:tr>
      <w:tr w:rsidR="009B324A" w:rsidRPr="007A3600" w14:paraId="2CB74A39" w14:textId="77777777" w:rsidTr="00F809EC">
        <w:tc>
          <w:tcPr>
            <w:tcW w:w="1547" w:type="dxa"/>
          </w:tcPr>
          <w:p w14:paraId="6426C668" w14:textId="49C6FEE8" w:rsidR="00A51794" w:rsidRPr="007A3600" w:rsidRDefault="00A51794" w:rsidP="00AD3197">
            <w:pPr>
              <w:pStyle w:val="TableBody"/>
            </w:pPr>
            <w:r w:rsidRPr="007A3600">
              <w:t>NDIS</w:t>
            </w:r>
          </w:p>
        </w:tc>
        <w:tc>
          <w:tcPr>
            <w:tcW w:w="7469" w:type="dxa"/>
          </w:tcPr>
          <w:p w14:paraId="3E96729A" w14:textId="722DEB16" w:rsidR="00A51794" w:rsidRPr="007A3600" w:rsidRDefault="00A51794" w:rsidP="00AD3197">
            <w:pPr>
              <w:pStyle w:val="TableBody"/>
            </w:pPr>
            <w:r w:rsidRPr="007A3600">
              <w:t>National Disability Insurance Scheme</w:t>
            </w:r>
          </w:p>
        </w:tc>
      </w:tr>
      <w:tr w:rsidR="0026718D" w:rsidRPr="007A3600" w14:paraId="6AE08805"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640D45D3" w14:textId="66A09EE7" w:rsidR="00A51794" w:rsidRPr="007A3600" w:rsidRDefault="00A51794" w:rsidP="00AD3197">
            <w:pPr>
              <w:pStyle w:val="TableBody"/>
            </w:pPr>
            <w:r w:rsidRPr="007A3600">
              <w:t>NDIS Act</w:t>
            </w:r>
          </w:p>
        </w:tc>
        <w:tc>
          <w:tcPr>
            <w:tcW w:w="7469" w:type="dxa"/>
          </w:tcPr>
          <w:p w14:paraId="6C3C9301" w14:textId="3AFD041F" w:rsidR="00A51794" w:rsidRPr="007A3600" w:rsidRDefault="00A51794" w:rsidP="00AD3197">
            <w:pPr>
              <w:pStyle w:val="TableBody"/>
            </w:pPr>
            <w:r w:rsidRPr="007A3600">
              <w:rPr>
                <w:i/>
                <w:iCs/>
              </w:rPr>
              <w:t>National Disability Insurance Scheme Act 2013</w:t>
            </w:r>
            <w:r w:rsidRPr="007A3600">
              <w:t xml:space="preserve"> (Cth)</w:t>
            </w:r>
          </w:p>
        </w:tc>
      </w:tr>
      <w:tr w:rsidR="009B324A" w:rsidRPr="007A3600" w14:paraId="5D2150BD" w14:textId="77777777" w:rsidTr="00F809EC">
        <w:tc>
          <w:tcPr>
            <w:tcW w:w="1547" w:type="dxa"/>
          </w:tcPr>
          <w:p w14:paraId="4FE66230" w14:textId="1793EAF0" w:rsidR="00A51794" w:rsidRPr="007A3600" w:rsidRDefault="00A51794" w:rsidP="00AD3197">
            <w:pPr>
              <w:pStyle w:val="TableBody"/>
            </w:pPr>
            <w:r w:rsidRPr="007A3600">
              <w:t>NSW</w:t>
            </w:r>
          </w:p>
        </w:tc>
        <w:tc>
          <w:tcPr>
            <w:tcW w:w="7469" w:type="dxa"/>
          </w:tcPr>
          <w:p w14:paraId="5451B1DD" w14:textId="20A8AC37" w:rsidR="00A51794" w:rsidRPr="007A3600" w:rsidRDefault="00A51794" w:rsidP="00AD3197">
            <w:pPr>
              <w:pStyle w:val="TableBody"/>
            </w:pPr>
            <w:r w:rsidRPr="007A3600">
              <w:t>New South Wales</w:t>
            </w:r>
          </w:p>
        </w:tc>
      </w:tr>
      <w:tr w:rsidR="0026718D" w:rsidRPr="007A3600" w14:paraId="7599D5FF"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1E6924A8" w14:textId="01E38836" w:rsidR="00A51794" w:rsidRPr="007A3600" w:rsidRDefault="00A51794" w:rsidP="00AD3197">
            <w:pPr>
              <w:pStyle w:val="TableBody"/>
            </w:pPr>
            <w:r w:rsidRPr="007A3600">
              <w:t>NT</w:t>
            </w:r>
          </w:p>
        </w:tc>
        <w:tc>
          <w:tcPr>
            <w:tcW w:w="7469" w:type="dxa"/>
          </w:tcPr>
          <w:p w14:paraId="42B00418" w14:textId="10ED2502" w:rsidR="00A51794" w:rsidRPr="007A3600" w:rsidRDefault="00A51794" w:rsidP="00AD3197">
            <w:pPr>
              <w:pStyle w:val="TableBody"/>
            </w:pPr>
            <w:r w:rsidRPr="007A3600">
              <w:t>Northern Territory</w:t>
            </w:r>
          </w:p>
        </w:tc>
      </w:tr>
      <w:tr w:rsidR="009B324A" w:rsidRPr="007A3600" w14:paraId="495DF945" w14:textId="77777777" w:rsidTr="00F809EC">
        <w:tc>
          <w:tcPr>
            <w:tcW w:w="1547" w:type="dxa"/>
          </w:tcPr>
          <w:p w14:paraId="414D1774" w14:textId="74B189B4" w:rsidR="00A51794" w:rsidRPr="007A3600" w:rsidRDefault="00A51794" w:rsidP="00AD3197">
            <w:pPr>
              <w:pStyle w:val="TableBody"/>
            </w:pPr>
            <w:r w:rsidRPr="007A3600">
              <w:t>PGPA Act</w:t>
            </w:r>
          </w:p>
        </w:tc>
        <w:tc>
          <w:tcPr>
            <w:tcW w:w="7469" w:type="dxa"/>
          </w:tcPr>
          <w:p w14:paraId="45898FC9" w14:textId="59FCB646" w:rsidR="00A51794" w:rsidRPr="007A3600" w:rsidRDefault="00A51794" w:rsidP="00AD3197">
            <w:pPr>
              <w:pStyle w:val="TableBody"/>
            </w:pPr>
            <w:r w:rsidRPr="007A3600">
              <w:rPr>
                <w:i/>
                <w:iCs/>
              </w:rPr>
              <w:t>Public Governance, Performance and Accountability Act 2013</w:t>
            </w:r>
            <w:r w:rsidRPr="007A3600">
              <w:t xml:space="preserve"> (Cth)</w:t>
            </w:r>
          </w:p>
        </w:tc>
      </w:tr>
      <w:tr w:rsidR="0026718D" w:rsidRPr="007A3600" w14:paraId="0D8DA7EF"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9F6CB32" w14:textId="4EE98D3F" w:rsidR="00A51794" w:rsidRPr="007A3600" w:rsidRDefault="00A51794" w:rsidP="00AD3197">
            <w:pPr>
              <w:pStyle w:val="TableBody"/>
            </w:pPr>
            <w:r w:rsidRPr="007A3600">
              <w:t>PGPA Rule</w:t>
            </w:r>
          </w:p>
        </w:tc>
        <w:tc>
          <w:tcPr>
            <w:tcW w:w="7469" w:type="dxa"/>
          </w:tcPr>
          <w:p w14:paraId="7BDDF85B" w14:textId="70DC805A" w:rsidR="00A51794" w:rsidRPr="007A3600" w:rsidRDefault="00A51794" w:rsidP="00AD3197">
            <w:pPr>
              <w:pStyle w:val="TableBody"/>
            </w:pPr>
            <w:r w:rsidRPr="007A3600">
              <w:t>Public Governance, Performance and Accountability Rule 2014</w:t>
            </w:r>
          </w:p>
        </w:tc>
      </w:tr>
      <w:tr w:rsidR="009B324A" w:rsidRPr="007A3600" w14:paraId="5932FDED" w14:textId="77777777" w:rsidTr="00F809EC">
        <w:tc>
          <w:tcPr>
            <w:tcW w:w="1547" w:type="dxa"/>
          </w:tcPr>
          <w:p w14:paraId="6BD4D17C" w14:textId="5634EE10" w:rsidR="00A51794" w:rsidRPr="007A3600" w:rsidRDefault="00A51794" w:rsidP="00AD3197">
            <w:pPr>
              <w:pStyle w:val="TableBody"/>
            </w:pPr>
            <w:r w:rsidRPr="007A3600">
              <w:t>PIA</w:t>
            </w:r>
          </w:p>
        </w:tc>
        <w:tc>
          <w:tcPr>
            <w:tcW w:w="7469" w:type="dxa"/>
          </w:tcPr>
          <w:p w14:paraId="5E756866" w14:textId="479DAEE8" w:rsidR="00A51794" w:rsidRPr="007A3600" w:rsidRDefault="00A51794" w:rsidP="00AD3197">
            <w:pPr>
              <w:pStyle w:val="TableBody"/>
            </w:pPr>
            <w:r w:rsidRPr="007A3600">
              <w:t>Participant Information Access</w:t>
            </w:r>
          </w:p>
        </w:tc>
      </w:tr>
      <w:tr w:rsidR="0026718D" w:rsidRPr="007A3600" w14:paraId="781BF951"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78254D93" w14:textId="074BE4FC" w:rsidR="00A51794" w:rsidRPr="007A3600" w:rsidRDefault="00A51794" w:rsidP="00AD3197">
            <w:pPr>
              <w:pStyle w:val="TableBody"/>
            </w:pPr>
            <w:r w:rsidRPr="007A3600">
              <w:t>PSG</w:t>
            </w:r>
          </w:p>
        </w:tc>
        <w:tc>
          <w:tcPr>
            <w:tcW w:w="7469" w:type="dxa"/>
          </w:tcPr>
          <w:p w14:paraId="4A1DE661" w14:textId="059C3DD7" w:rsidR="00A51794" w:rsidRPr="007A3600" w:rsidRDefault="00A51794" w:rsidP="00AD3197">
            <w:pPr>
              <w:pStyle w:val="TableBody"/>
            </w:pPr>
            <w:r w:rsidRPr="007A3600">
              <w:t>Participant Service Guarantee</w:t>
            </w:r>
          </w:p>
        </w:tc>
      </w:tr>
      <w:tr w:rsidR="009B324A" w:rsidRPr="007A3600" w14:paraId="1FCD943B" w14:textId="77777777" w:rsidTr="00F809EC">
        <w:tc>
          <w:tcPr>
            <w:tcW w:w="1547" w:type="dxa"/>
          </w:tcPr>
          <w:p w14:paraId="1157074C" w14:textId="55FD0D9D" w:rsidR="00A51794" w:rsidRPr="007A3600" w:rsidRDefault="00A51794" w:rsidP="00AD3197">
            <w:pPr>
              <w:pStyle w:val="TableBody"/>
            </w:pPr>
            <w:r w:rsidRPr="007A3600">
              <w:t>Qld</w:t>
            </w:r>
          </w:p>
        </w:tc>
        <w:tc>
          <w:tcPr>
            <w:tcW w:w="7469" w:type="dxa"/>
          </w:tcPr>
          <w:p w14:paraId="52BFB69D" w14:textId="680015D3" w:rsidR="00A51794" w:rsidRPr="007A3600" w:rsidRDefault="00A51794" w:rsidP="00AD3197">
            <w:pPr>
              <w:pStyle w:val="TableBody"/>
            </w:pPr>
            <w:r w:rsidRPr="007A3600">
              <w:t>Queensland</w:t>
            </w:r>
          </w:p>
        </w:tc>
      </w:tr>
      <w:tr w:rsidR="009B324A" w:rsidRPr="007A3600" w14:paraId="1A723309"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1AE9AD72" w14:textId="13EBD207" w:rsidR="00A51794" w:rsidRPr="007A3600" w:rsidRDefault="00A51794" w:rsidP="00AD3197">
            <w:pPr>
              <w:pStyle w:val="TableBody"/>
            </w:pPr>
            <w:r w:rsidRPr="007A3600">
              <w:t>RPP</w:t>
            </w:r>
          </w:p>
        </w:tc>
        <w:tc>
          <w:tcPr>
            <w:tcW w:w="7469" w:type="dxa"/>
          </w:tcPr>
          <w:p w14:paraId="11AFA5A4" w14:textId="58E520CC" w:rsidR="00A51794" w:rsidRPr="007A3600" w:rsidRDefault="00A51794" w:rsidP="00AD3197">
            <w:pPr>
              <w:pStyle w:val="TableBody"/>
            </w:pPr>
            <w:r w:rsidRPr="007A3600">
              <w:t>Renewable Power Percentage</w:t>
            </w:r>
          </w:p>
        </w:tc>
      </w:tr>
      <w:tr w:rsidR="0026718D" w:rsidRPr="007A3600" w14:paraId="71FB85B9" w14:textId="77777777" w:rsidTr="00F809EC">
        <w:tc>
          <w:tcPr>
            <w:tcW w:w="1547" w:type="dxa"/>
          </w:tcPr>
          <w:p w14:paraId="7F310E9E" w14:textId="69280C2C" w:rsidR="00A51794" w:rsidRPr="007A3600" w:rsidRDefault="00A51794" w:rsidP="00AD3197">
            <w:pPr>
              <w:pStyle w:val="TableBody"/>
            </w:pPr>
            <w:r w:rsidRPr="007A3600">
              <w:t>SA</w:t>
            </w:r>
          </w:p>
        </w:tc>
        <w:tc>
          <w:tcPr>
            <w:tcW w:w="7469" w:type="dxa"/>
          </w:tcPr>
          <w:p w14:paraId="180AD0DE" w14:textId="4067DA90" w:rsidR="00A51794" w:rsidRPr="007A3600" w:rsidRDefault="00A51794" w:rsidP="00AD3197">
            <w:pPr>
              <w:pStyle w:val="TableBody"/>
            </w:pPr>
            <w:r w:rsidRPr="007A3600">
              <w:t>South Australia</w:t>
            </w:r>
          </w:p>
        </w:tc>
      </w:tr>
      <w:tr w:rsidR="009B324A" w:rsidRPr="007A3600" w14:paraId="3AC67DC5"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5B4B9D7A" w14:textId="6B389356" w:rsidR="00A51794" w:rsidRPr="007A3600" w:rsidRDefault="00A51794" w:rsidP="00AD3197">
            <w:pPr>
              <w:pStyle w:val="TableBody"/>
            </w:pPr>
            <w:r w:rsidRPr="007A3600">
              <w:t>Scheme</w:t>
            </w:r>
          </w:p>
        </w:tc>
        <w:tc>
          <w:tcPr>
            <w:tcW w:w="7469" w:type="dxa"/>
          </w:tcPr>
          <w:p w14:paraId="7EE538F1" w14:textId="74793FF4" w:rsidR="00A51794" w:rsidRPr="007A3600" w:rsidRDefault="00A51794" w:rsidP="00AD3197">
            <w:pPr>
              <w:pStyle w:val="TableBody"/>
            </w:pPr>
            <w:r w:rsidRPr="007A3600">
              <w:t>National Disability Insurance Scheme</w:t>
            </w:r>
          </w:p>
        </w:tc>
      </w:tr>
      <w:tr w:rsidR="0026718D" w:rsidRPr="007A3600" w14:paraId="3C4B2E30" w14:textId="77777777" w:rsidTr="00F809EC">
        <w:tc>
          <w:tcPr>
            <w:tcW w:w="1547" w:type="dxa"/>
          </w:tcPr>
          <w:p w14:paraId="5F91A9FF" w14:textId="6A975B44" w:rsidR="00A51794" w:rsidRPr="007A3600" w:rsidRDefault="00A51794" w:rsidP="00AD3197">
            <w:pPr>
              <w:pStyle w:val="TableBody"/>
            </w:pPr>
            <w:r w:rsidRPr="007A3600">
              <w:t>SES</w:t>
            </w:r>
          </w:p>
        </w:tc>
        <w:tc>
          <w:tcPr>
            <w:tcW w:w="7469" w:type="dxa"/>
          </w:tcPr>
          <w:p w14:paraId="72337CE4" w14:textId="4B9521A2" w:rsidR="00A51794" w:rsidRPr="007A3600" w:rsidRDefault="00A51794" w:rsidP="00AD3197">
            <w:pPr>
              <w:pStyle w:val="TableBody"/>
            </w:pPr>
            <w:r w:rsidRPr="007A3600">
              <w:t>Senior Executive Service</w:t>
            </w:r>
          </w:p>
        </w:tc>
      </w:tr>
      <w:tr w:rsidR="009B324A" w:rsidRPr="007A3600" w14:paraId="0255C7F9"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6B5500B8" w14:textId="33382D34" w:rsidR="00A51794" w:rsidRPr="007A3600" w:rsidRDefault="00A51794" w:rsidP="00AD3197">
            <w:pPr>
              <w:pStyle w:val="TableBody"/>
            </w:pPr>
            <w:r w:rsidRPr="007A3600">
              <w:t>Tas</w:t>
            </w:r>
          </w:p>
        </w:tc>
        <w:tc>
          <w:tcPr>
            <w:tcW w:w="7469" w:type="dxa"/>
          </w:tcPr>
          <w:p w14:paraId="37097EE4" w14:textId="0D2AE635" w:rsidR="00A51794" w:rsidRPr="007A3600" w:rsidRDefault="00A51794" w:rsidP="00AD3197">
            <w:pPr>
              <w:pStyle w:val="TableBody"/>
            </w:pPr>
            <w:r w:rsidRPr="007A3600">
              <w:t>Tasmania</w:t>
            </w:r>
          </w:p>
        </w:tc>
      </w:tr>
      <w:tr w:rsidR="00A63CB7" w:rsidRPr="007A3600" w14:paraId="39A77534" w14:textId="77777777" w:rsidTr="00F809EC">
        <w:tc>
          <w:tcPr>
            <w:tcW w:w="1547" w:type="dxa"/>
          </w:tcPr>
          <w:p w14:paraId="071E4700" w14:textId="26C28317" w:rsidR="00A63CB7" w:rsidRPr="007A3600" w:rsidRDefault="00A63CB7" w:rsidP="00AD3197">
            <w:pPr>
              <w:pStyle w:val="TableBody"/>
            </w:pPr>
            <w:r>
              <w:t>UN</w:t>
            </w:r>
          </w:p>
        </w:tc>
        <w:tc>
          <w:tcPr>
            <w:tcW w:w="7469" w:type="dxa"/>
          </w:tcPr>
          <w:p w14:paraId="2F967230" w14:textId="73887D07" w:rsidR="00A63CB7" w:rsidRPr="007A3600" w:rsidRDefault="00A63CB7" w:rsidP="00AD3197">
            <w:pPr>
              <w:pStyle w:val="TableBody"/>
            </w:pPr>
            <w:r>
              <w:t>United Nations</w:t>
            </w:r>
          </w:p>
        </w:tc>
      </w:tr>
      <w:tr w:rsidR="0026718D" w:rsidRPr="007A3600" w14:paraId="42E7BD1E"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006598A6" w14:textId="41CE2937" w:rsidR="00A51794" w:rsidRPr="007A3600" w:rsidRDefault="00A51794" w:rsidP="00AD3197">
            <w:pPr>
              <w:pStyle w:val="TableBody"/>
            </w:pPr>
            <w:r w:rsidRPr="007A3600">
              <w:t>Vic</w:t>
            </w:r>
          </w:p>
        </w:tc>
        <w:tc>
          <w:tcPr>
            <w:tcW w:w="7469" w:type="dxa"/>
          </w:tcPr>
          <w:p w14:paraId="549DC051" w14:textId="1D0FF208" w:rsidR="00A51794" w:rsidRPr="007A3600" w:rsidRDefault="00A51794" w:rsidP="00AD3197">
            <w:pPr>
              <w:pStyle w:val="TableBody"/>
            </w:pPr>
            <w:r w:rsidRPr="007A3600">
              <w:t>Victoria</w:t>
            </w:r>
          </w:p>
        </w:tc>
      </w:tr>
      <w:tr w:rsidR="009B324A" w:rsidRPr="007A3600" w14:paraId="4CF11DFE" w14:textId="77777777" w:rsidTr="00F809EC">
        <w:tc>
          <w:tcPr>
            <w:tcW w:w="1547" w:type="dxa"/>
          </w:tcPr>
          <w:p w14:paraId="0DD3D889" w14:textId="07C4E896" w:rsidR="00A51794" w:rsidRPr="007A3600" w:rsidRDefault="00A51794" w:rsidP="00AD3197">
            <w:pPr>
              <w:pStyle w:val="TableBody"/>
            </w:pPr>
            <w:r w:rsidRPr="007A3600">
              <w:t>WA</w:t>
            </w:r>
          </w:p>
        </w:tc>
        <w:tc>
          <w:tcPr>
            <w:tcW w:w="7469" w:type="dxa"/>
          </w:tcPr>
          <w:p w14:paraId="1326A769" w14:textId="281B8781" w:rsidR="00A51794" w:rsidRPr="007A3600" w:rsidRDefault="00A51794" w:rsidP="00AD3197">
            <w:pPr>
              <w:pStyle w:val="TableBody"/>
            </w:pPr>
            <w:r w:rsidRPr="007A3600">
              <w:t>Western Australia</w:t>
            </w:r>
          </w:p>
        </w:tc>
      </w:tr>
      <w:tr w:rsidR="0026718D" w:rsidRPr="007A3600" w14:paraId="592A20FE" w14:textId="77777777" w:rsidTr="00F809EC">
        <w:trPr>
          <w:cnfStyle w:val="000000100000" w:firstRow="0" w:lastRow="0" w:firstColumn="0" w:lastColumn="0" w:oddVBand="0" w:evenVBand="0" w:oddHBand="1" w:evenHBand="0" w:firstRowFirstColumn="0" w:firstRowLastColumn="0" w:lastRowFirstColumn="0" w:lastRowLastColumn="0"/>
        </w:trPr>
        <w:tc>
          <w:tcPr>
            <w:tcW w:w="1547" w:type="dxa"/>
          </w:tcPr>
          <w:p w14:paraId="2D2611D5" w14:textId="432A1E81" w:rsidR="00A51794" w:rsidRPr="007A3600" w:rsidRDefault="00A51794" w:rsidP="00AD3197">
            <w:pPr>
              <w:pStyle w:val="TableBody"/>
            </w:pPr>
            <w:r w:rsidRPr="007A3600">
              <w:t>WHS Act</w:t>
            </w:r>
          </w:p>
        </w:tc>
        <w:tc>
          <w:tcPr>
            <w:tcW w:w="7469" w:type="dxa"/>
          </w:tcPr>
          <w:p w14:paraId="2886DF1D" w14:textId="41E10F02" w:rsidR="00A51794" w:rsidRPr="007A3600" w:rsidRDefault="00A51794" w:rsidP="00AD3197">
            <w:pPr>
              <w:pStyle w:val="TableBody"/>
            </w:pPr>
            <w:r w:rsidRPr="007A3600">
              <w:rPr>
                <w:i/>
                <w:iCs/>
              </w:rPr>
              <w:t>Work Health and Safety Act 2011</w:t>
            </w:r>
            <w:r w:rsidRPr="007A3600">
              <w:t xml:space="preserve"> (Cth)</w:t>
            </w:r>
          </w:p>
        </w:tc>
      </w:tr>
    </w:tbl>
    <w:p w14:paraId="4988512A" w14:textId="5A970E25" w:rsidR="002A1ECE" w:rsidRPr="007A3600" w:rsidRDefault="002A1ECE" w:rsidP="00AD3197"/>
    <w:p w14:paraId="0C137662" w14:textId="77777777" w:rsidR="00894F10" w:rsidRPr="007A3600" w:rsidRDefault="00894F10" w:rsidP="00AD3197">
      <w:pPr>
        <w:sectPr w:rsidR="00894F10" w:rsidRPr="007A3600" w:rsidSect="000F17C1">
          <w:footerReference w:type="default" r:id="rId186"/>
          <w:footerReference w:type="first" r:id="rId187"/>
          <w:pgSz w:w="11906" w:h="16838" w:code="9"/>
          <w:pgMar w:top="142" w:right="1440" w:bottom="1701" w:left="1440" w:header="561" w:footer="374" w:gutter="0"/>
          <w:cols w:space="708"/>
          <w:titlePg/>
          <w:docGrid w:linePitch="360"/>
        </w:sectPr>
      </w:pPr>
    </w:p>
    <w:p w14:paraId="69707E8C" w14:textId="62393F13" w:rsidR="00894F10" w:rsidRPr="007A3600" w:rsidRDefault="00894F10" w:rsidP="00AD3197">
      <w:pPr>
        <w:pStyle w:val="Heading2"/>
        <w:rPr>
          <w:color w:val="6B2976"/>
          <w:sz w:val="36"/>
        </w:rPr>
      </w:pPr>
      <w:bookmarkStart w:id="330" w:name="_Toc207017788"/>
      <w:bookmarkStart w:id="331" w:name="_Toc209695882"/>
      <w:r w:rsidRPr="007A3600">
        <w:lastRenderedPageBreak/>
        <w:t xml:space="preserve">Section </w:t>
      </w:r>
      <w:r w:rsidR="00924091" w:rsidRPr="007A3600">
        <w:t>9</w:t>
      </w:r>
      <w:r w:rsidRPr="007A3600">
        <w:t xml:space="preserve">: </w:t>
      </w:r>
      <w:bookmarkEnd w:id="330"/>
      <w:r w:rsidR="0008246C" w:rsidRPr="007A3600">
        <w:t>Indexes</w:t>
      </w:r>
      <w:bookmarkEnd w:id="331"/>
      <w:r w:rsidRPr="007A3600">
        <w:br w:type="page"/>
      </w:r>
    </w:p>
    <w:p w14:paraId="43CD4349" w14:textId="2D7C747A" w:rsidR="00E42D4F" w:rsidRPr="007A3600" w:rsidRDefault="00924091" w:rsidP="00AD3197">
      <w:pPr>
        <w:pStyle w:val="Heading3"/>
      </w:pPr>
      <w:bookmarkStart w:id="332" w:name="_Toc207017789"/>
      <w:bookmarkStart w:id="333" w:name="_Toc209695883"/>
      <w:r w:rsidRPr="007A3600">
        <w:lastRenderedPageBreak/>
        <w:t>9</w:t>
      </w:r>
      <w:r w:rsidR="00E42D4F" w:rsidRPr="007A3600">
        <w:t>.1</w:t>
      </w:r>
      <w:r w:rsidR="00E42D4F" w:rsidRPr="007A3600">
        <w:tab/>
        <w:t xml:space="preserve">Compliance </w:t>
      </w:r>
      <w:r w:rsidR="0008246C" w:rsidRPr="007A3600">
        <w:t>indexes</w:t>
      </w:r>
      <w:bookmarkEnd w:id="332"/>
      <w:bookmarkEnd w:id="333"/>
    </w:p>
    <w:p w14:paraId="2AE33DB8" w14:textId="740A0FF2" w:rsidR="00E42D4F" w:rsidRPr="007A3600" w:rsidRDefault="00E42D4F" w:rsidP="00AD3197">
      <w:pPr>
        <w:pStyle w:val="Heading4"/>
      </w:pPr>
      <w:bookmarkStart w:id="334" w:name="_Toc207017790"/>
      <w:r w:rsidRPr="00935D6F">
        <w:t>Public Governance, Performance and Accountability Rule 2014</w:t>
      </w:r>
      <w:bookmarkEnd w:id="334"/>
      <w:r w:rsidR="00036A8C" w:rsidRPr="007A3600">
        <w:rPr>
          <w:i/>
          <w:iCs/>
        </w:rPr>
        <w:t xml:space="preserve"> </w:t>
      </w:r>
      <w:r w:rsidR="00036A8C" w:rsidRPr="007A3600">
        <w:t>(PGPA Rule)</w:t>
      </w:r>
    </w:p>
    <w:p w14:paraId="26A5224B" w14:textId="55B2EA3C" w:rsidR="00435A76" w:rsidRPr="007A3600" w:rsidRDefault="00A17F7A" w:rsidP="00AD3197">
      <w:r w:rsidRPr="007A3600">
        <w:t>Below is the table set out in Schedule 2A of the PGPA Rule. Section 17BE(u) requires that this table be included in entities’ annual reports.</w:t>
      </w:r>
    </w:p>
    <w:tbl>
      <w:tblPr>
        <w:tblStyle w:val="NDISTable1"/>
        <w:tblW w:w="5062" w:type="pct"/>
        <w:tblLayout w:type="fixed"/>
        <w:tblCellMar>
          <w:left w:w="57" w:type="dxa"/>
          <w:right w:w="57" w:type="dxa"/>
        </w:tblCellMar>
        <w:tblLook w:val="0420" w:firstRow="1" w:lastRow="0" w:firstColumn="0" w:lastColumn="0" w:noHBand="0" w:noVBand="1"/>
      </w:tblPr>
      <w:tblGrid>
        <w:gridCol w:w="1588"/>
        <w:gridCol w:w="1928"/>
        <w:gridCol w:w="3798"/>
        <w:gridCol w:w="1814"/>
      </w:tblGrid>
      <w:tr w:rsidR="0026718D" w:rsidRPr="007A3600" w14:paraId="7D2F5CCF" w14:textId="77777777" w:rsidTr="00AC0D30">
        <w:trPr>
          <w:cnfStyle w:val="100000000000" w:firstRow="1" w:lastRow="0" w:firstColumn="0" w:lastColumn="0" w:oddVBand="0" w:evenVBand="0" w:oddHBand="0" w:evenHBand="0" w:firstRowFirstColumn="0" w:firstRowLastColumn="0" w:lastRowFirstColumn="0" w:lastRowLastColumn="0"/>
        </w:trPr>
        <w:tc>
          <w:tcPr>
            <w:tcW w:w="1588" w:type="dxa"/>
          </w:tcPr>
          <w:p w14:paraId="0C343C60" w14:textId="30B5A283" w:rsidR="0039666F" w:rsidRPr="007A3600" w:rsidRDefault="0039666F" w:rsidP="00AD3197">
            <w:pPr>
              <w:pStyle w:val="TableBody"/>
            </w:pPr>
            <w:bookmarkStart w:id="335" w:name="_Hlk201672946"/>
            <w:bookmarkStart w:id="336" w:name="_Hlk201672751"/>
            <w:r w:rsidRPr="007A3600">
              <w:t>PGPA Rule Reference</w:t>
            </w:r>
          </w:p>
        </w:tc>
        <w:tc>
          <w:tcPr>
            <w:tcW w:w="1928" w:type="dxa"/>
          </w:tcPr>
          <w:p w14:paraId="4AFCD683" w14:textId="432855CE" w:rsidR="0039666F" w:rsidRPr="007A3600" w:rsidRDefault="0039666F" w:rsidP="00AD3197">
            <w:pPr>
              <w:pStyle w:val="TableBody"/>
            </w:pPr>
            <w:r w:rsidRPr="007A3600">
              <w:t>Part of report</w:t>
            </w:r>
          </w:p>
        </w:tc>
        <w:tc>
          <w:tcPr>
            <w:tcW w:w="3798" w:type="dxa"/>
          </w:tcPr>
          <w:p w14:paraId="4B0A7D78" w14:textId="7D708DFC" w:rsidR="0039666F" w:rsidRPr="007A3600" w:rsidRDefault="0039666F" w:rsidP="00AD3197">
            <w:pPr>
              <w:pStyle w:val="TableBody"/>
            </w:pPr>
            <w:r w:rsidRPr="007A3600">
              <w:t>Description</w:t>
            </w:r>
          </w:p>
        </w:tc>
        <w:tc>
          <w:tcPr>
            <w:tcW w:w="1814" w:type="dxa"/>
          </w:tcPr>
          <w:p w14:paraId="60BE3CCD" w14:textId="6203E7B1" w:rsidR="0039666F" w:rsidRPr="007A3600" w:rsidRDefault="0039666F" w:rsidP="00AD3197">
            <w:pPr>
              <w:pStyle w:val="TableBody"/>
            </w:pPr>
            <w:r w:rsidRPr="007A3600">
              <w:t>Requirement</w:t>
            </w:r>
          </w:p>
        </w:tc>
      </w:tr>
      <w:bookmarkEnd w:id="335"/>
      <w:tr w:rsidR="00D504AD" w:rsidRPr="007A3600" w14:paraId="2CEE7E6A"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1D087753" w14:textId="182EF5F0" w:rsidR="00760617" w:rsidRPr="007A3600" w:rsidRDefault="00760617" w:rsidP="00AD3197">
            <w:pPr>
              <w:pStyle w:val="TableBody"/>
              <w:rPr>
                <w:b/>
                <w:bCs/>
              </w:rPr>
            </w:pPr>
            <w:r w:rsidRPr="007A3600">
              <w:rPr>
                <w:b/>
                <w:bCs/>
                <w:color w:val="3B3B3B"/>
              </w:rPr>
              <w:t>17BE</w:t>
            </w:r>
          </w:p>
        </w:tc>
        <w:tc>
          <w:tcPr>
            <w:tcW w:w="1928" w:type="dxa"/>
          </w:tcPr>
          <w:p w14:paraId="68D66405" w14:textId="5C9DAB10" w:rsidR="00760617" w:rsidRPr="007A3600" w:rsidRDefault="00760617" w:rsidP="00AD3197">
            <w:pPr>
              <w:pStyle w:val="TableBody"/>
              <w:rPr>
                <w:color w:val="F7EEF7"/>
              </w:rPr>
            </w:pPr>
            <w:r w:rsidRPr="007A3600">
              <w:rPr>
                <w:color w:val="F7EEF7"/>
              </w:rPr>
              <w:t>blank</w:t>
            </w:r>
          </w:p>
        </w:tc>
        <w:tc>
          <w:tcPr>
            <w:tcW w:w="3798" w:type="dxa"/>
          </w:tcPr>
          <w:p w14:paraId="20E45A55" w14:textId="27B86B77" w:rsidR="00760617" w:rsidRPr="007A3600" w:rsidRDefault="00760617" w:rsidP="00AD3197">
            <w:pPr>
              <w:pStyle w:val="TableBody"/>
            </w:pPr>
            <w:r w:rsidRPr="007A3600">
              <w:rPr>
                <w:b/>
                <w:bCs/>
                <w:color w:val="3B3B3B"/>
              </w:rPr>
              <w:t>Contents of the annual report</w:t>
            </w:r>
          </w:p>
        </w:tc>
        <w:tc>
          <w:tcPr>
            <w:tcW w:w="1814" w:type="dxa"/>
          </w:tcPr>
          <w:p w14:paraId="03C80EDA" w14:textId="68FF8839" w:rsidR="00760617" w:rsidRPr="007A3600" w:rsidRDefault="00760617" w:rsidP="00AD3197">
            <w:pPr>
              <w:pStyle w:val="TableBody"/>
            </w:pPr>
            <w:r w:rsidRPr="007A3600">
              <w:rPr>
                <w:color w:val="F7EEF7"/>
              </w:rPr>
              <w:t>blank</w:t>
            </w:r>
          </w:p>
        </w:tc>
      </w:tr>
      <w:tr w:rsidR="009F56D7" w:rsidRPr="007A3600" w14:paraId="29202117" w14:textId="77777777" w:rsidTr="00AC0D30">
        <w:tc>
          <w:tcPr>
            <w:tcW w:w="1588" w:type="dxa"/>
          </w:tcPr>
          <w:p w14:paraId="54746B58" w14:textId="18416EF6" w:rsidR="00171211" w:rsidRPr="007A3600" w:rsidRDefault="00171211" w:rsidP="00AD3197">
            <w:pPr>
              <w:pStyle w:val="TableBody"/>
            </w:pPr>
            <w:r w:rsidRPr="007A3600">
              <w:rPr>
                <w:color w:val="3B3B3B"/>
              </w:rPr>
              <w:t>17BE(a)</w:t>
            </w:r>
          </w:p>
        </w:tc>
        <w:tc>
          <w:tcPr>
            <w:tcW w:w="1928" w:type="dxa"/>
          </w:tcPr>
          <w:p w14:paraId="1146E9B6" w14:textId="6F779051" w:rsidR="00171211" w:rsidRPr="007A3600" w:rsidRDefault="00F225D7" w:rsidP="00AD3197">
            <w:pPr>
              <w:pStyle w:val="TableBody"/>
            </w:pPr>
            <w:hyperlink w:anchor="_Enabling_legislation" w:history="1">
              <w:r w:rsidRPr="007A3600">
                <w:rPr>
                  <w:rStyle w:val="Hyperlink"/>
                </w:rPr>
                <w:t>Enabling legislation</w:t>
              </w:r>
            </w:hyperlink>
          </w:p>
        </w:tc>
        <w:tc>
          <w:tcPr>
            <w:tcW w:w="3798" w:type="dxa"/>
          </w:tcPr>
          <w:p w14:paraId="2B2E870C" w14:textId="432F5DA0" w:rsidR="00171211" w:rsidRPr="007A3600" w:rsidRDefault="00171211" w:rsidP="00AD3197">
            <w:pPr>
              <w:pStyle w:val="TableBody"/>
            </w:pPr>
            <w:r w:rsidRPr="007A3600">
              <w:rPr>
                <w:color w:val="3B3B3B"/>
              </w:rPr>
              <w:t>Details of the legislation establishing the body</w:t>
            </w:r>
          </w:p>
        </w:tc>
        <w:tc>
          <w:tcPr>
            <w:tcW w:w="1814" w:type="dxa"/>
          </w:tcPr>
          <w:p w14:paraId="68809D51" w14:textId="0B278C09" w:rsidR="00171211" w:rsidRPr="007A3600" w:rsidRDefault="00171211" w:rsidP="00AD3197">
            <w:pPr>
              <w:pStyle w:val="TableBody"/>
            </w:pPr>
            <w:r w:rsidRPr="007A3600">
              <w:rPr>
                <w:color w:val="3B3B3B"/>
              </w:rPr>
              <w:t>Mandatory</w:t>
            </w:r>
          </w:p>
        </w:tc>
      </w:tr>
      <w:tr w:rsidR="00D504AD" w:rsidRPr="007A3600" w14:paraId="256BF677"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50A24213" w14:textId="0733DEA2" w:rsidR="00171211" w:rsidRPr="007A3600" w:rsidRDefault="00171211" w:rsidP="00AD3197">
            <w:pPr>
              <w:pStyle w:val="TableBody"/>
            </w:pPr>
            <w:r w:rsidRPr="007A3600">
              <w:rPr>
                <w:color w:val="3B3B3B"/>
              </w:rPr>
              <w:t>17BE(b)(i)</w:t>
            </w:r>
          </w:p>
        </w:tc>
        <w:tc>
          <w:tcPr>
            <w:tcW w:w="1928" w:type="dxa"/>
          </w:tcPr>
          <w:p w14:paraId="3B9573E2" w14:textId="1B21D01F" w:rsidR="00171211" w:rsidRPr="007A3600" w:rsidRDefault="002E3698" w:rsidP="00AD3197">
            <w:pPr>
              <w:pStyle w:val="TableBody"/>
            </w:pPr>
            <w:hyperlink w:anchor="_NDIA_functions" w:history="1">
              <w:r w:rsidRPr="007A3600">
                <w:rPr>
                  <w:rStyle w:val="Hyperlink"/>
                </w:rPr>
                <w:t>NDIA functions</w:t>
              </w:r>
            </w:hyperlink>
          </w:p>
          <w:p w14:paraId="7BCDC11E" w14:textId="13514EA7" w:rsidR="002E3698" w:rsidRPr="007A3600" w:rsidRDefault="00F435AE" w:rsidP="00AD3197">
            <w:pPr>
              <w:pStyle w:val="TableBody"/>
            </w:pPr>
            <w:hyperlink w:anchor="_Enabling_legislation" w:history="1">
              <w:r w:rsidRPr="007A3600">
                <w:rPr>
                  <w:rStyle w:val="Hyperlink"/>
                </w:rPr>
                <w:t>Enabling legislation</w:t>
              </w:r>
            </w:hyperlink>
          </w:p>
        </w:tc>
        <w:tc>
          <w:tcPr>
            <w:tcW w:w="3798" w:type="dxa"/>
          </w:tcPr>
          <w:p w14:paraId="10A8D27C" w14:textId="6BF0AA84" w:rsidR="00171211" w:rsidRPr="007A3600" w:rsidRDefault="00171211" w:rsidP="00AD3197">
            <w:pPr>
              <w:pStyle w:val="TableBody"/>
            </w:pPr>
            <w:r w:rsidRPr="007A3600">
              <w:rPr>
                <w:color w:val="3B3B3B"/>
              </w:rPr>
              <w:t>A summary of the objects and functions of the entity as set out in legislation</w:t>
            </w:r>
          </w:p>
        </w:tc>
        <w:tc>
          <w:tcPr>
            <w:tcW w:w="1814" w:type="dxa"/>
          </w:tcPr>
          <w:p w14:paraId="1F76A385" w14:textId="0ACA769A" w:rsidR="00171211" w:rsidRPr="007A3600" w:rsidRDefault="00171211" w:rsidP="00AD3197">
            <w:pPr>
              <w:pStyle w:val="TableBody"/>
            </w:pPr>
            <w:r w:rsidRPr="007A3600">
              <w:rPr>
                <w:color w:val="3B3B3B"/>
              </w:rPr>
              <w:t>Mandatory</w:t>
            </w:r>
          </w:p>
        </w:tc>
      </w:tr>
      <w:tr w:rsidR="009F56D7" w:rsidRPr="007A3600" w14:paraId="3A353093" w14:textId="77777777" w:rsidTr="00AC0D30">
        <w:tc>
          <w:tcPr>
            <w:tcW w:w="1588" w:type="dxa"/>
          </w:tcPr>
          <w:p w14:paraId="6C901620" w14:textId="1434B41C" w:rsidR="00171211" w:rsidRPr="007A3600" w:rsidRDefault="00171211" w:rsidP="00AD3197">
            <w:pPr>
              <w:pStyle w:val="TableBody"/>
            </w:pPr>
            <w:r w:rsidRPr="007A3600">
              <w:rPr>
                <w:color w:val="3B3B3B"/>
              </w:rPr>
              <w:t>17BE(b)(ii)</w:t>
            </w:r>
          </w:p>
        </w:tc>
        <w:tc>
          <w:tcPr>
            <w:tcW w:w="1928" w:type="dxa"/>
          </w:tcPr>
          <w:p w14:paraId="6EADADBA" w14:textId="46C447E6" w:rsidR="00171211" w:rsidRPr="007A3600" w:rsidRDefault="006E77DA" w:rsidP="00AD3197">
            <w:pPr>
              <w:pStyle w:val="TableBody"/>
            </w:pPr>
            <w:hyperlink w:anchor="_2.11.3_The_National" w:history="1">
              <w:r w:rsidRPr="007A3600">
                <w:rPr>
                  <w:rStyle w:val="Hyperlink"/>
                </w:rPr>
                <w:t>1.3 The National Disability Insurance Agency</w:t>
              </w:r>
            </w:hyperlink>
          </w:p>
        </w:tc>
        <w:tc>
          <w:tcPr>
            <w:tcW w:w="3798" w:type="dxa"/>
          </w:tcPr>
          <w:p w14:paraId="17EEAC30" w14:textId="44EE588F" w:rsidR="00171211" w:rsidRPr="007A3600" w:rsidRDefault="00171211" w:rsidP="00AD3197">
            <w:pPr>
              <w:pStyle w:val="TableBody"/>
            </w:pPr>
            <w:r w:rsidRPr="007A3600">
              <w:rPr>
                <w:color w:val="3B3B3B"/>
              </w:rPr>
              <w:t>The purposes of the entity as included in the entity’s corporate plan for the reporting period</w:t>
            </w:r>
          </w:p>
        </w:tc>
        <w:tc>
          <w:tcPr>
            <w:tcW w:w="1814" w:type="dxa"/>
          </w:tcPr>
          <w:p w14:paraId="3A506B67" w14:textId="06C83D3F" w:rsidR="00171211" w:rsidRPr="007A3600" w:rsidRDefault="00171211" w:rsidP="00AD3197">
            <w:pPr>
              <w:pStyle w:val="TableBody"/>
            </w:pPr>
            <w:r w:rsidRPr="007A3600">
              <w:rPr>
                <w:color w:val="3B3B3B"/>
              </w:rPr>
              <w:t>Mandatory</w:t>
            </w:r>
          </w:p>
        </w:tc>
      </w:tr>
      <w:tr w:rsidR="00D504AD" w:rsidRPr="007A3600" w14:paraId="1D041895"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4D589497" w14:textId="4AE23E74" w:rsidR="00171211" w:rsidRPr="007A3600" w:rsidRDefault="00171211" w:rsidP="00AD3197">
            <w:pPr>
              <w:pStyle w:val="TableBody"/>
            </w:pPr>
            <w:r w:rsidRPr="007A3600">
              <w:rPr>
                <w:color w:val="3B3B3B"/>
              </w:rPr>
              <w:t>17BE(c)</w:t>
            </w:r>
          </w:p>
        </w:tc>
        <w:tc>
          <w:tcPr>
            <w:tcW w:w="1928" w:type="dxa"/>
          </w:tcPr>
          <w:p w14:paraId="5A4951BA" w14:textId="52FC81B9" w:rsidR="00171211" w:rsidRPr="007A3600" w:rsidRDefault="00AE6744" w:rsidP="00AD3197">
            <w:pPr>
              <w:pStyle w:val="TableBody"/>
            </w:pPr>
            <w:hyperlink w:anchor="_Responsible_Minister" w:history="1">
              <w:r w:rsidRPr="007A3600">
                <w:rPr>
                  <w:rStyle w:val="Hyperlink"/>
                </w:rPr>
                <w:t>Responsible Minister</w:t>
              </w:r>
            </w:hyperlink>
          </w:p>
        </w:tc>
        <w:tc>
          <w:tcPr>
            <w:tcW w:w="3798" w:type="dxa"/>
          </w:tcPr>
          <w:p w14:paraId="49D1237D" w14:textId="6482B431" w:rsidR="00171211" w:rsidRPr="007A3600" w:rsidRDefault="00171211" w:rsidP="00AD3197">
            <w:pPr>
              <w:pStyle w:val="TableBody"/>
            </w:pPr>
            <w:r w:rsidRPr="007A3600">
              <w:rPr>
                <w:color w:val="3B3B3B"/>
              </w:rPr>
              <w:t>The names of the persons holding the position of responsible Minister or responsible Ministers during the reporting period, and the titles of those responsible Ministers</w:t>
            </w:r>
          </w:p>
        </w:tc>
        <w:tc>
          <w:tcPr>
            <w:tcW w:w="1814" w:type="dxa"/>
          </w:tcPr>
          <w:p w14:paraId="774B40DB" w14:textId="0547A3A8" w:rsidR="00171211" w:rsidRPr="007A3600" w:rsidRDefault="00171211" w:rsidP="00AD3197">
            <w:pPr>
              <w:pStyle w:val="TableBody"/>
            </w:pPr>
            <w:r w:rsidRPr="007A3600">
              <w:rPr>
                <w:color w:val="3B3B3B"/>
              </w:rPr>
              <w:t>Mandatory</w:t>
            </w:r>
          </w:p>
        </w:tc>
      </w:tr>
      <w:tr w:rsidR="009F56D7" w:rsidRPr="007A3600" w14:paraId="342343C0" w14:textId="77777777" w:rsidTr="00AC0D30">
        <w:tc>
          <w:tcPr>
            <w:tcW w:w="1588" w:type="dxa"/>
          </w:tcPr>
          <w:p w14:paraId="165111C2" w14:textId="285E0E11" w:rsidR="00171211" w:rsidRPr="007A3600" w:rsidRDefault="00171211" w:rsidP="00AD3197">
            <w:pPr>
              <w:pStyle w:val="TableBody"/>
            </w:pPr>
            <w:r w:rsidRPr="007A3600">
              <w:rPr>
                <w:color w:val="3B3B3B"/>
              </w:rPr>
              <w:t>17BE(d)</w:t>
            </w:r>
          </w:p>
        </w:tc>
        <w:tc>
          <w:tcPr>
            <w:tcW w:w="1928" w:type="dxa"/>
          </w:tcPr>
          <w:p w14:paraId="3F230828" w14:textId="2AE0F164" w:rsidR="00171211" w:rsidRPr="007A3600" w:rsidRDefault="00AE6744" w:rsidP="00AD3197">
            <w:pPr>
              <w:pStyle w:val="TableBody"/>
            </w:pPr>
            <w:hyperlink w:anchor="_Ministerial_directions_and" w:history="1">
              <w:r w:rsidRPr="007A3600">
                <w:rPr>
                  <w:rStyle w:val="Hyperlink"/>
                </w:rPr>
                <w:t>Ministerial directions and government policy orders</w:t>
              </w:r>
            </w:hyperlink>
          </w:p>
        </w:tc>
        <w:tc>
          <w:tcPr>
            <w:tcW w:w="3798" w:type="dxa"/>
          </w:tcPr>
          <w:p w14:paraId="3DFCC7B7" w14:textId="3B4E7832" w:rsidR="00171211" w:rsidRPr="007A3600" w:rsidRDefault="00171211" w:rsidP="00AD3197">
            <w:pPr>
              <w:pStyle w:val="TableBody"/>
            </w:pPr>
            <w:r w:rsidRPr="007A3600">
              <w:rPr>
                <w:color w:val="3B3B3B"/>
              </w:rPr>
              <w:t>Directions given to the entity by the Minister under an Act or instrument during the reporting period</w:t>
            </w:r>
          </w:p>
        </w:tc>
        <w:tc>
          <w:tcPr>
            <w:tcW w:w="1814" w:type="dxa"/>
          </w:tcPr>
          <w:p w14:paraId="25868183" w14:textId="4C65DDB8" w:rsidR="00171211" w:rsidRPr="007A3600" w:rsidRDefault="00171211" w:rsidP="00AD3197">
            <w:pPr>
              <w:pStyle w:val="TableBody"/>
            </w:pPr>
            <w:r w:rsidRPr="007A3600">
              <w:rPr>
                <w:color w:val="3B3B3B"/>
              </w:rPr>
              <w:t>If applicable, mandatory</w:t>
            </w:r>
          </w:p>
        </w:tc>
      </w:tr>
      <w:tr w:rsidR="00D504AD" w:rsidRPr="007A3600" w14:paraId="1AC4368C"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118978BE" w14:textId="7AF7C796" w:rsidR="00171211" w:rsidRPr="007A3600" w:rsidRDefault="00171211" w:rsidP="00AD3197">
            <w:pPr>
              <w:pStyle w:val="TableBody"/>
            </w:pPr>
            <w:r w:rsidRPr="007A3600">
              <w:rPr>
                <w:color w:val="3B3B3B"/>
              </w:rPr>
              <w:t>17BE(e)</w:t>
            </w:r>
          </w:p>
        </w:tc>
        <w:tc>
          <w:tcPr>
            <w:tcW w:w="1928" w:type="dxa"/>
          </w:tcPr>
          <w:p w14:paraId="61E9C03A" w14:textId="431E5AF1" w:rsidR="00171211" w:rsidRPr="007A3600" w:rsidRDefault="00F2577E" w:rsidP="00AD3197">
            <w:pPr>
              <w:pStyle w:val="TableBody"/>
            </w:pPr>
            <w:hyperlink w:anchor="_Ministerial_directions_and" w:history="1">
              <w:r w:rsidRPr="007A3600">
                <w:rPr>
                  <w:rStyle w:val="Hyperlink"/>
                </w:rPr>
                <w:t>Ministerial directions and government policy orders</w:t>
              </w:r>
            </w:hyperlink>
          </w:p>
        </w:tc>
        <w:tc>
          <w:tcPr>
            <w:tcW w:w="3798" w:type="dxa"/>
          </w:tcPr>
          <w:p w14:paraId="5F805B8B" w14:textId="0EB0CD57" w:rsidR="00171211" w:rsidRPr="007A3600" w:rsidRDefault="00171211" w:rsidP="00AD3197">
            <w:pPr>
              <w:pStyle w:val="TableBody"/>
            </w:pPr>
            <w:r w:rsidRPr="007A3600">
              <w:rPr>
                <w:color w:val="3B3B3B"/>
              </w:rPr>
              <w:t>Any government policy order that applied in relation to the entity during the reporting period under section 22 of the Act</w:t>
            </w:r>
          </w:p>
        </w:tc>
        <w:tc>
          <w:tcPr>
            <w:tcW w:w="1814" w:type="dxa"/>
          </w:tcPr>
          <w:p w14:paraId="5A44C19B" w14:textId="2FC24239" w:rsidR="00171211" w:rsidRPr="007A3600" w:rsidRDefault="00171211" w:rsidP="00AD3197">
            <w:pPr>
              <w:pStyle w:val="TableBody"/>
            </w:pPr>
            <w:r w:rsidRPr="007A3600">
              <w:rPr>
                <w:color w:val="3B3B3B"/>
              </w:rPr>
              <w:t>If applicable, mandatory</w:t>
            </w:r>
          </w:p>
        </w:tc>
      </w:tr>
      <w:tr w:rsidR="009F56D7" w:rsidRPr="007A3600" w14:paraId="3D21269D" w14:textId="77777777" w:rsidTr="00AC0D30">
        <w:tc>
          <w:tcPr>
            <w:tcW w:w="1588" w:type="dxa"/>
          </w:tcPr>
          <w:p w14:paraId="11F29858" w14:textId="4A73405A" w:rsidR="00171211" w:rsidRPr="007A3600" w:rsidRDefault="00171211" w:rsidP="00AD3197">
            <w:pPr>
              <w:pStyle w:val="TableBody"/>
            </w:pPr>
            <w:r w:rsidRPr="007A3600">
              <w:rPr>
                <w:color w:val="3B3B3B"/>
              </w:rPr>
              <w:lastRenderedPageBreak/>
              <w:t>17BE(f)</w:t>
            </w:r>
          </w:p>
        </w:tc>
        <w:tc>
          <w:tcPr>
            <w:tcW w:w="1928" w:type="dxa"/>
          </w:tcPr>
          <w:p w14:paraId="22CB1048" w14:textId="1EFDD70D" w:rsidR="00171211" w:rsidRPr="007A3600" w:rsidRDefault="00F2577E" w:rsidP="00AD3197">
            <w:pPr>
              <w:pStyle w:val="TableBody"/>
            </w:pPr>
            <w:hyperlink w:anchor="_Ministerial_directions_and" w:history="1">
              <w:r w:rsidRPr="007A3600">
                <w:rPr>
                  <w:rStyle w:val="Hyperlink"/>
                </w:rPr>
                <w:t>Ministerial directions and government policy orders</w:t>
              </w:r>
            </w:hyperlink>
          </w:p>
        </w:tc>
        <w:tc>
          <w:tcPr>
            <w:tcW w:w="3798" w:type="dxa"/>
          </w:tcPr>
          <w:p w14:paraId="427886A6" w14:textId="77777777" w:rsidR="00171211" w:rsidRPr="007A3600" w:rsidRDefault="00171211" w:rsidP="00AD3197">
            <w:pPr>
              <w:spacing w:before="60" w:after="0"/>
              <w:rPr>
                <w:rFonts w:cs="Arial"/>
                <w:color w:val="3B3B3B"/>
              </w:rPr>
            </w:pPr>
            <w:r w:rsidRPr="007A3600">
              <w:rPr>
                <w:rFonts w:cs="Arial"/>
                <w:color w:val="3B3B3B"/>
              </w:rPr>
              <w:t>Particulars of non-compliance with:</w:t>
            </w:r>
          </w:p>
          <w:p w14:paraId="24D272DC" w14:textId="77777777" w:rsidR="00171211" w:rsidRPr="007A3600" w:rsidRDefault="00171211" w:rsidP="00AD3197">
            <w:pPr>
              <w:spacing w:before="60" w:after="0"/>
              <w:ind w:left="396" w:hanging="396"/>
              <w:rPr>
                <w:rFonts w:cs="Arial"/>
                <w:color w:val="3B3B3B"/>
              </w:rPr>
            </w:pPr>
            <w:r w:rsidRPr="007A3600">
              <w:rPr>
                <w:rFonts w:cs="Arial"/>
                <w:color w:val="3B3B3B"/>
              </w:rPr>
              <w:t>(a)</w:t>
            </w:r>
            <w:r w:rsidRPr="007A3600">
              <w:rPr>
                <w:rFonts w:cs="Arial"/>
                <w:color w:val="3B3B3B"/>
              </w:rPr>
              <w:tab/>
              <w:t>a direction given to the entity by the Minister under an Act or instrument during the reporting period; or</w:t>
            </w:r>
          </w:p>
          <w:p w14:paraId="633C695B" w14:textId="388D329F" w:rsidR="00171211" w:rsidRPr="007A3600" w:rsidRDefault="00171211" w:rsidP="00AD3197">
            <w:pPr>
              <w:spacing w:before="60" w:after="0"/>
              <w:ind w:left="396" w:hanging="396"/>
            </w:pPr>
            <w:r w:rsidRPr="007A3600">
              <w:rPr>
                <w:color w:val="3B3B3B"/>
              </w:rPr>
              <w:t>(b)</w:t>
            </w:r>
            <w:r w:rsidRPr="007A3600">
              <w:rPr>
                <w:color w:val="3B3B3B"/>
              </w:rPr>
              <w:tab/>
              <w:t xml:space="preserve">a government policy order that applied in relation to the entity during the </w:t>
            </w:r>
            <w:r w:rsidRPr="007A3600">
              <w:rPr>
                <w:rFonts w:cs="Arial"/>
                <w:color w:val="3B3B3B"/>
              </w:rPr>
              <w:t>reporting</w:t>
            </w:r>
            <w:r w:rsidRPr="007A3600">
              <w:rPr>
                <w:color w:val="3B3B3B"/>
              </w:rPr>
              <w:t xml:space="preserve"> period under section 22 of the Act</w:t>
            </w:r>
          </w:p>
        </w:tc>
        <w:tc>
          <w:tcPr>
            <w:tcW w:w="1814" w:type="dxa"/>
          </w:tcPr>
          <w:p w14:paraId="1FA2A1AD" w14:textId="1BDBC94B" w:rsidR="00171211" w:rsidRPr="007A3600" w:rsidRDefault="00171211" w:rsidP="00AD3197">
            <w:pPr>
              <w:pStyle w:val="TableBody"/>
            </w:pPr>
            <w:r w:rsidRPr="007A3600">
              <w:rPr>
                <w:color w:val="3B3B3B"/>
              </w:rPr>
              <w:t>If applicable, mandatory</w:t>
            </w:r>
          </w:p>
        </w:tc>
      </w:tr>
      <w:tr w:rsidR="00D504AD" w:rsidRPr="007A3600" w14:paraId="4AFAF927"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597F773E" w14:textId="59C5F951" w:rsidR="00171211" w:rsidRPr="007A3600" w:rsidRDefault="00171211" w:rsidP="00AD3197">
            <w:pPr>
              <w:pStyle w:val="TableBody"/>
            </w:pPr>
            <w:r w:rsidRPr="007A3600">
              <w:rPr>
                <w:color w:val="3B3B3B"/>
              </w:rPr>
              <w:t>17BE(g)</w:t>
            </w:r>
          </w:p>
        </w:tc>
        <w:tc>
          <w:tcPr>
            <w:tcW w:w="1928" w:type="dxa"/>
          </w:tcPr>
          <w:p w14:paraId="0A0E6882" w14:textId="3DA53BEA" w:rsidR="00171211" w:rsidRPr="007A3600" w:rsidRDefault="00644E1F" w:rsidP="00AD3197">
            <w:pPr>
              <w:pStyle w:val="TableBody"/>
            </w:pPr>
            <w:hyperlink w:anchor="_Section_2:_Annual" w:history="1">
              <w:r w:rsidRPr="007A3600">
                <w:rPr>
                  <w:rStyle w:val="Hyperlink"/>
                </w:rPr>
                <w:t>Section 2: Annual Performance statements</w:t>
              </w:r>
            </w:hyperlink>
          </w:p>
        </w:tc>
        <w:tc>
          <w:tcPr>
            <w:tcW w:w="3798" w:type="dxa"/>
          </w:tcPr>
          <w:p w14:paraId="65CBF4AD" w14:textId="1AFA85AC" w:rsidR="00171211" w:rsidRPr="007A3600" w:rsidRDefault="00171211" w:rsidP="00AD3197">
            <w:pPr>
              <w:pStyle w:val="TableBody"/>
            </w:pPr>
            <w:r w:rsidRPr="007A3600">
              <w:rPr>
                <w:color w:val="3B3B3B"/>
              </w:rPr>
              <w:t>Annual performance statements in accordance with paragraph 39(1)(b) of the Act and section 16F of the rule</w:t>
            </w:r>
          </w:p>
        </w:tc>
        <w:tc>
          <w:tcPr>
            <w:tcW w:w="1814" w:type="dxa"/>
          </w:tcPr>
          <w:p w14:paraId="5C768C8E" w14:textId="17E6EAE2" w:rsidR="00171211" w:rsidRPr="007A3600" w:rsidRDefault="00171211" w:rsidP="00AD3197">
            <w:pPr>
              <w:pStyle w:val="TableBody"/>
            </w:pPr>
            <w:r w:rsidRPr="007A3600">
              <w:rPr>
                <w:color w:val="3B3B3B"/>
              </w:rPr>
              <w:t>Mandatory</w:t>
            </w:r>
          </w:p>
        </w:tc>
      </w:tr>
      <w:tr w:rsidR="009F56D7" w:rsidRPr="007A3600" w14:paraId="12EF9402" w14:textId="77777777" w:rsidTr="00AC0D30">
        <w:tc>
          <w:tcPr>
            <w:tcW w:w="1588" w:type="dxa"/>
          </w:tcPr>
          <w:p w14:paraId="6825B93F" w14:textId="10CD99F3" w:rsidR="00171211" w:rsidRPr="007A3600" w:rsidRDefault="00171211" w:rsidP="00AD3197">
            <w:pPr>
              <w:pStyle w:val="TableBody"/>
            </w:pPr>
            <w:r w:rsidRPr="007A3600">
              <w:rPr>
                <w:color w:val="3B3B3B"/>
              </w:rPr>
              <w:t>17BE(h),</w:t>
            </w:r>
            <w:r w:rsidRPr="007A3600">
              <w:rPr>
                <w:color w:val="3B3B3B"/>
              </w:rPr>
              <w:br/>
              <w:t>17BE(i)</w:t>
            </w:r>
          </w:p>
        </w:tc>
        <w:tc>
          <w:tcPr>
            <w:tcW w:w="1928" w:type="dxa"/>
          </w:tcPr>
          <w:p w14:paraId="0A408F2A" w14:textId="1563C20A" w:rsidR="00171211" w:rsidRPr="007A3600" w:rsidRDefault="00FE537C" w:rsidP="00AD3197">
            <w:pPr>
              <w:pStyle w:val="TableBody"/>
            </w:pPr>
            <w:hyperlink w:anchor="_Related_entity_transactions" w:history="1">
              <w:r w:rsidRPr="007A3600">
                <w:rPr>
                  <w:rStyle w:val="Hyperlink"/>
                </w:rPr>
                <w:t>Significant noncompliance with the Finance Law</w:t>
              </w:r>
            </w:hyperlink>
          </w:p>
        </w:tc>
        <w:tc>
          <w:tcPr>
            <w:tcW w:w="3798" w:type="dxa"/>
          </w:tcPr>
          <w:p w14:paraId="69C0F999" w14:textId="3A97BB72" w:rsidR="00171211" w:rsidRPr="007A3600" w:rsidRDefault="00171211" w:rsidP="00AD3197">
            <w:pPr>
              <w:pStyle w:val="TableBody"/>
            </w:pPr>
            <w:r w:rsidRPr="007A3600">
              <w:rPr>
                <w:color w:val="3B3B3B"/>
              </w:rPr>
              <w:t>A statement of significant issues reported to the Minister under paragraph 19(1)(e) of the Act that relates to non-compliance with finance law and action taken to remedy non-compliance</w:t>
            </w:r>
          </w:p>
        </w:tc>
        <w:tc>
          <w:tcPr>
            <w:tcW w:w="1814" w:type="dxa"/>
          </w:tcPr>
          <w:p w14:paraId="2B345D64" w14:textId="69FED8C8" w:rsidR="00171211" w:rsidRPr="007A3600" w:rsidRDefault="00171211" w:rsidP="00AD3197">
            <w:pPr>
              <w:pStyle w:val="TableBody"/>
            </w:pPr>
            <w:r w:rsidRPr="007A3600">
              <w:rPr>
                <w:color w:val="3B3B3B"/>
              </w:rPr>
              <w:t>If applicable, mandatory</w:t>
            </w:r>
          </w:p>
        </w:tc>
      </w:tr>
      <w:tr w:rsidR="00D504AD" w:rsidRPr="007A3600" w14:paraId="1ECB91D7"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54CAF2C1" w14:textId="70CF5EB9" w:rsidR="00171211" w:rsidRPr="007A3600" w:rsidRDefault="00171211" w:rsidP="00AD3197">
            <w:pPr>
              <w:pStyle w:val="TableBody"/>
            </w:pPr>
            <w:r w:rsidRPr="007A3600">
              <w:rPr>
                <w:color w:val="3B3B3B"/>
              </w:rPr>
              <w:t>17BE(j)</w:t>
            </w:r>
          </w:p>
        </w:tc>
        <w:tc>
          <w:tcPr>
            <w:tcW w:w="1928" w:type="dxa"/>
          </w:tcPr>
          <w:p w14:paraId="08CFAC6F" w14:textId="677C689A" w:rsidR="00171211" w:rsidRPr="007A3600" w:rsidRDefault="00FE537C" w:rsidP="00AD3197">
            <w:pPr>
              <w:pStyle w:val="TableBody"/>
            </w:pPr>
            <w:hyperlink w:anchor="_8.1_Accountable_authority" w:history="1">
              <w:r w:rsidRPr="007A3600">
                <w:rPr>
                  <w:rStyle w:val="Hyperlink"/>
                </w:rPr>
                <w:t>8.1 Accountable authority</w:t>
              </w:r>
            </w:hyperlink>
          </w:p>
        </w:tc>
        <w:tc>
          <w:tcPr>
            <w:tcW w:w="3798" w:type="dxa"/>
          </w:tcPr>
          <w:p w14:paraId="2216DB65" w14:textId="5E71D8E4" w:rsidR="00171211" w:rsidRPr="007A3600" w:rsidRDefault="00171211" w:rsidP="00AD3197">
            <w:pPr>
              <w:pStyle w:val="TableBody"/>
            </w:pPr>
            <w:r w:rsidRPr="007A3600">
              <w:rPr>
                <w:color w:val="3B3B3B"/>
              </w:rPr>
              <w:t>Information on the accountable authority, or each member of the accountable authority, of the entity during the reporting period</w:t>
            </w:r>
          </w:p>
        </w:tc>
        <w:tc>
          <w:tcPr>
            <w:tcW w:w="1814" w:type="dxa"/>
          </w:tcPr>
          <w:p w14:paraId="61EB6697" w14:textId="509A7C11" w:rsidR="00171211" w:rsidRPr="007A3600" w:rsidRDefault="00171211" w:rsidP="00AD3197">
            <w:pPr>
              <w:pStyle w:val="TableBody"/>
            </w:pPr>
            <w:r w:rsidRPr="007A3600">
              <w:rPr>
                <w:color w:val="3B3B3B"/>
              </w:rPr>
              <w:t>Mandatory</w:t>
            </w:r>
          </w:p>
        </w:tc>
      </w:tr>
      <w:tr w:rsidR="009F56D7" w:rsidRPr="007A3600" w14:paraId="72C42BF5" w14:textId="77777777" w:rsidTr="00AC0D30">
        <w:tc>
          <w:tcPr>
            <w:tcW w:w="1588" w:type="dxa"/>
          </w:tcPr>
          <w:p w14:paraId="775694AC" w14:textId="51967ED4" w:rsidR="00171211" w:rsidRPr="007A3600" w:rsidRDefault="00171211" w:rsidP="00AD3197">
            <w:pPr>
              <w:pStyle w:val="TableBody"/>
            </w:pPr>
            <w:r w:rsidRPr="007A3600">
              <w:rPr>
                <w:color w:val="3B3B3B"/>
              </w:rPr>
              <w:t>17BE(k)</w:t>
            </w:r>
          </w:p>
        </w:tc>
        <w:tc>
          <w:tcPr>
            <w:tcW w:w="1928" w:type="dxa"/>
          </w:tcPr>
          <w:p w14:paraId="4F9290FB" w14:textId="0104711D" w:rsidR="00171211" w:rsidRPr="007A3600" w:rsidRDefault="00FE537C" w:rsidP="00AD3197">
            <w:pPr>
              <w:pStyle w:val="TableBody"/>
            </w:pPr>
            <w:hyperlink w:anchor="_Organisational_structure" w:history="1">
              <w:r w:rsidRPr="007A3600">
                <w:rPr>
                  <w:rStyle w:val="Hyperlink"/>
                </w:rPr>
                <w:t>Organisational structure</w:t>
              </w:r>
            </w:hyperlink>
          </w:p>
        </w:tc>
        <w:tc>
          <w:tcPr>
            <w:tcW w:w="3798" w:type="dxa"/>
          </w:tcPr>
          <w:p w14:paraId="44D0C8D2" w14:textId="158C5F03" w:rsidR="00171211" w:rsidRPr="007A3600" w:rsidRDefault="00171211" w:rsidP="00AD3197">
            <w:pPr>
              <w:pStyle w:val="TableBody"/>
            </w:pPr>
            <w:r w:rsidRPr="007A3600">
              <w:rPr>
                <w:color w:val="3B3B3B"/>
              </w:rPr>
              <w:t>Outline of the organisational structure of the entity (including any subsidiaries of the entity)</w:t>
            </w:r>
          </w:p>
        </w:tc>
        <w:tc>
          <w:tcPr>
            <w:tcW w:w="1814" w:type="dxa"/>
          </w:tcPr>
          <w:p w14:paraId="18B4FFC0" w14:textId="4525C151" w:rsidR="00171211" w:rsidRPr="007A3600" w:rsidRDefault="00171211" w:rsidP="00AD3197">
            <w:pPr>
              <w:pStyle w:val="TableBody"/>
            </w:pPr>
            <w:r w:rsidRPr="007A3600">
              <w:rPr>
                <w:color w:val="3B3B3B"/>
              </w:rPr>
              <w:t>Mandatory</w:t>
            </w:r>
          </w:p>
        </w:tc>
      </w:tr>
      <w:tr w:rsidR="00D504AD" w:rsidRPr="007A3600" w14:paraId="6744B7B9"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5D39FB17" w14:textId="5476285A" w:rsidR="00171211" w:rsidRPr="007A3600" w:rsidRDefault="00171211" w:rsidP="00AD3197">
            <w:pPr>
              <w:pStyle w:val="TableBody"/>
            </w:pPr>
            <w:r w:rsidRPr="007A3600">
              <w:rPr>
                <w:color w:val="3B3B3B"/>
              </w:rPr>
              <w:t>17BE(ka)</w:t>
            </w:r>
          </w:p>
        </w:tc>
        <w:tc>
          <w:tcPr>
            <w:tcW w:w="1928" w:type="dxa"/>
          </w:tcPr>
          <w:p w14:paraId="14629A4B" w14:textId="65E52280" w:rsidR="00171211" w:rsidRPr="007A3600" w:rsidRDefault="00277A09" w:rsidP="00AD3197">
            <w:pPr>
              <w:pStyle w:val="TableBody"/>
            </w:pPr>
            <w:hyperlink w:anchor="_8.2_Judicial_decisions" w:history="1">
              <w:r w:rsidRPr="007A3600">
                <w:rPr>
                  <w:rStyle w:val="Hyperlink"/>
                </w:rPr>
                <w:t>8.2 Workforce demographics</w:t>
              </w:r>
            </w:hyperlink>
          </w:p>
        </w:tc>
        <w:tc>
          <w:tcPr>
            <w:tcW w:w="3798" w:type="dxa"/>
          </w:tcPr>
          <w:p w14:paraId="53F6DC10" w14:textId="77777777" w:rsidR="00171211" w:rsidRPr="007A3600" w:rsidRDefault="00171211" w:rsidP="00AD3197">
            <w:pPr>
              <w:spacing w:before="60" w:after="0"/>
              <w:rPr>
                <w:rFonts w:cs="Arial"/>
                <w:color w:val="3B3B3B"/>
              </w:rPr>
            </w:pPr>
            <w:r w:rsidRPr="007A3600">
              <w:rPr>
                <w:rFonts w:cs="Arial"/>
                <w:color w:val="3B3B3B"/>
              </w:rPr>
              <w:t>Statistics on the entity’s employees on an ongoing and non-ongoing basis, including the following:</w:t>
            </w:r>
          </w:p>
          <w:p w14:paraId="406523B6" w14:textId="77777777" w:rsidR="00171211" w:rsidRPr="007A3600" w:rsidRDefault="00171211" w:rsidP="00AD3197">
            <w:pPr>
              <w:spacing w:before="60" w:after="0"/>
              <w:ind w:left="396" w:hanging="396"/>
              <w:rPr>
                <w:rFonts w:cs="Arial"/>
                <w:color w:val="3B3B3B"/>
              </w:rPr>
            </w:pPr>
            <w:r w:rsidRPr="007A3600">
              <w:rPr>
                <w:rFonts w:cs="Arial"/>
                <w:color w:val="3B3B3B"/>
              </w:rPr>
              <w:t>(a)</w:t>
            </w:r>
            <w:r w:rsidRPr="007A3600">
              <w:rPr>
                <w:rFonts w:cs="Arial"/>
                <w:color w:val="3B3B3B"/>
              </w:rPr>
              <w:tab/>
              <w:t xml:space="preserve"> statistics on full-time employees;</w:t>
            </w:r>
          </w:p>
          <w:p w14:paraId="0317C50D" w14:textId="77777777" w:rsidR="00171211" w:rsidRPr="007A3600" w:rsidRDefault="00171211" w:rsidP="00AD3197">
            <w:pPr>
              <w:spacing w:before="60" w:after="0"/>
              <w:ind w:left="396" w:hanging="396"/>
              <w:rPr>
                <w:rFonts w:cs="Arial"/>
                <w:color w:val="3B3B3B"/>
              </w:rPr>
            </w:pPr>
            <w:r w:rsidRPr="007A3600">
              <w:rPr>
                <w:rFonts w:cs="Arial"/>
                <w:color w:val="3B3B3B"/>
              </w:rPr>
              <w:t>(b)</w:t>
            </w:r>
            <w:r w:rsidRPr="007A3600">
              <w:rPr>
                <w:rFonts w:cs="Arial"/>
                <w:color w:val="3B3B3B"/>
              </w:rPr>
              <w:tab/>
              <w:t>statistics on part-time employees;</w:t>
            </w:r>
          </w:p>
          <w:p w14:paraId="41EF4596" w14:textId="77777777" w:rsidR="00171211" w:rsidRPr="007A3600" w:rsidRDefault="00171211" w:rsidP="00AD3197">
            <w:pPr>
              <w:spacing w:before="60" w:after="0"/>
              <w:ind w:left="396" w:hanging="396"/>
              <w:rPr>
                <w:rFonts w:cs="Arial"/>
                <w:color w:val="3B3B3B"/>
              </w:rPr>
            </w:pPr>
            <w:r w:rsidRPr="007A3600">
              <w:rPr>
                <w:rFonts w:cs="Arial"/>
                <w:color w:val="3B3B3B"/>
              </w:rPr>
              <w:t>(c)</w:t>
            </w:r>
            <w:r w:rsidRPr="007A3600">
              <w:rPr>
                <w:rFonts w:cs="Arial"/>
                <w:color w:val="3B3B3B"/>
              </w:rPr>
              <w:tab/>
              <w:t>statistics on gender;</w:t>
            </w:r>
          </w:p>
          <w:p w14:paraId="25C5E92B" w14:textId="134D5860" w:rsidR="00171211" w:rsidRPr="007A3600" w:rsidRDefault="00171211" w:rsidP="00AD3197">
            <w:pPr>
              <w:spacing w:before="60" w:after="0"/>
              <w:ind w:left="396" w:hanging="396"/>
            </w:pPr>
            <w:r w:rsidRPr="007A3600">
              <w:rPr>
                <w:color w:val="3B3B3B"/>
              </w:rPr>
              <w:t>(d)</w:t>
            </w:r>
            <w:r w:rsidRPr="007A3600">
              <w:rPr>
                <w:color w:val="3B3B3B"/>
              </w:rPr>
              <w:tab/>
            </w:r>
            <w:r w:rsidRPr="007A3600">
              <w:rPr>
                <w:rFonts w:cs="Arial"/>
                <w:color w:val="3B3B3B"/>
              </w:rPr>
              <w:t>statistics</w:t>
            </w:r>
            <w:r w:rsidRPr="007A3600">
              <w:rPr>
                <w:color w:val="3B3B3B"/>
              </w:rPr>
              <w:t xml:space="preserve"> on staff location</w:t>
            </w:r>
          </w:p>
        </w:tc>
        <w:tc>
          <w:tcPr>
            <w:tcW w:w="1814" w:type="dxa"/>
          </w:tcPr>
          <w:p w14:paraId="348ED9C2" w14:textId="19440CEE" w:rsidR="00171211" w:rsidRPr="007A3600" w:rsidRDefault="00171211" w:rsidP="00AD3197">
            <w:pPr>
              <w:pStyle w:val="TableBody"/>
            </w:pPr>
            <w:r w:rsidRPr="007A3600">
              <w:rPr>
                <w:color w:val="3B3B3B"/>
              </w:rPr>
              <w:t>Mandatory</w:t>
            </w:r>
          </w:p>
        </w:tc>
      </w:tr>
      <w:tr w:rsidR="009F56D7" w:rsidRPr="007A3600" w14:paraId="53CD9460" w14:textId="77777777" w:rsidTr="00AC0D30">
        <w:tc>
          <w:tcPr>
            <w:tcW w:w="1588" w:type="dxa"/>
          </w:tcPr>
          <w:p w14:paraId="38E6F4F8" w14:textId="62B0C6D3" w:rsidR="00171211" w:rsidRPr="007A3600" w:rsidRDefault="00171211" w:rsidP="00AD3197">
            <w:pPr>
              <w:pStyle w:val="TableBody"/>
            </w:pPr>
            <w:r w:rsidRPr="007A3600">
              <w:rPr>
                <w:color w:val="3B3B3B"/>
              </w:rPr>
              <w:lastRenderedPageBreak/>
              <w:t>17BE(l)</w:t>
            </w:r>
          </w:p>
        </w:tc>
        <w:tc>
          <w:tcPr>
            <w:tcW w:w="1928" w:type="dxa"/>
          </w:tcPr>
          <w:p w14:paraId="0F50A563" w14:textId="02B0FD97" w:rsidR="00171211" w:rsidRPr="007A3600" w:rsidRDefault="00FE537C" w:rsidP="00AD3197">
            <w:pPr>
              <w:pStyle w:val="TableBody"/>
            </w:pPr>
            <w:hyperlink w:anchor="_Location_of_major" w:history="1">
              <w:r w:rsidRPr="007A3600">
                <w:rPr>
                  <w:rStyle w:val="Hyperlink"/>
                </w:rPr>
                <w:t>Location of major activities or facilities</w:t>
              </w:r>
            </w:hyperlink>
          </w:p>
        </w:tc>
        <w:tc>
          <w:tcPr>
            <w:tcW w:w="3798" w:type="dxa"/>
          </w:tcPr>
          <w:p w14:paraId="23E591E5" w14:textId="32C8679E" w:rsidR="00171211" w:rsidRPr="007A3600" w:rsidRDefault="00171211" w:rsidP="00AD3197">
            <w:pPr>
              <w:pStyle w:val="TableBody"/>
            </w:pPr>
            <w:r w:rsidRPr="007A3600">
              <w:rPr>
                <w:color w:val="3B3B3B"/>
              </w:rPr>
              <w:t>Outline of the location (whether or not in Australia) of major activities or facilities of the entity</w:t>
            </w:r>
          </w:p>
        </w:tc>
        <w:tc>
          <w:tcPr>
            <w:tcW w:w="1814" w:type="dxa"/>
          </w:tcPr>
          <w:p w14:paraId="391ACA3F" w14:textId="4D3BDF81" w:rsidR="00171211" w:rsidRPr="007A3600" w:rsidRDefault="00171211" w:rsidP="00AD3197">
            <w:pPr>
              <w:pStyle w:val="TableBody"/>
            </w:pPr>
            <w:r w:rsidRPr="007A3600">
              <w:rPr>
                <w:color w:val="3B3B3B"/>
              </w:rPr>
              <w:t>Mandatory</w:t>
            </w:r>
          </w:p>
        </w:tc>
      </w:tr>
      <w:tr w:rsidR="00D504AD" w:rsidRPr="007A3600" w14:paraId="5BF3C7E5"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3439647A" w14:textId="0CFA402B" w:rsidR="00171211" w:rsidRPr="007A3600" w:rsidRDefault="00171211" w:rsidP="00AD3197">
            <w:pPr>
              <w:pStyle w:val="TableBody"/>
            </w:pPr>
            <w:r w:rsidRPr="007A3600">
              <w:rPr>
                <w:color w:val="3B3B3B"/>
              </w:rPr>
              <w:t>17BE(m)</w:t>
            </w:r>
          </w:p>
        </w:tc>
        <w:tc>
          <w:tcPr>
            <w:tcW w:w="1928" w:type="dxa"/>
          </w:tcPr>
          <w:p w14:paraId="18D07E1B" w14:textId="06F95809" w:rsidR="00171211" w:rsidRPr="007A3600" w:rsidRDefault="00277A09" w:rsidP="00AD3197">
            <w:pPr>
              <w:pStyle w:val="TableBody"/>
            </w:pPr>
            <w:hyperlink w:anchor="_Section_4:_Management" w:history="1">
              <w:r w:rsidRPr="007A3600">
                <w:rPr>
                  <w:rStyle w:val="Hyperlink"/>
                </w:rPr>
                <w:t>Section 4: Management and accountability</w:t>
              </w:r>
            </w:hyperlink>
          </w:p>
        </w:tc>
        <w:tc>
          <w:tcPr>
            <w:tcW w:w="3798" w:type="dxa"/>
          </w:tcPr>
          <w:p w14:paraId="118286DC" w14:textId="777C5F19" w:rsidR="00171211" w:rsidRPr="007A3600" w:rsidRDefault="00171211" w:rsidP="00AD3197">
            <w:pPr>
              <w:pStyle w:val="TableBody"/>
            </w:pPr>
            <w:r w:rsidRPr="007A3600">
              <w:rPr>
                <w:color w:val="3B3B3B"/>
              </w:rPr>
              <w:t>Information relating to the main corporate governance practices used by the entity during the reporting period</w:t>
            </w:r>
          </w:p>
        </w:tc>
        <w:tc>
          <w:tcPr>
            <w:tcW w:w="1814" w:type="dxa"/>
          </w:tcPr>
          <w:p w14:paraId="577C7079" w14:textId="79594C19" w:rsidR="00171211" w:rsidRPr="007A3600" w:rsidRDefault="00171211" w:rsidP="00AD3197">
            <w:pPr>
              <w:pStyle w:val="TableBody"/>
            </w:pPr>
            <w:r w:rsidRPr="007A3600">
              <w:rPr>
                <w:color w:val="3B3B3B"/>
              </w:rPr>
              <w:t>Mandatory</w:t>
            </w:r>
          </w:p>
        </w:tc>
      </w:tr>
      <w:tr w:rsidR="009F56D7" w:rsidRPr="007A3600" w14:paraId="0064DC96" w14:textId="77777777" w:rsidTr="00AC0D30">
        <w:tc>
          <w:tcPr>
            <w:tcW w:w="1588" w:type="dxa"/>
          </w:tcPr>
          <w:p w14:paraId="0E8FD2EF" w14:textId="71C94B66" w:rsidR="00171211" w:rsidRPr="007A3600" w:rsidRDefault="00171211" w:rsidP="00AD3197">
            <w:pPr>
              <w:pStyle w:val="TableBody"/>
            </w:pPr>
            <w:r w:rsidRPr="007A3600">
              <w:rPr>
                <w:color w:val="3B3B3B"/>
              </w:rPr>
              <w:t>17BE(n),</w:t>
            </w:r>
            <w:r w:rsidRPr="007A3600">
              <w:rPr>
                <w:color w:val="3B3B3B"/>
              </w:rPr>
              <w:br/>
              <w:t>17BE(o)</w:t>
            </w:r>
          </w:p>
        </w:tc>
        <w:tc>
          <w:tcPr>
            <w:tcW w:w="1928" w:type="dxa"/>
          </w:tcPr>
          <w:p w14:paraId="3E9BC8E8" w14:textId="5DD5222C" w:rsidR="00C026F6" w:rsidRPr="007A3600" w:rsidRDefault="00277A09" w:rsidP="00AD3197">
            <w:pPr>
              <w:pStyle w:val="TableBody"/>
            </w:pPr>
            <w:hyperlink w:anchor="_3.2_Financial_statements" w:history="1">
              <w:r w:rsidRPr="007A3600">
                <w:rPr>
                  <w:rStyle w:val="Hyperlink"/>
                </w:rPr>
                <w:t>7.2 Financial statements</w:t>
              </w:r>
            </w:hyperlink>
          </w:p>
        </w:tc>
        <w:tc>
          <w:tcPr>
            <w:tcW w:w="3798" w:type="dxa"/>
          </w:tcPr>
          <w:p w14:paraId="525E6CAF" w14:textId="77777777" w:rsidR="00171211" w:rsidRPr="007A3600" w:rsidRDefault="00171211" w:rsidP="00AD3197">
            <w:pPr>
              <w:spacing w:before="60" w:after="0"/>
              <w:rPr>
                <w:rFonts w:cs="Arial"/>
                <w:color w:val="3B3B3B"/>
              </w:rPr>
            </w:pPr>
            <w:r w:rsidRPr="007A3600">
              <w:rPr>
                <w:rFonts w:cs="Arial"/>
                <w:color w:val="3B3B3B"/>
              </w:rPr>
              <w:t>For transactions with a related Commonwealth entity or related company where the value of the transaction, or if there is more than one transaction, the aggregate of those transactions, is more than $10,000 (inclusive of GST):</w:t>
            </w:r>
          </w:p>
          <w:p w14:paraId="0B7C4D52" w14:textId="77777777" w:rsidR="00171211" w:rsidRPr="007A3600" w:rsidRDefault="00171211" w:rsidP="00AD3197">
            <w:pPr>
              <w:spacing w:before="60" w:after="0"/>
              <w:ind w:left="396" w:hanging="396"/>
              <w:rPr>
                <w:rFonts w:cs="Arial"/>
                <w:color w:val="3B3B3B"/>
              </w:rPr>
            </w:pPr>
            <w:r w:rsidRPr="007A3600">
              <w:rPr>
                <w:rFonts w:cs="Arial"/>
                <w:color w:val="3B3B3B"/>
              </w:rPr>
              <w:t>(a)</w:t>
            </w:r>
            <w:r w:rsidRPr="007A3600">
              <w:rPr>
                <w:rFonts w:cs="Arial"/>
                <w:color w:val="3B3B3B"/>
              </w:rPr>
              <w:tab/>
              <w:t>the decision-making process undertaken by the accountable authority to approve the entity paying for a good or service from, or providing a grant to, the related Commonwealth entity or related company; and</w:t>
            </w:r>
          </w:p>
          <w:p w14:paraId="79773AF4" w14:textId="3AAEEACD" w:rsidR="00171211" w:rsidRPr="007A3600" w:rsidRDefault="00171211" w:rsidP="00AD3197">
            <w:pPr>
              <w:pStyle w:val="TableBody"/>
              <w:ind w:left="397" w:hanging="397"/>
            </w:pPr>
            <w:r w:rsidRPr="007A3600">
              <w:rPr>
                <w:color w:val="3B3B3B"/>
              </w:rPr>
              <w:t>(b)</w:t>
            </w:r>
            <w:r w:rsidRPr="007A3600">
              <w:rPr>
                <w:color w:val="3B3B3B"/>
              </w:rPr>
              <w:tab/>
            </w:r>
            <w:r w:rsidRPr="007A3600">
              <w:rPr>
                <w:rFonts w:eastAsia="FSMePro"/>
                <w:color w:val="3B3B3B"/>
                <w:szCs w:val="24"/>
              </w:rPr>
              <w:t>the value of the transaction, or if there is more than one transaction, the number of transactions and the aggregate of value of the transactions</w:t>
            </w:r>
          </w:p>
        </w:tc>
        <w:tc>
          <w:tcPr>
            <w:tcW w:w="1814" w:type="dxa"/>
          </w:tcPr>
          <w:p w14:paraId="6E1D9833" w14:textId="63729429" w:rsidR="00171211" w:rsidRPr="007A3600" w:rsidRDefault="00171211" w:rsidP="00AD3197">
            <w:pPr>
              <w:pStyle w:val="TableBody"/>
            </w:pPr>
            <w:r w:rsidRPr="007A3600">
              <w:rPr>
                <w:color w:val="3B3B3B"/>
              </w:rPr>
              <w:t>If applicable, mandatory</w:t>
            </w:r>
          </w:p>
        </w:tc>
      </w:tr>
      <w:tr w:rsidR="00D504AD" w:rsidRPr="007A3600" w14:paraId="7F7E4894"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79935EB0" w14:textId="3DAAD2FE" w:rsidR="00171211" w:rsidRPr="007A3600" w:rsidRDefault="00171211" w:rsidP="00AD3197">
            <w:pPr>
              <w:pStyle w:val="TableBody"/>
            </w:pPr>
            <w:r w:rsidRPr="007A3600">
              <w:rPr>
                <w:color w:val="3B3B3B"/>
              </w:rPr>
              <w:t>17BE(p)</w:t>
            </w:r>
          </w:p>
        </w:tc>
        <w:tc>
          <w:tcPr>
            <w:tcW w:w="1928" w:type="dxa"/>
          </w:tcPr>
          <w:p w14:paraId="1B71416F" w14:textId="77777777" w:rsidR="00F435AE" w:rsidRPr="007A3600" w:rsidRDefault="00F435AE" w:rsidP="00AD3197">
            <w:pPr>
              <w:pStyle w:val="TableBody"/>
            </w:pPr>
            <w:hyperlink w:anchor="_Enabling_legislation" w:history="1">
              <w:r w:rsidRPr="007A3600">
                <w:rPr>
                  <w:rStyle w:val="Hyperlink"/>
                </w:rPr>
                <w:t>Enabling legislation</w:t>
              </w:r>
            </w:hyperlink>
          </w:p>
          <w:p w14:paraId="2A8D49C4" w14:textId="071BD067" w:rsidR="0063111F" w:rsidRPr="007A3600" w:rsidRDefault="00F2577E" w:rsidP="00AD3197">
            <w:pPr>
              <w:pStyle w:val="TableBody"/>
            </w:pPr>
            <w:hyperlink w:anchor="_Section_4:_Management" w:history="1">
              <w:r w:rsidRPr="007A3600">
                <w:rPr>
                  <w:rStyle w:val="Hyperlink"/>
                </w:rPr>
                <w:t>Section 4: Management and accountability</w:t>
              </w:r>
            </w:hyperlink>
          </w:p>
          <w:p w14:paraId="25A4701D" w14:textId="20D9A856" w:rsidR="00A3077B" w:rsidRPr="007A3600" w:rsidRDefault="00F2577E" w:rsidP="00AD3197">
            <w:pPr>
              <w:pStyle w:val="TableBody"/>
            </w:pPr>
            <w:hyperlink w:anchor="_3.2_Financial_statements" w:history="1">
              <w:r w:rsidRPr="007A3600">
                <w:rPr>
                  <w:rStyle w:val="Hyperlink"/>
                </w:rPr>
                <w:t>7.2 Financial statements</w:t>
              </w:r>
            </w:hyperlink>
          </w:p>
        </w:tc>
        <w:tc>
          <w:tcPr>
            <w:tcW w:w="3798" w:type="dxa"/>
          </w:tcPr>
          <w:p w14:paraId="306DCAD9" w14:textId="1362982B" w:rsidR="00171211" w:rsidRPr="007A3600" w:rsidRDefault="00171211" w:rsidP="00AD3197">
            <w:pPr>
              <w:pStyle w:val="TableBody"/>
            </w:pPr>
            <w:r w:rsidRPr="007A3600">
              <w:rPr>
                <w:color w:val="3B3B3B"/>
              </w:rPr>
              <w:t>Any significant activities and changes that affected the operation or structure of the entity during the reporting period</w:t>
            </w:r>
          </w:p>
        </w:tc>
        <w:tc>
          <w:tcPr>
            <w:tcW w:w="1814" w:type="dxa"/>
          </w:tcPr>
          <w:p w14:paraId="7F0BB727" w14:textId="42A000C2" w:rsidR="00171211" w:rsidRPr="007A3600" w:rsidRDefault="00171211" w:rsidP="00AD3197">
            <w:pPr>
              <w:pStyle w:val="TableBody"/>
            </w:pPr>
            <w:r w:rsidRPr="007A3600">
              <w:rPr>
                <w:color w:val="3B3B3B"/>
              </w:rPr>
              <w:t>If applicable, mandatory</w:t>
            </w:r>
          </w:p>
        </w:tc>
      </w:tr>
      <w:tr w:rsidR="009F56D7" w:rsidRPr="007A3600" w14:paraId="6B6C0052" w14:textId="77777777" w:rsidTr="00AC0D30">
        <w:tc>
          <w:tcPr>
            <w:tcW w:w="1588" w:type="dxa"/>
          </w:tcPr>
          <w:p w14:paraId="44826D00" w14:textId="0F49E547" w:rsidR="00171211" w:rsidRPr="007A3600" w:rsidRDefault="00171211" w:rsidP="00AD3197">
            <w:pPr>
              <w:pStyle w:val="TableBody"/>
            </w:pPr>
            <w:r w:rsidRPr="007A3600">
              <w:rPr>
                <w:color w:val="3B3B3B"/>
              </w:rPr>
              <w:lastRenderedPageBreak/>
              <w:t>17BE(q)</w:t>
            </w:r>
          </w:p>
        </w:tc>
        <w:tc>
          <w:tcPr>
            <w:tcW w:w="1928" w:type="dxa"/>
          </w:tcPr>
          <w:p w14:paraId="5A9C608E" w14:textId="498175A2" w:rsidR="00096BA3" w:rsidRPr="007A3600" w:rsidRDefault="00277A09" w:rsidP="00AD3197">
            <w:pPr>
              <w:pStyle w:val="TableBody"/>
            </w:pPr>
            <w:hyperlink w:anchor="_8.4_Judicial_decisions" w:history="1">
              <w:r w:rsidRPr="007A3600">
                <w:rPr>
                  <w:rStyle w:val="Hyperlink"/>
                </w:rPr>
                <w:t>8.4 Judicial decisions and external reviews</w:t>
              </w:r>
            </w:hyperlink>
          </w:p>
        </w:tc>
        <w:tc>
          <w:tcPr>
            <w:tcW w:w="3798" w:type="dxa"/>
          </w:tcPr>
          <w:p w14:paraId="3C311355" w14:textId="5D55768A" w:rsidR="00171211" w:rsidRPr="007A3600" w:rsidRDefault="00171211" w:rsidP="00AD3197">
            <w:pPr>
              <w:pStyle w:val="TableBody"/>
            </w:pPr>
            <w:r w:rsidRPr="007A3600">
              <w:rPr>
                <w:color w:val="3B3B3B"/>
              </w:rPr>
              <w:t>Particulars of judicial decisions or decisions of administrative tribunals that may have a significant effect on the operations of the entity</w:t>
            </w:r>
          </w:p>
        </w:tc>
        <w:tc>
          <w:tcPr>
            <w:tcW w:w="1814" w:type="dxa"/>
          </w:tcPr>
          <w:p w14:paraId="41BF855C" w14:textId="51EB03C0" w:rsidR="00171211" w:rsidRPr="007A3600" w:rsidRDefault="00171211" w:rsidP="00AD3197">
            <w:pPr>
              <w:pStyle w:val="TableBody"/>
            </w:pPr>
            <w:r w:rsidRPr="007A3600">
              <w:rPr>
                <w:color w:val="3B3B3B"/>
              </w:rPr>
              <w:t>If applicable, mandatory</w:t>
            </w:r>
          </w:p>
        </w:tc>
      </w:tr>
      <w:tr w:rsidR="00D504AD" w:rsidRPr="007A3600" w14:paraId="2F48A6DB"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2BD4AF2C" w14:textId="3FFBAE1F" w:rsidR="00171211" w:rsidRPr="007A3600" w:rsidRDefault="00171211" w:rsidP="00AD3197">
            <w:pPr>
              <w:pStyle w:val="TableBody"/>
            </w:pPr>
            <w:r w:rsidRPr="007A3600">
              <w:rPr>
                <w:color w:val="3B3B3B"/>
              </w:rPr>
              <w:t>17BE(r)</w:t>
            </w:r>
          </w:p>
        </w:tc>
        <w:tc>
          <w:tcPr>
            <w:tcW w:w="1928" w:type="dxa"/>
          </w:tcPr>
          <w:p w14:paraId="79CCC139" w14:textId="77777777" w:rsidR="00277A09" w:rsidRPr="007A3600" w:rsidRDefault="00277A09" w:rsidP="00AD3197">
            <w:pPr>
              <w:pStyle w:val="TableBody"/>
            </w:pPr>
            <w:hyperlink w:anchor="_8.4_Judicial_decisions" w:history="1">
              <w:r w:rsidRPr="007A3600">
                <w:rPr>
                  <w:rStyle w:val="Hyperlink"/>
                </w:rPr>
                <w:t>8.4 Judicial decisions and external reviews</w:t>
              </w:r>
            </w:hyperlink>
          </w:p>
          <w:p w14:paraId="0D86EAB4" w14:textId="77777777" w:rsidR="003A7428" w:rsidRPr="007A3600" w:rsidRDefault="0063111F" w:rsidP="00AD3197">
            <w:pPr>
              <w:pStyle w:val="TableBody"/>
            </w:pPr>
            <w:hyperlink w:anchor="_8.3_Reports_by" w:history="1">
              <w:r w:rsidRPr="007A3600">
                <w:rPr>
                  <w:rStyle w:val="Hyperlink"/>
                </w:rPr>
                <w:t>8.5 Parliamentary committee inquiries</w:t>
              </w:r>
            </w:hyperlink>
          </w:p>
          <w:p w14:paraId="19510307" w14:textId="10099E3F" w:rsidR="003A4C89" w:rsidRPr="007A3600" w:rsidRDefault="003A4C89" w:rsidP="00AD3197">
            <w:pPr>
              <w:pStyle w:val="TableBody"/>
            </w:pPr>
            <w:hyperlink w:anchor="_8.6_Royal_Commission" w:history="1">
              <w:r w:rsidRPr="007A3600">
                <w:rPr>
                  <w:rStyle w:val="Hyperlink"/>
                </w:rPr>
                <w:t>8.6 Royal Commission into Violence, Abuse, Neglect and Exploitation of People with Disability</w:t>
              </w:r>
            </w:hyperlink>
          </w:p>
        </w:tc>
        <w:tc>
          <w:tcPr>
            <w:tcW w:w="3798" w:type="dxa"/>
          </w:tcPr>
          <w:p w14:paraId="3553BF24" w14:textId="77777777" w:rsidR="00171211" w:rsidRPr="007A3600" w:rsidRDefault="00171211" w:rsidP="00AD3197">
            <w:pPr>
              <w:spacing w:before="60" w:after="0"/>
              <w:rPr>
                <w:rFonts w:cs="Arial"/>
                <w:color w:val="3B3B3B"/>
              </w:rPr>
            </w:pPr>
            <w:r w:rsidRPr="007A3600">
              <w:rPr>
                <w:rFonts w:cs="Arial"/>
                <w:color w:val="3B3B3B"/>
              </w:rPr>
              <w:t>Particulars of any reports on the entity given by:</w:t>
            </w:r>
          </w:p>
          <w:p w14:paraId="68D8A6C9" w14:textId="77777777" w:rsidR="00171211" w:rsidRPr="007A3600" w:rsidRDefault="00171211" w:rsidP="00AD3197">
            <w:pPr>
              <w:spacing w:before="60" w:after="0"/>
              <w:ind w:left="396" w:hanging="396"/>
              <w:rPr>
                <w:rFonts w:cs="Arial"/>
                <w:color w:val="3B3B3B"/>
              </w:rPr>
            </w:pPr>
            <w:r w:rsidRPr="007A3600">
              <w:rPr>
                <w:rFonts w:cs="Arial"/>
                <w:color w:val="3B3B3B"/>
              </w:rPr>
              <w:t>(a)</w:t>
            </w:r>
            <w:r w:rsidRPr="007A3600">
              <w:rPr>
                <w:rFonts w:cs="Arial"/>
                <w:color w:val="3B3B3B"/>
              </w:rPr>
              <w:tab/>
              <w:t>the Auditor-General (other than a report under section 43 of the Act); or</w:t>
            </w:r>
          </w:p>
          <w:p w14:paraId="5A835DA3" w14:textId="77777777" w:rsidR="00171211" w:rsidRPr="007A3600" w:rsidRDefault="00171211" w:rsidP="00AD3197">
            <w:pPr>
              <w:spacing w:before="60" w:after="0"/>
              <w:ind w:left="396" w:hanging="396"/>
              <w:rPr>
                <w:rFonts w:cs="Arial"/>
                <w:color w:val="3B3B3B"/>
              </w:rPr>
            </w:pPr>
            <w:r w:rsidRPr="007A3600">
              <w:rPr>
                <w:rFonts w:cs="Arial"/>
                <w:color w:val="3B3B3B"/>
              </w:rPr>
              <w:t>(b)</w:t>
            </w:r>
            <w:r w:rsidRPr="007A3600">
              <w:rPr>
                <w:rFonts w:cs="Arial"/>
                <w:color w:val="3B3B3B"/>
              </w:rPr>
              <w:tab/>
              <w:t>a Parliamentary Committee; or</w:t>
            </w:r>
          </w:p>
          <w:p w14:paraId="7CAC1046" w14:textId="77777777" w:rsidR="00171211" w:rsidRPr="007A3600" w:rsidRDefault="00171211" w:rsidP="00AD3197">
            <w:pPr>
              <w:spacing w:before="60" w:after="0"/>
              <w:ind w:left="396" w:hanging="396"/>
              <w:rPr>
                <w:rFonts w:cs="Arial"/>
                <w:color w:val="3B3B3B"/>
              </w:rPr>
            </w:pPr>
            <w:r w:rsidRPr="007A3600">
              <w:rPr>
                <w:rFonts w:cs="Arial"/>
                <w:color w:val="3B3B3B"/>
              </w:rPr>
              <w:t>(c)</w:t>
            </w:r>
            <w:r w:rsidRPr="007A3600">
              <w:rPr>
                <w:rFonts w:cs="Arial"/>
                <w:color w:val="3B3B3B"/>
              </w:rPr>
              <w:tab/>
              <w:t>the Commonwealth Ombudsman; or</w:t>
            </w:r>
          </w:p>
          <w:p w14:paraId="53EDE76D" w14:textId="6FF95A5E" w:rsidR="00171211" w:rsidRPr="007A3600" w:rsidRDefault="00171211" w:rsidP="00AD3197">
            <w:pPr>
              <w:spacing w:before="60" w:after="0"/>
              <w:ind w:left="396" w:hanging="396"/>
            </w:pPr>
            <w:r w:rsidRPr="007A3600">
              <w:rPr>
                <w:color w:val="3B3B3B"/>
              </w:rPr>
              <w:t>(d)</w:t>
            </w:r>
            <w:r w:rsidRPr="007A3600">
              <w:rPr>
                <w:color w:val="3B3B3B"/>
              </w:rPr>
              <w:tab/>
              <w:t>the Office of the Australian Information Commissioner</w:t>
            </w:r>
          </w:p>
        </w:tc>
        <w:tc>
          <w:tcPr>
            <w:tcW w:w="1814" w:type="dxa"/>
          </w:tcPr>
          <w:p w14:paraId="68D4302A" w14:textId="4C0CBB9D" w:rsidR="00171211" w:rsidRPr="007A3600" w:rsidRDefault="00171211" w:rsidP="00AD3197">
            <w:pPr>
              <w:pStyle w:val="TableBody"/>
            </w:pPr>
            <w:r w:rsidRPr="007A3600">
              <w:rPr>
                <w:color w:val="3B3B3B"/>
              </w:rPr>
              <w:t>If applicable, mandatory</w:t>
            </w:r>
          </w:p>
        </w:tc>
      </w:tr>
      <w:tr w:rsidR="009F56D7" w:rsidRPr="007A3600" w14:paraId="5B65468E" w14:textId="77777777" w:rsidTr="00AC0D30">
        <w:tc>
          <w:tcPr>
            <w:tcW w:w="1588" w:type="dxa"/>
          </w:tcPr>
          <w:p w14:paraId="27B649FA" w14:textId="1F864C6E" w:rsidR="00171211" w:rsidRPr="007A3600" w:rsidRDefault="00171211" w:rsidP="00AD3197">
            <w:pPr>
              <w:pStyle w:val="TableBody"/>
            </w:pPr>
            <w:r w:rsidRPr="007A3600">
              <w:rPr>
                <w:color w:val="3B3B3B"/>
              </w:rPr>
              <w:t>17BE(s)</w:t>
            </w:r>
          </w:p>
        </w:tc>
        <w:tc>
          <w:tcPr>
            <w:tcW w:w="1928" w:type="dxa"/>
          </w:tcPr>
          <w:p w14:paraId="1740CC4C" w14:textId="4C9D767B" w:rsidR="00171211" w:rsidRPr="007A3600" w:rsidRDefault="00357A43" w:rsidP="00AD3197">
            <w:pPr>
              <w:pStyle w:val="TableBody"/>
            </w:pPr>
            <w:r w:rsidRPr="007A3600">
              <w:t>N/A</w:t>
            </w:r>
          </w:p>
        </w:tc>
        <w:tc>
          <w:tcPr>
            <w:tcW w:w="3798" w:type="dxa"/>
          </w:tcPr>
          <w:p w14:paraId="2BEA363C" w14:textId="32B169F2" w:rsidR="00171211" w:rsidRPr="007A3600" w:rsidRDefault="00171211" w:rsidP="00AD3197">
            <w:pPr>
              <w:pStyle w:val="TableBody"/>
            </w:pPr>
            <w:r w:rsidRPr="007A3600">
              <w:rPr>
                <w:color w:val="3B3B3B"/>
              </w:rPr>
              <w:t>An explanation of information not obtained from a subsidiary of the entity and the effect of not having the information on the annual report</w:t>
            </w:r>
          </w:p>
        </w:tc>
        <w:tc>
          <w:tcPr>
            <w:tcW w:w="1814" w:type="dxa"/>
          </w:tcPr>
          <w:p w14:paraId="532F5F3B" w14:textId="66BA9CC7" w:rsidR="00171211" w:rsidRPr="007A3600" w:rsidRDefault="00171211" w:rsidP="00AD3197">
            <w:pPr>
              <w:pStyle w:val="TableBody"/>
            </w:pPr>
            <w:r w:rsidRPr="007A3600">
              <w:rPr>
                <w:color w:val="3B3B3B"/>
              </w:rPr>
              <w:t>If applicable, mandatory</w:t>
            </w:r>
          </w:p>
        </w:tc>
      </w:tr>
      <w:tr w:rsidR="00D504AD" w:rsidRPr="007A3600" w14:paraId="5B044B70"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1B7C86FC" w14:textId="76DBC011" w:rsidR="00171211" w:rsidRPr="007A3600" w:rsidRDefault="00171211" w:rsidP="00AD3197">
            <w:pPr>
              <w:pStyle w:val="TableBody"/>
            </w:pPr>
            <w:r w:rsidRPr="007A3600">
              <w:rPr>
                <w:color w:val="3B3B3B"/>
              </w:rPr>
              <w:t>17BE(t)</w:t>
            </w:r>
          </w:p>
        </w:tc>
        <w:tc>
          <w:tcPr>
            <w:tcW w:w="1928" w:type="dxa"/>
          </w:tcPr>
          <w:p w14:paraId="135328C6" w14:textId="79228A26" w:rsidR="00171211" w:rsidRPr="007A3600" w:rsidRDefault="00357A43" w:rsidP="00AD3197">
            <w:pPr>
              <w:pStyle w:val="TableBody"/>
            </w:pPr>
            <w:hyperlink w:anchor="_Indemnities_and_insurance" w:history="1">
              <w:r w:rsidRPr="007A3600">
                <w:rPr>
                  <w:rStyle w:val="Hyperlink"/>
                </w:rPr>
                <w:t>Indemnities and insurance premiums</w:t>
              </w:r>
            </w:hyperlink>
          </w:p>
        </w:tc>
        <w:tc>
          <w:tcPr>
            <w:tcW w:w="3798" w:type="dxa"/>
          </w:tcPr>
          <w:p w14:paraId="784FF963" w14:textId="5B3A2C46" w:rsidR="00171211" w:rsidRPr="007A3600" w:rsidRDefault="00171211" w:rsidP="00AD3197">
            <w:pPr>
              <w:pStyle w:val="TableBody"/>
            </w:pPr>
            <w:r w:rsidRPr="007A3600">
              <w:rPr>
                <w:color w:val="3B3B3B"/>
              </w:rPr>
              <w:t>Details of any indemnity that applied during the reporting period to the accountable authority, any member of the accountable authority or officer of the entity against a liability (including premiums paid, or agreed to be paid, for insurance against the authority, member or officer’s liability for legal costs)</w:t>
            </w:r>
          </w:p>
        </w:tc>
        <w:tc>
          <w:tcPr>
            <w:tcW w:w="1814" w:type="dxa"/>
          </w:tcPr>
          <w:p w14:paraId="2F1F336B" w14:textId="4582CB93" w:rsidR="00171211" w:rsidRPr="007A3600" w:rsidRDefault="00171211" w:rsidP="00AD3197">
            <w:pPr>
              <w:pStyle w:val="TableBody"/>
            </w:pPr>
            <w:r w:rsidRPr="007A3600">
              <w:rPr>
                <w:color w:val="3B3B3B"/>
              </w:rPr>
              <w:t>If applicable, mandatory</w:t>
            </w:r>
          </w:p>
        </w:tc>
      </w:tr>
      <w:tr w:rsidR="009F56D7" w:rsidRPr="007A3600" w14:paraId="007D527B" w14:textId="77777777" w:rsidTr="00AC0D30">
        <w:tc>
          <w:tcPr>
            <w:tcW w:w="1588" w:type="dxa"/>
          </w:tcPr>
          <w:p w14:paraId="2C65E44C" w14:textId="45C89E38" w:rsidR="00171211" w:rsidRPr="007A3600" w:rsidRDefault="00171211" w:rsidP="00AD3197">
            <w:pPr>
              <w:pStyle w:val="TableBody"/>
            </w:pPr>
            <w:r w:rsidRPr="007A3600">
              <w:rPr>
                <w:color w:val="3B3B3B"/>
              </w:rPr>
              <w:lastRenderedPageBreak/>
              <w:t>17BE(taa)</w:t>
            </w:r>
          </w:p>
        </w:tc>
        <w:tc>
          <w:tcPr>
            <w:tcW w:w="1928" w:type="dxa"/>
          </w:tcPr>
          <w:p w14:paraId="5BF3FC9E" w14:textId="4943B9D4" w:rsidR="00171211" w:rsidRPr="007A3600" w:rsidRDefault="00B469C0" w:rsidP="00AD3197">
            <w:pPr>
              <w:pStyle w:val="TableBody"/>
            </w:pPr>
            <w:hyperlink w:anchor="_5.3_Board_committees" w:history="1">
              <w:r w:rsidRPr="007A3600">
                <w:rPr>
                  <w:rStyle w:val="Hyperlink"/>
                </w:rPr>
                <w:t>4.3 Board committees</w:t>
              </w:r>
            </w:hyperlink>
          </w:p>
        </w:tc>
        <w:tc>
          <w:tcPr>
            <w:tcW w:w="3798" w:type="dxa"/>
          </w:tcPr>
          <w:p w14:paraId="3C6A9FB0" w14:textId="77777777" w:rsidR="00171211" w:rsidRPr="007A3600" w:rsidRDefault="00171211" w:rsidP="00AD3197">
            <w:pPr>
              <w:spacing w:before="60" w:after="0"/>
              <w:rPr>
                <w:rFonts w:cs="Arial"/>
                <w:color w:val="3B3B3B"/>
              </w:rPr>
            </w:pPr>
            <w:r w:rsidRPr="007A3600">
              <w:rPr>
                <w:rFonts w:cs="Arial"/>
                <w:color w:val="3B3B3B"/>
              </w:rPr>
              <w:t>The following information about the audit committee for  the entity:</w:t>
            </w:r>
          </w:p>
          <w:p w14:paraId="617CF881" w14:textId="77777777" w:rsidR="00171211" w:rsidRPr="007A3600" w:rsidRDefault="00171211" w:rsidP="00AD3197">
            <w:pPr>
              <w:spacing w:before="60" w:after="0"/>
              <w:ind w:left="396" w:hanging="396"/>
              <w:rPr>
                <w:rFonts w:cs="Arial"/>
                <w:color w:val="3B3B3B"/>
              </w:rPr>
            </w:pPr>
            <w:r w:rsidRPr="007A3600">
              <w:rPr>
                <w:rFonts w:cs="Arial"/>
                <w:color w:val="3B3B3B"/>
              </w:rPr>
              <w:t>(a)</w:t>
            </w:r>
            <w:r w:rsidRPr="007A3600">
              <w:rPr>
                <w:rFonts w:cs="Arial"/>
                <w:color w:val="3B3B3B"/>
              </w:rPr>
              <w:tab/>
              <w:t>a direct electronic address of the charter determining  the functions of the audit committee;</w:t>
            </w:r>
          </w:p>
          <w:p w14:paraId="12565757" w14:textId="77777777" w:rsidR="00171211" w:rsidRPr="007A3600" w:rsidRDefault="00171211" w:rsidP="00AD3197">
            <w:pPr>
              <w:spacing w:before="60" w:after="0"/>
              <w:ind w:left="396" w:hanging="396"/>
              <w:rPr>
                <w:rFonts w:cs="Arial"/>
                <w:color w:val="3B3B3B"/>
              </w:rPr>
            </w:pPr>
            <w:r w:rsidRPr="007A3600">
              <w:rPr>
                <w:rFonts w:cs="Arial"/>
                <w:color w:val="3B3B3B"/>
              </w:rPr>
              <w:t>(b)</w:t>
            </w:r>
            <w:r w:rsidRPr="007A3600">
              <w:rPr>
                <w:rFonts w:cs="Arial"/>
                <w:color w:val="3B3B3B"/>
              </w:rPr>
              <w:tab/>
              <w:t>the name of each member of the audit committee;</w:t>
            </w:r>
          </w:p>
          <w:p w14:paraId="15615C5B" w14:textId="157E9050" w:rsidR="00171211" w:rsidRPr="007A3600" w:rsidRDefault="00171211" w:rsidP="00AD3197">
            <w:pPr>
              <w:spacing w:before="60" w:after="0"/>
              <w:ind w:left="396" w:hanging="396"/>
              <w:rPr>
                <w:rFonts w:cs="Arial"/>
                <w:color w:val="3B3B3B"/>
              </w:rPr>
            </w:pPr>
            <w:r w:rsidRPr="007A3600">
              <w:rPr>
                <w:rFonts w:cs="Arial"/>
                <w:color w:val="3B3B3B"/>
              </w:rPr>
              <w:t>(c)</w:t>
            </w:r>
            <w:r w:rsidRPr="007A3600">
              <w:rPr>
                <w:rFonts w:cs="Arial"/>
                <w:color w:val="3B3B3B"/>
              </w:rPr>
              <w:tab/>
              <w:t>the qualifications, knowledge, skills or experience of each member of the audit committee;</w:t>
            </w:r>
          </w:p>
          <w:p w14:paraId="5320C7EE" w14:textId="0A08FA7F" w:rsidR="00171211" w:rsidRPr="007A3600" w:rsidRDefault="00171211" w:rsidP="00AD3197">
            <w:pPr>
              <w:spacing w:before="60" w:after="0"/>
              <w:ind w:left="396" w:hanging="396"/>
              <w:rPr>
                <w:rFonts w:cs="Arial"/>
                <w:color w:val="3B3B3B"/>
              </w:rPr>
            </w:pPr>
            <w:r w:rsidRPr="007A3600">
              <w:rPr>
                <w:rFonts w:cs="Arial"/>
                <w:color w:val="3B3B3B"/>
              </w:rPr>
              <w:t>(d)</w:t>
            </w:r>
            <w:r w:rsidRPr="007A3600">
              <w:rPr>
                <w:rFonts w:cs="Arial"/>
                <w:color w:val="3B3B3B"/>
              </w:rPr>
              <w:tab/>
              <w:t>information about each member’s attendance at meetings of the audit committee;</w:t>
            </w:r>
          </w:p>
          <w:p w14:paraId="3A2F1E67" w14:textId="30D75B78" w:rsidR="00171211" w:rsidRPr="007A3600" w:rsidRDefault="00171211" w:rsidP="00AD3197">
            <w:pPr>
              <w:spacing w:before="60" w:after="0"/>
              <w:ind w:left="396" w:hanging="396"/>
            </w:pPr>
            <w:r w:rsidRPr="007A3600">
              <w:rPr>
                <w:color w:val="3B3B3B"/>
              </w:rPr>
              <w:t>(e)</w:t>
            </w:r>
            <w:r w:rsidRPr="007A3600">
              <w:rPr>
                <w:color w:val="3B3B3B"/>
              </w:rPr>
              <w:tab/>
              <w:t xml:space="preserve">the </w:t>
            </w:r>
            <w:r w:rsidRPr="007A3600">
              <w:rPr>
                <w:rFonts w:cs="Arial"/>
                <w:color w:val="3B3B3B"/>
              </w:rPr>
              <w:t>remuneration</w:t>
            </w:r>
            <w:r w:rsidRPr="007A3600">
              <w:rPr>
                <w:color w:val="3B3B3B"/>
              </w:rPr>
              <w:t xml:space="preserve"> of each member of the audit committee</w:t>
            </w:r>
          </w:p>
        </w:tc>
        <w:tc>
          <w:tcPr>
            <w:tcW w:w="1814" w:type="dxa"/>
          </w:tcPr>
          <w:p w14:paraId="3CAE2990" w14:textId="1F313792" w:rsidR="00171211" w:rsidRPr="007A3600" w:rsidRDefault="00171211" w:rsidP="00AD3197">
            <w:pPr>
              <w:pStyle w:val="TableBody"/>
            </w:pPr>
            <w:r w:rsidRPr="007A3600">
              <w:rPr>
                <w:color w:val="3B3B3B"/>
              </w:rPr>
              <w:t>Mandatory</w:t>
            </w:r>
          </w:p>
        </w:tc>
      </w:tr>
      <w:tr w:rsidR="00D504AD" w:rsidRPr="007A3600" w14:paraId="38E78CF7"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2271833A" w14:textId="3E2D9EE0" w:rsidR="00171211" w:rsidRPr="007A3600" w:rsidRDefault="00171211" w:rsidP="00AD3197">
            <w:pPr>
              <w:pStyle w:val="TableBody"/>
            </w:pPr>
            <w:r w:rsidRPr="007A3600">
              <w:rPr>
                <w:color w:val="3B3B3B"/>
              </w:rPr>
              <w:t>17BE(ta)</w:t>
            </w:r>
          </w:p>
        </w:tc>
        <w:tc>
          <w:tcPr>
            <w:tcW w:w="1928" w:type="dxa"/>
          </w:tcPr>
          <w:p w14:paraId="01459A21" w14:textId="1E1F770F" w:rsidR="00171211" w:rsidRPr="007A3600" w:rsidRDefault="00B469C0" w:rsidP="00AD3197">
            <w:pPr>
              <w:pStyle w:val="TableBody"/>
            </w:pPr>
            <w:hyperlink w:anchor="_6.8_Executive_remuneration" w:history="1">
              <w:r w:rsidRPr="007A3600">
                <w:rPr>
                  <w:rStyle w:val="Hyperlink"/>
                </w:rPr>
                <w:t>5.7 Executive remuneration</w:t>
              </w:r>
            </w:hyperlink>
          </w:p>
          <w:p w14:paraId="77C41026" w14:textId="1828F814" w:rsidR="00B469C0" w:rsidRPr="007A3600" w:rsidRDefault="00B469C0" w:rsidP="00AD3197">
            <w:pPr>
              <w:pStyle w:val="TableBody"/>
            </w:pPr>
            <w:hyperlink w:anchor="_8.3_Remuneration_tables" w:history="1">
              <w:r w:rsidRPr="007A3600">
                <w:rPr>
                  <w:rStyle w:val="Hyperlink"/>
                </w:rPr>
                <w:t>8.3 Remuneration tables</w:t>
              </w:r>
            </w:hyperlink>
          </w:p>
        </w:tc>
        <w:tc>
          <w:tcPr>
            <w:tcW w:w="3798" w:type="dxa"/>
          </w:tcPr>
          <w:p w14:paraId="37AC77F8" w14:textId="7734D21C" w:rsidR="00171211" w:rsidRPr="007A3600" w:rsidRDefault="00171211" w:rsidP="00AD3197">
            <w:pPr>
              <w:pStyle w:val="TableBody"/>
            </w:pPr>
            <w:r w:rsidRPr="007A3600">
              <w:rPr>
                <w:color w:val="3B3B3B"/>
              </w:rPr>
              <w:t>Information about executive remuneration</w:t>
            </w:r>
          </w:p>
        </w:tc>
        <w:tc>
          <w:tcPr>
            <w:tcW w:w="1814" w:type="dxa"/>
          </w:tcPr>
          <w:p w14:paraId="6E8329CD" w14:textId="406D7B1A" w:rsidR="00171211" w:rsidRPr="007A3600" w:rsidRDefault="00171211" w:rsidP="00AD3197">
            <w:pPr>
              <w:pStyle w:val="TableBody"/>
            </w:pPr>
            <w:r w:rsidRPr="007A3600">
              <w:rPr>
                <w:color w:val="3B3B3B"/>
              </w:rPr>
              <w:t>Mandatory</w:t>
            </w:r>
          </w:p>
        </w:tc>
      </w:tr>
      <w:tr w:rsidR="009F56D7" w:rsidRPr="007A3600" w14:paraId="722FCF66" w14:textId="77777777" w:rsidTr="00AC0D30">
        <w:tc>
          <w:tcPr>
            <w:tcW w:w="1588" w:type="dxa"/>
          </w:tcPr>
          <w:p w14:paraId="39842689" w14:textId="73DC9BB3" w:rsidR="00171211" w:rsidRPr="007A3600" w:rsidRDefault="00171211" w:rsidP="00AD3197">
            <w:pPr>
              <w:pStyle w:val="TableBody"/>
              <w:rPr>
                <w:b/>
                <w:bCs/>
              </w:rPr>
            </w:pPr>
            <w:r w:rsidRPr="007A3600">
              <w:rPr>
                <w:b/>
                <w:bCs/>
                <w:lang w:val="en-GB"/>
              </w:rPr>
              <w:t>17BF</w:t>
            </w:r>
          </w:p>
        </w:tc>
        <w:tc>
          <w:tcPr>
            <w:tcW w:w="1928" w:type="dxa"/>
          </w:tcPr>
          <w:p w14:paraId="1DC731B5" w14:textId="11455C43" w:rsidR="00171211" w:rsidRPr="007A3600" w:rsidRDefault="00171211" w:rsidP="00AD3197">
            <w:pPr>
              <w:pStyle w:val="TableBody"/>
            </w:pPr>
            <w:r w:rsidRPr="007A3600">
              <w:rPr>
                <w:color w:val="FFFFFF"/>
                <w:lang w:val="en-GB"/>
              </w:rPr>
              <w:t>blank</w:t>
            </w:r>
          </w:p>
        </w:tc>
        <w:tc>
          <w:tcPr>
            <w:tcW w:w="3798" w:type="dxa"/>
          </w:tcPr>
          <w:p w14:paraId="7DCAC1B8" w14:textId="5A340941" w:rsidR="00171211" w:rsidRPr="007A3600" w:rsidRDefault="00171211" w:rsidP="00AD3197">
            <w:pPr>
              <w:pStyle w:val="TableBody"/>
            </w:pPr>
            <w:r w:rsidRPr="007A3600">
              <w:rPr>
                <w:b/>
                <w:bCs/>
                <w:lang w:val="en-GB"/>
              </w:rPr>
              <w:t>Disclosure requirements for government business enterprises</w:t>
            </w:r>
          </w:p>
        </w:tc>
        <w:tc>
          <w:tcPr>
            <w:tcW w:w="1814" w:type="dxa"/>
          </w:tcPr>
          <w:p w14:paraId="6676AF4B" w14:textId="1953F688" w:rsidR="00171211" w:rsidRPr="007A3600" w:rsidRDefault="00171211" w:rsidP="00AD3197">
            <w:pPr>
              <w:pStyle w:val="TableBody"/>
            </w:pPr>
            <w:r w:rsidRPr="007A3600">
              <w:rPr>
                <w:color w:val="FFFFFF"/>
                <w:lang w:val="en-GB"/>
              </w:rPr>
              <w:t>blank</w:t>
            </w:r>
          </w:p>
        </w:tc>
      </w:tr>
      <w:tr w:rsidR="00AC0D30" w:rsidRPr="007A3600" w14:paraId="677307C6"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3ECCE3BD" w14:textId="743D6230" w:rsidR="00AC0D30" w:rsidRPr="007A3600" w:rsidRDefault="00AC0D30" w:rsidP="00AD3197">
            <w:pPr>
              <w:pStyle w:val="TableBody"/>
            </w:pPr>
            <w:r w:rsidRPr="007A3600">
              <w:rPr>
                <w:color w:val="3B3B3B"/>
              </w:rPr>
              <w:t>17BF(1)(a)(i)</w:t>
            </w:r>
          </w:p>
        </w:tc>
        <w:tc>
          <w:tcPr>
            <w:tcW w:w="1928" w:type="dxa"/>
          </w:tcPr>
          <w:p w14:paraId="55498FCB" w14:textId="223C36DD" w:rsidR="00AC0D30" w:rsidRPr="007A3600" w:rsidRDefault="00AC0D30" w:rsidP="00AD3197">
            <w:pPr>
              <w:pStyle w:val="TableBody"/>
            </w:pPr>
            <w:hyperlink w:anchor="_3.2_Financial_statements" w:history="1">
              <w:r w:rsidRPr="007A3600">
                <w:rPr>
                  <w:rStyle w:val="Hyperlink"/>
                </w:rPr>
                <w:t>7.2 Financial statements</w:t>
              </w:r>
            </w:hyperlink>
          </w:p>
        </w:tc>
        <w:tc>
          <w:tcPr>
            <w:tcW w:w="3798" w:type="dxa"/>
          </w:tcPr>
          <w:p w14:paraId="021E3930" w14:textId="71ECBB74" w:rsidR="00AC0D30" w:rsidRPr="007A3600" w:rsidRDefault="00AC0D30" w:rsidP="00AD3197">
            <w:pPr>
              <w:pStyle w:val="TableBody"/>
            </w:pPr>
            <w:r w:rsidRPr="007A3600">
              <w:rPr>
                <w:color w:val="3B3B3B"/>
              </w:rPr>
              <w:t>An assessment of significant changes in the entity’s overall financial structure and financial conditions</w:t>
            </w:r>
          </w:p>
        </w:tc>
        <w:tc>
          <w:tcPr>
            <w:tcW w:w="1814" w:type="dxa"/>
          </w:tcPr>
          <w:p w14:paraId="5C84A321" w14:textId="21E04043" w:rsidR="00AC0D30" w:rsidRPr="007A3600" w:rsidRDefault="00AC0D30" w:rsidP="00AD3197">
            <w:pPr>
              <w:pStyle w:val="TableBody"/>
            </w:pPr>
            <w:r w:rsidRPr="007A3600">
              <w:rPr>
                <w:color w:val="3B3B3B"/>
              </w:rPr>
              <w:t>If applicable, mandatory</w:t>
            </w:r>
          </w:p>
        </w:tc>
      </w:tr>
      <w:tr w:rsidR="00AC0D30" w:rsidRPr="007A3600" w14:paraId="3FAFB549" w14:textId="77777777" w:rsidTr="00AC0D30">
        <w:tc>
          <w:tcPr>
            <w:tcW w:w="1588" w:type="dxa"/>
          </w:tcPr>
          <w:p w14:paraId="7640C960" w14:textId="330E0C34" w:rsidR="00AC0D30" w:rsidRPr="007A3600" w:rsidRDefault="00AC0D30" w:rsidP="00AD3197">
            <w:pPr>
              <w:pStyle w:val="TableBody"/>
            </w:pPr>
            <w:r w:rsidRPr="007A3600">
              <w:rPr>
                <w:color w:val="3B3B3B"/>
              </w:rPr>
              <w:t>17BF(1)(a)(ii)</w:t>
            </w:r>
          </w:p>
        </w:tc>
        <w:tc>
          <w:tcPr>
            <w:tcW w:w="1928" w:type="dxa"/>
          </w:tcPr>
          <w:p w14:paraId="2E7A556C" w14:textId="69CDBCEB" w:rsidR="00AC0D30" w:rsidRPr="007A3600" w:rsidRDefault="00AC0D30" w:rsidP="00AD3197">
            <w:pPr>
              <w:pStyle w:val="TableBody"/>
            </w:pPr>
            <w:hyperlink w:anchor="_3.2_Financial_statements" w:history="1">
              <w:r w:rsidRPr="007A3600">
                <w:rPr>
                  <w:rStyle w:val="Hyperlink"/>
                </w:rPr>
                <w:t>7.2 Financial statements</w:t>
              </w:r>
            </w:hyperlink>
          </w:p>
        </w:tc>
        <w:tc>
          <w:tcPr>
            <w:tcW w:w="3798" w:type="dxa"/>
          </w:tcPr>
          <w:p w14:paraId="262BD94B" w14:textId="3CF6F3C4" w:rsidR="00AC0D30" w:rsidRPr="007A3600" w:rsidRDefault="00AC0D30" w:rsidP="00AD3197">
            <w:pPr>
              <w:pStyle w:val="TableBody"/>
            </w:pPr>
            <w:r w:rsidRPr="007A3600">
              <w:rPr>
                <w:color w:val="3B3B3B"/>
              </w:rPr>
              <w:t>An assessment of any events or risks that could cause financial information that is reported not to be indicative of future operations or financial conditions</w:t>
            </w:r>
          </w:p>
        </w:tc>
        <w:tc>
          <w:tcPr>
            <w:tcW w:w="1814" w:type="dxa"/>
          </w:tcPr>
          <w:p w14:paraId="7B3BC98A" w14:textId="68F28DFA" w:rsidR="00AC0D30" w:rsidRPr="007A3600" w:rsidRDefault="00AC0D30" w:rsidP="00AD3197">
            <w:pPr>
              <w:pStyle w:val="TableBody"/>
            </w:pPr>
            <w:r w:rsidRPr="007A3600">
              <w:rPr>
                <w:color w:val="3B3B3B"/>
              </w:rPr>
              <w:t>If applicable, mandatory</w:t>
            </w:r>
          </w:p>
        </w:tc>
      </w:tr>
      <w:tr w:rsidR="00AC0D30" w:rsidRPr="007A3600" w14:paraId="1B142259"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762FC6B5" w14:textId="3C3D9F9D" w:rsidR="00AC0D30" w:rsidRPr="007A3600" w:rsidRDefault="00AC0D30" w:rsidP="00AD3197">
            <w:pPr>
              <w:pStyle w:val="TableBody"/>
            </w:pPr>
            <w:r w:rsidRPr="007A3600">
              <w:rPr>
                <w:color w:val="3B3B3B"/>
              </w:rPr>
              <w:lastRenderedPageBreak/>
              <w:t>17BF(1)(b)</w:t>
            </w:r>
          </w:p>
        </w:tc>
        <w:tc>
          <w:tcPr>
            <w:tcW w:w="1928" w:type="dxa"/>
          </w:tcPr>
          <w:p w14:paraId="21E6F24F" w14:textId="48A21E50" w:rsidR="00AC0D30" w:rsidRPr="007A3600" w:rsidRDefault="00AC0D30" w:rsidP="00AD3197">
            <w:pPr>
              <w:pStyle w:val="TableBody"/>
            </w:pPr>
            <w:hyperlink w:anchor="_3.2_Financial_statements" w:history="1">
              <w:r w:rsidRPr="007A3600">
                <w:rPr>
                  <w:rStyle w:val="Hyperlink"/>
                </w:rPr>
                <w:t>7.2 Financial statements</w:t>
              </w:r>
            </w:hyperlink>
          </w:p>
        </w:tc>
        <w:tc>
          <w:tcPr>
            <w:tcW w:w="3798" w:type="dxa"/>
          </w:tcPr>
          <w:p w14:paraId="33EA918C" w14:textId="2321242D" w:rsidR="00AC0D30" w:rsidRPr="007A3600" w:rsidRDefault="00AC0D30" w:rsidP="00AD3197">
            <w:pPr>
              <w:pStyle w:val="TableBody"/>
            </w:pPr>
            <w:r w:rsidRPr="007A3600">
              <w:rPr>
                <w:color w:val="3B3B3B"/>
              </w:rPr>
              <w:t>Information on dividends paid or recommended</w:t>
            </w:r>
          </w:p>
        </w:tc>
        <w:tc>
          <w:tcPr>
            <w:tcW w:w="1814" w:type="dxa"/>
          </w:tcPr>
          <w:p w14:paraId="48DE8153" w14:textId="49759987" w:rsidR="00AC0D30" w:rsidRPr="007A3600" w:rsidRDefault="00AC0D30" w:rsidP="00AD3197">
            <w:pPr>
              <w:pStyle w:val="TableBody"/>
            </w:pPr>
            <w:r w:rsidRPr="007A3600">
              <w:rPr>
                <w:color w:val="3B3B3B"/>
              </w:rPr>
              <w:t>If applicable, mandatory</w:t>
            </w:r>
          </w:p>
        </w:tc>
      </w:tr>
      <w:tr w:rsidR="00AC0D30" w:rsidRPr="007A3600" w14:paraId="26ABB995" w14:textId="77777777" w:rsidTr="00AC0D30">
        <w:tc>
          <w:tcPr>
            <w:tcW w:w="1588" w:type="dxa"/>
          </w:tcPr>
          <w:p w14:paraId="1FCCCBD9" w14:textId="3F8FBF50" w:rsidR="00AC0D30" w:rsidRPr="007A3600" w:rsidRDefault="00AC0D30" w:rsidP="00AD3197">
            <w:pPr>
              <w:pStyle w:val="TableBody"/>
            </w:pPr>
            <w:r w:rsidRPr="007A3600">
              <w:rPr>
                <w:color w:val="3B3B3B"/>
              </w:rPr>
              <w:t>17BF(1)(c)</w:t>
            </w:r>
          </w:p>
        </w:tc>
        <w:tc>
          <w:tcPr>
            <w:tcW w:w="1928" w:type="dxa"/>
          </w:tcPr>
          <w:p w14:paraId="0EB4FDC1" w14:textId="3D9F2DA0" w:rsidR="00AC0D30" w:rsidRPr="007A3600" w:rsidRDefault="00AC0D30" w:rsidP="00AD3197">
            <w:pPr>
              <w:pStyle w:val="TableBody"/>
            </w:pPr>
            <w:hyperlink w:anchor="_3.2_Financial_statements" w:history="1">
              <w:r w:rsidRPr="007A3600">
                <w:rPr>
                  <w:rStyle w:val="Hyperlink"/>
                </w:rPr>
                <w:t>7.2 Financial statements</w:t>
              </w:r>
            </w:hyperlink>
          </w:p>
        </w:tc>
        <w:tc>
          <w:tcPr>
            <w:tcW w:w="3798" w:type="dxa"/>
          </w:tcPr>
          <w:p w14:paraId="08AB2FCA" w14:textId="77777777" w:rsidR="00AC0D30" w:rsidRPr="007A3600" w:rsidRDefault="00AC0D30" w:rsidP="00AD3197">
            <w:pPr>
              <w:spacing w:before="60" w:after="0"/>
              <w:rPr>
                <w:rFonts w:cs="Arial"/>
                <w:color w:val="3B3B3B"/>
              </w:rPr>
            </w:pPr>
            <w:r w:rsidRPr="007A3600">
              <w:rPr>
                <w:rFonts w:cs="Arial"/>
                <w:color w:val="3B3B3B"/>
              </w:rPr>
              <w:t>Details of any community service obligations the government business enterprise has including:</w:t>
            </w:r>
          </w:p>
          <w:p w14:paraId="2A55160D" w14:textId="77777777" w:rsidR="00AC0D30" w:rsidRPr="007A3600" w:rsidRDefault="00AC0D30" w:rsidP="00AD3197">
            <w:pPr>
              <w:spacing w:before="60" w:after="0"/>
              <w:ind w:left="396" w:hanging="396"/>
              <w:rPr>
                <w:rFonts w:cs="Arial"/>
                <w:color w:val="3B3B3B"/>
              </w:rPr>
            </w:pPr>
            <w:r w:rsidRPr="007A3600">
              <w:rPr>
                <w:rFonts w:cs="Arial"/>
                <w:color w:val="3B3B3B"/>
              </w:rPr>
              <w:t>(a)</w:t>
            </w:r>
            <w:r w:rsidRPr="007A3600">
              <w:rPr>
                <w:rFonts w:cs="Arial"/>
                <w:color w:val="3B3B3B"/>
              </w:rPr>
              <w:tab/>
              <w:t>an outline of actions taken to fulfil those obligations; and</w:t>
            </w:r>
          </w:p>
          <w:p w14:paraId="50779840" w14:textId="1D3BB702" w:rsidR="00AC0D30" w:rsidRPr="007A3600" w:rsidRDefault="00AC0D30" w:rsidP="00AD3197">
            <w:pPr>
              <w:spacing w:before="60" w:after="0"/>
              <w:ind w:left="396" w:hanging="396"/>
            </w:pPr>
            <w:r w:rsidRPr="007A3600">
              <w:rPr>
                <w:color w:val="3B3B3B"/>
              </w:rPr>
              <w:t>(b)</w:t>
            </w:r>
            <w:r w:rsidRPr="007A3600">
              <w:rPr>
                <w:color w:val="3B3B3B"/>
              </w:rPr>
              <w:tab/>
              <w:t xml:space="preserve">an </w:t>
            </w:r>
            <w:r w:rsidRPr="007A3600">
              <w:rPr>
                <w:rFonts w:cs="Arial"/>
                <w:color w:val="3B3B3B"/>
              </w:rPr>
              <w:t>assessment</w:t>
            </w:r>
            <w:r w:rsidRPr="007A3600">
              <w:rPr>
                <w:color w:val="3B3B3B"/>
              </w:rPr>
              <w:t xml:space="preserve"> of the cost of fulfilling those obligations</w:t>
            </w:r>
          </w:p>
        </w:tc>
        <w:tc>
          <w:tcPr>
            <w:tcW w:w="1814" w:type="dxa"/>
          </w:tcPr>
          <w:p w14:paraId="17189F80" w14:textId="16E889BE" w:rsidR="00AC0D30" w:rsidRPr="007A3600" w:rsidRDefault="00AC0D30" w:rsidP="00AD3197">
            <w:pPr>
              <w:pStyle w:val="TableBody"/>
            </w:pPr>
            <w:r w:rsidRPr="007A3600">
              <w:rPr>
                <w:color w:val="3B3B3B"/>
              </w:rPr>
              <w:t>If applicable, mandatory</w:t>
            </w:r>
          </w:p>
        </w:tc>
      </w:tr>
      <w:tr w:rsidR="00AC0D30" w:rsidRPr="007A3600" w14:paraId="0BCAF86E" w14:textId="77777777" w:rsidTr="00AC0D30">
        <w:trPr>
          <w:cnfStyle w:val="000000100000" w:firstRow="0" w:lastRow="0" w:firstColumn="0" w:lastColumn="0" w:oddVBand="0" w:evenVBand="0" w:oddHBand="1" w:evenHBand="0" w:firstRowFirstColumn="0" w:firstRowLastColumn="0" w:lastRowFirstColumn="0" w:lastRowLastColumn="0"/>
        </w:trPr>
        <w:tc>
          <w:tcPr>
            <w:tcW w:w="1588" w:type="dxa"/>
          </w:tcPr>
          <w:p w14:paraId="193127E0" w14:textId="71F8F278" w:rsidR="00AC0D30" w:rsidRPr="007A3600" w:rsidRDefault="00AC0D30" w:rsidP="00AD3197">
            <w:pPr>
              <w:pStyle w:val="TableBody"/>
            </w:pPr>
            <w:r w:rsidRPr="007A3600">
              <w:rPr>
                <w:color w:val="000000"/>
              </w:rPr>
              <w:t>17BF(2)</w:t>
            </w:r>
          </w:p>
        </w:tc>
        <w:tc>
          <w:tcPr>
            <w:tcW w:w="1928" w:type="dxa"/>
          </w:tcPr>
          <w:p w14:paraId="0DD36EF4" w14:textId="64913A02" w:rsidR="00AC0D30" w:rsidRPr="007A3600" w:rsidRDefault="00AC0D30" w:rsidP="00AD3197">
            <w:pPr>
              <w:pStyle w:val="TableBody"/>
            </w:pPr>
            <w:hyperlink w:anchor="_3.2_Financial_statements" w:history="1">
              <w:r w:rsidRPr="007A3600">
                <w:rPr>
                  <w:rStyle w:val="Hyperlink"/>
                </w:rPr>
                <w:t>7.2 Financial statements</w:t>
              </w:r>
            </w:hyperlink>
          </w:p>
        </w:tc>
        <w:tc>
          <w:tcPr>
            <w:tcW w:w="3798" w:type="dxa"/>
          </w:tcPr>
          <w:p w14:paraId="0354516C" w14:textId="767AEB7D" w:rsidR="00AC0D30" w:rsidRPr="007A3600" w:rsidRDefault="00AC0D30" w:rsidP="00AD3197">
            <w:pPr>
              <w:pStyle w:val="TableBody"/>
            </w:pPr>
            <w:r w:rsidRPr="007A3600">
              <w:rPr>
                <w:color w:val="000000"/>
              </w:rPr>
              <w:t>A statement regarding the exclusion of information on the grounds that the information is commercially sensitive and would be likely to result in unreasonable commercial prejudice to the government business enterprise</w:t>
            </w:r>
          </w:p>
        </w:tc>
        <w:tc>
          <w:tcPr>
            <w:tcW w:w="1814" w:type="dxa"/>
          </w:tcPr>
          <w:p w14:paraId="54C45A59" w14:textId="64A90B07" w:rsidR="00AC0D30" w:rsidRPr="007A3600" w:rsidRDefault="00AC0D30" w:rsidP="00AD3197">
            <w:pPr>
              <w:pStyle w:val="TableBody"/>
            </w:pPr>
            <w:r w:rsidRPr="007A3600">
              <w:rPr>
                <w:color w:val="000000"/>
              </w:rPr>
              <w:t>If applicable, mandatory</w:t>
            </w:r>
          </w:p>
        </w:tc>
      </w:tr>
    </w:tbl>
    <w:p w14:paraId="0823FB3E" w14:textId="5C8F87B9" w:rsidR="00100C51" w:rsidRPr="007A3600" w:rsidRDefault="00E42D4F" w:rsidP="00AD3197">
      <w:pPr>
        <w:pStyle w:val="Heading4"/>
        <w:spacing w:before="240"/>
      </w:pPr>
      <w:bookmarkStart w:id="337" w:name="_Toc207017791"/>
      <w:bookmarkEnd w:id="336"/>
      <w:r w:rsidRPr="007A3600">
        <w:t>The NDIS Act</w:t>
      </w:r>
      <w:bookmarkEnd w:id="337"/>
    </w:p>
    <w:tbl>
      <w:tblPr>
        <w:tblStyle w:val="NDISTable1"/>
        <w:tblW w:w="9127" w:type="dxa"/>
        <w:tblLayout w:type="fixed"/>
        <w:tblCellMar>
          <w:left w:w="57" w:type="dxa"/>
          <w:right w:w="57" w:type="dxa"/>
        </w:tblCellMar>
        <w:tblLook w:val="0420" w:firstRow="1" w:lastRow="0" w:firstColumn="0" w:lastColumn="0" w:noHBand="0" w:noVBand="1"/>
      </w:tblPr>
      <w:tblGrid>
        <w:gridCol w:w="1587"/>
        <w:gridCol w:w="1928"/>
        <w:gridCol w:w="3798"/>
        <w:gridCol w:w="1814"/>
      </w:tblGrid>
      <w:tr w:rsidR="00D504AD" w:rsidRPr="007A3600" w14:paraId="79624C43" w14:textId="77777777" w:rsidTr="0026718D">
        <w:trPr>
          <w:cnfStyle w:val="100000000000" w:firstRow="1" w:lastRow="0" w:firstColumn="0" w:lastColumn="0" w:oddVBand="0" w:evenVBand="0" w:oddHBand="0" w:evenHBand="0" w:firstRowFirstColumn="0" w:firstRowLastColumn="0" w:lastRowFirstColumn="0" w:lastRowLastColumn="0"/>
        </w:trPr>
        <w:tc>
          <w:tcPr>
            <w:tcW w:w="1587" w:type="dxa"/>
          </w:tcPr>
          <w:p w14:paraId="565BBC64" w14:textId="5C0C2E3B" w:rsidR="00982490" w:rsidRPr="007A3600" w:rsidRDefault="00982490" w:rsidP="00AD3197">
            <w:pPr>
              <w:pStyle w:val="TableBody"/>
            </w:pPr>
            <w:r w:rsidRPr="007A3600">
              <w:t>Section of NDIS Act</w:t>
            </w:r>
          </w:p>
        </w:tc>
        <w:tc>
          <w:tcPr>
            <w:tcW w:w="1928" w:type="dxa"/>
          </w:tcPr>
          <w:p w14:paraId="1857331B" w14:textId="77777777" w:rsidR="00982490" w:rsidRPr="007A3600" w:rsidRDefault="00982490" w:rsidP="00AD3197">
            <w:pPr>
              <w:pStyle w:val="TableBody"/>
            </w:pPr>
            <w:r w:rsidRPr="007A3600">
              <w:t>Part of report</w:t>
            </w:r>
          </w:p>
        </w:tc>
        <w:tc>
          <w:tcPr>
            <w:tcW w:w="3798" w:type="dxa"/>
          </w:tcPr>
          <w:p w14:paraId="64504010" w14:textId="77777777" w:rsidR="00982490" w:rsidRPr="007A3600" w:rsidRDefault="00982490" w:rsidP="00AD3197">
            <w:pPr>
              <w:pStyle w:val="TableBody"/>
            </w:pPr>
            <w:r w:rsidRPr="007A3600">
              <w:t>Description</w:t>
            </w:r>
          </w:p>
        </w:tc>
        <w:tc>
          <w:tcPr>
            <w:tcW w:w="1814" w:type="dxa"/>
          </w:tcPr>
          <w:p w14:paraId="75B69AEC" w14:textId="77777777" w:rsidR="00982490" w:rsidRPr="007A3600" w:rsidRDefault="00982490" w:rsidP="00AD3197">
            <w:pPr>
              <w:pStyle w:val="TableBody"/>
            </w:pPr>
            <w:r w:rsidRPr="007A3600">
              <w:t>Requirement</w:t>
            </w:r>
          </w:p>
        </w:tc>
      </w:tr>
      <w:tr w:rsidR="00D504AD" w:rsidRPr="007A3600" w14:paraId="6A352675"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4B14A259" w14:textId="45B19969" w:rsidR="00982490" w:rsidRPr="007A3600" w:rsidRDefault="00982490" w:rsidP="00AD3197">
            <w:pPr>
              <w:pStyle w:val="TableBody"/>
              <w:rPr>
                <w:b/>
                <w:bCs/>
              </w:rPr>
            </w:pPr>
            <w:r w:rsidRPr="007A3600">
              <w:rPr>
                <w:b/>
                <w:bCs/>
                <w:color w:val="000000"/>
                <w:szCs w:val="24"/>
                <w:lang w:val="en-GB"/>
              </w:rPr>
              <w:t>Chapter 6, Part 5, subsection 172</w:t>
            </w:r>
          </w:p>
        </w:tc>
        <w:tc>
          <w:tcPr>
            <w:tcW w:w="1928" w:type="dxa"/>
          </w:tcPr>
          <w:p w14:paraId="71A4FB7B" w14:textId="49573061" w:rsidR="00982490" w:rsidRPr="007A3600" w:rsidRDefault="00982490" w:rsidP="00AD3197">
            <w:pPr>
              <w:pStyle w:val="TableBody"/>
              <w:rPr>
                <w:color w:val="F7EEF7"/>
              </w:rPr>
            </w:pPr>
            <w:r w:rsidRPr="007A3600">
              <w:rPr>
                <w:color w:val="F7EEF7"/>
                <w:lang w:val="en-GB"/>
              </w:rPr>
              <w:t>blank</w:t>
            </w:r>
          </w:p>
        </w:tc>
        <w:tc>
          <w:tcPr>
            <w:tcW w:w="3798" w:type="dxa"/>
          </w:tcPr>
          <w:p w14:paraId="6150A501" w14:textId="30E7CDE9" w:rsidR="00982490" w:rsidRPr="007A3600" w:rsidRDefault="00982490" w:rsidP="00AD3197">
            <w:pPr>
              <w:pStyle w:val="TableBody"/>
              <w:rPr>
                <w:color w:val="F7EEF7"/>
              </w:rPr>
            </w:pPr>
            <w:r w:rsidRPr="007A3600">
              <w:rPr>
                <w:color w:val="F7EEF7"/>
                <w:lang w:val="en-GB"/>
              </w:rPr>
              <w:t>blank</w:t>
            </w:r>
          </w:p>
        </w:tc>
        <w:tc>
          <w:tcPr>
            <w:tcW w:w="1814" w:type="dxa"/>
          </w:tcPr>
          <w:p w14:paraId="6DD6F300" w14:textId="47D320DC" w:rsidR="00982490" w:rsidRPr="007A3600" w:rsidRDefault="00982490" w:rsidP="00AD3197">
            <w:pPr>
              <w:pStyle w:val="TableBody"/>
              <w:rPr>
                <w:color w:val="F7EEF7"/>
              </w:rPr>
            </w:pPr>
            <w:r w:rsidRPr="007A3600">
              <w:rPr>
                <w:color w:val="F7EEF7"/>
                <w:lang w:val="en-GB"/>
              </w:rPr>
              <w:t>blank</w:t>
            </w:r>
          </w:p>
        </w:tc>
      </w:tr>
      <w:tr w:rsidR="009D7776" w:rsidRPr="007A3600" w14:paraId="610568A3" w14:textId="77777777" w:rsidTr="0026718D">
        <w:tc>
          <w:tcPr>
            <w:tcW w:w="1587" w:type="dxa"/>
          </w:tcPr>
          <w:p w14:paraId="1411403B" w14:textId="52F2272C" w:rsidR="00347DF2" w:rsidRPr="007A3600" w:rsidRDefault="00347DF2" w:rsidP="00AD3197">
            <w:pPr>
              <w:pStyle w:val="TableBody"/>
            </w:pPr>
            <w:r w:rsidRPr="007A3600">
              <w:rPr>
                <w:color w:val="000000"/>
                <w:szCs w:val="24"/>
                <w:lang w:val="en-GB"/>
              </w:rPr>
              <w:t>(2)(a)</w:t>
            </w:r>
          </w:p>
        </w:tc>
        <w:tc>
          <w:tcPr>
            <w:tcW w:w="1928" w:type="dxa"/>
          </w:tcPr>
          <w:p w14:paraId="74D9D638" w14:textId="2719A84C" w:rsidR="00347DF2" w:rsidRPr="007A3600" w:rsidRDefault="00B469C0" w:rsidP="00AD3197">
            <w:pPr>
              <w:pStyle w:val="TableBody"/>
            </w:pPr>
            <w:hyperlink w:anchor="_8.10_NDIS_Act" w:history="1">
              <w:r w:rsidRPr="007A3600">
                <w:rPr>
                  <w:rStyle w:val="Hyperlink"/>
                </w:rPr>
                <w:t>8.13 NDIS Act reportable items</w:t>
              </w:r>
            </w:hyperlink>
          </w:p>
        </w:tc>
        <w:tc>
          <w:tcPr>
            <w:tcW w:w="3798" w:type="dxa"/>
          </w:tcPr>
          <w:p w14:paraId="63FC2AC9" w14:textId="2ED5B268" w:rsidR="00347DF2" w:rsidRPr="007A3600" w:rsidRDefault="00347DF2" w:rsidP="00AD3197">
            <w:pPr>
              <w:pStyle w:val="TableBody"/>
            </w:pPr>
            <w:r w:rsidRPr="007A3600">
              <w:rPr>
                <w:color w:val="000000"/>
                <w:szCs w:val="24"/>
                <w:lang w:val="en-GB"/>
              </w:rPr>
              <w:t>Details of any directions given under section 121 in the period</w:t>
            </w:r>
          </w:p>
        </w:tc>
        <w:tc>
          <w:tcPr>
            <w:tcW w:w="1814" w:type="dxa"/>
          </w:tcPr>
          <w:p w14:paraId="5C025861" w14:textId="572A028B" w:rsidR="00347DF2" w:rsidRPr="007A3600" w:rsidRDefault="00347DF2" w:rsidP="00AD3197">
            <w:pPr>
              <w:pStyle w:val="TableBody"/>
            </w:pPr>
            <w:r w:rsidRPr="007A3600">
              <w:rPr>
                <w:color w:val="000000"/>
                <w:szCs w:val="24"/>
                <w:lang w:val="en-GB"/>
              </w:rPr>
              <w:t>Mandatory</w:t>
            </w:r>
          </w:p>
        </w:tc>
      </w:tr>
      <w:tr w:rsidR="00D504AD" w:rsidRPr="007A3600" w14:paraId="4A194496"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278C2888" w14:textId="01B06245" w:rsidR="00347DF2" w:rsidRPr="007A3600" w:rsidRDefault="00347DF2" w:rsidP="00AD3197">
            <w:pPr>
              <w:pStyle w:val="TableBody"/>
            </w:pPr>
            <w:r w:rsidRPr="007A3600">
              <w:rPr>
                <w:color w:val="000000"/>
                <w:szCs w:val="24"/>
                <w:lang w:val="en-GB"/>
              </w:rPr>
              <w:t>(2)(b)</w:t>
            </w:r>
          </w:p>
        </w:tc>
        <w:tc>
          <w:tcPr>
            <w:tcW w:w="1928" w:type="dxa"/>
          </w:tcPr>
          <w:p w14:paraId="46FBB1C9" w14:textId="1FE05F75" w:rsidR="00347DF2" w:rsidRPr="007A3600" w:rsidRDefault="00AC0D30" w:rsidP="00AD3197">
            <w:pPr>
              <w:pStyle w:val="TableBody"/>
            </w:pPr>
            <w:hyperlink w:anchor="_8.10_NDIS_Act" w:history="1">
              <w:r w:rsidRPr="007A3600">
                <w:rPr>
                  <w:rStyle w:val="Hyperlink"/>
                </w:rPr>
                <w:t>8.13 NDIS Act reportable items</w:t>
              </w:r>
            </w:hyperlink>
          </w:p>
        </w:tc>
        <w:tc>
          <w:tcPr>
            <w:tcW w:w="3798" w:type="dxa"/>
          </w:tcPr>
          <w:p w14:paraId="40E057B1" w14:textId="66B6A763" w:rsidR="00347DF2" w:rsidRPr="007A3600" w:rsidRDefault="00347DF2" w:rsidP="00AD3197">
            <w:pPr>
              <w:pStyle w:val="TableBody"/>
            </w:pPr>
            <w:r w:rsidRPr="007A3600">
              <w:rPr>
                <w:color w:val="000000"/>
                <w:szCs w:val="24"/>
                <w:lang w:val="en-GB"/>
              </w:rPr>
              <w:t>Details of any statements given under section 125 in the period</w:t>
            </w:r>
          </w:p>
        </w:tc>
        <w:tc>
          <w:tcPr>
            <w:tcW w:w="1814" w:type="dxa"/>
          </w:tcPr>
          <w:p w14:paraId="7990FBD0" w14:textId="08407542" w:rsidR="00347DF2" w:rsidRPr="007A3600" w:rsidRDefault="00347DF2" w:rsidP="00AD3197">
            <w:pPr>
              <w:pStyle w:val="TableBody"/>
            </w:pPr>
            <w:r w:rsidRPr="007A3600">
              <w:rPr>
                <w:color w:val="000000"/>
                <w:szCs w:val="24"/>
                <w:lang w:val="en-GB"/>
              </w:rPr>
              <w:t>Mandatory</w:t>
            </w:r>
          </w:p>
        </w:tc>
      </w:tr>
      <w:tr w:rsidR="009D7776" w:rsidRPr="007A3600" w14:paraId="5B186785" w14:textId="77777777" w:rsidTr="0026718D">
        <w:tc>
          <w:tcPr>
            <w:tcW w:w="1587" w:type="dxa"/>
          </w:tcPr>
          <w:p w14:paraId="4669093B" w14:textId="2BDF2BDC" w:rsidR="00347DF2" w:rsidRPr="007A3600" w:rsidRDefault="00347DF2" w:rsidP="00AD3197">
            <w:pPr>
              <w:pStyle w:val="TableBody"/>
            </w:pPr>
            <w:r w:rsidRPr="007A3600">
              <w:rPr>
                <w:color w:val="000000"/>
                <w:szCs w:val="24"/>
                <w:lang w:val="en-GB"/>
              </w:rPr>
              <w:t>(2)(c)</w:t>
            </w:r>
          </w:p>
        </w:tc>
        <w:tc>
          <w:tcPr>
            <w:tcW w:w="1928" w:type="dxa"/>
          </w:tcPr>
          <w:p w14:paraId="4693F500" w14:textId="5B9E5AC5" w:rsidR="00347DF2" w:rsidRPr="007A3600" w:rsidRDefault="00B469C0" w:rsidP="00AD3197">
            <w:pPr>
              <w:pStyle w:val="TableBody"/>
            </w:pPr>
            <w:hyperlink w:anchor="_Section_3:_Financial" w:history="1">
              <w:r w:rsidRPr="007A3600">
                <w:rPr>
                  <w:rStyle w:val="Hyperlink"/>
                </w:rPr>
                <w:t>Section 3: Financial sustainability statements</w:t>
              </w:r>
            </w:hyperlink>
          </w:p>
        </w:tc>
        <w:tc>
          <w:tcPr>
            <w:tcW w:w="3798" w:type="dxa"/>
          </w:tcPr>
          <w:p w14:paraId="2BA26A52" w14:textId="77777777" w:rsidR="00347DF2" w:rsidRPr="007A3600" w:rsidRDefault="00347DF2" w:rsidP="00AD3197">
            <w:pPr>
              <w:pStyle w:val="Pa11"/>
              <w:spacing w:before="60"/>
              <w:rPr>
                <w:rFonts w:ascii="Arial" w:hAnsi="Arial" w:cs="Arial"/>
                <w:color w:val="000000"/>
                <w:lang w:val="en-GB"/>
              </w:rPr>
            </w:pPr>
            <w:r w:rsidRPr="007A3600">
              <w:rPr>
                <w:rFonts w:ascii="Arial" w:hAnsi="Arial" w:cs="Arial"/>
                <w:color w:val="000000"/>
                <w:lang w:val="en-GB"/>
              </w:rPr>
              <w:t>Information (including statistics) and analysis that relates to either or both of the following in the period:</w:t>
            </w:r>
          </w:p>
          <w:p w14:paraId="10D585A3" w14:textId="77777777" w:rsidR="00347DF2" w:rsidRPr="007A3600" w:rsidRDefault="00347DF2" w:rsidP="00AD3197">
            <w:pPr>
              <w:pStyle w:val="Pa66"/>
              <w:spacing w:before="60"/>
              <w:ind w:left="480" w:hanging="480"/>
              <w:rPr>
                <w:rFonts w:ascii="Arial" w:hAnsi="Arial" w:cs="Arial"/>
                <w:color w:val="000000"/>
                <w:lang w:val="en-GB"/>
              </w:rPr>
            </w:pPr>
            <w:r w:rsidRPr="007A3600">
              <w:rPr>
                <w:rFonts w:ascii="Arial" w:hAnsi="Arial" w:cs="Arial"/>
                <w:color w:val="000000"/>
                <w:lang w:val="en-GB"/>
              </w:rPr>
              <w:t>(i)</w:t>
            </w:r>
            <w:r w:rsidRPr="007A3600">
              <w:rPr>
                <w:rFonts w:ascii="Arial" w:hAnsi="Arial" w:cs="Arial"/>
                <w:color w:val="000000"/>
                <w:lang w:val="en-GB"/>
              </w:rPr>
              <w:tab/>
              <w:t xml:space="preserve">participants; </w:t>
            </w:r>
          </w:p>
          <w:p w14:paraId="352ACF4D" w14:textId="6A747A61" w:rsidR="00347DF2" w:rsidRPr="007A3600" w:rsidRDefault="00347DF2" w:rsidP="00AD3197">
            <w:pPr>
              <w:pStyle w:val="Pa66"/>
              <w:spacing w:before="60"/>
              <w:ind w:left="480" w:hanging="480"/>
            </w:pPr>
            <w:r w:rsidRPr="007A3600">
              <w:rPr>
                <w:rFonts w:ascii="Arial" w:hAnsi="Arial" w:cs="Arial"/>
                <w:color w:val="000000"/>
                <w:lang w:val="en-GB"/>
              </w:rPr>
              <w:t>(ii)</w:t>
            </w:r>
            <w:r w:rsidRPr="007A3600">
              <w:rPr>
                <w:rFonts w:ascii="Arial" w:hAnsi="Arial" w:cs="Arial"/>
                <w:color w:val="000000"/>
                <w:lang w:val="en-GB"/>
              </w:rPr>
              <w:tab/>
              <w:t>funding or provision of supports by the Agency</w:t>
            </w:r>
          </w:p>
        </w:tc>
        <w:tc>
          <w:tcPr>
            <w:tcW w:w="1814" w:type="dxa"/>
          </w:tcPr>
          <w:p w14:paraId="465F8FB2" w14:textId="1187D5F9" w:rsidR="00347DF2" w:rsidRPr="007A3600" w:rsidRDefault="00347DF2" w:rsidP="00AD3197">
            <w:pPr>
              <w:pStyle w:val="TableBody"/>
            </w:pPr>
            <w:r w:rsidRPr="007A3600">
              <w:rPr>
                <w:color w:val="000000"/>
                <w:szCs w:val="24"/>
                <w:lang w:val="en-GB"/>
              </w:rPr>
              <w:t>Mandatory</w:t>
            </w:r>
          </w:p>
        </w:tc>
      </w:tr>
      <w:tr w:rsidR="00013960" w:rsidRPr="007A3600" w14:paraId="230E73E3"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52483A93" w14:textId="2328792A" w:rsidR="00013960" w:rsidRPr="007A3600" w:rsidRDefault="00013960" w:rsidP="00AD3197">
            <w:pPr>
              <w:pStyle w:val="TableBody"/>
            </w:pPr>
            <w:r w:rsidRPr="007A3600">
              <w:rPr>
                <w:color w:val="000000"/>
                <w:szCs w:val="24"/>
                <w:lang w:val="en-GB"/>
              </w:rPr>
              <w:lastRenderedPageBreak/>
              <w:t>(3)</w:t>
            </w:r>
          </w:p>
        </w:tc>
        <w:tc>
          <w:tcPr>
            <w:tcW w:w="1928" w:type="dxa"/>
          </w:tcPr>
          <w:p w14:paraId="76B65682" w14:textId="77777777" w:rsidR="00F75193" w:rsidRDefault="00F75193" w:rsidP="00AD3197">
            <w:pPr>
              <w:pStyle w:val="TableBody"/>
            </w:pPr>
            <w:hyperlink w:anchor="_Section_3:_Financial" w:history="1">
              <w:r w:rsidRPr="007A3600">
                <w:rPr>
                  <w:rStyle w:val="Hyperlink"/>
                </w:rPr>
                <w:t>Section 3: Financial sustainability statements</w:t>
              </w:r>
            </w:hyperlink>
          </w:p>
          <w:p w14:paraId="37FBEA67" w14:textId="13712573" w:rsidR="00013960" w:rsidRPr="007A3600" w:rsidRDefault="00630F5B" w:rsidP="00AD3197">
            <w:pPr>
              <w:pStyle w:val="TableBody"/>
            </w:pPr>
            <w:hyperlink w:anchor="_8.10_NDIS_Act" w:history="1">
              <w:r w:rsidRPr="00630F5B">
                <w:rPr>
                  <w:rStyle w:val="Hyperlink"/>
                </w:rPr>
                <w:t>8.13 NDIS Act reportable items</w:t>
              </w:r>
            </w:hyperlink>
          </w:p>
        </w:tc>
        <w:tc>
          <w:tcPr>
            <w:tcW w:w="3798" w:type="dxa"/>
          </w:tcPr>
          <w:p w14:paraId="565C3274" w14:textId="62BD1394" w:rsidR="00013960" w:rsidRPr="007A3600" w:rsidRDefault="00013960" w:rsidP="00AD3197">
            <w:pPr>
              <w:pStyle w:val="TableBody"/>
            </w:pPr>
            <w:r w:rsidRPr="007A3600">
              <w:rPr>
                <w:color w:val="000000"/>
                <w:szCs w:val="24"/>
                <w:lang w:val="en-GB"/>
              </w:rPr>
              <w:t>The Minister may, by legislative instrument, prescribe particular information, or analysis, described in paragraph (2)(c) that must be included in the annual report.</w:t>
            </w:r>
          </w:p>
        </w:tc>
        <w:tc>
          <w:tcPr>
            <w:tcW w:w="1814" w:type="dxa"/>
          </w:tcPr>
          <w:p w14:paraId="2A087F75" w14:textId="0AA4EE02" w:rsidR="00013960" w:rsidRPr="007A3600" w:rsidRDefault="00013960" w:rsidP="00AD3197">
            <w:pPr>
              <w:pStyle w:val="TableBody"/>
            </w:pPr>
            <w:r w:rsidRPr="007A3600">
              <w:rPr>
                <w:color w:val="000000"/>
                <w:szCs w:val="24"/>
                <w:lang w:val="en-GB"/>
              </w:rPr>
              <w:t>Mandatory (if applicable)</w:t>
            </w:r>
          </w:p>
        </w:tc>
      </w:tr>
      <w:tr w:rsidR="00013960" w:rsidRPr="007A3600" w14:paraId="107A0226" w14:textId="77777777" w:rsidTr="0026718D">
        <w:tc>
          <w:tcPr>
            <w:tcW w:w="1587" w:type="dxa"/>
          </w:tcPr>
          <w:p w14:paraId="7C8090C5" w14:textId="744B8303" w:rsidR="00013960" w:rsidRPr="007A3600" w:rsidRDefault="00013960" w:rsidP="00AD3197">
            <w:pPr>
              <w:pStyle w:val="TableBody"/>
            </w:pPr>
            <w:r w:rsidRPr="007A3600">
              <w:rPr>
                <w:color w:val="000000"/>
                <w:szCs w:val="24"/>
                <w:lang w:val="en-GB"/>
              </w:rPr>
              <w:t>(4)(a)</w:t>
            </w:r>
          </w:p>
        </w:tc>
        <w:tc>
          <w:tcPr>
            <w:tcW w:w="1928" w:type="dxa"/>
          </w:tcPr>
          <w:p w14:paraId="6B3ED671" w14:textId="3B80E538"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64B59713" w14:textId="0FEE0473" w:rsidR="00013960" w:rsidRPr="007A3600" w:rsidRDefault="00013960" w:rsidP="00AD3197">
            <w:pPr>
              <w:pStyle w:val="TableBody"/>
            </w:pPr>
            <w:r w:rsidRPr="007A3600">
              <w:rPr>
                <w:color w:val="000000"/>
                <w:szCs w:val="24"/>
                <w:lang w:val="en-GB"/>
              </w:rPr>
              <w:t>The summary, that was prepared under section 180B when the annual report was being prepared, of the annual financial sustainability report prepared then</w:t>
            </w:r>
          </w:p>
        </w:tc>
        <w:tc>
          <w:tcPr>
            <w:tcW w:w="1814" w:type="dxa"/>
          </w:tcPr>
          <w:p w14:paraId="25718EA4" w14:textId="392D7B15" w:rsidR="00013960" w:rsidRPr="007A3600" w:rsidRDefault="00013960" w:rsidP="00AD3197">
            <w:pPr>
              <w:pStyle w:val="TableBody"/>
            </w:pPr>
            <w:r w:rsidRPr="007A3600">
              <w:rPr>
                <w:color w:val="000000"/>
                <w:szCs w:val="24"/>
                <w:lang w:val="en-GB"/>
              </w:rPr>
              <w:t xml:space="preserve">Mandatory </w:t>
            </w:r>
          </w:p>
        </w:tc>
      </w:tr>
      <w:tr w:rsidR="00D504AD" w:rsidRPr="007A3600" w14:paraId="67C341A7"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33B113BE" w14:textId="20D79D29" w:rsidR="00347DF2" w:rsidRPr="007A3600" w:rsidRDefault="00347DF2" w:rsidP="00AD3197">
            <w:pPr>
              <w:pStyle w:val="TableBody"/>
            </w:pPr>
            <w:r w:rsidRPr="007A3600">
              <w:rPr>
                <w:color w:val="000000"/>
                <w:szCs w:val="24"/>
                <w:lang w:val="en-GB"/>
              </w:rPr>
              <w:t>(4)(b)</w:t>
            </w:r>
          </w:p>
        </w:tc>
        <w:tc>
          <w:tcPr>
            <w:tcW w:w="1928" w:type="dxa"/>
          </w:tcPr>
          <w:p w14:paraId="2B4F32BF" w14:textId="11864760" w:rsidR="00347DF2" w:rsidRPr="007A3600" w:rsidRDefault="001F166A" w:rsidP="00AD3197">
            <w:pPr>
              <w:pStyle w:val="TableBody"/>
            </w:pPr>
            <w:hyperlink w:anchor="_3.4_Letter_from" w:history="1">
              <w:r w:rsidRPr="007A3600">
                <w:rPr>
                  <w:rStyle w:val="Hyperlink"/>
                </w:rPr>
                <w:t>3.4 Letter from independent actuary</w:t>
              </w:r>
            </w:hyperlink>
          </w:p>
        </w:tc>
        <w:tc>
          <w:tcPr>
            <w:tcW w:w="3798" w:type="dxa"/>
          </w:tcPr>
          <w:p w14:paraId="185A913F" w14:textId="0AB50125" w:rsidR="00347DF2" w:rsidRPr="007A3600" w:rsidRDefault="00347DF2" w:rsidP="00AD3197">
            <w:pPr>
              <w:pStyle w:val="TableBody"/>
            </w:pPr>
            <w:r w:rsidRPr="007A3600">
              <w:rPr>
                <w:color w:val="000000"/>
                <w:szCs w:val="24"/>
                <w:lang w:val="en-GB"/>
              </w:rPr>
              <w:t>The report of the reviewing actuary’s review under subsection 180E(2) of the summary mentioned in paragraph (4)(a)</w:t>
            </w:r>
          </w:p>
        </w:tc>
        <w:tc>
          <w:tcPr>
            <w:tcW w:w="1814" w:type="dxa"/>
          </w:tcPr>
          <w:p w14:paraId="6582D8C7" w14:textId="5CF99459" w:rsidR="00347DF2" w:rsidRPr="007A3600" w:rsidRDefault="00347DF2" w:rsidP="00AD3197">
            <w:pPr>
              <w:pStyle w:val="TableBody"/>
            </w:pPr>
            <w:r w:rsidRPr="007A3600">
              <w:rPr>
                <w:color w:val="000000"/>
                <w:szCs w:val="24"/>
                <w:lang w:val="en-GB"/>
              </w:rPr>
              <w:t>Mandatory</w:t>
            </w:r>
          </w:p>
        </w:tc>
      </w:tr>
      <w:tr w:rsidR="009D7776" w:rsidRPr="007A3600" w14:paraId="1E38C5E6" w14:textId="77777777" w:rsidTr="0026718D">
        <w:tc>
          <w:tcPr>
            <w:tcW w:w="1587" w:type="dxa"/>
          </w:tcPr>
          <w:p w14:paraId="48BA8B12" w14:textId="405EAF76" w:rsidR="00347DF2" w:rsidRPr="007A3600" w:rsidRDefault="00347DF2" w:rsidP="00AD3197">
            <w:pPr>
              <w:pStyle w:val="TableBody"/>
              <w:rPr>
                <w:b/>
                <w:bCs/>
              </w:rPr>
            </w:pPr>
            <w:r w:rsidRPr="007A3600">
              <w:rPr>
                <w:b/>
                <w:bCs/>
                <w:color w:val="000000"/>
                <w:szCs w:val="24"/>
                <w:lang w:val="en-GB"/>
              </w:rPr>
              <w:t>Chapter 6, Part 6A, subsection 180b</w:t>
            </w:r>
          </w:p>
        </w:tc>
        <w:tc>
          <w:tcPr>
            <w:tcW w:w="1928" w:type="dxa"/>
          </w:tcPr>
          <w:p w14:paraId="3775FE7E" w14:textId="0B7E1A10" w:rsidR="00347DF2" w:rsidRPr="007A3600" w:rsidRDefault="00347DF2" w:rsidP="00AD3197">
            <w:pPr>
              <w:pStyle w:val="TableBody"/>
              <w:rPr>
                <w:color w:val="FFFFFF"/>
              </w:rPr>
            </w:pPr>
            <w:r w:rsidRPr="007A3600">
              <w:rPr>
                <w:color w:val="FFFFFF"/>
                <w:lang w:val="en-GB"/>
              </w:rPr>
              <w:t>blank</w:t>
            </w:r>
          </w:p>
        </w:tc>
        <w:tc>
          <w:tcPr>
            <w:tcW w:w="3798" w:type="dxa"/>
          </w:tcPr>
          <w:p w14:paraId="5A0C599E" w14:textId="7FBA8344" w:rsidR="00347DF2" w:rsidRPr="007A3600" w:rsidRDefault="00347DF2" w:rsidP="00AD3197">
            <w:pPr>
              <w:pStyle w:val="TableBody"/>
              <w:rPr>
                <w:color w:val="FFFFFF"/>
              </w:rPr>
            </w:pPr>
            <w:r w:rsidRPr="007A3600">
              <w:rPr>
                <w:color w:val="FFFFFF"/>
                <w:lang w:val="en-GB"/>
              </w:rPr>
              <w:t>blank</w:t>
            </w:r>
          </w:p>
        </w:tc>
        <w:tc>
          <w:tcPr>
            <w:tcW w:w="1814" w:type="dxa"/>
          </w:tcPr>
          <w:p w14:paraId="26D6EC6D" w14:textId="314AD565" w:rsidR="00347DF2" w:rsidRPr="007A3600" w:rsidRDefault="00347DF2" w:rsidP="00AD3197">
            <w:pPr>
              <w:pStyle w:val="TableBody"/>
              <w:rPr>
                <w:color w:val="FFFFFF"/>
              </w:rPr>
            </w:pPr>
            <w:r w:rsidRPr="007A3600">
              <w:rPr>
                <w:color w:val="FFFFFF"/>
                <w:lang w:val="en-GB"/>
              </w:rPr>
              <w:t>blank</w:t>
            </w:r>
          </w:p>
        </w:tc>
      </w:tr>
      <w:tr w:rsidR="00013960" w:rsidRPr="007A3600" w14:paraId="6E65B3DC"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030CDA28" w14:textId="1AE8027A" w:rsidR="00013960" w:rsidRPr="007A3600" w:rsidRDefault="00013960" w:rsidP="00AD3197">
            <w:pPr>
              <w:pStyle w:val="TableBody"/>
            </w:pPr>
            <w:r w:rsidRPr="007A3600">
              <w:rPr>
                <w:color w:val="000000"/>
                <w:szCs w:val="24"/>
                <w:lang w:val="en-GB"/>
              </w:rPr>
              <w:t>(1)(a)</w:t>
            </w:r>
          </w:p>
        </w:tc>
        <w:tc>
          <w:tcPr>
            <w:tcW w:w="1928" w:type="dxa"/>
          </w:tcPr>
          <w:p w14:paraId="1F19DC97" w14:textId="7E6BFAC3"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51B3BDF6" w14:textId="44550407" w:rsidR="00013960" w:rsidRPr="007A3600" w:rsidRDefault="00013960" w:rsidP="00AD3197">
            <w:pPr>
              <w:pStyle w:val="TableBody"/>
              <w:spacing w:before="60" w:after="0"/>
              <w:rPr>
                <w:lang w:val="en-GB"/>
              </w:rPr>
            </w:pPr>
            <w:r w:rsidRPr="007A3600">
              <w:rPr>
                <w:lang w:val="en-GB"/>
              </w:rPr>
              <w:t>(1) The scheme actuary must do all of the following each time an annual report is being prepared by the Board members under section 46 of the Public Governance, Performance and Accountability Act 2013:</w:t>
            </w:r>
          </w:p>
          <w:p w14:paraId="778B76AE" w14:textId="77777777" w:rsidR="00013960" w:rsidRPr="007A3600" w:rsidRDefault="00013960" w:rsidP="00AD3197">
            <w:pPr>
              <w:pStyle w:val="TableBody"/>
              <w:spacing w:before="60" w:after="0"/>
              <w:ind w:left="480" w:hanging="480"/>
              <w:rPr>
                <w:lang w:val="en-GB"/>
              </w:rPr>
            </w:pPr>
            <w:r w:rsidRPr="007A3600">
              <w:rPr>
                <w:lang w:val="en-GB"/>
              </w:rPr>
              <w:t>(a)</w:t>
            </w:r>
            <w:r w:rsidRPr="007A3600">
              <w:rPr>
                <w:lang w:val="en-GB"/>
              </w:rPr>
              <w:tab/>
              <w:t>assess:</w:t>
            </w:r>
          </w:p>
          <w:p w14:paraId="3C54FC21" w14:textId="77777777" w:rsidR="00013960" w:rsidRPr="007A3600" w:rsidRDefault="00013960" w:rsidP="00AD3197">
            <w:pPr>
              <w:pStyle w:val="TableBody"/>
              <w:spacing w:before="60" w:after="0"/>
              <w:ind w:left="905" w:hanging="425"/>
              <w:rPr>
                <w:lang w:val="en-GB"/>
              </w:rPr>
            </w:pPr>
            <w:r w:rsidRPr="007A3600">
              <w:rPr>
                <w:lang w:val="en-GB"/>
              </w:rPr>
              <w:t>(i)</w:t>
            </w:r>
            <w:r w:rsidRPr="007A3600">
              <w:rPr>
                <w:lang w:val="en-GB"/>
              </w:rPr>
              <w:tab/>
              <w:t>the financial sustainability of the National Disability Insurance Scheme</w:t>
            </w:r>
          </w:p>
          <w:p w14:paraId="23594ED7" w14:textId="77777777" w:rsidR="00013960" w:rsidRPr="007A3600" w:rsidRDefault="00013960" w:rsidP="00AD3197">
            <w:pPr>
              <w:pStyle w:val="TableBody"/>
              <w:spacing w:before="60" w:after="0"/>
              <w:ind w:left="905" w:hanging="425"/>
              <w:rPr>
                <w:lang w:val="en-GB"/>
              </w:rPr>
            </w:pPr>
            <w:r w:rsidRPr="007A3600">
              <w:rPr>
                <w:lang w:val="en-GB"/>
              </w:rPr>
              <w:t>(ii)</w:t>
            </w:r>
            <w:r w:rsidRPr="007A3600">
              <w:rPr>
                <w:lang w:val="en-GB"/>
              </w:rPr>
              <w:tab/>
              <w:t>risks to that sustainability</w:t>
            </w:r>
          </w:p>
          <w:p w14:paraId="3E305F34" w14:textId="34324135" w:rsidR="00013960" w:rsidRPr="007A3600" w:rsidRDefault="00013960" w:rsidP="00AD3197">
            <w:pPr>
              <w:pStyle w:val="TableBody"/>
              <w:spacing w:before="60" w:after="0"/>
              <w:ind w:left="905" w:hanging="425"/>
            </w:pPr>
            <w:r w:rsidRPr="007A3600">
              <w:rPr>
                <w:lang w:val="en-GB"/>
              </w:rPr>
              <w:t>(iii)</w:t>
            </w:r>
            <w:r w:rsidRPr="007A3600">
              <w:rPr>
                <w:lang w:val="en-GB"/>
              </w:rPr>
              <w:tab/>
              <w:t>on the basis of information held by the Agency, any trends in provision of supports to people with disability;</w:t>
            </w:r>
          </w:p>
        </w:tc>
        <w:tc>
          <w:tcPr>
            <w:tcW w:w="1814" w:type="dxa"/>
          </w:tcPr>
          <w:p w14:paraId="60C13045" w14:textId="06FC6374" w:rsidR="00013960" w:rsidRPr="007A3600" w:rsidRDefault="00013960" w:rsidP="00AD3197">
            <w:pPr>
              <w:pStyle w:val="TableBody"/>
            </w:pPr>
            <w:r w:rsidRPr="007A3600">
              <w:rPr>
                <w:lang w:val="en-GB"/>
              </w:rPr>
              <w:t>Mandatory</w:t>
            </w:r>
          </w:p>
        </w:tc>
      </w:tr>
      <w:tr w:rsidR="00013960" w:rsidRPr="007A3600" w14:paraId="09A8BB52" w14:textId="77777777" w:rsidTr="0026718D">
        <w:tc>
          <w:tcPr>
            <w:tcW w:w="1587" w:type="dxa"/>
          </w:tcPr>
          <w:p w14:paraId="4EB1F53C" w14:textId="1B7FFA69" w:rsidR="00013960" w:rsidRPr="007A3600" w:rsidRDefault="00013960" w:rsidP="00AD3197">
            <w:pPr>
              <w:pStyle w:val="TableBody"/>
            </w:pPr>
            <w:r w:rsidRPr="007A3600">
              <w:rPr>
                <w:color w:val="000000"/>
                <w:szCs w:val="24"/>
                <w:lang w:val="en-GB"/>
              </w:rPr>
              <w:lastRenderedPageBreak/>
              <w:t>(1)(b)</w:t>
            </w:r>
          </w:p>
        </w:tc>
        <w:tc>
          <w:tcPr>
            <w:tcW w:w="1928" w:type="dxa"/>
          </w:tcPr>
          <w:p w14:paraId="1C19D172" w14:textId="3E99124B"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2584C34E" w14:textId="72E1A638" w:rsidR="00013960" w:rsidRPr="007A3600" w:rsidRDefault="00013960" w:rsidP="00AD3197">
            <w:pPr>
              <w:pStyle w:val="TableBody"/>
              <w:spacing w:before="60" w:after="0"/>
              <w:ind w:left="480" w:hanging="480"/>
            </w:pPr>
            <w:r w:rsidRPr="007A3600">
              <w:rPr>
                <w:lang w:val="en-GB"/>
              </w:rPr>
              <w:t>(b)</w:t>
            </w:r>
            <w:r w:rsidRPr="007A3600">
              <w:rPr>
                <w:lang w:val="en-GB"/>
              </w:rPr>
              <w:tab/>
              <w:t>consider the causes of those risks and trends;</w:t>
            </w:r>
          </w:p>
        </w:tc>
        <w:tc>
          <w:tcPr>
            <w:tcW w:w="1814" w:type="dxa"/>
          </w:tcPr>
          <w:p w14:paraId="71454659" w14:textId="49BA977F" w:rsidR="00013960" w:rsidRPr="007A3600" w:rsidRDefault="00013960" w:rsidP="00AD3197">
            <w:pPr>
              <w:pStyle w:val="TableBody"/>
            </w:pPr>
            <w:r w:rsidRPr="007A3600">
              <w:rPr>
                <w:lang w:val="en-GB"/>
              </w:rPr>
              <w:t>Mandatory</w:t>
            </w:r>
          </w:p>
        </w:tc>
      </w:tr>
      <w:tr w:rsidR="00013960" w:rsidRPr="007A3600" w14:paraId="43017B91"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4E6651F7" w14:textId="1652C96B" w:rsidR="00013960" w:rsidRPr="007A3600" w:rsidRDefault="00013960" w:rsidP="00AD3197">
            <w:pPr>
              <w:pStyle w:val="TableBody"/>
            </w:pPr>
            <w:r w:rsidRPr="007A3600">
              <w:rPr>
                <w:color w:val="000000"/>
                <w:szCs w:val="24"/>
                <w:lang w:val="en-GB"/>
              </w:rPr>
              <w:t>(1)(c)</w:t>
            </w:r>
          </w:p>
        </w:tc>
        <w:tc>
          <w:tcPr>
            <w:tcW w:w="1928" w:type="dxa"/>
          </w:tcPr>
          <w:p w14:paraId="466342DA" w14:textId="1A5AD5B2"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69088207" w14:textId="6540806D" w:rsidR="00013960" w:rsidRPr="007A3600" w:rsidRDefault="00013960" w:rsidP="00AD3197">
            <w:pPr>
              <w:pStyle w:val="TableBody"/>
              <w:spacing w:before="60" w:after="0"/>
              <w:ind w:left="480" w:hanging="480"/>
            </w:pPr>
            <w:r w:rsidRPr="007A3600">
              <w:rPr>
                <w:lang w:val="en-GB"/>
              </w:rPr>
              <w:t>(c)</w:t>
            </w:r>
            <w:r w:rsidRPr="007A3600">
              <w:rPr>
                <w:lang w:val="en-GB"/>
              </w:rPr>
              <w:tab/>
              <w:t>make estimates of future expenditure of the National Disability Insurance Scheme;</w:t>
            </w:r>
          </w:p>
        </w:tc>
        <w:tc>
          <w:tcPr>
            <w:tcW w:w="1814" w:type="dxa"/>
          </w:tcPr>
          <w:p w14:paraId="067148C6" w14:textId="547E2903" w:rsidR="00013960" w:rsidRPr="007A3600" w:rsidRDefault="00013960" w:rsidP="00AD3197">
            <w:pPr>
              <w:pStyle w:val="TableBody"/>
            </w:pPr>
            <w:r w:rsidRPr="007A3600">
              <w:rPr>
                <w:lang w:val="en-GB"/>
              </w:rPr>
              <w:t>Mandatory</w:t>
            </w:r>
          </w:p>
        </w:tc>
      </w:tr>
      <w:tr w:rsidR="00013960" w:rsidRPr="007A3600" w14:paraId="3412FF58" w14:textId="77777777" w:rsidTr="0026718D">
        <w:tc>
          <w:tcPr>
            <w:tcW w:w="1587" w:type="dxa"/>
          </w:tcPr>
          <w:p w14:paraId="46C96511" w14:textId="06F83E26" w:rsidR="00013960" w:rsidRPr="007A3600" w:rsidRDefault="00013960" w:rsidP="00AD3197">
            <w:pPr>
              <w:pStyle w:val="TableBody"/>
            </w:pPr>
            <w:r w:rsidRPr="007A3600">
              <w:rPr>
                <w:color w:val="000000"/>
                <w:szCs w:val="24"/>
                <w:lang w:val="en-GB"/>
              </w:rPr>
              <w:t>(1)(d)</w:t>
            </w:r>
          </w:p>
        </w:tc>
        <w:tc>
          <w:tcPr>
            <w:tcW w:w="1928" w:type="dxa"/>
          </w:tcPr>
          <w:p w14:paraId="37372900" w14:textId="7EB916A6"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5A2CA716" w14:textId="36EAD2D1" w:rsidR="00013960" w:rsidRPr="007A3600" w:rsidRDefault="00013960" w:rsidP="00AD3197">
            <w:pPr>
              <w:pStyle w:val="TableBody"/>
              <w:spacing w:before="60" w:after="0"/>
              <w:ind w:left="480" w:hanging="480"/>
            </w:pPr>
            <w:r w:rsidRPr="007A3600">
              <w:rPr>
                <w:lang w:val="en-GB"/>
              </w:rPr>
              <w:t>(d)</w:t>
            </w:r>
            <w:r w:rsidRPr="007A3600">
              <w:rPr>
                <w:lang w:val="en-GB"/>
              </w:rPr>
              <w:tab/>
              <w:t>prepare a report of that assessment, consideration and estimation;</w:t>
            </w:r>
          </w:p>
        </w:tc>
        <w:tc>
          <w:tcPr>
            <w:tcW w:w="1814" w:type="dxa"/>
          </w:tcPr>
          <w:p w14:paraId="7E12D8C5" w14:textId="2AAFAF22" w:rsidR="00013960" w:rsidRPr="007A3600" w:rsidRDefault="00013960" w:rsidP="00AD3197">
            <w:pPr>
              <w:pStyle w:val="TableBody"/>
            </w:pPr>
            <w:r w:rsidRPr="007A3600">
              <w:rPr>
                <w:lang w:val="en-GB"/>
              </w:rPr>
              <w:t>Mandatory</w:t>
            </w:r>
          </w:p>
        </w:tc>
      </w:tr>
      <w:tr w:rsidR="00013960" w:rsidRPr="007A3600" w14:paraId="40D025E0" w14:textId="77777777" w:rsidTr="0026718D">
        <w:trPr>
          <w:cnfStyle w:val="000000100000" w:firstRow="0" w:lastRow="0" w:firstColumn="0" w:lastColumn="0" w:oddVBand="0" w:evenVBand="0" w:oddHBand="1" w:evenHBand="0" w:firstRowFirstColumn="0" w:firstRowLastColumn="0" w:lastRowFirstColumn="0" w:lastRowLastColumn="0"/>
        </w:trPr>
        <w:tc>
          <w:tcPr>
            <w:tcW w:w="1587" w:type="dxa"/>
          </w:tcPr>
          <w:p w14:paraId="03CC014F" w14:textId="30DE7FA6" w:rsidR="00013960" w:rsidRPr="007A3600" w:rsidRDefault="00013960" w:rsidP="00AD3197">
            <w:pPr>
              <w:pStyle w:val="TableBody"/>
            </w:pPr>
            <w:r w:rsidRPr="007A3600">
              <w:rPr>
                <w:color w:val="000000"/>
                <w:szCs w:val="24"/>
                <w:lang w:val="en-GB"/>
              </w:rPr>
              <w:t>(1)(e)</w:t>
            </w:r>
          </w:p>
        </w:tc>
        <w:tc>
          <w:tcPr>
            <w:tcW w:w="1928" w:type="dxa"/>
          </w:tcPr>
          <w:p w14:paraId="445AEC7F" w14:textId="24A79F14" w:rsidR="00013960" w:rsidRPr="007A3600" w:rsidRDefault="00013960" w:rsidP="00AD3197">
            <w:pPr>
              <w:pStyle w:val="TableBody"/>
            </w:pPr>
            <w:hyperlink w:anchor="_Section_3:_Financial" w:history="1">
              <w:r w:rsidRPr="007A3600">
                <w:rPr>
                  <w:rStyle w:val="Hyperlink"/>
                </w:rPr>
                <w:t>Section 3: Financial sustainability statements</w:t>
              </w:r>
            </w:hyperlink>
          </w:p>
        </w:tc>
        <w:tc>
          <w:tcPr>
            <w:tcW w:w="3798" w:type="dxa"/>
          </w:tcPr>
          <w:p w14:paraId="6F2F91D6" w14:textId="2BC49F2F" w:rsidR="00013960" w:rsidRPr="007A3600" w:rsidRDefault="00013960" w:rsidP="00AD3197">
            <w:pPr>
              <w:pStyle w:val="TableBody"/>
              <w:spacing w:before="60" w:after="0"/>
              <w:ind w:left="480" w:hanging="480"/>
            </w:pPr>
            <w:r w:rsidRPr="007A3600">
              <w:rPr>
                <w:lang w:val="en-GB"/>
              </w:rPr>
              <w:t>(e)</w:t>
            </w:r>
            <w:r w:rsidRPr="007A3600">
              <w:rPr>
                <w:lang w:val="en-GB"/>
              </w:rPr>
              <w:tab/>
              <w:t>prepare a summary of that report that includes the estimates described in paragraph (c).</w:t>
            </w:r>
          </w:p>
        </w:tc>
        <w:tc>
          <w:tcPr>
            <w:tcW w:w="1814" w:type="dxa"/>
          </w:tcPr>
          <w:p w14:paraId="0EFAA672" w14:textId="7114B16F" w:rsidR="00013960" w:rsidRPr="007A3600" w:rsidRDefault="00013960" w:rsidP="00AD3197">
            <w:pPr>
              <w:pStyle w:val="TableBody"/>
            </w:pPr>
            <w:r w:rsidRPr="007A3600">
              <w:rPr>
                <w:lang w:val="en-GB"/>
              </w:rPr>
              <w:t>Mandatory</w:t>
            </w:r>
          </w:p>
        </w:tc>
      </w:tr>
    </w:tbl>
    <w:p w14:paraId="2A7F82E8" w14:textId="7F62BAB4" w:rsidR="004A42EB" w:rsidRPr="007A3600" w:rsidRDefault="00E93815" w:rsidP="00AD3197">
      <w:pPr>
        <w:pStyle w:val="Heading4"/>
        <w:spacing w:before="240"/>
      </w:pPr>
      <w:bookmarkStart w:id="338" w:name="_Toc207017792"/>
      <w:r w:rsidRPr="007A3600">
        <w:t>Information provided in compliance with other statutory provisions</w:t>
      </w:r>
      <w:bookmarkEnd w:id="338"/>
    </w:p>
    <w:tbl>
      <w:tblPr>
        <w:tblStyle w:val="NDISTable2"/>
        <w:tblW w:w="0" w:type="auto"/>
        <w:tblLayout w:type="fixed"/>
        <w:tblCellMar>
          <w:left w:w="57" w:type="dxa"/>
          <w:right w:w="57" w:type="dxa"/>
        </w:tblCellMar>
        <w:tblLook w:val="0420" w:firstRow="1" w:lastRow="0" w:firstColumn="0" w:lastColumn="0" w:noHBand="0" w:noVBand="1"/>
      </w:tblPr>
      <w:tblGrid>
        <w:gridCol w:w="2252"/>
        <w:gridCol w:w="1814"/>
        <w:gridCol w:w="3422"/>
        <w:gridCol w:w="1643"/>
      </w:tblGrid>
      <w:tr w:rsidR="0026718D" w:rsidRPr="007A3600" w14:paraId="120F8857" w14:textId="0CE841DD" w:rsidTr="0026718D">
        <w:trPr>
          <w:cnfStyle w:val="100000000000" w:firstRow="1" w:lastRow="0" w:firstColumn="0" w:lastColumn="0" w:oddVBand="0" w:evenVBand="0" w:oddHBand="0" w:evenHBand="0" w:firstRowFirstColumn="0" w:firstRowLastColumn="0" w:lastRowFirstColumn="0" w:lastRowLastColumn="0"/>
        </w:trPr>
        <w:tc>
          <w:tcPr>
            <w:tcW w:w="2252" w:type="dxa"/>
          </w:tcPr>
          <w:p w14:paraId="593D97C0" w14:textId="1F620E5A" w:rsidR="00E3276D" w:rsidRPr="007A3600" w:rsidRDefault="00E3276D" w:rsidP="00AD3197">
            <w:pPr>
              <w:pStyle w:val="TableBody"/>
            </w:pPr>
            <w:r w:rsidRPr="007A3600">
              <w:rPr>
                <w:rFonts w:asciiTheme="majorHAnsi" w:hAnsiTheme="majorHAnsi" w:cstheme="majorHAnsi"/>
                <w:szCs w:val="24"/>
              </w:rPr>
              <w:t>Act</w:t>
            </w:r>
          </w:p>
        </w:tc>
        <w:tc>
          <w:tcPr>
            <w:tcW w:w="1814" w:type="dxa"/>
          </w:tcPr>
          <w:p w14:paraId="2AF39770" w14:textId="0FCD62F2" w:rsidR="00E3276D" w:rsidRPr="007A3600" w:rsidRDefault="00E3276D" w:rsidP="00AD3197">
            <w:pPr>
              <w:pStyle w:val="TableBody"/>
            </w:pPr>
            <w:r w:rsidRPr="007A3600">
              <w:rPr>
                <w:rFonts w:asciiTheme="majorHAnsi" w:hAnsiTheme="majorHAnsi" w:cstheme="majorHAnsi"/>
                <w:szCs w:val="24"/>
              </w:rPr>
              <w:t>Part of report</w:t>
            </w:r>
          </w:p>
        </w:tc>
        <w:tc>
          <w:tcPr>
            <w:tcW w:w="3422" w:type="dxa"/>
          </w:tcPr>
          <w:p w14:paraId="5E0572BC" w14:textId="5559A5FE" w:rsidR="00E3276D" w:rsidRPr="007A3600" w:rsidRDefault="00E3276D" w:rsidP="00AD3197">
            <w:pPr>
              <w:pStyle w:val="TableBody"/>
            </w:pPr>
            <w:r w:rsidRPr="007A3600">
              <w:rPr>
                <w:rFonts w:asciiTheme="majorHAnsi" w:hAnsiTheme="majorHAnsi" w:cstheme="majorHAnsi"/>
                <w:szCs w:val="24"/>
              </w:rPr>
              <w:t>Description</w:t>
            </w:r>
          </w:p>
        </w:tc>
        <w:tc>
          <w:tcPr>
            <w:tcW w:w="1643" w:type="dxa"/>
          </w:tcPr>
          <w:p w14:paraId="45337EF2" w14:textId="6B41F76F" w:rsidR="00E3276D" w:rsidRPr="007A3600" w:rsidRDefault="00E3276D" w:rsidP="00AD3197">
            <w:pPr>
              <w:pStyle w:val="TableBody"/>
            </w:pPr>
            <w:r w:rsidRPr="007A3600">
              <w:rPr>
                <w:rFonts w:asciiTheme="majorHAnsi" w:hAnsiTheme="majorHAnsi" w:cstheme="majorHAnsi"/>
                <w:szCs w:val="24"/>
              </w:rPr>
              <w:t>Requirement</w:t>
            </w:r>
          </w:p>
        </w:tc>
      </w:tr>
      <w:tr w:rsidR="0026718D" w:rsidRPr="007A3600" w14:paraId="4FDCAC75" w14:textId="15D36936" w:rsidTr="0026718D">
        <w:trPr>
          <w:cnfStyle w:val="000000100000" w:firstRow="0" w:lastRow="0" w:firstColumn="0" w:lastColumn="0" w:oddVBand="0" w:evenVBand="0" w:oddHBand="1" w:evenHBand="0" w:firstRowFirstColumn="0" w:firstRowLastColumn="0" w:lastRowFirstColumn="0" w:lastRowLastColumn="0"/>
        </w:trPr>
        <w:tc>
          <w:tcPr>
            <w:tcW w:w="2252" w:type="dxa"/>
          </w:tcPr>
          <w:p w14:paraId="78EE369C" w14:textId="5CBE4852" w:rsidR="00F1503A" w:rsidRPr="007A3600" w:rsidRDefault="00F1503A" w:rsidP="00AD3197">
            <w:pPr>
              <w:pStyle w:val="TableBody"/>
            </w:pPr>
            <w:r w:rsidRPr="007A3600">
              <w:rPr>
                <w:rFonts w:asciiTheme="majorHAnsi" w:hAnsiTheme="majorHAnsi" w:cstheme="majorHAnsi"/>
                <w:i/>
                <w:iCs/>
                <w:szCs w:val="24"/>
                <w:lang w:val="en-GB"/>
              </w:rPr>
              <w:t>Work Health and Safety Act 2011 Schedule 2</w:t>
            </w:r>
          </w:p>
        </w:tc>
        <w:tc>
          <w:tcPr>
            <w:tcW w:w="1814" w:type="dxa"/>
          </w:tcPr>
          <w:p w14:paraId="70AB8AF1" w14:textId="034100C1" w:rsidR="00F1503A" w:rsidRPr="007A3600" w:rsidRDefault="001F166A" w:rsidP="00AD3197">
            <w:pPr>
              <w:pStyle w:val="TableBody"/>
            </w:pPr>
            <w:hyperlink w:anchor="_6.2_Workforce_demographics" w:history="1">
              <w:r w:rsidRPr="007A3600">
                <w:rPr>
                  <w:rStyle w:val="Hyperlink"/>
                </w:rPr>
                <w:t>5.2 Health, safety and wellbeing</w:t>
              </w:r>
            </w:hyperlink>
          </w:p>
          <w:p w14:paraId="65B20A09" w14:textId="19239FE2" w:rsidR="00D65677" w:rsidRPr="007A3600" w:rsidRDefault="00D65677" w:rsidP="00AD3197">
            <w:pPr>
              <w:pStyle w:val="TableBody"/>
            </w:pPr>
            <w:hyperlink w:anchor="_Work_health_and" w:history="1">
              <w:r w:rsidRPr="007A3600">
                <w:rPr>
                  <w:rStyle w:val="Hyperlink"/>
                </w:rPr>
                <w:t>Work health and safety outcomes</w:t>
              </w:r>
            </w:hyperlink>
          </w:p>
        </w:tc>
        <w:tc>
          <w:tcPr>
            <w:tcW w:w="3422" w:type="dxa"/>
          </w:tcPr>
          <w:p w14:paraId="0AE95A51" w14:textId="77777777" w:rsidR="00F1503A" w:rsidRPr="007A3600" w:rsidRDefault="00F1503A" w:rsidP="00AD3197">
            <w:pPr>
              <w:rPr>
                <w:rFonts w:asciiTheme="majorHAnsi" w:hAnsiTheme="majorHAnsi" w:cstheme="majorHAnsi"/>
                <w:lang w:val="en-GB"/>
              </w:rPr>
            </w:pPr>
            <w:r w:rsidRPr="007A3600">
              <w:rPr>
                <w:rFonts w:asciiTheme="majorHAnsi" w:hAnsiTheme="majorHAnsi" w:cstheme="majorHAnsi"/>
                <w:lang w:val="en-GB"/>
              </w:rPr>
              <w:t>4(1) – Work Health and Safety</w:t>
            </w:r>
          </w:p>
          <w:p w14:paraId="7A37F5C6" w14:textId="353A97D0" w:rsidR="00F1503A" w:rsidRPr="007A3600" w:rsidRDefault="00F1503A" w:rsidP="00AD3197">
            <w:pPr>
              <w:pStyle w:val="TableBody"/>
            </w:pPr>
            <w:r w:rsidRPr="007A3600">
              <w:rPr>
                <w:rFonts w:asciiTheme="majorHAnsi" w:hAnsiTheme="majorHAnsi" w:cstheme="majorHAnsi"/>
                <w:szCs w:val="24"/>
                <w:lang w:val="en-GB"/>
              </w:rPr>
              <w:t>4(2) – Summary of incidents pursuant to section 38 of the WHS Act</w:t>
            </w:r>
          </w:p>
        </w:tc>
        <w:tc>
          <w:tcPr>
            <w:tcW w:w="1643" w:type="dxa"/>
          </w:tcPr>
          <w:p w14:paraId="6A77E899" w14:textId="23DEDDDB" w:rsidR="00F1503A" w:rsidRPr="007A3600" w:rsidRDefault="00F1503A" w:rsidP="00AD3197">
            <w:pPr>
              <w:pStyle w:val="TableBody"/>
            </w:pPr>
            <w:r w:rsidRPr="007A3600">
              <w:rPr>
                <w:rFonts w:asciiTheme="majorHAnsi" w:hAnsiTheme="majorHAnsi" w:cstheme="majorHAnsi"/>
                <w:szCs w:val="24"/>
                <w:lang w:val="en-GB"/>
              </w:rPr>
              <w:t>Mandatory</w:t>
            </w:r>
          </w:p>
        </w:tc>
      </w:tr>
      <w:tr w:rsidR="0076620A" w:rsidRPr="007A3600" w14:paraId="4D57639D" w14:textId="581057CB" w:rsidTr="0026718D">
        <w:tc>
          <w:tcPr>
            <w:tcW w:w="2252" w:type="dxa"/>
          </w:tcPr>
          <w:p w14:paraId="5FD0E456" w14:textId="37F1E57D" w:rsidR="00F1503A" w:rsidRPr="007A3600" w:rsidRDefault="00F1503A" w:rsidP="00AD3197">
            <w:pPr>
              <w:pStyle w:val="TableBody"/>
            </w:pPr>
            <w:r w:rsidRPr="007A3600">
              <w:rPr>
                <w:rFonts w:asciiTheme="majorHAnsi" w:hAnsiTheme="majorHAnsi" w:cstheme="majorHAnsi"/>
                <w:i/>
                <w:iCs/>
                <w:szCs w:val="24"/>
                <w:lang w:val="en-GB"/>
              </w:rPr>
              <w:t>Commonwealth Electoral Act 1918</w:t>
            </w:r>
          </w:p>
        </w:tc>
        <w:tc>
          <w:tcPr>
            <w:tcW w:w="1814" w:type="dxa"/>
          </w:tcPr>
          <w:p w14:paraId="6BD49D4B" w14:textId="3510429C" w:rsidR="00F1503A" w:rsidRPr="007A3600" w:rsidRDefault="001F166A" w:rsidP="00AD3197">
            <w:pPr>
              <w:pStyle w:val="TableBody"/>
            </w:pPr>
            <w:hyperlink w:anchor="_8.4_Advertising_and" w:history="1">
              <w:r w:rsidRPr="007A3600">
                <w:rPr>
                  <w:rStyle w:val="Hyperlink"/>
                </w:rPr>
                <w:t>8.7 Advertising and market research</w:t>
              </w:r>
            </w:hyperlink>
          </w:p>
        </w:tc>
        <w:tc>
          <w:tcPr>
            <w:tcW w:w="3422" w:type="dxa"/>
          </w:tcPr>
          <w:p w14:paraId="56A32F38" w14:textId="55FDB876" w:rsidR="00F1503A" w:rsidRPr="007A3600" w:rsidRDefault="00F1503A" w:rsidP="00AD3197">
            <w:pPr>
              <w:pStyle w:val="TableBody"/>
            </w:pPr>
            <w:r w:rsidRPr="007A3600">
              <w:rPr>
                <w:rFonts w:asciiTheme="majorHAnsi" w:hAnsiTheme="majorHAnsi" w:cstheme="majorHAnsi"/>
                <w:szCs w:val="24"/>
                <w:lang w:val="en-GB"/>
              </w:rPr>
              <w:t>311A – Advertising and Market Research</w:t>
            </w:r>
          </w:p>
        </w:tc>
        <w:tc>
          <w:tcPr>
            <w:tcW w:w="1643" w:type="dxa"/>
          </w:tcPr>
          <w:p w14:paraId="0604D966" w14:textId="019A6EB9" w:rsidR="00F1503A" w:rsidRPr="007A3600" w:rsidRDefault="00F1503A" w:rsidP="00AD3197">
            <w:pPr>
              <w:pStyle w:val="TableBody"/>
            </w:pPr>
            <w:r w:rsidRPr="007A3600">
              <w:rPr>
                <w:rFonts w:asciiTheme="majorHAnsi" w:hAnsiTheme="majorHAnsi" w:cstheme="majorHAnsi"/>
                <w:szCs w:val="24"/>
                <w:lang w:val="en-GB"/>
              </w:rPr>
              <w:t>Mandatory</w:t>
            </w:r>
          </w:p>
        </w:tc>
      </w:tr>
      <w:tr w:rsidR="0026718D" w:rsidRPr="007A3600" w14:paraId="6A3673FD" w14:textId="12D40457" w:rsidTr="0026718D">
        <w:trPr>
          <w:cnfStyle w:val="000000100000" w:firstRow="0" w:lastRow="0" w:firstColumn="0" w:lastColumn="0" w:oddVBand="0" w:evenVBand="0" w:oddHBand="1" w:evenHBand="0" w:firstRowFirstColumn="0" w:firstRowLastColumn="0" w:lastRowFirstColumn="0" w:lastRowLastColumn="0"/>
        </w:trPr>
        <w:tc>
          <w:tcPr>
            <w:tcW w:w="2252" w:type="dxa"/>
          </w:tcPr>
          <w:p w14:paraId="2C9569EF" w14:textId="1C96593F" w:rsidR="00F1503A" w:rsidRPr="007A3600" w:rsidRDefault="00F1503A" w:rsidP="00AD3197">
            <w:pPr>
              <w:pStyle w:val="TableBody"/>
            </w:pPr>
            <w:r w:rsidRPr="007A3600">
              <w:rPr>
                <w:rFonts w:asciiTheme="majorHAnsi" w:hAnsiTheme="majorHAnsi" w:cstheme="majorHAnsi"/>
                <w:i/>
                <w:iCs/>
                <w:szCs w:val="24"/>
                <w:lang w:val="en-GB"/>
              </w:rPr>
              <w:t>Environment Protection and Biodiversity Conservation Act 1999</w:t>
            </w:r>
          </w:p>
        </w:tc>
        <w:tc>
          <w:tcPr>
            <w:tcW w:w="1814" w:type="dxa"/>
          </w:tcPr>
          <w:p w14:paraId="484CD886" w14:textId="070EF929" w:rsidR="00F1503A" w:rsidRPr="007A3600" w:rsidRDefault="001F166A" w:rsidP="00AD3197">
            <w:pPr>
              <w:pStyle w:val="TableBody"/>
            </w:pPr>
            <w:hyperlink w:anchor="_8.5_Climate_statement" w:history="1">
              <w:r w:rsidRPr="007A3600">
                <w:rPr>
                  <w:rStyle w:val="Hyperlink"/>
                </w:rPr>
                <w:t>8.8 Climate statement</w:t>
              </w:r>
            </w:hyperlink>
          </w:p>
          <w:p w14:paraId="7B0DBEE0" w14:textId="3F1A120D" w:rsidR="00E01EB4" w:rsidRPr="007A3600" w:rsidRDefault="00E01EB4" w:rsidP="00AD3197">
            <w:pPr>
              <w:pStyle w:val="TableBody"/>
            </w:pPr>
            <w:hyperlink w:anchor="_Emissions_reporting" w:history="1">
              <w:r w:rsidRPr="007A3600">
                <w:rPr>
                  <w:rStyle w:val="Hyperlink"/>
                </w:rPr>
                <w:t>Emissions reporting</w:t>
              </w:r>
            </w:hyperlink>
          </w:p>
        </w:tc>
        <w:tc>
          <w:tcPr>
            <w:tcW w:w="3422" w:type="dxa"/>
          </w:tcPr>
          <w:p w14:paraId="59609B66" w14:textId="4EEA758B" w:rsidR="00F1503A" w:rsidRPr="007A3600" w:rsidRDefault="00F1503A" w:rsidP="00AD3197">
            <w:pPr>
              <w:pStyle w:val="TableBody"/>
            </w:pPr>
            <w:r w:rsidRPr="007A3600">
              <w:rPr>
                <w:rFonts w:asciiTheme="majorHAnsi" w:hAnsiTheme="majorHAnsi" w:cstheme="majorHAnsi"/>
                <w:szCs w:val="24"/>
                <w:lang w:val="en-GB"/>
              </w:rPr>
              <w:t>516A – Ecologically sustainable development and environmental performance</w:t>
            </w:r>
          </w:p>
        </w:tc>
        <w:tc>
          <w:tcPr>
            <w:tcW w:w="1643" w:type="dxa"/>
          </w:tcPr>
          <w:p w14:paraId="6AB745C2" w14:textId="13AC288F" w:rsidR="00F1503A" w:rsidRPr="007A3600" w:rsidRDefault="00F1503A" w:rsidP="00AD3197">
            <w:pPr>
              <w:pStyle w:val="TableBody"/>
            </w:pPr>
            <w:r w:rsidRPr="007A3600">
              <w:rPr>
                <w:rFonts w:asciiTheme="majorHAnsi" w:hAnsiTheme="majorHAnsi" w:cstheme="majorHAnsi"/>
                <w:szCs w:val="24"/>
                <w:lang w:val="en-GB"/>
              </w:rPr>
              <w:t>Mandatory</w:t>
            </w:r>
          </w:p>
        </w:tc>
      </w:tr>
      <w:tr w:rsidR="0076620A" w:rsidRPr="007A3600" w14:paraId="35A68D31" w14:textId="77777777" w:rsidTr="0026718D">
        <w:tc>
          <w:tcPr>
            <w:tcW w:w="2252" w:type="dxa"/>
          </w:tcPr>
          <w:p w14:paraId="77831DFA" w14:textId="4E9CA3A8" w:rsidR="00F1503A" w:rsidRPr="007A3600" w:rsidRDefault="00F1503A" w:rsidP="00AD3197">
            <w:pPr>
              <w:pStyle w:val="TableBody"/>
            </w:pPr>
            <w:r w:rsidRPr="007A3600">
              <w:rPr>
                <w:rFonts w:asciiTheme="majorHAnsi" w:hAnsiTheme="majorHAnsi" w:cstheme="majorHAnsi"/>
                <w:i/>
                <w:iCs/>
                <w:szCs w:val="24"/>
                <w:lang w:val="en-GB"/>
              </w:rPr>
              <w:lastRenderedPageBreak/>
              <w:t xml:space="preserve">Carer Recognition Act 2010 </w:t>
            </w:r>
          </w:p>
        </w:tc>
        <w:tc>
          <w:tcPr>
            <w:tcW w:w="1814" w:type="dxa"/>
          </w:tcPr>
          <w:p w14:paraId="7C21FAB3" w14:textId="43C16C84" w:rsidR="00F1503A" w:rsidRPr="007A3600" w:rsidRDefault="001F166A" w:rsidP="00AD3197">
            <w:pPr>
              <w:pStyle w:val="TableBody"/>
            </w:pPr>
            <w:hyperlink w:anchor="_8.6_Compliance_with" w:history="1">
              <w:r w:rsidRPr="007A3600">
                <w:rPr>
                  <w:rStyle w:val="Hyperlink"/>
                </w:rPr>
                <w:t>8.9 Compliance with Carer Recognition Act</w:t>
              </w:r>
            </w:hyperlink>
          </w:p>
        </w:tc>
        <w:tc>
          <w:tcPr>
            <w:tcW w:w="3422" w:type="dxa"/>
          </w:tcPr>
          <w:p w14:paraId="3E9BA109" w14:textId="6A3F363A" w:rsidR="00F1503A" w:rsidRPr="007A3600" w:rsidRDefault="00F1503A" w:rsidP="00AD3197">
            <w:pPr>
              <w:pStyle w:val="TableBody"/>
            </w:pPr>
            <w:r w:rsidRPr="007A3600">
              <w:rPr>
                <w:rFonts w:asciiTheme="majorHAnsi" w:hAnsiTheme="majorHAnsi" w:cstheme="majorHAnsi"/>
                <w:szCs w:val="24"/>
                <w:lang w:val="en-GB"/>
              </w:rPr>
              <w:t>4 – Statement of compliance with Carer Recognition Act</w:t>
            </w:r>
          </w:p>
        </w:tc>
        <w:tc>
          <w:tcPr>
            <w:tcW w:w="1643" w:type="dxa"/>
          </w:tcPr>
          <w:p w14:paraId="737DA16B" w14:textId="161032E1" w:rsidR="00F1503A" w:rsidRPr="007A3600" w:rsidRDefault="00F1503A" w:rsidP="00AD3197">
            <w:pPr>
              <w:pStyle w:val="TableBody"/>
            </w:pPr>
            <w:r w:rsidRPr="007A3600">
              <w:rPr>
                <w:rFonts w:asciiTheme="majorHAnsi" w:hAnsiTheme="majorHAnsi" w:cstheme="majorHAnsi"/>
                <w:szCs w:val="24"/>
                <w:lang w:val="en-GB"/>
              </w:rPr>
              <w:t>Mandatory</w:t>
            </w:r>
          </w:p>
        </w:tc>
      </w:tr>
      <w:tr w:rsidR="0026718D" w:rsidRPr="007A3600" w14:paraId="4EB110EA" w14:textId="77777777" w:rsidTr="0026718D">
        <w:trPr>
          <w:cnfStyle w:val="000000100000" w:firstRow="0" w:lastRow="0" w:firstColumn="0" w:lastColumn="0" w:oddVBand="0" w:evenVBand="0" w:oddHBand="1" w:evenHBand="0" w:firstRowFirstColumn="0" w:firstRowLastColumn="0" w:lastRowFirstColumn="0" w:lastRowLastColumn="0"/>
        </w:trPr>
        <w:tc>
          <w:tcPr>
            <w:tcW w:w="2252" w:type="dxa"/>
          </w:tcPr>
          <w:p w14:paraId="321A8B72" w14:textId="067C931F" w:rsidR="00F1503A" w:rsidRPr="007A3600" w:rsidRDefault="00F1503A" w:rsidP="00AD3197">
            <w:pPr>
              <w:pStyle w:val="TableBody"/>
            </w:pPr>
            <w:r w:rsidRPr="007A3600">
              <w:rPr>
                <w:rFonts w:asciiTheme="majorHAnsi" w:hAnsiTheme="majorHAnsi" w:cstheme="majorHAnsi"/>
                <w:i/>
                <w:iCs/>
                <w:szCs w:val="24"/>
                <w:lang w:val="en-GB"/>
              </w:rPr>
              <w:t>Privacy Act 1988</w:t>
            </w:r>
          </w:p>
        </w:tc>
        <w:tc>
          <w:tcPr>
            <w:tcW w:w="1814" w:type="dxa"/>
          </w:tcPr>
          <w:p w14:paraId="3F6464AA" w14:textId="58470F96" w:rsidR="00F1503A" w:rsidRPr="007A3600" w:rsidRDefault="001F166A" w:rsidP="00AD3197">
            <w:pPr>
              <w:pStyle w:val="TableBody"/>
            </w:pPr>
            <w:hyperlink w:anchor="_8.7_Privacy_obligations" w:history="1">
              <w:r w:rsidRPr="007A3600">
                <w:rPr>
                  <w:rStyle w:val="Hyperlink"/>
                </w:rPr>
                <w:t>8.10 Privacy obligations</w:t>
              </w:r>
            </w:hyperlink>
          </w:p>
        </w:tc>
        <w:tc>
          <w:tcPr>
            <w:tcW w:w="3422" w:type="dxa"/>
          </w:tcPr>
          <w:p w14:paraId="097695D8" w14:textId="7424B445" w:rsidR="00F1503A" w:rsidRPr="007A3600" w:rsidRDefault="00F1503A" w:rsidP="00AD3197">
            <w:pPr>
              <w:pStyle w:val="TableBody"/>
            </w:pPr>
            <w:r w:rsidRPr="007A3600">
              <w:rPr>
                <w:rFonts w:asciiTheme="majorHAnsi" w:hAnsiTheme="majorHAnsi" w:cstheme="majorHAnsi"/>
                <w:szCs w:val="24"/>
                <w:lang w:val="en-GB"/>
              </w:rPr>
              <w:t>Statement of Compliance</w:t>
            </w:r>
          </w:p>
        </w:tc>
        <w:tc>
          <w:tcPr>
            <w:tcW w:w="1643" w:type="dxa"/>
          </w:tcPr>
          <w:p w14:paraId="255F28E8" w14:textId="3F24BB1F" w:rsidR="00F1503A" w:rsidRPr="007A3600" w:rsidRDefault="00F1503A" w:rsidP="00AD3197">
            <w:pPr>
              <w:pStyle w:val="TableBody"/>
            </w:pPr>
            <w:r w:rsidRPr="007A3600">
              <w:rPr>
                <w:rFonts w:asciiTheme="majorHAnsi" w:hAnsiTheme="majorHAnsi" w:cstheme="majorHAnsi"/>
                <w:szCs w:val="24"/>
                <w:lang w:val="en-GB"/>
              </w:rPr>
              <w:t>Mandatory</w:t>
            </w:r>
          </w:p>
        </w:tc>
      </w:tr>
    </w:tbl>
    <w:p w14:paraId="1D975733" w14:textId="6A27F78E" w:rsidR="00E30ACD" w:rsidRPr="007A3600" w:rsidRDefault="00924091" w:rsidP="00AD3197">
      <w:pPr>
        <w:pStyle w:val="Heading3"/>
      </w:pPr>
      <w:bookmarkStart w:id="339" w:name="_Toc207017793"/>
      <w:bookmarkStart w:id="340" w:name="_Toc209695884"/>
      <w:r w:rsidRPr="007A3600">
        <w:t>9</w:t>
      </w:r>
      <w:r w:rsidR="00E30ACD" w:rsidRPr="007A3600">
        <w:t>.2</w:t>
      </w:r>
      <w:r w:rsidR="00E30ACD" w:rsidRPr="007A3600">
        <w:tab/>
        <w:t>Tables index</w:t>
      </w:r>
      <w:bookmarkEnd w:id="339"/>
      <w:bookmarkEnd w:id="340"/>
    </w:p>
    <w:tbl>
      <w:tblPr>
        <w:tblStyle w:val="NDISTable1"/>
        <w:tblW w:w="9127" w:type="dxa"/>
        <w:tblLayout w:type="fixed"/>
        <w:tblCellMar>
          <w:left w:w="57" w:type="dxa"/>
          <w:right w:w="57" w:type="dxa"/>
        </w:tblCellMar>
        <w:tblLook w:val="0420" w:firstRow="1" w:lastRow="0" w:firstColumn="0" w:lastColumn="0" w:noHBand="0" w:noVBand="1"/>
      </w:tblPr>
      <w:tblGrid>
        <w:gridCol w:w="1247"/>
        <w:gridCol w:w="6803"/>
        <w:gridCol w:w="1077"/>
      </w:tblGrid>
      <w:tr w:rsidR="00B407C5" w:rsidRPr="007A3600" w14:paraId="5661A563" w14:textId="77777777" w:rsidTr="000D52CB">
        <w:trPr>
          <w:cnfStyle w:val="100000000000" w:firstRow="1" w:lastRow="0" w:firstColumn="0" w:lastColumn="0" w:oddVBand="0" w:evenVBand="0" w:oddHBand="0" w:evenHBand="0" w:firstRowFirstColumn="0" w:firstRowLastColumn="0" w:lastRowFirstColumn="0" w:lastRowLastColumn="0"/>
        </w:trPr>
        <w:tc>
          <w:tcPr>
            <w:tcW w:w="1247" w:type="dxa"/>
          </w:tcPr>
          <w:p w14:paraId="2924DAD3" w14:textId="77777777" w:rsidR="003E3201" w:rsidRPr="007A3600" w:rsidRDefault="003E3201" w:rsidP="00AD3197">
            <w:pPr>
              <w:pStyle w:val="TableBody"/>
            </w:pPr>
            <w:r w:rsidRPr="007A3600">
              <w:t>Table</w:t>
            </w:r>
          </w:p>
        </w:tc>
        <w:tc>
          <w:tcPr>
            <w:tcW w:w="6803" w:type="dxa"/>
          </w:tcPr>
          <w:p w14:paraId="05EB98F6" w14:textId="77777777" w:rsidR="003E3201" w:rsidRPr="007A3600" w:rsidRDefault="003E3201" w:rsidP="00AD3197">
            <w:pPr>
              <w:pStyle w:val="TableBody"/>
            </w:pPr>
            <w:r w:rsidRPr="007A3600">
              <w:t>Title</w:t>
            </w:r>
          </w:p>
        </w:tc>
        <w:tc>
          <w:tcPr>
            <w:tcW w:w="1077" w:type="dxa"/>
          </w:tcPr>
          <w:p w14:paraId="3A57D3B5" w14:textId="77777777" w:rsidR="003E3201" w:rsidRPr="007A3600" w:rsidRDefault="003E3201" w:rsidP="00AD3197">
            <w:pPr>
              <w:pStyle w:val="TableBody"/>
            </w:pPr>
            <w:r w:rsidRPr="007A3600">
              <w:t>Page</w:t>
            </w:r>
          </w:p>
        </w:tc>
      </w:tr>
      <w:tr w:rsidR="00B1794B" w:rsidRPr="007A3600" w14:paraId="34DE4A47"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7B12B09C" w14:textId="77777777" w:rsidR="00B1794B" w:rsidRPr="007A3600" w:rsidRDefault="00B1794B" w:rsidP="00B1794B">
            <w:pPr>
              <w:pStyle w:val="TableBody"/>
            </w:pPr>
            <w:r w:rsidRPr="007A3600">
              <w:t>Table 1</w:t>
            </w:r>
          </w:p>
        </w:tc>
        <w:tc>
          <w:tcPr>
            <w:tcW w:w="6803" w:type="dxa"/>
          </w:tcPr>
          <w:p w14:paraId="170E5539" w14:textId="0105067E" w:rsidR="00B1794B" w:rsidRPr="007A3600" w:rsidRDefault="00B1794B" w:rsidP="00B1794B">
            <w:pPr>
              <w:pStyle w:val="TableBody"/>
            </w:pPr>
            <w:r w:rsidRPr="007A3600">
              <w:t>Comparison with June 2024 projections</w:t>
            </w:r>
          </w:p>
        </w:tc>
        <w:tc>
          <w:tcPr>
            <w:tcW w:w="1077" w:type="dxa"/>
          </w:tcPr>
          <w:p w14:paraId="1BE82BA0" w14:textId="365FC79F" w:rsidR="00B1794B" w:rsidRPr="007A3600" w:rsidRDefault="00B1794B" w:rsidP="00B1794B">
            <w:pPr>
              <w:pStyle w:val="TableBody"/>
            </w:pPr>
            <w:r>
              <w:t>41</w:t>
            </w:r>
          </w:p>
        </w:tc>
      </w:tr>
      <w:tr w:rsidR="00B1794B" w:rsidRPr="007A3600" w14:paraId="3D68B9FC" w14:textId="77777777" w:rsidTr="000D52CB">
        <w:tc>
          <w:tcPr>
            <w:tcW w:w="1247" w:type="dxa"/>
          </w:tcPr>
          <w:p w14:paraId="4ED465A0" w14:textId="77777777" w:rsidR="00B1794B" w:rsidRPr="007A3600" w:rsidRDefault="00B1794B" w:rsidP="00B1794B">
            <w:pPr>
              <w:pStyle w:val="TableBody"/>
            </w:pPr>
            <w:r w:rsidRPr="007A3600">
              <w:t>Table 2</w:t>
            </w:r>
          </w:p>
        </w:tc>
        <w:tc>
          <w:tcPr>
            <w:tcW w:w="6803" w:type="dxa"/>
          </w:tcPr>
          <w:p w14:paraId="454B912D" w14:textId="0B367CEE" w:rsidR="00B1794B" w:rsidRPr="007A3600" w:rsidRDefault="00B1794B" w:rsidP="00B1794B">
            <w:pPr>
              <w:pStyle w:val="TableBody"/>
            </w:pPr>
            <w:r w:rsidRPr="007A3600">
              <w:t>Movements in projected Scheme expenses relative to June 2024 projections</w:t>
            </w:r>
          </w:p>
        </w:tc>
        <w:tc>
          <w:tcPr>
            <w:tcW w:w="1077" w:type="dxa"/>
          </w:tcPr>
          <w:p w14:paraId="7F0D5452" w14:textId="4706F75A" w:rsidR="00B1794B" w:rsidRPr="007A3600" w:rsidRDefault="00B1794B" w:rsidP="00B1794B">
            <w:pPr>
              <w:pStyle w:val="TableBody"/>
            </w:pPr>
            <w:r>
              <w:t>43</w:t>
            </w:r>
          </w:p>
        </w:tc>
      </w:tr>
      <w:tr w:rsidR="00B1794B" w:rsidRPr="007A3600" w14:paraId="12CACD4A"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75B3DD79" w14:textId="77777777" w:rsidR="00B1794B" w:rsidRPr="007A3600" w:rsidRDefault="00B1794B" w:rsidP="00B1794B">
            <w:pPr>
              <w:pStyle w:val="TableBody"/>
            </w:pPr>
            <w:r w:rsidRPr="007A3600">
              <w:t>Table 3</w:t>
            </w:r>
          </w:p>
        </w:tc>
        <w:tc>
          <w:tcPr>
            <w:tcW w:w="6803" w:type="dxa"/>
          </w:tcPr>
          <w:p w14:paraId="10445E80" w14:textId="77777777" w:rsidR="00B1794B" w:rsidRPr="007A3600" w:rsidRDefault="00B1794B" w:rsidP="00B1794B">
            <w:pPr>
              <w:pStyle w:val="TableBody"/>
            </w:pPr>
            <w:r w:rsidRPr="007A3600">
              <w:t>Annual growth in projected Scheme expenses</w:t>
            </w:r>
          </w:p>
        </w:tc>
        <w:tc>
          <w:tcPr>
            <w:tcW w:w="1077" w:type="dxa"/>
          </w:tcPr>
          <w:p w14:paraId="29EA0B93" w14:textId="10630E43" w:rsidR="00B1794B" w:rsidRPr="007A3600" w:rsidRDefault="00B1794B" w:rsidP="00B1794B">
            <w:pPr>
              <w:pStyle w:val="TableBody"/>
            </w:pPr>
            <w:r>
              <w:t>44</w:t>
            </w:r>
          </w:p>
        </w:tc>
      </w:tr>
      <w:tr w:rsidR="00B1794B" w:rsidRPr="007A3600" w14:paraId="01F97AF7" w14:textId="77777777" w:rsidTr="000D52CB">
        <w:tc>
          <w:tcPr>
            <w:tcW w:w="1247" w:type="dxa"/>
          </w:tcPr>
          <w:p w14:paraId="09323CEB" w14:textId="77777777" w:rsidR="00B1794B" w:rsidRPr="007A3600" w:rsidRDefault="00B1794B" w:rsidP="00B1794B">
            <w:pPr>
              <w:pStyle w:val="TableBody"/>
            </w:pPr>
            <w:r w:rsidRPr="007A3600">
              <w:t>Table 4</w:t>
            </w:r>
          </w:p>
        </w:tc>
        <w:tc>
          <w:tcPr>
            <w:tcW w:w="6803" w:type="dxa"/>
          </w:tcPr>
          <w:p w14:paraId="6757BD37" w14:textId="77777777" w:rsidR="00B1794B" w:rsidRPr="007A3600" w:rsidRDefault="00B1794B" w:rsidP="00B1794B">
            <w:pPr>
              <w:pStyle w:val="TableBody"/>
            </w:pPr>
            <w:r w:rsidRPr="007A3600">
              <w:t>Board committees and members as at 30 June 2025</w:t>
            </w:r>
          </w:p>
        </w:tc>
        <w:tc>
          <w:tcPr>
            <w:tcW w:w="1077" w:type="dxa"/>
          </w:tcPr>
          <w:p w14:paraId="2C02C983" w14:textId="43091110" w:rsidR="00B1794B" w:rsidRPr="007A3600" w:rsidRDefault="00B1794B" w:rsidP="00B1794B">
            <w:pPr>
              <w:pStyle w:val="TableBody"/>
            </w:pPr>
            <w:r>
              <w:t>61</w:t>
            </w:r>
          </w:p>
        </w:tc>
      </w:tr>
      <w:tr w:rsidR="00B1794B" w:rsidRPr="007A3600" w14:paraId="540778DD"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5AEEF712" w14:textId="77777777" w:rsidR="00B1794B" w:rsidRPr="007A3600" w:rsidRDefault="00B1794B" w:rsidP="00B1794B">
            <w:pPr>
              <w:pStyle w:val="TableBody"/>
            </w:pPr>
            <w:r w:rsidRPr="007A3600">
              <w:t>Table 5</w:t>
            </w:r>
          </w:p>
        </w:tc>
        <w:tc>
          <w:tcPr>
            <w:tcW w:w="6803" w:type="dxa"/>
          </w:tcPr>
          <w:p w14:paraId="1C89673A" w14:textId="77777777" w:rsidR="00B1794B" w:rsidRPr="007A3600" w:rsidRDefault="00B1794B" w:rsidP="00B1794B">
            <w:pPr>
              <w:pStyle w:val="TableBody"/>
            </w:pPr>
            <w:r w:rsidRPr="007A3600">
              <w:t>Number of meetings attended by Board members in 2024–25</w:t>
            </w:r>
          </w:p>
        </w:tc>
        <w:tc>
          <w:tcPr>
            <w:tcW w:w="1077" w:type="dxa"/>
          </w:tcPr>
          <w:p w14:paraId="5E49E5F3" w14:textId="37C5FC8B" w:rsidR="00B1794B" w:rsidRPr="007A3600" w:rsidRDefault="00B1794B" w:rsidP="00B1794B">
            <w:pPr>
              <w:pStyle w:val="TableBody"/>
            </w:pPr>
            <w:r>
              <w:t>62</w:t>
            </w:r>
          </w:p>
        </w:tc>
      </w:tr>
      <w:tr w:rsidR="00B1794B" w:rsidRPr="007A3600" w14:paraId="08B40EA5" w14:textId="77777777" w:rsidTr="000D52CB">
        <w:tc>
          <w:tcPr>
            <w:tcW w:w="1247" w:type="dxa"/>
          </w:tcPr>
          <w:p w14:paraId="3DB48B1B" w14:textId="77777777" w:rsidR="00B1794B" w:rsidRPr="007A3600" w:rsidRDefault="00B1794B" w:rsidP="00B1794B">
            <w:pPr>
              <w:pStyle w:val="TableBody"/>
            </w:pPr>
            <w:r w:rsidRPr="007A3600">
              <w:t>Table 6</w:t>
            </w:r>
          </w:p>
        </w:tc>
        <w:tc>
          <w:tcPr>
            <w:tcW w:w="6803" w:type="dxa"/>
          </w:tcPr>
          <w:p w14:paraId="524955F6" w14:textId="77777777" w:rsidR="00B1794B" w:rsidRPr="007A3600" w:rsidRDefault="00B1794B" w:rsidP="00B1794B">
            <w:pPr>
              <w:pStyle w:val="TableBody"/>
            </w:pPr>
            <w:r w:rsidRPr="007A3600">
              <w:t>Audit and Risk Committee</w:t>
            </w:r>
          </w:p>
        </w:tc>
        <w:tc>
          <w:tcPr>
            <w:tcW w:w="1077" w:type="dxa"/>
          </w:tcPr>
          <w:p w14:paraId="62739F53" w14:textId="70F0782B" w:rsidR="00B1794B" w:rsidRPr="007A3600" w:rsidRDefault="00B1794B" w:rsidP="00B1794B">
            <w:pPr>
              <w:pStyle w:val="TableBody"/>
            </w:pPr>
            <w:r>
              <w:t>64</w:t>
            </w:r>
          </w:p>
        </w:tc>
      </w:tr>
      <w:tr w:rsidR="00B1794B" w:rsidRPr="007A3600" w14:paraId="2D227E0E"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7EA27B19" w14:textId="77777777" w:rsidR="00B1794B" w:rsidRPr="007A3600" w:rsidRDefault="00B1794B" w:rsidP="00B1794B">
            <w:pPr>
              <w:pStyle w:val="TableBody"/>
            </w:pPr>
            <w:r w:rsidRPr="007A3600">
              <w:t>Table 7</w:t>
            </w:r>
          </w:p>
        </w:tc>
        <w:tc>
          <w:tcPr>
            <w:tcW w:w="6803" w:type="dxa"/>
          </w:tcPr>
          <w:p w14:paraId="3A595FE6" w14:textId="77777777" w:rsidR="00B1794B" w:rsidRPr="007A3600" w:rsidRDefault="00B1794B" w:rsidP="00B1794B">
            <w:pPr>
              <w:pStyle w:val="TableBody"/>
            </w:pPr>
            <w:r w:rsidRPr="007A3600">
              <w:t>Audit and Risk Committee Charter</w:t>
            </w:r>
          </w:p>
        </w:tc>
        <w:tc>
          <w:tcPr>
            <w:tcW w:w="1077" w:type="dxa"/>
          </w:tcPr>
          <w:p w14:paraId="11C0D11A" w14:textId="0FED4679" w:rsidR="00B1794B" w:rsidRPr="007A3600" w:rsidRDefault="00B1794B" w:rsidP="00B1794B">
            <w:pPr>
              <w:pStyle w:val="TableBody"/>
            </w:pPr>
            <w:r>
              <w:t>66</w:t>
            </w:r>
          </w:p>
        </w:tc>
      </w:tr>
      <w:tr w:rsidR="00B1794B" w:rsidRPr="007A3600" w14:paraId="78ED429F" w14:textId="77777777" w:rsidTr="000D52CB">
        <w:tc>
          <w:tcPr>
            <w:tcW w:w="1247" w:type="dxa"/>
          </w:tcPr>
          <w:p w14:paraId="1F4AADFD" w14:textId="77777777" w:rsidR="00B1794B" w:rsidRPr="007A3600" w:rsidRDefault="00B1794B" w:rsidP="00B1794B">
            <w:pPr>
              <w:pStyle w:val="TableBody"/>
            </w:pPr>
            <w:r w:rsidRPr="007A3600">
              <w:t>Table 8</w:t>
            </w:r>
          </w:p>
        </w:tc>
        <w:tc>
          <w:tcPr>
            <w:tcW w:w="6803" w:type="dxa"/>
          </w:tcPr>
          <w:p w14:paraId="0F0180A8" w14:textId="77777777" w:rsidR="00B1794B" w:rsidRPr="007A3600" w:rsidRDefault="00B1794B" w:rsidP="00B1794B">
            <w:pPr>
              <w:pStyle w:val="TableBody"/>
            </w:pPr>
            <w:r w:rsidRPr="007A3600">
              <w:t>Summary of reported health and safety incidents (2024–25)</w:t>
            </w:r>
          </w:p>
        </w:tc>
        <w:tc>
          <w:tcPr>
            <w:tcW w:w="1077" w:type="dxa"/>
          </w:tcPr>
          <w:p w14:paraId="47B153EB" w14:textId="72EB53D8" w:rsidR="00B1794B" w:rsidRPr="007A3600" w:rsidRDefault="00B1794B" w:rsidP="00B1794B">
            <w:pPr>
              <w:pStyle w:val="TableBody"/>
            </w:pPr>
            <w:r>
              <w:t>72</w:t>
            </w:r>
          </w:p>
        </w:tc>
      </w:tr>
      <w:tr w:rsidR="00B1794B" w:rsidRPr="007A3600" w14:paraId="04F846F8"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4121CF50" w14:textId="77777777" w:rsidR="00B1794B" w:rsidRPr="007A3600" w:rsidRDefault="00B1794B" w:rsidP="00B1794B">
            <w:pPr>
              <w:pStyle w:val="TableBody"/>
            </w:pPr>
            <w:r w:rsidRPr="007A3600">
              <w:t>Table 9</w:t>
            </w:r>
          </w:p>
        </w:tc>
        <w:tc>
          <w:tcPr>
            <w:tcW w:w="6803" w:type="dxa"/>
          </w:tcPr>
          <w:p w14:paraId="491B0C26" w14:textId="77777777" w:rsidR="00B1794B" w:rsidRPr="007A3600" w:rsidRDefault="00B1794B" w:rsidP="00B1794B">
            <w:pPr>
              <w:pStyle w:val="TableBody"/>
            </w:pPr>
            <w:r w:rsidRPr="007A3600">
              <w:t>Percentage of staff by diversity groups as reported in the 2025 APS Employee Census</w:t>
            </w:r>
          </w:p>
        </w:tc>
        <w:tc>
          <w:tcPr>
            <w:tcW w:w="1077" w:type="dxa"/>
          </w:tcPr>
          <w:p w14:paraId="2DADF0B6" w14:textId="193F5911" w:rsidR="00B1794B" w:rsidRPr="007A3600" w:rsidRDefault="00B1794B" w:rsidP="00B1794B">
            <w:pPr>
              <w:pStyle w:val="TableBody"/>
            </w:pPr>
            <w:r>
              <w:t>72</w:t>
            </w:r>
          </w:p>
        </w:tc>
      </w:tr>
      <w:tr w:rsidR="00B1794B" w:rsidRPr="007A3600" w14:paraId="6CF4346F" w14:textId="77777777" w:rsidTr="000D52CB">
        <w:tc>
          <w:tcPr>
            <w:tcW w:w="1247" w:type="dxa"/>
          </w:tcPr>
          <w:p w14:paraId="43C74B32" w14:textId="77777777" w:rsidR="00B1794B" w:rsidRPr="007A3600" w:rsidRDefault="00B1794B" w:rsidP="00B1794B">
            <w:pPr>
              <w:pStyle w:val="TableBody"/>
            </w:pPr>
            <w:r w:rsidRPr="007A3600">
              <w:t>Table 10</w:t>
            </w:r>
          </w:p>
        </w:tc>
        <w:tc>
          <w:tcPr>
            <w:tcW w:w="6803" w:type="dxa"/>
          </w:tcPr>
          <w:p w14:paraId="4F9C925B" w14:textId="77777777" w:rsidR="00B1794B" w:rsidRPr="007A3600" w:rsidRDefault="00B1794B" w:rsidP="00B1794B">
            <w:pPr>
              <w:pStyle w:val="TableBody"/>
            </w:pPr>
            <w:r w:rsidRPr="007A3600">
              <w:t>Details of accountable authority during the reporting period (2024–25)</w:t>
            </w:r>
          </w:p>
        </w:tc>
        <w:tc>
          <w:tcPr>
            <w:tcW w:w="1077" w:type="dxa"/>
          </w:tcPr>
          <w:p w14:paraId="44A79B0E" w14:textId="32A3AF05" w:rsidR="00B1794B" w:rsidRPr="00E47F19" w:rsidRDefault="00B1794B" w:rsidP="00B1794B">
            <w:pPr>
              <w:pStyle w:val="TableBody"/>
              <w:rPr>
                <w:highlight w:val="yellow"/>
              </w:rPr>
            </w:pPr>
            <w:r>
              <w:t>121</w:t>
            </w:r>
          </w:p>
        </w:tc>
      </w:tr>
      <w:tr w:rsidR="00B1794B" w:rsidRPr="007A3600" w14:paraId="79DCC17E"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6F8C8A0C" w14:textId="77777777" w:rsidR="00B1794B" w:rsidRPr="007A3600" w:rsidRDefault="00B1794B" w:rsidP="00B1794B">
            <w:pPr>
              <w:pStyle w:val="TableBody"/>
            </w:pPr>
            <w:r w:rsidRPr="007A3600">
              <w:t>Table 11</w:t>
            </w:r>
          </w:p>
        </w:tc>
        <w:tc>
          <w:tcPr>
            <w:tcW w:w="6803" w:type="dxa"/>
          </w:tcPr>
          <w:p w14:paraId="7D98D4C8" w14:textId="77777777" w:rsidR="00B1794B" w:rsidRPr="007A3600" w:rsidRDefault="00B1794B" w:rsidP="00B1794B">
            <w:pPr>
              <w:pStyle w:val="TableBody"/>
            </w:pPr>
            <w:r w:rsidRPr="007A3600">
              <w:t>All ongoing employees – current reporting period (2024–25)</w:t>
            </w:r>
          </w:p>
        </w:tc>
        <w:tc>
          <w:tcPr>
            <w:tcW w:w="1077" w:type="dxa"/>
          </w:tcPr>
          <w:p w14:paraId="6B28088C" w14:textId="1F13DFC0" w:rsidR="00B1794B" w:rsidRPr="00E47F19" w:rsidRDefault="00B1794B" w:rsidP="00B1794B">
            <w:pPr>
              <w:pStyle w:val="TableBody"/>
              <w:rPr>
                <w:highlight w:val="yellow"/>
              </w:rPr>
            </w:pPr>
            <w:r>
              <w:t>135</w:t>
            </w:r>
          </w:p>
        </w:tc>
      </w:tr>
      <w:tr w:rsidR="00B1794B" w:rsidRPr="007A3600" w14:paraId="3F1EF38B" w14:textId="77777777" w:rsidTr="000D52CB">
        <w:tc>
          <w:tcPr>
            <w:tcW w:w="1247" w:type="dxa"/>
          </w:tcPr>
          <w:p w14:paraId="24F7E880" w14:textId="77777777" w:rsidR="00B1794B" w:rsidRPr="007A3600" w:rsidRDefault="00B1794B" w:rsidP="00B1794B">
            <w:pPr>
              <w:pStyle w:val="TableBody"/>
            </w:pPr>
            <w:r w:rsidRPr="007A3600">
              <w:t>Table 12</w:t>
            </w:r>
          </w:p>
        </w:tc>
        <w:tc>
          <w:tcPr>
            <w:tcW w:w="6803" w:type="dxa"/>
          </w:tcPr>
          <w:p w14:paraId="559F355D" w14:textId="77777777" w:rsidR="00B1794B" w:rsidRPr="007A3600" w:rsidRDefault="00B1794B" w:rsidP="00B1794B">
            <w:pPr>
              <w:pStyle w:val="TableBody"/>
            </w:pPr>
            <w:r w:rsidRPr="007A3600">
              <w:t>All non-ongoing employees – current reporting period (2024–25)</w:t>
            </w:r>
          </w:p>
        </w:tc>
        <w:tc>
          <w:tcPr>
            <w:tcW w:w="1077" w:type="dxa"/>
          </w:tcPr>
          <w:p w14:paraId="57CF19D5" w14:textId="155F22FA" w:rsidR="00B1794B" w:rsidRPr="00E47F19" w:rsidRDefault="00B1794B" w:rsidP="00B1794B">
            <w:pPr>
              <w:pStyle w:val="TableBody"/>
              <w:rPr>
                <w:highlight w:val="yellow"/>
              </w:rPr>
            </w:pPr>
            <w:r>
              <w:t>136</w:t>
            </w:r>
          </w:p>
        </w:tc>
      </w:tr>
      <w:tr w:rsidR="00B1794B" w:rsidRPr="007A3600" w14:paraId="75AD5922"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2171FC4E" w14:textId="77777777" w:rsidR="00B1794B" w:rsidRPr="007A3600" w:rsidRDefault="00B1794B" w:rsidP="00B1794B">
            <w:pPr>
              <w:pStyle w:val="TableBody"/>
            </w:pPr>
            <w:r w:rsidRPr="007A3600">
              <w:t>Table 13</w:t>
            </w:r>
          </w:p>
        </w:tc>
        <w:tc>
          <w:tcPr>
            <w:tcW w:w="6803" w:type="dxa"/>
          </w:tcPr>
          <w:p w14:paraId="2CE909E3" w14:textId="77777777" w:rsidR="00B1794B" w:rsidRPr="007A3600" w:rsidRDefault="00B1794B" w:rsidP="00B1794B">
            <w:pPr>
              <w:pStyle w:val="TableBody"/>
            </w:pPr>
            <w:r w:rsidRPr="007A3600">
              <w:t>All ongoing employees – previous reporting period (2023–24)</w:t>
            </w:r>
          </w:p>
        </w:tc>
        <w:tc>
          <w:tcPr>
            <w:tcW w:w="1077" w:type="dxa"/>
          </w:tcPr>
          <w:p w14:paraId="032D233C" w14:textId="51927B2F" w:rsidR="00B1794B" w:rsidRPr="00E47F19" w:rsidRDefault="00B1794B" w:rsidP="00B1794B">
            <w:pPr>
              <w:pStyle w:val="TableBody"/>
              <w:rPr>
                <w:highlight w:val="yellow"/>
              </w:rPr>
            </w:pPr>
            <w:r>
              <w:t>137</w:t>
            </w:r>
          </w:p>
        </w:tc>
      </w:tr>
      <w:tr w:rsidR="00B1794B" w:rsidRPr="007A3600" w14:paraId="25680FA3" w14:textId="77777777" w:rsidTr="000D52CB">
        <w:tc>
          <w:tcPr>
            <w:tcW w:w="1247" w:type="dxa"/>
          </w:tcPr>
          <w:p w14:paraId="1641713B" w14:textId="77777777" w:rsidR="00B1794B" w:rsidRPr="007A3600" w:rsidRDefault="00B1794B" w:rsidP="00B1794B">
            <w:pPr>
              <w:pStyle w:val="TableBody"/>
            </w:pPr>
            <w:r w:rsidRPr="007A3600">
              <w:t>Table 14</w:t>
            </w:r>
          </w:p>
        </w:tc>
        <w:tc>
          <w:tcPr>
            <w:tcW w:w="6803" w:type="dxa"/>
          </w:tcPr>
          <w:p w14:paraId="67A1A2FF" w14:textId="77777777" w:rsidR="00B1794B" w:rsidRPr="007A3600" w:rsidRDefault="00B1794B" w:rsidP="00B1794B">
            <w:pPr>
              <w:pStyle w:val="TableBody"/>
            </w:pPr>
            <w:r w:rsidRPr="007A3600">
              <w:t>All non-ongoing employees – previous reporting period (2023–24)</w:t>
            </w:r>
          </w:p>
        </w:tc>
        <w:tc>
          <w:tcPr>
            <w:tcW w:w="1077" w:type="dxa"/>
          </w:tcPr>
          <w:p w14:paraId="3EF7042D" w14:textId="5CB1370E" w:rsidR="00B1794B" w:rsidRPr="00E47F19" w:rsidRDefault="00B1794B" w:rsidP="00B1794B">
            <w:pPr>
              <w:pStyle w:val="TableBody"/>
              <w:rPr>
                <w:highlight w:val="yellow"/>
              </w:rPr>
            </w:pPr>
            <w:r>
              <w:t>138</w:t>
            </w:r>
          </w:p>
        </w:tc>
      </w:tr>
      <w:tr w:rsidR="00B1794B" w:rsidRPr="007A3600" w14:paraId="561444DC"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242C992A" w14:textId="77777777" w:rsidR="00B1794B" w:rsidRPr="007A3600" w:rsidRDefault="00B1794B" w:rsidP="00B1794B">
            <w:pPr>
              <w:pStyle w:val="TableBody"/>
            </w:pPr>
            <w:r w:rsidRPr="007A3600">
              <w:t>Table 15</w:t>
            </w:r>
          </w:p>
        </w:tc>
        <w:tc>
          <w:tcPr>
            <w:tcW w:w="6803" w:type="dxa"/>
          </w:tcPr>
          <w:p w14:paraId="5DFC9588" w14:textId="77777777" w:rsidR="00B1794B" w:rsidRPr="007A3600" w:rsidRDefault="00B1794B" w:rsidP="00B1794B">
            <w:pPr>
              <w:pStyle w:val="TableBody"/>
            </w:pPr>
            <w:r w:rsidRPr="007A3600">
              <w:t>Key management personnel remuneration</w:t>
            </w:r>
          </w:p>
        </w:tc>
        <w:tc>
          <w:tcPr>
            <w:tcW w:w="1077" w:type="dxa"/>
          </w:tcPr>
          <w:p w14:paraId="3E0161DE" w14:textId="504BCC1C" w:rsidR="00B1794B" w:rsidRPr="00E47F19" w:rsidRDefault="00B1794B" w:rsidP="00B1794B">
            <w:pPr>
              <w:pStyle w:val="TableBody"/>
              <w:rPr>
                <w:highlight w:val="yellow"/>
              </w:rPr>
            </w:pPr>
            <w:r>
              <w:t>139</w:t>
            </w:r>
          </w:p>
        </w:tc>
      </w:tr>
      <w:tr w:rsidR="00B1794B" w:rsidRPr="007A3600" w14:paraId="2C243950" w14:textId="77777777" w:rsidTr="000D52CB">
        <w:tc>
          <w:tcPr>
            <w:tcW w:w="1247" w:type="dxa"/>
          </w:tcPr>
          <w:p w14:paraId="62A28323" w14:textId="77777777" w:rsidR="00B1794B" w:rsidRPr="007A3600" w:rsidRDefault="00B1794B" w:rsidP="00B1794B">
            <w:pPr>
              <w:pStyle w:val="TableBody"/>
            </w:pPr>
            <w:r w:rsidRPr="007A3600">
              <w:t>Table 16</w:t>
            </w:r>
          </w:p>
        </w:tc>
        <w:tc>
          <w:tcPr>
            <w:tcW w:w="6803" w:type="dxa"/>
          </w:tcPr>
          <w:p w14:paraId="0F8DC00B" w14:textId="77777777" w:rsidR="00B1794B" w:rsidRPr="007A3600" w:rsidRDefault="00B1794B" w:rsidP="00B1794B">
            <w:pPr>
              <w:pStyle w:val="TableBody"/>
            </w:pPr>
            <w:r w:rsidRPr="007A3600">
              <w:t>Senior executive remuneration</w:t>
            </w:r>
          </w:p>
        </w:tc>
        <w:tc>
          <w:tcPr>
            <w:tcW w:w="1077" w:type="dxa"/>
          </w:tcPr>
          <w:p w14:paraId="4C0D0FCE" w14:textId="2E4AFF92" w:rsidR="00B1794B" w:rsidRPr="00E47F19" w:rsidRDefault="00B1794B" w:rsidP="00B1794B">
            <w:pPr>
              <w:pStyle w:val="TableBody"/>
              <w:rPr>
                <w:highlight w:val="yellow"/>
              </w:rPr>
            </w:pPr>
            <w:r>
              <w:t>144</w:t>
            </w:r>
          </w:p>
        </w:tc>
      </w:tr>
      <w:tr w:rsidR="00B1794B" w:rsidRPr="007A3600" w14:paraId="71E7AF17"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04B785FC" w14:textId="77777777" w:rsidR="00B1794B" w:rsidRPr="007A3600" w:rsidRDefault="00B1794B" w:rsidP="00B1794B">
            <w:pPr>
              <w:pStyle w:val="TableBody"/>
            </w:pPr>
            <w:r w:rsidRPr="007A3600">
              <w:lastRenderedPageBreak/>
              <w:t>Table 17</w:t>
            </w:r>
          </w:p>
        </w:tc>
        <w:tc>
          <w:tcPr>
            <w:tcW w:w="6803" w:type="dxa"/>
          </w:tcPr>
          <w:p w14:paraId="0F9BD8CF" w14:textId="77777777" w:rsidR="00B1794B" w:rsidRPr="007A3600" w:rsidRDefault="00B1794B" w:rsidP="00B1794B">
            <w:pPr>
              <w:pStyle w:val="TableBody"/>
            </w:pPr>
            <w:r w:rsidRPr="007A3600">
              <w:t>Other highly paid staff</w:t>
            </w:r>
          </w:p>
        </w:tc>
        <w:tc>
          <w:tcPr>
            <w:tcW w:w="1077" w:type="dxa"/>
          </w:tcPr>
          <w:p w14:paraId="68D942E1" w14:textId="16BB5058" w:rsidR="00B1794B" w:rsidRPr="00E47F19" w:rsidRDefault="00B1794B" w:rsidP="00B1794B">
            <w:pPr>
              <w:pStyle w:val="TableBody"/>
              <w:rPr>
                <w:highlight w:val="yellow"/>
              </w:rPr>
            </w:pPr>
            <w:r>
              <w:t>145</w:t>
            </w:r>
          </w:p>
        </w:tc>
      </w:tr>
      <w:tr w:rsidR="00B1794B" w:rsidRPr="007A3600" w14:paraId="29D49395" w14:textId="77777777" w:rsidTr="000D52CB">
        <w:tc>
          <w:tcPr>
            <w:tcW w:w="1247" w:type="dxa"/>
          </w:tcPr>
          <w:p w14:paraId="60350123" w14:textId="77777777" w:rsidR="00B1794B" w:rsidRPr="007A3600" w:rsidRDefault="00B1794B" w:rsidP="00B1794B">
            <w:pPr>
              <w:pStyle w:val="TableBody"/>
            </w:pPr>
            <w:r w:rsidRPr="007A3600">
              <w:t>Table 18</w:t>
            </w:r>
          </w:p>
        </w:tc>
        <w:tc>
          <w:tcPr>
            <w:tcW w:w="6803" w:type="dxa"/>
          </w:tcPr>
          <w:p w14:paraId="6C797840" w14:textId="1D277716" w:rsidR="00B1794B" w:rsidRPr="007A3600" w:rsidRDefault="00B1794B" w:rsidP="00B1794B">
            <w:pPr>
              <w:pStyle w:val="TableBody"/>
            </w:pPr>
            <w:r w:rsidRPr="007A3600">
              <w:t>Evidence or submissions provided by parliamentary committees in 2024</w:t>
            </w:r>
            <w:r>
              <w:t>–</w:t>
            </w:r>
            <w:r w:rsidRPr="007A3600">
              <w:t>25</w:t>
            </w:r>
          </w:p>
        </w:tc>
        <w:tc>
          <w:tcPr>
            <w:tcW w:w="1077" w:type="dxa"/>
          </w:tcPr>
          <w:p w14:paraId="0B07159B" w14:textId="1FE5DC3E" w:rsidR="00B1794B" w:rsidRPr="00E47F19" w:rsidRDefault="00B1794B" w:rsidP="00B1794B">
            <w:pPr>
              <w:pStyle w:val="TableBody"/>
              <w:rPr>
                <w:highlight w:val="yellow"/>
              </w:rPr>
            </w:pPr>
            <w:r>
              <w:t>150</w:t>
            </w:r>
          </w:p>
        </w:tc>
      </w:tr>
      <w:tr w:rsidR="00B1794B" w:rsidRPr="007A3600" w14:paraId="0A25976A"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5B2E7E6A" w14:textId="77777777" w:rsidR="00B1794B" w:rsidRPr="007A3600" w:rsidRDefault="00B1794B" w:rsidP="00B1794B">
            <w:pPr>
              <w:pStyle w:val="TableBody"/>
            </w:pPr>
            <w:r w:rsidRPr="007A3600">
              <w:t>Table 19</w:t>
            </w:r>
          </w:p>
        </w:tc>
        <w:tc>
          <w:tcPr>
            <w:tcW w:w="6803" w:type="dxa"/>
          </w:tcPr>
          <w:p w14:paraId="21B486B2" w14:textId="77777777" w:rsidR="00B1794B" w:rsidRPr="007A3600" w:rsidRDefault="00B1794B" w:rsidP="00B1794B">
            <w:pPr>
              <w:pStyle w:val="TableBody"/>
            </w:pPr>
            <w:r w:rsidRPr="007A3600">
              <w:t>Payments to advertising organisations in 2024–25</w:t>
            </w:r>
          </w:p>
        </w:tc>
        <w:tc>
          <w:tcPr>
            <w:tcW w:w="1077" w:type="dxa"/>
          </w:tcPr>
          <w:p w14:paraId="25A01A81" w14:textId="199548D0" w:rsidR="00B1794B" w:rsidRPr="00E47F19" w:rsidRDefault="00B1794B" w:rsidP="00B1794B">
            <w:pPr>
              <w:pStyle w:val="TableBody"/>
              <w:rPr>
                <w:highlight w:val="yellow"/>
              </w:rPr>
            </w:pPr>
            <w:r>
              <w:t>151</w:t>
            </w:r>
          </w:p>
        </w:tc>
      </w:tr>
      <w:tr w:rsidR="00B1794B" w:rsidRPr="007A3600" w14:paraId="274C9BE6" w14:textId="77777777" w:rsidTr="000D52CB">
        <w:tc>
          <w:tcPr>
            <w:tcW w:w="1247" w:type="dxa"/>
          </w:tcPr>
          <w:p w14:paraId="5F2E7B19" w14:textId="77777777" w:rsidR="00B1794B" w:rsidRPr="007A3600" w:rsidRDefault="00B1794B" w:rsidP="00B1794B">
            <w:pPr>
              <w:pStyle w:val="TableBody"/>
            </w:pPr>
            <w:r w:rsidRPr="007A3600">
              <w:t>Table 20</w:t>
            </w:r>
          </w:p>
        </w:tc>
        <w:tc>
          <w:tcPr>
            <w:tcW w:w="6803" w:type="dxa"/>
          </w:tcPr>
          <w:p w14:paraId="153553C3" w14:textId="77777777" w:rsidR="00B1794B" w:rsidRPr="007A3600" w:rsidRDefault="00B1794B" w:rsidP="00B1794B">
            <w:pPr>
              <w:pStyle w:val="TableBody"/>
            </w:pPr>
            <w:r w:rsidRPr="007A3600">
              <w:t>Payments to market research organisations in 2024–25</w:t>
            </w:r>
          </w:p>
        </w:tc>
        <w:tc>
          <w:tcPr>
            <w:tcW w:w="1077" w:type="dxa"/>
          </w:tcPr>
          <w:p w14:paraId="39DB25F9" w14:textId="01421EA3" w:rsidR="00B1794B" w:rsidRPr="00E47F19" w:rsidRDefault="00B1794B" w:rsidP="00B1794B">
            <w:pPr>
              <w:pStyle w:val="TableBody"/>
              <w:rPr>
                <w:highlight w:val="yellow"/>
              </w:rPr>
            </w:pPr>
            <w:r>
              <w:t>152</w:t>
            </w:r>
          </w:p>
        </w:tc>
      </w:tr>
      <w:tr w:rsidR="00B1794B" w:rsidRPr="007A3600" w14:paraId="6CE166B2"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4105833F" w14:textId="77777777" w:rsidR="00B1794B" w:rsidRPr="007A3600" w:rsidRDefault="00B1794B" w:rsidP="00B1794B">
            <w:pPr>
              <w:pStyle w:val="TableBody"/>
            </w:pPr>
            <w:r w:rsidRPr="007A3600">
              <w:t>Table 21</w:t>
            </w:r>
          </w:p>
        </w:tc>
        <w:tc>
          <w:tcPr>
            <w:tcW w:w="6803" w:type="dxa"/>
          </w:tcPr>
          <w:p w14:paraId="0B88E6AD" w14:textId="77777777" w:rsidR="00B1794B" w:rsidRPr="007A3600" w:rsidRDefault="00B1794B" w:rsidP="00B1794B">
            <w:pPr>
              <w:pStyle w:val="TableBody"/>
            </w:pPr>
            <w:r w:rsidRPr="007A3600">
              <w:t>Payments to polling organisations in 2024–25</w:t>
            </w:r>
          </w:p>
        </w:tc>
        <w:tc>
          <w:tcPr>
            <w:tcW w:w="1077" w:type="dxa"/>
          </w:tcPr>
          <w:p w14:paraId="1E0625B6" w14:textId="29008B26" w:rsidR="00B1794B" w:rsidRPr="00E47F19" w:rsidRDefault="00B1794B" w:rsidP="00B1794B">
            <w:pPr>
              <w:pStyle w:val="TableBody"/>
              <w:rPr>
                <w:highlight w:val="yellow"/>
              </w:rPr>
            </w:pPr>
            <w:r>
              <w:t>152</w:t>
            </w:r>
          </w:p>
        </w:tc>
      </w:tr>
      <w:tr w:rsidR="00B1794B" w:rsidRPr="007A3600" w14:paraId="19209163" w14:textId="77777777" w:rsidTr="000D52CB">
        <w:tc>
          <w:tcPr>
            <w:tcW w:w="1247" w:type="dxa"/>
          </w:tcPr>
          <w:p w14:paraId="1E2DA19E" w14:textId="77777777" w:rsidR="00B1794B" w:rsidRPr="007A3600" w:rsidRDefault="00B1794B" w:rsidP="00B1794B">
            <w:pPr>
              <w:pStyle w:val="TableBody"/>
            </w:pPr>
            <w:r w:rsidRPr="007A3600">
              <w:t>Table 22</w:t>
            </w:r>
          </w:p>
        </w:tc>
        <w:tc>
          <w:tcPr>
            <w:tcW w:w="6803" w:type="dxa"/>
          </w:tcPr>
          <w:p w14:paraId="579DF40D" w14:textId="77777777" w:rsidR="00B1794B" w:rsidRPr="007A3600" w:rsidRDefault="00B1794B" w:rsidP="00B1794B">
            <w:pPr>
              <w:pStyle w:val="TableBody"/>
            </w:pPr>
            <w:r w:rsidRPr="007A3600">
              <w:t>Payments to direct mail organisations in 2024–25</w:t>
            </w:r>
          </w:p>
        </w:tc>
        <w:tc>
          <w:tcPr>
            <w:tcW w:w="1077" w:type="dxa"/>
          </w:tcPr>
          <w:p w14:paraId="61A885C4" w14:textId="7C2BE928" w:rsidR="00B1794B" w:rsidRPr="00E47F19" w:rsidRDefault="00B1794B" w:rsidP="00B1794B">
            <w:pPr>
              <w:pStyle w:val="TableBody"/>
              <w:rPr>
                <w:highlight w:val="yellow"/>
              </w:rPr>
            </w:pPr>
            <w:r>
              <w:t>152</w:t>
            </w:r>
          </w:p>
        </w:tc>
      </w:tr>
      <w:tr w:rsidR="00B1794B" w:rsidRPr="007A3600" w14:paraId="13E1E0D8"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11764CFF" w14:textId="77777777" w:rsidR="00B1794B" w:rsidRPr="007A3600" w:rsidRDefault="00B1794B" w:rsidP="00B1794B">
            <w:pPr>
              <w:pStyle w:val="TableBody"/>
            </w:pPr>
            <w:r w:rsidRPr="007A3600">
              <w:t>Table 23</w:t>
            </w:r>
          </w:p>
        </w:tc>
        <w:tc>
          <w:tcPr>
            <w:tcW w:w="6803" w:type="dxa"/>
          </w:tcPr>
          <w:p w14:paraId="027497CD" w14:textId="77777777" w:rsidR="00B1794B" w:rsidRPr="007A3600" w:rsidRDefault="00B1794B" w:rsidP="00B1794B">
            <w:pPr>
              <w:pStyle w:val="TableBody"/>
            </w:pPr>
            <w:r w:rsidRPr="007A3600">
              <w:t>Payments to media advertising organisations in 2024–25</w:t>
            </w:r>
          </w:p>
        </w:tc>
        <w:tc>
          <w:tcPr>
            <w:tcW w:w="1077" w:type="dxa"/>
          </w:tcPr>
          <w:p w14:paraId="4DF039B0" w14:textId="02819DA3" w:rsidR="00B1794B" w:rsidRPr="00E47F19" w:rsidRDefault="00B1794B" w:rsidP="00B1794B">
            <w:pPr>
              <w:pStyle w:val="TableBody"/>
              <w:rPr>
                <w:highlight w:val="yellow"/>
              </w:rPr>
            </w:pPr>
            <w:r>
              <w:t>152</w:t>
            </w:r>
          </w:p>
        </w:tc>
      </w:tr>
      <w:tr w:rsidR="00B1794B" w:rsidRPr="007A3600" w14:paraId="0B9AE3BA" w14:textId="77777777" w:rsidTr="000D52CB">
        <w:tc>
          <w:tcPr>
            <w:tcW w:w="1247" w:type="dxa"/>
          </w:tcPr>
          <w:p w14:paraId="340CFA36" w14:textId="7055CA4D" w:rsidR="00B1794B" w:rsidRPr="007A3600" w:rsidRDefault="00B1794B" w:rsidP="00B1794B">
            <w:pPr>
              <w:pStyle w:val="TableBody"/>
            </w:pPr>
            <w:r w:rsidRPr="007A3600">
              <w:t>Table 24</w:t>
            </w:r>
          </w:p>
        </w:tc>
        <w:tc>
          <w:tcPr>
            <w:tcW w:w="6803" w:type="dxa"/>
          </w:tcPr>
          <w:p w14:paraId="70E7ACE6" w14:textId="588FC49D" w:rsidR="00B1794B" w:rsidRPr="007A3600" w:rsidRDefault="00B1794B" w:rsidP="00B1794B">
            <w:pPr>
              <w:pStyle w:val="TableBody"/>
            </w:pPr>
            <w:r w:rsidRPr="007A3600">
              <w:t>Climate capability upskilling plan</w:t>
            </w:r>
          </w:p>
        </w:tc>
        <w:tc>
          <w:tcPr>
            <w:tcW w:w="1077" w:type="dxa"/>
          </w:tcPr>
          <w:p w14:paraId="02E0F81B" w14:textId="472250B0" w:rsidR="00B1794B" w:rsidRPr="00E47F19" w:rsidRDefault="00B1794B" w:rsidP="00B1794B">
            <w:pPr>
              <w:pStyle w:val="TableBody"/>
              <w:rPr>
                <w:highlight w:val="yellow"/>
              </w:rPr>
            </w:pPr>
            <w:r>
              <w:t>154</w:t>
            </w:r>
          </w:p>
        </w:tc>
      </w:tr>
      <w:tr w:rsidR="00B1794B" w:rsidRPr="007A3600" w14:paraId="4AE203C7"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5B7B8905" w14:textId="0E6B8BF4" w:rsidR="00B1794B" w:rsidRPr="007A3600" w:rsidRDefault="00B1794B" w:rsidP="00B1794B">
            <w:pPr>
              <w:pStyle w:val="TableBody"/>
            </w:pPr>
            <w:r w:rsidRPr="007A3600">
              <w:t>Table 25</w:t>
            </w:r>
          </w:p>
        </w:tc>
        <w:tc>
          <w:tcPr>
            <w:tcW w:w="6803" w:type="dxa"/>
          </w:tcPr>
          <w:p w14:paraId="2D447AC1" w14:textId="77777777" w:rsidR="00B1794B" w:rsidRPr="007A3600" w:rsidRDefault="00B1794B" w:rsidP="00B1794B">
            <w:pPr>
              <w:pStyle w:val="TableBody"/>
            </w:pPr>
            <w:r w:rsidRPr="007A3600">
              <w:t>Categorisation of material climate-related risks and opportunities</w:t>
            </w:r>
          </w:p>
        </w:tc>
        <w:tc>
          <w:tcPr>
            <w:tcW w:w="1077" w:type="dxa"/>
          </w:tcPr>
          <w:p w14:paraId="37261435" w14:textId="2C148F9E" w:rsidR="00B1794B" w:rsidRPr="00E47F19" w:rsidRDefault="00B1794B" w:rsidP="00B1794B">
            <w:pPr>
              <w:pStyle w:val="TableBody"/>
              <w:rPr>
                <w:highlight w:val="yellow"/>
              </w:rPr>
            </w:pPr>
            <w:r>
              <w:t>156</w:t>
            </w:r>
          </w:p>
        </w:tc>
      </w:tr>
      <w:tr w:rsidR="00B1794B" w:rsidRPr="007A3600" w14:paraId="7D164092" w14:textId="77777777" w:rsidTr="000D52CB">
        <w:tc>
          <w:tcPr>
            <w:tcW w:w="1247" w:type="dxa"/>
          </w:tcPr>
          <w:p w14:paraId="5BB7D0EB" w14:textId="6A66662D" w:rsidR="00B1794B" w:rsidRPr="007A3600" w:rsidRDefault="00B1794B" w:rsidP="00B1794B">
            <w:pPr>
              <w:pStyle w:val="TableBody"/>
            </w:pPr>
            <w:r w:rsidRPr="007A3600">
              <w:t>Table 26</w:t>
            </w:r>
          </w:p>
        </w:tc>
        <w:tc>
          <w:tcPr>
            <w:tcW w:w="6803" w:type="dxa"/>
          </w:tcPr>
          <w:p w14:paraId="35D6A93A" w14:textId="77777777" w:rsidR="00B1794B" w:rsidRPr="007A3600" w:rsidRDefault="00B1794B" w:rsidP="00B1794B">
            <w:pPr>
              <w:pStyle w:val="TableBody"/>
            </w:pPr>
            <w:r w:rsidRPr="007A3600">
              <w:t>2024–25 Greenhouse gas emissions inventory – location-based method</w:t>
            </w:r>
          </w:p>
        </w:tc>
        <w:tc>
          <w:tcPr>
            <w:tcW w:w="1077" w:type="dxa"/>
          </w:tcPr>
          <w:p w14:paraId="0726F874" w14:textId="5DBA8C3A" w:rsidR="00B1794B" w:rsidRPr="00E47F19" w:rsidRDefault="00B1794B" w:rsidP="00B1794B">
            <w:pPr>
              <w:pStyle w:val="TableBody"/>
              <w:rPr>
                <w:highlight w:val="yellow"/>
              </w:rPr>
            </w:pPr>
            <w:r>
              <w:t>158</w:t>
            </w:r>
          </w:p>
        </w:tc>
      </w:tr>
      <w:tr w:rsidR="00B1794B" w:rsidRPr="007A3600" w14:paraId="79C560EF"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59B81759" w14:textId="0A429910" w:rsidR="00B1794B" w:rsidRPr="007A3600" w:rsidRDefault="00B1794B" w:rsidP="00B1794B">
            <w:pPr>
              <w:pStyle w:val="TableBody"/>
            </w:pPr>
            <w:r w:rsidRPr="007A3600">
              <w:t>Table 27</w:t>
            </w:r>
          </w:p>
        </w:tc>
        <w:tc>
          <w:tcPr>
            <w:tcW w:w="6803" w:type="dxa"/>
          </w:tcPr>
          <w:p w14:paraId="0664AA58" w14:textId="77777777" w:rsidR="00B1794B" w:rsidRPr="007A3600" w:rsidRDefault="00B1794B" w:rsidP="00B1794B">
            <w:pPr>
              <w:pStyle w:val="TableBody"/>
            </w:pPr>
            <w:r w:rsidRPr="007A3600">
              <w:t>2024–25 Electricity greenhouse gas emissions</w:t>
            </w:r>
          </w:p>
        </w:tc>
        <w:tc>
          <w:tcPr>
            <w:tcW w:w="1077" w:type="dxa"/>
          </w:tcPr>
          <w:p w14:paraId="5EE7B2DB" w14:textId="6D019FE5" w:rsidR="00B1794B" w:rsidRPr="00E47F19" w:rsidRDefault="00B1794B" w:rsidP="00B1794B">
            <w:pPr>
              <w:pStyle w:val="TableBody"/>
              <w:rPr>
                <w:highlight w:val="yellow"/>
              </w:rPr>
            </w:pPr>
            <w:r>
              <w:t>158</w:t>
            </w:r>
          </w:p>
        </w:tc>
      </w:tr>
      <w:tr w:rsidR="00B1794B" w:rsidRPr="007A3600" w14:paraId="5C4C9FCC" w14:textId="77777777" w:rsidTr="000D52CB">
        <w:tc>
          <w:tcPr>
            <w:tcW w:w="1247" w:type="dxa"/>
          </w:tcPr>
          <w:p w14:paraId="2424A7D0" w14:textId="233860CE" w:rsidR="00B1794B" w:rsidRPr="007A3600" w:rsidRDefault="00B1794B" w:rsidP="00B1794B">
            <w:pPr>
              <w:pStyle w:val="TableBody"/>
            </w:pPr>
            <w:r w:rsidRPr="007A3600">
              <w:t>Table 28</w:t>
            </w:r>
          </w:p>
        </w:tc>
        <w:tc>
          <w:tcPr>
            <w:tcW w:w="6803" w:type="dxa"/>
          </w:tcPr>
          <w:p w14:paraId="2D469B20" w14:textId="77777777" w:rsidR="00B1794B" w:rsidRPr="007A3600" w:rsidRDefault="00B1794B" w:rsidP="00B1794B">
            <w:pPr>
              <w:pStyle w:val="TableBody"/>
            </w:pPr>
            <w:r w:rsidRPr="007A3600">
              <w:t>Significant non-compliance with the finance law</w:t>
            </w:r>
          </w:p>
        </w:tc>
        <w:tc>
          <w:tcPr>
            <w:tcW w:w="1077" w:type="dxa"/>
          </w:tcPr>
          <w:p w14:paraId="08B9D5D2" w14:textId="699108BB" w:rsidR="00B1794B" w:rsidRPr="00E47F19" w:rsidRDefault="00B1794B" w:rsidP="00B1794B">
            <w:pPr>
              <w:pStyle w:val="TableBody"/>
              <w:rPr>
                <w:highlight w:val="yellow"/>
              </w:rPr>
            </w:pPr>
            <w:r>
              <w:t>162</w:t>
            </w:r>
          </w:p>
        </w:tc>
      </w:tr>
      <w:tr w:rsidR="00B1794B" w:rsidRPr="007A3600" w14:paraId="358BDD71" w14:textId="77777777" w:rsidTr="000D52CB">
        <w:trPr>
          <w:cnfStyle w:val="000000100000" w:firstRow="0" w:lastRow="0" w:firstColumn="0" w:lastColumn="0" w:oddVBand="0" w:evenVBand="0" w:oddHBand="1" w:evenHBand="0" w:firstRowFirstColumn="0" w:firstRowLastColumn="0" w:lastRowFirstColumn="0" w:lastRowLastColumn="0"/>
        </w:trPr>
        <w:tc>
          <w:tcPr>
            <w:tcW w:w="1247" w:type="dxa"/>
          </w:tcPr>
          <w:p w14:paraId="029B2C08" w14:textId="22E3A13A" w:rsidR="00B1794B" w:rsidRPr="007A3600" w:rsidRDefault="00B1794B" w:rsidP="00B1794B">
            <w:pPr>
              <w:pStyle w:val="TableBody"/>
            </w:pPr>
            <w:r w:rsidRPr="007A3600">
              <w:t>Table 29</w:t>
            </w:r>
          </w:p>
        </w:tc>
        <w:tc>
          <w:tcPr>
            <w:tcW w:w="6803" w:type="dxa"/>
          </w:tcPr>
          <w:p w14:paraId="15F4D6FF" w14:textId="77777777" w:rsidR="00B1794B" w:rsidRPr="007A3600" w:rsidRDefault="00B1794B" w:rsidP="00B1794B">
            <w:pPr>
              <w:pStyle w:val="TableBody"/>
            </w:pPr>
            <w:r w:rsidRPr="007A3600">
              <w:t>All ongoing employees –reporting period (2022–23)</w:t>
            </w:r>
          </w:p>
        </w:tc>
        <w:tc>
          <w:tcPr>
            <w:tcW w:w="1077" w:type="dxa"/>
          </w:tcPr>
          <w:p w14:paraId="6CE8AEEE" w14:textId="7BF559C8" w:rsidR="00B1794B" w:rsidRPr="00E47F19" w:rsidRDefault="00B1794B" w:rsidP="00B1794B">
            <w:pPr>
              <w:pStyle w:val="TableBody"/>
              <w:rPr>
                <w:highlight w:val="yellow"/>
              </w:rPr>
            </w:pPr>
            <w:r>
              <w:t>164</w:t>
            </w:r>
          </w:p>
        </w:tc>
      </w:tr>
      <w:tr w:rsidR="00B1794B" w:rsidRPr="007A3600" w14:paraId="5C26F29E" w14:textId="77777777" w:rsidTr="000D52CB">
        <w:tc>
          <w:tcPr>
            <w:tcW w:w="1247" w:type="dxa"/>
          </w:tcPr>
          <w:p w14:paraId="51BB10FD" w14:textId="2E81CB9B" w:rsidR="00B1794B" w:rsidRPr="007A3600" w:rsidRDefault="00B1794B" w:rsidP="00B1794B">
            <w:pPr>
              <w:pStyle w:val="TableBody"/>
            </w:pPr>
            <w:r w:rsidRPr="007A3600">
              <w:t>Table 30</w:t>
            </w:r>
          </w:p>
        </w:tc>
        <w:tc>
          <w:tcPr>
            <w:tcW w:w="6803" w:type="dxa"/>
          </w:tcPr>
          <w:p w14:paraId="1087AB0E" w14:textId="77777777" w:rsidR="00B1794B" w:rsidRPr="007A3600" w:rsidRDefault="00B1794B" w:rsidP="00B1794B">
            <w:pPr>
              <w:pStyle w:val="TableBody"/>
            </w:pPr>
            <w:r w:rsidRPr="007A3600">
              <w:t>All non-ongoing employees –reporting period (2022–23)</w:t>
            </w:r>
          </w:p>
        </w:tc>
        <w:tc>
          <w:tcPr>
            <w:tcW w:w="1077" w:type="dxa"/>
          </w:tcPr>
          <w:p w14:paraId="3FB9F634" w14:textId="38873BF2" w:rsidR="00B1794B" w:rsidRPr="00E47F19" w:rsidRDefault="00B1794B" w:rsidP="00B1794B">
            <w:pPr>
              <w:pStyle w:val="TableBody"/>
              <w:rPr>
                <w:highlight w:val="yellow"/>
              </w:rPr>
            </w:pPr>
            <w:r>
              <w:t>165</w:t>
            </w:r>
          </w:p>
        </w:tc>
      </w:tr>
    </w:tbl>
    <w:p w14:paraId="37881D10" w14:textId="0F1B3FEB" w:rsidR="003E3201" w:rsidRPr="007A3600" w:rsidRDefault="003E3201" w:rsidP="00AD3197">
      <w:pPr>
        <w:pStyle w:val="Tablenotes"/>
      </w:pPr>
      <w:r w:rsidRPr="007A3600">
        <w:rPr>
          <w:b/>
          <w:bCs/>
        </w:rPr>
        <w:t>Note:</w:t>
      </w:r>
      <w:r w:rsidRPr="007A3600">
        <w:t xml:space="preserve"> This list does not include the tables provided in section 2, </w:t>
      </w:r>
      <w:r w:rsidR="00D23A7F" w:rsidRPr="007A3600">
        <w:t xml:space="preserve">‘Annual </w:t>
      </w:r>
      <w:r w:rsidRPr="007A3600">
        <w:t>performance statements</w:t>
      </w:r>
      <w:r w:rsidR="00D23A7F" w:rsidRPr="007A3600">
        <w:t>’</w:t>
      </w:r>
      <w:r w:rsidRPr="007A3600">
        <w:t xml:space="preserve"> and section 7, </w:t>
      </w:r>
      <w:r w:rsidR="00D23A7F" w:rsidRPr="007A3600">
        <w:t>‘F</w:t>
      </w:r>
      <w:r w:rsidRPr="007A3600">
        <w:t>inancial statements</w:t>
      </w:r>
      <w:r w:rsidR="00D23A7F" w:rsidRPr="007A3600">
        <w:t>’</w:t>
      </w:r>
      <w:r w:rsidRPr="007A3600">
        <w:t>.</w:t>
      </w:r>
    </w:p>
    <w:p w14:paraId="6044EA9E" w14:textId="2F1C5649" w:rsidR="00E30ACD" w:rsidRPr="007A3600" w:rsidRDefault="00924091" w:rsidP="00AD3197">
      <w:pPr>
        <w:pStyle w:val="Heading3"/>
      </w:pPr>
      <w:bookmarkStart w:id="341" w:name="_Toc201302477"/>
      <w:bookmarkStart w:id="342" w:name="_Toc207017794"/>
      <w:bookmarkStart w:id="343" w:name="_Toc209695885"/>
      <w:r w:rsidRPr="007A3600">
        <w:t>9</w:t>
      </w:r>
      <w:r w:rsidR="00E30ACD" w:rsidRPr="007A3600">
        <w:t>.3</w:t>
      </w:r>
      <w:r w:rsidR="00E30ACD" w:rsidRPr="007A3600">
        <w:tab/>
        <w:t>Figures index</w:t>
      </w:r>
      <w:bookmarkEnd w:id="341"/>
      <w:bookmarkEnd w:id="342"/>
      <w:bookmarkEnd w:id="343"/>
    </w:p>
    <w:tbl>
      <w:tblPr>
        <w:tblStyle w:val="NDISTable1"/>
        <w:tblW w:w="9127" w:type="dxa"/>
        <w:tblLayout w:type="fixed"/>
        <w:tblCellMar>
          <w:left w:w="57" w:type="dxa"/>
          <w:right w:w="57" w:type="dxa"/>
        </w:tblCellMar>
        <w:tblLook w:val="0420" w:firstRow="1" w:lastRow="0" w:firstColumn="0" w:lastColumn="0" w:noHBand="0" w:noVBand="1"/>
      </w:tblPr>
      <w:tblGrid>
        <w:gridCol w:w="1247"/>
        <w:gridCol w:w="6803"/>
        <w:gridCol w:w="1077"/>
      </w:tblGrid>
      <w:tr w:rsidR="0026718D" w:rsidRPr="007A3600" w14:paraId="1B6C6D93" w14:textId="77777777" w:rsidTr="0026718D">
        <w:trPr>
          <w:cnfStyle w:val="100000000000" w:firstRow="1" w:lastRow="0" w:firstColumn="0" w:lastColumn="0" w:oddVBand="0" w:evenVBand="0" w:oddHBand="0" w:evenHBand="0" w:firstRowFirstColumn="0" w:firstRowLastColumn="0" w:lastRowFirstColumn="0" w:lastRowLastColumn="0"/>
        </w:trPr>
        <w:tc>
          <w:tcPr>
            <w:tcW w:w="1247" w:type="dxa"/>
          </w:tcPr>
          <w:p w14:paraId="4EE9A52F" w14:textId="77777777" w:rsidR="00E30ACD" w:rsidRPr="007A3600" w:rsidRDefault="00E30ACD" w:rsidP="00AD3197">
            <w:pPr>
              <w:pStyle w:val="TableBody"/>
            </w:pPr>
            <w:r w:rsidRPr="007A3600">
              <w:t>Figure</w:t>
            </w:r>
          </w:p>
        </w:tc>
        <w:tc>
          <w:tcPr>
            <w:tcW w:w="6803" w:type="dxa"/>
          </w:tcPr>
          <w:p w14:paraId="7472EA97" w14:textId="77777777" w:rsidR="00E30ACD" w:rsidRPr="007A3600" w:rsidRDefault="00E30ACD" w:rsidP="00AD3197">
            <w:pPr>
              <w:pStyle w:val="TableBody"/>
            </w:pPr>
            <w:r w:rsidRPr="007A3600">
              <w:t>Title</w:t>
            </w:r>
          </w:p>
        </w:tc>
        <w:tc>
          <w:tcPr>
            <w:tcW w:w="1077" w:type="dxa"/>
          </w:tcPr>
          <w:p w14:paraId="779E9FFC" w14:textId="77777777" w:rsidR="00E30ACD" w:rsidRPr="007A3600" w:rsidRDefault="00E30ACD" w:rsidP="00AD3197">
            <w:pPr>
              <w:pStyle w:val="TableBody"/>
            </w:pPr>
            <w:r w:rsidRPr="007A3600">
              <w:t>Page</w:t>
            </w:r>
          </w:p>
        </w:tc>
      </w:tr>
      <w:tr w:rsidR="00DF1459" w:rsidRPr="007A3600" w14:paraId="365735AB" w14:textId="77777777" w:rsidTr="0026718D">
        <w:trPr>
          <w:cnfStyle w:val="000000100000" w:firstRow="0" w:lastRow="0" w:firstColumn="0" w:lastColumn="0" w:oddVBand="0" w:evenVBand="0" w:oddHBand="1" w:evenHBand="0" w:firstRowFirstColumn="0" w:firstRowLastColumn="0" w:lastRowFirstColumn="0" w:lastRowLastColumn="0"/>
        </w:trPr>
        <w:tc>
          <w:tcPr>
            <w:tcW w:w="1247" w:type="dxa"/>
          </w:tcPr>
          <w:p w14:paraId="29B470F4" w14:textId="3501DD78" w:rsidR="00DF1459" w:rsidRPr="007A3600" w:rsidRDefault="00DF1459" w:rsidP="00AD3197">
            <w:pPr>
              <w:pStyle w:val="TableBody"/>
            </w:pPr>
            <w:r w:rsidRPr="007A3600">
              <w:t>Figure 1</w:t>
            </w:r>
          </w:p>
        </w:tc>
        <w:tc>
          <w:tcPr>
            <w:tcW w:w="6803" w:type="dxa"/>
          </w:tcPr>
          <w:p w14:paraId="0A5DFE3C" w14:textId="68A2D01C" w:rsidR="00DF1459" w:rsidRPr="007A3600" w:rsidRDefault="00DF1459" w:rsidP="00AD3197">
            <w:pPr>
              <w:pStyle w:val="TableBody"/>
            </w:pPr>
            <w:r w:rsidRPr="007A3600">
              <w:t>NDIA functions (2024–25)</w:t>
            </w:r>
          </w:p>
        </w:tc>
        <w:tc>
          <w:tcPr>
            <w:tcW w:w="1077" w:type="dxa"/>
          </w:tcPr>
          <w:p w14:paraId="52EF031C" w14:textId="0DC91828" w:rsidR="00DF1459" w:rsidRPr="007A3600" w:rsidRDefault="00DF1459" w:rsidP="00AD3197">
            <w:pPr>
              <w:pStyle w:val="TableBody"/>
            </w:pPr>
            <w:r w:rsidRPr="007A3600">
              <w:t>15</w:t>
            </w:r>
          </w:p>
        </w:tc>
      </w:tr>
      <w:tr w:rsidR="00DF1459" w:rsidRPr="007A3600" w14:paraId="28DF9407" w14:textId="77777777" w:rsidTr="0026718D">
        <w:tc>
          <w:tcPr>
            <w:tcW w:w="1247" w:type="dxa"/>
          </w:tcPr>
          <w:p w14:paraId="4AB2BB8F" w14:textId="0386F4C5" w:rsidR="00DF1459" w:rsidRPr="007A3600" w:rsidRDefault="00DF1459" w:rsidP="00AD3197">
            <w:pPr>
              <w:pStyle w:val="TableBody"/>
            </w:pPr>
            <w:r w:rsidRPr="007A3600">
              <w:t>Figure 2</w:t>
            </w:r>
          </w:p>
        </w:tc>
        <w:tc>
          <w:tcPr>
            <w:tcW w:w="6803" w:type="dxa"/>
          </w:tcPr>
          <w:p w14:paraId="45D24001" w14:textId="30006BA9" w:rsidR="00DF1459" w:rsidRPr="007A3600" w:rsidRDefault="00DF1459" w:rsidP="00AD3197">
            <w:pPr>
              <w:pStyle w:val="TableBody"/>
            </w:pPr>
            <w:r w:rsidRPr="007A3600">
              <w:t>Performance measure target results by program</w:t>
            </w:r>
          </w:p>
        </w:tc>
        <w:tc>
          <w:tcPr>
            <w:tcW w:w="1077" w:type="dxa"/>
          </w:tcPr>
          <w:p w14:paraId="2DEE4526" w14:textId="6AD989A3" w:rsidR="00DF1459" w:rsidRPr="007A3600" w:rsidRDefault="00DF1459" w:rsidP="00AD3197">
            <w:pPr>
              <w:pStyle w:val="TableBody"/>
            </w:pPr>
            <w:r w:rsidRPr="007A3600">
              <w:t>22</w:t>
            </w:r>
          </w:p>
        </w:tc>
      </w:tr>
      <w:tr w:rsidR="00DF1459" w:rsidRPr="007A3600" w14:paraId="3AD248C2" w14:textId="77777777" w:rsidTr="0026718D">
        <w:trPr>
          <w:cnfStyle w:val="000000100000" w:firstRow="0" w:lastRow="0" w:firstColumn="0" w:lastColumn="0" w:oddVBand="0" w:evenVBand="0" w:oddHBand="1" w:evenHBand="0" w:firstRowFirstColumn="0" w:firstRowLastColumn="0" w:lastRowFirstColumn="0" w:lastRowLastColumn="0"/>
        </w:trPr>
        <w:tc>
          <w:tcPr>
            <w:tcW w:w="1247" w:type="dxa"/>
          </w:tcPr>
          <w:p w14:paraId="3A3F14FF" w14:textId="169635E3" w:rsidR="00DF1459" w:rsidRPr="007A3600" w:rsidRDefault="00DF1459" w:rsidP="00AD3197">
            <w:pPr>
              <w:pStyle w:val="TableBody"/>
            </w:pPr>
            <w:r w:rsidRPr="007A3600">
              <w:t>Figure 3</w:t>
            </w:r>
          </w:p>
        </w:tc>
        <w:tc>
          <w:tcPr>
            <w:tcW w:w="6803" w:type="dxa"/>
          </w:tcPr>
          <w:p w14:paraId="21155886" w14:textId="1B9E13EB" w:rsidR="00DF1459" w:rsidRPr="007A3600" w:rsidRDefault="00DF1459" w:rsidP="00AD3197">
            <w:pPr>
              <w:pStyle w:val="TableBody"/>
            </w:pPr>
            <w:r w:rsidRPr="007A3600">
              <w:t>NDIA governance</w:t>
            </w:r>
          </w:p>
        </w:tc>
        <w:tc>
          <w:tcPr>
            <w:tcW w:w="1077" w:type="dxa"/>
          </w:tcPr>
          <w:p w14:paraId="4AF1D702" w14:textId="3693C125" w:rsidR="00DF1459" w:rsidRPr="007A3600" w:rsidRDefault="00DF1459" w:rsidP="00AD3197">
            <w:pPr>
              <w:pStyle w:val="TableBody"/>
            </w:pPr>
            <w:r w:rsidRPr="007A3600">
              <w:t>47</w:t>
            </w:r>
          </w:p>
        </w:tc>
      </w:tr>
      <w:tr w:rsidR="00E4287B" w:rsidRPr="007A3600" w14:paraId="55748025" w14:textId="77777777" w:rsidTr="0026718D">
        <w:tc>
          <w:tcPr>
            <w:tcW w:w="1247" w:type="dxa"/>
          </w:tcPr>
          <w:p w14:paraId="1742F5E7" w14:textId="297AD7BD" w:rsidR="00E4287B" w:rsidRPr="007A3600" w:rsidRDefault="00E4287B" w:rsidP="00AD3197">
            <w:pPr>
              <w:pStyle w:val="TableBody"/>
            </w:pPr>
            <w:r w:rsidRPr="007A3600">
              <w:t>Figure 4</w:t>
            </w:r>
          </w:p>
        </w:tc>
        <w:tc>
          <w:tcPr>
            <w:tcW w:w="6803" w:type="dxa"/>
          </w:tcPr>
          <w:p w14:paraId="7EE06246" w14:textId="68B3294D" w:rsidR="00E4287B" w:rsidRPr="007A3600" w:rsidRDefault="00E4287B" w:rsidP="00AD3197">
            <w:pPr>
              <w:pStyle w:val="TableBody"/>
            </w:pPr>
            <w:r w:rsidRPr="007A3600">
              <w:t>Climate governance structure</w:t>
            </w:r>
          </w:p>
        </w:tc>
        <w:tc>
          <w:tcPr>
            <w:tcW w:w="1077" w:type="dxa"/>
          </w:tcPr>
          <w:p w14:paraId="012722F3" w14:textId="3859843B" w:rsidR="00E4287B" w:rsidRPr="007A3600" w:rsidRDefault="006D1F0B" w:rsidP="00AD3197">
            <w:pPr>
              <w:pStyle w:val="TableBody"/>
            </w:pPr>
            <w:r>
              <w:t>153</w:t>
            </w:r>
          </w:p>
        </w:tc>
      </w:tr>
    </w:tbl>
    <w:p w14:paraId="37DE916E" w14:textId="77777777" w:rsidR="00A41AA6" w:rsidRPr="007A3600" w:rsidRDefault="00A41AA6" w:rsidP="005E75AC">
      <w:pPr>
        <w:keepNext/>
        <w:spacing w:before="240"/>
        <w:rPr>
          <w:b/>
          <w:bCs/>
          <w:lang w:val="en-US"/>
        </w:rPr>
      </w:pPr>
      <w:r w:rsidRPr="007A3600">
        <w:rPr>
          <w:b/>
          <w:bCs/>
          <w:lang w:val="en-US"/>
        </w:rPr>
        <w:lastRenderedPageBreak/>
        <w:t>Disclaimer</w:t>
      </w:r>
    </w:p>
    <w:p w14:paraId="707DF815" w14:textId="77777777" w:rsidR="00A41AA6" w:rsidRPr="007A3600" w:rsidRDefault="00A41AA6" w:rsidP="00AD3197">
      <w:pPr>
        <w:rPr>
          <w:lang w:val="en-GB"/>
        </w:rPr>
      </w:pPr>
      <w:r w:rsidRPr="007A3600">
        <w:rPr>
          <w:lang w:val="en-GB"/>
        </w:rPr>
        <w:t>The material in this document, with the exception of logos, trademarks, third party materials and other content as specified is licensed under Creative Commons CC-BY-NC-ND licence, version 4.0 International. You may share, copy and redistribute the document in any format. You must acknowledge the National Disability Insurance Agency as the owner of all intellectual property rights in the reproduced material by using ‘© National Disability Insurance Agency’ and you must not use the material for commercial purposes.</w:t>
      </w:r>
    </w:p>
    <w:p w14:paraId="2BA336A4" w14:textId="77777777" w:rsidR="00A41AA6" w:rsidRPr="007A3600" w:rsidRDefault="00A41AA6" w:rsidP="00AD3197">
      <w:pPr>
        <w:rPr>
          <w:lang w:val="en-GB"/>
        </w:rPr>
      </w:pPr>
      <w:r w:rsidRPr="007A3600">
        <w:rPr>
          <w:lang w:val="en-GB"/>
        </w:rPr>
        <w:t>If you remix, transform or build upon the material contained in this document, you must not distribute the modified material.</w:t>
      </w:r>
    </w:p>
    <w:p w14:paraId="467F0CEB" w14:textId="68875392" w:rsidR="00F13F84" w:rsidRPr="00E42D4F" w:rsidRDefault="00A41AA6" w:rsidP="00AD3197">
      <w:r w:rsidRPr="007A3600">
        <w:rPr>
          <w:noProof/>
          <w:lang w:val="en-GB"/>
        </w:rPr>
        <w:drawing>
          <wp:inline distT="0" distB="0" distL="0" distR="0" wp14:anchorId="45570EC6" wp14:editId="29F57BE9">
            <wp:extent cx="1394460" cy="480060"/>
            <wp:effectExtent l="0" t="0" r="0" b="0"/>
            <wp:docPr id="693453179" name="Picture 2" descr="Creative Commons license with the symbols for CC: Creative Commons, BY: credit must be given to the creator, NC: only non-commercial uses of the work are permitted; ND: No derivatives or adaptations of the work are permit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453179" name="Picture 2" descr="Creative Commons license with the symbols for CC: Creative Commons, BY: credit must be given to the creator, NC: only non-commercial uses of the work are permitted; ND: No derivatives or adaptations of the work are permitted."/>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1394460" cy="480060"/>
                    </a:xfrm>
                    <a:prstGeom prst="rect">
                      <a:avLst/>
                    </a:prstGeom>
                    <a:noFill/>
                    <a:ln>
                      <a:noFill/>
                    </a:ln>
                  </pic:spPr>
                </pic:pic>
              </a:graphicData>
            </a:graphic>
          </wp:inline>
        </w:drawing>
      </w:r>
    </w:p>
    <w:sectPr w:rsidR="00F13F84" w:rsidRPr="00E42D4F" w:rsidSect="000F17C1">
      <w:headerReference w:type="even" r:id="rId189"/>
      <w:headerReference w:type="default" r:id="rId190"/>
      <w:headerReference w:type="first" r:id="rId191"/>
      <w:pgSz w:w="11906" w:h="16838" w:code="9"/>
      <w:pgMar w:top="142" w:right="1440" w:bottom="1701" w:left="1440" w:header="561" w:footer="37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24B358" w14:textId="77777777" w:rsidR="00F24668" w:rsidRPr="00965145" w:rsidRDefault="00F24668" w:rsidP="00042A45">
      <w:r w:rsidRPr="00965145">
        <w:separator/>
      </w:r>
    </w:p>
    <w:p w14:paraId="2B012796" w14:textId="77777777" w:rsidR="00F24668" w:rsidRPr="00965145" w:rsidRDefault="00F24668" w:rsidP="00042A45"/>
    <w:p w14:paraId="66587F8E" w14:textId="77777777" w:rsidR="00F24668" w:rsidRPr="00965145" w:rsidRDefault="00F24668" w:rsidP="00042A45"/>
    <w:p w14:paraId="6C225129" w14:textId="77777777" w:rsidR="00F24668" w:rsidRPr="00965145" w:rsidRDefault="00F24668" w:rsidP="00042A45"/>
    <w:p w14:paraId="7B908548" w14:textId="77777777" w:rsidR="00F24668" w:rsidRPr="00965145" w:rsidRDefault="00F24668" w:rsidP="00042A45"/>
    <w:p w14:paraId="725610DE" w14:textId="77777777" w:rsidR="00F24668" w:rsidRPr="00965145" w:rsidRDefault="00F24668" w:rsidP="00042A45"/>
    <w:p w14:paraId="6AD1FC46" w14:textId="77777777" w:rsidR="00F24668" w:rsidRPr="00965145" w:rsidRDefault="00F24668" w:rsidP="00042A45"/>
    <w:p w14:paraId="14C7EB5D" w14:textId="77777777" w:rsidR="00F24668" w:rsidRPr="00965145" w:rsidRDefault="00F24668" w:rsidP="00042A45"/>
    <w:p w14:paraId="549D11D8" w14:textId="77777777" w:rsidR="00F24668" w:rsidRPr="00965145" w:rsidRDefault="00F24668" w:rsidP="00042A45"/>
    <w:p w14:paraId="28C27B1D" w14:textId="77777777" w:rsidR="00F24668" w:rsidRPr="00965145" w:rsidRDefault="00F24668" w:rsidP="00042A45"/>
    <w:p w14:paraId="47F9D3BD" w14:textId="77777777" w:rsidR="00F24668" w:rsidRPr="00965145" w:rsidRDefault="00F24668" w:rsidP="00042A45"/>
    <w:p w14:paraId="563CC915" w14:textId="77777777" w:rsidR="00F24668" w:rsidRDefault="00F24668"/>
  </w:endnote>
  <w:endnote w:type="continuationSeparator" w:id="0">
    <w:p w14:paraId="60009D92" w14:textId="77777777" w:rsidR="00F24668" w:rsidRPr="00965145" w:rsidRDefault="00F24668" w:rsidP="00042A45">
      <w:r w:rsidRPr="00965145">
        <w:continuationSeparator/>
      </w:r>
    </w:p>
    <w:p w14:paraId="12A9D112" w14:textId="77777777" w:rsidR="00F24668" w:rsidRPr="00965145" w:rsidRDefault="00F24668" w:rsidP="00042A45"/>
    <w:p w14:paraId="17C649A7" w14:textId="77777777" w:rsidR="00F24668" w:rsidRPr="00965145" w:rsidRDefault="00F24668" w:rsidP="00042A45"/>
    <w:p w14:paraId="2D04424B" w14:textId="77777777" w:rsidR="00F24668" w:rsidRPr="00965145" w:rsidRDefault="00F24668" w:rsidP="00042A45"/>
    <w:p w14:paraId="176FFAAF" w14:textId="77777777" w:rsidR="00F24668" w:rsidRPr="00965145" w:rsidRDefault="00F24668" w:rsidP="00042A45"/>
    <w:p w14:paraId="3DF0D155" w14:textId="77777777" w:rsidR="00F24668" w:rsidRPr="00965145" w:rsidRDefault="00F24668" w:rsidP="00042A45"/>
    <w:p w14:paraId="5A9B87D6" w14:textId="77777777" w:rsidR="00F24668" w:rsidRPr="00965145" w:rsidRDefault="00F24668" w:rsidP="00042A45"/>
    <w:p w14:paraId="1BB71468" w14:textId="77777777" w:rsidR="00F24668" w:rsidRPr="00965145" w:rsidRDefault="00F24668" w:rsidP="00042A45"/>
    <w:p w14:paraId="59969054" w14:textId="77777777" w:rsidR="00F24668" w:rsidRPr="00965145" w:rsidRDefault="00F24668" w:rsidP="00042A45"/>
    <w:p w14:paraId="002BC95A" w14:textId="77777777" w:rsidR="00F24668" w:rsidRPr="00965145" w:rsidRDefault="00F24668" w:rsidP="00042A45"/>
    <w:p w14:paraId="2AD82537" w14:textId="77777777" w:rsidR="00F24668" w:rsidRPr="00965145" w:rsidRDefault="00F24668" w:rsidP="00042A45"/>
    <w:p w14:paraId="41186634" w14:textId="77777777" w:rsidR="00F24668" w:rsidRDefault="00F24668"/>
  </w:endnote>
  <w:endnote w:type="continuationNotice" w:id="1">
    <w:p w14:paraId="3CDDD171" w14:textId="77777777" w:rsidR="00F24668" w:rsidRDefault="00F246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FSMePro">
    <w:altName w:val="Calibri"/>
    <w:charset w:val="00"/>
    <w:family w:val="auto"/>
    <w:pitch w:val="variable"/>
    <w:sig w:usb0="A00002EF" w:usb1="4000606A"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Times New Roman (Body CS)">
    <w:altName w:val="Times New Roman"/>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FSMe-Bold">
    <w:altName w:val="Cambria"/>
    <w:panose1 w:val="00000000000000000000"/>
    <w:charset w:val="4D"/>
    <w:family w:val="auto"/>
    <w:notTrueType/>
    <w:pitch w:val="variable"/>
    <w:sig w:usb0="800000AF" w:usb1="4000204A" w:usb2="00000000" w:usb3="00000000" w:csb0="0000009B" w:csb1="00000000"/>
  </w:font>
  <w:font w:name="SimSun">
    <w:altName w:val="宋体"/>
    <w:panose1 w:val="02010600030101010101"/>
    <w:charset w:val="86"/>
    <w:family w:val="auto"/>
    <w:pitch w:val="variable"/>
    <w:sig w:usb0="00000203" w:usb1="288F0000" w:usb2="00000016" w:usb3="00000000" w:csb0="00040001" w:csb1="00000000"/>
  </w:font>
  <w:font w:name="FS Me Pro">
    <w:altName w:val="Calibri"/>
    <w:charset w:val="00"/>
    <w:family w:val="auto"/>
    <w:pitch w:val="variable"/>
    <w:sig w:usb0="A00002EF" w:usb1="4000606A" w:usb2="00000000" w:usb3="00000000" w:csb0="0000009F" w:csb1="00000000"/>
  </w:font>
  <w:font w:name="Calisto MT">
    <w:panose1 w:val="02040603050505030304"/>
    <w:charset w:val="00"/>
    <w:family w:val="roman"/>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8EA42" w14:textId="77777777" w:rsidR="00F27A6F" w:rsidRPr="00965145" w:rsidRDefault="00F27A6F" w:rsidP="00F27A6F">
    <w:pPr>
      <w:pStyle w:val="Header"/>
      <w:spacing w:before="0" w:after="200"/>
    </w:pPr>
    <w:r w:rsidRPr="00965145">
      <w:t>OFFICIAL</w:t>
    </w:r>
  </w:p>
  <w:p w14:paraId="5A3F6EA3" w14:textId="024F962E" w:rsidR="00B16CCE" w:rsidRPr="00F27A6F" w:rsidRDefault="00F27A6F" w:rsidP="00F27A6F">
    <w:pPr>
      <w:pStyle w:val="Footer"/>
    </w:pPr>
    <w:r w:rsidRPr="00965145">
      <w:t xml:space="preserve">ndis.gov.au </w:t>
    </w:r>
    <w:r w:rsidRPr="00965145">
      <w:tab/>
    </w:r>
    <w:r w:rsidR="00B4703E">
      <w:rPr>
        <w:b w:val="0"/>
        <w:bCs w:val="0"/>
      </w:rPr>
      <w:t>15 September 2025</w:t>
    </w:r>
    <w:r w:rsidRPr="00965145">
      <w:rPr>
        <w:b w:val="0"/>
        <w:bCs w:val="0"/>
      </w:rPr>
      <w:t xml:space="preserve"> | </w:t>
    </w:r>
    <w:r>
      <w:rPr>
        <w:b w:val="0"/>
        <w:bCs w:val="0"/>
      </w:rPr>
      <w:t>NDIA Annual Report 2024–25</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41</w:t>
    </w:r>
    <w:r w:rsidRPr="00965145">
      <w:rPr>
        <w:b w:val="0"/>
        <w:bCs w:val="0"/>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B0685" w14:textId="10F2E432" w:rsidR="005845E2" w:rsidRPr="00F27A6F" w:rsidRDefault="005845E2" w:rsidP="007B373F">
    <w:pPr>
      <w:pStyle w:val="Footer"/>
      <w:tabs>
        <w:tab w:val="clear" w:pos="4513"/>
        <w:tab w:val="clear" w:pos="9026"/>
        <w:tab w:val="right" w:pos="14884"/>
      </w:tabs>
    </w:pPr>
    <w:r w:rsidRPr="00965145">
      <w:t xml:space="preserve">ndis.gov.au </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34</w:t>
    </w:r>
    <w:r w:rsidRPr="00965145">
      <w:rPr>
        <w:b w:val="0"/>
        <w:bCs w:val="0"/>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8C1F2" w14:textId="77777777" w:rsidR="00F41372" w:rsidRPr="00965145" w:rsidRDefault="00F41372" w:rsidP="00F41372">
    <w:pPr>
      <w:pStyle w:val="Header"/>
      <w:spacing w:before="0" w:after="200"/>
    </w:pPr>
    <w:r w:rsidRPr="00965145">
      <w:t>OFFICIAL</w:t>
    </w:r>
  </w:p>
  <w:p w14:paraId="2B9F254D" w14:textId="09222F0B" w:rsidR="004E63EB" w:rsidRPr="00F41372" w:rsidRDefault="00F41372" w:rsidP="007B373F">
    <w:pPr>
      <w:pStyle w:val="Footer"/>
      <w:tabs>
        <w:tab w:val="clear" w:pos="4513"/>
        <w:tab w:val="clear" w:pos="9026"/>
        <w:tab w:val="right" w:pos="14995"/>
      </w:tabs>
    </w:pPr>
    <w:r w:rsidRPr="00965145">
      <w:t xml:space="preserve">ndis.gov.au </w:t>
    </w:r>
    <w:r w:rsidRPr="00965145">
      <w:tab/>
    </w:r>
    <w:r w:rsidRPr="00965145">
      <w:rPr>
        <w:b w:val="0"/>
        <w:bCs w:val="0"/>
      </w:rPr>
      <w:fldChar w:fldCharType="begin"/>
    </w:r>
    <w:r w:rsidRPr="00965145">
      <w:instrText xml:space="preserve"> PAGE </w:instrText>
    </w:r>
    <w:r w:rsidRPr="00965145">
      <w:rPr>
        <w:b w:val="0"/>
        <w:bCs w:val="0"/>
      </w:rPr>
      <w:fldChar w:fldCharType="separate"/>
    </w:r>
    <w:r w:rsidR="00A766F7">
      <w:rPr>
        <w:noProof/>
      </w:rPr>
      <w:t>34</w:t>
    </w:r>
    <w:r w:rsidRPr="00965145">
      <w:rPr>
        <w:b w:val="0"/>
        <w:bCs w:val="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6B822" w14:textId="5C6DF990" w:rsidR="00EB0648"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888E7" w14:textId="1BAA1C49" w:rsidR="004E63EB" w:rsidRPr="00661466"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19</w:t>
    </w:r>
    <w:r w:rsidRPr="00965145">
      <w:rPr>
        <w:b w:val="0"/>
        <w:bCs w:val="0"/>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5BCA3" w14:textId="6404BFFD" w:rsidR="00AA49A7"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B9036" w14:textId="7F234B88" w:rsidR="00786EC7"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3BDD2" w14:textId="37B94BE6" w:rsidR="00786EC7"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2F832" w14:textId="6A039904" w:rsidR="00A26539"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6FAFD" w14:textId="0191F6D3" w:rsidR="00DC6E9E" w:rsidRPr="007B373F" w:rsidRDefault="007B373F" w:rsidP="007B373F">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182894369"/>
      <w:docPartObj>
        <w:docPartGallery w:val="Page Numbers (Bottom of Page)"/>
        <w:docPartUnique/>
      </w:docPartObj>
    </w:sdtPr>
    <w:sdtEndPr/>
    <w:sdtContent>
      <w:p w14:paraId="65B4DC50" w14:textId="197E26E5" w:rsidR="00F41B77" w:rsidRPr="00F41B77" w:rsidRDefault="00F41B77" w:rsidP="00230FCE">
        <w:pPr>
          <w:pStyle w:val="Footer"/>
          <w:tabs>
            <w:tab w:val="clear" w:pos="4513"/>
            <w:tab w:val="clear" w:pos="9026"/>
            <w:tab w:val="right" w:pos="13466"/>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61</w:t>
        </w:r>
        <w:r w:rsidRPr="00965145">
          <w:rPr>
            <w:b w:val="0"/>
            <w:bCs w:val="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7E8E3" w14:textId="1C715E6C" w:rsidR="0009513D" w:rsidRPr="00F27A6F" w:rsidRDefault="00F857AC" w:rsidP="00F857AC">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79342372"/>
      <w:docPartObj>
        <w:docPartGallery w:val="Page Numbers (Bottom of Page)"/>
        <w:docPartUnique/>
      </w:docPartObj>
    </w:sdtPr>
    <w:sdtEndPr/>
    <w:sdtContent>
      <w:p w14:paraId="63C414BA" w14:textId="0716D8FE" w:rsidR="006106C5" w:rsidRPr="00661466" w:rsidRDefault="006106C5" w:rsidP="00230FCE">
        <w:pPr>
          <w:pStyle w:val="Footer"/>
          <w:tabs>
            <w:tab w:val="clear" w:pos="4513"/>
            <w:tab w:val="clear" w:pos="9026"/>
            <w:tab w:val="right" w:pos="13466"/>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22</w:t>
        </w:r>
        <w:r w:rsidRPr="00965145">
          <w:rPr>
            <w:b w:val="0"/>
            <w:bCs w:val="0"/>
          </w:rPr>
          <w:fldChar w:fldCharType="end"/>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69A91" w14:textId="6C6D31E2" w:rsidR="00F41B77"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4F0F7" w14:textId="32C4A0DB" w:rsidR="006106C5"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8A578" w14:textId="6DF2FC91" w:rsidR="00916E83"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5594F" w14:textId="5F21FA1D" w:rsidR="002611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1C32A" w14:textId="7FC7F642" w:rsidR="004B2B62"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CFF2" w14:textId="298CF1F4" w:rsidR="00EA599A"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57751" w14:textId="77777777" w:rsidR="0082424C" w:rsidRPr="00965145" w:rsidRDefault="0082424C">
    <w:pPr>
      <w:pStyle w:val="Header"/>
      <w:spacing w:before="0" w:after="200"/>
    </w:pPr>
    <w:r w:rsidRPr="00965145">
      <w:t>OFFICIAL</w:t>
    </w:r>
  </w:p>
  <w:p w14:paraId="2A6F49CD" w14:textId="77777777" w:rsidR="0082424C" w:rsidRPr="003E4A39" w:rsidRDefault="0082424C">
    <w:pPr>
      <w:pStyle w:val="Footer"/>
    </w:pPr>
    <w:r w:rsidRPr="00965145">
      <w:t xml:space="preserve">ndis.gov.au </w:t>
    </w:r>
    <w:r w:rsidRPr="00965145">
      <w:tab/>
    </w:r>
    <w:r w:rsidRPr="00965145">
      <w:rPr>
        <w:b w:val="0"/>
        <w:bCs w:val="0"/>
      </w:rPr>
      <w:t>XX Month 20</w:t>
    </w:r>
    <w:r>
      <w:rPr>
        <w:b w:val="0"/>
        <w:bCs w:val="0"/>
      </w:rPr>
      <w:t>25</w:t>
    </w:r>
    <w:r w:rsidRPr="00965145">
      <w:rPr>
        <w:b w:val="0"/>
        <w:bCs w:val="0"/>
      </w:rPr>
      <w:t xml:space="preserve"> | </w:t>
    </w:r>
    <w:r>
      <w:rPr>
        <w:b w:val="0"/>
        <w:bCs w:val="0"/>
      </w:rPr>
      <w:t>NDIA Annual Report 2024–25</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15</w:t>
    </w:r>
    <w:r w:rsidRPr="00965145">
      <w:rPr>
        <w:b w:val="0"/>
        <w:bCs w:val="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9B0E1" w14:textId="3FC5632B"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94387" w14:textId="38B5A983"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642C0" w14:textId="170F5E9B" w:rsidR="007E29C0" w:rsidRPr="00661466" w:rsidRDefault="007E29C0" w:rsidP="00F857AC">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22</w:t>
    </w:r>
    <w:r w:rsidRPr="00965145">
      <w:rPr>
        <w:b w:val="0"/>
        <w:bCs w:val="0"/>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0A6F0" w14:textId="02D04D2C"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646D1" w14:textId="0DC6400D"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385D5" w14:textId="328B79E8" w:rsidR="0082424C" w:rsidRPr="00230FCE" w:rsidRDefault="00230FCE" w:rsidP="00230FCE">
    <w:pPr>
      <w:pStyle w:val="Footer"/>
      <w:tabs>
        <w:tab w:val="clear" w:pos="4513"/>
        <w:tab w:val="clear" w:pos="9026"/>
        <w:tab w:val="right" w:pos="14601"/>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8928C" w14:textId="1AEB949B"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A2109" w14:textId="5BFD8699" w:rsidR="0082424C" w:rsidRPr="00230FCE" w:rsidRDefault="00230FCE" w:rsidP="00230FCE">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98F0F8" w14:textId="5373556F" w:rsidR="0082424C" w:rsidRPr="00616705" w:rsidRDefault="00616705" w:rsidP="00616705">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9ADBA" w14:textId="4817FD1F" w:rsidR="004B6102" w:rsidRPr="000E0847" w:rsidRDefault="004B6102" w:rsidP="003645F0">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42</w:t>
    </w:r>
    <w:r w:rsidRPr="00965145">
      <w:rPr>
        <w:b w:val="0"/>
        <w:bCs w:val="0"/>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D0E9" w14:textId="11F10A3B" w:rsidR="004B6102" w:rsidRPr="00661466" w:rsidRDefault="004B6102" w:rsidP="00616705">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22</w:t>
    </w:r>
    <w:r w:rsidRPr="00965145">
      <w:rPr>
        <w:b w:val="0"/>
        <w:bCs w:val="0"/>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1530786133"/>
      <w:docPartObj>
        <w:docPartGallery w:val="Page Numbers (Bottom of Page)"/>
        <w:docPartUnique/>
      </w:docPartObj>
    </w:sdtPr>
    <w:sdtEndPr/>
    <w:sdtContent>
      <w:p w14:paraId="3BD61964" w14:textId="0C0CFE6E" w:rsidR="00CB00C2" w:rsidRPr="00C86E56" w:rsidRDefault="00CB00C2" w:rsidP="003645F0">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25</w:t>
        </w:r>
        <w:r w:rsidRPr="00965145">
          <w:rPr>
            <w:b w:val="0"/>
            <w:bCs w:val="0"/>
          </w:rPr>
          <w:fldChar w:fldCharType="end"/>
        </w:r>
      </w:p>
    </w:sdtContent>
  </w:sdt>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810176749"/>
      <w:docPartObj>
        <w:docPartGallery w:val="Page Numbers (Bottom of Page)"/>
        <w:docPartUnique/>
      </w:docPartObj>
    </w:sdtPr>
    <w:sdtEndPr/>
    <w:sdtContent>
      <w:p w14:paraId="4406450C" w14:textId="0372985E" w:rsidR="00CB00C2" w:rsidRPr="00916E83" w:rsidRDefault="00CB00C2" w:rsidP="003645F0">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35</w:t>
        </w:r>
        <w:r w:rsidRPr="00965145">
          <w:rPr>
            <w:b w:val="0"/>
            <w:bCs w:val="0"/>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7B976" w14:textId="10E43597" w:rsidR="0009513D" w:rsidRPr="0075299D" w:rsidRDefault="0075299D" w:rsidP="0075299D">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677307424"/>
      <w:docPartObj>
        <w:docPartGallery w:val="Page Numbers (Bottom of Page)"/>
        <w:docPartUnique/>
      </w:docPartObj>
    </w:sdtPr>
    <w:sdtEndPr/>
    <w:sdtContent>
      <w:p w14:paraId="2EFDBD24" w14:textId="36EF5997" w:rsidR="004D2E42" w:rsidRPr="00C86E56" w:rsidRDefault="004D2E42" w:rsidP="003645F0">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40</w:t>
        </w:r>
        <w:r w:rsidRPr="00965145">
          <w:rPr>
            <w:b w:val="0"/>
            <w:bCs w:val="0"/>
          </w:rPr>
          <w:fldChar w:fldCharType="end"/>
        </w:r>
      </w:p>
    </w:sdtContent>
  </w:sdt>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val="0"/>
        <w:bCs w:val="0"/>
      </w:rPr>
      <w:id w:val="1549418600"/>
      <w:docPartObj>
        <w:docPartGallery w:val="Page Numbers (Bottom of Page)"/>
        <w:docPartUnique/>
      </w:docPartObj>
    </w:sdtPr>
    <w:sdtEndPr/>
    <w:sdtContent>
      <w:p w14:paraId="475FE14B" w14:textId="2FFE8347" w:rsidR="004D2E42" w:rsidRPr="0026114C" w:rsidRDefault="004D2E42" w:rsidP="003645F0">
        <w:pPr>
          <w:pStyle w:val="Footer"/>
          <w:tabs>
            <w:tab w:val="clear" w:pos="4513"/>
            <w:tab w:val="clear" w:pos="9026"/>
            <w:tab w:val="right" w:pos="13892"/>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29</w:t>
        </w:r>
        <w:r w:rsidRPr="00965145">
          <w:rPr>
            <w:b w:val="0"/>
            <w:bCs w:val="0"/>
          </w:rPr>
          <w:fldChar w:fldCharType="end"/>
        </w:r>
      </w:p>
    </w:sdtContent>
  </w:sdt>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296FA" w14:textId="37995825" w:rsidR="00500659" w:rsidRPr="003645F0" w:rsidRDefault="003645F0" w:rsidP="003645F0">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D54FE" w14:textId="2D4F5EBF" w:rsidR="00500659" w:rsidRPr="003645F0" w:rsidRDefault="003645F0" w:rsidP="003645F0">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7D54E" w14:textId="66302551" w:rsidR="00F944DC" w:rsidRPr="00F944DC" w:rsidRDefault="00F944DC" w:rsidP="00B12CE7">
    <w:pPr>
      <w:pStyle w:val="Footer"/>
      <w:tabs>
        <w:tab w:val="clear" w:pos="4513"/>
        <w:tab w:val="clear" w:pos="9026"/>
        <w:tab w:val="right" w:pos="14034"/>
      </w:tabs>
      <w:ind w:right="-76"/>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161</w:t>
    </w:r>
    <w:r w:rsidRPr="00965145">
      <w:rPr>
        <w:b w:val="0"/>
        <w:bCs w:val="0"/>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DBEA" w14:textId="5A7AFC9B" w:rsidR="006B23EB" w:rsidRPr="00F944DC" w:rsidRDefault="00F944DC" w:rsidP="00B12CE7">
    <w:pPr>
      <w:pStyle w:val="Footer"/>
      <w:tabs>
        <w:tab w:val="clear" w:pos="4513"/>
        <w:tab w:val="clear" w:pos="9026"/>
        <w:tab w:val="right" w:pos="14034"/>
      </w:tabs>
      <w:ind w:right="-76"/>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sidR="004459D4">
      <w:rPr>
        <w:noProof/>
      </w:rPr>
      <w:t>164</w:t>
    </w:r>
    <w:r w:rsidRPr="00965145">
      <w:rPr>
        <w:b w:val="0"/>
        <w:bCs w:val="0"/>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27702" w14:textId="4D44E4DE" w:rsidR="00435D5C" w:rsidRPr="00B12CE7" w:rsidRDefault="00B12CE7" w:rsidP="00B12CE7">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AB90D" w14:textId="5C878717" w:rsidR="00F944DC" w:rsidRPr="00B12CE7" w:rsidRDefault="00B12CE7" w:rsidP="00B12CE7">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52A2" w14:textId="07CC7B06" w:rsidR="0009513D" w:rsidRPr="0075299D" w:rsidRDefault="0075299D" w:rsidP="0075299D">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E4239" w14:textId="4B07081D" w:rsidR="00EB0648" w:rsidRPr="0075299D" w:rsidRDefault="0075299D" w:rsidP="0075299D">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D6FB" w14:textId="75034DD4" w:rsidR="00EB0648" w:rsidRPr="00661466" w:rsidRDefault="0075299D" w:rsidP="0075299D">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018CD" w14:textId="0D878468" w:rsidR="00B407C5" w:rsidRPr="00F27A6F" w:rsidRDefault="00B407C5" w:rsidP="007B373F">
    <w:pPr>
      <w:pStyle w:val="Footer"/>
      <w:tabs>
        <w:tab w:val="clear" w:pos="4513"/>
        <w:tab w:val="clear" w:pos="9026"/>
        <w:tab w:val="right" w:pos="14884"/>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36</w:t>
    </w:r>
    <w:r w:rsidRPr="00965145">
      <w:rPr>
        <w:b w:val="0"/>
        <w:bCs w:val="0"/>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4282F" w14:textId="011B6555" w:rsidR="00C0739B" w:rsidRPr="00661466" w:rsidRDefault="00AD3580" w:rsidP="00AD3580">
    <w:pPr>
      <w:pStyle w:val="Footer"/>
      <w:tabs>
        <w:tab w:val="clear" w:pos="4513"/>
      </w:tabs>
    </w:pPr>
    <w:r w:rsidRPr="00965145">
      <w:t>ndis.gov.au</w:t>
    </w:r>
    <w:r w:rsidRPr="00965145">
      <w:tab/>
    </w:r>
    <w:r w:rsidRPr="00965145">
      <w:rPr>
        <w:b w:val="0"/>
        <w:bCs w:val="0"/>
      </w:rPr>
      <w:fldChar w:fldCharType="begin"/>
    </w:r>
    <w:r w:rsidRPr="00965145">
      <w:instrText xml:space="preserve"> PAGE </w:instrText>
    </w:r>
    <w:r w:rsidRPr="00965145">
      <w:rPr>
        <w:b w:val="0"/>
        <w:bCs w:val="0"/>
      </w:rPr>
      <w:fldChar w:fldCharType="separate"/>
    </w:r>
    <w:r>
      <w:rPr>
        <w:b w:val="0"/>
        <w:bCs w:val="0"/>
      </w:rPr>
      <w:t>2</w:t>
    </w:r>
    <w:r w:rsidRPr="00965145">
      <w:rPr>
        <w:b w:val="0"/>
        <w:bCs w:val="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D366A4" w14:textId="77777777" w:rsidR="00F24668" w:rsidRPr="00965145" w:rsidRDefault="00F24668" w:rsidP="00767166">
      <w:pPr>
        <w:spacing w:after="0"/>
      </w:pPr>
      <w:r w:rsidRPr="00965145">
        <w:separator/>
      </w:r>
    </w:p>
    <w:p w14:paraId="1F1577AC" w14:textId="77777777" w:rsidR="00F24668" w:rsidRDefault="00F24668"/>
  </w:footnote>
  <w:footnote w:type="continuationSeparator" w:id="0">
    <w:p w14:paraId="3BE4C45A" w14:textId="77777777" w:rsidR="00F24668" w:rsidRPr="00965145" w:rsidRDefault="00F24668" w:rsidP="00042A45">
      <w:r w:rsidRPr="00965145">
        <w:continuationSeparator/>
      </w:r>
    </w:p>
    <w:p w14:paraId="524D928D" w14:textId="77777777" w:rsidR="00F24668" w:rsidRPr="00965145" w:rsidRDefault="00F24668" w:rsidP="00042A45"/>
    <w:p w14:paraId="04FC0D9C" w14:textId="77777777" w:rsidR="00F24668" w:rsidRPr="00965145" w:rsidRDefault="00F24668" w:rsidP="00042A45"/>
    <w:p w14:paraId="54A2B9BE" w14:textId="77777777" w:rsidR="00F24668" w:rsidRPr="00965145" w:rsidRDefault="00F24668" w:rsidP="00042A45"/>
    <w:p w14:paraId="01BC7DFA" w14:textId="77777777" w:rsidR="00F24668" w:rsidRPr="00965145" w:rsidRDefault="00F24668" w:rsidP="00042A45"/>
    <w:p w14:paraId="37398C07" w14:textId="77777777" w:rsidR="00F24668" w:rsidRPr="00965145" w:rsidRDefault="00F24668" w:rsidP="00042A45"/>
    <w:p w14:paraId="35BDC8D4" w14:textId="77777777" w:rsidR="00F24668" w:rsidRPr="00965145" w:rsidRDefault="00F24668" w:rsidP="00042A45"/>
    <w:p w14:paraId="4CCE4727" w14:textId="77777777" w:rsidR="00F24668" w:rsidRPr="00965145" w:rsidRDefault="00F24668" w:rsidP="00042A45"/>
    <w:p w14:paraId="208C90B7" w14:textId="77777777" w:rsidR="00F24668" w:rsidRPr="00965145" w:rsidRDefault="00F24668" w:rsidP="00042A45"/>
    <w:p w14:paraId="4B988563" w14:textId="77777777" w:rsidR="00F24668" w:rsidRPr="00965145" w:rsidRDefault="00F24668" w:rsidP="00042A45"/>
    <w:p w14:paraId="3541F6B1" w14:textId="77777777" w:rsidR="00F24668" w:rsidRPr="00965145" w:rsidRDefault="00F24668" w:rsidP="00042A45"/>
    <w:p w14:paraId="3EA1A1F8" w14:textId="77777777" w:rsidR="00F24668" w:rsidRDefault="00F24668"/>
  </w:footnote>
  <w:footnote w:type="continuationNotice" w:id="1">
    <w:p w14:paraId="05A3E441" w14:textId="77777777" w:rsidR="00F24668" w:rsidRDefault="00F24668">
      <w:pPr>
        <w:spacing w:after="0" w:line="240" w:lineRule="auto"/>
      </w:pPr>
    </w:p>
  </w:footnote>
  <w:footnote w:id="2">
    <w:p w14:paraId="3A21D0DF" w14:textId="3F8F0245" w:rsidR="004F423B" w:rsidRDefault="004F423B" w:rsidP="004F423B">
      <w:pPr>
        <w:pStyle w:val="FootnoteText"/>
      </w:pPr>
      <w:r>
        <w:rPr>
          <w:rStyle w:val="FootnoteReference"/>
          <w:rFonts w:eastAsia="FSMePro"/>
        </w:rPr>
        <w:footnoteRef/>
      </w:r>
      <w:r>
        <w:t xml:space="preserve"> National Disability Insurance Scheme (n.d.)</w:t>
      </w:r>
      <w:r>
        <w:rPr>
          <w:i/>
          <w:iCs/>
        </w:rPr>
        <w:t xml:space="preserve"> </w:t>
      </w:r>
      <w:hyperlink r:id="rId1" w:history="1">
        <w:r w:rsidRPr="00A9097C">
          <w:rPr>
            <w:rStyle w:val="Hyperlink"/>
          </w:rPr>
          <w:t>Previous annual financial sustainability reports</w:t>
        </w:r>
        <w:r w:rsidRPr="00A9097C">
          <w:rPr>
            <w:rStyle w:val="Hyperlink"/>
            <w:lang w:val="en-US"/>
          </w:rPr>
          <w:t>, NDIS</w:t>
        </w:r>
        <w:r w:rsidRPr="00A9097C">
          <w:rPr>
            <w:rStyle w:val="Hyperlink"/>
          </w:rPr>
          <w:t xml:space="preserve"> website</w:t>
        </w:r>
      </w:hyperlink>
      <w:r w:rsidRPr="00A9097C">
        <w:t>.</w:t>
      </w:r>
    </w:p>
  </w:footnote>
  <w:footnote w:id="3">
    <w:p w14:paraId="3E56D1EE" w14:textId="77777777" w:rsidR="004F423B" w:rsidRDefault="004F423B" w:rsidP="004F423B">
      <w:pPr>
        <w:pStyle w:val="FootnoteText"/>
      </w:pPr>
      <w:r>
        <w:rPr>
          <w:rStyle w:val="FootnoteReference"/>
          <w:rFonts w:eastAsia="FSMePro"/>
        </w:rPr>
        <w:footnoteRef/>
      </w:r>
      <w:r>
        <w:t xml:space="preserve"> Parliament of Australia (2024) </w:t>
      </w:r>
      <w:hyperlink r:id="rId2" w:history="1">
        <w:r>
          <w:rPr>
            <w:rStyle w:val="Hyperlink"/>
            <w:color w:val="0000FF"/>
          </w:rPr>
          <w:t>National Disability Insurance Scheme Amendment (Getting the NDIS Back on Track No. 1) Bill 2024</w:t>
        </w:r>
      </w:hyperlink>
      <w:r>
        <w:t>, APH website.</w:t>
      </w:r>
    </w:p>
  </w:footnote>
  <w:footnote w:id="4">
    <w:p w14:paraId="23C065EA" w14:textId="2965DF36" w:rsidR="004F423B" w:rsidRDefault="004F423B" w:rsidP="004F423B">
      <w:pPr>
        <w:pStyle w:val="FootnoteText"/>
      </w:pPr>
      <w:r>
        <w:rPr>
          <w:rStyle w:val="FootnoteReference"/>
          <w:rFonts w:eastAsia="FSMePro"/>
        </w:rPr>
        <w:footnoteRef/>
      </w:r>
      <w:r>
        <w:rPr>
          <w:lang w:val="en-US"/>
        </w:rPr>
        <w:t xml:space="preserve"> </w:t>
      </w:r>
      <w:r>
        <w:t xml:space="preserve">National Disability Insurance Scheme (18 February 2024) </w:t>
      </w:r>
      <w:hyperlink r:id="rId3" w:history="1">
        <w:r w:rsidRPr="004D7F55">
          <w:rPr>
            <w:rStyle w:val="Hyperlink"/>
          </w:rPr>
          <w:t>Reinforcing a sustainable, honest, and trustworthy NDIS, NDIS website</w:t>
        </w:r>
      </w:hyperlink>
      <w:r w:rsidRPr="004D7F55">
        <w:t>.</w:t>
      </w:r>
    </w:p>
  </w:footnote>
  <w:footnote w:id="5">
    <w:p w14:paraId="27127C4E" w14:textId="77777777" w:rsidR="004F423B" w:rsidRDefault="004F423B" w:rsidP="004F423B">
      <w:pPr>
        <w:pStyle w:val="FootnoteText"/>
      </w:pPr>
      <w:r>
        <w:rPr>
          <w:rStyle w:val="FootnoteReference"/>
          <w:rFonts w:eastAsia="FSMePro"/>
        </w:rPr>
        <w:footnoteRef/>
      </w:r>
      <w:r>
        <w:t xml:space="preserve"> NDIS expenses relate to the payments made for participant supports and do not include operating expenses. Expenses on an accrual basis are based on when the service was provided to the participant, recognising some services are paid for after the end of the period.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8FDA4" w14:textId="4E394443" w:rsidR="00B16CCE" w:rsidRDefault="00B16CCE" w:rsidP="00B16CCE">
    <w:pPr>
      <w:pStyle w:val="Header"/>
    </w:pPr>
    <w:r>
      <w:t>OFFICIAL</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0500" w14:textId="755492D8" w:rsidR="00ED0583" w:rsidRPr="0075299D" w:rsidRDefault="00ED0583" w:rsidP="0075299D">
    <w:pPr>
      <w:pStyle w:val="Header"/>
      <w:spacing w:after="10800"/>
      <w:jc w:val="left"/>
      <w:rPr>
        <w:b w:val="0"/>
        <w:bCs/>
        <w:color w:val="auto"/>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2C508" w14:textId="130B1AB0" w:rsidR="005A17A2" w:rsidRPr="00AD3580" w:rsidRDefault="005A17A2" w:rsidP="00AD3580">
    <w:pPr>
      <w:pStyle w:val="Header"/>
      <w:jc w:val="left"/>
      <w:rPr>
        <w:b w:val="0"/>
        <w:bCs/>
        <w:color w:val="auto"/>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F862" w14:textId="344B5021" w:rsidR="00C0739B" w:rsidRPr="00AD3580" w:rsidRDefault="00C0739B" w:rsidP="00AD3580">
    <w:pPr>
      <w:pStyle w:val="Header"/>
      <w:spacing w:before="0" w:after="10800"/>
      <w:jc w:val="left"/>
      <w:rPr>
        <w:b w:val="0"/>
        <w:bCs/>
        <w:color w:val="auto"/>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CBEBE" w14:textId="6D10ACDB" w:rsidR="004E63EB" w:rsidRPr="007B373F" w:rsidRDefault="004E63EB" w:rsidP="007B373F">
    <w:pPr>
      <w:pStyle w:val="Header"/>
      <w:spacing w:before="0"/>
      <w:jc w:val="left"/>
      <w:rPr>
        <w:b w:val="0"/>
        <w:bCs/>
        <w:color w:val="auto"/>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3924E" w14:textId="77777777" w:rsidR="004E63EB" w:rsidRPr="00A21223" w:rsidRDefault="004E63EB" w:rsidP="00B407C5">
    <w:pPr>
      <w:pStyle w:val="Header"/>
      <w:spacing w:before="0"/>
    </w:pPr>
    <w:r w:rsidDel="006E6C1B">
      <w:t>OFFICIAL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9AA122" w14:textId="3C2B9A75" w:rsidR="00100D45" w:rsidRDefault="00100D4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8588C" w14:textId="16270CF2" w:rsidR="00A9370A" w:rsidRPr="00BA7C11" w:rsidRDefault="00A9370A" w:rsidP="00BA7C11">
    <w:pPr>
      <w:pStyle w:val="Header"/>
      <w:jc w:val="left"/>
      <w:rPr>
        <w:b w:val="0"/>
        <w:bCs/>
        <w:color w:val="auto"/>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BE6D" w14:textId="020BE3E8" w:rsidR="00AA49A7" w:rsidRPr="007B373F" w:rsidRDefault="00AA49A7" w:rsidP="007B373F">
    <w:pPr>
      <w:pStyle w:val="Header"/>
      <w:spacing w:after="10800"/>
      <w:jc w:val="left"/>
      <w:rPr>
        <w:rFonts w:cs="Arial"/>
        <w:bCs/>
        <w:color w:val="auto"/>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0801E" w14:textId="2546281A" w:rsidR="00786EC7" w:rsidRPr="007B373F" w:rsidRDefault="00786EC7" w:rsidP="007B373F">
    <w:pPr>
      <w:pStyle w:val="Header"/>
      <w:jc w:val="left"/>
      <w:rPr>
        <w:b w:val="0"/>
        <w:bCs/>
        <w:color w:val="auto"/>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CEF77" w14:textId="286AEC34" w:rsidR="00100D45" w:rsidRDefault="00100D4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DBC14" w14:textId="11925821" w:rsidR="00834863" w:rsidRPr="004078D4" w:rsidRDefault="00E82CC2" w:rsidP="007049C5">
    <w:pPr>
      <w:pStyle w:val="Header"/>
      <w:spacing w:before="5300" w:after="1400"/>
      <w:jc w:val="left"/>
    </w:pPr>
    <w:r>
      <w:rPr>
        <w:noProof/>
      </w:rPr>
      <w:drawing>
        <wp:anchor distT="0" distB="0" distL="114300" distR="114300" simplePos="0" relativeHeight="251658241" behindDoc="0" locked="0" layoutInCell="1" allowOverlap="1" wp14:anchorId="513551EF" wp14:editId="4C4523B0">
          <wp:simplePos x="0" y="0"/>
          <wp:positionH relativeFrom="column">
            <wp:posOffset>-914400</wp:posOffset>
          </wp:positionH>
          <wp:positionV relativeFrom="paragraph">
            <wp:posOffset>-356235</wp:posOffset>
          </wp:positionV>
          <wp:extent cx="7559040" cy="10712129"/>
          <wp:effectExtent l="0" t="0" r="3810" b="0"/>
          <wp:wrapNone/>
          <wp:docPr id="1950724901" name="Picture 3" descr="Oceanlee Bruckner">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724901" name="Picture 3" descr="Oceanlee Bruckner">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8852" cy="10726034"/>
                  </a:xfrm>
                  <a:prstGeom prst="rect">
                    <a:avLst/>
                  </a:prstGeom>
                </pic:spPr>
              </pic:pic>
            </a:graphicData>
          </a:graphic>
          <wp14:sizeRelH relativeFrom="page">
            <wp14:pctWidth>0</wp14:pctWidth>
          </wp14:sizeRelH>
          <wp14:sizeRelV relativeFrom="page">
            <wp14:pctHeight>0</wp14:pctHeight>
          </wp14:sizeRelV>
        </wp:anchor>
      </w:drawing>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7FA8F" w14:textId="0BD344EB" w:rsidR="00100D45" w:rsidRDefault="003C6014">
    <w:pPr>
      <w:pStyle w:val="Header"/>
    </w:pPr>
    <w:r>
      <w:t>OFFICIAL</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22DA3" w14:textId="0815A110" w:rsidR="004834EA" w:rsidRPr="007B373F" w:rsidRDefault="004834EA" w:rsidP="007B373F">
    <w:pPr>
      <w:pStyle w:val="Header"/>
      <w:spacing w:after="10800"/>
      <w:jc w:val="left"/>
      <w:rPr>
        <w:b w:val="0"/>
        <w:bCs/>
        <w:color w:val="auto"/>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A88B7" w14:textId="2A6684FB" w:rsidR="00100D45" w:rsidRDefault="00100D4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4EE43" w14:textId="57B6AD48" w:rsidR="00100D45" w:rsidRPr="007B373F" w:rsidRDefault="00100D45" w:rsidP="007B373F">
    <w:pPr>
      <w:pStyle w:val="Header"/>
      <w:jc w:val="left"/>
      <w:rPr>
        <w:b w:val="0"/>
        <w:bCs/>
        <w:color w:val="auto"/>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17204" w14:textId="5AA17651" w:rsidR="00661466" w:rsidRPr="007B373F" w:rsidRDefault="00661466" w:rsidP="007B373F">
    <w:pPr>
      <w:pStyle w:val="Header"/>
      <w:jc w:val="left"/>
      <w:rPr>
        <w:b w:val="0"/>
        <w:bCs/>
        <w:color w:val="auto"/>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126CE0" w14:textId="1D44417C" w:rsidR="00100D45" w:rsidRDefault="00100D4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55C8" w14:textId="58400902" w:rsidR="00100D45" w:rsidRDefault="00A500C6">
    <w:pPr>
      <w:pStyle w:val="Header"/>
    </w:pPr>
    <w:r>
      <w:t>OFFICIAL</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152E4" w14:textId="271218EE" w:rsidR="006106C5" w:rsidRPr="007B373F" w:rsidRDefault="006106C5" w:rsidP="007B373F">
    <w:pPr>
      <w:pStyle w:val="Header"/>
      <w:jc w:val="left"/>
      <w:rPr>
        <w:b w:val="0"/>
        <w:bCs/>
        <w:color w:val="auto"/>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221D4" w14:textId="65D59077" w:rsidR="00100D45" w:rsidRDefault="00100D4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6DDB9" w14:textId="3C5BB2D2" w:rsidR="00100D45" w:rsidRPr="00230FCE" w:rsidRDefault="00100D45" w:rsidP="00230FCE">
    <w:pPr>
      <w:pStyle w:val="Header"/>
      <w:jc w:val="left"/>
      <w:rPr>
        <w:b w:val="0"/>
        <w:bCs/>
        <w:color w:val="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621BC7" w14:textId="49C267B7" w:rsidR="00100D45" w:rsidRDefault="00100D45">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1768" w14:textId="7F355117" w:rsidR="006106C5" w:rsidRPr="00230FCE" w:rsidRDefault="006106C5" w:rsidP="00230FCE">
    <w:pPr>
      <w:pStyle w:val="Header"/>
      <w:jc w:val="left"/>
      <w:rPr>
        <w:b w:val="0"/>
        <w:bCs/>
        <w:color w:val="auto"/>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E059E" w14:textId="14369FB0" w:rsidR="00100D45" w:rsidRDefault="00100D45">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D9FC7" w14:textId="358519BB" w:rsidR="00100D45" w:rsidRPr="00230FCE" w:rsidRDefault="00100D45" w:rsidP="00230FCE">
    <w:pPr>
      <w:pStyle w:val="Header"/>
      <w:jc w:val="left"/>
      <w:rPr>
        <w:b w:val="0"/>
        <w:bCs/>
        <w:color w:val="auto"/>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8AC92" w14:textId="409BBEDD" w:rsidR="00916E83" w:rsidRPr="00230FCE" w:rsidRDefault="00916E83" w:rsidP="00230FCE">
    <w:pPr>
      <w:pStyle w:val="Header"/>
      <w:spacing w:after="10800"/>
      <w:jc w:val="left"/>
      <w:rPr>
        <w:b w:val="0"/>
        <w:bCs/>
        <w:color w:val="auto"/>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75770" w14:textId="3EFBC3B2" w:rsidR="00100D45" w:rsidRDefault="00100D45">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B9FC1" w14:textId="1F2AE81F" w:rsidR="00FB1059" w:rsidRPr="00230FCE" w:rsidRDefault="00FB1059" w:rsidP="00230FCE">
    <w:pPr>
      <w:pStyle w:val="Header"/>
      <w:jc w:val="left"/>
      <w:rPr>
        <w:b w:val="0"/>
        <w:bCs/>
        <w:color w:val="auto"/>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7D465" w14:textId="1DD0308D" w:rsidR="00EA599A" w:rsidRPr="00230FCE" w:rsidRDefault="00EA599A" w:rsidP="00230FCE">
    <w:pPr>
      <w:pStyle w:val="Header"/>
      <w:spacing w:after="10800"/>
      <w:jc w:val="left"/>
      <w:rPr>
        <w:b w:val="0"/>
        <w:bCs/>
        <w:color w:val="auto"/>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0FB30" w14:textId="77777777" w:rsidR="0082424C" w:rsidRDefault="0082424C">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EEF012" w14:textId="77777777" w:rsidR="0082424C" w:rsidRDefault="0082424C">
    <w:pPr>
      <w:pStyle w:val="Header"/>
    </w:pPr>
    <w:r>
      <w:t>OFFICIAL</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B3B642" w14:textId="353F2C3A" w:rsidR="0082424C" w:rsidRPr="00230FCE" w:rsidRDefault="0082424C" w:rsidP="00230FCE">
    <w:pPr>
      <w:pStyle w:val="Header"/>
      <w:spacing w:after="10800"/>
      <w:jc w:val="left"/>
      <w:rPr>
        <w:b w:val="0"/>
        <w:bCs/>
        <w:color w:val="auto"/>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356E8" w14:textId="44401CA4" w:rsidR="00100D45" w:rsidRPr="007B373F" w:rsidRDefault="00100D45" w:rsidP="007B373F">
    <w:pPr>
      <w:pStyle w:val="Header"/>
      <w:spacing w:before="0"/>
      <w:jc w:val="left"/>
      <w:rPr>
        <w:b w:val="0"/>
        <w:bCs/>
        <w:color w:val="auto"/>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FD763" w14:textId="77777777" w:rsidR="0082424C" w:rsidRDefault="0082424C">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FD64D" w14:textId="77777777" w:rsidR="0082424C" w:rsidRDefault="0082424C">
    <w:pPr>
      <w:pStyle w:val="Header"/>
    </w:pPr>
    <w:r>
      <w:t>OFFICIAL</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9C09A" w14:textId="127A4A2F" w:rsidR="0082424C" w:rsidRPr="00230FCE" w:rsidRDefault="0082424C" w:rsidP="00230FCE">
    <w:pPr>
      <w:pStyle w:val="Header"/>
      <w:jc w:val="left"/>
      <w:rPr>
        <w:b w:val="0"/>
        <w:bCs/>
        <w:color w:val="auto"/>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F2875" w14:textId="77777777" w:rsidR="0082424C" w:rsidRDefault="0082424C">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3C361" w14:textId="77777777" w:rsidR="0082424C" w:rsidRDefault="0082424C">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22FCE" w14:textId="0C2D31F5" w:rsidR="0082424C" w:rsidRPr="00230FCE" w:rsidRDefault="0082424C" w:rsidP="00230FCE">
    <w:pPr>
      <w:pStyle w:val="Header"/>
      <w:jc w:val="left"/>
      <w:rPr>
        <w:b w:val="0"/>
        <w:bCs/>
        <w:color w:val="auto"/>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4BD8C" w14:textId="77777777" w:rsidR="0082424C" w:rsidRDefault="0082424C">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30754" w14:textId="0993DC89" w:rsidR="0082424C" w:rsidRPr="00230FCE" w:rsidRDefault="0082424C" w:rsidP="00230FCE">
    <w:pPr>
      <w:pStyle w:val="Header"/>
      <w:jc w:val="left"/>
      <w:rPr>
        <w:b w:val="0"/>
        <w:bCs/>
        <w:color w:val="auto"/>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31E3E1" w14:textId="77777777" w:rsidR="0082424C" w:rsidRDefault="0082424C">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2D7CF" w14:textId="77777777" w:rsidR="0082424C" w:rsidRDefault="0082424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7543B" w14:textId="0D500085" w:rsidR="007E29C0" w:rsidRPr="00A94FBE" w:rsidRDefault="007E29C0" w:rsidP="007B373F">
    <w:pPr>
      <w:pStyle w:val="Header"/>
      <w:spacing w:before="0"/>
      <w:jc w:val="left"/>
      <w:rPr>
        <w:b w:val="0"/>
        <w:bCs/>
        <w:color w:val="auto"/>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FDAA8" w14:textId="7FB5DA1E" w:rsidR="0082424C" w:rsidRPr="00230FCE" w:rsidRDefault="0082424C" w:rsidP="00230FCE">
    <w:pPr>
      <w:pStyle w:val="Header"/>
      <w:jc w:val="left"/>
      <w:rPr>
        <w:b w:val="0"/>
        <w:bCs/>
        <w:color w:val="auto"/>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2D704" w14:textId="77777777" w:rsidR="0082424C" w:rsidRDefault="0082424C">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FEC4F" w14:textId="77777777" w:rsidR="0082424C" w:rsidRDefault="0082424C">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EF034D" w14:textId="7E7DAED9" w:rsidR="0082424C" w:rsidRPr="00230FCE" w:rsidRDefault="0082424C" w:rsidP="00230FCE">
    <w:pPr>
      <w:pStyle w:val="Header"/>
      <w:jc w:val="left"/>
      <w:rPr>
        <w:b w:val="0"/>
        <w:bCs/>
        <w:color w:val="auto"/>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3988F8" w14:textId="77777777" w:rsidR="0082424C" w:rsidRDefault="0082424C">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0A9D8" w14:textId="77777777" w:rsidR="0082424C" w:rsidRDefault="0082424C">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E55001" w14:textId="63927E7F" w:rsidR="0082424C" w:rsidRPr="00230FCE" w:rsidRDefault="0082424C" w:rsidP="00230FCE">
    <w:pPr>
      <w:pStyle w:val="Header"/>
      <w:jc w:val="left"/>
      <w:rPr>
        <w:b w:val="0"/>
        <w:bCs/>
        <w:color w:val="auto"/>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41097" w14:textId="77777777" w:rsidR="0082424C" w:rsidRDefault="0082424C">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381A1" w14:textId="77777777" w:rsidR="0082424C" w:rsidRDefault="0082424C">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9BB39" w14:textId="5AB0C3EA" w:rsidR="0082424C" w:rsidRPr="00230FCE" w:rsidRDefault="0082424C" w:rsidP="00230FCE">
    <w:pPr>
      <w:pStyle w:val="Header"/>
      <w:jc w:val="left"/>
      <w:rPr>
        <w:b w:val="0"/>
        <w:bCs/>
        <w:color w:val="auto"/>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2EE4D9" w14:textId="77E2F020" w:rsidR="0009513D" w:rsidRPr="00047AFD" w:rsidRDefault="00D155F8" w:rsidP="00F857AC">
    <w:r w:rsidRPr="00B10295">
      <w:rPr>
        <w:noProof/>
        <w:lang w:val="en-US" w:eastAsia="ja-JP"/>
      </w:rPr>
      <w:drawing>
        <wp:anchor distT="0" distB="0" distL="114300" distR="114300" simplePos="0" relativeHeight="251658240" behindDoc="0" locked="1" layoutInCell="1" allowOverlap="1" wp14:anchorId="6EDFBE5C" wp14:editId="0A31B8EA">
          <wp:simplePos x="0" y="0"/>
          <wp:positionH relativeFrom="page">
            <wp:posOffset>0</wp:posOffset>
          </wp:positionH>
          <wp:positionV relativeFrom="page">
            <wp:posOffset>15240</wp:posOffset>
          </wp:positionV>
          <wp:extent cx="7555865" cy="10668000"/>
          <wp:effectExtent l="0" t="0" r="6985" b="0"/>
          <wp:wrapNone/>
          <wp:docPr id="164865355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876346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5865" cy="106680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DF0C" w14:textId="77777777" w:rsidR="0082424C" w:rsidRDefault="0082424C">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893A5" w14:textId="77777777" w:rsidR="0082424C" w:rsidRDefault="0082424C">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22B46" w14:textId="3ADE670F" w:rsidR="0082424C" w:rsidRPr="00230FCE" w:rsidRDefault="0082424C" w:rsidP="00230FCE">
    <w:pPr>
      <w:pStyle w:val="Header"/>
      <w:jc w:val="left"/>
      <w:rPr>
        <w:b w:val="0"/>
        <w:bCs/>
        <w:color w:val="auto"/>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D8DB5" w14:textId="77777777" w:rsidR="0082424C" w:rsidRDefault="0082424C">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36398" w14:textId="77777777" w:rsidR="0082424C" w:rsidRDefault="0082424C">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AC9A3" w14:textId="0AA16C01" w:rsidR="0082424C" w:rsidRPr="00616705" w:rsidRDefault="0082424C" w:rsidP="00616705">
    <w:pPr>
      <w:pStyle w:val="Header"/>
      <w:jc w:val="left"/>
      <w:rPr>
        <w:b w:val="0"/>
        <w:bCs/>
        <w:color w:val="auto"/>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17AB14" w14:textId="4CE04341" w:rsidR="0082424C" w:rsidRPr="00616705" w:rsidRDefault="0082424C" w:rsidP="00616705">
    <w:pPr>
      <w:pStyle w:val="Header"/>
      <w:jc w:val="left"/>
      <w:rPr>
        <w:b w:val="0"/>
        <w:bCs/>
        <w:color w:val="auto"/>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F263AB" w14:textId="77777777" w:rsidR="004B6102" w:rsidRDefault="004B6102">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51799" w14:textId="77777777" w:rsidR="004B6102" w:rsidRDefault="004B6102">
    <w:pPr>
      <w:pStyle w:val="Header"/>
    </w:pPr>
    <w:r>
      <w:t>OFFICIAL</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D37CC" w14:textId="6DB90C52" w:rsidR="004B6102" w:rsidRPr="00616705" w:rsidRDefault="004B6102" w:rsidP="00616705">
    <w:pPr>
      <w:pStyle w:val="Header"/>
      <w:spacing w:after="10800"/>
      <w:jc w:val="left"/>
      <w:rPr>
        <w:b w:val="0"/>
        <w:bCs/>
        <w:color w:val="auto"/>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48FC2" w14:textId="308F8ED9" w:rsidR="004C3BC7" w:rsidRPr="0075299D" w:rsidRDefault="004C3BC7" w:rsidP="007B373F">
    <w:pPr>
      <w:spacing w:after="0"/>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0FE42" w14:textId="77777777" w:rsidR="004B6102" w:rsidRDefault="004B6102">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E683" w14:textId="58AD386C" w:rsidR="004B6102" w:rsidRPr="003645F0" w:rsidRDefault="004B6102" w:rsidP="003645F0">
    <w:pPr>
      <w:pStyle w:val="Header"/>
      <w:jc w:val="left"/>
      <w:rPr>
        <w:b w:val="0"/>
        <w:bCs/>
        <w:color w:val="auto"/>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5D92E" w14:textId="6F1A9B33" w:rsidR="004B6102" w:rsidRPr="00616705" w:rsidRDefault="004B6102" w:rsidP="00616705">
    <w:pPr>
      <w:pStyle w:val="Header"/>
      <w:jc w:val="left"/>
      <w:rPr>
        <w:b w:val="0"/>
        <w:bCs/>
        <w:color w:val="auto"/>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E5E3C" w14:textId="77777777" w:rsidR="00CB00C2" w:rsidRDefault="00CB00C2">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C5926" w14:textId="7E0D65CA" w:rsidR="00CB00C2" w:rsidRPr="003645F0" w:rsidRDefault="00CB00C2" w:rsidP="003645F0">
    <w:pPr>
      <w:pStyle w:val="Header"/>
      <w:jc w:val="left"/>
      <w:rPr>
        <w:b w:val="0"/>
        <w:bCs/>
        <w:color w:val="auto"/>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292F48" w14:textId="085A6978" w:rsidR="00CB00C2" w:rsidRPr="003645F0" w:rsidRDefault="00CB00C2" w:rsidP="003645F0">
    <w:pPr>
      <w:pStyle w:val="Header"/>
      <w:jc w:val="left"/>
      <w:rPr>
        <w:b w:val="0"/>
        <w:bCs/>
        <w:color w:val="auto"/>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37F60" w14:textId="77777777" w:rsidR="004D2E42" w:rsidRDefault="004D2E42">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7E9AB" w14:textId="2C1CDD00" w:rsidR="004D2E42" w:rsidRPr="003645F0" w:rsidRDefault="004D2E42" w:rsidP="003645F0">
    <w:pPr>
      <w:pStyle w:val="Header"/>
      <w:jc w:val="left"/>
      <w:rPr>
        <w:b w:val="0"/>
        <w:bCs/>
        <w:color w:val="auto"/>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CB3C8" w14:textId="6306ECFE" w:rsidR="004D2E42" w:rsidRPr="003645F0" w:rsidRDefault="004D2E42" w:rsidP="003645F0">
    <w:pPr>
      <w:pStyle w:val="Header"/>
      <w:jc w:val="left"/>
      <w:rPr>
        <w:b w:val="0"/>
        <w:bCs/>
        <w:color w:val="auto"/>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A4EC1" w14:textId="51569B2D" w:rsidR="006B23EB" w:rsidRPr="00B12CE7" w:rsidRDefault="006B23EB" w:rsidP="00B12CE7">
    <w:pPr>
      <w:pStyle w:val="Header"/>
      <w:jc w:val="left"/>
      <w:rPr>
        <w:b w:val="0"/>
        <w:bCs/>
        <w:color w:val="auto"/>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5C83" w14:textId="4F629995" w:rsidR="00100D45" w:rsidRDefault="00100D45">
    <w:pPr>
      <w:pStyle w:val="Heade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227C2" w14:textId="05759F47" w:rsidR="00100D45" w:rsidRDefault="00100D45">
    <w:pPr>
      <w:pStyle w:val="Heade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6EA56D" w14:textId="0C142D22" w:rsidR="00100D45" w:rsidRPr="00B12CE7" w:rsidRDefault="00100D45" w:rsidP="00B12CE7">
    <w:pPr>
      <w:pStyle w:val="Header"/>
      <w:jc w:val="left"/>
      <w:rPr>
        <w:b w:val="0"/>
        <w:bCs/>
        <w:color w:val="auto"/>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DC6DA" w14:textId="670D031F" w:rsidR="00B34965" w:rsidRPr="00B12CE7" w:rsidRDefault="00B34965" w:rsidP="00B12CE7">
    <w:pPr>
      <w:pStyle w:val="Header"/>
      <w:spacing w:after="10800"/>
      <w:jc w:val="left"/>
      <w:rPr>
        <w:b w:val="0"/>
        <w:bCs/>
        <w:color w:val="auto"/>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15E68" w14:textId="1ACDC2DE" w:rsidR="00100D45" w:rsidRPr="0075299D" w:rsidRDefault="00100D45" w:rsidP="007B373F">
    <w:pP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F4F85"/>
    <w:multiLevelType w:val="multilevel"/>
    <w:tmpl w:val="4A2C09A0"/>
    <w:styleLink w:val="CurrentList21"/>
    <w:lvl w:ilvl="0">
      <w:start w:val="2"/>
      <w:numFmt w:val="decimal"/>
      <w:lvlText w:val="Note %1: "/>
      <w:lvlJc w:val="left"/>
      <w:pPr>
        <w:tabs>
          <w:tab w:val="num" w:pos="1352"/>
        </w:tabs>
        <w:ind w:left="135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15:restartNumberingAfterBreak="0">
    <w:nsid w:val="0B706A0B"/>
    <w:multiLevelType w:val="hybridMultilevel"/>
    <w:tmpl w:val="D81434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2A74D3B"/>
    <w:multiLevelType w:val="hybridMultilevel"/>
    <w:tmpl w:val="904C352C"/>
    <w:lvl w:ilvl="0" w:tplc="357A149C">
      <w:start w:val="1"/>
      <w:numFmt w:val="lowerRoman"/>
      <w:pStyle w:val="ListBullet"/>
      <w:lvlText w:val="%1."/>
      <w:lvlJc w:val="left"/>
      <w:pPr>
        <w:ind w:left="720" w:hanging="360"/>
      </w:pPr>
      <w:rPr>
        <w:rFonts w:ascii="Arial" w:eastAsia="Times New Roman" w:hAnsi="Arial" w:cs="Arial"/>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3D6BCA"/>
    <w:multiLevelType w:val="multilevel"/>
    <w:tmpl w:val="5AACE21E"/>
    <w:styleLink w:val="CurrentList3"/>
    <w:lvl w:ilvl="0">
      <w:start w:val="1"/>
      <w:numFmt w:val="bullet"/>
      <w:lvlText w:val=""/>
      <w:lvlJc w:val="left"/>
      <w:pPr>
        <w:tabs>
          <w:tab w:val="num" w:pos="284"/>
        </w:tabs>
        <w:ind w:left="113"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AD87B2A"/>
    <w:multiLevelType w:val="multilevel"/>
    <w:tmpl w:val="B72470B6"/>
    <w:lvl w:ilvl="0">
      <w:start w:val="1"/>
      <w:numFmt w:val="decimal"/>
      <w:lvlText w:val="%1."/>
      <w:lvlJc w:val="left"/>
      <w:pPr>
        <w:ind w:left="360" w:hanging="360"/>
      </w:pPr>
      <w:rPr>
        <w:rFonts w:hint="default"/>
        <w:color w:val="auto"/>
      </w:rPr>
    </w:lvl>
    <w:lvl w:ilvl="1">
      <w:start w:val="1"/>
      <w:numFmt w:val="decimal"/>
      <w:pStyle w:val="SubHeading"/>
      <w:lvlText w:val="%1.%2."/>
      <w:lvlJc w:val="left"/>
      <w:rPr>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CD95887"/>
    <w:multiLevelType w:val="multilevel"/>
    <w:tmpl w:val="4A2C09A0"/>
    <w:styleLink w:val="Style2"/>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 w15:restartNumberingAfterBreak="0">
    <w:nsid w:val="213055FF"/>
    <w:multiLevelType w:val="multilevel"/>
    <w:tmpl w:val="BE183858"/>
    <w:lvl w:ilvl="0">
      <w:start w:val="1"/>
      <w:numFmt w:val="bullet"/>
      <w:pStyle w:val="Bullet1"/>
      <w:lvlText w:val=""/>
      <w:lvlJc w:val="left"/>
      <w:pPr>
        <w:ind w:left="714" w:hanging="357"/>
      </w:pPr>
      <w:rPr>
        <w:rFonts w:ascii="Symbol" w:hAnsi="Symbol" w:hint="default"/>
      </w:rPr>
    </w:lvl>
    <w:lvl w:ilvl="1">
      <w:start w:val="1"/>
      <w:numFmt w:val="bullet"/>
      <w:lvlText w:val=""/>
      <w:lvlJc w:val="left"/>
      <w:pPr>
        <w:ind w:left="1071" w:hanging="357"/>
      </w:pPr>
      <w:rPr>
        <w:rFonts w:ascii="Symbol" w:hAnsi="Symbol" w:hint="default"/>
      </w:rPr>
    </w:lvl>
    <w:lvl w:ilvl="2">
      <w:start w:val="1"/>
      <w:numFmt w:val="bullet"/>
      <w:lvlText w:val=""/>
      <w:lvlJc w:val="left"/>
      <w:pPr>
        <w:ind w:left="1428" w:hanging="357"/>
      </w:pPr>
      <w:rPr>
        <w:rFonts w:ascii="Wingdings" w:hAnsi="Wingdings" w:hint="default"/>
      </w:rPr>
    </w:lvl>
    <w:lvl w:ilvl="3">
      <w:start w:val="1"/>
      <w:numFmt w:val="bullet"/>
      <w:lvlText w:val=""/>
      <w:lvlJc w:val="left"/>
      <w:pPr>
        <w:ind w:left="1785" w:hanging="357"/>
      </w:pPr>
      <w:rPr>
        <w:rFonts w:ascii="Symbol" w:hAnsi="Symbol" w:hint="default"/>
      </w:rPr>
    </w:lvl>
    <w:lvl w:ilvl="4">
      <w:start w:val="1"/>
      <w:numFmt w:val="bullet"/>
      <w:lvlText w:val="o"/>
      <w:lvlJc w:val="left"/>
      <w:pPr>
        <w:ind w:left="2142" w:hanging="357"/>
      </w:pPr>
      <w:rPr>
        <w:rFonts w:ascii="Courier New" w:hAnsi="Courier New" w:cs="Courier New" w:hint="default"/>
      </w:rPr>
    </w:lvl>
    <w:lvl w:ilvl="5">
      <w:start w:val="1"/>
      <w:numFmt w:val="bullet"/>
      <w:lvlText w:val=""/>
      <w:lvlJc w:val="left"/>
      <w:pPr>
        <w:ind w:left="2499" w:hanging="357"/>
      </w:pPr>
      <w:rPr>
        <w:rFonts w:ascii="Wingdings" w:hAnsi="Wingdings" w:hint="default"/>
      </w:rPr>
    </w:lvl>
    <w:lvl w:ilvl="6">
      <w:start w:val="1"/>
      <w:numFmt w:val="bullet"/>
      <w:lvlText w:val=""/>
      <w:lvlJc w:val="left"/>
      <w:pPr>
        <w:ind w:left="2856" w:hanging="357"/>
      </w:pPr>
      <w:rPr>
        <w:rFonts w:ascii="Symbol" w:hAnsi="Symbol" w:hint="default"/>
      </w:rPr>
    </w:lvl>
    <w:lvl w:ilvl="7">
      <w:start w:val="1"/>
      <w:numFmt w:val="bullet"/>
      <w:lvlText w:val="o"/>
      <w:lvlJc w:val="left"/>
      <w:pPr>
        <w:ind w:left="3213" w:hanging="357"/>
      </w:pPr>
      <w:rPr>
        <w:rFonts w:ascii="Courier New" w:hAnsi="Courier New" w:cs="Courier New" w:hint="default"/>
      </w:rPr>
    </w:lvl>
    <w:lvl w:ilvl="8">
      <w:start w:val="1"/>
      <w:numFmt w:val="bullet"/>
      <w:lvlText w:val=""/>
      <w:lvlJc w:val="left"/>
      <w:pPr>
        <w:ind w:left="3570" w:hanging="357"/>
      </w:pPr>
      <w:rPr>
        <w:rFonts w:ascii="Wingdings" w:hAnsi="Wingdings" w:hint="default"/>
      </w:rPr>
    </w:lvl>
  </w:abstractNum>
  <w:abstractNum w:abstractNumId="7" w15:restartNumberingAfterBreak="0">
    <w:nsid w:val="24F46F46"/>
    <w:multiLevelType w:val="multilevel"/>
    <w:tmpl w:val="2F08CB56"/>
    <w:lvl w:ilvl="0">
      <w:start w:val="1"/>
      <w:numFmt w:val="decimal"/>
      <w:lvlText w:val="%1."/>
      <w:lvlJc w:val="left"/>
      <w:pPr>
        <w:ind w:left="360" w:hanging="360"/>
      </w:pPr>
    </w:lvl>
    <w:lvl w:ilvl="1">
      <w:start w:val="1"/>
      <w:numFmt w:val="decimal"/>
      <w:pStyle w:val="11Section-Parapraph"/>
      <w:lvlText w:val="%1.%2."/>
      <w:lvlJc w:val="left"/>
      <w:pPr>
        <w:ind w:left="792" w:hanging="432"/>
      </w:pPr>
    </w:lvl>
    <w:lvl w:ilvl="2">
      <w:start w:val="1"/>
      <w:numFmt w:val="decimal"/>
      <w:pStyle w:val="BoardBrief-Paragraph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840141"/>
    <w:multiLevelType w:val="hybridMultilevel"/>
    <w:tmpl w:val="A0B4B79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9" w15:restartNumberingAfterBreak="0">
    <w:nsid w:val="27232115"/>
    <w:multiLevelType w:val="hybridMultilevel"/>
    <w:tmpl w:val="FDFC6F9E"/>
    <w:lvl w:ilvl="0" w:tplc="60D4FBD8">
      <w:start w:val="1"/>
      <w:numFmt w:val="decimal"/>
      <w:lvlText w:val="%1."/>
      <w:lvlJc w:val="left"/>
      <w:pPr>
        <w:ind w:left="1080" w:hanging="720"/>
      </w:pPr>
    </w:lvl>
    <w:lvl w:ilvl="1" w:tplc="57EED814">
      <w:start w:val="1"/>
      <w:numFmt w:val="lowerLetter"/>
      <w:lvlText w:val="%2."/>
      <w:lvlJc w:val="left"/>
      <w:pPr>
        <w:ind w:left="1440" w:hanging="360"/>
      </w:pPr>
    </w:lvl>
    <w:lvl w:ilvl="2" w:tplc="0420831E">
      <w:start w:val="1"/>
      <w:numFmt w:val="lowerRoman"/>
      <w:lvlText w:val="%3."/>
      <w:lvlJc w:val="right"/>
      <w:pPr>
        <w:ind w:left="2160" w:hanging="180"/>
      </w:pPr>
    </w:lvl>
    <w:lvl w:ilvl="3" w:tplc="BFBAD128">
      <w:start w:val="1"/>
      <w:numFmt w:val="decimal"/>
      <w:lvlText w:val="%4."/>
      <w:lvlJc w:val="left"/>
      <w:pPr>
        <w:ind w:left="2880" w:hanging="360"/>
      </w:pPr>
    </w:lvl>
    <w:lvl w:ilvl="4" w:tplc="A1A2458C">
      <w:start w:val="1"/>
      <w:numFmt w:val="lowerLetter"/>
      <w:lvlText w:val="%5."/>
      <w:lvlJc w:val="left"/>
      <w:pPr>
        <w:ind w:left="3600" w:hanging="360"/>
      </w:pPr>
    </w:lvl>
    <w:lvl w:ilvl="5" w:tplc="9E6652AE">
      <w:start w:val="1"/>
      <w:numFmt w:val="lowerRoman"/>
      <w:lvlText w:val="%6."/>
      <w:lvlJc w:val="right"/>
      <w:pPr>
        <w:ind w:left="4320" w:hanging="180"/>
      </w:pPr>
    </w:lvl>
    <w:lvl w:ilvl="6" w:tplc="5A141A94">
      <w:start w:val="1"/>
      <w:numFmt w:val="decimal"/>
      <w:lvlText w:val="%7."/>
      <w:lvlJc w:val="left"/>
      <w:pPr>
        <w:ind w:left="5040" w:hanging="360"/>
      </w:pPr>
    </w:lvl>
    <w:lvl w:ilvl="7" w:tplc="1A8CB97A">
      <w:start w:val="1"/>
      <w:numFmt w:val="lowerLetter"/>
      <w:lvlText w:val="%8."/>
      <w:lvlJc w:val="left"/>
      <w:pPr>
        <w:ind w:left="5760" w:hanging="360"/>
      </w:pPr>
    </w:lvl>
    <w:lvl w:ilvl="8" w:tplc="0A3A99CA">
      <w:start w:val="1"/>
      <w:numFmt w:val="lowerRoman"/>
      <w:lvlText w:val="%9."/>
      <w:lvlJc w:val="right"/>
      <w:pPr>
        <w:ind w:left="6480" w:hanging="180"/>
      </w:pPr>
    </w:lvl>
  </w:abstractNum>
  <w:abstractNum w:abstractNumId="10" w15:restartNumberingAfterBreak="0">
    <w:nsid w:val="2C9172E8"/>
    <w:multiLevelType w:val="multilevel"/>
    <w:tmpl w:val="31D07AF2"/>
    <w:styleLink w:val="CurrentList2"/>
    <w:lvl w:ilvl="0">
      <w:start w:val="1"/>
      <w:numFmt w:val="bullet"/>
      <w:lvlText w:val=""/>
      <w:lvlJc w:val="left"/>
      <w:pPr>
        <w:tabs>
          <w:tab w:val="num" w:pos="284"/>
        </w:tabs>
        <w:ind w:left="57"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5E267BC"/>
    <w:multiLevelType w:val="hybridMultilevel"/>
    <w:tmpl w:val="BE28B44C"/>
    <w:lvl w:ilvl="0" w:tplc="7C94ADB8">
      <w:start w:val="1"/>
      <w:numFmt w:val="bullet"/>
      <w:pStyle w:val="Bullet2"/>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2" w15:restartNumberingAfterBreak="0">
    <w:nsid w:val="3A633401"/>
    <w:multiLevelType w:val="hybridMultilevel"/>
    <w:tmpl w:val="76D4328C"/>
    <w:lvl w:ilvl="0" w:tplc="0C090001">
      <w:start w:val="1"/>
      <w:numFmt w:val="bullet"/>
      <w:lvlText w:val=""/>
      <w:lvlJc w:val="left"/>
      <w:pPr>
        <w:ind w:left="788" w:hanging="360"/>
      </w:pPr>
      <w:rPr>
        <w:rFonts w:ascii="Symbol" w:hAnsi="Symbol"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3" w15:restartNumberingAfterBreak="0">
    <w:nsid w:val="454B1F74"/>
    <w:multiLevelType w:val="hybridMultilevel"/>
    <w:tmpl w:val="C70246A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574271A"/>
    <w:multiLevelType w:val="multilevel"/>
    <w:tmpl w:val="C73CD5EA"/>
    <w:lvl w:ilvl="0">
      <w:start w:val="1"/>
      <w:numFmt w:val="bullet"/>
      <w:pStyle w:val="Financialstatementbulletpoin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AD16A20"/>
    <w:multiLevelType w:val="hybridMultilevel"/>
    <w:tmpl w:val="8B1C2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B9731AA"/>
    <w:multiLevelType w:val="hybridMultilevel"/>
    <w:tmpl w:val="FDDC84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3134884"/>
    <w:multiLevelType w:val="multilevel"/>
    <w:tmpl w:val="37A8BB22"/>
    <w:lvl w:ilvl="0">
      <w:start w:val="1"/>
      <w:numFmt w:val="decimal"/>
      <w:pStyle w:val="SectionHeading"/>
      <w:suff w:val="space"/>
      <w:lvlText w:val="%1."/>
      <w:lvlJc w:val="left"/>
      <w:pPr>
        <w:ind w:left="360" w:hanging="360"/>
      </w:pPr>
      <w:rPr>
        <w:rFonts w:hint="default"/>
        <w:b w:val="0"/>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rPr>
    </w:lvl>
    <w:lvl w:ilvl="1">
      <w:start w:val="1"/>
      <w:numFmt w:val="decimal"/>
      <w:lvlText w:val="%1.1."/>
      <w:lvlJc w:val="left"/>
      <w:pPr>
        <w:ind w:left="792" w:hanging="432"/>
      </w:pPr>
      <w:rPr>
        <w:b w:val="0"/>
        <w:bCs w:val="0"/>
        <w:i w:val="0"/>
        <w:iCs w:val="0"/>
        <w:caps w:val="0"/>
        <w:smallCaps w:val="0"/>
        <w:strike w:val="0"/>
        <w:dstrike w:val="0"/>
        <w:noProof w:val="0"/>
        <w:vanish w:val="0"/>
        <w:color w:val="F9F9F9" w:themeColor="background1"/>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3BC1006"/>
    <w:multiLevelType w:val="multilevel"/>
    <w:tmpl w:val="E2E884EE"/>
    <w:lvl w:ilvl="0">
      <w:start w:val="1"/>
      <w:numFmt w:val="decimal"/>
      <w:pStyle w:val="CEOBrief-Heading1"/>
      <w:lvlText w:val="%1."/>
      <w:lvlJc w:val="left"/>
      <w:pPr>
        <w:ind w:left="360" w:hanging="360"/>
      </w:pPr>
    </w:lvl>
    <w:lvl w:ilvl="1">
      <w:start w:val="1"/>
      <w:numFmt w:val="decimal"/>
      <w:pStyle w:val="CEOBrief-Paragraph1"/>
      <w:lvlText w:val="%1.%2."/>
      <w:lvlJc w:val="left"/>
      <w:pPr>
        <w:ind w:left="432" w:hanging="432"/>
      </w:pPr>
      <w:rPr>
        <w:b w:val="0"/>
        <w:bCs/>
      </w:rPr>
    </w:lvl>
    <w:lvl w:ilvl="2">
      <w:start w:val="1"/>
      <w:numFmt w:val="decimal"/>
      <w:pStyle w:val="CEOBrief-Paragraph2"/>
      <w:lvlText w:val="%1.%2.%3."/>
      <w:lvlJc w:val="left"/>
      <w:pPr>
        <w:ind w:left="646" w:hanging="504"/>
      </w:pPr>
      <w:rPr>
        <w:rFonts w:ascii="Arial" w:hAnsi="Arial" w:cs="Arial" w:hint="default"/>
        <w:b w:val="0"/>
        <w:i w:val="0"/>
        <w:sz w:val="22"/>
        <w:szCs w:val="22"/>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5F6A5F"/>
    <w:multiLevelType w:val="multilevel"/>
    <w:tmpl w:val="4A2C09A0"/>
    <w:styleLink w:val="CurrentList11"/>
    <w:lvl w:ilvl="0">
      <w:start w:val="1"/>
      <w:numFmt w:val="decimal"/>
      <w:lvlText w:val="Note %1: "/>
      <w:lvlJc w:val="left"/>
      <w:pPr>
        <w:tabs>
          <w:tab w:val="num" w:pos="992"/>
        </w:tabs>
        <w:ind w:left="992" w:hanging="99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lvlText w:val="Note %1%2: "/>
      <w:lvlJc w:val="left"/>
      <w:pPr>
        <w:tabs>
          <w:tab w:val="num" w:pos="1532"/>
        </w:tabs>
        <w:ind w:left="1532" w:hanging="992"/>
      </w:pPr>
      <w:rPr>
        <w:rFonts w:ascii="Times New Roman" w:hAnsi="Times New Roman" w:cs="Times New Roman" w:hint="default"/>
        <w:b/>
        <w:i w:val="0"/>
        <w:color w:val="auto"/>
        <w:sz w:val="20"/>
        <w:szCs w:val="20"/>
        <w:u w:val="non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0" w15:restartNumberingAfterBreak="0">
    <w:nsid w:val="5AEF3B73"/>
    <w:multiLevelType w:val="multilevel"/>
    <w:tmpl w:val="3EF48A86"/>
    <w:styleLink w:val="Bulletlist"/>
    <w:lvl w:ilvl="0">
      <w:start w:val="1"/>
      <w:numFmt w:val="bullet"/>
      <w:lvlText w:val=""/>
      <w:lvlJc w:val="left"/>
      <w:pPr>
        <w:ind w:left="360" w:hanging="360"/>
      </w:pPr>
      <w:rPr>
        <w:rFonts w:ascii="Symbol" w:hAnsi="Symbol" w:hint="default"/>
      </w:rPr>
    </w:lvl>
    <w:lvl w:ilvl="1">
      <w:start w:val="1"/>
      <w:numFmt w:val="bullet"/>
      <w:lvlText w:val="–"/>
      <w:lvlJc w:val="left"/>
      <w:pPr>
        <w:ind w:left="1080" w:hanging="360"/>
      </w:pPr>
      <w:rPr>
        <w:rFonts w:ascii="Arial" w:hAnsi="Arial" w:hint="default"/>
      </w:rPr>
    </w:lvl>
    <w:lvl w:ilvl="2">
      <w:start w:val="1"/>
      <w:numFmt w:val="bullet"/>
      <w:lvlText w:val=""/>
      <w:lvlJc w:val="left"/>
      <w:pPr>
        <w:ind w:left="-339" w:hanging="360"/>
      </w:pPr>
      <w:rPr>
        <w:rFonts w:ascii="Wingdings" w:hAnsi="Wingdings" w:hint="default"/>
      </w:rPr>
    </w:lvl>
    <w:lvl w:ilvl="3">
      <w:start w:val="1"/>
      <w:numFmt w:val="bullet"/>
      <w:lvlText w:val=""/>
      <w:lvlJc w:val="left"/>
      <w:pPr>
        <w:ind w:left="381" w:hanging="360"/>
      </w:pPr>
      <w:rPr>
        <w:rFonts w:ascii="Symbol" w:hAnsi="Symbol" w:hint="default"/>
      </w:rPr>
    </w:lvl>
    <w:lvl w:ilvl="4">
      <w:start w:val="1"/>
      <w:numFmt w:val="bullet"/>
      <w:lvlText w:val="o"/>
      <w:lvlJc w:val="left"/>
      <w:pPr>
        <w:ind w:left="1101" w:hanging="360"/>
      </w:pPr>
      <w:rPr>
        <w:rFonts w:ascii="Courier New" w:hAnsi="Courier New" w:cs="Courier New" w:hint="default"/>
      </w:rPr>
    </w:lvl>
    <w:lvl w:ilvl="5">
      <w:start w:val="1"/>
      <w:numFmt w:val="bullet"/>
      <w:lvlText w:val=""/>
      <w:lvlJc w:val="left"/>
      <w:pPr>
        <w:ind w:left="1821" w:hanging="360"/>
      </w:pPr>
      <w:rPr>
        <w:rFonts w:ascii="Wingdings" w:hAnsi="Wingdings" w:hint="default"/>
      </w:rPr>
    </w:lvl>
    <w:lvl w:ilvl="6">
      <w:start w:val="1"/>
      <w:numFmt w:val="bullet"/>
      <w:lvlText w:val=""/>
      <w:lvlJc w:val="left"/>
      <w:pPr>
        <w:ind w:left="2541" w:hanging="360"/>
      </w:pPr>
      <w:rPr>
        <w:rFonts w:ascii="Symbol" w:hAnsi="Symbol" w:hint="default"/>
      </w:rPr>
    </w:lvl>
    <w:lvl w:ilvl="7">
      <w:start w:val="1"/>
      <w:numFmt w:val="bullet"/>
      <w:lvlText w:val="o"/>
      <w:lvlJc w:val="left"/>
      <w:pPr>
        <w:ind w:left="3261" w:hanging="360"/>
      </w:pPr>
      <w:rPr>
        <w:rFonts w:ascii="Courier New" w:hAnsi="Courier New" w:cs="Courier New" w:hint="default"/>
      </w:rPr>
    </w:lvl>
    <w:lvl w:ilvl="8">
      <w:start w:val="1"/>
      <w:numFmt w:val="bullet"/>
      <w:lvlText w:val=""/>
      <w:lvlJc w:val="left"/>
      <w:pPr>
        <w:ind w:left="3981" w:hanging="360"/>
      </w:pPr>
      <w:rPr>
        <w:rFonts w:ascii="Wingdings" w:hAnsi="Wingdings" w:hint="default"/>
      </w:rPr>
    </w:lvl>
  </w:abstractNum>
  <w:abstractNum w:abstractNumId="21" w15:restartNumberingAfterBreak="0">
    <w:nsid w:val="67C966C8"/>
    <w:multiLevelType w:val="hybridMultilevel"/>
    <w:tmpl w:val="C29EA5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8A55469"/>
    <w:multiLevelType w:val="hybridMultilevel"/>
    <w:tmpl w:val="1954339A"/>
    <w:lvl w:ilvl="0" w:tplc="14A6A6E8">
      <w:start w:val="1"/>
      <w:numFmt w:val="decimal"/>
      <w:pStyle w:val="Numberedlist"/>
      <w:lvlText w:val="%1."/>
      <w:lvlJc w:val="left"/>
      <w:pPr>
        <w:ind w:left="-1779" w:hanging="360"/>
      </w:pPr>
      <w:rPr>
        <w:rFonts w:hint="default"/>
      </w:rPr>
    </w:lvl>
    <w:lvl w:ilvl="1" w:tplc="FFFFFFFF">
      <w:start w:val="1"/>
      <w:numFmt w:val="bullet"/>
      <w:lvlText w:val="o"/>
      <w:lvlJc w:val="left"/>
      <w:pPr>
        <w:ind w:left="-1059" w:hanging="360"/>
      </w:pPr>
      <w:rPr>
        <w:rFonts w:ascii="Courier New" w:hAnsi="Courier New" w:cs="Courier New" w:hint="default"/>
      </w:rPr>
    </w:lvl>
    <w:lvl w:ilvl="2" w:tplc="FFFFFFFF">
      <w:start w:val="1"/>
      <w:numFmt w:val="bullet"/>
      <w:lvlText w:val=""/>
      <w:lvlJc w:val="left"/>
      <w:pPr>
        <w:ind w:left="-339" w:hanging="360"/>
      </w:pPr>
      <w:rPr>
        <w:rFonts w:ascii="Wingdings" w:hAnsi="Wingdings" w:hint="default"/>
      </w:rPr>
    </w:lvl>
    <w:lvl w:ilvl="3" w:tplc="FFFFFFFF">
      <w:start w:val="1"/>
      <w:numFmt w:val="bullet"/>
      <w:lvlText w:val=""/>
      <w:lvlJc w:val="left"/>
      <w:pPr>
        <w:ind w:left="381" w:hanging="360"/>
      </w:pPr>
      <w:rPr>
        <w:rFonts w:ascii="Symbol" w:hAnsi="Symbol" w:hint="default"/>
      </w:rPr>
    </w:lvl>
    <w:lvl w:ilvl="4" w:tplc="FFFFFFFF">
      <w:start w:val="1"/>
      <w:numFmt w:val="bullet"/>
      <w:lvlText w:val="o"/>
      <w:lvlJc w:val="left"/>
      <w:pPr>
        <w:ind w:left="1101" w:hanging="360"/>
      </w:pPr>
      <w:rPr>
        <w:rFonts w:ascii="Courier New" w:hAnsi="Courier New" w:cs="Courier New" w:hint="default"/>
      </w:rPr>
    </w:lvl>
    <w:lvl w:ilvl="5" w:tplc="FFFFFFFF" w:tentative="1">
      <w:start w:val="1"/>
      <w:numFmt w:val="bullet"/>
      <w:lvlText w:val=""/>
      <w:lvlJc w:val="left"/>
      <w:pPr>
        <w:ind w:left="1821" w:hanging="360"/>
      </w:pPr>
      <w:rPr>
        <w:rFonts w:ascii="Wingdings" w:hAnsi="Wingdings" w:hint="default"/>
      </w:rPr>
    </w:lvl>
    <w:lvl w:ilvl="6" w:tplc="FFFFFFFF" w:tentative="1">
      <w:start w:val="1"/>
      <w:numFmt w:val="bullet"/>
      <w:lvlText w:val=""/>
      <w:lvlJc w:val="left"/>
      <w:pPr>
        <w:ind w:left="2541" w:hanging="360"/>
      </w:pPr>
      <w:rPr>
        <w:rFonts w:ascii="Symbol" w:hAnsi="Symbol" w:hint="default"/>
      </w:rPr>
    </w:lvl>
    <w:lvl w:ilvl="7" w:tplc="FFFFFFFF" w:tentative="1">
      <w:start w:val="1"/>
      <w:numFmt w:val="bullet"/>
      <w:lvlText w:val="o"/>
      <w:lvlJc w:val="left"/>
      <w:pPr>
        <w:ind w:left="3261" w:hanging="360"/>
      </w:pPr>
      <w:rPr>
        <w:rFonts w:ascii="Courier New" w:hAnsi="Courier New" w:cs="Courier New" w:hint="default"/>
      </w:rPr>
    </w:lvl>
    <w:lvl w:ilvl="8" w:tplc="FFFFFFFF" w:tentative="1">
      <w:start w:val="1"/>
      <w:numFmt w:val="bullet"/>
      <w:lvlText w:val=""/>
      <w:lvlJc w:val="left"/>
      <w:pPr>
        <w:ind w:left="3981" w:hanging="360"/>
      </w:pPr>
      <w:rPr>
        <w:rFonts w:ascii="Wingdings" w:hAnsi="Wingdings" w:hint="default"/>
      </w:rPr>
    </w:lvl>
  </w:abstractNum>
  <w:abstractNum w:abstractNumId="23" w15:restartNumberingAfterBreak="0">
    <w:nsid w:val="6A01767D"/>
    <w:multiLevelType w:val="multilevel"/>
    <w:tmpl w:val="74427506"/>
    <w:lvl w:ilvl="0">
      <w:start w:val="1"/>
      <w:numFmt w:val="decimal"/>
      <w:lvlText w:val="%1"/>
      <w:lvlJc w:val="left"/>
      <w:pPr>
        <w:ind w:left="360" w:hanging="360"/>
      </w:pPr>
      <w:rPr>
        <w:rFonts w:hint="default"/>
      </w:rPr>
    </w:lvl>
    <w:lvl w:ilvl="1">
      <w:start w:val="1"/>
      <w:numFmt w:val="decimal"/>
      <w:pStyle w:val="StyleNotesHeaderLeftLeft-008cm"/>
      <w:lvlText w:val="%1.%2"/>
      <w:lvlJc w:val="left"/>
      <w:pPr>
        <w:ind w:left="360" w:hanging="360"/>
      </w:pPr>
      <w:rPr>
        <w:rFonts w:hint="default"/>
        <w:sz w:val="18"/>
        <w:szCs w:val="18"/>
      </w:rPr>
    </w:lvl>
    <w:lvl w:ilvl="2">
      <w:start w:val="1"/>
      <w:numFmt w:val="decimal"/>
      <w:lvlText w:val="%1.%2.%3"/>
      <w:lvlJc w:val="left"/>
      <w:pPr>
        <w:ind w:left="630" w:hanging="720"/>
      </w:pPr>
      <w:rPr>
        <w:rFonts w:hint="default"/>
      </w:rPr>
    </w:lvl>
    <w:lvl w:ilvl="3">
      <w:start w:val="1"/>
      <w:numFmt w:val="decimal"/>
      <w:lvlText w:val="%1.%2.%3.%4"/>
      <w:lvlJc w:val="left"/>
      <w:pPr>
        <w:ind w:left="585" w:hanging="720"/>
      </w:pPr>
      <w:rPr>
        <w:rFonts w:hint="default"/>
      </w:rPr>
    </w:lvl>
    <w:lvl w:ilvl="4">
      <w:start w:val="1"/>
      <w:numFmt w:val="decimal"/>
      <w:lvlText w:val="%1.%2.%3.%4.%5"/>
      <w:lvlJc w:val="left"/>
      <w:pPr>
        <w:ind w:left="540" w:hanging="720"/>
      </w:pPr>
      <w:rPr>
        <w:rFonts w:hint="default"/>
      </w:rPr>
    </w:lvl>
    <w:lvl w:ilvl="5">
      <w:start w:val="1"/>
      <w:numFmt w:val="decimal"/>
      <w:lvlText w:val="%1.%2.%3.%4.%5.%6"/>
      <w:lvlJc w:val="left"/>
      <w:pPr>
        <w:ind w:left="855" w:hanging="1080"/>
      </w:pPr>
      <w:rPr>
        <w:rFonts w:hint="default"/>
      </w:rPr>
    </w:lvl>
    <w:lvl w:ilvl="6">
      <w:start w:val="1"/>
      <w:numFmt w:val="decimal"/>
      <w:lvlText w:val="%1.%2.%3.%4.%5.%6.%7"/>
      <w:lvlJc w:val="left"/>
      <w:pPr>
        <w:ind w:left="810" w:hanging="1080"/>
      </w:pPr>
      <w:rPr>
        <w:rFonts w:hint="default"/>
      </w:rPr>
    </w:lvl>
    <w:lvl w:ilvl="7">
      <w:start w:val="1"/>
      <w:numFmt w:val="decimal"/>
      <w:lvlText w:val="%1.%2.%3.%4.%5.%6.%7.%8"/>
      <w:lvlJc w:val="left"/>
      <w:pPr>
        <w:ind w:left="1125" w:hanging="1440"/>
      </w:pPr>
      <w:rPr>
        <w:rFonts w:hint="default"/>
      </w:rPr>
    </w:lvl>
    <w:lvl w:ilvl="8">
      <w:start w:val="1"/>
      <w:numFmt w:val="decimal"/>
      <w:lvlText w:val="%1.%2.%3.%4.%5.%6.%7.%8.%9"/>
      <w:lvlJc w:val="left"/>
      <w:pPr>
        <w:ind w:left="1080" w:hanging="1440"/>
      </w:pPr>
      <w:rPr>
        <w:rFonts w:hint="default"/>
      </w:rPr>
    </w:lvl>
  </w:abstractNum>
  <w:abstractNum w:abstractNumId="24" w15:restartNumberingAfterBreak="0">
    <w:nsid w:val="72C41D57"/>
    <w:multiLevelType w:val="hybridMultilevel"/>
    <w:tmpl w:val="AB36B9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E921FA"/>
    <w:multiLevelType w:val="multilevel"/>
    <w:tmpl w:val="D7FEEA16"/>
    <w:lvl w:ilvl="0">
      <w:start w:val="1"/>
      <w:numFmt w:val="decimal"/>
      <w:pStyle w:val="NotesHeading-Level1"/>
      <w:lvlText w:val="Note %1: "/>
      <w:lvlJc w:val="left"/>
      <w:pPr>
        <w:tabs>
          <w:tab w:val="num" w:pos="10491"/>
        </w:tabs>
        <w:ind w:left="10774" w:hanging="1134"/>
      </w:pPr>
      <w:rPr>
        <w:rFonts w:ascii="Arial Bold" w:hAnsi="Arial Bold" w:cs="Times New Roman" w:hint="default"/>
        <w:b/>
        <w:bCs w:val="0"/>
        <w:i w:val="0"/>
        <w:iCs w:val="0"/>
        <w:caps w:val="0"/>
        <w:smallCaps w:val="0"/>
        <w:strike w:val="0"/>
        <w:dstrike w:val="0"/>
        <w:noProof w:val="0"/>
        <w:vanish w:val="0"/>
        <w:color w:val="auto"/>
        <w:spacing w:val="0"/>
        <w:kern w:val="0"/>
        <w:position w:val="0"/>
        <w:sz w:val="20"/>
        <w:u w:val="none"/>
        <w:vertAlign w:val="baseline"/>
        <w:em w:val="none"/>
      </w:rPr>
    </w:lvl>
    <w:lvl w:ilvl="1">
      <w:start w:val="1"/>
      <w:numFmt w:val="upperLetter"/>
      <w:pStyle w:val="NotesHeading-Level2"/>
      <w:lvlText w:val="Note %1%2: "/>
      <w:lvlJc w:val="left"/>
      <w:pPr>
        <w:tabs>
          <w:tab w:val="num" w:pos="851"/>
        </w:tabs>
        <w:ind w:left="1532" w:hanging="1532"/>
      </w:pPr>
      <w:rPr>
        <w:rFonts w:ascii="Times New Roman" w:hAnsi="Times New Roman" w:cs="Times New Roman" w:hint="default"/>
        <w:b/>
        <w:i w:val="0"/>
        <w:color w:val="auto"/>
        <w:sz w:val="20"/>
        <w:szCs w:val="20"/>
        <w:u w:val="single"/>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15:restartNumberingAfterBreak="0">
    <w:nsid w:val="73E732A7"/>
    <w:multiLevelType w:val="hybridMultilevel"/>
    <w:tmpl w:val="99803680"/>
    <w:lvl w:ilvl="0" w:tplc="9D544086">
      <w:start w:val="1"/>
      <w:numFmt w:val="bullet"/>
      <w:pStyle w:val="Tablebullet"/>
      <w:lvlText w:val=""/>
      <w:lvlJc w:val="left"/>
      <w:pPr>
        <w:ind w:left="360" w:hanging="360"/>
      </w:pPr>
      <w:rPr>
        <w:rFonts w:ascii="Symbol" w:hAnsi="Symbol" w:hint="default"/>
      </w:rPr>
    </w:lvl>
    <w:lvl w:ilvl="1" w:tplc="2070EFF6">
      <w:start w:val="1"/>
      <w:numFmt w:val="bullet"/>
      <w:pStyle w:val="Tablebullet2"/>
      <w:lvlText w:val="–"/>
      <w:lvlJc w:val="left"/>
      <w:pPr>
        <w:ind w:left="1080" w:hanging="360"/>
      </w:pPr>
      <w:rPr>
        <w:rFonts w:ascii="Calibri" w:hAnsi="Calibri"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980759D"/>
    <w:multiLevelType w:val="multilevel"/>
    <w:tmpl w:val="8FD42D80"/>
    <w:lvl w:ilvl="0">
      <w:start w:val="1"/>
      <w:numFmt w:val="decimal"/>
      <w:lvlText w:val="%1"/>
      <w:lvlJc w:val="left"/>
      <w:pPr>
        <w:ind w:left="1020" w:hanging="1020"/>
      </w:pPr>
      <w:rPr>
        <w:rFonts w:hint="default"/>
      </w:rPr>
    </w:lvl>
    <w:lvl w:ilvl="1">
      <w:start w:val="1"/>
      <w:numFmt w:val="decimal"/>
      <w:lvlText w:val="%1.%2"/>
      <w:lvlJc w:val="left"/>
      <w:pPr>
        <w:ind w:left="1020" w:hanging="1020"/>
      </w:pPr>
      <w:rPr>
        <w:rFonts w:hint="default"/>
      </w:rPr>
    </w:lvl>
    <w:lvl w:ilvl="2">
      <w:start w:val="1"/>
      <w:numFmt w:val="decimal"/>
      <w:lvlText w:val="%1.%2.%3"/>
      <w:lvlJc w:val="left"/>
      <w:pPr>
        <w:ind w:left="1020" w:hanging="10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E669FF"/>
    <w:multiLevelType w:val="multilevel"/>
    <w:tmpl w:val="CBA4F426"/>
    <w:styleLink w:val="CurrentList1"/>
    <w:lvl w:ilvl="0">
      <w:start w:val="1"/>
      <w:numFmt w:val="bullet"/>
      <w:lvlText w:val=""/>
      <w:lvlJc w:val="left"/>
      <w:pPr>
        <w:tabs>
          <w:tab w:val="num" w:pos="284"/>
        </w:tabs>
        <w:ind w:left="0"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862402279">
    <w:abstractNumId w:val="2"/>
  </w:num>
  <w:num w:numId="2" w16cid:durableId="1991639433">
    <w:abstractNumId w:val="6"/>
  </w:num>
  <w:num w:numId="3" w16cid:durableId="739518056">
    <w:abstractNumId w:val="28"/>
  </w:num>
  <w:num w:numId="4" w16cid:durableId="145901810">
    <w:abstractNumId w:val="10"/>
  </w:num>
  <w:num w:numId="5" w16cid:durableId="2084796931">
    <w:abstractNumId w:val="3"/>
  </w:num>
  <w:num w:numId="6" w16cid:durableId="1617567124">
    <w:abstractNumId w:val="7"/>
  </w:num>
  <w:num w:numId="7" w16cid:durableId="1605306177">
    <w:abstractNumId w:val="26"/>
  </w:num>
  <w:num w:numId="8" w16cid:durableId="561142459">
    <w:abstractNumId w:val="20"/>
  </w:num>
  <w:num w:numId="9" w16cid:durableId="163791364">
    <w:abstractNumId w:val="22"/>
  </w:num>
  <w:num w:numId="10" w16cid:durableId="2132817907">
    <w:abstractNumId w:val="11"/>
  </w:num>
  <w:num w:numId="11" w16cid:durableId="1551183120">
    <w:abstractNumId w:val="9"/>
  </w:num>
  <w:num w:numId="12" w16cid:durableId="1156191344">
    <w:abstractNumId w:val="13"/>
  </w:num>
  <w:num w:numId="13" w16cid:durableId="1448158146">
    <w:abstractNumId w:val="24"/>
  </w:num>
  <w:num w:numId="14" w16cid:durableId="2087072387">
    <w:abstractNumId w:val="25"/>
  </w:num>
  <w:num w:numId="15" w16cid:durableId="514270544">
    <w:abstractNumId w:val="19"/>
  </w:num>
  <w:num w:numId="16" w16cid:durableId="1321036747">
    <w:abstractNumId w:val="5"/>
  </w:num>
  <w:num w:numId="17" w16cid:durableId="1678922838">
    <w:abstractNumId w:val="0"/>
  </w:num>
  <w:num w:numId="18" w16cid:durableId="988482682">
    <w:abstractNumId w:val="23"/>
  </w:num>
  <w:num w:numId="19" w16cid:durableId="16444603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436028">
    <w:abstractNumId w:val="17"/>
  </w:num>
  <w:num w:numId="21" w16cid:durableId="1883979336">
    <w:abstractNumId w:val="4"/>
  </w:num>
  <w:num w:numId="22" w16cid:durableId="189387979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047536">
    <w:abstractNumId w:val="14"/>
  </w:num>
  <w:num w:numId="24" w16cid:durableId="737895982">
    <w:abstractNumId w:val="15"/>
  </w:num>
  <w:num w:numId="25" w16cid:durableId="867715121">
    <w:abstractNumId w:val="12"/>
  </w:num>
  <w:num w:numId="26" w16cid:durableId="908156112">
    <w:abstractNumId w:val="21"/>
  </w:num>
  <w:num w:numId="27" w16cid:durableId="461656696">
    <w:abstractNumId w:val="1"/>
  </w:num>
  <w:num w:numId="28" w16cid:durableId="850339176">
    <w:abstractNumId w:val="16"/>
  </w:num>
  <w:num w:numId="29" w16cid:durableId="1914463985">
    <w:abstractNumId w:val="27"/>
  </w:num>
  <w:num w:numId="30" w16cid:durableId="48327467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revisionView w:inkAnnotations="0"/>
  <w:documentProtection w:edit="comments" w:formatting="1" w:enforcement="0"/>
  <w:defaultTabStop w:val="720"/>
  <w:defaultTableStyle w:val="NDISTable1"/>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5D"/>
    <w:rsid w:val="000003AE"/>
    <w:rsid w:val="000005DE"/>
    <w:rsid w:val="00000875"/>
    <w:rsid w:val="0000098E"/>
    <w:rsid w:val="00000B14"/>
    <w:rsid w:val="0000111C"/>
    <w:rsid w:val="0000128B"/>
    <w:rsid w:val="00001729"/>
    <w:rsid w:val="00001CC6"/>
    <w:rsid w:val="00001D6A"/>
    <w:rsid w:val="0000200A"/>
    <w:rsid w:val="0000208E"/>
    <w:rsid w:val="000029D6"/>
    <w:rsid w:val="00002EB9"/>
    <w:rsid w:val="000035BD"/>
    <w:rsid w:val="000035E1"/>
    <w:rsid w:val="00003618"/>
    <w:rsid w:val="00003A8C"/>
    <w:rsid w:val="00003FDA"/>
    <w:rsid w:val="00004373"/>
    <w:rsid w:val="00004BC9"/>
    <w:rsid w:val="00005038"/>
    <w:rsid w:val="00005657"/>
    <w:rsid w:val="00005784"/>
    <w:rsid w:val="00005AA1"/>
    <w:rsid w:val="00005F12"/>
    <w:rsid w:val="00006149"/>
    <w:rsid w:val="00006889"/>
    <w:rsid w:val="000068BC"/>
    <w:rsid w:val="0000713D"/>
    <w:rsid w:val="00010133"/>
    <w:rsid w:val="0001094F"/>
    <w:rsid w:val="00010DCE"/>
    <w:rsid w:val="0001123F"/>
    <w:rsid w:val="00011680"/>
    <w:rsid w:val="00011956"/>
    <w:rsid w:val="00011A04"/>
    <w:rsid w:val="00011BDB"/>
    <w:rsid w:val="00011ED5"/>
    <w:rsid w:val="00011FFD"/>
    <w:rsid w:val="0001229C"/>
    <w:rsid w:val="000126DD"/>
    <w:rsid w:val="00012A0D"/>
    <w:rsid w:val="00012A26"/>
    <w:rsid w:val="00012A51"/>
    <w:rsid w:val="00012B7E"/>
    <w:rsid w:val="000131CE"/>
    <w:rsid w:val="0001322D"/>
    <w:rsid w:val="00013960"/>
    <w:rsid w:val="00013AA5"/>
    <w:rsid w:val="00013BBE"/>
    <w:rsid w:val="00014948"/>
    <w:rsid w:val="000149C0"/>
    <w:rsid w:val="00014E7D"/>
    <w:rsid w:val="0001520E"/>
    <w:rsid w:val="0001532B"/>
    <w:rsid w:val="000153EF"/>
    <w:rsid w:val="000154A2"/>
    <w:rsid w:val="000154E0"/>
    <w:rsid w:val="0001557F"/>
    <w:rsid w:val="00015CDB"/>
    <w:rsid w:val="00015EFE"/>
    <w:rsid w:val="0001648A"/>
    <w:rsid w:val="00016A40"/>
    <w:rsid w:val="00017149"/>
    <w:rsid w:val="00017501"/>
    <w:rsid w:val="00020251"/>
    <w:rsid w:val="000204F5"/>
    <w:rsid w:val="0002060E"/>
    <w:rsid w:val="000208D4"/>
    <w:rsid w:val="00020CFF"/>
    <w:rsid w:val="0002103D"/>
    <w:rsid w:val="00021177"/>
    <w:rsid w:val="000229CD"/>
    <w:rsid w:val="0002302F"/>
    <w:rsid w:val="000233EE"/>
    <w:rsid w:val="0002347B"/>
    <w:rsid w:val="000240AA"/>
    <w:rsid w:val="0002414A"/>
    <w:rsid w:val="00024BD1"/>
    <w:rsid w:val="00024E04"/>
    <w:rsid w:val="00024EE1"/>
    <w:rsid w:val="0002520A"/>
    <w:rsid w:val="00025412"/>
    <w:rsid w:val="000254C1"/>
    <w:rsid w:val="000256FC"/>
    <w:rsid w:val="00025A36"/>
    <w:rsid w:val="00026015"/>
    <w:rsid w:val="000260CA"/>
    <w:rsid w:val="000264A0"/>
    <w:rsid w:val="000266B0"/>
    <w:rsid w:val="000267E4"/>
    <w:rsid w:val="00026903"/>
    <w:rsid w:val="0002698E"/>
    <w:rsid w:val="0002705B"/>
    <w:rsid w:val="00027063"/>
    <w:rsid w:val="00027889"/>
    <w:rsid w:val="000278D9"/>
    <w:rsid w:val="00027D95"/>
    <w:rsid w:val="00027E02"/>
    <w:rsid w:val="00030609"/>
    <w:rsid w:val="00030E06"/>
    <w:rsid w:val="00030FE5"/>
    <w:rsid w:val="00031D16"/>
    <w:rsid w:val="00032555"/>
    <w:rsid w:val="000326F2"/>
    <w:rsid w:val="00032984"/>
    <w:rsid w:val="0003356E"/>
    <w:rsid w:val="00033A93"/>
    <w:rsid w:val="00033BCC"/>
    <w:rsid w:val="00033BCD"/>
    <w:rsid w:val="00033CA8"/>
    <w:rsid w:val="0003413F"/>
    <w:rsid w:val="00036010"/>
    <w:rsid w:val="00036413"/>
    <w:rsid w:val="00036A8C"/>
    <w:rsid w:val="00036AFC"/>
    <w:rsid w:val="00036C59"/>
    <w:rsid w:val="00036D25"/>
    <w:rsid w:val="0003707A"/>
    <w:rsid w:val="00037178"/>
    <w:rsid w:val="000372DF"/>
    <w:rsid w:val="00037937"/>
    <w:rsid w:val="000379BA"/>
    <w:rsid w:val="00037C33"/>
    <w:rsid w:val="00037DDF"/>
    <w:rsid w:val="000400AA"/>
    <w:rsid w:val="0004059C"/>
    <w:rsid w:val="000405FD"/>
    <w:rsid w:val="00040AE0"/>
    <w:rsid w:val="00040C95"/>
    <w:rsid w:val="00040E79"/>
    <w:rsid w:val="0004104F"/>
    <w:rsid w:val="000412AA"/>
    <w:rsid w:val="000415CC"/>
    <w:rsid w:val="00041ED5"/>
    <w:rsid w:val="00042217"/>
    <w:rsid w:val="00042281"/>
    <w:rsid w:val="000422F3"/>
    <w:rsid w:val="00042695"/>
    <w:rsid w:val="00042990"/>
    <w:rsid w:val="00042A45"/>
    <w:rsid w:val="00042ABA"/>
    <w:rsid w:val="00042F1D"/>
    <w:rsid w:val="000438E4"/>
    <w:rsid w:val="00043AED"/>
    <w:rsid w:val="0004407A"/>
    <w:rsid w:val="0004449B"/>
    <w:rsid w:val="000448B7"/>
    <w:rsid w:val="0004495C"/>
    <w:rsid w:val="00044BEC"/>
    <w:rsid w:val="00045048"/>
    <w:rsid w:val="00045836"/>
    <w:rsid w:val="00045AD0"/>
    <w:rsid w:val="00046048"/>
    <w:rsid w:val="000467D0"/>
    <w:rsid w:val="00046A7F"/>
    <w:rsid w:val="00046BA5"/>
    <w:rsid w:val="0004745E"/>
    <w:rsid w:val="000474C8"/>
    <w:rsid w:val="0004770B"/>
    <w:rsid w:val="00047A47"/>
    <w:rsid w:val="00047AFD"/>
    <w:rsid w:val="00047BFD"/>
    <w:rsid w:val="00047CF0"/>
    <w:rsid w:val="00047E43"/>
    <w:rsid w:val="00047E4E"/>
    <w:rsid w:val="0005034B"/>
    <w:rsid w:val="000503AF"/>
    <w:rsid w:val="0005105F"/>
    <w:rsid w:val="000514CF"/>
    <w:rsid w:val="00051D21"/>
    <w:rsid w:val="00051F3E"/>
    <w:rsid w:val="00051F71"/>
    <w:rsid w:val="000521E8"/>
    <w:rsid w:val="000527D9"/>
    <w:rsid w:val="0005280C"/>
    <w:rsid w:val="00052FD2"/>
    <w:rsid w:val="000530CA"/>
    <w:rsid w:val="00053A22"/>
    <w:rsid w:val="00053C15"/>
    <w:rsid w:val="00053EE8"/>
    <w:rsid w:val="00053FA7"/>
    <w:rsid w:val="0005404A"/>
    <w:rsid w:val="000542B7"/>
    <w:rsid w:val="00054C20"/>
    <w:rsid w:val="00054DB4"/>
    <w:rsid w:val="000552CC"/>
    <w:rsid w:val="00055311"/>
    <w:rsid w:val="0005542C"/>
    <w:rsid w:val="00055C1F"/>
    <w:rsid w:val="00056226"/>
    <w:rsid w:val="00056AD4"/>
    <w:rsid w:val="0005750A"/>
    <w:rsid w:val="00057678"/>
    <w:rsid w:val="000576C3"/>
    <w:rsid w:val="00057E06"/>
    <w:rsid w:val="00057E4E"/>
    <w:rsid w:val="00057FB8"/>
    <w:rsid w:val="0006013C"/>
    <w:rsid w:val="0006086B"/>
    <w:rsid w:val="0006111B"/>
    <w:rsid w:val="000616A2"/>
    <w:rsid w:val="00061778"/>
    <w:rsid w:val="00061B0A"/>
    <w:rsid w:val="00061B99"/>
    <w:rsid w:val="00061F0D"/>
    <w:rsid w:val="000624B2"/>
    <w:rsid w:val="000629EB"/>
    <w:rsid w:val="00062EFF"/>
    <w:rsid w:val="0006323A"/>
    <w:rsid w:val="000634E1"/>
    <w:rsid w:val="0006364A"/>
    <w:rsid w:val="00063848"/>
    <w:rsid w:val="000639B5"/>
    <w:rsid w:val="00063B6A"/>
    <w:rsid w:val="00063CA8"/>
    <w:rsid w:val="00064024"/>
    <w:rsid w:val="00064483"/>
    <w:rsid w:val="0006487E"/>
    <w:rsid w:val="00064A3B"/>
    <w:rsid w:val="00065429"/>
    <w:rsid w:val="00065571"/>
    <w:rsid w:val="00065588"/>
    <w:rsid w:val="0006595E"/>
    <w:rsid w:val="00066362"/>
    <w:rsid w:val="00066632"/>
    <w:rsid w:val="000668C7"/>
    <w:rsid w:val="00066BBB"/>
    <w:rsid w:val="00066CB2"/>
    <w:rsid w:val="00067533"/>
    <w:rsid w:val="00067953"/>
    <w:rsid w:val="00070228"/>
    <w:rsid w:val="00070475"/>
    <w:rsid w:val="00070DCB"/>
    <w:rsid w:val="00070DE4"/>
    <w:rsid w:val="00072300"/>
    <w:rsid w:val="000724E5"/>
    <w:rsid w:val="000726BF"/>
    <w:rsid w:val="000727BE"/>
    <w:rsid w:val="00072EF8"/>
    <w:rsid w:val="000733EF"/>
    <w:rsid w:val="000734D5"/>
    <w:rsid w:val="00073A2F"/>
    <w:rsid w:val="00073C3E"/>
    <w:rsid w:val="000740BC"/>
    <w:rsid w:val="00074136"/>
    <w:rsid w:val="0007470B"/>
    <w:rsid w:val="0007493C"/>
    <w:rsid w:val="00074A54"/>
    <w:rsid w:val="00074BED"/>
    <w:rsid w:val="000755D7"/>
    <w:rsid w:val="0007588F"/>
    <w:rsid w:val="00075D54"/>
    <w:rsid w:val="00076027"/>
    <w:rsid w:val="00076BD0"/>
    <w:rsid w:val="00077EC4"/>
    <w:rsid w:val="0008010D"/>
    <w:rsid w:val="000807A3"/>
    <w:rsid w:val="000807F3"/>
    <w:rsid w:val="0008095A"/>
    <w:rsid w:val="000813EB"/>
    <w:rsid w:val="00081526"/>
    <w:rsid w:val="00082346"/>
    <w:rsid w:val="0008246C"/>
    <w:rsid w:val="000824DE"/>
    <w:rsid w:val="000828F4"/>
    <w:rsid w:val="00082C8C"/>
    <w:rsid w:val="00082D7B"/>
    <w:rsid w:val="00083525"/>
    <w:rsid w:val="00084299"/>
    <w:rsid w:val="000844CA"/>
    <w:rsid w:val="00084C12"/>
    <w:rsid w:val="00084E5D"/>
    <w:rsid w:val="00084EE8"/>
    <w:rsid w:val="00084FBE"/>
    <w:rsid w:val="00085B9A"/>
    <w:rsid w:val="00085C43"/>
    <w:rsid w:val="00085CE5"/>
    <w:rsid w:val="00085CF9"/>
    <w:rsid w:val="000865B8"/>
    <w:rsid w:val="00086AF6"/>
    <w:rsid w:val="0008735A"/>
    <w:rsid w:val="0008784D"/>
    <w:rsid w:val="00087EDF"/>
    <w:rsid w:val="00090767"/>
    <w:rsid w:val="000908F3"/>
    <w:rsid w:val="00090AB3"/>
    <w:rsid w:val="000911BD"/>
    <w:rsid w:val="0009138D"/>
    <w:rsid w:val="00091418"/>
    <w:rsid w:val="00091C66"/>
    <w:rsid w:val="00091E29"/>
    <w:rsid w:val="000923EE"/>
    <w:rsid w:val="000924C4"/>
    <w:rsid w:val="00092783"/>
    <w:rsid w:val="0009289E"/>
    <w:rsid w:val="000929FB"/>
    <w:rsid w:val="00092B2B"/>
    <w:rsid w:val="00092CA7"/>
    <w:rsid w:val="00092DD1"/>
    <w:rsid w:val="00092EBB"/>
    <w:rsid w:val="00093100"/>
    <w:rsid w:val="00093E57"/>
    <w:rsid w:val="00093F3A"/>
    <w:rsid w:val="00093F49"/>
    <w:rsid w:val="0009427E"/>
    <w:rsid w:val="00094637"/>
    <w:rsid w:val="0009478B"/>
    <w:rsid w:val="000948E8"/>
    <w:rsid w:val="00094AC7"/>
    <w:rsid w:val="00094F4E"/>
    <w:rsid w:val="0009513D"/>
    <w:rsid w:val="000951D5"/>
    <w:rsid w:val="00095859"/>
    <w:rsid w:val="00095BE2"/>
    <w:rsid w:val="00095BE8"/>
    <w:rsid w:val="00096484"/>
    <w:rsid w:val="000964A5"/>
    <w:rsid w:val="0009663A"/>
    <w:rsid w:val="00096AE6"/>
    <w:rsid w:val="00096BA3"/>
    <w:rsid w:val="00097846"/>
    <w:rsid w:val="00097946"/>
    <w:rsid w:val="00097E23"/>
    <w:rsid w:val="00097F0B"/>
    <w:rsid w:val="000A09F0"/>
    <w:rsid w:val="000A1199"/>
    <w:rsid w:val="000A1975"/>
    <w:rsid w:val="000A24EC"/>
    <w:rsid w:val="000A2CA4"/>
    <w:rsid w:val="000A2E59"/>
    <w:rsid w:val="000A2F02"/>
    <w:rsid w:val="000A33CE"/>
    <w:rsid w:val="000A360C"/>
    <w:rsid w:val="000A3EB5"/>
    <w:rsid w:val="000A41A5"/>
    <w:rsid w:val="000A4511"/>
    <w:rsid w:val="000A55C1"/>
    <w:rsid w:val="000A5CA9"/>
    <w:rsid w:val="000A6102"/>
    <w:rsid w:val="000A648C"/>
    <w:rsid w:val="000A699F"/>
    <w:rsid w:val="000A6C09"/>
    <w:rsid w:val="000A6D56"/>
    <w:rsid w:val="000A6EE8"/>
    <w:rsid w:val="000A7138"/>
    <w:rsid w:val="000A738F"/>
    <w:rsid w:val="000A74B7"/>
    <w:rsid w:val="000A7573"/>
    <w:rsid w:val="000A7A46"/>
    <w:rsid w:val="000A7C25"/>
    <w:rsid w:val="000B02FB"/>
    <w:rsid w:val="000B04F3"/>
    <w:rsid w:val="000B066D"/>
    <w:rsid w:val="000B089C"/>
    <w:rsid w:val="000B0B21"/>
    <w:rsid w:val="000B0E0D"/>
    <w:rsid w:val="000B0F0E"/>
    <w:rsid w:val="000B11C2"/>
    <w:rsid w:val="000B12D0"/>
    <w:rsid w:val="000B13EF"/>
    <w:rsid w:val="000B15EB"/>
    <w:rsid w:val="000B1D0D"/>
    <w:rsid w:val="000B1F74"/>
    <w:rsid w:val="000B29CD"/>
    <w:rsid w:val="000B2A1E"/>
    <w:rsid w:val="000B2F59"/>
    <w:rsid w:val="000B37DA"/>
    <w:rsid w:val="000B4A63"/>
    <w:rsid w:val="000B4BF1"/>
    <w:rsid w:val="000B4E62"/>
    <w:rsid w:val="000B4F23"/>
    <w:rsid w:val="000B5515"/>
    <w:rsid w:val="000B5D06"/>
    <w:rsid w:val="000B62F0"/>
    <w:rsid w:val="000B65EF"/>
    <w:rsid w:val="000B6AB7"/>
    <w:rsid w:val="000B711E"/>
    <w:rsid w:val="000B73C6"/>
    <w:rsid w:val="000B76C1"/>
    <w:rsid w:val="000B7B79"/>
    <w:rsid w:val="000B7C0E"/>
    <w:rsid w:val="000B7C97"/>
    <w:rsid w:val="000C01F5"/>
    <w:rsid w:val="000C0388"/>
    <w:rsid w:val="000C06DC"/>
    <w:rsid w:val="000C073A"/>
    <w:rsid w:val="000C08A6"/>
    <w:rsid w:val="000C0EAD"/>
    <w:rsid w:val="000C10BD"/>
    <w:rsid w:val="000C1B04"/>
    <w:rsid w:val="000C2114"/>
    <w:rsid w:val="000C318F"/>
    <w:rsid w:val="000C34BA"/>
    <w:rsid w:val="000C37F6"/>
    <w:rsid w:val="000C3E0C"/>
    <w:rsid w:val="000C3F8D"/>
    <w:rsid w:val="000C426D"/>
    <w:rsid w:val="000C4F3C"/>
    <w:rsid w:val="000C5994"/>
    <w:rsid w:val="000C5FCA"/>
    <w:rsid w:val="000C6080"/>
    <w:rsid w:val="000C6304"/>
    <w:rsid w:val="000C6919"/>
    <w:rsid w:val="000C6DFA"/>
    <w:rsid w:val="000C7003"/>
    <w:rsid w:val="000C7075"/>
    <w:rsid w:val="000C74BD"/>
    <w:rsid w:val="000C7F33"/>
    <w:rsid w:val="000D0341"/>
    <w:rsid w:val="000D05BB"/>
    <w:rsid w:val="000D05E6"/>
    <w:rsid w:val="000D1516"/>
    <w:rsid w:val="000D206F"/>
    <w:rsid w:val="000D21DE"/>
    <w:rsid w:val="000D2A52"/>
    <w:rsid w:val="000D2C83"/>
    <w:rsid w:val="000D2E84"/>
    <w:rsid w:val="000D3551"/>
    <w:rsid w:val="000D37CC"/>
    <w:rsid w:val="000D4060"/>
    <w:rsid w:val="000D43A8"/>
    <w:rsid w:val="000D4959"/>
    <w:rsid w:val="000D4B96"/>
    <w:rsid w:val="000D4EC5"/>
    <w:rsid w:val="000D503F"/>
    <w:rsid w:val="000D52CB"/>
    <w:rsid w:val="000D5513"/>
    <w:rsid w:val="000D5CD0"/>
    <w:rsid w:val="000D63F5"/>
    <w:rsid w:val="000D6B11"/>
    <w:rsid w:val="000D6FBD"/>
    <w:rsid w:val="000D70AE"/>
    <w:rsid w:val="000D7423"/>
    <w:rsid w:val="000D7590"/>
    <w:rsid w:val="000D7F5F"/>
    <w:rsid w:val="000E05D0"/>
    <w:rsid w:val="000E0847"/>
    <w:rsid w:val="000E0C41"/>
    <w:rsid w:val="000E14DA"/>
    <w:rsid w:val="000E156B"/>
    <w:rsid w:val="000E1A33"/>
    <w:rsid w:val="000E22AA"/>
    <w:rsid w:val="000E31BC"/>
    <w:rsid w:val="000E3CEC"/>
    <w:rsid w:val="000E41B3"/>
    <w:rsid w:val="000E4AE0"/>
    <w:rsid w:val="000E4C47"/>
    <w:rsid w:val="000E512A"/>
    <w:rsid w:val="000E5423"/>
    <w:rsid w:val="000E58E6"/>
    <w:rsid w:val="000E5A9F"/>
    <w:rsid w:val="000E63DC"/>
    <w:rsid w:val="000E651E"/>
    <w:rsid w:val="000E6956"/>
    <w:rsid w:val="000E747B"/>
    <w:rsid w:val="000E75B6"/>
    <w:rsid w:val="000E777F"/>
    <w:rsid w:val="000E7EC2"/>
    <w:rsid w:val="000F0321"/>
    <w:rsid w:val="000F0421"/>
    <w:rsid w:val="000F09FB"/>
    <w:rsid w:val="000F17C1"/>
    <w:rsid w:val="000F17E9"/>
    <w:rsid w:val="000F1E6F"/>
    <w:rsid w:val="000F1E71"/>
    <w:rsid w:val="000F2244"/>
    <w:rsid w:val="000F28D3"/>
    <w:rsid w:val="000F2D5E"/>
    <w:rsid w:val="000F3141"/>
    <w:rsid w:val="000F327F"/>
    <w:rsid w:val="000F33D5"/>
    <w:rsid w:val="000F3640"/>
    <w:rsid w:val="000F3C44"/>
    <w:rsid w:val="000F3F82"/>
    <w:rsid w:val="000F43F5"/>
    <w:rsid w:val="000F5645"/>
    <w:rsid w:val="000F5A6C"/>
    <w:rsid w:val="000F627E"/>
    <w:rsid w:val="000F6486"/>
    <w:rsid w:val="000F64D2"/>
    <w:rsid w:val="000F655C"/>
    <w:rsid w:val="000F6B20"/>
    <w:rsid w:val="000F7253"/>
    <w:rsid w:val="000F76D8"/>
    <w:rsid w:val="000F7A15"/>
    <w:rsid w:val="000F7CEF"/>
    <w:rsid w:val="00100C51"/>
    <w:rsid w:val="00100D45"/>
    <w:rsid w:val="001013D6"/>
    <w:rsid w:val="001015C7"/>
    <w:rsid w:val="00101773"/>
    <w:rsid w:val="00101B20"/>
    <w:rsid w:val="001029C8"/>
    <w:rsid w:val="00102A1D"/>
    <w:rsid w:val="001031ED"/>
    <w:rsid w:val="00104588"/>
    <w:rsid w:val="00104C11"/>
    <w:rsid w:val="00105B1D"/>
    <w:rsid w:val="00105EE7"/>
    <w:rsid w:val="001064C5"/>
    <w:rsid w:val="00106B3F"/>
    <w:rsid w:val="00106BEB"/>
    <w:rsid w:val="00106C7B"/>
    <w:rsid w:val="00107039"/>
    <w:rsid w:val="0010741F"/>
    <w:rsid w:val="00107ECA"/>
    <w:rsid w:val="00110780"/>
    <w:rsid w:val="001109DC"/>
    <w:rsid w:val="00110A87"/>
    <w:rsid w:val="00110B92"/>
    <w:rsid w:val="001113E5"/>
    <w:rsid w:val="00111F83"/>
    <w:rsid w:val="00111FA5"/>
    <w:rsid w:val="001123FD"/>
    <w:rsid w:val="0011255B"/>
    <w:rsid w:val="00112675"/>
    <w:rsid w:val="00112A44"/>
    <w:rsid w:val="0011402E"/>
    <w:rsid w:val="0011409D"/>
    <w:rsid w:val="0011427F"/>
    <w:rsid w:val="00114365"/>
    <w:rsid w:val="00114788"/>
    <w:rsid w:val="00114CBA"/>
    <w:rsid w:val="001151BA"/>
    <w:rsid w:val="00115987"/>
    <w:rsid w:val="00115B94"/>
    <w:rsid w:val="00115DC6"/>
    <w:rsid w:val="001162BD"/>
    <w:rsid w:val="0011646A"/>
    <w:rsid w:val="00116611"/>
    <w:rsid w:val="0011678A"/>
    <w:rsid w:val="001168D2"/>
    <w:rsid w:val="001177B0"/>
    <w:rsid w:val="00120123"/>
    <w:rsid w:val="001206E7"/>
    <w:rsid w:val="001207D7"/>
    <w:rsid w:val="00120E09"/>
    <w:rsid w:val="001211DA"/>
    <w:rsid w:val="001215BB"/>
    <w:rsid w:val="001219A9"/>
    <w:rsid w:val="00121B02"/>
    <w:rsid w:val="001221F9"/>
    <w:rsid w:val="0012237F"/>
    <w:rsid w:val="001227F3"/>
    <w:rsid w:val="00122E39"/>
    <w:rsid w:val="00123283"/>
    <w:rsid w:val="00123454"/>
    <w:rsid w:val="001236BA"/>
    <w:rsid w:val="00123772"/>
    <w:rsid w:val="00123D0A"/>
    <w:rsid w:val="0012437C"/>
    <w:rsid w:val="00124566"/>
    <w:rsid w:val="001248D0"/>
    <w:rsid w:val="00124E27"/>
    <w:rsid w:val="00124E3C"/>
    <w:rsid w:val="0012520C"/>
    <w:rsid w:val="00125D11"/>
    <w:rsid w:val="0012654B"/>
    <w:rsid w:val="00126DB6"/>
    <w:rsid w:val="00126DD4"/>
    <w:rsid w:val="00126E9D"/>
    <w:rsid w:val="00127458"/>
    <w:rsid w:val="00127479"/>
    <w:rsid w:val="00127633"/>
    <w:rsid w:val="00127E95"/>
    <w:rsid w:val="00130039"/>
    <w:rsid w:val="001305DE"/>
    <w:rsid w:val="00130850"/>
    <w:rsid w:val="00130D47"/>
    <w:rsid w:val="001310FD"/>
    <w:rsid w:val="00131196"/>
    <w:rsid w:val="00131ABF"/>
    <w:rsid w:val="00132471"/>
    <w:rsid w:val="00132695"/>
    <w:rsid w:val="00132ADA"/>
    <w:rsid w:val="00132BD0"/>
    <w:rsid w:val="00132BFF"/>
    <w:rsid w:val="0013303A"/>
    <w:rsid w:val="00133544"/>
    <w:rsid w:val="00133643"/>
    <w:rsid w:val="00133CB7"/>
    <w:rsid w:val="001341B4"/>
    <w:rsid w:val="00134DD0"/>
    <w:rsid w:val="00134EED"/>
    <w:rsid w:val="00135181"/>
    <w:rsid w:val="001352AD"/>
    <w:rsid w:val="001355D9"/>
    <w:rsid w:val="00135824"/>
    <w:rsid w:val="001358C2"/>
    <w:rsid w:val="00135F2F"/>
    <w:rsid w:val="0013605C"/>
    <w:rsid w:val="001365A8"/>
    <w:rsid w:val="00136F67"/>
    <w:rsid w:val="00137528"/>
    <w:rsid w:val="0013776D"/>
    <w:rsid w:val="00140310"/>
    <w:rsid w:val="001404BF"/>
    <w:rsid w:val="00140607"/>
    <w:rsid w:val="0014073D"/>
    <w:rsid w:val="001410B0"/>
    <w:rsid w:val="001412DA"/>
    <w:rsid w:val="0014188E"/>
    <w:rsid w:val="001419CC"/>
    <w:rsid w:val="00141A5A"/>
    <w:rsid w:val="00141DA6"/>
    <w:rsid w:val="00141F4F"/>
    <w:rsid w:val="0014207A"/>
    <w:rsid w:val="00142645"/>
    <w:rsid w:val="00142D63"/>
    <w:rsid w:val="001438E1"/>
    <w:rsid w:val="00143CD5"/>
    <w:rsid w:val="001445E1"/>
    <w:rsid w:val="0014471A"/>
    <w:rsid w:val="00144820"/>
    <w:rsid w:val="0014493A"/>
    <w:rsid w:val="001450AC"/>
    <w:rsid w:val="001455B8"/>
    <w:rsid w:val="001457A1"/>
    <w:rsid w:val="001457FB"/>
    <w:rsid w:val="00145865"/>
    <w:rsid w:val="00145B25"/>
    <w:rsid w:val="00146407"/>
    <w:rsid w:val="001465FF"/>
    <w:rsid w:val="00146619"/>
    <w:rsid w:val="00146CC4"/>
    <w:rsid w:val="00146D2D"/>
    <w:rsid w:val="001477DE"/>
    <w:rsid w:val="00147882"/>
    <w:rsid w:val="00147C2A"/>
    <w:rsid w:val="00150B27"/>
    <w:rsid w:val="00150D2A"/>
    <w:rsid w:val="0015109F"/>
    <w:rsid w:val="00151194"/>
    <w:rsid w:val="00151415"/>
    <w:rsid w:val="0015151A"/>
    <w:rsid w:val="001517D8"/>
    <w:rsid w:val="00151ADB"/>
    <w:rsid w:val="00151C9C"/>
    <w:rsid w:val="00151FCD"/>
    <w:rsid w:val="00152364"/>
    <w:rsid w:val="001523FA"/>
    <w:rsid w:val="001526FA"/>
    <w:rsid w:val="001534CD"/>
    <w:rsid w:val="00153F29"/>
    <w:rsid w:val="00153F89"/>
    <w:rsid w:val="0015424E"/>
    <w:rsid w:val="00154EE3"/>
    <w:rsid w:val="00154F8D"/>
    <w:rsid w:val="001554EB"/>
    <w:rsid w:val="001559F8"/>
    <w:rsid w:val="00155B80"/>
    <w:rsid w:val="001563A8"/>
    <w:rsid w:val="00156899"/>
    <w:rsid w:val="00156DCF"/>
    <w:rsid w:val="001572F3"/>
    <w:rsid w:val="0015799F"/>
    <w:rsid w:val="00157A3E"/>
    <w:rsid w:val="00157DC0"/>
    <w:rsid w:val="001605D6"/>
    <w:rsid w:val="001611E4"/>
    <w:rsid w:val="0016120F"/>
    <w:rsid w:val="00161324"/>
    <w:rsid w:val="0016176D"/>
    <w:rsid w:val="00162554"/>
    <w:rsid w:val="0016259E"/>
    <w:rsid w:val="001626AB"/>
    <w:rsid w:val="00162BF0"/>
    <w:rsid w:val="001632F6"/>
    <w:rsid w:val="00163B6B"/>
    <w:rsid w:val="001646A6"/>
    <w:rsid w:val="00164A62"/>
    <w:rsid w:val="00164E4C"/>
    <w:rsid w:val="001655A6"/>
    <w:rsid w:val="001655CB"/>
    <w:rsid w:val="001662D2"/>
    <w:rsid w:val="001665A1"/>
    <w:rsid w:val="00166810"/>
    <w:rsid w:val="001670D4"/>
    <w:rsid w:val="00167F6B"/>
    <w:rsid w:val="001704B1"/>
    <w:rsid w:val="00170785"/>
    <w:rsid w:val="0017091A"/>
    <w:rsid w:val="00170ABD"/>
    <w:rsid w:val="00171211"/>
    <w:rsid w:val="00171850"/>
    <w:rsid w:val="00171B63"/>
    <w:rsid w:val="001722B1"/>
    <w:rsid w:val="00172438"/>
    <w:rsid w:val="0017265E"/>
    <w:rsid w:val="0017266E"/>
    <w:rsid w:val="001726BF"/>
    <w:rsid w:val="00172825"/>
    <w:rsid w:val="00172866"/>
    <w:rsid w:val="001728F6"/>
    <w:rsid w:val="001738F9"/>
    <w:rsid w:val="00173B08"/>
    <w:rsid w:val="00174058"/>
    <w:rsid w:val="001740AA"/>
    <w:rsid w:val="0017427C"/>
    <w:rsid w:val="0017428C"/>
    <w:rsid w:val="00174652"/>
    <w:rsid w:val="00174AD6"/>
    <w:rsid w:val="0017511C"/>
    <w:rsid w:val="00175825"/>
    <w:rsid w:val="00175ADD"/>
    <w:rsid w:val="00175B2D"/>
    <w:rsid w:val="00175D2B"/>
    <w:rsid w:val="00176049"/>
    <w:rsid w:val="0017606E"/>
    <w:rsid w:val="00176233"/>
    <w:rsid w:val="00176358"/>
    <w:rsid w:val="00176605"/>
    <w:rsid w:val="0017696A"/>
    <w:rsid w:val="00176C1A"/>
    <w:rsid w:val="00176E2B"/>
    <w:rsid w:val="00176E34"/>
    <w:rsid w:val="00176F6D"/>
    <w:rsid w:val="00176FF0"/>
    <w:rsid w:val="001800BB"/>
    <w:rsid w:val="00180424"/>
    <w:rsid w:val="00180558"/>
    <w:rsid w:val="001809B3"/>
    <w:rsid w:val="001809B8"/>
    <w:rsid w:val="00180D1F"/>
    <w:rsid w:val="00180D51"/>
    <w:rsid w:val="00180EA2"/>
    <w:rsid w:val="00181302"/>
    <w:rsid w:val="00181673"/>
    <w:rsid w:val="00181838"/>
    <w:rsid w:val="001818C5"/>
    <w:rsid w:val="00181FAC"/>
    <w:rsid w:val="00182003"/>
    <w:rsid w:val="001824ED"/>
    <w:rsid w:val="00182AE2"/>
    <w:rsid w:val="00182B83"/>
    <w:rsid w:val="00182E5C"/>
    <w:rsid w:val="001837A5"/>
    <w:rsid w:val="00183F1E"/>
    <w:rsid w:val="001842FA"/>
    <w:rsid w:val="00184A6F"/>
    <w:rsid w:val="00184BAC"/>
    <w:rsid w:val="00184BB1"/>
    <w:rsid w:val="00184EF3"/>
    <w:rsid w:val="00184F36"/>
    <w:rsid w:val="001856F9"/>
    <w:rsid w:val="00185E35"/>
    <w:rsid w:val="00186C7F"/>
    <w:rsid w:val="00186FE9"/>
    <w:rsid w:val="00187D30"/>
    <w:rsid w:val="00187D7C"/>
    <w:rsid w:val="00187DA2"/>
    <w:rsid w:val="00187DFA"/>
    <w:rsid w:val="00187EA6"/>
    <w:rsid w:val="001903B3"/>
    <w:rsid w:val="00190A93"/>
    <w:rsid w:val="001913B5"/>
    <w:rsid w:val="00191539"/>
    <w:rsid w:val="001919EC"/>
    <w:rsid w:val="001926FF"/>
    <w:rsid w:val="00192D14"/>
    <w:rsid w:val="00193144"/>
    <w:rsid w:val="0019321F"/>
    <w:rsid w:val="00193409"/>
    <w:rsid w:val="001935B0"/>
    <w:rsid w:val="0019384A"/>
    <w:rsid w:val="00193FE1"/>
    <w:rsid w:val="0019443D"/>
    <w:rsid w:val="001945BA"/>
    <w:rsid w:val="00194AA9"/>
    <w:rsid w:val="00194EA8"/>
    <w:rsid w:val="0019534F"/>
    <w:rsid w:val="001953AE"/>
    <w:rsid w:val="00195A47"/>
    <w:rsid w:val="00195B4A"/>
    <w:rsid w:val="00195D3C"/>
    <w:rsid w:val="00195DF8"/>
    <w:rsid w:val="00195E43"/>
    <w:rsid w:val="0019615E"/>
    <w:rsid w:val="001965A9"/>
    <w:rsid w:val="001966E7"/>
    <w:rsid w:val="0019701A"/>
    <w:rsid w:val="00197559"/>
    <w:rsid w:val="00197772"/>
    <w:rsid w:val="001978C9"/>
    <w:rsid w:val="00197A56"/>
    <w:rsid w:val="00197EF7"/>
    <w:rsid w:val="00197F2E"/>
    <w:rsid w:val="001A016D"/>
    <w:rsid w:val="001A0C72"/>
    <w:rsid w:val="001A11B7"/>
    <w:rsid w:val="001A15AB"/>
    <w:rsid w:val="001A1B60"/>
    <w:rsid w:val="001A22CD"/>
    <w:rsid w:val="001A2302"/>
    <w:rsid w:val="001A27DE"/>
    <w:rsid w:val="001A2EB0"/>
    <w:rsid w:val="001A2EDE"/>
    <w:rsid w:val="001A32C9"/>
    <w:rsid w:val="001A3685"/>
    <w:rsid w:val="001A3901"/>
    <w:rsid w:val="001A3A3F"/>
    <w:rsid w:val="001A3AA6"/>
    <w:rsid w:val="001A3AA7"/>
    <w:rsid w:val="001A3C0C"/>
    <w:rsid w:val="001A5067"/>
    <w:rsid w:val="001A5098"/>
    <w:rsid w:val="001A51DE"/>
    <w:rsid w:val="001A53B0"/>
    <w:rsid w:val="001A5DFA"/>
    <w:rsid w:val="001A6788"/>
    <w:rsid w:val="001A6BAA"/>
    <w:rsid w:val="001A74E5"/>
    <w:rsid w:val="001B002A"/>
    <w:rsid w:val="001B0139"/>
    <w:rsid w:val="001B0C63"/>
    <w:rsid w:val="001B0DE9"/>
    <w:rsid w:val="001B0F9F"/>
    <w:rsid w:val="001B1A84"/>
    <w:rsid w:val="001B1BB8"/>
    <w:rsid w:val="001B2BE8"/>
    <w:rsid w:val="001B38D8"/>
    <w:rsid w:val="001B4767"/>
    <w:rsid w:val="001B4D9A"/>
    <w:rsid w:val="001B59B2"/>
    <w:rsid w:val="001B59EF"/>
    <w:rsid w:val="001B5A8A"/>
    <w:rsid w:val="001B6231"/>
    <w:rsid w:val="001B69E1"/>
    <w:rsid w:val="001B6E22"/>
    <w:rsid w:val="001B7535"/>
    <w:rsid w:val="001B7636"/>
    <w:rsid w:val="001B7935"/>
    <w:rsid w:val="001B7EFF"/>
    <w:rsid w:val="001C02F3"/>
    <w:rsid w:val="001C0454"/>
    <w:rsid w:val="001C07EF"/>
    <w:rsid w:val="001C0B16"/>
    <w:rsid w:val="001C173A"/>
    <w:rsid w:val="001C17C3"/>
    <w:rsid w:val="001C198E"/>
    <w:rsid w:val="001C1BDE"/>
    <w:rsid w:val="001C2469"/>
    <w:rsid w:val="001C2E49"/>
    <w:rsid w:val="001C339C"/>
    <w:rsid w:val="001C383D"/>
    <w:rsid w:val="001C4343"/>
    <w:rsid w:val="001C4735"/>
    <w:rsid w:val="001C5590"/>
    <w:rsid w:val="001C5CC2"/>
    <w:rsid w:val="001C5EF0"/>
    <w:rsid w:val="001C674B"/>
    <w:rsid w:val="001C6AA3"/>
    <w:rsid w:val="001C6CA1"/>
    <w:rsid w:val="001C6E8B"/>
    <w:rsid w:val="001C70FE"/>
    <w:rsid w:val="001C7C49"/>
    <w:rsid w:val="001C7CB6"/>
    <w:rsid w:val="001D03D7"/>
    <w:rsid w:val="001D09AA"/>
    <w:rsid w:val="001D0AD3"/>
    <w:rsid w:val="001D0C1E"/>
    <w:rsid w:val="001D0F2C"/>
    <w:rsid w:val="001D13CA"/>
    <w:rsid w:val="001D188A"/>
    <w:rsid w:val="001D195F"/>
    <w:rsid w:val="001D1B79"/>
    <w:rsid w:val="001D1F59"/>
    <w:rsid w:val="001D25DC"/>
    <w:rsid w:val="001D26B7"/>
    <w:rsid w:val="001D2CCF"/>
    <w:rsid w:val="001D40B4"/>
    <w:rsid w:val="001D4AE6"/>
    <w:rsid w:val="001D5B4A"/>
    <w:rsid w:val="001D6629"/>
    <w:rsid w:val="001D6765"/>
    <w:rsid w:val="001D68BD"/>
    <w:rsid w:val="001D6E09"/>
    <w:rsid w:val="001D7390"/>
    <w:rsid w:val="001D7A63"/>
    <w:rsid w:val="001D7B7D"/>
    <w:rsid w:val="001D7BFB"/>
    <w:rsid w:val="001D7D71"/>
    <w:rsid w:val="001E0554"/>
    <w:rsid w:val="001E0725"/>
    <w:rsid w:val="001E0C95"/>
    <w:rsid w:val="001E145D"/>
    <w:rsid w:val="001E164F"/>
    <w:rsid w:val="001E1AF0"/>
    <w:rsid w:val="001E204B"/>
    <w:rsid w:val="001E2320"/>
    <w:rsid w:val="001E25C0"/>
    <w:rsid w:val="001E2CC6"/>
    <w:rsid w:val="001E2F0C"/>
    <w:rsid w:val="001E33C1"/>
    <w:rsid w:val="001E43C3"/>
    <w:rsid w:val="001E4B91"/>
    <w:rsid w:val="001E50A3"/>
    <w:rsid w:val="001E561C"/>
    <w:rsid w:val="001E630D"/>
    <w:rsid w:val="001E673C"/>
    <w:rsid w:val="001E6CF3"/>
    <w:rsid w:val="001E753E"/>
    <w:rsid w:val="001E78EA"/>
    <w:rsid w:val="001E7C4A"/>
    <w:rsid w:val="001E7E31"/>
    <w:rsid w:val="001E7FCC"/>
    <w:rsid w:val="001F013A"/>
    <w:rsid w:val="001F0E46"/>
    <w:rsid w:val="001F1351"/>
    <w:rsid w:val="001F13F2"/>
    <w:rsid w:val="001F166A"/>
    <w:rsid w:val="001F172D"/>
    <w:rsid w:val="001F172E"/>
    <w:rsid w:val="001F1C40"/>
    <w:rsid w:val="001F2303"/>
    <w:rsid w:val="001F232E"/>
    <w:rsid w:val="001F2B98"/>
    <w:rsid w:val="001F30A7"/>
    <w:rsid w:val="001F33AA"/>
    <w:rsid w:val="001F35A6"/>
    <w:rsid w:val="001F3918"/>
    <w:rsid w:val="001F54B4"/>
    <w:rsid w:val="001F54BC"/>
    <w:rsid w:val="001F618F"/>
    <w:rsid w:val="001F6C61"/>
    <w:rsid w:val="001F714A"/>
    <w:rsid w:val="001F72A9"/>
    <w:rsid w:val="001F75D6"/>
    <w:rsid w:val="00200EEE"/>
    <w:rsid w:val="0020133B"/>
    <w:rsid w:val="002013B2"/>
    <w:rsid w:val="00201891"/>
    <w:rsid w:val="00202178"/>
    <w:rsid w:val="00202271"/>
    <w:rsid w:val="00202407"/>
    <w:rsid w:val="002025D5"/>
    <w:rsid w:val="00202CB6"/>
    <w:rsid w:val="00202D90"/>
    <w:rsid w:val="00202EC5"/>
    <w:rsid w:val="0020342E"/>
    <w:rsid w:val="00203463"/>
    <w:rsid w:val="00203571"/>
    <w:rsid w:val="00203BC7"/>
    <w:rsid w:val="002047FD"/>
    <w:rsid w:val="00204AC0"/>
    <w:rsid w:val="002053D4"/>
    <w:rsid w:val="002059A2"/>
    <w:rsid w:val="00205DF7"/>
    <w:rsid w:val="00205E2D"/>
    <w:rsid w:val="00205FCE"/>
    <w:rsid w:val="0020606D"/>
    <w:rsid w:val="00206290"/>
    <w:rsid w:val="002063BC"/>
    <w:rsid w:val="00206E77"/>
    <w:rsid w:val="00207829"/>
    <w:rsid w:val="00207D00"/>
    <w:rsid w:val="00207F90"/>
    <w:rsid w:val="00207FE7"/>
    <w:rsid w:val="00210208"/>
    <w:rsid w:val="0021048B"/>
    <w:rsid w:val="002104F5"/>
    <w:rsid w:val="00210925"/>
    <w:rsid w:val="00210A0B"/>
    <w:rsid w:val="00210BEA"/>
    <w:rsid w:val="0021108D"/>
    <w:rsid w:val="0021145D"/>
    <w:rsid w:val="00211669"/>
    <w:rsid w:val="00211A86"/>
    <w:rsid w:val="00211E18"/>
    <w:rsid w:val="00212274"/>
    <w:rsid w:val="00212762"/>
    <w:rsid w:val="0021284B"/>
    <w:rsid w:val="002128CD"/>
    <w:rsid w:val="00212A55"/>
    <w:rsid w:val="00212AA7"/>
    <w:rsid w:val="00212EFE"/>
    <w:rsid w:val="00213949"/>
    <w:rsid w:val="00213B98"/>
    <w:rsid w:val="002140D9"/>
    <w:rsid w:val="00214253"/>
    <w:rsid w:val="0021437E"/>
    <w:rsid w:val="00215051"/>
    <w:rsid w:val="00215096"/>
    <w:rsid w:val="0021557F"/>
    <w:rsid w:val="002156FE"/>
    <w:rsid w:val="0021594D"/>
    <w:rsid w:val="002159C4"/>
    <w:rsid w:val="00215B45"/>
    <w:rsid w:val="00215E57"/>
    <w:rsid w:val="0021687A"/>
    <w:rsid w:val="0021731D"/>
    <w:rsid w:val="002176CF"/>
    <w:rsid w:val="00220507"/>
    <w:rsid w:val="00220543"/>
    <w:rsid w:val="0022081C"/>
    <w:rsid w:val="00220A6C"/>
    <w:rsid w:val="00221729"/>
    <w:rsid w:val="00221F27"/>
    <w:rsid w:val="00221F32"/>
    <w:rsid w:val="0022200C"/>
    <w:rsid w:val="0022259A"/>
    <w:rsid w:val="002229FA"/>
    <w:rsid w:val="00223DB5"/>
    <w:rsid w:val="00223DD9"/>
    <w:rsid w:val="00224290"/>
    <w:rsid w:val="00224597"/>
    <w:rsid w:val="00224DD0"/>
    <w:rsid w:val="00225353"/>
    <w:rsid w:val="0022599C"/>
    <w:rsid w:val="0022611B"/>
    <w:rsid w:val="0022646A"/>
    <w:rsid w:val="002267BB"/>
    <w:rsid w:val="00226842"/>
    <w:rsid w:val="00226A16"/>
    <w:rsid w:val="00226E74"/>
    <w:rsid w:val="0022751F"/>
    <w:rsid w:val="00230370"/>
    <w:rsid w:val="002306E4"/>
    <w:rsid w:val="00230C97"/>
    <w:rsid w:val="00230FCE"/>
    <w:rsid w:val="0023172F"/>
    <w:rsid w:val="002320ED"/>
    <w:rsid w:val="002321EA"/>
    <w:rsid w:val="00232288"/>
    <w:rsid w:val="002324C7"/>
    <w:rsid w:val="002328D4"/>
    <w:rsid w:val="00232950"/>
    <w:rsid w:val="002331C7"/>
    <w:rsid w:val="002332CF"/>
    <w:rsid w:val="002337CF"/>
    <w:rsid w:val="00233B09"/>
    <w:rsid w:val="00233E5B"/>
    <w:rsid w:val="00233E5C"/>
    <w:rsid w:val="00233EAC"/>
    <w:rsid w:val="002345D1"/>
    <w:rsid w:val="00234A64"/>
    <w:rsid w:val="00234A80"/>
    <w:rsid w:val="002353F8"/>
    <w:rsid w:val="002355C0"/>
    <w:rsid w:val="00235762"/>
    <w:rsid w:val="0023603F"/>
    <w:rsid w:val="0023606C"/>
    <w:rsid w:val="00236665"/>
    <w:rsid w:val="00237268"/>
    <w:rsid w:val="00237F5D"/>
    <w:rsid w:val="00240B64"/>
    <w:rsid w:val="00241224"/>
    <w:rsid w:val="0024149F"/>
    <w:rsid w:val="00241835"/>
    <w:rsid w:val="002419B1"/>
    <w:rsid w:val="00241A17"/>
    <w:rsid w:val="00241E37"/>
    <w:rsid w:val="00242337"/>
    <w:rsid w:val="0024291C"/>
    <w:rsid w:val="00242A32"/>
    <w:rsid w:val="00242E34"/>
    <w:rsid w:val="00242F16"/>
    <w:rsid w:val="00242F41"/>
    <w:rsid w:val="00242F77"/>
    <w:rsid w:val="00244D2D"/>
    <w:rsid w:val="00245472"/>
    <w:rsid w:val="00245E8B"/>
    <w:rsid w:val="00246087"/>
    <w:rsid w:val="002460B9"/>
    <w:rsid w:val="002470C9"/>
    <w:rsid w:val="00247411"/>
    <w:rsid w:val="0024751E"/>
    <w:rsid w:val="00247856"/>
    <w:rsid w:val="00247AAF"/>
    <w:rsid w:val="00247DEE"/>
    <w:rsid w:val="002501EA"/>
    <w:rsid w:val="00250648"/>
    <w:rsid w:val="00250C86"/>
    <w:rsid w:val="00250CFB"/>
    <w:rsid w:val="00250EB1"/>
    <w:rsid w:val="002518CC"/>
    <w:rsid w:val="00251BC5"/>
    <w:rsid w:val="0025233D"/>
    <w:rsid w:val="00252749"/>
    <w:rsid w:val="0025285C"/>
    <w:rsid w:val="002528F1"/>
    <w:rsid w:val="00252C50"/>
    <w:rsid w:val="002530C3"/>
    <w:rsid w:val="00253399"/>
    <w:rsid w:val="002537C4"/>
    <w:rsid w:val="00253D2F"/>
    <w:rsid w:val="0025419D"/>
    <w:rsid w:val="002546EF"/>
    <w:rsid w:val="00254740"/>
    <w:rsid w:val="00254C83"/>
    <w:rsid w:val="0025540E"/>
    <w:rsid w:val="002555E3"/>
    <w:rsid w:val="00256239"/>
    <w:rsid w:val="002564FC"/>
    <w:rsid w:val="0025684C"/>
    <w:rsid w:val="00256D9B"/>
    <w:rsid w:val="00256DD4"/>
    <w:rsid w:val="00260556"/>
    <w:rsid w:val="0026087F"/>
    <w:rsid w:val="00260904"/>
    <w:rsid w:val="00260F4A"/>
    <w:rsid w:val="00260F5A"/>
    <w:rsid w:val="0026114C"/>
    <w:rsid w:val="002612AE"/>
    <w:rsid w:val="002613FF"/>
    <w:rsid w:val="00261FC4"/>
    <w:rsid w:val="00262071"/>
    <w:rsid w:val="00262429"/>
    <w:rsid w:val="00262C71"/>
    <w:rsid w:val="00262EED"/>
    <w:rsid w:val="00263F51"/>
    <w:rsid w:val="00264012"/>
    <w:rsid w:val="00264C07"/>
    <w:rsid w:val="00264D3B"/>
    <w:rsid w:val="00264E2C"/>
    <w:rsid w:val="00265284"/>
    <w:rsid w:val="00265511"/>
    <w:rsid w:val="002657CC"/>
    <w:rsid w:val="00265DF3"/>
    <w:rsid w:val="002665C0"/>
    <w:rsid w:val="00266693"/>
    <w:rsid w:val="0026718D"/>
    <w:rsid w:val="002674B7"/>
    <w:rsid w:val="00267501"/>
    <w:rsid w:val="002675FB"/>
    <w:rsid w:val="00267E25"/>
    <w:rsid w:val="00270E68"/>
    <w:rsid w:val="0027244C"/>
    <w:rsid w:val="0027288D"/>
    <w:rsid w:val="00273850"/>
    <w:rsid w:val="0027398B"/>
    <w:rsid w:val="00273CEE"/>
    <w:rsid w:val="00274288"/>
    <w:rsid w:val="002756F1"/>
    <w:rsid w:val="00275D6E"/>
    <w:rsid w:val="00275DDE"/>
    <w:rsid w:val="00275EDC"/>
    <w:rsid w:val="00276785"/>
    <w:rsid w:val="00276B64"/>
    <w:rsid w:val="00276E7D"/>
    <w:rsid w:val="00277029"/>
    <w:rsid w:val="00277454"/>
    <w:rsid w:val="00277528"/>
    <w:rsid w:val="00277603"/>
    <w:rsid w:val="00277A09"/>
    <w:rsid w:val="00277A4A"/>
    <w:rsid w:val="00277C80"/>
    <w:rsid w:val="00277EB3"/>
    <w:rsid w:val="00277ED0"/>
    <w:rsid w:val="00277FA0"/>
    <w:rsid w:val="00277FA7"/>
    <w:rsid w:val="00280105"/>
    <w:rsid w:val="0028020D"/>
    <w:rsid w:val="002804DE"/>
    <w:rsid w:val="00280699"/>
    <w:rsid w:val="00280827"/>
    <w:rsid w:val="00281CD8"/>
    <w:rsid w:val="00281F2C"/>
    <w:rsid w:val="00283807"/>
    <w:rsid w:val="00283B85"/>
    <w:rsid w:val="00283F3F"/>
    <w:rsid w:val="00284737"/>
    <w:rsid w:val="002851CE"/>
    <w:rsid w:val="00285994"/>
    <w:rsid w:val="002859B9"/>
    <w:rsid w:val="00285F66"/>
    <w:rsid w:val="002860B7"/>
    <w:rsid w:val="002866D9"/>
    <w:rsid w:val="0028682B"/>
    <w:rsid w:val="00286B03"/>
    <w:rsid w:val="00286D8D"/>
    <w:rsid w:val="00286F97"/>
    <w:rsid w:val="0028739A"/>
    <w:rsid w:val="00287C76"/>
    <w:rsid w:val="00287CAA"/>
    <w:rsid w:val="002904FF"/>
    <w:rsid w:val="002909EC"/>
    <w:rsid w:val="00290CDC"/>
    <w:rsid w:val="002913AA"/>
    <w:rsid w:val="002913DF"/>
    <w:rsid w:val="0029157E"/>
    <w:rsid w:val="002917A9"/>
    <w:rsid w:val="00291DA3"/>
    <w:rsid w:val="00291EC2"/>
    <w:rsid w:val="0029207E"/>
    <w:rsid w:val="00292164"/>
    <w:rsid w:val="00292CD2"/>
    <w:rsid w:val="00292E71"/>
    <w:rsid w:val="00293112"/>
    <w:rsid w:val="00293C1A"/>
    <w:rsid w:val="0029447A"/>
    <w:rsid w:val="00294BDA"/>
    <w:rsid w:val="00294D20"/>
    <w:rsid w:val="00295152"/>
    <w:rsid w:val="002951F8"/>
    <w:rsid w:val="002956ED"/>
    <w:rsid w:val="00295902"/>
    <w:rsid w:val="00296890"/>
    <w:rsid w:val="00296E5B"/>
    <w:rsid w:val="00297920"/>
    <w:rsid w:val="002A00B5"/>
    <w:rsid w:val="002A017B"/>
    <w:rsid w:val="002A0483"/>
    <w:rsid w:val="002A0677"/>
    <w:rsid w:val="002A0CE5"/>
    <w:rsid w:val="002A12FD"/>
    <w:rsid w:val="002A191F"/>
    <w:rsid w:val="002A1A77"/>
    <w:rsid w:val="002A1ECE"/>
    <w:rsid w:val="002A20D7"/>
    <w:rsid w:val="002A23BA"/>
    <w:rsid w:val="002A282A"/>
    <w:rsid w:val="002A29D5"/>
    <w:rsid w:val="002A30E0"/>
    <w:rsid w:val="002A3C37"/>
    <w:rsid w:val="002A40B1"/>
    <w:rsid w:val="002A4738"/>
    <w:rsid w:val="002A4AE9"/>
    <w:rsid w:val="002A50A5"/>
    <w:rsid w:val="002A617B"/>
    <w:rsid w:val="002A6247"/>
    <w:rsid w:val="002A6288"/>
    <w:rsid w:val="002A6358"/>
    <w:rsid w:val="002A64EB"/>
    <w:rsid w:val="002A711E"/>
    <w:rsid w:val="002A72A8"/>
    <w:rsid w:val="002A7346"/>
    <w:rsid w:val="002A77DC"/>
    <w:rsid w:val="002A7B71"/>
    <w:rsid w:val="002A7BB1"/>
    <w:rsid w:val="002B022E"/>
    <w:rsid w:val="002B09A7"/>
    <w:rsid w:val="002B0C94"/>
    <w:rsid w:val="002B0CA2"/>
    <w:rsid w:val="002B0FA4"/>
    <w:rsid w:val="002B1421"/>
    <w:rsid w:val="002B1DB6"/>
    <w:rsid w:val="002B2097"/>
    <w:rsid w:val="002B285A"/>
    <w:rsid w:val="002B2953"/>
    <w:rsid w:val="002B2990"/>
    <w:rsid w:val="002B2F75"/>
    <w:rsid w:val="002B381B"/>
    <w:rsid w:val="002B390A"/>
    <w:rsid w:val="002B3CD7"/>
    <w:rsid w:val="002B41BB"/>
    <w:rsid w:val="002B4507"/>
    <w:rsid w:val="002B46DB"/>
    <w:rsid w:val="002B470D"/>
    <w:rsid w:val="002B4A6A"/>
    <w:rsid w:val="002B4C7B"/>
    <w:rsid w:val="002B54AB"/>
    <w:rsid w:val="002B55D0"/>
    <w:rsid w:val="002B56FC"/>
    <w:rsid w:val="002B5A94"/>
    <w:rsid w:val="002B5F49"/>
    <w:rsid w:val="002B5F4F"/>
    <w:rsid w:val="002B5F88"/>
    <w:rsid w:val="002B5FCD"/>
    <w:rsid w:val="002B6792"/>
    <w:rsid w:val="002B777A"/>
    <w:rsid w:val="002B7AD0"/>
    <w:rsid w:val="002C0F96"/>
    <w:rsid w:val="002C101E"/>
    <w:rsid w:val="002C1372"/>
    <w:rsid w:val="002C13CF"/>
    <w:rsid w:val="002C1BCB"/>
    <w:rsid w:val="002C1C03"/>
    <w:rsid w:val="002C1CFA"/>
    <w:rsid w:val="002C1DFA"/>
    <w:rsid w:val="002C22CC"/>
    <w:rsid w:val="002C231A"/>
    <w:rsid w:val="002C2703"/>
    <w:rsid w:val="002C2F0A"/>
    <w:rsid w:val="002C3082"/>
    <w:rsid w:val="002C32BB"/>
    <w:rsid w:val="002C3E01"/>
    <w:rsid w:val="002C4A60"/>
    <w:rsid w:val="002C4D28"/>
    <w:rsid w:val="002C5059"/>
    <w:rsid w:val="002C5574"/>
    <w:rsid w:val="002C5C1C"/>
    <w:rsid w:val="002C5F3A"/>
    <w:rsid w:val="002C658C"/>
    <w:rsid w:val="002C65EA"/>
    <w:rsid w:val="002C67A7"/>
    <w:rsid w:val="002C6AEF"/>
    <w:rsid w:val="002C7031"/>
    <w:rsid w:val="002C78B5"/>
    <w:rsid w:val="002C790C"/>
    <w:rsid w:val="002C7D5D"/>
    <w:rsid w:val="002D052C"/>
    <w:rsid w:val="002D06C2"/>
    <w:rsid w:val="002D06EF"/>
    <w:rsid w:val="002D0836"/>
    <w:rsid w:val="002D0ACF"/>
    <w:rsid w:val="002D0BE2"/>
    <w:rsid w:val="002D0CC6"/>
    <w:rsid w:val="002D13EB"/>
    <w:rsid w:val="002D155E"/>
    <w:rsid w:val="002D164B"/>
    <w:rsid w:val="002D17A8"/>
    <w:rsid w:val="002D1C24"/>
    <w:rsid w:val="002D1EEF"/>
    <w:rsid w:val="002D2315"/>
    <w:rsid w:val="002D2625"/>
    <w:rsid w:val="002D3359"/>
    <w:rsid w:val="002D33C9"/>
    <w:rsid w:val="002D372B"/>
    <w:rsid w:val="002D3767"/>
    <w:rsid w:val="002D37A1"/>
    <w:rsid w:val="002D42F8"/>
    <w:rsid w:val="002D44CE"/>
    <w:rsid w:val="002D4641"/>
    <w:rsid w:val="002D50E1"/>
    <w:rsid w:val="002D54AE"/>
    <w:rsid w:val="002D5A37"/>
    <w:rsid w:val="002D5E0E"/>
    <w:rsid w:val="002D5E5C"/>
    <w:rsid w:val="002D5F40"/>
    <w:rsid w:val="002D633A"/>
    <w:rsid w:val="002D6AB9"/>
    <w:rsid w:val="002D74AB"/>
    <w:rsid w:val="002D7E19"/>
    <w:rsid w:val="002D7ED3"/>
    <w:rsid w:val="002E016A"/>
    <w:rsid w:val="002E11DD"/>
    <w:rsid w:val="002E149F"/>
    <w:rsid w:val="002E1869"/>
    <w:rsid w:val="002E1C17"/>
    <w:rsid w:val="002E1CD4"/>
    <w:rsid w:val="002E1E66"/>
    <w:rsid w:val="002E20A6"/>
    <w:rsid w:val="002E2413"/>
    <w:rsid w:val="002E3698"/>
    <w:rsid w:val="002E3B6F"/>
    <w:rsid w:val="002E3FE0"/>
    <w:rsid w:val="002E41A5"/>
    <w:rsid w:val="002E4768"/>
    <w:rsid w:val="002E4983"/>
    <w:rsid w:val="002E5010"/>
    <w:rsid w:val="002E5596"/>
    <w:rsid w:val="002E5A0C"/>
    <w:rsid w:val="002E5C93"/>
    <w:rsid w:val="002E6205"/>
    <w:rsid w:val="002E6220"/>
    <w:rsid w:val="002E6318"/>
    <w:rsid w:val="002E6C63"/>
    <w:rsid w:val="002E7314"/>
    <w:rsid w:val="002E75F1"/>
    <w:rsid w:val="002E79F1"/>
    <w:rsid w:val="002E7B3E"/>
    <w:rsid w:val="002E7ECE"/>
    <w:rsid w:val="002F01CF"/>
    <w:rsid w:val="002F0531"/>
    <w:rsid w:val="002F0B0E"/>
    <w:rsid w:val="002F0B43"/>
    <w:rsid w:val="002F0BDE"/>
    <w:rsid w:val="002F0CDA"/>
    <w:rsid w:val="002F0EA6"/>
    <w:rsid w:val="002F0FF0"/>
    <w:rsid w:val="002F1334"/>
    <w:rsid w:val="002F149D"/>
    <w:rsid w:val="002F1565"/>
    <w:rsid w:val="002F20EA"/>
    <w:rsid w:val="002F247C"/>
    <w:rsid w:val="002F27F8"/>
    <w:rsid w:val="002F34D5"/>
    <w:rsid w:val="002F38AF"/>
    <w:rsid w:val="002F3BB0"/>
    <w:rsid w:val="002F40C7"/>
    <w:rsid w:val="002F436F"/>
    <w:rsid w:val="002F4559"/>
    <w:rsid w:val="002F4F06"/>
    <w:rsid w:val="002F500D"/>
    <w:rsid w:val="002F5551"/>
    <w:rsid w:val="002F5BB3"/>
    <w:rsid w:val="002F5E52"/>
    <w:rsid w:val="002F6133"/>
    <w:rsid w:val="002F63CD"/>
    <w:rsid w:val="002F67E3"/>
    <w:rsid w:val="002F6CC6"/>
    <w:rsid w:val="002F6D33"/>
    <w:rsid w:val="002F6FED"/>
    <w:rsid w:val="002F79EB"/>
    <w:rsid w:val="002F7C6C"/>
    <w:rsid w:val="002F7DE0"/>
    <w:rsid w:val="0030029C"/>
    <w:rsid w:val="0030144C"/>
    <w:rsid w:val="003014C6"/>
    <w:rsid w:val="00301706"/>
    <w:rsid w:val="00301724"/>
    <w:rsid w:val="00301748"/>
    <w:rsid w:val="00301791"/>
    <w:rsid w:val="00301A6D"/>
    <w:rsid w:val="003023FD"/>
    <w:rsid w:val="003029CA"/>
    <w:rsid w:val="0030329D"/>
    <w:rsid w:val="003037A3"/>
    <w:rsid w:val="00303912"/>
    <w:rsid w:val="00303D40"/>
    <w:rsid w:val="00303E73"/>
    <w:rsid w:val="00305013"/>
    <w:rsid w:val="00305498"/>
    <w:rsid w:val="00305E76"/>
    <w:rsid w:val="00306203"/>
    <w:rsid w:val="00306447"/>
    <w:rsid w:val="003070CF"/>
    <w:rsid w:val="003073B5"/>
    <w:rsid w:val="00307625"/>
    <w:rsid w:val="00307C5C"/>
    <w:rsid w:val="00307D2E"/>
    <w:rsid w:val="0031056F"/>
    <w:rsid w:val="00310844"/>
    <w:rsid w:val="00310909"/>
    <w:rsid w:val="00310A7F"/>
    <w:rsid w:val="00310CF0"/>
    <w:rsid w:val="00310FD5"/>
    <w:rsid w:val="003110F4"/>
    <w:rsid w:val="00311B49"/>
    <w:rsid w:val="00311E6E"/>
    <w:rsid w:val="00312352"/>
    <w:rsid w:val="00312702"/>
    <w:rsid w:val="00312716"/>
    <w:rsid w:val="0031274F"/>
    <w:rsid w:val="0031305D"/>
    <w:rsid w:val="003130A4"/>
    <w:rsid w:val="00313B3B"/>
    <w:rsid w:val="00314259"/>
    <w:rsid w:val="003142B6"/>
    <w:rsid w:val="003143ED"/>
    <w:rsid w:val="003147DC"/>
    <w:rsid w:val="003147F2"/>
    <w:rsid w:val="003153ED"/>
    <w:rsid w:val="003158A0"/>
    <w:rsid w:val="0031596F"/>
    <w:rsid w:val="00315E31"/>
    <w:rsid w:val="00316C72"/>
    <w:rsid w:val="003171B3"/>
    <w:rsid w:val="0031732A"/>
    <w:rsid w:val="00317491"/>
    <w:rsid w:val="00317913"/>
    <w:rsid w:val="00317A66"/>
    <w:rsid w:val="003200FF"/>
    <w:rsid w:val="00320100"/>
    <w:rsid w:val="0032016E"/>
    <w:rsid w:val="00320484"/>
    <w:rsid w:val="00320874"/>
    <w:rsid w:val="003209E9"/>
    <w:rsid w:val="00320B25"/>
    <w:rsid w:val="00320E89"/>
    <w:rsid w:val="00320EF6"/>
    <w:rsid w:val="0032116F"/>
    <w:rsid w:val="0032181E"/>
    <w:rsid w:val="00321C68"/>
    <w:rsid w:val="00322325"/>
    <w:rsid w:val="003223C4"/>
    <w:rsid w:val="00322B75"/>
    <w:rsid w:val="00322E23"/>
    <w:rsid w:val="00322FC5"/>
    <w:rsid w:val="00323050"/>
    <w:rsid w:val="00323053"/>
    <w:rsid w:val="003230AF"/>
    <w:rsid w:val="003234BA"/>
    <w:rsid w:val="00323BB7"/>
    <w:rsid w:val="00324534"/>
    <w:rsid w:val="00324909"/>
    <w:rsid w:val="00324ED6"/>
    <w:rsid w:val="00325225"/>
    <w:rsid w:val="00325413"/>
    <w:rsid w:val="00325701"/>
    <w:rsid w:val="003259D6"/>
    <w:rsid w:val="00325ADB"/>
    <w:rsid w:val="00325B65"/>
    <w:rsid w:val="00330608"/>
    <w:rsid w:val="00331104"/>
    <w:rsid w:val="00331107"/>
    <w:rsid w:val="0033111D"/>
    <w:rsid w:val="00331697"/>
    <w:rsid w:val="00331A44"/>
    <w:rsid w:val="00331AE6"/>
    <w:rsid w:val="00332512"/>
    <w:rsid w:val="003326E0"/>
    <w:rsid w:val="00332D35"/>
    <w:rsid w:val="00333431"/>
    <w:rsid w:val="00333673"/>
    <w:rsid w:val="00333785"/>
    <w:rsid w:val="00333B9B"/>
    <w:rsid w:val="00333CB5"/>
    <w:rsid w:val="00333CC3"/>
    <w:rsid w:val="003345B2"/>
    <w:rsid w:val="0033472E"/>
    <w:rsid w:val="00334812"/>
    <w:rsid w:val="00334988"/>
    <w:rsid w:val="00335694"/>
    <w:rsid w:val="00335AC3"/>
    <w:rsid w:val="00335E47"/>
    <w:rsid w:val="003360EF"/>
    <w:rsid w:val="00336AF8"/>
    <w:rsid w:val="00336D27"/>
    <w:rsid w:val="003379F0"/>
    <w:rsid w:val="003403CA"/>
    <w:rsid w:val="00340806"/>
    <w:rsid w:val="0034086E"/>
    <w:rsid w:val="00340A3C"/>
    <w:rsid w:val="00340AD1"/>
    <w:rsid w:val="00340CB0"/>
    <w:rsid w:val="00340F6E"/>
    <w:rsid w:val="00341529"/>
    <w:rsid w:val="00341E58"/>
    <w:rsid w:val="00341E68"/>
    <w:rsid w:val="00342035"/>
    <w:rsid w:val="0034272A"/>
    <w:rsid w:val="00342D82"/>
    <w:rsid w:val="003445DA"/>
    <w:rsid w:val="00344983"/>
    <w:rsid w:val="00344D00"/>
    <w:rsid w:val="00344D22"/>
    <w:rsid w:val="00344FF0"/>
    <w:rsid w:val="00345441"/>
    <w:rsid w:val="003454B9"/>
    <w:rsid w:val="00345722"/>
    <w:rsid w:val="00345823"/>
    <w:rsid w:val="00345B72"/>
    <w:rsid w:val="00345E32"/>
    <w:rsid w:val="00346157"/>
    <w:rsid w:val="00346316"/>
    <w:rsid w:val="0034668C"/>
    <w:rsid w:val="00346E01"/>
    <w:rsid w:val="003470D4"/>
    <w:rsid w:val="003479B7"/>
    <w:rsid w:val="00347DF2"/>
    <w:rsid w:val="00350212"/>
    <w:rsid w:val="00350705"/>
    <w:rsid w:val="00350D2A"/>
    <w:rsid w:val="003510D2"/>
    <w:rsid w:val="00351333"/>
    <w:rsid w:val="0035138B"/>
    <w:rsid w:val="00352238"/>
    <w:rsid w:val="00352402"/>
    <w:rsid w:val="00352550"/>
    <w:rsid w:val="00352633"/>
    <w:rsid w:val="00352F91"/>
    <w:rsid w:val="003534D2"/>
    <w:rsid w:val="00353D29"/>
    <w:rsid w:val="00353F0A"/>
    <w:rsid w:val="00354856"/>
    <w:rsid w:val="00354A58"/>
    <w:rsid w:val="00354C8A"/>
    <w:rsid w:val="00354C8F"/>
    <w:rsid w:val="00355442"/>
    <w:rsid w:val="00355A45"/>
    <w:rsid w:val="00356695"/>
    <w:rsid w:val="00356772"/>
    <w:rsid w:val="00356D6D"/>
    <w:rsid w:val="00356E62"/>
    <w:rsid w:val="00356E7E"/>
    <w:rsid w:val="0035733B"/>
    <w:rsid w:val="003575E7"/>
    <w:rsid w:val="00357A43"/>
    <w:rsid w:val="00357B38"/>
    <w:rsid w:val="003607DF"/>
    <w:rsid w:val="00360CC1"/>
    <w:rsid w:val="00360F21"/>
    <w:rsid w:val="00361742"/>
    <w:rsid w:val="003619B4"/>
    <w:rsid w:val="0036227E"/>
    <w:rsid w:val="003622D9"/>
    <w:rsid w:val="003626FF"/>
    <w:rsid w:val="00362724"/>
    <w:rsid w:val="00362838"/>
    <w:rsid w:val="003628E3"/>
    <w:rsid w:val="003629AF"/>
    <w:rsid w:val="00362A64"/>
    <w:rsid w:val="00363341"/>
    <w:rsid w:val="003634F7"/>
    <w:rsid w:val="00363A2A"/>
    <w:rsid w:val="00363AD0"/>
    <w:rsid w:val="00363C4B"/>
    <w:rsid w:val="00363EF1"/>
    <w:rsid w:val="003645F0"/>
    <w:rsid w:val="00364826"/>
    <w:rsid w:val="00364BF1"/>
    <w:rsid w:val="00365849"/>
    <w:rsid w:val="003659EE"/>
    <w:rsid w:val="00365EC3"/>
    <w:rsid w:val="00366381"/>
    <w:rsid w:val="003667C4"/>
    <w:rsid w:val="00366C29"/>
    <w:rsid w:val="00366F58"/>
    <w:rsid w:val="0036796B"/>
    <w:rsid w:val="003679B6"/>
    <w:rsid w:val="00367BB3"/>
    <w:rsid w:val="003703AB"/>
    <w:rsid w:val="003703BC"/>
    <w:rsid w:val="003704E5"/>
    <w:rsid w:val="0037091F"/>
    <w:rsid w:val="00371416"/>
    <w:rsid w:val="003715DC"/>
    <w:rsid w:val="0037185E"/>
    <w:rsid w:val="003719C4"/>
    <w:rsid w:val="00371B90"/>
    <w:rsid w:val="00371F22"/>
    <w:rsid w:val="0037216B"/>
    <w:rsid w:val="003721E8"/>
    <w:rsid w:val="00372519"/>
    <w:rsid w:val="00372811"/>
    <w:rsid w:val="0037291C"/>
    <w:rsid w:val="00372A07"/>
    <w:rsid w:val="00372D8F"/>
    <w:rsid w:val="00373649"/>
    <w:rsid w:val="00373692"/>
    <w:rsid w:val="0037612C"/>
    <w:rsid w:val="003761C5"/>
    <w:rsid w:val="003769C9"/>
    <w:rsid w:val="00377001"/>
    <w:rsid w:val="0037712A"/>
    <w:rsid w:val="00377790"/>
    <w:rsid w:val="00377AFE"/>
    <w:rsid w:val="0038071B"/>
    <w:rsid w:val="003808A9"/>
    <w:rsid w:val="00380E79"/>
    <w:rsid w:val="00381041"/>
    <w:rsid w:val="00381855"/>
    <w:rsid w:val="00381AB9"/>
    <w:rsid w:val="00381FFC"/>
    <w:rsid w:val="003820DF"/>
    <w:rsid w:val="0038213D"/>
    <w:rsid w:val="0038230F"/>
    <w:rsid w:val="003825AA"/>
    <w:rsid w:val="00382CB9"/>
    <w:rsid w:val="00382D46"/>
    <w:rsid w:val="00382D51"/>
    <w:rsid w:val="0038300A"/>
    <w:rsid w:val="00383B19"/>
    <w:rsid w:val="00383BDD"/>
    <w:rsid w:val="00383EEB"/>
    <w:rsid w:val="00384094"/>
    <w:rsid w:val="003840D4"/>
    <w:rsid w:val="003849C4"/>
    <w:rsid w:val="00384C46"/>
    <w:rsid w:val="00384C48"/>
    <w:rsid w:val="00384D99"/>
    <w:rsid w:val="00384F9B"/>
    <w:rsid w:val="003853CF"/>
    <w:rsid w:val="003855F0"/>
    <w:rsid w:val="00385843"/>
    <w:rsid w:val="00386007"/>
    <w:rsid w:val="0038655A"/>
    <w:rsid w:val="00386598"/>
    <w:rsid w:val="00386608"/>
    <w:rsid w:val="003870B8"/>
    <w:rsid w:val="0038738F"/>
    <w:rsid w:val="00387DF3"/>
    <w:rsid w:val="00390372"/>
    <w:rsid w:val="003912E0"/>
    <w:rsid w:val="00391BCE"/>
    <w:rsid w:val="00391D9F"/>
    <w:rsid w:val="003921C3"/>
    <w:rsid w:val="00392AF1"/>
    <w:rsid w:val="0039312D"/>
    <w:rsid w:val="00393771"/>
    <w:rsid w:val="00394190"/>
    <w:rsid w:val="003943FF"/>
    <w:rsid w:val="003945E1"/>
    <w:rsid w:val="00394A2C"/>
    <w:rsid w:val="00395215"/>
    <w:rsid w:val="00395970"/>
    <w:rsid w:val="003959CD"/>
    <w:rsid w:val="00395E37"/>
    <w:rsid w:val="00395EB2"/>
    <w:rsid w:val="003962FE"/>
    <w:rsid w:val="0039647B"/>
    <w:rsid w:val="0039666F"/>
    <w:rsid w:val="00396E0B"/>
    <w:rsid w:val="00396E4C"/>
    <w:rsid w:val="003970DC"/>
    <w:rsid w:val="0039711E"/>
    <w:rsid w:val="00397246"/>
    <w:rsid w:val="003973D3"/>
    <w:rsid w:val="00397416"/>
    <w:rsid w:val="003974E7"/>
    <w:rsid w:val="0039778E"/>
    <w:rsid w:val="003A0108"/>
    <w:rsid w:val="003A0F5C"/>
    <w:rsid w:val="003A10CF"/>
    <w:rsid w:val="003A121C"/>
    <w:rsid w:val="003A1315"/>
    <w:rsid w:val="003A17A1"/>
    <w:rsid w:val="003A188F"/>
    <w:rsid w:val="003A1D2E"/>
    <w:rsid w:val="003A1EF6"/>
    <w:rsid w:val="003A236D"/>
    <w:rsid w:val="003A2793"/>
    <w:rsid w:val="003A2AA7"/>
    <w:rsid w:val="003A2F43"/>
    <w:rsid w:val="003A38EF"/>
    <w:rsid w:val="003A3B8A"/>
    <w:rsid w:val="003A3F78"/>
    <w:rsid w:val="003A3FCC"/>
    <w:rsid w:val="003A404A"/>
    <w:rsid w:val="003A4332"/>
    <w:rsid w:val="003A455C"/>
    <w:rsid w:val="003A46EB"/>
    <w:rsid w:val="003A4C89"/>
    <w:rsid w:val="003A4E9A"/>
    <w:rsid w:val="003A5104"/>
    <w:rsid w:val="003A5324"/>
    <w:rsid w:val="003A5A6F"/>
    <w:rsid w:val="003A5ED9"/>
    <w:rsid w:val="003A60CC"/>
    <w:rsid w:val="003A60EF"/>
    <w:rsid w:val="003A6647"/>
    <w:rsid w:val="003A7428"/>
    <w:rsid w:val="003A764A"/>
    <w:rsid w:val="003B0146"/>
    <w:rsid w:val="003B095A"/>
    <w:rsid w:val="003B0E70"/>
    <w:rsid w:val="003B0EFC"/>
    <w:rsid w:val="003B0F5A"/>
    <w:rsid w:val="003B0FD9"/>
    <w:rsid w:val="003B10B9"/>
    <w:rsid w:val="003B10D2"/>
    <w:rsid w:val="003B1792"/>
    <w:rsid w:val="003B19FE"/>
    <w:rsid w:val="003B214A"/>
    <w:rsid w:val="003B2584"/>
    <w:rsid w:val="003B2BB8"/>
    <w:rsid w:val="003B3417"/>
    <w:rsid w:val="003B3898"/>
    <w:rsid w:val="003B3E88"/>
    <w:rsid w:val="003B3F1F"/>
    <w:rsid w:val="003B45B7"/>
    <w:rsid w:val="003B46DF"/>
    <w:rsid w:val="003B4D5A"/>
    <w:rsid w:val="003B5081"/>
    <w:rsid w:val="003B51F1"/>
    <w:rsid w:val="003B58C0"/>
    <w:rsid w:val="003B58EA"/>
    <w:rsid w:val="003B5996"/>
    <w:rsid w:val="003B5C1F"/>
    <w:rsid w:val="003B5EF7"/>
    <w:rsid w:val="003B637A"/>
    <w:rsid w:val="003B6681"/>
    <w:rsid w:val="003B66F0"/>
    <w:rsid w:val="003B68D6"/>
    <w:rsid w:val="003B6F62"/>
    <w:rsid w:val="003B7162"/>
    <w:rsid w:val="003B738A"/>
    <w:rsid w:val="003B73AF"/>
    <w:rsid w:val="003B7546"/>
    <w:rsid w:val="003B7F3B"/>
    <w:rsid w:val="003C082C"/>
    <w:rsid w:val="003C0D2D"/>
    <w:rsid w:val="003C0D70"/>
    <w:rsid w:val="003C0E7E"/>
    <w:rsid w:val="003C0FA5"/>
    <w:rsid w:val="003C138F"/>
    <w:rsid w:val="003C152A"/>
    <w:rsid w:val="003C1633"/>
    <w:rsid w:val="003C2BFF"/>
    <w:rsid w:val="003C3093"/>
    <w:rsid w:val="003C35AB"/>
    <w:rsid w:val="003C38A2"/>
    <w:rsid w:val="003C3A43"/>
    <w:rsid w:val="003C3ECB"/>
    <w:rsid w:val="003C4028"/>
    <w:rsid w:val="003C44B4"/>
    <w:rsid w:val="003C46C4"/>
    <w:rsid w:val="003C46E0"/>
    <w:rsid w:val="003C5023"/>
    <w:rsid w:val="003C52B2"/>
    <w:rsid w:val="003C55AC"/>
    <w:rsid w:val="003C5E66"/>
    <w:rsid w:val="003C6014"/>
    <w:rsid w:val="003C60AF"/>
    <w:rsid w:val="003C6380"/>
    <w:rsid w:val="003C66C6"/>
    <w:rsid w:val="003C67A0"/>
    <w:rsid w:val="003C68EE"/>
    <w:rsid w:val="003C6B64"/>
    <w:rsid w:val="003C6C6C"/>
    <w:rsid w:val="003C6D31"/>
    <w:rsid w:val="003C72B3"/>
    <w:rsid w:val="003C765E"/>
    <w:rsid w:val="003C7A7E"/>
    <w:rsid w:val="003C7B23"/>
    <w:rsid w:val="003C7BC4"/>
    <w:rsid w:val="003C7F2B"/>
    <w:rsid w:val="003D0007"/>
    <w:rsid w:val="003D0381"/>
    <w:rsid w:val="003D0455"/>
    <w:rsid w:val="003D048D"/>
    <w:rsid w:val="003D05A8"/>
    <w:rsid w:val="003D0701"/>
    <w:rsid w:val="003D092D"/>
    <w:rsid w:val="003D0DDB"/>
    <w:rsid w:val="003D1EA9"/>
    <w:rsid w:val="003D2C39"/>
    <w:rsid w:val="003D31CE"/>
    <w:rsid w:val="003D34FF"/>
    <w:rsid w:val="003D3B34"/>
    <w:rsid w:val="003D3B45"/>
    <w:rsid w:val="003D3E0C"/>
    <w:rsid w:val="003D4241"/>
    <w:rsid w:val="003D5115"/>
    <w:rsid w:val="003D5901"/>
    <w:rsid w:val="003D5A7F"/>
    <w:rsid w:val="003D60AC"/>
    <w:rsid w:val="003D6778"/>
    <w:rsid w:val="003D67F3"/>
    <w:rsid w:val="003D683E"/>
    <w:rsid w:val="003D6CC7"/>
    <w:rsid w:val="003D7129"/>
    <w:rsid w:val="003D724F"/>
    <w:rsid w:val="003D742B"/>
    <w:rsid w:val="003D7BD0"/>
    <w:rsid w:val="003D7DA6"/>
    <w:rsid w:val="003E011F"/>
    <w:rsid w:val="003E0361"/>
    <w:rsid w:val="003E0551"/>
    <w:rsid w:val="003E06DA"/>
    <w:rsid w:val="003E07DE"/>
    <w:rsid w:val="003E091E"/>
    <w:rsid w:val="003E0D3C"/>
    <w:rsid w:val="003E0F45"/>
    <w:rsid w:val="003E105A"/>
    <w:rsid w:val="003E10E6"/>
    <w:rsid w:val="003E10E7"/>
    <w:rsid w:val="003E1275"/>
    <w:rsid w:val="003E16D9"/>
    <w:rsid w:val="003E1D8C"/>
    <w:rsid w:val="003E1F75"/>
    <w:rsid w:val="003E1F9C"/>
    <w:rsid w:val="003E227D"/>
    <w:rsid w:val="003E2B7C"/>
    <w:rsid w:val="003E30F7"/>
    <w:rsid w:val="003E3201"/>
    <w:rsid w:val="003E3F19"/>
    <w:rsid w:val="003E3FD8"/>
    <w:rsid w:val="003E4083"/>
    <w:rsid w:val="003E4672"/>
    <w:rsid w:val="003E48D4"/>
    <w:rsid w:val="003E4A68"/>
    <w:rsid w:val="003E4B59"/>
    <w:rsid w:val="003E516A"/>
    <w:rsid w:val="003E5544"/>
    <w:rsid w:val="003E5A64"/>
    <w:rsid w:val="003E709E"/>
    <w:rsid w:val="003E740B"/>
    <w:rsid w:val="003E7C93"/>
    <w:rsid w:val="003E7EA8"/>
    <w:rsid w:val="003E7F51"/>
    <w:rsid w:val="003F064B"/>
    <w:rsid w:val="003F081B"/>
    <w:rsid w:val="003F09D9"/>
    <w:rsid w:val="003F0ADC"/>
    <w:rsid w:val="003F10C0"/>
    <w:rsid w:val="003F1B5F"/>
    <w:rsid w:val="003F20FB"/>
    <w:rsid w:val="003F22C2"/>
    <w:rsid w:val="003F2617"/>
    <w:rsid w:val="003F27E8"/>
    <w:rsid w:val="003F28F8"/>
    <w:rsid w:val="003F2919"/>
    <w:rsid w:val="003F2C68"/>
    <w:rsid w:val="003F2CF2"/>
    <w:rsid w:val="003F2DA2"/>
    <w:rsid w:val="003F3360"/>
    <w:rsid w:val="003F35B4"/>
    <w:rsid w:val="003F3DCD"/>
    <w:rsid w:val="003F4038"/>
    <w:rsid w:val="003F43C7"/>
    <w:rsid w:val="003F47AC"/>
    <w:rsid w:val="003F4C6A"/>
    <w:rsid w:val="003F53F7"/>
    <w:rsid w:val="003F5A24"/>
    <w:rsid w:val="003F6226"/>
    <w:rsid w:val="003F6ED7"/>
    <w:rsid w:val="003F7374"/>
    <w:rsid w:val="003F77BD"/>
    <w:rsid w:val="003F7B6F"/>
    <w:rsid w:val="00400476"/>
    <w:rsid w:val="00400592"/>
    <w:rsid w:val="0040062A"/>
    <w:rsid w:val="0040085E"/>
    <w:rsid w:val="00400DA4"/>
    <w:rsid w:val="00401666"/>
    <w:rsid w:val="00401F56"/>
    <w:rsid w:val="004020E2"/>
    <w:rsid w:val="0040226A"/>
    <w:rsid w:val="00402BD0"/>
    <w:rsid w:val="0040373E"/>
    <w:rsid w:val="004037AE"/>
    <w:rsid w:val="004039B2"/>
    <w:rsid w:val="00403ED8"/>
    <w:rsid w:val="00403F03"/>
    <w:rsid w:val="00404146"/>
    <w:rsid w:val="00404247"/>
    <w:rsid w:val="004042B2"/>
    <w:rsid w:val="0040468F"/>
    <w:rsid w:val="00404741"/>
    <w:rsid w:val="0040498F"/>
    <w:rsid w:val="0040527D"/>
    <w:rsid w:val="0040538A"/>
    <w:rsid w:val="0040582F"/>
    <w:rsid w:val="00405CA2"/>
    <w:rsid w:val="00405EDD"/>
    <w:rsid w:val="00405F3C"/>
    <w:rsid w:val="004061E1"/>
    <w:rsid w:val="004062DD"/>
    <w:rsid w:val="004068A9"/>
    <w:rsid w:val="00407159"/>
    <w:rsid w:val="004072E4"/>
    <w:rsid w:val="004074BC"/>
    <w:rsid w:val="00407713"/>
    <w:rsid w:val="004078D4"/>
    <w:rsid w:val="00407FB1"/>
    <w:rsid w:val="0041039F"/>
    <w:rsid w:val="00410402"/>
    <w:rsid w:val="00410692"/>
    <w:rsid w:val="00410844"/>
    <w:rsid w:val="00410A42"/>
    <w:rsid w:val="00411129"/>
    <w:rsid w:val="00411237"/>
    <w:rsid w:val="004113C7"/>
    <w:rsid w:val="00412B3E"/>
    <w:rsid w:val="00412C18"/>
    <w:rsid w:val="00412CC3"/>
    <w:rsid w:val="00413106"/>
    <w:rsid w:val="00413299"/>
    <w:rsid w:val="0041372A"/>
    <w:rsid w:val="004137E4"/>
    <w:rsid w:val="004146FD"/>
    <w:rsid w:val="00414AEA"/>
    <w:rsid w:val="00414B8D"/>
    <w:rsid w:val="00415245"/>
    <w:rsid w:val="004152B1"/>
    <w:rsid w:val="004152DB"/>
    <w:rsid w:val="00415371"/>
    <w:rsid w:val="004163E3"/>
    <w:rsid w:val="00416426"/>
    <w:rsid w:val="00416593"/>
    <w:rsid w:val="00416629"/>
    <w:rsid w:val="00416658"/>
    <w:rsid w:val="00416840"/>
    <w:rsid w:val="00416996"/>
    <w:rsid w:val="00416A0F"/>
    <w:rsid w:val="00416C25"/>
    <w:rsid w:val="00417360"/>
    <w:rsid w:val="00417737"/>
    <w:rsid w:val="00417D2C"/>
    <w:rsid w:val="00417E2C"/>
    <w:rsid w:val="004206CE"/>
    <w:rsid w:val="00420A4B"/>
    <w:rsid w:val="00420B15"/>
    <w:rsid w:val="00421216"/>
    <w:rsid w:val="0042201A"/>
    <w:rsid w:val="004227F7"/>
    <w:rsid w:val="004229F0"/>
    <w:rsid w:val="00422B75"/>
    <w:rsid w:val="00422F71"/>
    <w:rsid w:val="0042345B"/>
    <w:rsid w:val="00423953"/>
    <w:rsid w:val="0042397D"/>
    <w:rsid w:val="00423A14"/>
    <w:rsid w:val="00423D25"/>
    <w:rsid w:val="00424165"/>
    <w:rsid w:val="004242EF"/>
    <w:rsid w:val="00424417"/>
    <w:rsid w:val="00424972"/>
    <w:rsid w:val="004250E0"/>
    <w:rsid w:val="00425F84"/>
    <w:rsid w:val="004260E4"/>
    <w:rsid w:val="0042679E"/>
    <w:rsid w:val="004269D1"/>
    <w:rsid w:val="00426B65"/>
    <w:rsid w:val="00426DE7"/>
    <w:rsid w:val="00426EA8"/>
    <w:rsid w:val="004270B6"/>
    <w:rsid w:val="00427BBB"/>
    <w:rsid w:val="00427BC3"/>
    <w:rsid w:val="00427C6D"/>
    <w:rsid w:val="00430238"/>
    <w:rsid w:val="004302C5"/>
    <w:rsid w:val="00430696"/>
    <w:rsid w:val="004308E6"/>
    <w:rsid w:val="00430B0D"/>
    <w:rsid w:val="0043124C"/>
    <w:rsid w:val="004319A4"/>
    <w:rsid w:val="00431A21"/>
    <w:rsid w:val="00431D6F"/>
    <w:rsid w:val="00431F6B"/>
    <w:rsid w:val="00432338"/>
    <w:rsid w:val="004326B6"/>
    <w:rsid w:val="00432819"/>
    <w:rsid w:val="004328B7"/>
    <w:rsid w:val="0043341E"/>
    <w:rsid w:val="00434AB6"/>
    <w:rsid w:val="00434D6A"/>
    <w:rsid w:val="00434DAA"/>
    <w:rsid w:val="0043540D"/>
    <w:rsid w:val="0043542B"/>
    <w:rsid w:val="00435809"/>
    <w:rsid w:val="00435A76"/>
    <w:rsid w:val="00435CBA"/>
    <w:rsid w:val="00435D5C"/>
    <w:rsid w:val="004363E7"/>
    <w:rsid w:val="00436628"/>
    <w:rsid w:val="00436774"/>
    <w:rsid w:val="00436A7A"/>
    <w:rsid w:val="00436E40"/>
    <w:rsid w:val="00437293"/>
    <w:rsid w:val="004379B7"/>
    <w:rsid w:val="0044068D"/>
    <w:rsid w:val="00440C04"/>
    <w:rsid w:val="00440C8C"/>
    <w:rsid w:val="00440FA2"/>
    <w:rsid w:val="004417F5"/>
    <w:rsid w:val="00441A94"/>
    <w:rsid w:val="00442226"/>
    <w:rsid w:val="00442B80"/>
    <w:rsid w:val="0044311D"/>
    <w:rsid w:val="004435C3"/>
    <w:rsid w:val="00444115"/>
    <w:rsid w:val="00444242"/>
    <w:rsid w:val="004452C1"/>
    <w:rsid w:val="004459D4"/>
    <w:rsid w:val="00445C09"/>
    <w:rsid w:val="00446794"/>
    <w:rsid w:val="0044704B"/>
    <w:rsid w:val="004501B7"/>
    <w:rsid w:val="004506C7"/>
    <w:rsid w:val="004511D1"/>
    <w:rsid w:val="00452CEB"/>
    <w:rsid w:val="00452D86"/>
    <w:rsid w:val="00453598"/>
    <w:rsid w:val="00453999"/>
    <w:rsid w:val="00453ECF"/>
    <w:rsid w:val="0045453F"/>
    <w:rsid w:val="00456453"/>
    <w:rsid w:val="004566D6"/>
    <w:rsid w:val="004567ED"/>
    <w:rsid w:val="00456BE5"/>
    <w:rsid w:val="004575BF"/>
    <w:rsid w:val="004576CA"/>
    <w:rsid w:val="00457E41"/>
    <w:rsid w:val="004600A8"/>
    <w:rsid w:val="00460141"/>
    <w:rsid w:val="0046014A"/>
    <w:rsid w:val="00460742"/>
    <w:rsid w:val="0046085F"/>
    <w:rsid w:val="004608E5"/>
    <w:rsid w:val="00460DE2"/>
    <w:rsid w:val="0046102E"/>
    <w:rsid w:val="0046113B"/>
    <w:rsid w:val="004619A0"/>
    <w:rsid w:val="00461A39"/>
    <w:rsid w:val="00461ACA"/>
    <w:rsid w:val="00461F1F"/>
    <w:rsid w:val="00462051"/>
    <w:rsid w:val="004622BE"/>
    <w:rsid w:val="00462388"/>
    <w:rsid w:val="004623AB"/>
    <w:rsid w:val="00462874"/>
    <w:rsid w:val="00462B1D"/>
    <w:rsid w:val="004630D9"/>
    <w:rsid w:val="00463692"/>
    <w:rsid w:val="004639E7"/>
    <w:rsid w:val="00464040"/>
    <w:rsid w:val="004640C8"/>
    <w:rsid w:val="00464937"/>
    <w:rsid w:val="004653A1"/>
    <w:rsid w:val="00465581"/>
    <w:rsid w:val="00465E5E"/>
    <w:rsid w:val="00466168"/>
    <w:rsid w:val="004664DC"/>
    <w:rsid w:val="0046684D"/>
    <w:rsid w:val="00466A8D"/>
    <w:rsid w:val="00467EC9"/>
    <w:rsid w:val="004701CB"/>
    <w:rsid w:val="00470734"/>
    <w:rsid w:val="00470C87"/>
    <w:rsid w:val="00470DD0"/>
    <w:rsid w:val="0047141A"/>
    <w:rsid w:val="00471677"/>
    <w:rsid w:val="00472259"/>
    <w:rsid w:val="004724CA"/>
    <w:rsid w:val="004724E7"/>
    <w:rsid w:val="004727B0"/>
    <w:rsid w:val="00472AA6"/>
    <w:rsid w:val="00472AEF"/>
    <w:rsid w:val="00472E57"/>
    <w:rsid w:val="00473051"/>
    <w:rsid w:val="004735DE"/>
    <w:rsid w:val="00473C01"/>
    <w:rsid w:val="00474684"/>
    <w:rsid w:val="004746DD"/>
    <w:rsid w:val="004758D6"/>
    <w:rsid w:val="00475CDD"/>
    <w:rsid w:val="00476488"/>
    <w:rsid w:val="00476525"/>
    <w:rsid w:val="004765DD"/>
    <w:rsid w:val="00477708"/>
    <w:rsid w:val="004777D3"/>
    <w:rsid w:val="00477B79"/>
    <w:rsid w:val="00477F6A"/>
    <w:rsid w:val="0048002C"/>
    <w:rsid w:val="004807BA"/>
    <w:rsid w:val="004807F6"/>
    <w:rsid w:val="004808A2"/>
    <w:rsid w:val="004809FB"/>
    <w:rsid w:val="00481083"/>
    <w:rsid w:val="00481250"/>
    <w:rsid w:val="004817EA"/>
    <w:rsid w:val="0048189C"/>
    <w:rsid w:val="00481C6D"/>
    <w:rsid w:val="00481FA2"/>
    <w:rsid w:val="00482C77"/>
    <w:rsid w:val="00483326"/>
    <w:rsid w:val="004834EA"/>
    <w:rsid w:val="00483730"/>
    <w:rsid w:val="00484388"/>
    <w:rsid w:val="00484AE6"/>
    <w:rsid w:val="00484BB0"/>
    <w:rsid w:val="00485387"/>
    <w:rsid w:val="00485BB1"/>
    <w:rsid w:val="004861C3"/>
    <w:rsid w:val="0048659E"/>
    <w:rsid w:val="00486845"/>
    <w:rsid w:val="00486E63"/>
    <w:rsid w:val="00486EEE"/>
    <w:rsid w:val="004876FD"/>
    <w:rsid w:val="004879DF"/>
    <w:rsid w:val="00487ACB"/>
    <w:rsid w:val="00487DDE"/>
    <w:rsid w:val="0049038D"/>
    <w:rsid w:val="004909AD"/>
    <w:rsid w:val="004909BD"/>
    <w:rsid w:val="00491916"/>
    <w:rsid w:val="00491B01"/>
    <w:rsid w:val="00491D9A"/>
    <w:rsid w:val="0049295B"/>
    <w:rsid w:val="00493615"/>
    <w:rsid w:val="00493EA4"/>
    <w:rsid w:val="00493EAF"/>
    <w:rsid w:val="00493F79"/>
    <w:rsid w:val="0049455A"/>
    <w:rsid w:val="0049478F"/>
    <w:rsid w:val="0049485C"/>
    <w:rsid w:val="00494B55"/>
    <w:rsid w:val="00494CAD"/>
    <w:rsid w:val="00494F4A"/>
    <w:rsid w:val="00495553"/>
    <w:rsid w:val="00495E4D"/>
    <w:rsid w:val="00496200"/>
    <w:rsid w:val="004962A5"/>
    <w:rsid w:val="004962AA"/>
    <w:rsid w:val="004964F9"/>
    <w:rsid w:val="00496817"/>
    <w:rsid w:val="00496912"/>
    <w:rsid w:val="00496923"/>
    <w:rsid w:val="00497820"/>
    <w:rsid w:val="00497933"/>
    <w:rsid w:val="00497EFB"/>
    <w:rsid w:val="004A004E"/>
    <w:rsid w:val="004A0BBA"/>
    <w:rsid w:val="004A0CFC"/>
    <w:rsid w:val="004A0D9A"/>
    <w:rsid w:val="004A0EC9"/>
    <w:rsid w:val="004A0F70"/>
    <w:rsid w:val="004A12A3"/>
    <w:rsid w:val="004A2972"/>
    <w:rsid w:val="004A377C"/>
    <w:rsid w:val="004A391F"/>
    <w:rsid w:val="004A3A76"/>
    <w:rsid w:val="004A3E79"/>
    <w:rsid w:val="004A42C4"/>
    <w:rsid w:val="004A42EB"/>
    <w:rsid w:val="004A42F4"/>
    <w:rsid w:val="004A48F0"/>
    <w:rsid w:val="004A4B6F"/>
    <w:rsid w:val="004A4EAA"/>
    <w:rsid w:val="004A50F4"/>
    <w:rsid w:val="004A5376"/>
    <w:rsid w:val="004A548D"/>
    <w:rsid w:val="004A688B"/>
    <w:rsid w:val="004A6D92"/>
    <w:rsid w:val="004A7064"/>
    <w:rsid w:val="004A7A9F"/>
    <w:rsid w:val="004A7D99"/>
    <w:rsid w:val="004B0328"/>
    <w:rsid w:val="004B076D"/>
    <w:rsid w:val="004B090E"/>
    <w:rsid w:val="004B0D8C"/>
    <w:rsid w:val="004B1525"/>
    <w:rsid w:val="004B1F34"/>
    <w:rsid w:val="004B20A5"/>
    <w:rsid w:val="004B23E0"/>
    <w:rsid w:val="004B2696"/>
    <w:rsid w:val="004B26DE"/>
    <w:rsid w:val="004B2B62"/>
    <w:rsid w:val="004B31F3"/>
    <w:rsid w:val="004B3211"/>
    <w:rsid w:val="004B337A"/>
    <w:rsid w:val="004B37BA"/>
    <w:rsid w:val="004B4141"/>
    <w:rsid w:val="004B4518"/>
    <w:rsid w:val="004B4A34"/>
    <w:rsid w:val="004B4CCA"/>
    <w:rsid w:val="004B4EB4"/>
    <w:rsid w:val="004B4F98"/>
    <w:rsid w:val="004B504F"/>
    <w:rsid w:val="004B54CA"/>
    <w:rsid w:val="004B5517"/>
    <w:rsid w:val="004B5CD1"/>
    <w:rsid w:val="004B5E30"/>
    <w:rsid w:val="004B6102"/>
    <w:rsid w:val="004B77F5"/>
    <w:rsid w:val="004B79CA"/>
    <w:rsid w:val="004B7A72"/>
    <w:rsid w:val="004B7AF1"/>
    <w:rsid w:val="004B7E64"/>
    <w:rsid w:val="004C0254"/>
    <w:rsid w:val="004C0E3B"/>
    <w:rsid w:val="004C0FF9"/>
    <w:rsid w:val="004C10AA"/>
    <w:rsid w:val="004C11F8"/>
    <w:rsid w:val="004C163A"/>
    <w:rsid w:val="004C1960"/>
    <w:rsid w:val="004C1AAA"/>
    <w:rsid w:val="004C1E83"/>
    <w:rsid w:val="004C1F10"/>
    <w:rsid w:val="004C21CF"/>
    <w:rsid w:val="004C2842"/>
    <w:rsid w:val="004C2D9C"/>
    <w:rsid w:val="004C3600"/>
    <w:rsid w:val="004C37CC"/>
    <w:rsid w:val="004C3A86"/>
    <w:rsid w:val="004C3A89"/>
    <w:rsid w:val="004C3AF3"/>
    <w:rsid w:val="004C3BC7"/>
    <w:rsid w:val="004C3F75"/>
    <w:rsid w:val="004C416E"/>
    <w:rsid w:val="004C451A"/>
    <w:rsid w:val="004C46CF"/>
    <w:rsid w:val="004C4719"/>
    <w:rsid w:val="004C4883"/>
    <w:rsid w:val="004C50EC"/>
    <w:rsid w:val="004C5379"/>
    <w:rsid w:val="004C54BD"/>
    <w:rsid w:val="004C5638"/>
    <w:rsid w:val="004C58D7"/>
    <w:rsid w:val="004C5E53"/>
    <w:rsid w:val="004C5E74"/>
    <w:rsid w:val="004C663A"/>
    <w:rsid w:val="004C6759"/>
    <w:rsid w:val="004C69B5"/>
    <w:rsid w:val="004C7017"/>
    <w:rsid w:val="004C7362"/>
    <w:rsid w:val="004C759C"/>
    <w:rsid w:val="004D055A"/>
    <w:rsid w:val="004D0677"/>
    <w:rsid w:val="004D0C52"/>
    <w:rsid w:val="004D0E5F"/>
    <w:rsid w:val="004D1BDE"/>
    <w:rsid w:val="004D2012"/>
    <w:rsid w:val="004D2091"/>
    <w:rsid w:val="004D27E6"/>
    <w:rsid w:val="004D2B00"/>
    <w:rsid w:val="004D2E42"/>
    <w:rsid w:val="004D32B5"/>
    <w:rsid w:val="004D361E"/>
    <w:rsid w:val="004D36F7"/>
    <w:rsid w:val="004D4D88"/>
    <w:rsid w:val="004D52A7"/>
    <w:rsid w:val="004D618A"/>
    <w:rsid w:val="004D6D39"/>
    <w:rsid w:val="004D6FB6"/>
    <w:rsid w:val="004D749A"/>
    <w:rsid w:val="004D7AD8"/>
    <w:rsid w:val="004D7F55"/>
    <w:rsid w:val="004E00E0"/>
    <w:rsid w:val="004E0338"/>
    <w:rsid w:val="004E06A5"/>
    <w:rsid w:val="004E08AA"/>
    <w:rsid w:val="004E08E1"/>
    <w:rsid w:val="004E0A94"/>
    <w:rsid w:val="004E0CBE"/>
    <w:rsid w:val="004E1864"/>
    <w:rsid w:val="004E18E6"/>
    <w:rsid w:val="004E1E58"/>
    <w:rsid w:val="004E1FCF"/>
    <w:rsid w:val="004E21AF"/>
    <w:rsid w:val="004E23C7"/>
    <w:rsid w:val="004E294D"/>
    <w:rsid w:val="004E2A24"/>
    <w:rsid w:val="004E3086"/>
    <w:rsid w:val="004E309D"/>
    <w:rsid w:val="004E315E"/>
    <w:rsid w:val="004E3179"/>
    <w:rsid w:val="004E3405"/>
    <w:rsid w:val="004E382B"/>
    <w:rsid w:val="004E453B"/>
    <w:rsid w:val="004E461E"/>
    <w:rsid w:val="004E4DD4"/>
    <w:rsid w:val="004E57B1"/>
    <w:rsid w:val="004E5C7A"/>
    <w:rsid w:val="004E5CB4"/>
    <w:rsid w:val="004E5CBF"/>
    <w:rsid w:val="004E63EB"/>
    <w:rsid w:val="004E6409"/>
    <w:rsid w:val="004E6DFB"/>
    <w:rsid w:val="004E6F87"/>
    <w:rsid w:val="004E72AB"/>
    <w:rsid w:val="004E74F4"/>
    <w:rsid w:val="004E794E"/>
    <w:rsid w:val="004E7AA0"/>
    <w:rsid w:val="004E7AC9"/>
    <w:rsid w:val="004F0179"/>
    <w:rsid w:val="004F1040"/>
    <w:rsid w:val="004F16ED"/>
    <w:rsid w:val="004F29CA"/>
    <w:rsid w:val="004F3C4C"/>
    <w:rsid w:val="004F3C6E"/>
    <w:rsid w:val="004F3DA0"/>
    <w:rsid w:val="004F423B"/>
    <w:rsid w:val="004F436A"/>
    <w:rsid w:val="004F4919"/>
    <w:rsid w:val="004F4E1C"/>
    <w:rsid w:val="004F5405"/>
    <w:rsid w:val="004F582E"/>
    <w:rsid w:val="004F5EEF"/>
    <w:rsid w:val="004F60BF"/>
    <w:rsid w:val="004F6D02"/>
    <w:rsid w:val="004F7A67"/>
    <w:rsid w:val="004F7AEA"/>
    <w:rsid w:val="004F7D12"/>
    <w:rsid w:val="00500475"/>
    <w:rsid w:val="00500516"/>
    <w:rsid w:val="00500659"/>
    <w:rsid w:val="005008D2"/>
    <w:rsid w:val="00500ABE"/>
    <w:rsid w:val="00501040"/>
    <w:rsid w:val="0050188B"/>
    <w:rsid w:val="00501B69"/>
    <w:rsid w:val="00501E11"/>
    <w:rsid w:val="00502004"/>
    <w:rsid w:val="005020B7"/>
    <w:rsid w:val="00502136"/>
    <w:rsid w:val="005024DC"/>
    <w:rsid w:val="0050282B"/>
    <w:rsid w:val="00502A07"/>
    <w:rsid w:val="00502AE5"/>
    <w:rsid w:val="00502C56"/>
    <w:rsid w:val="00502D57"/>
    <w:rsid w:val="00502F04"/>
    <w:rsid w:val="0050303D"/>
    <w:rsid w:val="005036C0"/>
    <w:rsid w:val="005037FA"/>
    <w:rsid w:val="00503B34"/>
    <w:rsid w:val="0050410A"/>
    <w:rsid w:val="0050449C"/>
    <w:rsid w:val="0050450D"/>
    <w:rsid w:val="005046E7"/>
    <w:rsid w:val="0050477A"/>
    <w:rsid w:val="00504C45"/>
    <w:rsid w:val="00504F8D"/>
    <w:rsid w:val="005059CF"/>
    <w:rsid w:val="00505E1D"/>
    <w:rsid w:val="005061BC"/>
    <w:rsid w:val="00506536"/>
    <w:rsid w:val="005069E6"/>
    <w:rsid w:val="00506A11"/>
    <w:rsid w:val="0050726F"/>
    <w:rsid w:val="00507520"/>
    <w:rsid w:val="00507AEA"/>
    <w:rsid w:val="00507BBC"/>
    <w:rsid w:val="00510038"/>
    <w:rsid w:val="005100C7"/>
    <w:rsid w:val="0051079D"/>
    <w:rsid w:val="00511465"/>
    <w:rsid w:val="005115FF"/>
    <w:rsid w:val="005117D5"/>
    <w:rsid w:val="00511943"/>
    <w:rsid w:val="00511D8A"/>
    <w:rsid w:val="00511E46"/>
    <w:rsid w:val="00511E5D"/>
    <w:rsid w:val="005121F8"/>
    <w:rsid w:val="0051256F"/>
    <w:rsid w:val="00512628"/>
    <w:rsid w:val="0051263B"/>
    <w:rsid w:val="005129F9"/>
    <w:rsid w:val="00512CBB"/>
    <w:rsid w:val="00513011"/>
    <w:rsid w:val="0051347D"/>
    <w:rsid w:val="00513DCF"/>
    <w:rsid w:val="00513F75"/>
    <w:rsid w:val="005145ED"/>
    <w:rsid w:val="00514CAC"/>
    <w:rsid w:val="0051546B"/>
    <w:rsid w:val="005158CF"/>
    <w:rsid w:val="005158DE"/>
    <w:rsid w:val="00515AB6"/>
    <w:rsid w:val="005168E9"/>
    <w:rsid w:val="00517F8E"/>
    <w:rsid w:val="00520DE5"/>
    <w:rsid w:val="00520FAB"/>
    <w:rsid w:val="00521615"/>
    <w:rsid w:val="00521BBD"/>
    <w:rsid w:val="00522186"/>
    <w:rsid w:val="00522673"/>
    <w:rsid w:val="00522831"/>
    <w:rsid w:val="00522B99"/>
    <w:rsid w:val="00522E6E"/>
    <w:rsid w:val="00523580"/>
    <w:rsid w:val="005235BF"/>
    <w:rsid w:val="0052370F"/>
    <w:rsid w:val="00523714"/>
    <w:rsid w:val="005239A1"/>
    <w:rsid w:val="00524802"/>
    <w:rsid w:val="005253B3"/>
    <w:rsid w:val="005254A8"/>
    <w:rsid w:val="005259C3"/>
    <w:rsid w:val="00525CD9"/>
    <w:rsid w:val="005262BC"/>
    <w:rsid w:val="005269E6"/>
    <w:rsid w:val="00526C0B"/>
    <w:rsid w:val="00526CB0"/>
    <w:rsid w:val="00526FB6"/>
    <w:rsid w:val="005275B4"/>
    <w:rsid w:val="00527F88"/>
    <w:rsid w:val="00530986"/>
    <w:rsid w:val="00530E81"/>
    <w:rsid w:val="005311B5"/>
    <w:rsid w:val="005311C2"/>
    <w:rsid w:val="00531591"/>
    <w:rsid w:val="00531C15"/>
    <w:rsid w:val="00531E4B"/>
    <w:rsid w:val="00531F1E"/>
    <w:rsid w:val="005329E5"/>
    <w:rsid w:val="00532B1F"/>
    <w:rsid w:val="00532D62"/>
    <w:rsid w:val="005332B6"/>
    <w:rsid w:val="0053338D"/>
    <w:rsid w:val="0053396C"/>
    <w:rsid w:val="00533C16"/>
    <w:rsid w:val="00534431"/>
    <w:rsid w:val="005348D8"/>
    <w:rsid w:val="005349B4"/>
    <w:rsid w:val="005351B1"/>
    <w:rsid w:val="00535478"/>
    <w:rsid w:val="00535BD7"/>
    <w:rsid w:val="00535FFB"/>
    <w:rsid w:val="0053619B"/>
    <w:rsid w:val="00536513"/>
    <w:rsid w:val="00536BEB"/>
    <w:rsid w:val="00536F48"/>
    <w:rsid w:val="0053770B"/>
    <w:rsid w:val="0053780A"/>
    <w:rsid w:val="00537A29"/>
    <w:rsid w:val="00537CBB"/>
    <w:rsid w:val="005407C2"/>
    <w:rsid w:val="00540BD9"/>
    <w:rsid w:val="00540EFD"/>
    <w:rsid w:val="00540F67"/>
    <w:rsid w:val="005419B6"/>
    <w:rsid w:val="00541FCB"/>
    <w:rsid w:val="00542236"/>
    <w:rsid w:val="00543BD6"/>
    <w:rsid w:val="00543FD8"/>
    <w:rsid w:val="0054425A"/>
    <w:rsid w:val="0054436B"/>
    <w:rsid w:val="00544599"/>
    <w:rsid w:val="005451AE"/>
    <w:rsid w:val="005451DB"/>
    <w:rsid w:val="005457BE"/>
    <w:rsid w:val="005458E3"/>
    <w:rsid w:val="00545932"/>
    <w:rsid w:val="00545D91"/>
    <w:rsid w:val="00545E67"/>
    <w:rsid w:val="0054636F"/>
    <w:rsid w:val="0054649D"/>
    <w:rsid w:val="00546AB1"/>
    <w:rsid w:val="00546D63"/>
    <w:rsid w:val="005477E0"/>
    <w:rsid w:val="005477E7"/>
    <w:rsid w:val="005479F3"/>
    <w:rsid w:val="00547E04"/>
    <w:rsid w:val="00547E60"/>
    <w:rsid w:val="00550A11"/>
    <w:rsid w:val="00550AFF"/>
    <w:rsid w:val="00551486"/>
    <w:rsid w:val="00551581"/>
    <w:rsid w:val="005523E7"/>
    <w:rsid w:val="00553144"/>
    <w:rsid w:val="0055320B"/>
    <w:rsid w:val="00553326"/>
    <w:rsid w:val="00553629"/>
    <w:rsid w:val="005536E5"/>
    <w:rsid w:val="00553776"/>
    <w:rsid w:val="005538B8"/>
    <w:rsid w:val="0055394B"/>
    <w:rsid w:val="0055492D"/>
    <w:rsid w:val="00554ABE"/>
    <w:rsid w:val="00554AD2"/>
    <w:rsid w:val="00555497"/>
    <w:rsid w:val="00555A41"/>
    <w:rsid w:val="00555FC0"/>
    <w:rsid w:val="0055724D"/>
    <w:rsid w:val="0055735F"/>
    <w:rsid w:val="00557BF6"/>
    <w:rsid w:val="00557CEA"/>
    <w:rsid w:val="00557FBB"/>
    <w:rsid w:val="00560074"/>
    <w:rsid w:val="00560B8E"/>
    <w:rsid w:val="00561752"/>
    <w:rsid w:val="00561ECD"/>
    <w:rsid w:val="00562D8C"/>
    <w:rsid w:val="0056307D"/>
    <w:rsid w:val="00563243"/>
    <w:rsid w:val="005635E7"/>
    <w:rsid w:val="00563929"/>
    <w:rsid w:val="00563A2A"/>
    <w:rsid w:val="0056445C"/>
    <w:rsid w:val="00564639"/>
    <w:rsid w:val="00564AE2"/>
    <w:rsid w:val="00564B1B"/>
    <w:rsid w:val="00565121"/>
    <w:rsid w:val="0056575B"/>
    <w:rsid w:val="00565E2C"/>
    <w:rsid w:val="00565F45"/>
    <w:rsid w:val="00566097"/>
    <w:rsid w:val="005661D3"/>
    <w:rsid w:val="00567043"/>
    <w:rsid w:val="00567AEE"/>
    <w:rsid w:val="00567E90"/>
    <w:rsid w:val="00567F8A"/>
    <w:rsid w:val="00570199"/>
    <w:rsid w:val="00570781"/>
    <w:rsid w:val="005707B6"/>
    <w:rsid w:val="00570994"/>
    <w:rsid w:val="00570A06"/>
    <w:rsid w:val="00570CEB"/>
    <w:rsid w:val="00570F75"/>
    <w:rsid w:val="00570FBC"/>
    <w:rsid w:val="005717E9"/>
    <w:rsid w:val="0057255F"/>
    <w:rsid w:val="0057276F"/>
    <w:rsid w:val="00572E4D"/>
    <w:rsid w:val="005733CD"/>
    <w:rsid w:val="00573814"/>
    <w:rsid w:val="005738FD"/>
    <w:rsid w:val="00573D0A"/>
    <w:rsid w:val="00574025"/>
    <w:rsid w:val="00574D04"/>
    <w:rsid w:val="00574D35"/>
    <w:rsid w:val="00575372"/>
    <w:rsid w:val="005756BA"/>
    <w:rsid w:val="00575CC7"/>
    <w:rsid w:val="00575F57"/>
    <w:rsid w:val="005760F4"/>
    <w:rsid w:val="00576162"/>
    <w:rsid w:val="0057780E"/>
    <w:rsid w:val="005778F8"/>
    <w:rsid w:val="00577DC5"/>
    <w:rsid w:val="0058066C"/>
    <w:rsid w:val="00580716"/>
    <w:rsid w:val="00580720"/>
    <w:rsid w:val="00580878"/>
    <w:rsid w:val="005808CD"/>
    <w:rsid w:val="0058090F"/>
    <w:rsid w:val="00580A77"/>
    <w:rsid w:val="00580AE6"/>
    <w:rsid w:val="00580D76"/>
    <w:rsid w:val="00580F3A"/>
    <w:rsid w:val="00580F7B"/>
    <w:rsid w:val="00581519"/>
    <w:rsid w:val="00581714"/>
    <w:rsid w:val="00581BFE"/>
    <w:rsid w:val="00581CA0"/>
    <w:rsid w:val="00581EB2"/>
    <w:rsid w:val="00581F35"/>
    <w:rsid w:val="005820CE"/>
    <w:rsid w:val="00582246"/>
    <w:rsid w:val="0058246B"/>
    <w:rsid w:val="005824A7"/>
    <w:rsid w:val="005825E0"/>
    <w:rsid w:val="005827F9"/>
    <w:rsid w:val="00582A6B"/>
    <w:rsid w:val="00582AC8"/>
    <w:rsid w:val="00582DE5"/>
    <w:rsid w:val="00582F78"/>
    <w:rsid w:val="00583A24"/>
    <w:rsid w:val="00583D15"/>
    <w:rsid w:val="00584117"/>
    <w:rsid w:val="0058416D"/>
    <w:rsid w:val="00584171"/>
    <w:rsid w:val="00584197"/>
    <w:rsid w:val="005845BE"/>
    <w:rsid w:val="005845E2"/>
    <w:rsid w:val="005849E9"/>
    <w:rsid w:val="00584D32"/>
    <w:rsid w:val="00585413"/>
    <w:rsid w:val="00585455"/>
    <w:rsid w:val="0058584D"/>
    <w:rsid w:val="0058599E"/>
    <w:rsid w:val="005864D0"/>
    <w:rsid w:val="00586847"/>
    <w:rsid w:val="0058696A"/>
    <w:rsid w:val="00586B2A"/>
    <w:rsid w:val="00586BC4"/>
    <w:rsid w:val="00587658"/>
    <w:rsid w:val="00587B66"/>
    <w:rsid w:val="00590A7A"/>
    <w:rsid w:val="0059107C"/>
    <w:rsid w:val="0059118F"/>
    <w:rsid w:val="00591372"/>
    <w:rsid w:val="00591587"/>
    <w:rsid w:val="005925E8"/>
    <w:rsid w:val="00592871"/>
    <w:rsid w:val="0059298F"/>
    <w:rsid w:val="00592B61"/>
    <w:rsid w:val="005930AE"/>
    <w:rsid w:val="00593846"/>
    <w:rsid w:val="005938B8"/>
    <w:rsid w:val="00593C73"/>
    <w:rsid w:val="0059418A"/>
    <w:rsid w:val="0059426B"/>
    <w:rsid w:val="0059428D"/>
    <w:rsid w:val="005943E5"/>
    <w:rsid w:val="00594958"/>
    <w:rsid w:val="00594A5E"/>
    <w:rsid w:val="005957FF"/>
    <w:rsid w:val="00595D1D"/>
    <w:rsid w:val="00595D6A"/>
    <w:rsid w:val="00595DB6"/>
    <w:rsid w:val="00596161"/>
    <w:rsid w:val="00596283"/>
    <w:rsid w:val="00596D57"/>
    <w:rsid w:val="00597131"/>
    <w:rsid w:val="005977E2"/>
    <w:rsid w:val="00597DFA"/>
    <w:rsid w:val="00597E74"/>
    <w:rsid w:val="00597E9D"/>
    <w:rsid w:val="00597F02"/>
    <w:rsid w:val="005A018D"/>
    <w:rsid w:val="005A044B"/>
    <w:rsid w:val="005A0CC6"/>
    <w:rsid w:val="005A0E44"/>
    <w:rsid w:val="005A0EA4"/>
    <w:rsid w:val="005A12F5"/>
    <w:rsid w:val="005A1743"/>
    <w:rsid w:val="005A17A2"/>
    <w:rsid w:val="005A1FC4"/>
    <w:rsid w:val="005A324A"/>
    <w:rsid w:val="005A3270"/>
    <w:rsid w:val="005A3D3C"/>
    <w:rsid w:val="005A418B"/>
    <w:rsid w:val="005A4359"/>
    <w:rsid w:val="005A4448"/>
    <w:rsid w:val="005A4A26"/>
    <w:rsid w:val="005A4D67"/>
    <w:rsid w:val="005A4D71"/>
    <w:rsid w:val="005A5041"/>
    <w:rsid w:val="005A543F"/>
    <w:rsid w:val="005A57E8"/>
    <w:rsid w:val="005A60D5"/>
    <w:rsid w:val="005A621E"/>
    <w:rsid w:val="005A6312"/>
    <w:rsid w:val="005A633A"/>
    <w:rsid w:val="005A6F3E"/>
    <w:rsid w:val="005A78CA"/>
    <w:rsid w:val="005A7B19"/>
    <w:rsid w:val="005A7B97"/>
    <w:rsid w:val="005A7D71"/>
    <w:rsid w:val="005A7DB7"/>
    <w:rsid w:val="005A7E4C"/>
    <w:rsid w:val="005A7FE1"/>
    <w:rsid w:val="005B04E3"/>
    <w:rsid w:val="005B0E01"/>
    <w:rsid w:val="005B146D"/>
    <w:rsid w:val="005B147E"/>
    <w:rsid w:val="005B1660"/>
    <w:rsid w:val="005B20D6"/>
    <w:rsid w:val="005B2414"/>
    <w:rsid w:val="005B25C8"/>
    <w:rsid w:val="005B28AC"/>
    <w:rsid w:val="005B2CCE"/>
    <w:rsid w:val="005B3249"/>
    <w:rsid w:val="005B343D"/>
    <w:rsid w:val="005B3452"/>
    <w:rsid w:val="005B3885"/>
    <w:rsid w:val="005B3996"/>
    <w:rsid w:val="005B3CE8"/>
    <w:rsid w:val="005B3DF2"/>
    <w:rsid w:val="005B3E37"/>
    <w:rsid w:val="005B4D19"/>
    <w:rsid w:val="005B4E7C"/>
    <w:rsid w:val="005B6635"/>
    <w:rsid w:val="005B6949"/>
    <w:rsid w:val="005B6BD2"/>
    <w:rsid w:val="005B6D7F"/>
    <w:rsid w:val="005B70BB"/>
    <w:rsid w:val="005B70CB"/>
    <w:rsid w:val="005B7278"/>
    <w:rsid w:val="005B7A5D"/>
    <w:rsid w:val="005B7E73"/>
    <w:rsid w:val="005C00C4"/>
    <w:rsid w:val="005C0D4A"/>
    <w:rsid w:val="005C18DA"/>
    <w:rsid w:val="005C1FC1"/>
    <w:rsid w:val="005C2608"/>
    <w:rsid w:val="005C2766"/>
    <w:rsid w:val="005C327E"/>
    <w:rsid w:val="005C353F"/>
    <w:rsid w:val="005C3770"/>
    <w:rsid w:val="005C3AA9"/>
    <w:rsid w:val="005C3E0D"/>
    <w:rsid w:val="005C4A29"/>
    <w:rsid w:val="005C4B62"/>
    <w:rsid w:val="005C5573"/>
    <w:rsid w:val="005C5F86"/>
    <w:rsid w:val="005C61C9"/>
    <w:rsid w:val="005C6222"/>
    <w:rsid w:val="005C650F"/>
    <w:rsid w:val="005C66A6"/>
    <w:rsid w:val="005C676C"/>
    <w:rsid w:val="005C6A24"/>
    <w:rsid w:val="005C70D3"/>
    <w:rsid w:val="005C74C2"/>
    <w:rsid w:val="005C79BB"/>
    <w:rsid w:val="005C7D4D"/>
    <w:rsid w:val="005D0408"/>
    <w:rsid w:val="005D0681"/>
    <w:rsid w:val="005D0723"/>
    <w:rsid w:val="005D0781"/>
    <w:rsid w:val="005D0BFC"/>
    <w:rsid w:val="005D0CB0"/>
    <w:rsid w:val="005D1575"/>
    <w:rsid w:val="005D174E"/>
    <w:rsid w:val="005D1D06"/>
    <w:rsid w:val="005D1FA1"/>
    <w:rsid w:val="005D2679"/>
    <w:rsid w:val="005D2E86"/>
    <w:rsid w:val="005D313D"/>
    <w:rsid w:val="005D3362"/>
    <w:rsid w:val="005D3539"/>
    <w:rsid w:val="005D368A"/>
    <w:rsid w:val="005D4370"/>
    <w:rsid w:val="005D446B"/>
    <w:rsid w:val="005D454A"/>
    <w:rsid w:val="005D489B"/>
    <w:rsid w:val="005D4BA9"/>
    <w:rsid w:val="005D55F8"/>
    <w:rsid w:val="005D56AF"/>
    <w:rsid w:val="005D5C7E"/>
    <w:rsid w:val="005D6822"/>
    <w:rsid w:val="005D6F35"/>
    <w:rsid w:val="005D7753"/>
    <w:rsid w:val="005D7FCD"/>
    <w:rsid w:val="005E06FA"/>
    <w:rsid w:val="005E0950"/>
    <w:rsid w:val="005E0C2B"/>
    <w:rsid w:val="005E1140"/>
    <w:rsid w:val="005E1371"/>
    <w:rsid w:val="005E146D"/>
    <w:rsid w:val="005E2A3B"/>
    <w:rsid w:val="005E2F2D"/>
    <w:rsid w:val="005E2FFB"/>
    <w:rsid w:val="005E4757"/>
    <w:rsid w:val="005E4A3F"/>
    <w:rsid w:val="005E5143"/>
    <w:rsid w:val="005E522C"/>
    <w:rsid w:val="005E5757"/>
    <w:rsid w:val="005E6041"/>
    <w:rsid w:val="005E61E0"/>
    <w:rsid w:val="005E6BCF"/>
    <w:rsid w:val="005E6DC7"/>
    <w:rsid w:val="005E7299"/>
    <w:rsid w:val="005E75AC"/>
    <w:rsid w:val="005E78E4"/>
    <w:rsid w:val="005E7C06"/>
    <w:rsid w:val="005F04A3"/>
    <w:rsid w:val="005F08A0"/>
    <w:rsid w:val="005F0BA6"/>
    <w:rsid w:val="005F0BCF"/>
    <w:rsid w:val="005F0F9A"/>
    <w:rsid w:val="005F144F"/>
    <w:rsid w:val="005F1E0F"/>
    <w:rsid w:val="005F1FA0"/>
    <w:rsid w:val="005F2525"/>
    <w:rsid w:val="005F2654"/>
    <w:rsid w:val="005F2A04"/>
    <w:rsid w:val="005F2AEA"/>
    <w:rsid w:val="005F3133"/>
    <w:rsid w:val="005F3635"/>
    <w:rsid w:val="005F3761"/>
    <w:rsid w:val="005F3858"/>
    <w:rsid w:val="005F4111"/>
    <w:rsid w:val="005F4313"/>
    <w:rsid w:val="005F447E"/>
    <w:rsid w:val="005F458A"/>
    <w:rsid w:val="005F4922"/>
    <w:rsid w:val="005F4A19"/>
    <w:rsid w:val="005F4A91"/>
    <w:rsid w:val="005F4AE0"/>
    <w:rsid w:val="005F4B8C"/>
    <w:rsid w:val="005F59C4"/>
    <w:rsid w:val="005F59ED"/>
    <w:rsid w:val="005F5CE9"/>
    <w:rsid w:val="005F5DFE"/>
    <w:rsid w:val="005F5E3F"/>
    <w:rsid w:val="005F6042"/>
    <w:rsid w:val="005F666C"/>
    <w:rsid w:val="005F6685"/>
    <w:rsid w:val="005F670F"/>
    <w:rsid w:val="005F68F7"/>
    <w:rsid w:val="005F6B30"/>
    <w:rsid w:val="005F6DE8"/>
    <w:rsid w:val="005F7135"/>
    <w:rsid w:val="005F715D"/>
    <w:rsid w:val="005F7192"/>
    <w:rsid w:val="005F77F6"/>
    <w:rsid w:val="005F7AE8"/>
    <w:rsid w:val="00600974"/>
    <w:rsid w:val="00600A8D"/>
    <w:rsid w:val="00601262"/>
    <w:rsid w:val="0060173C"/>
    <w:rsid w:val="00601DC0"/>
    <w:rsid w:val="006022FE"/>
    <w:rsid w:val="0060280C"/>
    <w:rsid w:val="00602C42"/>
    <w:rsid w:val="0060311A"/>
    <w:rsid w:val="006037E0"/>
    <w:rsid w:val="00605267"/>
    <w:rsid w:val="0060527D"/>
    <w:rsid w:val="00605706"/>
    <w:rsid w:val="00605A44"/>
    <w:rsid w:val="00605C2F"/>
    <w:rsid w:val="00605DFD"/>
    <w:rsid w:val="00605F8D"/>
    <w:rsid w:val="00606E14"/>
    <w:rsid w:val="00606ECE"/>
    <w:rsid w:val="00606F56"/>
    <w:rsid w:val="006106C5"/>
    <w:rsid w:val="006107B2"/>
    <w:rsid w:val="006110D1"/>
    <w:rsid w:val="006110EE"/>
    <w:rsid w:val="00611492"/>
    <w:rsid w:val="006115FB"/>
    <w:rsid w:val="00611BF9"/>
    <w:rsid w:val="00611CA4"/>
    <w:rsid w:val="0061229C"/>
    <w:rsid w:val="00612419"/>
    <w:rsid w:val="006141A5"/>
    <w:rsid w:val="006146C2"/>
    <w:rsid w:val="00614E86"/>
    <w:rsid w:val="00614FB8"/>
    <w:rsid w:val="00615126"/>
    <w:rsid w:val="0061512E"/>
    <w:rsid w:val="0061541C"/>
    <w:rsid w:val="00616251"/>
    <w:rsid w:val="00616705"/>
    <w:rsid w:val="00617090"/>
    <w:rsid w:val="006170FC"/>
    <w:rsid w:val="006172A4"/>
    <w:rsid w:val="0061757F"/>
    <w:rsid w:val="0061795C"/>
    <w:rsid w:val="00617C0A"/>
    <w:rsid w:val="00620149"/>
    <w:rsid w:val="00620292"/>
    <w:rsid w:val="0062066B"/>
    <w:rsid w:val="00620749"/>
    <w:rsid w:val="00620955"/>
    <w:rsid w:val="006210B6"/>
    <w:rsid w:val="00621266"/>
    <w:rsid w:val="006213FC"/>
    <w:rsid w:val="00621531"/>
    <w:rsid w:val="00621AE9"/>
    <w:rsid w:val="00621B89"/>
    <w:rsid w:val="006226CD"/>
    <w:rsid w:val="00622838"/>
    <w:rsid w:val="006228C2"/>
    <w:rsid w:val="006233AB"/>
    <w:rsid w:val="00623468"/>
    <w:rsid w:val="006237B6"/>
    <w:rsid w:val="00623836"/>
    <w:rsid w:val="00623A3D"/>
    <w:rsid w:val="00623AE6"/>
    <w:rsid w:val="00623CFD"/>
    <w:rsid w:val="00624B5C"/>
    <w:rsid w:val="00624D7A"/>
    <w:rsid w:val="00625751"/>
    <w:rsid w:val="0062581D"/>
    <w:rsid w:val="0062639D"/>
    <w:rsid w:val="00626BAA"/>
    <w:rsid w:val="00627005"/>
    <w:rsid w:val="0062792C"/>
    <w:rsid w:val="00627E51"/>
    <w:rsid w:val="00627F9E"/>
    <w:rsid w:val="00630078"/>
    <w:rsid w:val="0063029B"/>
    <w:rsid w:val="006305C2"/>
    <w:rsid w:val="006309C7"/>
    <w:rsid w:val="00630E64"/>
    <w:rsid w:val="00630F5B"/>
    <w:rsid w:val="0063111F"/>
    <w:rsid w:val="0063131B"/>
    <w:rsid w:val="00631321"/>
    <w:rsid w:val="0063178A"/>
    <w:rsid w:val="00631825"/>
    <w:rsid w:val="00631D43"/>
    <w:rsid w:val="0063226A"/>
    <w:rsid w:val="006325A2"/>
    <w:rsid w:val="00632AD7"/>
    <w:rsid w:val="00633058"/>
    <w:rsid w:val="00633338"/>
    <w:rsid w:val="00633EA1"/>
    <w:rsid w:val="00635D94"/>
    <w:rsid w:val="00635F82"/>
    <w:rsid w:val="006365BC"/>
    <w:rsid w:val="00636618"/>
    <w:rsid w:val="00636691"/>
    <w:rsid w:val="00636CEF"/>
    <w:rsid w:val="00637351"/>
    <w:rsid w:val="0063775B"/>
    <w:rsid w:val="00637D5C"/>
    <w:rsid w:val="00640010"/>
    <w:rsid w:val="006406AC"/>
    <w:rsid w:val="00641449"/>
    <w:rsid w:val="00641A02"/>
    <w:rsid w:val="00641FAF"/>
    <w:rsid w:val="006420F9"/>
    <w:rsid w:val="00642C82"/>
    <w:rsid w:val="00642D09"/>
    <w:rsid w:val="00643873"/>
    <w:rsid w:val="00643E70"/>
    <w:rsid w:val="00643EC0"/>
    <w:rsid w:val="00643F63"/>
    <w:rsid w:val="00644262"/>
    <w:rsid w:val="00644394"/>
    <w:rsid w:val="0064456D"/>
    <w:rsid w:val="0064476F"/>
    <w:rsid w:val="006448E3"/>
    <w:rsid w:val="00644E1F"/>
    <w:rsid w:val="00645007"/>
    <w:rsid w:val="006453A0"/>
    <w:rsid w:val="0064570F"/>
    <w:rsid w:val="0064582A"/>
    <w:rsid w:val="00645F3F"/>
    <w:rsid w:val="00646289"/>
    <w:rsid w:val="006463E8"/>
    <w:rsid w:val="00646A82"/>
    <w:rsid w:val="00646C3F"/>
    <w:rsid w:val="00646D93"/>
    <w:rsid w:val="0064750B"/>
    <w:rsid w:val="006502AA"/>
    <w:rsid w:val="006502FB"/>
    <w:rsid w:val="006504F3"/>
    <w:rsid w:val="006504FB"/>
    <w:rsid w:val="006507B2"/>
    <w:rsid w:val="00650C5C"/>
    <w:rsid w:val="0065116D"/>
    <w:rsid w:val="00651251"/>
    <w:rsid w:val="006512A9"/>
    <w:rsid w:val="0065134E"/>
    <w:rsid w:val="0065159C"/>
    <w:rsid w:val="00651EDB"/>
    <w:rsid w:val="00652396"/>
    <w:rsid w:val="00652543"/>
    <w:rsid w:val="006525BA"/>
    <w:rsid w:val="00652601"/>
    <w:rsid w:val="006528EF"/>
    <w:rsid w:val="00652A58"/>
    <w:rsid w:val="00652FDD"/>
    <w:rsid w:val="00653249"/>
    <w:rsid w:val="00653349"/>
    <w:rsid w:val="00653478"/>
    <w:rsid w:val="00653C96"/>
    <w:rsid w:val="006549D7"/>
    <w:rsid w:val="00654C9D"/>
    <w:rsid w:val="0065504C"/>
    <w:rsid w:val="0065518A"/>
    <w:rsid w:val="006552D9"/>
    <w:rsid w:val="006554AE"/>
    <w:rsid w:val="006555F8"/>
    <w:rsid w:val="006557B9"/>
    <w:rsid w:val="00655C2E"/>
    <w:rsid w:val="00655CF9"/>
    <w:rsid w:val="00655DAA"/>
    <w:rsid w:val="006566AD"/>
    <w:rsid w:val="00656CEF"/>
    <w:rsid w:val="00657055"/>
    <w:rsid w:val="00657064"/>
    <w:rsid w:val="0065762A"/>
    <w:rsid w:val="00657B12"/>
    <w:rsid w:val="00657DCE"/>
    <w:rsid w:val="00660150"/>
    <w:rsid w:val="006604ED"/>
    <w:rsid w:val="00660FA4"/>
    <w:rsid w:val="00660FE2"/>
    <w:rsid w:val="0066110B"/>
    <w:rsid w:val="00661456"/>
    <w:rsid w:val="00661466"/>
    <w:rsid w:val="0066162A"/>
    <w:rsid w:val="00661DDB"/>
    <w:rsid w:val="006621D4"/>
    <w:rsid w:val="00662673"/>
    <w:rsid w:val="006627C8"/>
    <w:rsid w:val="00662AF0"/>
    <w:rsid w:val="00662FFB"/>
    <w:rsid w:val="00663020"/>
    <w:rsid w:val="00663135"/>
    <w:rsid w:val="006632A4"/>
    <w:rsid w:val="00663372"/>
    <w:rsid w:val="00663691"/>
    <w:rsid w:val="00663878"/>
    <w:rsid w:val="00663E4D"/>
    <w:rsid w:val="00663F34"/>
    <w:rsid w:val="006640AB"/>
    <w:rsid w:val="00664733"/>
    <w:rsid w:val="006648FD"/>
    <w:rsid w:val="00664CDA"/>
    <w:rsid w:val="00664CFE"/>
    <w:rsid w:val="00664E61"/>
    <w:rsid w:val="00664F2F"/>
    <w:rsid w:val="006651A4"/>
    <w:rsid w:val="006657E8"/>
    <w:rsid w:val="00665871"/>
    <w:rsid w:val="00665A92"/>
    <w:rsid w:val="00665BDB"/>
    <w:rsid w:val="00665C2B"/>
    <w:rsid w:val="00666BD6"/>
    <w:rsid w:val="00666E0D"/>
    <w:rsid w:val="006670F2"/>
    <w:rsid w:val="00667B2F"/>
    <w:rsid w:val="00667C34"/>
    <w:rsid w:val="00667D3A"/>
    <w:rsid w:val="006700A4"/>
    <w:rsid w:val="006700C9"/>
    <w:rsid w:val="00671B1B"/>
    <w:rsid w:val="00671B77"/>
    <w:rsid w:val="00671EC2"/>
    <w:rsid w:val="00671FAA"/>
    <w:rsid w:val="006722D4"/>
    <w:rsid w:val="00672FF3"/>
    <w:rsid w:val="00673202"/>
    <w:rsid w:val="006734BF"/>
    <w:rsid w:val="006739EF"/>
    <w:rsid w:val="00673CBA"/>
    <w:rsid w:val="00673D3E"/>
    <w:rsid w:val="00674333"/>
    <w:rsid w:val="00674715"/>
    <w:rsid w:val="0067480D"/>
    <w:rsid w:val="00675AC1"/>
    <w:rsid w:val="0067607D"/>
    <w:rsid w:val="006763B9"/>
    <w:rsid w:val="0067658E"/>
    <w:rsid w:val="006765CB"/>
    <w:rsid w:val="006765FF"/>
    <w:rsid w:val="00676A79"/>
    <w:rsid w:val="00676C57"/>
    <w:rsid w:val="00677140"/>
    <w:rsid w:val="006774A9"/>
    <w:rsid w:val="006776A4"/>
    <w:rsid w:val="0067783A"/>
    <w:rsid w:val="006801A0"/>
    <w:rsid w:val="0068078F"/>
    <w:rsid w:val="00680FB9"/>
    <w:rsid w:val="0068119A"/>
    <w:rsid w:val="00681404"/>
    <w:rsid w:val="006815D6"/>
    <w:rsid w:val="006817B3"/>
    <w:rsid w:val="00681C67"/>
    <w:rsid w:val="00682324"/>
    <w:rsid w:val="00682885"/>
    <w:rsid w:val="00682EF2"/>
    <w:rsid w:val="00683056"/>
    <w:rsid w:val="006832D7"/>
    <w:rsid w:val="00683992"/>
    <w:rsid w:val="00683AE3"/>
    <w:rsid w:val="00684361"/>
    <w:rsid w:val="006843D9"/>
    <w:rsid w:val="00684412"/>
    <w:rsid w:val="006847D7"/>
    <w:rsid w:val="00684880"/>
    <w:rsid w:val="0068522B"/>
    <w:rsid w:val="00685ACA"/>
    <w:rsid w:val="00685CDB"/>
    <w:rsid w:val="00685F41"/>
    <w:rsid w:val="00686221"/>
    <w:rsid w:val="0068626B"/>
    <w:rsid w:val="0068652A"/>
    <w:rsid w:val="00686F15"/>
    <w:rsid w:val="00687638"/>
    <w:rsid w:val="0068765A"/>
    <w:rsid w:val="006877F5"/>
    <w:rsid w:val="00687D16"/>
    <w:rsid w:val="00687E08"/>
    <w:rsid w:val="00690094"/>
    <w:rsid w:val="0069077C"/>
    <w:rsid w:val="00690885"/>
    <w:rsid w:val="006908B4"/>
    <w:rsid w:val="006912E0"/>
    <w:rsid w:val="00691525"/>
    <w:rsid w:val="00691B00"/>
    <w:rsid w:val="00691C5D"/>
    <w:rsid w:val="00691DBC"/>
    <w:rsid w:val="00692C15"/>
    <w:rsid w:val="00692C25"/>
    <w:rsid w:val="0069308D"/>
    <w:rsid w:val="00693438"/>
    <w:rsid w:val="00693DB4"/>
    <w:rsid w:val="00693E95"/>
    <w:rsid w:val="00693EE2"/>
    <w:rsid w:val="006945EA"/>
    <w:rsid w:val="0069482B"/>
    <w:rsid w:val="00694F45"/>
    <w:rsid w:val="006954B6"/>
    <w:rsid w:val="00695DB9"/>
    <w:rsid w:val="0069615B"/>
    <w:rsid w:val="0069688D"/>
    <w:rsid w:val="00696ABD"/>
    <w:rsid w:val="00696E40"/>
    <w:rsid w:val="006970FC"/>
    <w:rsid w:val="00697700"/>
    <w:rsid w:val="006A0121"/>
    <w:rsid w:val="006A0175"/>
    <w:rsid w:val="006A0812"/>
    <w:rsid w:val="006A1317"/>
    <w:rsid w:val="006A14E4"/>
    <w:rsid w:val="006A1BA3"/>
    <w:rsid w:val="006A2DBD"/>
    <w:rsid w:val="006A373F"/>
    <w:rsid w:val="006A40AD"/>
    <w:rsid w:val="006A44D4"/>
    <w:rsid w:val="006A45B5"/>
    <w:rsid w:val="006A4728"/>
    <w:rsid w:val="006A4B9B"/>
    <w:rsid w:val="006A4CE7"/>
    <w:rsid w:val="006A5181"/>
    <w:rsid w:val="006A55A0"/>
    <w:rsid w:val="006A563A"/>
    <w:rsid w:val="006A5C9A"/>
    <w:rsid w:val="006A6195"/>
    <w:rsid w:val="006A681C"/>
    <w:rsid w:val="006A7479"/>
    <w:rsid w:val="006A75AD"/>
    <w:rsid w:val="006A7C1C"/>
    <w:rsid w:val="006A7F62"/>
    <w:rsid w:val="006B0930"/>
    <w:rsid w:val="006B11C1"/>
    <w:rsid w:val="006B154B"/>
    <w:rsid w:val="006B16D7"/>
    <w:rsid w:val="006B23EB"/>
    <w:rsid w:val="006B2746"/>
    <w:rsid w:val="006B291C"/>
    <w:rsid w:val="006B2953"/>
    <w:rsid w:val="006B2C94"/>
    <w:rsid w:val="006B309B"/>
    <w:rsid w:val="006B35C8"/>
    <w:rsid w:val="006B3D21"/>
    <w:rsid w:val="006B3E81"/>
    <w:rsid w:val="006B42B4"/>
    <w:rsid w:val="006B44B9"/>
    <w:rsid w:val="006B46BC"/>
    <w:rsid w:val="006B4BD1"/>
    <w:rsid w:val="006B4C78"/>
    <w:rsid w:val="006B5129"/>
    <w:rsid w:val="006B5BA3"/>
    <w:rsid w:val="006B64AF"/>
    <w:rsid w:val="006B698E"/>
    <w:rsid w:val="006B6B55"/>
    <w:rsid w:val="006B6D0B"/>
    <w:rsid w:val="006B7319"/>
    <w:rsid w:val="006C03F2"/>
    <w:rsid w:val="006C056B"/>
    <w:rsid w:val="006C087E"/>
    <w:rsid w:val="006C0B5B"/>
    <w:rsid w:val="006C1A28"/>
    <w:rsid w:val="006C1BEB"/>
    <w:rsid w:val="006C1FBF"/>
    <w:rsid w:val="006C1FD4"/>
    <w:rsid w:val="006C227B"/>
    <w:rsid w:val="006C28F0"/>
    <w:rsid w:val="006C3293"/>
    <w:rsid w:val="006C445F"/>
    <w:rsid w:val="006C4758"/>
    <w:rsid w:val="006C591A"/>
    <w:rsid w:val="006C5C18"/>
    <w:rsid w:val="006C627C"/>
    <w:rsid w:val="006C63B7"/>
    <w:rsid w:val="006C63BE"/>
    <w:rsid w:val="006C6483"/>
    <w:rsid w:val="006C6A01"/>
    <w:rsid w:val="006C6DCE"/>
    <w:rsid w:val="006C6EF3"/>
    <w:rsid w:val="006C7470"/>
    <w:rsid w:val="006C749A"/>
    <w:rsid w:val="006C776C"/>
    <w:rsid w:val="006D018E"/>
    <w:rsid w:val="006D01D0"/>
    <w:rsid w:val="006D07DF"/>
    <w:rsid w:val="006D0D0C"/>
    <w:rsid w:val="006D0DBF"/>
    <w:rsid w:val="006D108B"/>
    <w:rsid w:val="006D14F3"/>
    <w:rsid w:val="006D169F"/>
    <w:rsid w:val="006D16E4"/>
    <w:rsid w:val="006D1ACD"/>
    <w:rsid w:val="006D1BFC"/>
    <w:rsid w:val="006D1C32"/>
    <w:rsid w:val="006D1CC6"/>
    <w:rsid w:val="006D1F0B"/>
    <w:rsid w:val="006D202B"/>
    <w:rsid w:val="006D267D"/>
    <w:rsid w:val="006D2835"/>
    <w:rsid w:val="006D2C20"/>
    <w:rsid w:val="006D30E4"/>
    <w:rsid w:val="006D3631"/>
    <w:rsid w:val="006D43DA"/>
    <w:rsid w:val="006D4A36"/>
    <w:rsid w:val="006D562C"/>
    <w:rsid w:val="006D5CA4"/>
    <w:rsid w:val="006D5D8D"/>
    <w:rsid w:val="006D5DD5"/>
    <w:rsid w:val="006D65AE"/>
    <w:rsid w:val="006D661C"/>
    <w:rsid w:val="006D68F8"/>
    <w:rsid w:val="006D6A7B"/>
    <w:rsid w:val="006D6ADF"/>
    <w:rsid w:val="006D6FFA"/>
    <w:rsid w:val="006D76D4"/>
    <w:rsid w:val="006D7ADB"/>
    <w:rsid w:val="006D7C6F"/>
    <w:rsid w:val="006D7D61"/>
    <w:rsid w:val="006E088B"/>
    <w:rsid w:val="006E0B80"/>
    <w:rsid w:val="006E0C07"/>
    <w:rsid w:val="006E0E0A"/>
    <w:rsid w:val="006E1240"/>
    <w:rsid w:val="006E1A86"/>
    <w:rsid w:val="006E204B"/>
    <w:rsid w:val="006E2B87"/>
    <w:rsid w:val="006E301B"/>
    <w:rsid w:val="006E3488"/>
    <w:rsid w:val="006E3A8E"/>
    <w:rsid w:val="006E3CD1"/>
    <w:rsid w:val="006E3D09"/>
    <w:rsid w:val="006E4F25"/>
    <w:rsid w:val="006E4F6F"/>
    <w:rsid w:val="006E53C7"/>
    <w:rsid w:val="006E5A29"/>
    <w:rsid w:val="006E60AA"/>
    <w:rsid w:val="006E684F"/>
    <w:rsid w:val="006E6C1B"/>
    <w:rsid w:val="006E7537"/>
    <w:rsid w:val="006E754F"/>
    <w:rsid w:val="006E761C"/>
    <w:rsid w:val="006E776D"/>
    <w:rsid w:val="006E77DA"/>
    <w:rsid w:val="006E7B36"/>
    <w:rsid w:val="006F089C"/>
    <w:rsid w:val="006F108D"/>
    <w:rsid w:val="006F11CD"/>
    <w:rsid w:val="006F1264"/>
    <w:rsid w:val="006F15F5"/>
    <w:rsid w:val="006F1CB3"/>
    <w:rsid w:val="006F28B8"/>
    <w:rsid w:val="006F2D00"/>
    <w:rsid w:val="006F3756"/>
    <w:rsid w:val="006F3CB1"/>
    <w:rsid w:val="006F3D87"/>
    <w:rsid w:val="006F3E4F"/>
    <w:rsid w:val="006F4010"/>
    <w:rsid w:val="006F46E8"/>
    <w:rsid w:val="006F47BA"/>
    <w:rsid w:val="006F4C88"/>
    <w:rsid w:val="006F51CE"/>
    <w:rsid w:val="006F570C"/>
    <w:rsid w:val="006F5818"/>
    <w:rsid w:val="006F5C10"/>
    <w:rsid w:val="006F6AEC"/>
    <w:rsid w:val="006F6EC0"/>
    <w:rsid w:val="006F7586"/>
    <w:rsid w:val="006F7892"/>
    <w:rsid w:val="006F7ED5"/>
    <w:rsid w:val="0070035B"/>
    <w:rsid w:val="00700472"/>
    <w:rsid w:val="00700586"/>
    <w:rsid w:val="007005E1"/>
    <w:rsid w:val="00700C51"/>
    <w:rsid w:val="00700E90"/>
    <w:rsid w:val="00700EE4"/>
    <w:rsid w:val="00700F83"/>
    <w:rsid w:val="00701CAD"/>
    <w:rsid w:val="00702331"/>
    <w:rsid w:val="00702574"/>
    <w:rsid w:val="0070322A"/>
    <w:rsid w:val="0070324D"/>
    <w:rsid w:val="00703300"/>
    <w:rsid w:val="007040C6"/>
    <w:rsid w:val="0070426C"/>
    <w:rsid w:val="00704707"/>
    <w:rsid w:val="007047EF"/>
    <w:rsid w:val="007049C5"/>
    <w:rsid w:val="00704CCD"/>
    <w:rsid w:val="00704E2A"/>
    <w:rsid w:val="00704EA6"/>
    <w:rsid w:val="00705333"/>
    <w:rsid w:val="007059E8"/>
    <w:rsid w:val="00705AD7"/>
    <w:rsid w:val="00705C9B"/>
    <w:rsid w:val="007061DD"/>
    <w:rsid w:val="00706624"/>
    <w:rsid w:val="0070698F"/>
    <w:rsid w:val="00706A78"/>
    <w:rsid w:val="00707029"/>
    <w:rsid w:val="007071F9"/>
    <w:rsid w:val="00707347"/>
    <w:rsid w:val="00707868"/>
    <w:rsid w:val="00707970"/>
    <w:rsid w:val="007102A0"/>
    <w:rsid w:val="007104A7"/>
    <w:rsid w:val="00710A98"/>
    <w:rsid w:val="00710F7A"/>
    <w:rsid w:val="0071118E"/>
    <w:rsid w:val="00711422"/>
    <w:rsid w:val="007117AE"/>
    <w:rsid w:val="00711AA6"/>
    <w:rsid w:val="00711E37"/>
    <w:rsid w:val="00713375"/>
    <w:rsid w:val="00713451"/>
    <w:rsid w:val="00713B99"/>
    <w:rsid w:val="0071469D"/>
    <w:rsid w:val="00714BF4"/>
    <w:rsid w:val="00714DB2"/>
    <w:rsid w:val="00715A2E"/>
    <w:rsid w:val="00715A82"/>
    <w:rsid w:val="00716064"/>
    <w:rsid w:val="0071608E"/>
    <w:rsid w:val="00716274"/>
    <w:rsid w:val="007164EB"/>
    <w:rsid w:val="007169FD"/>
    <w:rsid w:val="00716FAE"/>
    <w:rsid w:val="007173DB"/>
    <w:rsid w:val="00720832"/>
    <w:rsid w:val="00721071"/>
    <w:rsid w:val="007213D1"/>
    <w:rsid w:val="00721917"/>
    <w:rsid w:val="00721942"/>
    <w:rsid w:val="007219F1"/>
    <w:rsid w:val="00721AD1"/>
    <w:rsid w:val="00721C3B"/>
    <w:rsid w:val="0072334A"/>
    <w:rsid w:val="0072351A"/>
    <w:rsid w:val="007235AD"/>
    <w:rsid w:val="00723952"/>
    <w:rsid w:val="007239BE"/>
    <w:rsid w:val="00723C04"/>
    <w:rsid w:val="00724591"/>
    <w:rsid w:val="007248AA"/>
    <w:rsid w:val="00724A49"/>
    <w:rsid w:val="00724CEA"/>
    <w:rsid w:val="00725C66"/>
    <w:rsid w:val="007267D5"/>
    <w:rsid w:val="00726AED"/>
    <w:rsid w:val="00726C58"/>
    <w:rsid w:val="00726D76"/>
    <w:rsid w:val="007270E0"/>
    <w:rsid w:val="007271EA"/>
    <w:rsid w:val="0072738C"/>
    <w:rsid w:val="00727B15"/>
    <w:rsid w:val="0073083D"/>
    <w:rsid w:val="0073095E"/>
    <w:rsid w:val="00730B6D"/>
    <w:rsid w:val="007310C8"/>
    <w:rsid w:val="007312E3"/>
    <w:rsid w:val="007318E7"/>
    <w:rsid w:val="00731D8D"/>
    <w:rsid w:val="00731FE5"/>
    <w:rsid w:val="007323F1"/>
    <w:rsid w:val="00732818"/>
    <w:rsid w:val="00732DE6"/>
    <w:rsid w:val="00733331"/>
    <w:rsid w:val="00733555"/>
    <w:rsid w:val="00733823"/>
    <w:rsid w:val="0073393D"/>
    <w:rsid w:val="00733DEF"/>
    <w:rsid w:val="00733FEB"/>
    <w:rsid w:val="0073446B"/>
    <w:rsid w:val="007344A1"/>
    <w:rsid w:val="007344FA"/>
    <w:rsid w:val="00734708"/>
    <w:rsid w:val="00734AB6"/>
    <w:rsid w:val="00734B4F"/>
    <w:rsid w:val="00734D59"/>
    <w:rsid w:val="0073589F"/>
    <w:rsid w:val="00735EDC"/>
    <w:rsid w:val="00735FAB"/>
    <w:rsid w:val="00735FDE"/>
    <w:rsid w:val="0073603D"/>
    <w:rsid w:val="007362A7"/>
    <w:rsid w:val="007367EA"/>
    <w:rsid w:val="007369A7"/>
    <w:rsid w:val="0073731B"/>
    <w:rsid w:val="0073735A"/>
    <w:rsid w:val="007374FC"/>
    <w:rsid w:val="00737A4A"/>
    <w:rsid w:val="00740E53"/>
    <w:rsid w:val="00740EED"/>
    <w:rsid w:val="0074103F"/>
    <w:rsid w:val="007415A1"/>
    <w:rsid w:val="00741765"/>
    <w:rsid w:val="00741EFB"/>
    <w:rsid w:val="00742270"/>
    <w:rsid w:val="0074259A"/>
    <w:rsid w:val="0074270D"/>
    <w:rsid w:val="00743237"/>
    <w:rsid w:val="00744695"/>
    <w:rsid w:val="00744B26"/>
    <w:rsid w:val="00744E6D"/>
    <w:rsid w:val="0074559D"/>
    <w:rsid w:val="00745714"/>
    <w:rsid w:val="00745BCC"/>
    <w:rsid w:val="00745EA5"/>
    <w:rsid w:val="007469EC"/>
    <w:rsid w:val="00746C6E"/>
    <w:rsid w:val="00746CA3"/>
    <w:rsid w:val="00746CF9"/>
    <w:rsid w:val="00746FBF"/>
    <w:rsid w:val="007472FC"/>
    <w:rsid w:val="0074740E"/>
    <w:rsid w:val="00747798"/>
    <w:rsid w:val="0075019B"/>
    <w:rsid w:val="007502B4"/>
    <w:rsid w:val="0075092C"/>
    <w:rsid w:val="00751218"/>
    <w:rsid w:val="007515DB"/>
    <w:rsid w:val="00751ABE"/>
    <w:rsid w:val="00751B55"/>
    <w:rsid w:val="00751ECF"/>
    <w:rsid w:val="00752184"/>
    <w:rsid w:val="007526E7"/>
    <w:rsid w:val="00752998"/>
    <w:rsid w:val="0075299D"/>
    <w:rsid w:val="00752A86"/>
    <w:rsid w:val="00753466"/>
    <w:rsid w:val="0075350F"/>
    <w:rsid w:val="00753517"/>
    <w:rsid w:val="0075449F"/>
    <w:rsid w:val="00754842"/>
    <w:rsid w:val="00754D14"/>
    <w:rsid w:val="00755309"/>
    <w:rsid w:val="00755334"/>
    <w:rsid w:val="00755438"/>
    <w:rsid w:val="00755B5A"/>
    <w:rsid w:val="00755E37"/>
    <w:rsid w:val="00756684"/>
    <w:rsid w:val="00756A25"/>
    <w:rsid w:val="00756CAA"/>
    <w:rsid w:val="007572CC"/>
    <w:rsid w:val="0075769F"/>
    <w:rsid w:val="00757713"/>
    <w:rsid w:val="00757823"/>
    <w:rsid w:val="007579C5"/>
    <w:rsid w:val="00757D34"/>
    <w:rsid w:val="00757DB2"/>
    <w:rsid w:val="00757F52"/>
    <w:rsid w:val="00760617"/>
    <w:rsid w:val="007614BC"/>
    <w:rsid w:val="00761501"/>
    <w:rsid w:val="007615F1"/>
    <w:rsid w:val="00761960"/>
    <w:rsid w:val="00761EBB"/>
    <w:rsid w:val="007622F6"/>
    <w:rsid w:val="00762AB6"/>
    <w:rsid w:val="00762AF9"/>
    <w:rsid w:val="007633CD"/>
    <w:rsid w:val="007634E5"/>
    <w:rsid w:val="007634EF"/>
    <w:rsid w:val="007634F4"/>
    <w:rsid w:val="00763580"/>
    <w:rsid w:val="00763635"/>
    <w:rsid w:val="00764113"/>
    <w:rsid w:val="00764235"/>
    <w:rsid w:val="00764323"/>
    <w:rsid w:val="0076454F"/>
    <w:rsid w:val="00764E75"/>
    <w:rsid w:val="00764F52"/>
    <w:rsid w:val="00765076"/>
    <w:rsid w:val="0076546F"/>
    <w:rsid w:val="00765549"/>
    <w:rsid w:val="00765FA7"/>
    <w:rsid w:val="007660A4"/>
    <w:rsid w:val="0076620A"/>
    <w:rsid w:val="0076674B"/>
    <w:rsid w:val="00767166"/>
    <w:rsid w:val="00767751"/>
    <w:rsid w:val="007677D9"/>
    <w:rsid w:val="00770532"/>
    <w:rsid w:val="00770D09"/>
    <w:rsid w:val="00770E47"/>
    <w:rsid w:val="007716B1"/>
    <w:rsid w:val="007716C8"/>
    <w:rsid w:val="007718E0"/>
    <w:rsid w:val="007720B9"/>
    <w:rsid w:val="00772952"/>
    <w:rsid w:val="00772C13"/>
    <w:rsid w:val="00772C77"/>
    <w:rsid w:val="00772D24"/>
    <w:rsid w:val="0077314A"/>
    <w:rsid w:val="00773179"/>
    <w:rsid w:val="00773783"/>
    <w:rsid w:val="00773DDF"/>
    <w:rsid w:val="00774558"/>
    <w:rsid w:val="007748C5"/>
    <w:rsid w:val="00774C26"/>
    <w:rsid w:val="0077501C"/>
    <w:rsid w:val="00775312"/>
    <w:rsid w:val="0077545F"/>
    <w:rsid w:val="00775EC2"/>
    <w:rsid w:val="00775FBB"/>
    <w:rsid w:val="00775FD1"/>
    <w:rsid w:val="0077671F"/>
    <w:rsid w:val="00776877"/>
    <w:rsid w:val="0077703A"/>
    <w:rsid w:val="007775B7"/>
    <w:rsid w:val="00777FC1"/>
    <w:rsid w:val="00780468"/>
    <w:rsid w:val="007808BF"/>
    <w:rsid w:val="00780925"/>
    <w:rsid w:val="00780B7F"/>
    <w:rsid w:val="00780C3E"/>
    <w:rsid w:val="00780D5D"/>
    <w:rsid w:val="007810E8"/>
    <w:rsid w:val="00781529"/>
    <w:rsid w:val="00781ECA"/>
    <w:rsid w:val="007822D3"/>
    <w:rsid w:val="007825D5"/>
    <w:rsid w:val="00782C83"/>
    <w:rsid w:val="00782E95"/>
    <w:rsid w:val="00783097"/>
    <w:rsid w:val="007835CF"/>
    <w:rsid w:val="00783CBF"/>
    <w:rsid w:val="007840D0"/>
    <w:rsid w:val="00784132"/>
    <w:rsid w:val="007846FC"/>
    <w:rsid w:val="00784875"/>
    <w:rsid w:val="00784C2F"/>
    <w:rsid w:val="00784DCB"/>
    <w:rsid w:val="00784FAD"/>
    <w:rsid w:val="00785116"/>
    <w:rsid w:val="00785261"/>
    <w:rsid w:val="00786052"/>
    <w:rsid w:val="0078641E"/>
    <w:rsid w:val="00786584"/>
    <w:rsid w:val="00786EC7"/>
    <w:rsid w:val="007870F1"/>
    <w:rsid w:val="00787CBE"/>
    <w:rsid w:val="00790362"/>
    <w:rsid w:val="007904E6"/>
    <w:rsid w:val="00791137"/>
    <w:rsid w:val="007913C8"/>
    <w:rsid w:val="007918DA"/>
    <w:rsid w:val="00791C48"/>
    <w:rsid w:val="00791CE9"/>
    <w:rsid w:val="00791E15"/>
    <w:rsid w:val="007931F2"/>
    <w:rsid w:val="00793E3A"/>
    <w:rsid w:val="00794085"/>
    <w:rsid w:val="007944BE"/>
    <w:rsid w:val="00794659"/>
    <w:rsid w:val="007949B9"/>
    <w:rsid w:val="00794C0B"/>
    <w:rsid w:val="00794FBC"/>
    <w:rsid w:val="007956A1"/>
    <w:rsid w:val="007958DE"/>
    <w:rsid w:val="00795E13"/>
    <w:rsid w:val="00795FE4"/>
    <w:rsid w:val="0079616B"/>
    <w:rsid w:val="00796768"/>
    <w:rsid w:val="00797357"/>
    <w:rsid w:val="007974A3"/>
    <w:rsid w:val="00797AB2"/>
    <w:rsid w:val="00797C57"/>
    <w:rsid w:val="007A1589"/>
    <w:rsid w:val="007A1BE1"/>
    <w:rsid w:val="007A1D8F"/>
    <w:rsid w:val="007A1E9D"/>
    <w:rsid w:val="007A2767"/>
    <w:rsid w:val="007A2796"/>
    <w:rsid w:val="007A29B1"/>
    <w:rsid w:val="007A2C1E"/>
    <w:rsid w:val="007A3115"/>
    <w:rsid w:val="007A33C2"/>
    <w:rsid w:val="007A3600"/>
    <w:rsid w:val="007A373D"/>
    <w:rsid w:val="007A38F0"/>
    <w:rsid w:val="007A3A75"/>
    <w:rsid w:val="007A3D7C"/>
    <w:rsid w:val="007A4243"/>
    <w:rsid w:val="007A4344"/>
    <w:rsid w:val="007A47B3"/>
    <w:rsid w:val="007A4BB4"/>
    <w:rsid w:val="007A4CD8"/>
    <w:rsid w:val="007A5099"/>
    <w:rsid w:val="007A53C5"/>
    <w:rsid w:val="007A59D3"/>
    <w:rsid w:val="007A5A4B"/>
    <w:rsid w:val="007A5B6C"/>
    <w:rsid w:val="007A6217"/>
    <w:rsid w:val="007A65A1"/>
    <w:rsid w:val="007A705C"/>
    <w:rsid w:val="007A72B5"/>
    <w:rsid w:val="007A72BD"/>
    <w:rsid w:val="007A7340"/>
    <w:rsid w:val="007A7620"/>
    <w:rsid w:val="007A7B93"/>
    <w:rsid w:val="007B0121"/>
    <w:rsid w:val="007B0138"/>
    <w:rsid w:val="007B0256"/>
    <w:rsid w:val="007B06CD"/>
    <w:rsid w:val="007B074D"/>
    <w:rsid w:val="007B09B0"/>
    <w:rsid w:val="007B0C29"/>
    <w:rsid w:val="007B10FD"/>
    <w:rsid w:val="007B1466"/>
    <w:rsid w:val="007B1578"/>
    <w:rsid w:val="007B1E5E"/>
    <w:rsid w:val="007B2598"/>
    <w:rsid w:val="007B259E"/>
    <w:rsid w:val="007B28D2"/>
    <w:rsid w:val="007B3066"/>
    <w:rsid w:val="007B3311"/>
    <w:rsid w:val="007B3419"/>
    <w:rsid w:val="007B341F"/>
    <w:rsid w:val="007B35E0"/>
    <w:rsid w:val="007B373F"/>
    <w:rsid w:val="007B3E7A"/>
    <w:rsid w:val="007B4049"/>
    <w:rsid w:val="007B44E0"/>
    <w:rsid w:val="007B4627"/>
    <w:rsid w:val="007B4684"/>
    <w:rsid w:val="007B47CB"/>
    <w:rsid w:val="007B4C7D"/>
    <w:rsid w:val="007B5254"/>
    <w:rsid w:val="007B55A1"/>
    <w:rsid w:val="007B5CE6"/>
    <w:rsid w:val="007B60CA"/>
    <w:rsid w:val="007B63A7"/>
    <w:rsid w:val="007B677D"/>
    <w:rsid w:val="007B6C87"/>
    <w:rsid w:val="007B7373"/>
    <w:rsid w:val="007B73E6"/>
    <w:rsid w:val="007B7460"/>
    <w:rsid w:val="007B7B5F"/>
    <w:rsid w:val="007B7BE1"/>
    <w:rsid w:val="007C041E"/>
    <w:rsid w:val="007C05AB"/>
    <w:rsid w:val="007C06B8"/>
    <w:rsid w:val="007C0AEE"/>
    <w:rsid w:val="007C0D7A"/>
    <w:rsid w:val="007C0EF1"/>
    <w:rsid w:val="007C1DBA"/>
    <w:rsid w:val="007C276D"/>
    <w:rsid w:val="007C334E"/>
    <w:rsid w:val="007C36F2"/>
    <w:rsid w:val="007C3737"/>
    <w:rsid w:val="007C3961"/>
    <w:rsid w:val="007C3D19"/>
    <w:rsid w:val="007C4C99"/>
    <w:rsid w:val="007C4FD0"/>
    <w:rsid w:val="007C52FF"/>
    <w:rsid w:val="007C53C5"/>
    <w:rsid w:val="007C56BD"/>
    <w:rsid w:val="007C6DC7"/>
    <w:rsid w:val="007C7398"/>
    <w:rsid w:val="007C76CE"/>
    <w:rsid w:val="007C79C7"/>
    <w:rsid w:val="007C7CE7"/>
    <w:rsid w:val="007C7EB2"/>
    <w:rsid w:val="007D04FF"/>
    <w:rsid w:val="007D109D"/>
    <w:rsid w:val="007D1759"/>
    <w:rsid w:val="007D1B3D"/>
    <w:rsid w:val="007D1F68"/>
    <w:rsid w:val="007D2208"/>
    <w:rsid w:val="007D2221"/>
    <w:rsid w:val="007D2316"/>
    <w:rsid w:val="007D2A52"/>
    <w:rsid w:val="007D2E21"/>
    <w:rsid w:val="007D2F00"/>
    <w:rsid w:val="007D300F"/>
    <w:rsid w:val="007D3235"/>
    <w:rsid w:val="007D39CC"/>
    <w:rsid w:val="007D3A76"/>
    <w:rsid w:val="007D4AE2"/>
    <w:rsid w:val="007D4F2B"/>
    <w:rsid w:val="007D51E1"/>
    <w:rsid w:val="007D563A"/>
    <w:rsid w:val="007D5BEC"/>
    <w:rsid w:val="007D60F0"/>
    <w:rsid w:val="007D63A5"/>
    <w:rsid w:val="007D643B"/>
    <w:rsid w:val="007D65F3"/>
    <w:rsid w:val="007D770A"/>
    <w:rsid w:val="007D7833"/>
    <w:rsid w:val="007D79E5"/>
    <w:rsid w:val="007E09F1"/>
    <w:rsid w:val="007E10B2"/>
    <w:rsid w:val="007E180C"/>
    <w:rsid w:val="007E1A04"/>
    <w:rsid w:val="007E1F03"/>
    <w:rsid w:val="007E239A"/>
    <w:rsid w:val="007E29C0"/>
    <w:rsid w:val="007E2A97"/>
    <w:rsid w:val="007E2E94"/>
    <w:rsid w:val="007E2FC6"/>
    <w:rsid w:val="007E34DE"/>
    <w:rsid w:val="007E3816"/>
    <w:rsid w:val="007E387E"/>
    <w:rsid w:val="007E38B3"/>
    <w:rsid w:val="007E38E8"/>
    <w:rsid w:val="007E3BE9"/>
    <w:rsid w:val="007E3CC2"/>
    <w:rsid w:val="007E4578"/>
    <w:rsid w:val="007E5A37"/>
    <w:rsid w:val="007E60ED"/>
    <w:rsid w:val="007E6C06"/>
    <w:rsid w:val="007E6E7E"/>
    <w:rsid w:val="007E7ADF"/>
    <w:rsid w:val="007E7B8A"/>
    <w:rsid w:val="007E7CB0"/>
    <w:rsid w:val="007E7FB3"/>
    <w:rsid w:val="007F0D4F"/>
    <w:rsid w:val="007F19DB"/>
    <w:rsid w:val="007F1DC0"/>
    <w:rsid w:val="007F20E2"/>
    <w:rsid w:val="007F21B5"/>
    <w:rsid w:val="007F2652"/>
    <w:rsid w:val="007F2678"/>
    <w:rsid w:val="007F2C89"/>
    <w:rsid w:val="007F2FC7"/>
    <w:rsid w:val="007F33F5"/>
    <w:rsid w:val="007F3AF6"/>
    <w:rsid w:val="007F4017"/>
    <w:rsid w:val="007F4280"/>
    <w:rsid w:val="007F4C9C"/>
    <w:rsid w:val="007F5150"/>
    <w:rsid w:val="007F52BC"/>
    <w:rsid w:val="007F530B"/>
    <w:rsid w:val="007F55C9"/>
    <w:rsid w:val="007F5F4C"/>
    <w:rsid w:val="007F603B"/>
    <w:rsid w:val="007F632F"/>
    <w:rsid w:val="007F6686"/>
    <w:rsid w:val="007F66C8"/>
    <w:rsid w:val="007F6C84"/>
    <w:rsid w:val="007F6F56"/>
    <w:rsid w:val="007F7254"/>
    <w:rsid w:val="007F7336"/>
    <w:rsid w:val="007F761C"/>
    <w:rsid w:val="007F7693"/>
    <w:rsid w:val="007F77F4"/>
    <w:rsid w:val="007F7ACF"/>
    <w:rsid w:val="008008CF"/>
    <w:rsid w:val="0080171B"/>
    <w:rsid w:val="008017E3"/>
    <w:rsid w:val="00801812"/>
    <w:rsid w:val="00801B37"/>
    <w:rsid w:val="00801C25"/>
    <w:rsid w:val="008026A1"/>
    <w:rsid w:val="00802737"/>
    <w:rsid w:val="00802C42"/>
    <w:rsid w:val="00802E7E"/>
    <w:rsid w:val="008037CA"/>
    <w:rsid w:val="00803A6F"/>
    <w:rsid w:val="0080438A"/>
    <w:rsid w:val="00804412"/>
    <w:rsid w:val="00805697"/>
    <w:rsid w:val="008058BB"/>
    <w:rsid w:val="008059DB"/>
    <w:rsid w:val="00805B12"/>
    <w:rsid w:val="00805D10"/>
    <w:rsid w:val="00805F43"/>
    <w:rsid w:val="00806686"/>
    <w:rsid w:val="008066AC"/>
    <w:rsid w:val="00807038"/>
    <w:rsid w:val="008071EC"/>
    <w:rsid w:val="00807F9A"/>
    <w:rsid w:val="008102D0"/>
    <w:rsid w:val="00810639"/>
    <w:rsid w:val="008109C5"/>
    <w:rsid w:val="00810CB5"/>
    <w:rsid w:val="008111A6"/>
    <w:rsid w:val="0081185C"/>
    <w:rsid w:val="00812386"/>
    <w:rsid w:val="00812589"/>
    <w:rsid w:val="00812C8C"/>
    <w:rsid w:val="008133FA"/>
    <w:rsid w:val="00813648"/>
    <w:rsid w:val="00813D53"/>
    <w:rsid w:val="0081435D"/>
    <w:rsid w:val="00814499"/>
    <w:rsid w:val="00814572"/>
    <w:rsid w:val="00814641"/>
    <w:rsid w:val="008148AE"/>
    <w:rsid w:val="008154AD"/>
    <w:rsid w:val="008154D9"/>
    <w:rsid w:val="00815845"/>
    <w:rsid w:val="00815A1C"/>
    <w:rsid w:val="00815FB3"/>
    <w:rsid w:val="008160B0"/>
    <w:rsid w:val="008167AF"/>
    <w:rsid w:val="00816935"/>
    <w:rsid w:val="00816FDA"/>
    <w:rsid w:val="008172D3"/>
    <w:rsid w:val="008174FE"/>
    <w:rsid w:val="00817654"/>
    <w:rsid w:val="008202F2"/>
    <w:rsid w:val="00820451"/>
    <w:rsid w:val="00820C3A"/>
    <w:rsid w:val="00820C65"/>
    <w:rsid w:val="00820F3E"/>
    <w:rsid w:val="008218F3"/>
    <w:rsid w:val="00822421"/>
    <w:rsid w:val="0082262C"/>
    <w:rsid w:val="00822713"/>
    <w:rsid w:val="008231F5"/>
    <w:rsid w:val="00823AFC"/>
    <w:rsid w:val="00823BFD"/>
    <w:rsid w:val="00823CBF"/>
    <w:rsid w:val="00823D11"/>
    <w:rsid w:val="0082424C"/>
    <w:rsid w:val="008242E3"/>
    <w:rsid w:val="008243F3"/>
    <w:rsid w:val="008246F9"/>
    <w:rsid w:val="00824731"/>
    <w:rsid w:val="00824845"/>
    <w:rsid w:val="0082512C"/>
    <w:rsid w:val="00825182"/>
    <w:rsid w:val="008255C5"/>
    <w:rsid w:val="00826407"/>
    <w:rsid w:val="0082650B"/>
    <w:rsid w:val="0082674C"/>
    <w:rsid w:val="00827097"/>
    <w:rsid w:val="008270F9"/>
    <w:rsid w:val="008273CE"/>
    <w:rsid w:val="00827574"/>
    <w:rsid w:val="008275E5"/>
    <w:rsid w:val="008302EC"/>
    <w:rsid w:val="00830664"/>
    <w:rsid w:val="008307EC"/>
    <w:rsid w:val="00830857"/>
    <w:rsid w:val="00830A50"/>
    <w:rsid w:val="00830B66"/>
    <w:rsid w:val="00830E40"/>
    <w:rsid w:val="00830F35"/>
    <w:rsid w:val="008311E6"/>
    <w:rsid w:val="008313CA"/>
    <w:rsid w:val="0083171B"/>
    <w:rsid w:val="0083209B"/>
    <w:rsid w:val="00832716"/>
    <w:rsid w:val="00832D9D"/>
    <w:rsid w:val="00833083"/>
    <w:rsid w:val="0083324A"/>
    <w:rsid w:val="008332C6"/>
    <w:rsid w:val="00833399"/>
    <w:rsid w:val="008333BE"/>
    <w:rsid w:val="0083356C"/>
    <w:rsid w:val="00833651"/>
    <w:rsid w:val="008338A3"/>
    <w:rsid w:val="008339AC"/>
    <w:rsid w:val="00833D66"/>
    <w:rsid w:val="00833E2B"/>
    <w:rsid w:val="008341DC"/>
    <w:rsid w:val="008341F5"/>
    <w:rsid w:val="00834565"/>
    <w:rsid w:val="0083460B"/>
    <w:rsid w:val="00834863"/>
    <w:rsid w:val="0083569A"/>
    <w:rsid w:val="00835A06"/>
    <w:rsid w:val="00835C2A"/>
    <w:rsid w:val="0083603B"/>
    <w:rsid w:val="00836409"/>
    <w:rsid w:val="008364AE"/>
    <w:rsid w:val="008365BC"/>
    <w:rsid w:val="00836ED6"/>
    <w:rsid w:val="008374A1"/>
    <w:rsid w:val="0083779B"/>
    <w:rsid w:val="00837F0D"/>
    <w:rsid w:val="00837F85"/>
    <w:rsid w:val="008400EF"/>
    <w:rsid w:val="00840314"/>
    <w:rsid w:val="00840706"/>
    <w:rsid w:val="0084096F"/>
    <w:rsid w:val="008409C5"/>
    <w:rsid w:val="00840BE7"/>
    <w:rsid w:val="00841377"/>
    <w:rsid w:val="0084167E"/>
    <w:rsid w:val="00841B48"/>
    <w:rsid w:val="00841EA4"/>
    <w:rsid w:val="008421AC"/>
    <w:rsid w:val="00842E88"/>
    <w:rsid w:val="00843125"/>
    <w:rsid w:val="0084363E"/>
    <w:rsid w:val="00843C5C"/>
    <w:rsid w:val="00843FBD"/>
    <w:rsid w:val="00844CA1"/>
    <w:rsid w:val="00844CA7"/>
    <w:rsid w:val="00845E95"/>
    <w:rsid w:val="00846563"/>
    <w:rsid w:val="008465D8"/>
    <w:rsid w:val="00846EC7"/>
    <w:rsid w:val="008476F0"/>
    <w:rsid w:val="0084774C"/>
    <w:rsid w:val="008478E2"/>
    <w:rsid w:val="00847A1E"/>
    <w:rsid w:val="00847CC5"/>
    <w:rsid w:val="00847D68"/>
    <w:rsid w:val="008507F9"/>
    <w:rsid w:val="00850E85"/>
    <w:rsid w:val="0085122D"/>
    <w:rsid w:val="00851327"/>
    <w:rsid w:val="008517B7"/>
    <w:rsid w:val="008517ED"/>
    <w:rsid w:val="00851876"/>
    <w:rsid w:val="00851CEA"/>
    <w:rsid w:val="0085346A"/>
    <w:rsid w:val="00853BF7"/>
    <w:rsid w:val="00854075"/>
    <w:rsid w:val="008542DD"/>
    <w:rsid w:val="00854FBC"/>
    <w:rsid w:val="0085506E"/>
    <w:rsid w:val="00855440"/>
    <w:rsid w:val="00855708"/>
    <w:rsid w:val="008557ED"/>
    <w:rsid w:val="008561C0"/>
    <w:rsid w:val="00856838"/>
    <w:rsid w:val="00856BD4"/>
    <w:rsid w:val="00856DEE"/>
    <w:rsid w:val="00856E39"/>
    <w:rsid w:val="0085736A"/>
    <w:rsid w:val="00857DE2"/>
    <w:rsid w:val="008609A3"/>
    <w:rsid w:val="00860A09"/>
    <w:rsid w:val="00860ADC"/>
    <w:rsid w:val="00860C64"/>
    <w:rsid w:val="00860D9E"/>
    <w:rsid w:val="00860E98"/>
    <w:rsid w:val="00861125"/>
    <w:rsid w:val="00861527"/>
    <w:rsid w:val="00861555"/>
    <w:rsid w:val="008617FD"/>
    <w:rsid w:val="00861DAC"/>
    <w:rsid w:val="008627B4"/>
    <w:rsid w:val="00862DBD"/>
    <w:rsid w:val="00862E1C"/>
    <w:rsid w:val="00862EAA"/>
    <w:rsid w:val="00862EAE"/>
    <w:rsid w:val="00862FCF"/>
    <w:rsid w:val="00863052"/>
    <w:rsid w:val="0086357B"/>
    <w:rsid w:val="0086364D"/>
    <w:rsid w:val="00863673"/>
    <w:rsid w:val="008637C3"/>
    <w:rsid w:val="00863C4A"/>
    <w:rsid w:val="00863C7F"/>
    <w:rsid w:val="008648E2"/>
    <w:rsid w:val="00864FC1"/>
    <w:rsid w:val="008652BB"/>
    <w:rsid w:val="008659F4"/>
    <w:rsid w:val="00865AFB"/>
    <w:rsid w:val="00865EF0"/>
    <w:rsid w:val="008660BE"/>
    <w:rsid w:val="008661B4"/>
    <w:rsid w:val="00866473"/>
    <w:rsid w:val="00866923"/>
    <w:rsid w:val="00866E25"/>
    <w:rsid w:val="00866E48"/>
    <w:rsid w:val="00866F86"/>
    <w:rsid w:val="008673A3"/>
    <w:rsid w:val="008675F3"/>
    <w:rsid w:val="00867739"/>
    <w:rsid w:val="00867BFE"/>
    <w:rsid w:val="008700CC"/>
    <w:rsid w:val="008702C9"/>
    <w:rsid w:val="00870395"/>
    <w:rsid w:val="00870EDC"/>
    <w:rsid w:val="00871645"/>
    <w:rsid w:val="00872044"/>
    <w:rsid w:val="00872228"/>
    <w:rsid w:val="00872614"/>
    <w:rsid w:val="0087262C"/>
    <w:rsid w:val="008727D1"/>
    <w:rsid w:val="00872823"/>
    <w:rsid w:val="008729BD"/>
    <w:rsid w:val="00872A1A"/>
    <w:rsid w:val="00873096"/>
    <w:rsid w:val="00873117"/>
    <w:rsid w:val="00873266"/>
    <w:rsid w:val="008736AB"/>
    <w:rsid w:val="00873B08"/>
    <w:rsid w:val="00873D1D"/>
    <w:rsid w:val="00873D9C"/>
    <w:rsid w:val="008741D1"/>
    <w:rsid w:val="00874573"/>
    <w:rsid w:val="008748B1"/>
    <w:rsid w:val="0087535A"/>
    <w:rsid w:val="0087599A"/>
    <w:rsid w:val="00875B77"/>
    <w:rsid w:val="00875DBB"/>
    <w:rsid w:val="0087623B"/>
    <w:rsid w:val="0087648A"/>
    <w:rsid w:val="008769FC"/>
    <w:rsid w:val="00876DDA"/>
    <w:rsid w:val="00876E46"/>
    <w:rsid w:val="00876EAF"/>
    <w:rsid w:val="00877106"/>
    <w:rsid w:val="008771F5"/>
    <w:rsid w:val="00877211"/>
    <w:rsid w:val="0087729F"/>
    <w:rsid w:val="00877A7C"/>
    <w:rsid w:val="00877F4D"/>
    <w:rsid w:val="00880175"/>
    <w:rsid w:val="008808FB"/>
    <w:rsid w:val="00880AFE"/>
    <w:rsid w:val="00881607"/>
    <w:rsid w:val="00881A40"/>
    <w:rsid w:val="008826AC"/>
    <w:rsid w:val="00882701"/>
    <w:rsid w:val="00882A11"/>
    <w:rsid w:val="00883482"/>
    <w:rsid w:val="0088348B"/>
    <w:rsid w:val="008835F5"/>
    <w:rsid w:val="00883975"/>
    <w:rsid w:val="008840D3"/>
    <w:rsid w:val="008841DB"/>
    <w:rsid w:val="00884CF7"/>
    <w:rsid w:val="00884F25"/>
    <w:rsid w:val="00885158"/>
    <w:rsid w:val="00885240"/>
    <w:rsid w:val="00885299"/>
    <w:rsid w:val="00885891"/>
    <w:rsid w:val="0088596E"/>
    <w:rsid w:val="008859DD"/>
    <w:rsid w:val="00885A8F"/>
    <w:rsid w:val="008867EA"/>
    <w:rsid w:val="008868A8"/>
    <w:rsid w:val="00887867"/>
    <w:rsid w:val="0088798F"/>
    <w:rsid w:val="00887E22"/>
    <w:rsid w:val="00887ECE"/>
    <w:rsid w:val="00890075"/>
    <w:rsid w:val="008917C5"/>
    <w:rsid w:val="008923D4"/>
    <w:rsid w:val="0089253B"/>
    <w:rsid w:val="008925CF"/>
    <w:rsid w:val="00892A33"/>
    <w:rsid w:val="00892BCE"/>
    <w:rsid w:val="00892BD4"/>
    <w:rsid w:val="00893274"/>
    <w:rsid w:val="0089335D"/>
    <w:rsid w:val="0089337C"/>
    <w:rsid w:val="00893687"/>
    <w:rsid w:val="008936CD"/>
    <w:rsid w:val="00893A81"/>
    <w:rsid w:val="00893B0F"/>
    <w:rsid w:val="00893B8A"/>
    <w:rsid w:val="00893DB7"/>
    <w:rsid w:val="008940C5"/>
    <w:rsid w:val="008947E5"/>
    <w:rsid w:val="00894C45"/>
    <w:rsid w:val="00894F10"/>
    <w:rsid w:val="008950CE"/>
    <w:rsid w:val="00895847"/>
    <w:rsid w:val="0089602F"/>
    <w:rsid w:val="008962EC"/>
    <w:rsid w:val="00896977"/>
    <w:rsid w:val="008970D2"/>
    <w:rsid w:val="00897269"/>
    <w:rsid w:val="00897780"/>
    <w:rsid w:val="00897B82"/>
    <w:rsid w:val="00897D8C"/>
    <w:rsid w:val="008A06C7"/>
    <w:rsid w:val="008A074B"/>
    <w:rsid w:val="008A0FDD"/>
    <w:rsid w:val="008A18D9"/>
    <w:rsid w:val="008A19C2"/>
    <w:rsid w:val="008A19E7"/>
    <w:rsid w:val="008A1B81"/>
    <w:rsid w:val="008A1D41"/>
    <w:rsid w:val="008A1D44"/>
    <w:rsid w:val="008A1EE1"/>
    <w:rsid w:val="008A20E6"/>
    <w:rsid w:val="008A28F6"/>
    <w:rsid w:val="008A2BCB"/>
    <w:rsid w:val="008A2BD6"/>
    <w:rsid w:val="008A2DA2"/>
    <w:rsid w:val="008A2E84"/>
    <w:rsid w:val="008A315F"/>
    <w:rsid w:val="008A3293"/>
    <w:rsid w:val="008A32B5"/>
    <w:rsid w:val="008A3348"/>
    <w:rsid w:val="008A344B"/>
    <w:rsid w:val="008A3982"/>
    <w:rsid w:val="008A404F"/>
    <w:rsid w:val="008A451A"/>
    <w:rsid w:val="008A4995"/>
    <w:rsid w:val="008A4D14"/>
    <w:rsid w:val="008A6151"/>
    <w:rsid w:val="008A6A8E"/>
    <w:rsid w:val="008A75F0"/>
    <w:rsid w:val="008B0D3A"/>
    <w:rsid w:val="008B0EDE"/>
    <w:rsid w:val="008B1B51"/>
    <w:rsid w:val="008B26E0"/>
    <w:rsid w:val="008B27E4"/>
    <w:rsid w:val="008B2B12"/>
    <w:rsid w:val="008B3AD2"/>
    <w:rsid w:val="008B3EEB"/>
    <w:rsid w:val="008B403E"/>
    <w:rsid w:val="008B419B"/>
    <w:rsid w:val="008B442F"/>
    <w:rsid w:val="008B4BAC"/>
    <w:rsid w:val="008B500D"/>
    <w:rsid w:val="008B58BA"/>
    <w:rsid w:val="008B5DA5"/>
    <w:rsid w:val="008B6B7E"/>
    <w:rsid w:val="008B6FFB"/>
    <w:rsid w:val="008B7751"/>
    <w:rsid w:val="008B7F4B"/>
    <w:rsid w:val="008C00F9"/>
    <w:rsid w:val="008C0393"/>
    <w:rsid w:val="008C05BC"/>
    <w:rsid w:val="008C0828"/>
    <w:rsid w:val="008C084B"/>
    <w:rsid w:val="008C090B"/>
    <w:rsid w:val="008C0DF8"/>
    <w:rsid w:val="008C1009"/>
    <w:rsid w:val="008C2115"/>
    <w:rsid w:val="008C273C"/>
    <w:rsid w:val="008C277D"/>
    <w:rsid w:val="008C29FE"/>
    <w:rsid w:val="008C2D2D"/>
    <w:rsid w:val="008C3503"/>
    <w:rsid w:val="008C412C"/>
    <w:rsid w:val="008C4963"/>
    <w:rsid w:val="008C4E89"/>
    <w:rsid w:val="008C4F9C"/>
    <w:rsid w:val="008C5520"/>
    <w:rsid w:val="008C6BE1"/>
    <w:rsid w:val="008C6D88"/>
    <w:rsid w:val="008C6EFB"/>
    <w:rsid w:val="008C7047"/>
    <w:rsid w:val="008C753C"/>
    <w:rsid w:val="008C7E4D"/>
    <w:rsid w:val="008C7E6E"/>
    <w:rsid w:val="008C7FA2"/>
    <w:rsid w:val="008D0207"/>
    <w:rsid w:val="008D026B"/>
    <w:rsid w:val="008D09A2"/>
    <w:rsid w:val="008D0BDF"/>
    <w:rsid w:val="008D0E74"/>
    <w:rsid w:val="008D161F"/>
    <w:rsid w:val="008D18BC"/>
    <w:rsid w:val="008D1C6D"/>
    <w:rsid w:val="008D2081"/>
    <w:rsid w:val="008D219C"/>
    <w:rsid w:val="008D2535"/>
    <w:rsid w:val="008D28CE"/>
    <w:rsid w:val="008D2C7B"/>
    <w:rsid w:val="008D2D00"/>
    <w:rsid w:val="008D3869"/>
    <w:rsid w:val="008D488B"/>
    <w:rsid w:val="008D4AF6"/>
    <w:rsid w:val="008D4B76"/>
    <w:rsid w:val="008D4D1B"/>
    <w:rsid w:val="008D56BF"/>
    <w:rsid w:val="008D6174"/>
    <w:rsid w:val="008D6258"/>
    <w:rsid w:val="008D62DB"/>
    <w:rsid w:val="008D62E2"/>
    <w:rsid w:val="008D6320"/>
    <w:rsid w:val="008D6480"/>
    <w:rsid w:val="008D6B5A"/>
    <w:rsid w:val="008D735A"/>
    <w:rsid w:val="008D73E5"/>
    <w:rsid w:val="008D75F5"/>
    <w:rsid w:val="008E03DD"/>
    <w:rsid w:val="008E0685"/>
    <w:rsid w:val="008E0974"/>
    <w:rsid w:val="008E0BD6"/>
    <w:rsid w:val="008E1062"/>
    <w:rsid w:val="008E11F1"/>
    <w:rsid w:val="008E1203"/>
    <w:rsid w:val="008E1C1B"/>
    <w:rsid w:val="008E1EF6"/>
    <w:rsid w:val="008E208E"/>
    <w:rsid w:val="008E2460"/>
    <w:rsid w:val="008E24CF"/>
    <w:rsid w:val="008E344C"/>
    <w:rsid w:val="008E36B6"/>
    <w:rsid w:val="008E3A26"/>
    <w:rsid w:val="008E3A2B"/>
    <w:rsid w:val="008E4330"/>
    <w:rsid w:val="008E46F4"/>
    <w:rsid w:val="008E4D20"/>
    <w:rsid w:val="008E4FDF"/>
    <w:rsid w:val="008E5892"/>
    <w:rsid w:val="008E5BE2"/>
    <w:rsid w:val="008E5E5A"/>
    <w:rsid w:val="008E60B3"/>
    <w:rsid w:val="008E6151"/>
    <w:rsid w:val="008E6302"/>
    <w:rsid w:val="008E67A7"/>
    <w:rsid w:val="008E6883"/>
    <w:rsid w:val="008E69AC"/>
    <w:rsid w:val="008E6B45"/>
    <w:rsid w:val="008E6D7A"/>
    <w:rsid w:val="008E7641"/>
    <w:rsid w:val="008E7C12"/>
    <w:rsid w:val="008E7FE8"/>
    <w:rsid w:val="008F0C50"/>
    <w:rsid w:val="008F0E32"/>
    <w:rsid w:val="008F0F79"/>
    <w:rsid w:val="008F17F1"/>
    <w:rsid w:val="008F1989"/>
    <w:rsid w:val="008F1A64"/>
    <w:rsid w:val="008F1B6E"/>
    <w:rsid w:val="008F1BD9"/>
    <w:rsid w:val="008F1D44"/>
    <w:rsid w:val="008F27A0"/>
    <w:rsid w:val="008F28EB"/>
    <w:rsid w:val="008F2A81"/>
    <w:rsid w:val="008F2E6A"/>
    <w:rsid w:val="008F2F0E"/>
    <w:rsid w:val="008F2F3E"/>
    <w:rsid w:val="008F3482"/>
    <w:rsid w:val="008F3AF9"/>
    <w:rsid w:val="008F3E57"/>
    <w:rsid w:val="008F48BD"/>
    <w:rsid w:val="008F4B28"/>
    <w:rsid w:val="008F4C77"/>
    <w:rsid w:val="008F52C4"/>
    <w:rsid w:val="008F5683"/>
    <w:rsid w:val="008F56EE"/>
    <w:rsid w:val="008F5864"/>
    <w:rsid w:val="008F5A15"/>
    <w:rsid w:val="008F5E1B"/>
    <w:rsid w:val="008F5E94"/>
    <w:rsid w:val="008F61A3"/>
    <w:rsid w:val="008F6AE8"/>
    <w:rsid w:val="008F6E30"/>
    <w:rsid w:val="008F71B8"/>
    <w:rsid w:val="008F775A"/>
    <w:rsid w:val="008F77A6"/>
    <w:rsid w:val="008F7D98"/>
    <w:rsid w:val="008F7E8F"/>
    <w:rsid w:val="009003BD"/>
    <w:rsid w:val="009005B1"/>
    <w:rsid w:val="009009CC"/>
    <w:rsid w:val="00900AF1"/>
    <w:rsid w:val="00900B54"/>
    <w:rsid w:val="00900BCF"/>
    <w:rsid w:val="00901776"/>
    <w:rsid w:val="00901F80"/>
    <w:rsid w:val="009020FA"/>
    <w:rsid w:val="0090231F"/>
    <w:rsid w:val="009024CD"/>
    <w:rsid w:val="009029D5"/>
    <w:rsid w:val="0090398B"/>
    <w:rsid w:val="00903B69"/>
    <w:rsid w:val="00903F29"/>
    <w:rsid w:val="00904068"/>
    <w:rsid w:val="00904935"/>
    <w:rsid w:val="00904C80"/>
    <w:rsid w:val="00904D75"/>
    <w:rsid w:val="00905492"/>
    <w:rsid w:val="00905783"/>
    <w:rsid w:val="00906441"/>
    <w:rsid w:val="00907646"/>
    <w:rsid w:val="00907A2C"/>
    <w:rsid w:val="00907BC5"/>
    <w:rsid w:val="00907D22"/>
    <w:rsid w:val="009100F1"/>
    <w:rsid w:val="009103C8"/>
    <w:rsid w:val="009112AF"/>
    <w:rsid w:val="0091183B"/>
    <w:rsid w:val="00911CEC"/>
    <w:rsid w:val="0091209E"/>
    <w:rsid w:val="009120EB"/>
    <w:rsid w:val="0091240A"/>
    <w:rsid w:val="00912678"/>
    <w:rsid w:val="00912C74"/>
    <w:rsid w:val="0091340E"/>
    <w:rsid w:val="00913776"/>
    <w:rsid w:val="00913E94"/>
    <w:rsid w:val="009148DD"/>
    <w:rsid w:val="009152E8"/>
    <w:rsid w:val="00915532"/>
    <w:rsid w:val="009157BB"/>
    <w:rsid w:val="00916147"/>
    <w:rsid w:val="009161A4"/>
    <w:rsid w:val="0091652F"/>
    <w:rsid w:val="00916683"/>
    <w:rsid w:val="009166DD"/>
    <w:rsid w:val="00916C15"/>
    <w:rsid w:val="00916E83"/>
    <w:rsid w:val="009170EB"/>
    <w:rsid w:val="009170EE"/>
    <w:rsid w:val="00920BDF"/>
    <w:rsid w:val="00921428"/>
    <w:rsid w:val="0092146F"/>
    <w:rsid w:val="00921B82"/>
    <w:rsid w:val="009225F0"/>
    <w:rsid w:val="0092281C"/>
    <w:rsid w:val="009228FA"/>
    <w:rsid w:val="00922C43"/>
    <w:rsid w:val="0092308F"/>
    <w:rsid w:val="00923ED2"/>
    <w:rsid w:val="00924091"/>
    <w:rsid w:val="00924394"/>
    <w:rsid w:val="0092462B"/>
    <w:rsid w:val="009246AA"/>
    <w:rsid w:val="00924748"/>
    <w:rsid w:val="00924AD4"/>
    <w:rsid w:val="00924D36"/>
    <w:rsid w:val="00925040"/>
    <w:rsid w:val="009250D8"/>
    <w:rsid w:val="0092545B"/>
    <w:rsid w:val="00925EAF"/>
    <w:rsid w:val="00925FAF"/>
    <w:rsid w:val="009266E0"/>
    <w:rsid w:val="00926C9D"/>
    <w:rsid w:val="00927185"/>
    <w:rsid w:val="00927FC8"/>
    <w:rsid w:val="00930632"/>
    <w:rsid w:val="009307B5"/>
    <w:rsid w:val="00930CFD"/>
    <w:rsid w:val="00930FB2"/>
    <w:rsid w:val="009312B2"/>
    <w:rsid w:val="00931BD8"/>
    <w:rsid w:val="00931C2E"/>
    <w:rsid w:val="009325A2"/>
    <w:rsid w:val="00932733"/>
    <w:rsid w:val="00932CC2"/>
    <w:rsid w:val="00933347"/>
    <w:rsid w:val="0093381A"/>
    <w:rsid w:val="00933B2A"/>
    <w:rsid w:val="00934540"/>
    <w:rsid w:val="00934748"/>
    <w:rsid w:val="0093505C"/>
    <w:rsid w:val="009352E4"/>
    <w:rsid w:val="009355D1"/>
    <w:rsid w:val="00935734"/>
    <w:rsid w:val="00935812"/>
    <w:rsid w:val="0093587B"/>
    <w:rsid w:val="00935D2F"/>
    <w:rsid w:val="00935D6F"/>
    <w:rsid w:val="009365C5"/>
    <w:rsid w:val="0093690A"/>
    <w:rsid w:val="00937311"/>
    <w:rsid w:val="00937F7D"/>
    <w:rsid w:val="009408ED"/>
    <w:rsid w:val="00940AC8"/>
    <w:rsid w:val="00940B7D"/>
    <w:rsid w:val="0094110A"/>
    <w:rsid w:val="0094173E"/>
    <w:rsid w:val="0094204A"/>
    <w:rsid w:val="00942055"/>
    <w:rsid w:val="00942779"/>
    <w:rsid w:val="009432E9"/>
    <w:rsid w:val="00943CAF"/>
    <w:rsid w:val="009447F9"/>
    <w:rsid w:val="00944C2D"/>
    <w:rsid w:val="00944EB4"/>
    <w:rsid w:val="0094506F"/>
    <w:rsid w:val="00945506"/>
    <w:rsid w:val="00945C09"/>
    <w:rsid w:val="009462C7"/>
    <w:rsid w:val="009463AA"/>
    <w:rsid w:val="00946495"/>
    <w:rsid w:val="00946608"/>
    <w:rsid w:val="00946647"/>
    <w:rsid w:val="009466D2"/>
    <w:rsid w:val="00946BD6"/>
    <w:rsid w:val="00946C46"/>
    <w:rsid w:val="009475F1"/>
    <w:rsid w:val="009477CC"/>
    <w:rsid w:val="0095007D"/>
    <w:rsid w:val="009500EF"/>
    <w:rsid w:val="009502E3"/>
    <w:rsid w:val="00950F0A"/>
    <w:rsid w:val="00950F57"/>
    <w:rsid w:val="00951608"/>
    <w:rsid w:val="00951AAA"/>
    <w:rsid w:val="00952715"/>
    <w:rsid w:val="00953340"/>
    <w:rsid w:val="0095341F"/>
    <w:rsid w:val="0095344C"/>
    <w:rsid w:val="009535A2"/>
    <w:rsid w:val="00953EE8"/>
    <w:rsid w:val="00954343"/>
    <w:rsid w:val="0095533A"/>
    <w:rsid w:val="009559CD"/>
    <w:rsid w:val="00955A96"/>
    <w:rsid w:val="009561C9"/>
    <w:rsid w:val="0095676E"/>
    <w:rsid w:val="00956BCF"/>
    <w:rsid w:val="00957285"/>
    <w:rsid w:val="0095775A"/>
    <w:rsid w:val="00957A41"/>
    <w:rsid w:val="0096066C"/>
    <w:rsid w:val="00960711"/>
    <w:rsid w:val="0096072B"/>
    <w:rsid w:val="00960CC6"/>
    <w:rsid w:val="00960EE6"/>
    <w:rsid w:val="00960F42"/>
    <w:rsid w:val="00961232"/>
    <w:rsid w:val="00961B4E"/>
    <w:rsid w:val="0096255A"/>
    <w:rsid w:val="0096270D"/>
    <w:rsid w:val="00962908"/>
    <w:rsid w:val="00963189"/>
    <w:rsid w:val="009636B0"/>
    <w:rsid w:val="0096370A"/>
    <w:rsid w:val="009640A6"/>
    <w:rsid w:val="00964464"/>
    <w:rsid w:val="0096472B"/>
    <w:rsid w:val="009648E2"/>
    <w:rsid w:val="00965118"/>
    <w:rsid w:val="00965145"/>
    <w:rsid w:val="009652B7"/>
    <w:rsid w:val="00965A4C"/>
    <w:rsid w:val="00965DD1"/>
    <w:rsid w:val="009661E0"/>
    <w:rsid w:val="00966627"/>
    <w:rsid w:val="0096696B"/>
    <w:rsid w:val="00967512"/>
    <w:rsid w:val="009675C3"/>
    <w:rsid w:val="009676E8"/>
    <w:rsid w:val="009679E2"/>
    <w:rsid w:val="00967A18"/>
    <w:rsid w:val="00967B1F"/>
    <w:rsid w:val="00967BE3"/>
    <w:rsid w:val="00967D6D"/>
    <w:rsid w:val="0097006F"/>
    <w:rsid w:val="009701BE"/>
    <w:rsid w:val="009705EC"/>
    <w:rsid w:val="00970985"/>
    <w:rsid w:val="00970B52"/>
    <w:rsid w:val="00970FB2"/>
    <w:rsid w:val="009714AE"/>
    <w:rsid w:val="009722F6"/>
    <w:rsid w:val="0097307E"/>
    <w:rsid w:val="0097325F"/>
    <w:rsid w:val="009742A5"/>
    <w:rsid w:val="00974455"/>
    <w:rsid w:val="00974559"/>
    <w:rsid w:val="0097468A"/>
    <w:rsid w:val="00974690"/>
    <w:rsid w:val="00974979"/>
    <w:rsid w:val="009749B6"/>
    <w:rsid w:val="00974B09"/>
    <w:rsid w:val="00974C6F"/>
    <w:rsid w:val="00974FD0"/>
    <w:rsid w:val="009751C6"/>
    <w:rsid w:val="00975492"/>
    <w:rsid w:val="00975715"/>
    <w:rsid w:val="00975869"/>
    <w:rsid w:val="00975EF3"/>
    <w:rsid w:val="0097622E"/>
    <w:rsid w:val="00976237"/>
    <w:rsid w:val="00976273"/>
    <w:rsid w:val="0097684E"/>
    <w:rsid w:val="009769BB"/>
    <w:rsid w:val="00976B78"/>
    <w:rsid w:val="00977080"/>
    <w:rsid w:val="009772A0"/>
    <w:rsid w:val="009775F6"/>
    <w:rsid w:val="009776D6"/>
    <w:rsid w:val="009777E9"/>
    <w:rsid w:val="00977963"/>
    <w:rsid w:val="00977DF7"/>
    <w:rsid w:val="00977EEE"/>
    <w:rsid w:val="009804AC"/>
    <w:rsid w:val="00980C76"/>
    <w:rsid w:val="0098121E"/>
    <w:rsid w:val="00981687"/>
    <w:rsid w:val="00982340"/>
    <w:rsid w:val="00982490"/>
    <w:rsid w:val="00982B31"/>
    <w:rsid w:val="00982C46"/>
    <w:rsid w:val="00982C63"/>
    <w:rsid w:val="00982D62"/>
    <w:rsid w:val="0098311E"/>
    <w:rsid w:val="00983463"/>
    <w:rsid w:val="00983511"/>
    <w:rsid w:val="00983E2A"/>
    <w:rsid w:val="00983F39"/>
    <w:rsid w:val="009840C1"/>
    <w:rsid w:val="00984185"/>
    <w:rsid w:val="0098485D"/>
    <w:rsid w:val="009848E9"/>
    <w:rsid w:val="00984B1B"/>
    <w:rsid w:val="00984BAD"/>
    <w:rsid w:val="00984E70"/>
    <w:rsid w:val="00986E9B"/>
    <w:rsid w:val="00987040"/>
    <w:rsid w:val="00987233"/>
    <w:rsid w:val="00987480"/>
    <w:rsid w:val="00987548"/>
    <w:rsid w:val="009875CA"/>
    <w:rsid w:val="009876CF"/>
    <w:rsid w:val="00987E8F"/>
    <w:rsid w:val="00990B3A"/>
    <w:rsid w:val="00990DF5"/>
    <w:rsid w:val="00991BC8"/>
    <w:rsid w:val="00991D58"/>
    <w:rsid w:val="0099219B"/>
    <w:rsid w:val="00992AC9"/>
    <w:rsid w:val="00993E7E"/>
    <w:rsid w:val="00994045"/>
    <w:rsid w:val="00994623"/>
    <w:rsid w:val="0099468A"/>
    <w:rsid w:val="00995C6B"/>
    <w:rsid w:val="009962B2"/>
    <w:rsid w:val="00996442"/>
    <w:rsid w:val="009967E0"/>
    <w:rsid w:val="00996880"/>
    <w:rsid w:val="009971F3"/>
    <w:rsid w:val="0099735B"/>
    <w:rsid w:val="00997EBC"/>
    <w:rsid w:val="009A01D4"/>
    <w:rsid w:val="009A05A1"/>
    <w:rsid w:val="009A068C"/>
    <w:rsid w:val="009A0DDA"/>
    <w:rsid w:val="009A1613"/>
    <w:rsid w:val="009A16BE"/>
    <w:rsid w:val="009A18BB"/>
    <w:rsid w:val="009A1F1C"/>
    <w:rsid w:val="009A1F98"/>
    <w:rsid w:val="009A22EC"/>
    <w:rsid w:val="009A25CF"/>
    <w:rsid w:val="009A2966"/>
    <w:rsid w:val="009A2D96"/>
    <w:rsid w:val="009A2FAC"/>
    <w:rsid w:val="009A35F1"/>
    <w:rsid w:val="009A3A36"/>
    <w:rsid w:val="009A432D"/>
    <w:rsid w:val="009A46EA"/>
    <w:rsid w:val="009A4BBE"/>
    <w:rsid w:val="009A4D5F"/>
    <w:rsid w:val="009A523B"/>
    <w:rsid w:val="009A5BEC"/>
    <w:rsid w:val="009A6155"/>
    <w:rsid w:val="009A6156"/>
    <w:rsid w:val="009A61F2"/>
    <w:rsid w:val="009A6CA9"/>
    <w:rsid w:val="009A751C"/>
    <w:rsid w:val="009A794F"/>
    <w:rsid w:val="009A7A3A"/>
    <w:rsid w:val="009A7D49"/>
    <w:rsid w:val="009A7FA9"/>
    <w:rsid w:val="009B02F1"/>
    <w:rsid w:val="009B0521"/>
    <w:rsid w:val="009B0928"/>
    <w:rsid w:val="009B0ACD"/>
    <w:rsid w:val="009B1586"/>
    <w:rsid w:val="009B16EA"/>
    <w:rsid w:val="009B2942"/>
    <w:rsid w:val="009B2D64"/>
    <w:rsid w:val="009B324A"/>
    <w:rsid w:val="009B32FB"/>
    <w:rsid w:val="009B352B"/>
    <w:rsid w:val="009B3A97"/>
    <w:rsid w:val="009B4BA0"/>
    <w:rsid w:val="009B5455"/>
    <w:rsid w:val="009B5E69"/>
    <w:rsid w:val="009B62A4"/>
    <w:rsid w:val="009B67D1"/>
    <w:rsid w:val="009B6A86"/>
    <w:rsid w:val="009B6CEB"/>
    <w:rsid w:val="009B6D89"/>
    <w:rsid w:val="009B74A8"/>
    <w:rsid w:val="009C0274"/>
    <w:rsid w:val="009C0961"/>
    <w:rsid w:val="009C0D43"/>
    <w:rsid w:val="009C1383"/>
    <w:rsid w:val="009C139E"/>
    <w:rsid w:val="009C2F13"/>
    <w:rsid w:val="009C36DF"/>
    <w:rsid w:val="009C3EB5"/>
    <w:rsid w:val="009C41C1"/>
    <w:rsid w:val="009C4D32"/>
    <w:rsid w:val="009C5096"/>
    <w:rsid w:val="009C547F"/>
    <w:rsid w:val="009C57DD"/>
    <w:rsid w:val="009C605E"/>
    <w:rsid w:val="009C7B4C"/>
    <w:rsid w:val="009C7D2B"/>
    <w:rsid w:val="009D0346"/>
    <w:rsid w:val="009D04A2"/>
    <w:rsid w:val="009D0950"/>
    <w:rsid w:val="009D0A18"/>
    <w:rsid w:val="009D1068"/>
    <w:rsid w:val="009D1194"/>
    <w:rsid w:val="009D186E"/>
    <w:rsid w:val="009D1EC6"/>
    <w:rsid w:val="009D1FAE"/>
    <w:rsid w:val="009D22E3"/>
    <w:rsid w:val="009D26BA"/>
    <w:rsid w:val="009D2706"/>
    <w:rsid w:val="009D2D08"/>
    <w:rsid w:val="009D2E15"/>
    <w:rsid w:val="009D2E73"/>
    <w:rsid w:val="009D3941"/>
    <w:rsid w:val="009D4175"/>
    <w:rsid w:val="009D42E3"/>
    <w:rsid w:val="009D4E17"/>
    <w:rsid w:val="009D4F08"/>
    <w:rsid w:val="009D58D0"/>
    <w:rsid w:val="009D6D36"/>
    <w:rsid w:val="009D6F61"/>
    <w:rsid w:val="009D70C6"/>
    <w:rsid w:val="009D7286"/>
    <w:rsid w:val="009D7776"/>
    <w:rsid w:val="009D7C43"/>
    <w:rsid w:val="009D7F7D"/>
    <w:rsid w:val="009E023A"/>
    <w:rsid w:val="009E05C6"/>
    <w:rsid w:val="009E082F"/>
    <w:rsid w:val="009E0BCB"/>
    <w:rsid w:val="009E0CC7"/>
    <w:rsid w:val="009E0E1E"/>
    <w:rsid w:val="009E11BF"/>
    <w:rsid w:val="009E21E4"/>
    <w:rsid w:val="009E22BF"/>
    <w:rsid w:val="009E2660"/>
    <w:rsid w:val="009E274E"/>
    <w:rsid w:val="009E2999"/>
    <w:rsid w:val="009E2BC6"/>
    <w:rsid w:val="009E36BC"/>
    <w:rsid w:val="009E3746"/>
    <w:rsid w:val="009E3B4B"/>
    <w:rsid w:val="009E3CF4"/>
    <w:rsid w:val="009E4177"/>
    <w:rsid w:val="009E4B53"/>
    <w:rsid w:val="009E4B5A"/>
    <w:rsid w:val="009E4DC3"/>
    <w:rsid w:val="009E4ECA"/>
    <w:rsid w:val="009E4F44"/>
    <w:rsid w:val="009E504F"/>
    <w:rsid w:val="009E5160"/>
    <w:rsid w:val="009E54D5"/>
    <w:rsid w:val="009E5C8C"/>
    <w:rsid w:val="009E5D8B"/>
    <w:rsid w:val="009E5EE3"/>
    <w:rsid w:val="009E63BE"/>
    <w:rsid w:val="009E6991"/>
    <w:rsid w:val="009E6B16"/>
    <w:rsid w:val="009E6D62"/>
    <w:rsid w:val="009E6FFC"/>
    <w:rsid w:val="009E71EB"/>
    <w:rsid w:val="009E76FA"/>
    <w:rsid w:val="009E7D37"/>
    <w:rsid w:val="009E7E1C"/>
    <w:rsid w:val="009E7F5A"/>
    <w:rsid w:val="009F03C2"/>
    <w:rsid w:val="009F0B2C"/>
    <w:rsid w:val="009F1246"/>
    <w:rsid w:val="009F1738"/>
    <w:rsid w:val="009F1755"/>
    <w:rsid w:val="009F1B46"/>
    <w:rsid w:val="009F20B7"/>
    <w:rsid w:val="009F24F9"/>
    <w:rsid w:val="009F25F1"/>
    <w:rsid w:val="009F2822"/>
    <w:rsid w:val="009F2950"/>
    <w:rsid w:val="009F366C"/>
    <w:rsid w:val="009F3950"/>
    <w:rsid w:val="009F3981"/>
    <w:rsid w:val="009F3E64"/>
    <w:rsid w:val="009F45AA"/>
    <w:rsid w:val="009F4648"/>
    <w:rsid w:val="009F56D7"/>
    <w:rsid w:val="009F62AF"/>
    <w:rsid w:val="009F63E1"/>
    <w:rsid w:val="009F6553"/>
    <w:rsid w:val="009F68B4"/>
    <w:rsid w:val="009F6948"/>
    <w:rsid w:val="009F6A35"/>
    <w:rsid w:val="009F6F4D"/>
    <w:rsid w:val="009F7020"/>
    <w:rsid w:val="009F704E"/>
    <w:rsid w:val="009F737A"/>
    <w:rsid w:val="009F7A19"/>
    <w:rsid w:val="009F7C22"/>
    <w:rsid w:val="00A002C7"/>
    <w:rsid w:val="00A0035B"/>
    <w:rsid w:val="00A00659"/>
    <w:rsid w:val="00A007FE"/>
    <w:rsid w:val="00A00D9B"/>
    <w:rsid w:val="00A016D6"/>
    <w:rsid w:val="00A01776"/>
    <w:rsid w:val="00A01F62"/>
    <w:rsid w:val="00A0201D"/>
    <w:rsid w:val="00A02D2F"/>
    <w:rsid w:val="00A03638"/>
    <w:rsid w:val="00A03B8C"/>
    <w:rsid w:val="00A0427A"/>
    <w:rsid w:val="00A0449D"/>
    <w:rsid w:val="00A04826"/>
    <w:rsid w:val="00A04A60"/>
    <w:rsid w:val="00A04CD6"/>
    <w:rsid w:val="00A04D7E"/>
    <w:rsid w:val="00A052D6"/>
    <w:rsid w:val="00A0580F"/>
    <w:rsid w:val="00A0613A"/>
    <w:rsid w:val="00A062E0"/>
    <w:rsid w:val="00A074F5"/>
    <w:rsid w:val="00A07964"/>
    <w:rsid w:val="00A07E1A"/>
    <w:rsid w:val="00A07FAC"/>
    <w:rsid w:val="00A100D0"/>
    <w:rsid w:val="00A109B1"/>
    <w:rsid w:val="00A10D3D"/>
    <w:rsid w:val="00A10EF0"/>
    <w:rsid w:val="00A11400"/>
    <w:rsid w:val="00A11410"/>
    <w:rsid w:val="00A117FC"/>
    <w:rsid w:val="00A11D0C"/>
    <w:rsid w:val="00A11FD1"/>
    <w:rsid w:val="00A1239B"/>
    <w:rsid w:val="00A13264"/>
    <w:rsid w:val="00A136CD"/>
    <w:rsid w:val="00A13FA3"/>
    <w:rsid w:val="00A1454F"/>
    <w:rsid w:val="00A147BB"/>
    <w:rsid w:val="00A14A10"/>
    <w:rsid w:val="00A14C3D"/>
    <w:rsid w:val="00A14C92"/>
    <w:rsid w:val="00A15947"/>
    <w:rsid w:val="00A15BC8"/>
    <w:rsid w:val="00A15D71"/>
    <w:rsid w:val="00A161C5"/>
    <w:rsid w:val="00A165BA"/>
    <w:rsid w:val="00A16AB7"/>
    <w:rsid w:val="00A16D49"/>
    <w:rsid w:val="00A17004"/>
    <w:rsid w:val="00A17654"/>
    <w:rsid w:val="00A176C0"/>
    <w:rsid w:val="00A17832"/>
    <w:rsid w:val="00A178F9"/>
    <w:rsid w:val="00A17E04"/>
    <w:rsid w:val="00A17F7A"/>
    <w:rsid w:val="00A2118B"/>
    <w:rsid w:val="00A211C8"/>
    <w:rsid w:val="00A21223"/>
    <w:rsid w:val="00A21351"/>
    <w:rsid w:val="00A219FF"/>
    <w:rsid w:val="00A21BD5"/>
    <w:rsid w:val="00A220AC"/>
    <w:rsid w:val="00A22515"/>
    <w:rsid w:val="00A228BB"/>
    <w:rsid w:val="00A22919"/>
    <w:rsid w:val="00A234A0"/>
    <w:rsid w:val="00A239DE"/>
    <w:rsid w:val="00A23C1B"/>
    <w:rsid w:val="00A241DA"/>
    <w:rsid w:val="00A2429A"/>
    <w:rsid w:val="00A246BE"/>
    <w:rsid w:val="00A2499B"/>
    <w:rsid w:val="00A24B18"/>
    <w:rsid w:val="00A24BD7"/>
    <w:rsid w:val="00A24E1F"/>
    <w:rsid w:val="00A255BE"/>
    <w:rsid w:val="00A26456"/>
    <w:rsid w:val="00A26472"/>
    <w:rsid w:val="00A26539"/>
    <w:rsid w:val="00A26675"/>
    <w:rsid w:val="00A2669F"/>
    <w:rsid w:val="00A266AC"/>
    <w:rsid w:val="00A26B2C"/>
    <w:rsid w:val="00A26C6E"/>
    <w:rsid w:val="00A27328"/>
    <w:rsid w:val="00A274A2"/>
    <w:rsid w:val="00A27AE1"/>
    <w:rsid w:val="00A27C25"/>
    <w:rsid w:val="00A27CD7"/>
    <w:rsid w:val="00A27D99"/>
    <w:rsid w:val="00A300F4"/>
    <w:rsid w:val="00A3023B"/>
    <w:rsid w:val="00A304F8"/>
    <w:rsid w:val="00A3077B"/>
    <w:rsid w:val="00A30B5F"/>
    <w:rsid w:val="00A30CF5"/>
    <w:rsid w:val="00A30D20"/>
    <w:rsid w:val="00A317B0"/>
    <w:rsid w:val="00A325A1"/>
    <w:rsid w:val="00A327D4"/>
    <w:rsid w:val="00A3328B"/>
    <w:rsid w:val="00A3354A"/>
    <w:rsid w:val="00A33824"/>
    <w:rsid w:val="00A34587"/>
    <w:rsid w:val="00A345E1"/>
    <w:rsid w:val="00A346C4"/>
    <w:rsid w:val="00A34E7C"/>
    <w:rsid w:val="00A3550F"/>
    <w:rsid w:val="00A357E9"/>
    <w:rsid w:val="00A357F5"/>
    <w:rsid w:val="00A359D3"/>
    <w:rsid w:val="00A360A4"/>
    <w:rsid w:val="00A360C4"/>
    <w:rsid w:val="00A361D4"/>
    <w:rsid w:val="00A365EB"/>
    <w:rsid w:val="00A36632"/>
    <w:rsid w:val="00A36BAF"/>
    <w:rsid w:val="00A36BF1"/>
    <w:rsid w:val="00A36D91"/>
    <w:rsid w:val="00A36E22"/>
    <w:rsid w:val="00A373FB"/>
    <w:rsid w:val="00A40487"/>
    <w:rsid w:val="00A40CAA"/>
    <w:rsid w:val="00A410E2"/>
    <w:rsid w:val="00A4181A"/>
    <w:rsid w:val="00A41AA6"/>
    <w:rsid w:val="00A41DDE"/>
    <w:rsid w:val="00A4219E"/>
    <w:rsid w:val="00A42537"/>
    <w:rsid w:val="00A429F9"/>
    <w:rsid w:val="00A43149"/>
    <w:rsid w:val="00A43205"/>
    <w:rsid w:val="00A43553"/>
    <w:rsid w:val="00A43B5D"/>
    <w:rsid w:val="00A43F33"/>
    <w:rsid w:val="00A442D0"/>
    <w:rsid w:val="00A44493"/>
    <w:rsid w:val="00A4469F"/>
    <w:rsid w:val="00A44D41"/>
    <w:rsid w:val="00A44D42"/>
    <w:rsid w:val="00A44EEA"/>
    <w:rsid w:val="00A455B7"/>
    <w:rsid w:val="00A456EB"/>
    <w:rsid w:val="00A45D83"/>
    <w:rsid w:val="00A47174"/>
    <w:rsid w:val="00A47E49"/>
    <w:rsid w:val="00A500C6"/>
    <w:rsid w:val="00A504AA"/>
    <w:rsid w:val="00A509FF"/>
    <w:rsid w:val="00A50CA7"/>
    <w:rsid w:val="00A510F9"/>
    <w:rsid w:val="00A51621"/>
    <w:rsid w:val="00A51794"/>
    <w:rsid w:val="00A51942"/>
    <w:rsid w:val="00A5208F"/>
    <w:rsid w:val="00A521ED"/>
    <w:rsid w:val="00A527BB"/>
    <w:rsid w:val="00A528BA"/>
    <w:rsid w:val="00A52C3A"/>
    <w:rsid w:val="00A52FDF"/>
    <w:rsid w:val="00A537EA"/>
    <w:rsid w:val="00A538A7"/>
    <w:rsid w:val="00A541C4"/>
    <w:rsid w:val="00A544AB"/>
    <w:rsid w:val="00A54AC7"/>
    <w:rsid w:val="00A54BCB"/>
    <w:rsid w:val="00A54DF3"/>
    <w:rsid w:val="00A55BEC"/>
    <w:rsid w:val="00A55ED3"/>
    <w:rsid w:val="00A55FD7"/>
    <w:rsid w:val="00A5619F"/>
    <w:rsid w:val="00A564F3"/>
    <w:rsid w:val="00A567F5"/>
    <w:rsid w:val="00A56D29"/>
    <w:rsid w:val="00A56F7F"/>
    <w:rsid w:val="00A5715C"/>
    <w:rsid w:val="00A57685"/>
    <w:rsid w:val="00A57B28"/>
    <w:rsid w:val="00A57C5C"/>
    <w:rsid w:val="00A57DB3"/>
    <w:rsid w:val="00A60B9C"/>
    <w:rsid w:val="00A60D34"/>
    <w:rsid w:val="00A61A7C"/>
    <w:rsid w:val="00A61E7C"/>
    <w:rsid w:val="00A62A2B"/>
    <w:rsid w:val="00A62C66"/>
    <w:rsid w:val="00A62CE2"/>
    <w:rsid w:val="00A635BD"/>
    <w:rsid w:val="00A63C5B"/>
    <w:rsid w:val="00A63CB7"/>
    <w:rsid w:val="00A63EBB"/>
    <w:rsid w:val="00A6403C"/>
    <w:rsid w:val="00A64060"/>
    <w:rsid w:val="00A64470"/>
    <w:rsid w:val="00A644AD"/>
    <w:rsid w:val="00A646C6"/>
    <w:rsid w:val="00A64A37"/>
    <w:rsid w:val="00A64CDF"/>
    <w:rsid w:val="00A64DC2"/>
    <w:rsid w:val="00A654B8"/>
    <w:rsid w:val="00A65C35"/>
    <w:rsid w:val="00A661A2"/>
    <w:rsid w:val="00A662B1"/>
    <w:rsid w:val="00A66831"/>
    <w:rsid w:val="00A66B56"/>
    <w:rsid w:val="00A66FF8"/>
    <w:rsid w:val="00A67062"/>
    <w:rsid w:val="00A67190"/>
    <w:rsid w:val="00A673E7"/>
    <w:rsid w:val="00A67630"/>
    <w:rsid w:val="00A679C4"/>
    <w:rsid w:val="00A67A35"/>
    <w:rsid w:val="00A67F06"/>
    <w:rsid w:val="00A704CA"/>
    <w:rsid w:val="00A70566"/>
    <w:rsid w:val="00A7089C"/>
    <w:rsid w:val="00A70E5C"/>
    <w:rsid w:val="00A7126C"/>
    <w:rsid w:val="00A71386"/>
    <w:rsid w:val="00A7139E"/>
    <w:rsid w:val="00A71751"/>
    <w:rsid w:val="00A71752"/>
    <w:rsid w:val="00A71856"/>
    <w:rsid w:val="00A71D25"/>
    <w:rsid w:val="00A71EE1"/>
    <w:rsid w:val="00A72046"/>
    <w:rsid w:val="00A7233D"/>
    <w:rsid w:val="00A731BE"/>
    <w:rsid w:val="00A738CA"/>
    <w:rsid w:val="00A73D3D"/>
    <w:rsid w:val="00A745A2"/>
    <w:rsid w:val="00A7478C"/>
    <w:rsid w:val="00A74AF3"/>
    <w:rsid w:val="00A74C78"/>
    <w:rsid w:val="00A752A2"/>
    <w:rsid w:val="00A75343"/>
    <w:rsid w:val="00A756E5"/>
    <w:rsid w:val="00A75A91"/>
    <w:rsid w:val="00A76404"/>
    <w:rsid w:val="00A766F7"/>
    <w:rsid w:val="00A76AC1"/>
    <w:rsid w:val="00A76B09"/>
    <w:rsid w:val="00A77263"/>
    <w:rsid w:val="00A776EC"/>
    <w:rsid w:val="00A77B95"/>
    <w:rsid w:val="00A8028C"/>
    <w:rsid w:val="00A808FE"/>
    <w:rsid w:val="00A80DE9"/>
    <w:rsid w:val="00A810CB"/>
    <w:rsid w:val="00A81111"/>
    <w:rsid w:val="00A81280"/>
    <w:rsid w:val="00A81484"/>
    <w:rsid w:val="00A81EB6"/>
    <w:rsid w:val="00A82953"/>
    <w:rsid w:val="00A829EF"/>
    <w:rsid w:val="00A82CCE"/>
    <w:rsid w:val="00A836EC"/>
    <w:rsid w:val="00A8603E"/>
    <w:rsid w:val="00A866EB"/>
    <w:rsid w:val="00A868CC"/>
    <w:rsid w:val="00A86AFD"/>
    <w:rsid w:val="00A86F60"/>
    <w:rsid w:val="00A87634"/>
    <w:rsid w:val="00A87870"/>
    <w:rsid w:val="00A87E51"/>
    <w:rsid w:val="00A87ECD"/>
    <w:rsid w:val="00A90449"/>
    <w:rsid w:val="00A90488"/>
    <w:rsid w:val="00A904D3"/>
    <w:rsid w:val="00A9097C"/>
    <w:rsid w:val="00A90EEF"/>
    <w:rsid w:val="00A91591"/>
    <w:rsid w:val="00A91865"/>
    <w:rsid w:val="00A92093"/>
    <w:rsid w:val="00A92639"/>
    <w:rsid w:val="00A927C5"/>
    <w:rsid w:val="00A92A3A"/>
    <w:rsid w:val="00A92BC5"/>
    <w:rsid w:val="00A92D5D"/>
    <w:rsid w:val="00A93104"/>
    <w:rsid w:val="00A9315A"/>
    <w:rsid w:val="00A932B8"/>
    <w:rsid w:val="00A93311"/>
    <w:rsid w:val="00A934BD"/>
    <w:rsid w:val="00A9358E"/>
    <w:rsid w:val="00A9370A"/>
    <w:rsid w:val="00A93808"/>
    <w:rsid w:val="00A9386B"/>
    <w:rsid w:val="00A93FCB"/>
    <w:rsid w:val="00A94240"/>
    <w:rsid w:val="00A9447D"/>
    <w:rsid w:val="00A948C1"/>
    <w:rsid w:val="00A94FBE"/>
    <w:rsid w:val="00A95077"/>
    <w:rsid w:val="00A95219"/>
    <w:rsid w:val="00A95A23"/>
    <w:rsid w:val="00A96116"/>
    <w:rsid w:val="00A968BD"/>
    <w:rsid w:val="00A97156"/>
    <w:rsid w:val="00A971A3"/>
    <w:rsid w:val="00A971AD"/>
    <w:rsid w:val="00A97886"/>
    <w:rsid w:val="00A97948"/>
    <w:rsid w:val="00A97B35"/>
    <w:rsid w:val="00A97CBB"/>
    <w:rsid w:val="00A97F4E"/>
    <w:rsid w:val="00A97F65"/>
    <w:rsid w:val="00AA052B"/>
    <w:rsid w:val="00AA07FC"/>
    <w:rsid w:val="00AA082E"/>
    <w:rsid w:val="00AA0E0F"/>
    <w:rsid w:val="00AA0EE3"/>
    <w:rsid w:val="00AA1169"/>
    <w:rsid w:val="00AA13C0"/>
    <w:rsid w:val="00AA1682"/>
    <w:rsid w:val="00AA175E"/>
    <w:rsid w:val="00AA1B09"/>
    <w:rsid w:val="00AA1B92"/>
    <w:rsid w:val="00AA2123"/>
    <w:rsid w:val="00AA252C"/>
    <w:rsid w:val="00AA286D"/>
    <w:rsid w:val="00AA2A1B"/>
    <w:rsid w:val="00AA2B2E"/>
    <w:rsid w:val="00AA2CE3"/>
    <w:rsid w:val="00AA3115"/>
    <w:rsid w:val="00AA38DB"/>
    <w:rsid w:val="00AA3AA9"/>
    <w:rsid w:val="00AA3E39"/>
    <w:rsid w:val="00AA3F3C"/>
    <w:rsid w:val="00AA4114"/>
    <w:rsid w:val="00AA4217"/>
    <w:rsid w:val="00AA48B3"/>
    <w:rsid w:val="00AA49A7"/>
    <w:rsid w:val="00AA4C95"/>
    <w:rsid w:val="00AA4E6A"/>
    <w:rsid w:val="00AA4FF9"/>
    <w:rsid w:val="00AA586C"/>
    <w:rsid w:val="00AA5A27"/>
    <w:rsid w:val="00AA5BA2"/>
    <w:rsid w:val="00AA5F30"/>
    <w:rsid w:val="00AA6762"/>
    <w:rsid w:val="00AA6792"/>
    <w:rsid w:val="00AA695C"/>
    <w:rsid w:val="00AA6A3B"/>
    <w:rsid w:val="00AA6AF0"/>
    <w:rsid w:val="00AA703F"/>
    <w:rsid w:val="00AA71E7"/>
    <w:rsid w:val="00AA7794"/>
    <w:rsid w:val="00AA7931"/>
    <w:rsid w:val="00AA7B78"/>
    <w:rsid w:val="00AA7D34"/>
    <w:rsid w:val="00AA7FB0"/>
    <w:rsid w:val="00AB00A4"/>
    <w:rsid w:val="00AB0875"/>
    <w:rsid w:val="00AB0B7D"/>
    <w:rsid w:val="00AB0DC7"/>
    <w:rsid w:val="00AB0FCA"/>
    <w:rsid w:val="00AB1356"/>
    <w:rsid w:val="00AB1780"/>
    <w:rsid w:val="00AB1A01"/>
    <w:rsid w:val="00AB20B2"/>
    <w:rsid w:val="00AB260D"/>
    <w:rsid w:val="00AB291A"/>
    <w:rsid w:val="00AB29AF"/>
    <w:rsid w:val="00AB2EB7"/>
    <w:rsid w:val="00AB313D"/>
    <w:rsid w:val="00AB31A7"/>
    <w:rsid w:val="00AB3372"/>
    <w:rsid w:val="00AB364E"/>
    <w:rsid w:val="00AB36B9"/>
    <w:rsid w:val="00AB38B5"/>
    <w:rsid w:val="00AB3B92"/>
    <w:rsid w:val="00AB3D24"/>
    <w:rsid w:val="00AB40D7"/>
    <w:rsid w:val="00AB424F"/>
    <w:rsid w:val="00AB44D6"/>
    <w:rsid w:val="00AB461B"/>
    <w:rsid w:val="00AB49CA"/>
    <w:rsid w:val="00AB4A14"/>
    <w:rsid w:val="00AB5934"/>
    <w:rsid w:val="00AB5DE9"/>
    <w:rsid w:val="00AB5EEC"/>
    <w:rsid w:val="00AB6246"/>
    <w:rsid w:val="00AB6984"/>
    <w:rsid w:val="00AB6DF9"/>
    <w:rsid w:val="00AB7D4A"/>
    <w:rsid w:val="00AB7D99"/>
    <w:rsid w:val="00AB7F85"/>
    <w:rsid w:val="00AC07DE"/>
    <w:rsid w:val="00AC096A"/>
    <w:rsid w:val="00AC0D30"/>
    <w:rsid w:val="00AC1010"/>
    <w:rsid w:val="00AC12EB"/>
    <w:rsid w:val="00AC174B"/>
    <w:rsid w:val="00AC1755"/>
    <w:rsid w:val="00AC1763"/>
    <w:rsid w:val="00AC23FC"/>
    <w:rsid w:val="00AC2FF7"/>
    <w:rsid w:val="00AC31F7"/>
    <w:rsid w:val="00AC3292"/>
    <w:rsid w:val="00AC3B9B"/>
    <w:rsid w:val="00AC3CA3"/>
    <w:rsid w:val="00AC3F05"/>
    <w:rsid w:val="00AC422E"/>
    <w:rsid w:val="00AC4774"/>
    <w:rsid w:val="00AC496F"/>
    <w:rsid w:val="00AC4CA2"/>
    <w:rsid w:val="00AC4FBC"/>
    <w:rsid w:val="00AC51A9"/>
    <w:rsid w:val="00AC6740"/>
    <w:rsid w:val="00AC6CE0"/>
    <w:rsid w:val="00AC6FBF"/>
    <w:rsid w:val="00AC711D"/>
    <w:rsid w:val="00AC7605"/>
    <w:rsid w:val="00AD00D8"/>
    <w:rsid w:val="00AD06E9"/>
    <w:rsid w:val="00AD0BB2"/>
    <w:rsid w:val="00AD0F65"/>
    <w:rsid w:val="00AD0FA2"/>
    <w:rsid w:val="00AD1263"/>
    <w:rsid w:val="00AD12AA"/>
    <w:rsid w:val="00AD12F1"/>
    <w:rsid w:val="00AD1D23"/>
    <w:rsid w:val="00AD22B2"/>
    <w:rsid w:val="00AD291E"/>
    <w:rsid w:val="00AD29F0"/>
    <w:rsid w:val="00AD3091"/>
    <w:rsid w:val="00AD3197"/>
    <w:rsid w:val="00AD354B"/>
    <w:rsid w:val="00AD3580"/>
    <w:rsid w:val="00AD3991"/>
    <w:rsid w:val="00AD3ABB"/>
    <w:rsid w:val="00AD3E1B"/>
    <w:rsid w:val="00AD3E45"/>
    <w:rsid w:val="00AD4315"/>
    <w:rsid w:val="00AD561B"/>
    <w:rsid w:val="00AD5649"/>
    <w:rsid w:val="00AD5740"/>
    <w:rsid w:val="00AD596B"/>
    <w:rsid w:val="00AD5D86"/>
    <w:rsid w:val="00AD5F2F"/>
    <w:rsid w:val="00AD6B3A"/>
    <w:rsid w:val="00AD72C2"/>
    <w:rsid w:val="00AD73C5"/>
    <w:rsid w:val="00AD799C"/>
    <w:rsid w:val="00AD7A66"/>
    <w:rsid w:val="00AD7AEA"/>
    <w:rsid w:val="00AD7D11"/>
    <w:rsid w:val="00AD7FFB"/>
    <w:rsid w:val="00AE01E8"/>
    <w:rsid w:val="00AE0F71"/>
    <w:rsid w:val="00AE1028"/>
    <w:rsid w:val="00AE11B3"/>
    <w:rsid w:val="00AE11DC"/>
    <w:rsid w:val="00AE20B5"/>
    <w:rsid w:val="00AE218C"/>
    <w:rsid w:val="00AE26F0"/>
    <w:rsid w:val="00AE2DBE"/>
    <w:rsid w:val="00AE360B"/>
    <w:rsid w:val="00AE39CF"/>
    <w:rsid w:val="00AE43F9"/>
    <w:rsid w:val="00AE449F"/>
    <w:rsid w:val="00AE4CE7"/>
    <w:rsid w:val="00AE594D"/>
    <w:rsid w:val="00AE5FFB"/>
    <w:rsid w:val="00AE64C3"/>
    <w:rsid w:val="00AE6744"/>
    <w:rsid w:val="00AE6B05"/>
    <w:rsid w:val="00AE6B6D"/>
    <w:rsid w:val="00AE6DAC"/>
    <w:rsid w:val="00AE7851"/>
    <w:rsid w:val="00AF002B"/>
    <w:rsid w:val="00AF0615"/>
    <w:rsid w:val="00AF0A1E"/>
    <w:rsid w:val="00AF0D9C"/>
    <w:rsid w:val="00AF0DF7"/>
    <w:rsid w:val="00AF0F90"/>
    <w:rsid w:val="00AF10B7"/>
    <w:rsid w:val="00AF1787"/>
    <w:rsid w:val="00AF21CB"/>
    <w:rsid w:val="00AF2443"/>
    <w:rsid w:val="00AF2EC6"/>
    <w:rsid w:val="00AF31E0"/>
    <w:rsid w:val="00AF3565"/>
    <w:rsid w:val="00AF3E2A"/>
    <w:rsid w:val="00AF4299"/>
    <w:rsid w:val="00AF451B"/>
    <w:rsid w:val="00AF47D2"/>
    <w:rsid w:val="00AF49FE"/>
    <w:rsid w:val="00AF4BAB"/>
    <w:rsid w:val="00AF4F84"/>
    <w:rsid w:val="00AF512C"/>
    <w:rsid w:val="00AF5CAD"/>
    <w:rsid w:val="00AF5F2F"/>
    <w:rsid w:val="00AF646A"/>
    <w:rsid w:val="00AF7447"/>
    <w:rsid w:val="00AF77FA"/>
    <w:rsid w:val="00B00B87"/>
    <w:rsid w:val="00B00C53"/>
    <w:rsid w:val="00B014A3"/>
    <w:rsid w:val="00B0200F"/>
    <w:rsid w:val="00B020CE"/>
    <w:rsid w:val="00B0227A"/>
    <w:rsid w:val="00B02401"/>
    <w:rsid w:val="00B0261E"/>
    <w:rsid w:val="00B02978"/>
    <w:rsid w:val="00B035C8"/>
    <w:rsid w:val="00B0366A"/>
    <w:rsid w:val="00B03E9D"/>
    <w:rsid w:val="00B04A42"/>
    <w:rsid w:val="00B04D2A"/>
    <w:rsid w:val="00B0554F"/>
    <w:rsid w:val="00B056BB"/>
    <w:rsid w:val="00B05762"/>
    <w:rsid w:val="00B05818"/>
    <w:rsid w:val="00B05AE4"/>
    <w:rsid w:val="00B05D38"/>
    <w:rsid w:val="00B062B3"/>
    <w:rsid w:val="00B0654E"/>
    <w:rsid w:val="00B07302"/>
    <w:rsid w:val="00B0747F"/>
    <w:rsid w:val="00B078E1"/>
    <w:rsid w:val="00B10142"/>
    <w:rsid w:val="00B10A99"/>
    <w:rsid w:val="00B10E13"/>
    <w:rsid w:val="00B11A77"/>
    <w:rsid w:val="00B11B70"/>
    <w:rsid w:val="00B11DBB"/>
    <w:rsid w:val="00B1270F"/>
    <w:rsid w:val="00B1280A"/>
    <w:rsid w:val="00B1295A"/>
    <w:rsid w:val="00B12A6D"/>
    <w:rsid w:val="00B12CE7"/>
    <w:rsid w:val="00B12DFE"/>
    <w:rsid w:val="00B12FE9"/>
    <w:rsid w:val="00B1301A"/>
    <w:rsid w:val="00B13999"/>
    <w:rsid w:val="00B13CAA"/>
    <w:rsid w:val="00B143F0"/>
    <w:rsid w:val="00B14B5C"/>
    <w:rsid w:val="00B15280"/>
    <w:rsid w:val="00B15B60"/>
    <w:rsid w:val="00B15BB9"/>
    <w:rsid w:val="00B15DD8"/>
    <w:rsid w:val="00B16139"/>
    <w:rsid w:val="00B1616E"/>
    <w:rsid w:val="00B169DC"/>
    <w:rsid w:val="00B16A3E"/>
    <w:rsid w:val="00B16CCE"/>
    <w:rsid w:val="00B16D2F"/>
    <w:rsid w:val="00B17004"/>
    <w:rsid w:val="00B1733F"/>
    <w:rsid w:val="00B17559"/>
    <w:rsid w:val="00B175FF"/>
    <w:rsid w:val="00B17858"/>
    <w:rsid w:val="00B17936"/>
    <w:rsid w:val="00B1794B"/>
    <w:rsid w:val="00B179A9"/>
    <w:rsid w:val="00B17DE3"/>
    <w:rsid w:val="00B17E82"/>
    <w:rsid w:val="00B2031E"/>
    <w:rsid w:val="00B205A4"/>
    <w:rsid w:val="00B2097B"/>
    <w:rsid w:val="00B209E2"/>
    <w:rsid w:val="00B20F77"/>
    <w:rsid w:val="00B21208"/>
    <w:rsid w:val="00B215FB"/>
    <w:rsid w:val="00B21663"/>
    <w:rsid w:val="00B2190C"/>
    <w:rsid w:val="00B219D4"/>
    <w:rsid w:val="00B21D58"/>
    <w:rsid w:val="00B2231D"/>
    <w:rsid w:val="00B22EEE"/>
    <w:rsid w:val="00B2335D"/>
    <w:rsid w:val="00B2391F"/>
    <w:rsid w:val="00B23B33"/>
    <w:rsid w:val="00B23FDD"/>
    <w:rsid w:val="00B2471F"/>
    <w:rsid w:val="00B24A8F"/>
    <w:rsid w:val="00B24EDD"/>
    <w:rsid w:val="00B2524F"/>
    <w:rsid w:val="00B258BF"/>
    <w:rsid w:val="00B258E3"/>
    <w:rsid w:val="00B25C30"/>
    <w:rsid w:val="00B25EBD"/>
    <w:rsid w:val="00B26723"/>
    <w:rsid w:val="00B269BC"/>
    <w:rsid w:val="00B26B8F"/>
    <w:rsid w:val="00B27574"/>
    <w:rsid w:val="00B275F3"/>
    <w:rsid w:val="00B2761B"/>
    <w:rsid w:val="00B27728"/>
    <w:rsid w:val="00B279BF"/>
    <w:rsid w:val="00B306B1"/>
    <w:rsid w:val="00B31D94"/>
    <w:rsid w:val="00B3246C"/>
    <w:rsid w:val="00B32904"/>
    <w:rsid w:val="00B32DCF"/>
    <w:rsid w:val="00B32E64"/>
    <w:rsid w:val="00B32F2A"/>
    <w:rsid w:val="00B3345A"/>
    <w:rsid w:val="00B33758"/>
    <w:rsid w:val="00B33867"/>
    <w:rsid w:val="00B33CD1"/>
    <w:rsid w:val="00B342EB"/>
    <w:rsid w:val="00B34447"/>
    <w:rsid w:val="00B34889"/>
    <w:rsid w:val="00B34965"/>
    <w:rsid w:val="00B35138"/>
    <w:rsid w:val="00B352C2"/>
    <w:rsid w:val="00B35A52"/>
    <w:rsid w:val="00B35D49"/>
    <w:rsid w:val="00B364FA"/>
    <w:rsid w:val="00B36B98"/>
    <w:rsid w:val="00B36F3D"/>
    <w:rsid w:val="00B37578"/>
    <w:rsid w:val="00B375D0"/>
    <w:rsid w:val="00B377F2"/>
    <w:rsid w:val="00B37A6D"/>
    <w:rsid w:val="00B37D60"/>
    <w:rsid w:val="00B40780"/>
    <w:rsid w:val="00B407C5"/>
    <w:rsid w:val="00B40CE3"/>
    <w:rsid w:val="00B40F6A"/>
    <w:rsid w:val="00B41274"/>
    <w:rsid w:val="00B4128E"/>
    <w:rsid w:val="00B41344"/>
    <w:rsid w:val="00B41896"/>
    <w:rsid w:val="00B4247A"/>
    <w:rsid w:val="00B42940"/>
    <w:rsid w:val="00B43154"/>
    <w:rsid w:val="00B4317B"/>
    <w:rsid w:val="00B43268"/>
    <w:rsid w:val="00B4394D"/>
    <w:rsid w:val="00B439BD"/>
    <w:rsid w:val="00B4447D"/>
    <w:rsid w:val="00B44597"/>
    <w:rsid w:val="00B449F1"/>
    <w:rsid w:val="00B44FA5"/>
    <w:rsid w:val="00B454F9"/>
    <w:rsid w:val="00B455A4"/>
    <w:rsid w:val="00B45C67"/>
    <w:rsid w:val="00B45D00"/>
    <w:rsid w:val="00B45F6C"/>
    <w:rsid w:val="00B46371"/>
    <w:rsid w:val="00B4661C"/>
    <w:rsid w:val="00B468F7"/>
    <w:rsid w:val="00B469C0"/>
    <w:rsid w:val="00B4703E"/>
    <w:rsid w:val="00B475EA"/>
    <w:rsid w:val="00B47BCD"/>
    <w:rsid w:val="00B47E33"/>
    <w:rsid w:val="00B5054D"/>
    <w:rsid w:val="00B50821"/>
    <w:rsid w:val="00B50948"/>
    <w:rsid w:val="00B50972"/>
    <w:rsid w:val="00B50F78"/>
    <w:rsid w:val="00B517BE"/>
    <w:rsid w:val="00B51E18"/>
    <w:rsid w:val="00B5213E"/>
    <w:rsid w:val="00B521C1"/>
    <w:rsid w:val="00B525CE"/>
    <w:rsid w:val="00B526FA"/>
    <w:rsid w:val="00B52AF7"/>
    <w:rsid w:val="00B52E1A"/>
    <w:rsid w:val="00B5344C"/>
    <w:rsid w:val="00B5369B"/>
    <w:rsid w:val="00B53BC7"/>
    <w:rsid w:val="00B53C49"/>
    <w:rsid w:val="00B53CD7"/>
    <w:rsid w:val="00B53EC9"/>
    <w:rsid w:val="00B542AF"/>
    <w:rsid w:val="00B545A2"/>
    <w:rsid w:val="00B54ABD"/>
    <w:rsid w:val="00B550ED"/>
    <w:rsid w:val="00B55421"/>
    <w:rsid w:val="00B55BA4"/>
    <w:rsid w:val="00B55EEF"/>
    <w:rsid w:val="00B564F6"/>
    <w:rsid w:val="00B56828"/>
    <w:rsid w:val="00B57047"/>
    <w:rsid w:val="00B5723A"/>
    <w:rsid w:val="00B5760D"/>
    <w:rsid w:val="00B57768"/>
    <w:rsid w:val="00B602C8"/>
    <w:rsid w:val="00B60697"/>
    <w:rsid w:val="00B61E5E"/>
    <w:rsid w:val="00B61F94"/>
    <w:rsid w:val="00B61FFD"/>
    <w:rsid w:val="00B6217A"/>
    <w:rsid w:val="00B63867"/>
    <w:rsid w:val="00B63E92"/>
    <w:rsid w:val="00B64029"/>
    <w:rsid w:val="00B646B6"/>
    <w:rsid w:val="00B64A61"/>
    <w:rsid w:val="00B64C50"/>
    <w:rsid w:val="00B6558D"/>
    <w:rsid w:val="00B657D7"/>
    <w:rsid w:val="00B65943"/>
    <w:rsid w:val="00B66029"/>
    <w:rsid w:val="00B663B5"/>
    <w:rsid w:val="00B664AD"/>
    <w:rsid w:val="00B66BE0"/>
    <w:rsid w:val="00B67C61"/>
    <w:rsid w:val="00B67D30"/>
    <w:rsid w:val="00B67EB8"/>
    <w:rsid w:val="00B700D9"/>
    <w:rsid w:val="00B70A99"/>
    <w:rsid w:val="00B70AB7"/>
    <w:rsid w:val="00B70AC1"/>
    <w:rsid w:val="00B70C14"/>
    <w:rsid w:val="00B70CB6"/>
    <w:rsid w:val="00B7128B"/>
    <w:rsid w:val="00B71828"/>
    <w:rsid w:val="00B719E5"/>
    <w:rsid w:val="00B71CAF"/>
    <w:rsid w:val="00B71F7A"/>
    <w:rsid w:val="00B7218E"/>
    <w:rsid w:val="00B726AC"/>
    <w:rsid w:val="00B726AE"/>
    <w:rsid w:val="00B726E2"/>
    <w:rsid w:val="00B72C35"/>
    <w:rsid w:val="00B72E0B"/>
    <w:rsid w:val="00B72ECD"/>
    <w:rsid w:val="00B73683"/>
    <w:rsid w:val="00B73828"/>
    <w:rsid w:val="00B73948"/>
    <w:rsid w:val="00B739EE"/>
    <w:rsid w:val="00B73A2E"/>
    <w:rsid w:val="00B73DA2"/>
    <w:rsid w:val="00B743CB"/>
    <w:rsid w:val="00B750D9"/>
    <w:rsid w:val="00B75305"/>
    <w:rsid w:val="00B759C3"/>
    <w:rsid w:val="00B75A59"/>
    <w:rsid w:val="00B76094"/>
    <w:rsid w:val="00B76117"/>
    <w:rsid w:val="00B766AB"/>
    <w:rsid w:val="00B7688B"/>
    <w:rsid w:val="00B768C4"/>
    <w:rsid w:val="00B778A4"/>
    <w:rsid w:val="00B80A54"/>
    <w:rsid w:val="00B80A9C"/>
    <w:rsid w:val="00B80E7E"/>
    <w:rsid w:val="00B81052"/>
    <w:rsid w:val="00B8199A"/>
    <w:rsid w:val="00B81FA8"/>
    <w:rsid w:val="00B82112"/>
    <w:rsid w:val="00B83B77"/>
    <w:rsid w:val="00B84362"/>
    <w:rsid w:val="00B8491B"/>
    <w:rsid w:val="00B84B51"/>
    <w:rsid w:val="00B84FF5"/>
    <w:rsid w:val="00B851FF"/>
    <w:rsid w:val="00B8523A"/>
    <w:rsid w:val="00B85D40"/>
    <w:rsid w:val="00B86011"/>
    <w:rsid w:val="00B86180"/>
    <w:rsid w:val="00B866DC"/>
    <w:rsid w:val="00B86759"/>
    <w:rsid w:val="00B86BA9"/>
    <w:rsid w:val="00B86E8E"/>
    <w:rsid w:val="00B8747D"/>
    <w:rsid w:val="00B87493"/>
    <w:rsid w:val="00B876AD"/>
    <w:rsid w:val="00B8771C"/>
    <w:rsid w:val="00B878BE"/>
    <w:rsid w:val="00B87E46"/>
    <w:rsid w:val="00B902F0"/>
    <w:rsid w:val="00B90511"/>
    <w:rsid w:val="00B90A75"/>
    <w:rsid w:val="00B91A34"/>
    <w:rsid w:val="00B921B0"/>
    <w:rsid w:val="00B929BA"/>
    <w:rsid w:val="00B9323B"/>
    <w:rsid w:val="00B93B47"/>
    <w:rsid w:val="00B93B72"/>
    <w:rsid w:val="00B94C12"/>
    <w:rsid w:val="00B94E66"/>
    <w:rsid w:val="00B94E75"/>
    <w:rsid w:val="00B951A1"/>
    <w:rsid w:val="00B95903"/>
    <w:rsid w:val="00B95AF7"/>
    <w:rsid w:val="00B95C89"/>
    <w:rsid w:val="00B95CE3"/>
    <w:rsid w:val="00B95E58"/>
    <w:rsid w:val="00B9620C"/>
    <w:rsid w:val="00B96CE2"/>
    <w:rsid w:val="00B97259"/>
    <w:rsid w:val="00B976E2"/>
    <w:rsid w:val="00B97887"/>
    <w:rsid w:val="00B97A26"/>
    <w:rsid w:val="00BA000E"/>
    <w:rsid w:val="00BA031A"/>
    <w:rsid w:val="00BA04A4"/>
    <w:rsid w:val="00BA082A"/>
    <w:rsid w:val="00BA0856"/>
    <w:rsid w:val="00BA0B5C"/>
    <w:rsid w:val="00BA0C40"/>
    <w:rsid w:val="00BA1024"/>
    <w:rsid w:val="00BA2322"/>
    <w:rsid w:val="00BA2B7A"/>
    <w:rsid w:val="00BA2CF4"/>
    <w:rsid w:val="00BA2DB9"/>
    <w:rsid w:val="00BA2EE8"/>
    <w:rsid w:val="00BA35BD"/>
    <w:rsid w:val="00BA3D3E"/>
    <w:rsid w:val="00BA3F12"/>
    <w:rsid w:val="00BA41A2"/>
    <w:rsid w:val="00BA43A2"/>
    <w:rsid w:val="00BA4B52"/>
    <w:rsid w:val="00BA4E8B"/>
    <w:rsid w:val="00BA5326"/>
    <w:rsid w:val="00BA5371"/>
    <w:rsid w:val="00BA546C"/>
    <w:rsid w:val="00BA5656"/>
    <w:rsid w:val="00BA56AF"/>
    <w:rsid w:val="00BA5AA1"/>
    <w:rsid w:val="00BA5D6E"/>
    <w:rsid w:val="00BA677A"/>
    <w:rsid w:val="00BA6FF2"/>
    <w:rsid w:val="00BA7566"/>
    <w:rsid w:val="00BA7948"/>
    <w:rsid w:val="00BA798D"/>
    <w:rsid w:val="00BA7A6A"/>
    <w:rsid w:val="00BA7BD5"/>
    <w:rsid w:val="00BA7C11"/>
    <w:rsid w:val="00BA7F1A"/>
    <w:rsid w:val="00BB09A0"/>
    <w:rsid w:val="00BB0D33"/>
    <w:rsid w:val="00BB0F99"/>
    <w:rsid w:val="00BB12B7"/>
    <w:rsid w:val="00BB140F"/>
    <w:rsid w:val="00BB1833"/>
    <w:rsid w:val="00BB1B0A"/>
    <w:rsid w:val="00BB1B2F"/>
    <w:rsid w:val="00BB1CC4"/>
    <w:rsid w:val="00BB2183"/>
    <w:rsid w:val="00BB2A83"/>
    <w:rsid w:val="00BB2BBB"/>
    <w:rsid w:val="00BB2FB7"/>
    <w:rsid w:val="00BB30D5"/>
    <w:rsid w:val="00BB32AA"/>
    <w:rsid w:val="00BB36B3"/>
    <w:rsid w:val="00BB472E"/>
    <w:rsid w:val="00BB4D7F"/>
    <w:rsid w:val="00BB5143"/>
    <w:rsid w:val="00BB51D0"/>
    <w:rsid w:val="00BB54CD"/>
    <w:rsid w:val="00BB5A48"/>
    <w:rsid w:val="00BB742E"/>
    <w:rsid w:val="00BC09F6"/>
    <w:rsid w:val="00BC0A24"/>
    <w:rsid w:val="00BC0B42"/>
    <w:rsid w:val="00BC10D8"/>
    <w:rsid w:val="00BC184C"/>
    <w:rsid w:val="00BC189A"/>
    <w:rsid w:val="00BC1AF2"/>
    <w:rsid w:val="00BC1BF0"/>
    <w:rsid w:val="00BC2223"/>
    <w:rsid w:val="00BC2783"/>
    <w:rsid w:val="00BC30E0"/>
    <w:rsid w:val="00BC33DA"/>
    <w:rsid w:val="00BC341D"/>
    <w:rsid w:val="00BC3CD1"/>
    <w:rsid w:val="00BC4491"/>
    <w:rsid w:val="00BC48C6"/>
    <w:rsid w:val="00BC4917"/>
    <w:rsid w:val="00BC4EED"/>
    <w:rsid w:val="00BC5186"/>
    <w:rsid w:val="00BC6744"/>
    <w:rsid w:val="00BC6847"/>
    <w:rsid w:val="00BC6B27"/>
    <w:rsid w:val="00BC6BCD"/>
    <w:rsid w:val="00BC6D8E"/>
    <w:rsid w:val="00BC7320"/>
    <w:rsid w:val="00BC7746"/>
    <w:rsid w:val="00BC7F94"/>
    <w:rsid w:val="00BD02B6"/>
    <w:rsid w:val="00BD03C8"/>
    <w:rsid w:val="00BD0682"/>
    <w:rsid w:val="00BD0781"/>
    <w:rsid w:val="00BD08CC"/>
    <w:rsid w:val="00BD101C"/>
    <w:rsid w:val="00BD141B"/>
    <w:rsid w:val="00BD2528"/>
    <w:rsid w:val="00BD2FC4"/>
    <w:rsid w:val="00BD3460"/>
    <w:rsid w:val="00BD3B4B"/>
    <w:rsid w:val="00BD3C99"/>
    <w:rsid w:val="00BD408A"/>
    <w:rsid w:val="00BD4697"/>
    <w:rsid w:val="00BD48CF"/>
    <w:rsid w:val="00BD4BC8"/>
    <w:rsid w:val="00BD4D1F"/>
    <w:rsid w:val="00BD4E45"/>
    <w:rsid w:val="00BD511A"/>
    <w:rsid w:val="00BD576A"/>
    <w:rsid w:val="00BD5D28"/>
    <w:rsid w:val="00BD5E4E"/>
    <w:rsid w:val="00BD5EAA"/>
    <w:rsid w:val="00BD6389"/>
    <w:rsid w:val="00BD639F"/>
    <w:rsid w:val="00BD671B"/>
    <w:rsid w:val="00BD6B8D"/>
    <w:rsid w:val="00BD7180"/>
    <w:rsid w:val="00BD741F"/>
    <w:rsid w:val="00BD7725"/>
    <w:rsid w:val="00BE014D"/>
    <w:rsid w:val="00BE033D"/>
    <w:rsid w:val="00BE048D"/>
    <w:rsid w:val="00BE0652"/>
    <w:rsid w:val="00BE070E"/>
    <w:rsid w:val="00BE0A9B"/>
    <w:rsid w:val="00BE0B5C"/>
    <w:rsid w:val="00BE142F"/>
    <w:rsid w:val="00BE14E3"/>
    <w:rsid w:val="00BE1ACE"/>
    <w:rsid w:val="00BE2041"/>
    <w:rsid w:val="00BE222B"/>
    <w:rsid w:val="00BE28AF"/>
    <w:rsid w:val="00BE2B96"/>
    <w:rsid w:val="00BE2FCF"/>
    <w:rsid w:val="00BE379E"/>
    <w:rsid w:val="00BE37A6"/>
    <w:rsid w:val="00BE396A"/>
    <w:rsid w:val="00BE3B7F"/>
    <w:rsid w:val="00BE3ECD"/>
    <w:rsid w:val="00BE41D3"/>
    <w:rsid w:val="00BE48F3"/>
    <w:rsid w:val="00BE49DC"/>
    <w:rsid w:val="00BE4B7D"/>
    <w:rsid w:val="00BE5179"/>
    <w:rsid w:val="00BE5389"/>
    <w:rsid w:val="00BE567D"/>
    <w:rsid w:val="00BE5808"/>
    <w:rsid w:val="00BE5CA7"/>
    <w:rsid w:val="00BE632A"/>
    <w:rsid w:val="00BE64FC"/>
    <w:rsid w:val="00BE6997"/>
    <w:rsid w:val="00BE6C49"/>
    <w:rsid w:val="00BE6C64"/>
    <w:rsid w:val="00BE7148"/>
    <w:rsid w:val="00BE7275"/>
    <w:rsid w:val="00BE76B6"/>
    <w:rsid w:val="00BE76BB"/>
    <w:rsid w:val="00BE7C4B"/>
    <w:rsid w:val="00BF0A29"/>
    <w:rsid w:val="00BF0CAB"/>
    <w:rsid w:val="00BF123E"/>
    <w:rsid w:val="00BF194A"/>
    <w:rsid w:val="00BF1A43"/>
    <w:rsid w:val="00BF1AF1"/>
    <w:rsid w:val="00BF1B61"/>
    <w:rsid w:val="00BF1C71"/>
    <w:rsid w:val="00BF2097"/>
    <w:rsid w:val="00BF22A2"/>
    <w:rsid w:val="00BF265E"/>
    <w:rsid w:val="00BF2951"/>
    <w:rsid w:val="00BF2AE0"/>
    <w:rsid w:val="00BF2D12"/>
    <w:rsid w:val="00BF3300"/>
    <w:rsid w:val="00BF33FE"/>
    <w:rsid w:val="00BF3807"/>
    <w:rsid w:val="00BF383C"/>
    <w:rsid w:val="00BF38AF"/>
    <w:rsid w:val="00BF3CF8"/>
    <w:rsid w:val="00BF3E5E"/>
    <w:rsid w:val="00BF3F36"/>
    <w:rsid w:val="00BF4558"/>
    <w:rsid w:val="00BF4BA3"/>
    <w:rsid w:val="00BF4C5C"/>
    <w:rsid w:val="00BF4D3F"/>
    <w:rsid w:val="00BF502C"/>
    <w:rsid w:val="00BF5221"/>
    <w:rsid w:val="00BF5581"/>
    <w:rsid w:val="00BF5D4A"/>
    <w:rsid w:val="00BF662B"/>
    <w:rsid w:val="00BF6A90"/>
    <w:rsid w:val="00BF6BAB"/>
    <w:rsid w:val="00BF7ACD"/>
    <w:rsid w:val="00C0019E"/>
    <w:rsid w:val="00C0062A"/>
    <w:rsid w:val="00C006E1"/>
    <w:rsid w:val="00C026F6"/>
    <w:rsid w:val="00C02C17"/>
    <w:rsid w:val="00C030DE"/>
    <w:rsid w:val="00C0332E"/>
    <w:rsid w:val="00C03F46"/>
    <w:rsid w:val="00C04373"/>
    <w:rsid w:val="00C04384"/>
    <w:rsid w:val="00C0444B"/>
    <w:rsid w:val="00C04DCD"/>
    <w:rsid w:val="00C05561"/>
    <w:rsid w:val="00C05A58"/>
    <w:rsid w:val="00C05B81"/>
    <w:rsid w:val="00C06102"/>
    <w:rsid w:val="00C0634C"/>
    <w:rsid w:val="00C0694D"/>
    <w:rsid w:val="00C06A29"/>
    <w:rsid w:val="00C06BE1"/>
    <w:rsid w:val="00C0739B"/>
    <w:rsid w:val="00C07ACA"/>
    <w:rsid w:val="00C07F75"/>
    <w:rsid w:val="00C10678"/>
    <w:rsid w:val="00C107E1"/>
    <w:rsid w:val="00C10BEA"/>
    <w:rsid w:val="00C10E1F"/>
    <w:rsid w:val="00C116DA"/>
    <w:rsid w:val="00C11974"/>
    <w:rsid w:val="00C11ADA"/>
    <w:rsid w:val="00C1241E"/>
    <w:rsid w:val="00C125CB"/>
    <w:rsid w:val="00C12B32"/>
    <w:rsid w:val="00C12BBD"/>
    <w:rsid w:val="00C13028"/>
    <w:rsid w:val="00C144DC"/>
    <w:rsid w:val="00C14656"/>
    <w:rsid w:val="00C14B7D"/>
    <w:rsid w:val="00C1545A"/>
    <w:rsid w:val="00C15525"/>
    <w:rsid w:val="00C15B12"/>
    <w:rsid w:val="00C15C6B"/>
    <w:rsid w:val="00C16271"/>
    <w:rsid w:val="00C16D79"/>
    <w:rsid w:val="00C16FA9"/>
    <w:rsid w:val="00C17E31"/>
    <w:rsid w:val="00C17FC0"/>
    <w:rsid w:val="00C2001A"/>
    <w:rsid w:val="00C20433"/>
    <w:rsid w:val="00C2060C"/>
    <w:rsid w:val="00C20796"/>
    <w:rsid w:val="00C207D0"/>
    <w:rsid w:val="00C20B87"/>
    <w:rsid w:val="00C20BAB"/>
    <w:rsid w:val="00C20FEB"/>
    <w:rsid w:val="00C212D4"/>
    <w:rsid w:val="00C214CC"/>
    <w:rsid w:val="00C21677"/>
    <w:rsid w:val="00C21C83"/>
    <w:rsid w:val="00C2245B"/>
    <w:rsid w:val="00C2250E"/>
    <w:rsid w:val="00C2277D"/>
    <w:rsid w:val="00C22A8D"/>
    <w:rsid w:val="00C22F2E"/>
    <w:rsid w:val="00C22F50"/>
    <w:rsid w:val="00C230C6"/>
    <w:rsid w:val="00C23487"/>
    <w:rsid w:val="00C23B17"/>
    <w:rsid w:val="00C23D64"/>
    <w:rsid w:val="00C23D6B"/>
    <w:rsid w:val="00C23FEB"/>
    <w:rsid w:val="00C240D6"/>
    <w:rsid w:val="00C244A1"/>
    <w:rsid w:val="00C245B9"/>
    <w:rsid w:val="00C24663"/>
    <w:rsid w:val="00C24A6E"/>
    <w:rsid w:val="00C24FA0"/>
    <w:rsid w:val="00C24FAE"/>
    <w:rsid w:val="00C2511C"/>
    <w:rsid w:val="00C252D1"/>
    <w:rsid w:val="00C253A3"/>
    <w:rsid w:val="00C258B9"/>
    <w:rsid w:val="00C25C17"/>
    <w:rsid w:val="00C26167"/>
    <w:rsid w:val="00C268E8"/>
    <w:rsid w:val="00C269EB"/>
    <w:rsid w:val="00C26C3E"/>
    <w:rsid w:val="00C270B6"/>
    <w:rsid w:val="00C27827"/>
    <w:rsid w:val="00C301E9"/>
    <w:rsid w:val="00C30551"/>
    <w:rsid w:val="00C30600"/>
    <w:rsid w:val="00C30759"/>
    <w:rsid w:val="00C30C83"/>
    <w:rsid w:val="00C31196"/>
    <w:rsid w:val="00C31755"/>
    <w:rsid w:val="00C32206"/>
    <w:rsid w:val="00C322FA"/>
    <w:rsid w:val="00C325D1"/>
    <w:rsid w:val="00C329C1"/>
    <w:rsid w:val="00C335EC"/>
    <w:rsid w:val="00C33EC3"/>
    <w:rsid w:val="00C33F50"/>
    <w:rsid w:val="00C342D2"/>
    <w:rsid w:val="00C34E73"/>
    <w:rsid w:val="00C350BD"/>
    <w:rsid w:val="00C3526F"/>
    <w:rsid w:val="00C354F9"/>
    <w:rsid w:val="00C3563D"/>
    <w:rsid w:val="00C35763"/>
    <w:rsid w:val="00C35912"/>
    <w:rsid w:val="00C359FF"/>
    <w:rsid w:val="00C35A31"/>
    <w:rsid w:val="00C35B31"/>
    <w:rsid w:val="00C35D86"/>
    <w:rsid w:val="00C36246"/>
    <w:rsid w:val="00C364D4"/>
    <w:rsid w:val="00C3670E"/>
    <w:rsid w:val="00C36872"/>
    <w:rsid w:val="00C369C3"/>
    <w:rsid w:val="00C369CF"/>
    <w:rsid w:val="00C36C57"/>
    <w:rsid w:val="00C36CA7"/>
    <w:rsid w:val="00C37249"/>
    <w:rsid w:val="00C375D8"/>
    <w:rsid w:val="00C377BA"/>
    <w:rsid w:val="00C37FE0"/>
    <w:rsid w:val="00C405A6"/>
    <w:rsid w:val="00C416C7"/>
    <w:rsid w:val="00C41AF5"/>
    <w:rsid w:val="00C41DEB"/>
    <w:rsid w:val="00C41F30"/>
    <w:rsid w:val="00C422EB"/>
    <w:rsid w:val="00C4288C"/>
    <w:rsid w:val="00C42E49"/>
    <w:rsid w:val="00C43065"/>
    <w:rsid w:val="00C43856"/>
    <w:rsid w:val="00C43A77"/>
    <w:rsid w:val="00C43AF8"/>
    <w:rsid w:val="00C43CE9"/>
    <w:rsid w:val="00C43DE9"/>
    <w:rsid w:val="00C44611"/>
    <w:rsid w:val="00C447BA"/>
    <w:rsid w:val="00C44936"/>
    <w:rsid w:val="00C44DA7"/>
    <w:rsid w:val="00C454D5"/>
    <w:rsid w:val="00C45B61"/>
    <w:rsid w:val="00C460D5"/>
    <w:rsid w:val="00C462CE"/>
    <w:rsid w:val="00C46467"/>
    <w:rsid w:val="00C46E74"/>
    <w:rsid w:val="00C46FE5"/>
    <w:rsid w:val="00C4796B"/>
    <w:rsid w:val="00C47EA5"/>
    <w:rsid w:val="00C47EFC"/>
    <w:rsid w:val="00C50814"/>
    <w:rsid w:val="00C50BF3"/>
    <w:rsid w:val="00C50E73"/>
    <w:rsid w:val="00C50F3B"/>
    <w:rsid w:val="00C5121E"/>
    <w:rsid w:val="00C533D2"/>
    <w:rsid w:val="00C534DF"/>
    <w:rsid w:val="00C535EB"/>
    <w:rsid w:val="00C53E49"/>
    <w:rsid w:val="00C54B33"/>
    <w:rsid w:val="00C54D2F"/>
    <w:rsid w:val="00C54E29"/>
    <w:rsid w:val="00C54E2F"/>
    <w:rsid w:val="00C550C1"/>
    <w:rsid w:val="00C554AE"/>
    <w:rsid w:val="00C55F96"/>
    <w:rsid w:val="00C55FB4"/>
    <w:rsid w:val="00C56331"/>
    <w:rsid w:val="00C56696"/>
    <w:rsid w:val="00C568DB"/>
    <w:rsid w:val="00C56A00"/>
    <w:rsid w:val="00C57247"/>
    <w:rsid w:val="00C57AA9"/>
    <w:rsid w:val="00C57E69"/>
    <w:rsid w:val="00C57EFE"/>
    <w:rsid w:val="00C57FCD"/>
    <w:rsid w:val="00C6009D"/>
    <w:rsid w:val="00C60FF1"/>
    <w:rsid w:val="00C60FFB"/>
    <w:rsid w:val="00C611A1"/>
    <w:rsid w:val="00C616D2"/>
    <w:rsid w:val="00C61838"/>
    <w:rsid w:val="00C61BBF"/>
    <w:rsid w:val="00C62D63"/>
    <w:rsid w:val="00C63129"/>
    <w:rsid w:val="00C638C0"/>
    <w:rsid w:val="00C63D82"/>
    <w:rsid w:val="00C641D5"/>
    <w:rsid w:val="00C644F7"/>
    <w:rsid w:val="00C64C04"/>
    <w:rsid w:val="00C6506A"/>
    <w:rsid w:val="00C650E9"/>
    <w:rsid w:val="00C654C5"/>
    <w:rsid w:val="00C65628"/>
    <w:rsid w:val="00C659F4"/>
    <w:rsid w:val="00C6600B"/>
    <w:rsid w:val="00C66422"/>
    <w:rsid w:val="00C66923"/>
    <w:rsid w:val="00C66975"/>
    <w:rsid w:val="00C66FC5"/>
    <w:rsid w:val="00C67353"/>
    <w:rsid w:val="00C6799A"/>
    <w:rsid w:val="00C67C81"/>
    <w:rsid w:val="00C700D4"/>
    <w:rsid w:val="00C701F1"/>
    <w:rsid w:val="00C714FA"/>
    <w:rsid w:val="00C7150A"/>
    <w:rsid w:val="00C715DC"/>
    <w:rsid w:val="00C71C0A"/>
    <w:rsid w:val="00C71EA5"/>
    <w:rsid w:val="00C720E2"/>
    <w:rsid w:val="00C723A1"/>
    <w:rsid w:val="00C72647"/>
    <w:rsid w:val="00C72AE0"/>
    <w:rsid w:val="00C72B7C"/>
    <w:rsid w:val="00C72E62"/>
    <w:rsid w:val="00C72EFF"/>
    <w:rsid w:val="00C734B5"/>
    <w:rsid w:val="00C73BAD"/>
    <w:rsid w:val="00C7404E"/>
    <w:rsid w:val="00C7411D"/>
    <w:rsid w:val="00C745C1"/>
    <w:rsid w:val="00C759DC"/>
    <w:rsid w:val="00C75D61"/>
    <w:rsid w:val="00C764D5"/>
    <w:rsid w:val="00C765F9"/>
    <w:rsid w:val="00C76804"/>
    <w:rsid w:val="00C769DB"/>
    <w:rsid w:val="00C770C9"/>
    <w:rsid w:val="00C773B6"/>
    <w:rsid w:val="00C77502"/>
    <w:rsid w:val="00C77C6E"/>
    <w:rsid w:val="00C80455"/>
    <w:rsid w:val="00C80858"/>
    <w:rsid w:val="00C80B02"/>
    <w:rsid w:val="00C80B2B"/>
    <w:rsid w:val="00C80D58"/>
    <w:rsid w:val="00C813F5"/>
    <w:rsid w:val="00C819B0"/>
    <w:rsid w:val="00C81A3A"/>
    <w:rsid w:val="00C81DA9"/>
    <w:rsid w:val="00C82912"/>
    <w:rsid w:val="00C83733"/>
    <w:rsid w:val="00C838CF"/>
    <w:rsid w:val="00C841FE"/>
    <w:rsid w:val="00C844BE"/>
    <w:rsid w:val="00C84694"/>
    <w:rsid w:val="00C847E0"/>
    <w:rsid w:val="00C84AEF"/>
    <w:rsid w:val="00C84F81"/>
    <w:rsid w:val="00C85C15"/>
    <w:rsid w:val="00C85DCF"/>
    <w:rsid w:val="00C860E4"/>
    <w:rsid w:val="00C860EB"/>
    <w:rsid w:val="00C864B6"/>
    <w:rsid w:val="00C86843"/>
    <w:rsid w:val="00C86D31"/>
    <w:rsid w:val="00C86E56"/>
    <w:rsid w:val="00C86FFF"/>
    <w:rsid w:val="00C8721A"/>
    <w:rsid w:val="00C872F2"/>
    <w:rsid w:val="00C874C4"/>
    <w:rsid w:val="00C874FD"/>
    <w:rsid w:val="00C8753A"/>
    <w:rsid w:val="00C875CE"/>
    <w:rsid w:val="00C876CA"/>
    <w:rsid w:val="00C903F5"/>
    <w:rsid w:val="00C90B82"/>
    <w:rsid w:val="00C90D65"/>
    <w:rsid w:val="00C90F1C"/>
    <w:rsid w:val="00C91014"/>
    <w:rsid w:val="00C9108A"/>
    <w:rsid w:val="00C91312"/>
    <w:rsid w:val="00C921B3"/>
    <w:rsid w:val="00C927F1"/>
    <w:rsid w:val="00C92A5B"/>
    <w:rsid w:val="00C92EFA"/>
    <w:rsid w:val="00C92F45"/>
    <w:rsid w:val="00C93325"/>
    <w:rsid w:val="00C93677"/>
    <w:rsid w:val="00C93997"/>
    <w:rsid w:val="00C93A38"/>
    <w:rsid w:val="00C93B2F"/>
    <w:rsid w:val="00C93DA3"/>
    <w:rsid w:val="00C942F4"/>
    <w:rsid w:val="00C94ED9"/>
    <w:rsid w:val="00C94FFE"/>
    <w:rsid w:val="00C952D0"/>
    <w:rsid w:val="00C95368"/>
    <w:rsid w:val="00C9543A"/>
    <w:rsid w:val="00C958BE"/>
    <w:rsid w:val="00C9657C"/>
    <w:rsid w:val="00C96A85"/>
    <w:rsid w:val="00C96C07"/>
    <w:rsid w:val="00C971DB"/>
    <w:rsid w:val="00C97277"/>
    <w:rsid w:val="00C976E0"/>
    <w:rsid w:val="00C97D4A"/>
    <w:rsid w:val="00CA062C"/>
    <w:rsid w:val="00CA0ED3"/>
    <w:rsid w:val="00CA135C"/>
    <w:rsid w:val="00CA1A0B"/>
    <w:rsid w:val="00CA23B0"/>
    <w:rsid w:val="00CA28F9"/>
    <w:rsid w:val="00CA2A85"/>
    <w:rsid w:val="00CA2EA2"/>
    <w:rsid w:val="00CA37C4"/>
    <w:rsid w:val="00CA37D5"/>
    <w:rsid w:val="00CA3F4D"/>
    <w:rsid w:val="00CA4778"/>
    <w:rsid w:val="00CA4820"/>
    <w:rsid w:val="00CA4A01"/>
    <w:rsid w:val="00CA4AF6"/>
    <w:rsid w:val="00CA4BDA"/>
    <w:rsid w:val="00CA59CF"/>
    <w:rsid w:val="00CA62C1"/>
    <w:rsid w:val="00CA632A"/>
    <w:rsid w:val="00CA6B2F"/>
    <w:rsid w:val="00CA6BC2"/>
    <w:rsid w:val="00CA713F"/>
    <w:rsid w:val="00CA72A9"/>
    <w:rsid w:val="00CA7404"/>
    <w:rsid w:val="00CA7576"/>
    <w:rsid w:val="00CA75F8"/>
    <w:rsid w:val="00CA792D"/>
    <w:rsid w:val="00CA7954"/>
    <w:rsid w:val="00CB00C2"/>
    <w:rsid w:val="00CB0A3C"/>
    <w:rsid w:val="00CB0BB2"/>
    <w:rsid w:val="00CB197F"/>
    <w:rsid w:val="00CB1999"/>
    <w:rsid w:val="00CB1A61"/>
    <w:rsid w:val="00CB1E50"/>
    <w:rsid w:val="00CB1ED4"/>
    <w:rsid w:val="00CB265A"/>
    <w:rsid w:val="00CB2835"/>
    <w:rsid w:val="00CB2900"/>
    <w:rsid w:val="00CB3933"/>
    <w:rsid w:val="00CB3A67"/>
    <w:rsid w:val="00CB441A"/>
    <w:rsid w:val="00CB5B64"/>
    <w:rsid w:val="00CB6316"/>
    <w:rsid w:val="00CB64BE"/>
    <w:rsid w:val="00CB69CB"/>
    <w:rsid w:val="00CB69E1"/>
    <w:rsid w:val="00CB6E70"/>
    <w:rsid w:val="00CB734F"/>
    <w:rsid w:val="00CB7593"/>
    <w:rsid w:val="00CB7BD1"/>
    <w:rsid w:val="00CC0446"/>
    <w:rsid w:val="00CC0B40"/>
    <w:rsid w:val="00CC0D95"/>
    <w:rsid w:val="00CC102F"/>
    <w:rsid w:val="00CC168E"/>
    <w:rsid w:val="00CC18F9"/>
    <w:rsid w:val="00CC1BAA"/>
    <w:rsid w:val="00CC2181"/>
    <w:rsid w:val="00CC21D6"/>
    <w:rsid w:val="00CC296D"/>
    <w:rsid w:val="00CC31CE"/>
    <w:rsid w:val="00CC351B"/>
    <w:rsid w:val="00CC370D"/>
    <w:rsid w:val="00CC3AC5"/>
    <w:rsid w:val="00CC3CC7"/>
    <w:rsid w:val="00CC3E66"/>
    <w:rsid w:val="00CC43A8"/>
    <w:rsid w:val="00CC5715"/>
    <w:rsid w:val="00CC5843"/>
    <w:rsid w:val="00CC603A"/>
    <w:rsid w:val="00CC6257"/>
    <w:rsid w:val="00CC64F2"/>
    <w:rsid w:val="00CC6D9D"/>
    <w:rsid w:val="00CC702D"/>
    <w:rsid w:val="00CC75E7"/>
    <w:rsid w:val="00CC7825"/>
    <w:rsid w:val="00CC78E1"/>
    <w:rsid w:val="00CD02F1"/>
    <w:rsid w:val="00CD094E"/>
    <w:rsid w:val="00CD0D9E"/>
    <w:rsid w:val="00CD1CD6"/>
    <w:rsid w:val="00CD24F7"/>
    <w:rsid w:val="00CD2625"/>
    <w:rsid w:val="00CD29C6"/>
    <w:rsid w:val="00CD2C2E"/>
    <w:rsid w:val="00CD2F4B"/>
    <w:rsid w:val="00CD3111"/>
    <w:rsid w:val="00CD3172"/>
    <w:rsid w:val="00CD31C0"/>
    <w:rsid w:val="00CD3399"/>
    <w:rsid w:val="00CD351A"/>
    <w:rsid w:val="00CD360F"/>
    <w:rsid w:val="00CD37D0"/>
    <w:rsid w:val="00CD3990"/>
    <w:rsid w:val="00CD3C2B"/>
    <w:rsid w:val="00CD3DF5"/>
    <w:rsid w:val="00CD40D8"/>
    <w:rsid w:val="00CD4193"/>
    <w:rsid w:val="00CD4679"/>
    <w:rsid w:val="00CD48DB"/>
    <w:rsid w:val="00CD4C80"/>
    <w:rsid w:val="00CD4CD2"/>
    <w:rsid w:val="00CD4DCB"/>
    <w:rsid w:val="00CD5400"/>
    <w:rsid w:val="00CD5683"/>
    <w:rsid w:val="00CD5D68"/>
    <w:rsid w:val="00CD5F1B"/>
    <w:rsid w:val="00CD5F5B"/>
    <w:rsid w:val="00CD6DB6"/>
    <w:rsid w:val="00CD72DE"/>
    <w:rsid w:val="00CD73DA"/>
    <w:rsid w:val="00CD7426"/>
    <w:rsid w:val="00CD7719"/>
    <w:rsid w:val="00CD7F74"/>
    <w:rsid w:val="00CE016D"/>
    <w:rsid w:val="00CE0420"/>
    <w:rsid w:val="00CE08A4"/>
    <w:rsid w:val="00CE0938"/>
    <w:rsid w:val="00CE0B08"/>
    <w:rsid w:val="00CE0BC2"/>
    <w:rsid w:val="00CE0E2C"/>
    <w:rsid w:val="00CE1302"/>
    <w:rsid w:val="00CE15B2"/>
    <w:rsid w:val="00CE2125"/>
    <w:rsid w:val="00CE28C3"/>
    <w:rsid w:val="00CE2AC9"/>
    <w:rsid w:val="00CE2C61"/>
    <w:rsid w:val="00CE2D05"/>
    <w:rsid w:val="00CE3878"/>
    <w:rsid w:val="00CE39BD"/>
    <w:rsid w:val="00CE3CBE"/>
    <w:rsid w:val="00CE3FB4"/>
    <w:rsid w:val="00CE5214"/>
    <w:rsid w:val="00CE542B"/>
    <w:rsid w:val="00CE5B16"/>
    <w:rsid w:val="00CE5BF9"/>
    <w:rsid w:val="00CE634C"/>
    <w:rsid w:val="00CE6836"/>
    <w:rsid w:val="00CE6950"/>
    <w:rsid w:val="00CE720A"/>
    <w:rsid w:val="00CE7BFB"/>
    <w:rsid w:val="00CF0251"/>
    <w:rsid w:val="00CF0A77"/>
    <w:rsid w:val="00CF10F6"/>
    <w:rsid w:val="00CF1A6D"/>
    <w:rsid w:val="00CF1A80"/>
    <w:rsid w:val="00CF1CFF"/>
    <w:rsid w:val="00CF2606"/>
    <w:rsid w:val="00CF3128"/>
    <w:rsid w:val="00CF348E"/>
    <w:rsid w:val="00CF373B"/>
    <w:rsid w:val="00CF37DA"/>
    <w:rsid w:val="00CF3801"/>
    <w:rsid w:val="00CF436A"/>
    <w:rsid w:val="00CF4D66"/>
    <w:rsid w:val="00CF5967"/>
    <w:rsid w:val="00CF5CEC"/>
    <w:rsid w:val="00CF61B9"/>
    <w:rsid w:val="00CF6967"/>
    <w:rsid w:val="00CF6ACF"/>
    <w:rsid w:val="00CF6E8C"/>
    <w:rsid w:val="00CF74D3"/>
    <w:rsid w:val="00CF7536"/>
    <w:rsid w:val="00CF7610"/>
    <w:rsid w:val="00CF7670"/>
    <w:rsid w:val="00CF7E79"/>
    <w:rsid w:val="00D001A6"/>
    <w:rsid w:val="00D0070F"/>
    <w:rsid w:val="00D007A7"/>
    <w:rsid w:val="00D007B1"/>
    <w:rsid w:val="00D007FE"/>
    <w:rsid w:val="00D00BA9"/>
    <w:rsid w:val="00D00FA6"/>
    <w:rsid w:val="00D010D8"/>
    <w:rsid w:val="00D01277"/>
    <w:rsid w:val="00D0189A"/>
    <w:rsid w:val="00D01B56"/>
    <w:rsid w:val="00D01E24"/>
    <w:rsid w:val="00D01F72"/>
    <w:rsid w:val="00D01FBB"/>
    <w:rsid w:val="00D03667"/>
    <w:rsid w:val="00D03700"/>
    <w:rsid w:val="00D040B7"/>
    <w:rsid w:val="00D04168"/>
    <w:rsid w:val="00D0479F"/>
    <w:rsid w:val="00D05184"/>
    <w:rsid w:val="00D051E4"/>
    <w:rsid w:val="00D052C9"/>
    <w:rsid w:val="00D06004"/>
    <w:rsid w:val="00D0616B"/>
    <w:rsid w:val="00D064D5"/>
    <w:rsid w:val="00D06904"/>
    <w:rsid w:val="00D0765B"/>
    <w:rsid w:val="00D07913"/>
    <w:rsid w:val="00D1019D"/>
    <w:rsid w:val="00D101F0"/>
    <w:rsid w:val="00D10AD9"/>
    <w:rsid w:val="00D10C20"/>
    <w:rsid w:val="00D10DCB"/>
    <w:rsid w:val="00D10DFC"/>
    <w:rsid w:val="00D110D4"/>
    <w:rsid w:val="00D11F31"/>
    <w:rsid w:val="00D11FF0"/>
    <w:rsid w:val="00D12776"/>
    <w:rsid w:val="00D12D99"/>
    <w:rsid w:val="00D13206"/>
    <w:rsid w:val="00D133E1"/>
    <w:rsid w:val="00D1345F"/>
    <w:rsid w:val="00D1362C"/>
    <w:rsid w:val="00D136BA"/>
    <w:rsid w:val="00D13870"/>
    <w:rsid w:val="00D13BB8"/>
    <w:rsid w:val="00D13C44"/>
    <w:rsid w:val="00D14813"/>
    <w:rsid w:val="00D14948"/>
    <w:rsid w:val="00D14AF0"/>
    <w:rsid w:val="00D14CDA"/>
    <w:rsid w:val="00D14D8C"/>
    <w:rsid w:val="00D1530C"/>
    <w:rsid w:val="00D1531A"/>
    <w:rsid w:val="00D155F8"/>
    <w:rsid w:val="00D15754"/>
    <w:rsid w:val="00D15A24"/>
    <w:rsid w:val="00D15DC6"/>
    <w:rsid w:val="00D1602C"/>
    <w:rsid w:val="00D160A8"/>
    <w:rsid w:val="00D16296"/>
    <w:rsid w:val="00D16751"/>
    <w:rsid w:val="00D1723E"/>
    <w:rsid w:val="00D17433"/>
    <w:rsid w:val="00D176EC"/>
    <w:rsid w:val="00D20496"/>
    <w:rsid w:val="00D20689"/>
    <w:rsid w:val="00D20864"/>
    <w:rsid w:val="00D20AA7"/>
    <w:rsid w:val="00D2254D"/>
    <w:rsid w:val="00D229C4"/>
    <w:rsid w:val="00D22ADC"/>
    <w:rsid w:val="00D22D52"/>
    <w:rsid w:val="00D23115"/>
    <w:rsid w:val="00D235A1"/>
    <w:rsid w:val="00D23A7F"/>
    <w:rsid w:val="00D23A85"/>
    <w:rsid w:val="00D2408A"/>
    <w:rsid w:val="00D244F1"/>
    <w:rsid w:val="00D24545"/>
    <w:rsid w:val="00D2481C"/>
    <w:rsid w:val="00D24C7D"/>
    <w:rsid w:val="00D24F6D"/>
    <w:rsid w:val="00D251BD"/>
    <w:rsid w:val="00D256A3"/>
    <w:rsid w:val="00D2604B"/>
    <w:rsid w:val="00D2626F"/>
    <w:rsid w:val="00D262F6"/>
    <w:rsid w:val="00D2650F"/>
    <w:rsid w:val="00D26859"/>
    <w:rsid w:val="00D26A18"/>
    <w:rsid w:val="00D26F83"/>
    <w:rsid w:val="00D270F6"/>
    <w:rsid w:val="00D27362"/>
    <w:rsid w:val="00D2798A"/>
    <w:rsid w:val="00D279E1"/>
    <w:rsid w:val="00D30094"/>
    <w:rsid w:val="00D307BE"/>
    <w:rsid w:val="00D3087C"/>
    <w:rsid w:val="00D308D9"/>
    <w:rsid w:val="00D30947"/>
    <w:rsid w:val="00D3098F"/>
    <w:rsid w:val="00D30A7D"/>
    <w:rsid w:val="00D30DE4"/>
    <w:rsid w:val="00D30F3C"/>
    <w:rsid w:val="00D310E3"/>
    <w:rsid w:val="00D31268"/>
    <w:rsid w:val="00D319BF"/>
    <w:rsid w:val="00D31E9B"/>
    <w:rsid w:val="00D31F89"/>
    <w:rsid w:val="00D323A0"/>
    <w:rsid w:val="00D324F9"/>
    <w:rsid w:val="00D32807"/>
    <w:rsid w:val="00D32A95"/>
    <w:rsid w:val="00D32ADF"/>
    <w:rsid w:val="00D32FFA"/>
    <w:rsid w:val="00D33107"/>
    <w:rsid w:val="00D33471"/>
    <w:rsid w:val="00D33476"/>
    <w:rsid w:val="00D336C7"/>
    <w:rsid w:val="00D338C6"/>
    <w:rsid w:val="00D33A46"/>
    <w:rsid w:val="00D33AE1"/>
    <w:rsid w:val="00D34015"/>
    <w:rsid w:val="00D34024"/>
    <w:rsid w:val="00D346CF"/>
    <w:rsid w:val="00D34D3A"/>
    <w:rsid w:val="00D35000"/>
    <w:rsid w:val="00D35107"/>
    <w:rsid w:val="00D3511B"/>
    <w:rsid w:val="00D352C5"/>
    <w:rsid w:val="00D3533F"/>
    <w:rsid w:val="00D35524"/>
    <w:rsid w:val="00D35814"/>
    <w:rsid w:val="00D358A0"/>
    <w:rsid w:val="00D359F3"/>
    <w:rsid w:val="00D35AF2"/>
    <w:rsid w:val="00D35FF8"/>
    <w:rsid w:val="00D3660D"/>
    <w:rsid w:val="00D36E9F"/>
    <w:rsid w:val="00D3705B"/>
    <w:rsid w:val="00D371DF"/>
    <w:rsid w:val="00D37628"/>
    <w:rsid w:val="00D37BE7"/>
    <w:rsid w:val="00D402B2"/>
    <w:rsid w:val="00D40337"/>
    <w:rsid w:val="00D40473"/>
    <w:rsid w:val="00D407C7"/>
    <w:rsid w:val="00D40C64"/>
    <w:rsid w:val="00D41D70"/>
    <w:rsid w:val="00D4251E"/>
    <w:rsid w:val="00D42666"/>
    <w:rsid w:val="00D4274B"/>
    <w:rsid w:val="00D42C2B"/>
    <w:rsid w:val="00D431E5"/>
    <w:rsid w:val="00D434C2"/>
    <w:rsid w:val="00D43636"/>
    <w:rsid w:val="00D43721"/>
    <w:rsid w:val="00D43BE4"/>
    <w:rsid w:val="00D43DDE"/>
    <w:rsid w:val="00D44031"/>
    <w:rsid w:val="00D442B4"/>
    <w:rsid w:val="00D44595"/>
    <w:rsid w:val="00D44A8B"/>
    <w:rsid w:val="00D44FF3"/>
    <w:rsid w:val="00D45195"/>
    <w:rsid w:val="00D4572E"/>
    <w:rsid w:val="00D45A3A"/>
    <w:rsid w:val="00D4605F"/>
    <w:rsid w:val="00D4609D"/>
    <w:rsid w:val="00D461E2"/>
    <w:rsid w:val="00D466A0"/>
    <w:rsid w:val="00D47718"/>
    <w:rsid w:val="00D47774"/>
    <w:rsid w:val="00D4789A"/>
    <w:rsid w:val="00D47FD5"/>
    <w:rsid w:val="00D504AD"/>
    <w:rsid w:val="00D507BA"/>
    <w:rsid w:val="00D511E3"/>
    <w:rsid w:val="00D512EF"/>
    <w:rsid w:val="00D526CA"/>
    <w:rsid w:val="00D526DF"/>
    <w:rsid w:val="00D52703"/>
    <w:rsid w:val="00D5299B"/>
    <w:rsid w:val="00D52E63"/>
    <w:rsid w:val="00D52FAF"/>
    <w:rsid w:val="00D53409"/>
    <w:rsid w:val="00D53435"/>
    <w:rsid w:val="00D5363E"/>
    <w:rsid w:val="00D536A2"/>
    <w:rsid w:val="00D53917"/>
    <w:rsid w:val="00D53F42"/>
    <w:rsid w:val="00D541D4"/>
    <w:rsid w:val="00D547D7"/>
    <w:rsid w:val="00D5486A"/>
    <w:rsid w:val="00D549A9"/>
    <w:rsid w:val="00D54CA1"/>
    <w:rsid w:val="00D54E46"/>
    <w:rsid w:val="00D555FC"/>
    <w:rsid w:val="00D5594B"/>
    <w:rsid w:val="00D567E4"/>
    <w:rsid w:val="00D56B55"/>
    <w:rsid w:val="00D579B1"/>
    <w:rsid w:val="00D57CBB"/>
    <w:rsid w:val="00D6031F"/>
    <w:rsid w:val="00D60CEE"/>
    <w:rsid w:val="00D60EF6"/>
    <w:rsid w:val="00D61D64"/>
    <w:rsid w:val="00D6258F"/>
    <w:rsid w:val="00D62840"/>
    <w:rsid w:val="00D6297D"/>
    <w:rsid w:val="00D62B78"/>
    <w:rsid w:val="00D62CB3"/>
    <w:rsid w:val="00D63439"/>
    <w:rsid w:val="00D636F5"/>
    <w:rsid w:val="00D63972"/>
    <w:rsid w:val="00D6446F"/>
    <w:rsid w:val="00D644EE"/>
    <w:rsid w:val="00D64FDC"/>
    <w:rsid w:val="00D65042"/>
    <w:rsid w:val="00D65677"/>
    <w:rsid w:val="00D65AC2"/>
    <w:rsid w:val="00D65F06"/>
    <w:rsid w:val="00D660B4"/>
    <w:rsid w:val="00D66CFD"/>
    <w:rsid w:val="00D66DC0"/>
    <w:rsid w:val="00D67809"/>
    <w:rsid w:val="00D70013"/>
    <w:rsid w:val="00D705CF"/>
    <w:rsid w:val="00D7089B"/>
    <w:rsid w:val="00D70B4B"/>
    <w:rsid w:val="00D7158C"/>
    <w:rsid w:val="00D7197B"/>
    <w:rsid w:val="00D71A62"/>
    <w:rsid w:val="00D71E94"/>
    <w:rsid w:val="00D71F22"/>
    <w:rsid w:val="00D7230D"/>
    <w:rsid w:val="00D7332D"/>
    <w:rsid w:val="00D7344A"/>
    <w:rsid w:val="00D7348A"/>
    <w:rsid w:val="00D73602"/>
    <w:rsid w:val="00D737CE"/>
    <w:rsid w:val="00D739C8"/>
    <w:rsid w:val="00D73B2C"/>
    <w:rsid w:val="00D73B49"/>
    <w:rsid w:val="00D74BB6"/>
    <w:rsid w:val="00D752DF"/>
    <w:rsid w:val="00D753EC"/>
    <w:rsid w:val="00D75DA4"/>
    <w:rsid w:val="00D75E82"/>
    <w:rsid w:val="00D76055"/>
    <w:rsid w:val="00D761C5"/>
    <w:rsid w:val="00D762A3"/>
    <w:rsid w:val="00D76357"/>
    <w:rsid w:val="00D76E5A"/>
    <w:rsid w:val="00D76FC6"/>
    <w:rsid w:val="00D7714B"/>
    <w:rsid w:val="00D77A54"/>
    <w:rsid w:val="00D80A92"/>
    <w:rsid w:val="00D81242"/>
    <w:rsid w:val="00D81774"/>
    <w:rsid w:val="00D81D5B"/>
    <w:rsid w:val="00D830B1"/>
    <w:rsid w:val="00D834AC"/>
    <w:rsid w:val="00D83771"/>
    <w:rsid w:val="00D839D8"/>
    <w:rsid w:val="00D8414A"/>
    <w:rsid w:val="00D84425"/>
    <w:rsid w:val="00D8489C"/>
    <w:rsid w:val="00D84E8C"/>
    <w:rsid w:val="00D8559C"/>
    <w:rsid w:val="00D856FB"/>
    <w:rsid w:val="00D857DA"/>
    <w:rsid w:val="00D867AC"/>
    <w:rsid w:val="00D86D71"/>
    <w:rsid w:val="00D873CF"/>
    <w:rsid w:val="00D87A0F"/>
    <w:rsid w:val="00D90006"/>
    <w:rsid w:val="00D90B43"/>
    <w:rsid w:val="00D90E1A"/>
    <w:rsid w:val="00D911E4"/>
    <w:rsid w:val="00D9194F"/>
    <w:rsid w:val="00D91AA0"/>
    <w:rsid w:val="00D91C5C"/>
    <w:rsid w:val="00D92283"/>
    <w:rsid w:val="00D9232A"/>
    <w:rsid w:val="00D92785"/>
    <w:rsid w:val="00D92DDE"/>
    <w:rsid w:val="00D92EEC"/>
    <w:rsid w:val="00D93178"/>
    <w:rsid w:val="00D9326B"/>
    <w:rsid w:val="00D9341C"/>
    <w:rsid w:val="00D93D7D"/>
    <w:rsid w:val="00D93E3E"/>
    <w:rsid w:val="00D94301"/>
    <w:rsid w:val="00D9469C"/>
    <w:rsid w:val="00D947FF"/>
    <w:rsid w:val="00D94865"/>
    <w:rsid w:val="00D94F81"/>
    <w:rsid w:val="00D95346"/>
    <w:rsid w:val="00D9595A"/>
    <w:rsid w:val="00D95D81"/>
    <w:rsid w:val="00D963D6"/>
    <w:rsid w:val="00D965CB"/>
    <w:rsid w:val="00D96729"/>
    <w:rsid w:val="00D9685C"/>
    <w:rsid w:val="00D96949"/>
    <w:rsid w:val="00D96EDC"/>
    <w:rsid w:val="00D96F10"/>
    <w:rsid w:val="00D97546"/>
    <w:rsid w:val="00D97CB8"/>
    <w:rsid w:val="00D97E6C"/>
    <w:rsid w:val="00D97F8D"/>
    <w:rsid w:val="00DA01C5"/>
    <w:rsid w:val="00DA075D"/>
    <w:rsid w:val="00DA099E"/>
    <w:rsid w:val="00DA0BD3"/>
    <w:rsid w:val="00DA0CF7"/>
    <w:rsid w:val="00DA1969"/>
    <w:rsid w:val="00DA1B03"/>
    <w:rsid w:val="00DA2780"/>
    <w:rsid w:val="00DA27B2"/>
    <w:rsid w:val="00DA298E"/>
    <w:rsid w:val="00DA3566"/>
    <w:rsid w:val="00DA40A1"/>
    <w:rsid w:val="00DA4244"/>
    <w:rsid w:val="00DA436F"/>
    <w:rsid w:val="00DA4A28"/>
    <w:rsid w:val="00DA4D48"/>
    <w:rsid w:val="00DA56BC"/>
    <w:rsid w:val="00DA5AA0"/>
    <w:rsid w:val="00DA5F62"/>
    <w:rsid w:val="00DA6962"/>
    <w:rsid w:val="00DA74B6"/>
    <w:rsid w:val="00DA79D0"/>
    <w:rsid w:val="00DA7CFF"/>
    <w:rsid w:val="00DA7D87"/>
    <w:rsid w:val="00DA7E06"/>
    <w:rsid w:val="00DA7F78"/>
    <w:rsid w:val="00DB07B6"/>
    <w:rsid w:val="00DB125A"/>
    <w:rsid w:val="00DB1528"/>
    <w:rsid w:val="00DB1ACF"/>
    <w:rsid w:val="00DB1C09"/>
    <w:rsid w:val="00DB1D43"/>
    <w:rsid w:val="00DB20E9"/>
    <w:rsid w:val="00DB20FB"/>
    <w:rsid w:val="00DB272A"/>
    <w:rsid w:val="00DB3316"/>
    <w:rsid w:val="00DB36D0"/>
    <w:rsid w:val="00DB3A0C"/>
    <w:rsid w:val="00DB3C84"/>
    <w:rsid w:val="00DB46AD"/>
    <w:rsid w:val="00DB4802"/>
    <w:rsid w:val="00DB52F2"/>
    <w:rsid w:val="00DB56D3"/>
    <w:rsid w:val="00DB5769"/>
    <w:rsid w:val="00DB596D"/>
    <w:rsid w:val="00DB59F1"/>
    <w:rsid w:val="00DB5BDD"/>
    <w:rsid w:val="00DB6266"/>
    <w:rsid w:val="00DB6517"/>
    <w:rsid w:val="00DB67A3"/>
    <w:rsid w:val="00DB7541"/>
    <w:rsid w:val="00DB7626"/>
    <w:rsid w:val="00DB7D97"/>
    <w:rsid w:val="00DC017E"/>
    <w:rsid w:val="00DC044A"/>
    <w:rsid w:val="00DC05C7"/>
    <w:rsid w:val="00DC1259"/>
    <w:rsid w:val="00DC1CF8"/>
    <w:rsid w:val="00DC2488"/>
    <w:rsid w:val="00DC2532"/>
    <w:rsid w:val="00DC28E1"/>
    <w:rsid w:val="00DC2B85"/>
    <w:rsid w:val="00DC2EA5"/>
    <w:rsid w:val="00DC3198"/>
    <w:rsid w:val="00DC37E2"/>
    <w:rsid w:val="00DC3FCB"/>
    <w:rsid w:val="00DC4284"/>
    <w:rsid w:val="00DC4591"/>
    <w:rsid w:val="00DC4D43"/>
    <w:rsid w:val="00DC4E1E"/>
    <w:rsid w:val="00DC5339"/>
    <w:rsid w:val="00DC5610"/>
    <w:rsid w:val="00DC568A"/>
    <w:rsid w:val="00DC578F"/>
    <w:rsid w:val="00DC595B"/>
    <w:rsid w:val="00DC5E52"/>
    <w:rsid w:val="00DC63CE"/>
    <w:rsid w:val="00DC6B78"/>
    <w:rsid w:val="00DC6C90"/>
    <w:rsid w:val="00DC6E9E"/>
    <w:rsid w:val="00DC6EB6"/>
    <w:rsid w:val="00DC715A"/>
    <w:rsid w:val="00DC73D4"/>
    <w:rsid w:val="00DC74A8"/>
    <w:rsid w:val="00DC7572"/>
    <w:rsid w:val="00DC7634"/>
    <w:rsid w:val="00DC7BF9"/>
    <w:rsid w:val="00DC7D28"/>
    <w:rsid w:val="00DC7F52"/>
    <w:rsid w:val="00DD0D00"/>
    <w:rsid w:val="00DD0FA5"/>
    <w:rsid w:val="00DD1842"/>
    <w:rsid w:val="00DD1C0E"/>
    <w:rsid w:val="00DD1E20"/>
    <w:rsid w:val="00DD26F2"/>
    <w:rsid w:val="00DD37BC"/>
    <w:rsid w:val="00DD3D47"/>
    <w:rsid w:val="00DD501B"/>
    <w:rsid w:val="00DD587C"/>
    <w:rsid w:val="00DD6D8D"/>
    <w:rsid w:val="00DD716B"/>
    <w:rsid w:val="00DD7C18"/>
    <w:rsid w:val="00DD7D53"/>
    <w:rsid w:val="00DE00C5"/>
    <w:rsid w:val="00DE01BE"/>
    <w:rsid w:val="00DE04C4"/>
    <w:rsid w:val="00DE06E3"/>
    <w:rsid w:val="00DE0D90"/>
    <w:rsid w:val="00DE0E92"/>
    <w:rsid w:val="00DE2745"/>
    <w:rsid w:val="00DE27FF"/>
    <w:rsid w:val="00DE2EFB"/>
    <w:rsid w:val="00DE3193"/>
    <w:rsid w:val="00DE4798"/>
    <w:rsid w:val="00DE47E8"/>
    <w:rsid w:val="00DE534C"/>
    <w:rsid w:val="00DE56DD"/>
    <w:rsid w:val="00DE571B"/>
    <w:rsid w:val="00DE5A80"/>
    <w:rsid w:val="00DE601D"/>
    <w:rsid w:val="00DE6326"/>
    <w:rsid w:val="00DE678F"/>
    <w:rsid w:val="00DE6F16"/>
    <w:rsid w:val="00DE72A3"/>
    <w:rsid w:val="00DE72EF"/>
    <w:rsid w:val="00DE7703"/>
    <w:rsid w:val="00DE7A9A"/>
    <w:rsid w:val="00DE7DA1"/>
    <w:rsid w:val="00DE7ECE"/>
    <w:rsid w:val="00DF0382"/>
    <w:rsid w:val="00DF05D1"/>
    <w:rsid w:val="00DF0882"/>
    <w:rsid w:val="00DF137F"/>
    <w:rsid w:val="00DF1459"/>
    <w:rsid w:val="00DF19A7"/>
    <w:rsid w:val="00DF1C18"/>
    <w:rsid w:val="00DF1E74"/>
    <w:rsid w:val="00DF3227"/>
    <w:rsid w:val="00DF35CB"/>
    <w:rsid w:val="00DF378B"/>
    <w:rsid w:val="00DF3C11"/>
    <w:rsid w:val="00DF3C2F"/>
    <w:rsid w:val="00DF425B"/>
    <w:rsid w:val="00DF4CE0"/>
    <w:rsid w:val="00DF54C9"/>
    <w:rsid w:val="00DF563F"/>
    <w:rsid w:val="00DF56A8"/>
    <w:rsid w:val="00DF5B4F"/>
    <w:rsid w:val="00DF5E8E"/>
    <w:rsid w:val="00DF63D2"/>
    <w:rsid w:val="00DF6A3F"/>
    <w:rsid w:val="00DF70E8"/>
    <w:rsid w:val="00DF7178"/>
    <w:rsid w:val="00DF7568"/>
    <w:rsid w:val="00DF77C8"/>
    <w:rsid w:val="00DF78E1"/>
    <w:rsid w:val="00DF7944"/>
    <w:rsid w:val="00DF7D2F"/>
    <w:rsid w:val="00DF7E16"/>
    <w:rsid w:val="00E005AB"/>
    <w:rsid w:val="00E0061F"/>
    <w:rsid w:val="00E007A5"/>
    <w:rsid w:val="00E00861"/>
    <w:rsid w:val="00E00A82"/>
    <w:rsid w:val="00E00ED1"/>
    <w:rsid w:val="00E01828"/>
    <w:rsid w:val="00E01BAF"/>
    <w:rsid w:val="00E01C5B"/>
    <w:rsid w:val="00E01EB4"/>
    <w:rsid w:val="00E0234D"/>
    <w:rsid w:val="00E026D6"/>
    <w:rsid w:val="00E02E39"/>
    <w:rsid w:val="00E03220"/>
    <w:rsid w:val="00E03F00"/>
    <w:rsid w:val="00E04155"/>
    <w:rsid w:val="00E04324"/>
    <w:rsid w:val="00E0495D"/>
    <w:rsid w:val="00E04AA0"/>
    <w:rsid w:val="00E04CC1"/>
    <w:rsid w:val="00E04DCA"/>
    <w:rsid w:val="00E05112"/>
    <w:rsid w:val="00E05725"/>
    <w:rsid w:val="00E05CB7"/>
    <w:rsid w:val="00E06113"/>
    <w:rsid w:val="00E067FA"/>
    <w:rsid w:val="00E06B87"/>
    <w:rsid w:val="00E06C99"/>
    <w:rsid w:val="00E07062"/>
    <w:rsid w:val="00E070DB"/>
    <w:rsid w:val="00E077D0"/>
    <w:rsid w:val="00E101E3"/>
    <w:rsid w:val="00E10743"/>
    <w:rsid w:val="00E10825"/>
    <w:rsid w:val="00E11006"/>
    <w:rsid w:val="00E112EC"/>
    <w:rsid w:val="00E11A92"/>
    <w:rsid w:val="00E1211D"/>
    <w:rsid w:val="00E129E3"/>
    <w:rsid w:val="00E12D37"/>
    <w:rsid w:val="00E13703"/>
    <w:rsid w:val="00E13885"/>
    <w:rsid w:val="00E138AC"/>
    <w:rsid w:val="00E142AA"/>
    <w:rsid w:val="00E147FB"/>
    <w:rsid w:val="00E14927"/>
    <w:rsid w:val="00E14E5B"/>
    <w:rsid w:val="00E14EA0"/>
    <w:rsid w:val="00E1558B"/>
    <w:rsid w:val="00E155FC"/>
    <w:rsid w:val="00E15915"/>
    <w:rsid w:val="00E16025"/>
    <w:rsid w:val="00E16736"/>
    <w:rsid w:val="00E16EEC"/>
    <w:rsid w:val="00E16F6A"/>
    <w:rsid w:val="00E175EF"/>
    <w:rsid w:val="00E17B35"/>
    <w:rsid w:val="00E17F98"/>
    <w:rsid w:val="00E20553"/>
    <w:rsid w:val="00E2079D"/>
    <w:rsid w:val="00E208A1"/>
    <w:rsid w:val="00E20952"/>
    <w:rsid w:val="00E21244"/>
    <w:rsid w:val="00E214D4"/>
    <w:rsid w:val="00E216D1"/>
    <w:rsid w:val="00E221BD"/>
    <w:rsid w:val="00E22658"/>
    <w:rsid w:val="00E22CD3"/>
    <w:rsid w:val="00E22ED3"/>
    <w:rsid w:val="00E2305A"/>
    <w:rsid w:val="00E23A38"/>
    <w:rsid w:val="00E2411B"/>
    <w:rsid w:val="00E24314"/>
    <w:rsid w:val="00E24346"/>
    <w:rsid w:val="00E249C6"/>
    <w:rsid w:val="00E24B89"/>
    <w:rsid w:val="00E24D5A"/>
    <w:rsid w:val="00E25000"/>
    <w:rsid w:val="00E25767"/>
    <w:rsid w:val="00E26040"/>
    <w:rsid w:val="00E26287"/>
    <w:rsid w:val="00E2652A"/>
    <w:rsid w:val="00E269A6"/>
    <w:rsid w:val="00E269E7"/>
    <w:rsid w:val="00E26D70"/>
    <w:rsid w:val="00E270B4"/>
    <w:rsid w:val="00E270F5"/>
    <w:rsid w:val="00E27889"/>
    <w:rsid w:val="00E27C4F"/>
    <w:rsid w:val="00E27C5F"/>
    <w:rsid w:val="00E27EC2"/>
    <w:rsid w:val="00E30002"/>
    <w:rsid w:val="00E30372"/>
    <w:rsid w:val="00E30608"/>
    <w:rsid w:val="00E30942"/>
    <w:rsid w:val="00E30ACD"/>
    <w:rsid w:val="00E30D91"/>
    <w:rsid w:val="00E30EF7"/>
    <w:rsid w:val="00E30FA8"/>
    <w:rsid w:val="00E31043"/>
    <w:rsid w:val="00E311C8"/>
    <w:rsid w:val="00E31856"/>
    <w:rsid w:val="00E320D5"/>
    <w:rsid w:val="00E3238D"/>
    <w:rsid w:val="00E3244E"/>
    <w:rsid w:val="00E3276D"/>
    <w:rsid w:val="00E3279E"/>
    <w:rsid w:val="00E32FBF"/>
    <w:rsid w:val="00E33135"/>
    <w:rsid w:val="00E3318B"/>
    <w:rsid w:val="00E335B4"/>
    <w:rsid w:val="00E3362E"/>
    <w:rsid w:val="00E336AC"/>
    <w:rsid w:val="00E33C07"/>
    <w:rsid w:val="00E33CFF"/>
    <w:rsid w:val="00E34454"/>
    <w:rsid w:val="00E344A1"/>
    <w:rsid w:val="00E34C0D"/>
    <w:rsid w:val="00E35112"/>
    <w:rsid w:val="00E35176"/>
    <w:rsid w:val="00E35706"/>
    <w:rsid w:val="00E35A34"/>
    <w:rsid w:val="00E367EB"/>
    <w:rsid w:val="00E37A6C"/>
    <w:rsid w:val="00E37DC1"/>
    <w:rsid w:val="00E37DDA"/>
    <w:rsid w:val="00E37EC2"/>
    <w:rsid w:val="00E40166"/>
    <w:rsid w:val="00E402D2"/>
    <w:rsid w:val="00E405D0"/>
    <w:rsid w:val="00E40951"/>
    <w:rsid w:val="00E42340"/>
    <w:rsid w:val="00E4286A"/>
    <w:rsid w:val="00E4287B"/>
    <w:rsid w:val="00E42D4F"/>
    <w:rsid w:val="00E43752"/>
    <w:rsid w:val="00E43AD8"/>
    <w:rsid w:val="00E43C22"/>
    <w:rsid w:val="00E441F4"/>
    <w:rsid w:val="00E442B4"/>
    <w:rsid w:val="00E44A53"/>
    <w:rsid w:val="00E4527D"/>
    <w:rsid w:val="00E45904"/>
    <w:rsid w:val="00E45B13"/>
    <w:rsid w:val="00E45FDD"/>
    <w:rsid w:val="00E46144"/>
    <w:rsid w:val="00E46346"/>
    <w:rsid w:val="00E4638A"/>
    <w:rsid w:val="00E4668A"/>
    <w:rsid w:val="00E471FC"/>
    <w:rsid w:val="00E4755D"/>
    <w:rsid w:val="00E47D65"/>
    <w:rsid w:val="00E47E34"/>
    <w:rsid w:val="00E47F19"/>
    <w:rsid w:val="00E47F1C"/>
    <w:rsid w:val="00E502AF"/>
    <w:rsid w:val="00E504FB"/>
    <w:rsid w:val="00E50CF4"/>
    <w:rsid w:val="00E51044"/>
    <w:rsid w:val="00E51546"/>
    <w:rsid w:val="00E51631"/>
    <w:rsid w:val="00E5166A"/>
    <w:rsid w:val="00E517E3"/>
    <w:rsid w:val="00E51C7F"/>
    <w:rsid w:val="00E51DC9"/>
    <w:rsid w:val="00E525EA"/>
    <w:rsid w:val="00E52DB2"/>
    <w:rsid w:val="00E52EBA"/>
    <w:rsid w:val="00E52FFD"/>
    <w:rsid w:val="00E53197"/>
    <w:rsid w:val="00E53397"/>
    <w:rsid w:val="00E53F11"/>
    <w:rsid w:val="00E54557"/>
    <w:rsid w:val="00E54B46"/>
    <w:rsid w:val="00E54D24"/>
    <w:rsid w:val="00E554FB"/>
    <w:rsid w:val="00E55571"/>
    <w:rsid w:val="00E555F9"/>
    <w:rsid w:val="00E5595D"/>
    <w:rsid w:val="00E55C62"/>
    <w:rsid w:val="00E56D6A"/>
    <w:rsid w:val="00E56F31"/>
    <w:rsid w:val="00E56FB8"/>
    <w:rsid w:val="00E57879"/>
    <w:rsid w:val="00E601A5"/>
    <w:rsid w:val="00E603D3"/>
    <w:rsid w:val="00E60A4D"/>
    <w:rsid w:val="00E60EF8"/>
    <w:rsid w:val="00E614DD"/>
    <w:rsid w:val="00E61A3C"/>
    <w:rsid w:val="00E61AC0"/>
    <w:rsid w:val="00E61EA0"/>
    <w:rsid w:val="00E62017"/>
    <w:rsid w:val="00E621D7"/>
    <w:rsid w:val="00E62D01"/>
    <w:rsid w:val="00E63058"/>
    <w:rsid w:val="00E635FC"/>
    <w:rsid w:val="00E63916"/>
    <w:rsid w:val="00E63E75"/>
    <w:rsid w:val="00E6404D"/>
    <w:rsid w:val="00E64440"/>
    <w:rsid w:val="00E6445E"/>
    <w:rsid w:val="00E649D6"/>
    <w:rsid w:val="00E64BD4"/>
    <w:rsid w:val="00E64C18"/>
    <w:rsid w:val="00E650B6"/>
    <w:rsid w:val="00E6534F"/>
    <w:rsid w:val="00E6569C"/>
    <w:rsid w:val="00E666E1"/>
    <w:rsid w:val="00E669F7"/>
    <w:rsid w:val="00E67050"/>
    <w:rsid w:val="00E6734A"/>
    <w:rsid w:val="00E675B7"/>
    <w:rsid w:val="00E67622"/>
    <w:rsid w:val="00E70AB1"/>
    <w:rsid w:val="00E71952"/>
    <w:rsid w:val="00E7285F"/>
    <w:rsid w:val="00E73357"/>
    <w:rsid w:val="00E7373D"/>
    <w:rsid w:val="00E73D95"/>
    <w:rsid w:val="00E7423C"/>
    <w:rsid w:val="00E745CF"/>
    <w:rsid w:val="00E75436"/>
    <w:rsid w:val="00E755EC"/>
    <w:rsid w:val="00E7563D"/>
    <w:rsid w:val="00E75994"/>
    <w:rsid w:val="00E75E13"/>
    <w:rsid w:val="00E76CBA"/>
    <w:rsid w:val="00E771B8"/>
    <w:rsid w:val="00E77A08"/>
    <w:rsid w:val="00E77E81"/>
    <w:rsid w:val="00E80093"/>
    <w:rsid w:val="00E80C01"/>
    <w:rsid w:val="00E80D20"/>
    <w:rsid w:val="00E81698"/>
    <w:rsid w:val="00E81DBD"/>
    <w:rsid w:val="00E820C3"/>
    <w:rsid w:val="00E8218A"/>
    <w:rsid w:val="00E826C5"/>
    <w:rsid w:val="00E82A92"/>
    <w:rsid w:val="00E82CC2"/>
    <w:rsid w:val="00E8309F"/>
    <w:rsid w:val="00E83B27"/>
    <w:rsid w:val="00E84458"/>
    <w:rsid w:val="00E84713"/>
    <w:rsid w:val="00E848F4"/>
    <w:rsid w:val="00E84A3B"/>
    <w:rsid w:val="00E84CE9"/>
    <w:rsid w:val="00E84D22"/>
    <w:rsid w:val="00E85045"/>
    <w:rsid w:val="00E85048"/>
    <w:rsid w:val="00E8534F"/>
    <w:rsid w:val="00E85697"/>
    <w:rsid w:val="00E8595B"/>
    <w:rsid w:val="00E85998"/>
    <w:rsid w:val="00E85F2B"/>
    <w:rsid w:val="00E85FB1"/>
    <w:rsid w:val="00E85FF0"/>
    <w:rsid w:val="00E8637F"/>
    <w:rsid w:val="00E869F2"/>
    <w:rsid w:val="00E86C31"/>
    <w:rsid w:val="00E873CE"/>
    <w:rsid w:val="00E87A85"/>
    <w:rsid w:val="00E87BB6"/>
    <w:rsid w:val="00E87BCF"/>
    <w:rsid w:val="00E900DF"/>
    <w:rsid w:val="00E905EE"/>
    <w:rsid w:val="00E90693"/>
    <w:rsid w:val="00E90ABB"/>
    <w:rsid w:val="00E90CA7"/>
    <w:rsid w:val="00E9153B"/>
    <w:rsid w:val="00E916B3"/>
    <w:rsid w:val="00E9176D"/>
    <w:rsid w:val="00E91A51"/>
    <w:rsid w:val="00E91B06"/>
    <w:rsid w:val="00E91F73"/>
    <w:rsid w:val="00E920BF"/>
    <w:rsid w:val="00E9269A"/>
    <w:rsid w:val="00E92788"/>
    <w:rsid w:val="00E92C7D"/>
    <w:rsid w:val="00E92E3C"/>
    <w:rsid w:val="00E93072"/>
    <w:rsid w:val="00E9379D"/>
    <w:rsid w:val="00E93815"/>
    <w:rsid w:val="00E94123"/>
    <w:rsid w:val="00E94237"/>
    <w:rsid w:val="00E94388"/>
    <w:rsid w:val="00E94449"/>
    <w:rsid w:val="00E945C4"/>
    <w:rsid w:val="00E9507B"/>
    <w:rsid w:val="00E952A1"/>
    <w:rsid w:val="00E95679"/>
    <w:rsid w:val="00E95A9E"/>
    <w:rsid w:val="00E95F6F"/>
    <w:rsid w:val="00E96CB7"/>
    <w:rsid w:val="00E9796C"/>
    <w:rsid w:val="00E97A0E"/>
    <w:rsid w:val="00E97A8E"/>
    <w:rsid w:val="00EA08A3"/>
    <w:rsid w:val="00EA0EA6"/>
    <w:rsid w:val="00EA1610"/>
    <w:rsid w:val="00EA17FB"/>
    <w:rsid w:val="00EA20B1"/>
    <w:rsid w:val="00EA22CC"/>
    <w:rsid w:val="00EA299B"/>
    <w:rsid w:val="00EA2A2B"/>
    <w:rsid w:val="00EA2E27"/>
    <w:rsid w:val="00EA3166"/>
    <w:rsid w:val="00EA31DA"/>
    <w:rsid w:val="00EA34E2"/>
    <w:rsid w:val="00EA364C"/>
    <w:rsid w:val="00EA3BDD"/>
    <w:rsid w:val="00EA40D2"/>
    <w:rsid w:val="00EA41B2"/>
    <w:rsid w:val="00EA43DC"/>
    <w:rsid w:val="00EA46B9"/>
    <w:rsid w:val="00EA4AA6"/>
    <w:rsid w:val="00EA50C2"/>
    <w:rsid w:val="00EA5492"/>
    <w:rsid w:val="00EA599A"/>
    <w:rsid w:val="00EA5B49"/>
    <w:rsid w:val="00EA5BB9"/>
    <w:rsid w:val="00EA5BC1"/>
    <w:rsid w:val="00EA5E7C"/>
    <w:rsid w:val="00EA60E2"/>
    <w:rsid w:val="00EA6126"/>
    <w:rsid w:val="00EA665D"/>
    <w:rsid w:val="00EA6B74"/>
    <w:rsid w:val="00EA7251"/>
    <w:rsid w:val="00EA732D"/>
    <w:rsid w:val="00EA777D"/>
    <w:rsid w:val="00EB0648"/>
    <w:rsid w:val="00EB0E29"/>
    <w:rsid w:val="00EB167E"/>
    <w:rsid w:val="00EB1E21"/>
    <w:rsid w:val="00EB2319"/>
    <w:rsid w:val="00EB2431"/>
    <w:rsid w:val="00EB2A80"/>
    <w:rsid w:val="00EB3DE2"/>
    <w:rsid w:val="00EB4ADA"/>
    <w:rsid w:val="00EB4C99"/>
    <w:rsid w:val="00EB5D3F"/>
    <w:rsid w:val="00EB609B"/>
    <w:rsid w:val="00EB6503"/>
    <w:rsid w:val="00EB69AB"/>
    <w:rsid w:val="00EB6B2F"/>
    <w:rsid w:val="00EB6E94"/>
    <w:rsid w:val="00EB6F44"/>
    <w:rsid w:val="00EB7204"/>
    <w:rsid w:val="00EB7439"/>
    <w:rsid w:val="00EB7D06"/>
    <w:rsid w:val="00EB7EC4"/>
    <w:rsid w:val="00EB7EDB"/>
    <w:rsid w:val="00EC031D"/>
    <w:rsid w:val="00EC1736"/>
    <w:rsid w:val="00EC1897"/>
    <w:rsid w:val="00EC1AE3"/>
    <w:rsid w:val="00EC1DF4"/>
    <w:rsid w:val="00EC1DFE"/>
    <w:rsid w:val="00EC1EE4"/>
    <w:rsid w:val="00EC20E8"/>
    <w:rsid w:val="00EC2439"/>
    <w:rsid w:val="00EC2620"/>
    <w:rsid w:val="00EC2A0D"/>
    <w:rsid w:val="00EC2B81"/>
    <w:rsid w:val="00EC3090"/>
    <w:rsid w:val="00EC315F"/>
    <w:rsid w:val="00EC33AB"/>
    <w:rsid w:val="00EC3624"/>
    <w:rsid w:val="00EC3887"/>
    <w:rsid w:val="00EC3A77"/>
    <w:rsid w:val="00EC4156"/>
    <w:rsid w:val="00EC4364"/>
    <w:rsid w:val="00EC4793"/>
    <w:rsid w:val="00EC49AF"/>
    <w:rsid w:val="00EC4D10"/>
    <w:rsid w:val="00EC4DB1"/>
    <w:rsid w:val="00EC4E7F"/>
    <w:rsid w:val="00EC4F92"/>
    <w:rsid w:val="00EC5973"/>
    <w:rsid w:val="00EC67F5"/>
    <w:rsid w:val="00EC6C62"/>
    <w:rsid w:val="00EC6E13"/>
    <w:rsid w:val="00EC727F"/>
    <w:rsid w:val="00EC738A"/>
    <w:rsid w:val="00EC7546"/>
    <w:rsid w:val="00EC7AF3"/>
    <w:rsid w:val="00EC7C64"/>
    <w:rsid w:val="00ED0285"/>
    <w:rsid w:val="00ED0320"/>
    <w:rsid w:val="00ED0583"/>
    <w:rsid w:val="00ED0E0A"/>
    <w:rsid w:val="00ED109B"/>
    <w:rsid w:val="00ED119D"/>
    <w:rsid w:val="00ED1863"/>
    <w:rsid w:val="00ED1B7A"/>
    <w:rsid w:val="00ED1F40"/>
    <w:rsid w:val="00ED20F8"/>
    <w:rsid w:val="00ED227E"/>
    <w:rsid w:val="00ED2D28"/>
    <w:rsid w:val="00ED2DF6"/>
    <w:rsid w:val="00ED30D9"/>
    <w:rsid w:val="00ED31BB"/>
    <w:rsid w:val="00ED3B78"/>
    <w:rsid w:val="00ED4273"/>
    <w:rsid w:val="00ED5121"/>
    <w:rsid w:val="00ED5287"/>
    <w:rsid w:val="00ED5431"/>
    <w:rsid w:val="00ED55B6"/>
    <w:rsid w:val="00ED564F"/>
    <w:rsid w:val="00ED6033"/>
    <w:rsid w:val="00ED6976"/>
    <w:rsid w:val="00ED6F2F"/>
    <w:rsid w:val="00ED6F62"/>
    <w:rsid w:val="00EE041F"/>
    <w:rsid w:val="00EE055F"/>
    <w:rsid w:val="00EE0FC2"/>
    <w:rsid w:val="00EE14D0"/>
    <w:rsid w:val="00EE1AA4"/>
    <w:rsid w:val="00EE1B31"/>
    <w:rsid w:val="00EE1BC9"/>
    <w:rsid w:val="00EE1C32"/>
    <w:rsid w:val="00EE246B"/>
    <w:rsid w:val="00EE2570"/>
    <w:rsid w:val="00EE27DE"/>
    <w:rsid w:val="00EE33AF"/>
    <w:rsid w:val="00EE3934"/>
    <w:rsid w:val="00EE4178"/>
    <w:rsid w:val="00EE49CE"/>
    <w:rsid w:val="00EE4C6E"/>
    <w:rsid w:val="00EE4E38"/>
    <w:rsid w:val="00EE516B"/>
    <w:rsid w:val="00EE54E1"/>
    <w:rsid w:val="00EE558E"/>
    <w:rsid w:val="00EE6960"/>
    <w:rsid w:val="00EE69A4"/>
    <w:rsid w:val="00EE6FDD"/>
    <w:rsid w:val="00EE70F2"/>
    <w:rsid w:val="00EE7886"/>
    <w:rsid w:val="00EF01E9"/>
    <w:rsid w:val="00EF0D57"/>
    <w:rsid w:val="00EF0D92"/>
    <w:rsid w:val="00EF11E9"/>
    <w:rsid w:val="00EF12CF"/>
    <w:rsid w:val="00EF1B05"/>
    <w:rsid w:val="00EF2917"/>
    <w:rsid w:val="00EF32E0"/>
    <w:rsid w:val="00EF34EB"/>
    <w:rsid w:val="00EF3752"/>
    <w:rsid w:val="00EF3F0F"/>
    <w:rsid w:val="00EF4A27"/>
    <w:rsid w:val="00EF4E51"/>
    <w:rsid w:val="00EF4F99"/>
    <w:rsid w:val="00EF5035"/>
    <w:rsid w:val="00EF5174"/>
    <w:rsid w:val="00EF5312"/>
    <w:rsid w:val="00EF54CE"/>
    <w:rsid w:val="00EF62B4"/>
    <w:rsid w:val="00EF6E47"/>
    <w:rsid w:val="00EF6F3E"/>
    <w:rsid w:val="00EF719B"/>
    <w:rsid w:val="00EF740D"/>
    <w:rsid w:val="00EF7A8C"/>
    <w:rsid w:val="00EF7AAD"/>
    <w:rsid w:val="00F0023A"/>
    <w:rsid w:val="00F00303"/>
    <w:rsid w:val="00F00380"/>
    <w:rsid w:val="00F00553"/>
    <w:rsid w:val="00F00697"/>
    <w:rsid w:val="00F00F78"/>
    <w:rsid w:val="00F019B5"/>
    <w:rsid w:val="00F02197"/>
    <w:rsid w:val="00F027D2"/>
    <w:rsid w:val="00F03524"/>
    <w:rsid w:val="00F03C00"/>
    <w:rsid w:val="00F03CF2"/>
    <w:rsid w:val="00F04733"/>
    <w:rsid w:val="00F047DE"/>
    <w:rsid w:val="00F04C0C"/>
    <w:rsid w:val="00F04C52"/>
    <w:rsid w:val="00F04C8D"/>
    <w:rsid w:val="00F04FD6"/>
    <w:rsid w:val="00F0513F"/>
    <w:rsid w:val="00F056B5"/>
    <w:rsid w:val="00F0595C"/>
    <w:rsid w:val="00F05CB0"/>
    <w:rsid w:val="00F05CB7"/>
    <w:rsid w:val="00F05DE2"/>
    <w:rsid w:val="00F06673"/>
    <w:rsid w:val="00F06E25"/>
    <w:rsid w:val="00F071D1"/>
    <w:rsid w:val="00F07317"/>
    <w:rsid w:val="00F079EF"/>
    <w:rsid w:val="00F07FE2"/>
    <w:rsid w:val="00F10034"/>
    <w:rsid w:val="00F10559"/>
    <w:rsid w:val="00F10DB7"/>
    <w:rsid w:val="00F10F04"/>
    <w:rsid w:val="00F1127F"/>
    <w:rsid w:val="00F116A5"/>
    <w:rsid w:val="00F11904"/>
    <w:rsid w:val="00F11F56"/>
    <w:rsid w:val="00F12202"/>
    <w:rsid w:val="00F12401"/>
    <w:rsid w:val="00F12796"/>
    <w:rsid w:val="00F129B8"/>
    <w:rsid w:val="00F12AA8"/>
    <w:rsid w:val="00F1347B"/>
    <w:rsid w:val="00F139A2"/>
    <w:rsid w:val="00F13EE2"/>
    <w:rsid w:val="00F13F84"/>
    <w:rsid w:val="00F14955"/>
    <w:rsid w:val="00F14EA1"/>
    <w:rsid w:val="00F1503A"/>
    <w:rsid w:val="00F150D8"/>
    <w:rsid w:val="00F15168"/>
    <w:rsid w:val="00F1525F"/>
    <w:rsid w:val="00F155BE"/>
    <w:rsid w:val="00F155FC"/>
    <w:rsid w:val="00F15DD4"/>
    <w:rsid w:val="00F16169"/>
    <w:rsid w:val="00F16743"/>
    <w:rsid w:val="00F16949"/>
    <w:rsid w:val="00F16FB5"/>
    <w:rsid w:val="00F1706A"/>
    <w:rsid w:val="00F174C3"/>
    <w:rsid w:val="00F17A71"/>
    <w:rsid w:val="00F2028F"/>
    <w:rsid w:val="00F20875"/>
    <w:rsid w:val="00F208DD"/>
    <w:rsid w:val="00F20C9A"/>
    <w:rsid w:val="00F20F4C"/>
    <w:rsid w:val="00F20FEB"/>
    <w:rsid w:val="00F210A6"/>
    <w:rsid w:val="00F212F1"/>
    <w:rsid w:val="00F21607"/>
    <w:rsid w:val="00F21DEF"/>
    <w:rsid w:val="00F2233C"/>
    <w:rsid w:val="00F225D7"/>
    <w:rsid w:val="00F22B24"/>
    <w:rsid w:val="00F22BE6"/>
    <w:rsid w:val="00F22FB8"/>
    <w:rsid w:val="00F231DE"/>
    <w:rsid w:val="00F237F4"/>
    <w:rsid w:val="00F237FC"/>
    <w:rsid w:val="00F23992"/>
    <w:rsid w:val="00F23A7B"/>
    <w:rsid w:val="00F23DE7"/>
    <w:rsid w:val="00F23EE9"/>
    <w:rsid w:val="00F23F5E"/>
    <w:rsid w:val="00F241B4"/>
    <w:rsid w:val="00F24668"/>
    <w:rsid w:val="00F25397"/>
    <w:rsid w:val="00F2567E"/>
    <w:rsid w:val="00F2577E"/>
    <w:rsid w:val="00F258F6"/>
    <w:rsid w:val="00F259A5"/>
    <w:rsid w:val="00F25AAE"/>
    <w:rsid w:val="00F25FF6"/>
    <w:rsid w:val="00F2745A"/>
    <w:rsid w:val="00F275BC"/>
    <w:rsid w:val="00F27714"/>
    <w:rsid w:val="00F2789D"/>
    <w:rsid w:val="00F27A6F"/>
    <w:rsid w:val="00F27E8D"/>
    <w:rsid w:val="00F3164E"/>
    <w:rsid w:val="00F31698"/>
    <w:rsid w:val="00F31AD0"/>
    <w:rsid w:val="00F31CFB"/>
    <w:rsid w:val="00F31EAA"/>
    <w:rsid w:val="00F3226D"/>
    <w:rsid w:val="00F323E2"/>
    <w:rsid w:val="00F32618"/>
    <w:rsid w:val="00F32FCD"/>
    <w:rsid w:val="00F33449"/>
    <w:rsid w:val="00F33817"/>
    <w:rsid w:val="00F33B90"/>
    <w:rsid w:val="00F33E09"/>
    <w:rsid w:val="00F33E56"/>
    <w:rsid w:val="00F33F42"/>
    <w:rsid w:val="00F34205"/>
    <w:rsid w:val="00F34920"/>
    <w:rsid w:val="00F34C83"/>
    <w:rsid w:val="00F35380"/>
    <w:rsid w:val="00F3583F"/>
    <w:rsid w:val="00F3632A"/>
    <w:rsid w:val="00F36381"/>
    <w:rsid w:val="00F364E1"/>
    <w:rsid w:val="00F364E9"/>
    <w:rsid w:val="00F3664F"/>
    <w:rsid w:val="00F3671D"/>
    <w:rsid w:val="00F36AB4"/>
    <w:rsid w:val="00F36E25"/>
    <w:rsid w:val="00F37122"/>
    <w:rsid w:val="00F37178"/>
    <w:rsid w:val="00F37B99"/>
    <w:rsid w:val="00F37ED6"/>
    <w:rsid w:val="00F37F10"/>
    <w:rsid w:val="00F400F0"/>
    <w:rsid w:val="00F40526"/>
    <w:rsid w:val="00F4094C"/>
    <w:rsid w:val="00F40DF7"/>
    <w:rsid w:val="00F40F83"/>
    <w:rsid w:val="00F411F2"/>
    <w:rsid w:val="00F412C3"/>
    <w:rsid w:val="00F4130B"/>
    <w:rsid w:val="00F41372"/>
    <w:rsid w:val="00F41702"/>
    <w:rsid w:val="00F418CC"/>
    <w:rsid w:val="00F4196B"/>
    <w:rsid w:val="00F41990"/>
    <w:rsid w:val="00F419B3"/>
    <w:rsid w:val="00F41AD2"/>
    <w:rsid w:val="00F41B5B"/>
    <w:rsid w:val="00F41B77"/>
    <w:rsid w:val="00F422AE"/>
    <w:rsid w:val="00F42583"/>
    <w:rsid w:val="00F42A9D"/>
    <w:rsid w:val="00F43194"/>
    <w:rsid w:val="00F43250"/>
    <w:rsid w:val="00F4332D"/>
    <w:rsid w:val="00F43466"/>
    <w:rsid w:val="00F435AE"/>
    <w:rsid w:val="00F438FE"/>
    <w:rsid w:val="00F43A22"/>
    <w:rsid w:val="00F43D35"/>
    <w:rsid w:val="00F444C5"/>
    <w:rsid w:val="00F444F3"/>
    <w:rsid w:val="00F44753"/>
    <w:rsid w:val="00F44988"/>
    <w:rsid w:val="00F44A33"/>
    <w:rsid w:val="00F452E9"/>
    <w:rsid w:val="00F4586F"/>
    <w:rsid w:val="00F458C2"/>
    <w:rsid w:val="00F4591C"/>
    <w:rsid w:val="00F45BFB"/>
    <w:rsid w:val="00F45D0C"/>
    <w:rsid w:val="00F45D45"/>
    <w:rsid w:val="00F4610B"/>
    <w:rsid w:val="00F46459"/>
    <w:rsid w:val="00F4670A"/>
    <w:rsid w:val="00F46796"/>
    <w:rsid w:val="00F4680B"/>
    <w:rsid w:val="00F46831"/>
    <w:rsid w:val="00F468C1"/>
    <w:rsid w:val="00F46C5E"/>
    <w:rsid w:val="00F47133"/>
    <w:rsid w:val="00F471A4"/>
    <w:rsid w:val="00F504E9"/>
    <w:rsid w:val="00F50546"/>
    <w:rsid w:val="00F5083B"/>
    <w:rsid w:val="00F50865"/>
    <w:rsid w:val="00F50C6E"/>
    <w:rsid w:val="00F517BB"/>
    <w:rsid w:val="00F51B0C"/>
    <w:rsid w:val="00F51E9B"/>
    <w:rsid w:val="00F5232D"/>
    <w:rsid w:val="00F52337"/>
    <w:rsid w:val="00F527E1"/>
    <w:rsid w:val="00F527EB"/>
    <w:rsid w:val="00F52E6B"/>
    <w:rsid w:val="00F53084"/>
    <w:rsid w:val="00F53094"/>
    <w:rsid w:val="00F5492C"/>
    <w:rsid w:val="00F54E7D"/>
    <w:rsid w:val="00F54F56"/>
    <w:rsid w:val="00F55130"/>
    <w:rsid w:val="00F552CC"/>
    <w:rsid w:val="00F5599A"/>
    <w:rsid w:val="00F5702E"/>
    <w:rsid w:val="00F578C9"/>
    <w:rsid w:val="00F57AB2"/>
    <w:rsid w:val="00F57DA7"/>
    <w:rsid w:val="00F57EFF"/>
    <w:rsid w:val="00F57FF5"/>
    <w:rsid w:val="00F601C4"/>
    <w:rsid w:val="00F601E8"/>
    <w:rsid w:val="00F605CA"/>
    <w:rsid w:val="00F60887"/>
    <w:rsid w:val="00F6097F"/>
    <w:rsid w:val="00F60986"/>
    <w:rsid w:val="00F60A4C"/>
    <w:rsid w:val="00F61182"/>
    <w:rsid w:val="00F6137D"/>
    <w:rsid w:val="00F623FF"/>
    <w:rsid w:val="00F62DDC"/>
    <w:rsid w:val="00F62F24"/>
    <w:rsid w:val="00F63C2B"/>
    <w:rsid w:val="00F63F9A"/>
    <w:rsid w:val="00F64151"/>
    <w:rsid w:val="00F6423A"/>
    <w:rsid w:val="00F64698"/>
    <w:rsid w:val="00F6476F"/>
    <w:rsid w:val="00F64A96"/>
    <w:rsid w:val="00F64CB5"/>
    <w:rsid w:val="00F65369"/>
    <w:rsid w:val="00F653C2"/>
    <w:rsid w:val="00F655D2"/>
    <w:rsid w:val="00F6568C"/>
    <w:rsid w:val="00F65794"/>
    <w:rsid w:val="00F662B1"/>
    <w:rsid w:val="00F6646C"/>
    <w:rsid w:val="00F66E91"/>
    <w:rsid w:val="00F670EA"/>
    <w:rsid w:val="00F6745B"/>
    <w:rsid w:val="00F675FE"/>
    <w:rsid w:val="00F67D62"/>
    <w:rsid w:val="00F707B2"/>
    <w:rsid w:val="00F70D7D"/>
    <w:rsid w:val="00F712E2"/>
    <w:rsid w:val="00F71CC3"/>
    <w:rsid w:val="00F727CF"/>
    <w:rsid w:val="00F72C0C"/>
    <w:rsid w:val="00F72C44"/>
    <w:rsid w:val="00F72D29"/>
    <w:rsid w:val="00F73974"/>
    <w:rsid w:val="00F73A1D"/>
    <w:rsid w:val="00F73C38"/>
    <w:rsid w:val="00F7400B"/>
    <w:rsid w:val="00F742F7"/>
    <w:rsid w:val="00F745E0"/>
    <w:rsid w:val="00F74CF0"/>
    <w:rsid w:val="00F74D70"/>
    <w:rsid w:val="00F74DDB"/>
    <w:rsid w:val="00F750CF"/>
    <w:rsid w:val="00F75193"/>
    <w:rsid w:val="00F752EB"/>
    <w:rsid w:val="00F756C6"/>
    <w:rsid w:val="00F75B83"/>
    <w:rsid w:val="00F75C35"/>
    <w:rsid w:val="00F766A6"/>
    <w:rsid w:val="00F766D0"/>
    <w:rsid w:val="00F7689D"/>
    <w:rsid w:val="00F7789D"/>
    <w:rsid w:val="00F778C7"/>
    <w:rsid w:val="00F77D48"/>
    <w:rsid w:val="00F77FB5"/>
    <w:rsid w:val="00F8018D"/>
    <w:rsid w:val="00F802B6"/>
    <w:rsid w:val="00F80483"/>
    <w:rsid w:val="00F807E0"/>
    <w:rsid w:val="00F809EC"/>
    <w:rsid w:val="00F811B8"/>
    <w:rsid w:val="00F81484"/>
    <w:rsid w:val="00F826C7"/>
    <w:rsid w:val="00F827B1"/>
    <w:rsid w:val="00F82BAC"/>
    <w:rsid w:val="00F82DEC"/>
    <w:rsid w:val="00F82FF8"/>
    <w:rsid w:val="00F830CE"/>
    <w:rsid w:val="00F83A1B"/>
    <w:rsid w:val="00F83C18"/>
    <w:rsid w:val="00F842A2"/>
    <w:rsid w:val="00F84392"/>
    <w:rsid w:val="00F84572"/>
    <w:rsid w:val="00F84708"/>
    <w:rsid w:val="00F84EEB"/>
    <w:rsid w:val="00F8541E"/>
    <w:rsid w:val="00F855E5"/>
    <w:rsid w:val="00F857AC"/>
    <w:rsid w:val="00F85F37"/>
    <w:rsid w:val="00F86AC1"/>
    <w:rsid w:val="00F87393"/>
    <w:rsid w:val="00F87661"/>
    <w:rsid w:val="00F87766"/>
    <w:rsid w:val="00F87E0F"/>
    <w:rsid w:val="00F87E51"/>
    <w:rsid w:val="00F87E8D"/>
    <w:rsid w:val="00F907C4"/>
    <w:rsid w:val="00F90814"/>
    <w:rsid w:val="00F90B04"/>
    <w:rsid w:val="00F9141F"/>
    <w:rsid w:val="00F919E3"/>
    <w:rsid w:val="00F91D84"/>
    <w:rsid w:val="00F926AC"/>
    <w:rsid w:val="00F92860"/>
    <w:rsid w:val="00F929D5"/>
    <w:rsid w:val="00F931C9"/>
    <w:rsid w:val="00F9322C"/>
    <w:rsid w:val="00F93319"/>
    <w:rsid w:val="00F93379"/>
    <w:rsid w:val="00F93B3B"/>
    <w:rsid w:val="00F93B72"/>
    <w:rsid w:val="00F93D03"/>
    <w:rsid w:val="00F93FC3"/>
    <w:rsid w:val="00F944DC"/>
    <w:rsid w:val="00F948DF"/>
    <w:rsid w:val="00F94903"/>
    <w:rsid w:val="00F94F12"/>
    <w:rsid w:val="00F95059"/>
    <w:rsid w:val="00F95120"/>
    <w:rsid w:val="00F9533C"/>
    <w:rsid w:val="00F95404"/>
    <w:rsid w:val="00F957B7"/>
    <w:rsid w:val="00F9583D"/>
    <w:rsid w:val="00F95C14"/>
    <w:rsid w:val="00F95FD4"/>
    <w:rsid w:val="00F96183"/>
    <w:rsid w:val="00F9638E"/>
    <w:rsid w:val="00F965F5"/>
    <w:rsid w:val="00F972A3"/>
    <w:rsid w:val="00F97A79"/>
    <w:rsid w:val="00F97C54"/>
    <w:rsid w:val="00FA00F9"/>
    <w:rsid w:val="00FA0260"/>
    <w:rsid w:val="00FA08D0"/>
    <w:rsid w:val="00FA0DEB"/>
    <w:rsid w:val="00FA1190"/>
    <w:rsid w:val="00FA11BD"/>
    <w:rsid w:val="00FA1370"/>
    <w:rsid w:val="00FA185A"/>
    <w:rsid w:val="00FA1E27"/>
    <w:rsid w:val="00FA21EC"/>
    <w:rsid w:val="00FA334F"/>
    <w:rsid w:val="00FA352B"/>
    <w:rsid w:val="00FA3BE4"/>
    <w:rsid w:val="00FA428A"/>
    <w:rsid w:val="00FA458B"/>
    <w:rsid w:val="00FA48FC"/>
    <w:rsid w:val="00FA4998"/>
    <w:rsid w:val="00FA49FE"/>
    <w:rsid w:val="00FA4D2E"/>
    <w:rsid w:val="00FA5156"/>
    <w:rsid w:val="00FA5491"/>
    <w:rsid w:val="00FA56B2"/>
    <w:rsid w:val="00FA56B7"/>
    <w:rsid w:val="00FA61ED"/>
    <w:rsid w:val="00FA64DE"/>
    <w:rsid w:val="00FA65A4"/>
    <w:rsid w:val="00FA6D26"/>
    <w:rsid w:val="00FA6E81"/>
    <w:rsid w:val="00FA6E98"/>
    <w:rsid w:val="00FA7208"/>
    <w:rsid w:val="00FA72E5"/>
    <w:rsid w:val="00FA77C2"/>
    <w:rsid w:val="00FA7AC3"/>
    <w:rsid w:val="00FA7AE9"/>
    <w:rsid w:val="00FA7B6D"/>
    <w:rsid w:val="00FB0083"/>
    <w:rsid w:val="00FB0183"/>
    <w:rsid w:val="00FB035E"/>
    <w:rsid w:val="00FB1059"/>
    <w:rsid w:val="00FB1A52"/>
    <w:rsid w:val="00FB1BC0"/>
    <w:rsid w:val="00FB2ADE"/>
    <w:rsid w:val="00FB2FE2"/>
    <w:rsid w:val="00FB333A"/>
    <w:rsid w:val="00FB388B"/>
    <w:rsid w:val="00FB39EF"/>
    <w:rsid w:val="00FB3CE5"/>
    <w:rsid w:val="00FB3FCF"/>
    <w:rsid w:val="00FB41A2"/>
    <w:rsid w:val="00FB42CF"/>
    <w:rsid w:val="00FB42FE"/>
    <w:rsid w:val="00FB4B32"/>
    <w:rsid w:val="00FB5068"/>
    <w:rsid w:val="00FB5514"/>
    <w:rsid w:val="00FB564F"/>
    <w:rsid w:val="00FB5844"/>
    <w:rsid w:val="00FB6030"/>
    <w:rsid w:val="00FB69CD"/>
    <w:rsid w:val="00FB6DE0"/>
    <w:rsid w:val="00FB7014"/>
    <w:rsid w:val="00FB7433"/>
    <w:rsid w:val="00FB7599"/>
    <w:rsid w:val="00FB75BC"/>
    <w:rsid w:val="00FB76C4"/>
    <w:rsid w:val="00FB7EFE"/>
    <w:rsid w:val="00FC0092"/>
    <w:rsid w:val="00FC010F"/>
    <w:rsid w:val="00FC0299"/>
    <w:rsid w:val="00FC0476"/>
    <w:rsid w:val="00FC0786"/>
    <w:rsid w:val="00FC10D1"/>
    <w:rsid w:val="00FC1105"/>
    <w:rsid w:val="00FC1732"/>
    <w:rsid w:val="00FC1749"/>
    <w:rsid w:val="00FC18F0"/>
    <w:rsid w:val="00FC1D91"/>
    <w:rsid w:val="00FC2194"/>
    <w:rsid w:val="00FC2B2A"/>
    <w:rsid w:val="00FC3823"/>
    <w:rsid w:val="00FC3FA2"/>
    <w:rsid w:val="00FC4161"/>
    <w:rsid w:val="00FC427A"/>
    <w:rsid w:val="00FC4622"/>
    <w:rsid w:val="00FC4E09"/>
    <w:rsid w:val="00FC503E"/>
    <w:rsid w:val="00FC5080"/>
    <w:rsid w:val="00FC53D2"/>
    <w:rsid w:val="00FC56CA"/>
    <w:rsid w:val="00FC6339"/>
    <w:rsid w:val="00FC68AD"/>
    <w:rsid w:val="00FC6E90"/>
    <w:rsid w:val="00FC7544"/>
    <w:rsid w:val="00FC755D"/>
    <w:rsid w:val="00FC7586"/>
    <w:rsid w:val="00FC7656"/>
    <w:rsid w:val="00FC7AA7"/>
    <w:rsid w:val="00FC7B51"/>
    <w:rsid w:val="00FC7C32"/>
    <w:rsid w:val="00FC7EF1"/>
    <w:rsid w:val="00FC7FF3"/>
    <w:rsid w:val="00FD0C5B"/>
    <w:rsid w:val="00FD114A"/>
    <w:rsid w:val="00FD1271"/>
    <w:rsid w:val="00FD13AB"/>
    <w:rsid w:val="00FD1831"/>
    <w:rsid w:val="00FD1E3E"/>
    <w:rsid w:val="00FD2580"/>
    <w:rsid w:val="00FD2748"/>
    <w:rsid w:val="00FD2B86"/>
    <w:rsid w:val="00FD3053"/>
    <w:rsid w:val="00FD3751"/>
    <w:rsid w:val="00FD376B"/>
    <w:rsid w:val="00FD3CE9"/>
    <w:rsid w:val="00FD3D96"/>
    <w:rsid w:val="00FD41A1"/>
    <w:rsid w:val="00FD490C"/>
    <w:rsid w:val="00FD497E"/>
    <w:rsid w:val="00FD4A05"/>
    <w:rsid w:val="00FD533F"/>
    <w:rsid w:val="00FD550B"/>
    <w:rsid w:val="00FD5617"/>
    <w:rsid w:val="00FD5841"/>
    <w:rsid w:val="00FD5A12"/>
    <w:rsid w:val="00FD5C4C"/>
    <w:rsid w:val="00FD5FBC"/>
    <w:rsid w:val="00FD64E1"/>
    <w:rsid w:val="00FD6995"/>
    <w:rsid w:val="00FD6A12"/>
    <w:rsid w:val="00FD6F0D"/>
    <w:rsid w:val="00FD738C"/>
    <w:rsid w:val="00FD73FA"/>
    <w:rsid w:val="00FD7459"/>
    <w:rsid w:val="00FD7B26"/>
    <w:rsid w:val="00FD7F9A"/>
    <w:rsid w:val="00FE0151"/>
    <w:rsid w:val="00FE025E"/>
    <w:rsid w:val="00FE1146"/>
    <w:rsid w:val="00FE150A"/>
    <w:rsid w:val="00FE165A"/>
    <w:rsid w:val="00FE16AF"/>
    <w:rsid w:val="00FE182A"/>
    <w:rsid w:val="00FE2530"/>
    <w:rsid w:val="00FE2D2B"/>
    <w:rsid w:val="00FE2DE0"/>
    <w:rsid w:val="00FE3582"/>
    <w:rsid w:val="00FE537C"/>
    <w:rsid w:val="00FE542B"/>
    <w:rsid w:val="00FE5A36"/>
    <w:rsid w:val="00FE5B33"/>
    <w:rsid w:val="00FE5D1E"/>
    <w:rsid w:val="00FE734A"/>
    <w:rsid w:val="00FE7683"/>
    <w:rsid w:val="00FF052F"/>
    <w:rsid w:val="00FF0566"/>
    <w:rsid w:val="00FF0AA9"/>
    <w:rsid w:val="00FF0F3D"/>
    <w:rsid w:val="00FF165A"/>
    <w:rsid w:val="00FF1AA8"/>
    <w:rsid w:val="00FF1DA7"/>
    <w:rsid w:val="00FF2477"/>
    <w:rsid w:val="00FF2822"/>
    <w:rsid w:val="00FF2DB8"/>
    <w:rsid w:val="00FF2F6C"/>
    <w:rsid w:val="00FF341B"/>
    <w:rsid w:val="00FF36CE"/>
    <w:rsid w:val="00FF38FD"/>
    <w:rsid w:val="00FF3A8D"/>
    <w:rsid w:val="00FF4078"/>
    <w:rsid w:val="00FF40BF"/>
    <w:rsid w:val="00FF4278"/>
    <w:rsid w:val="00FF42FC"/>
    <w:rsid w:val="00FF47C0"/>
    <w:rsid w:val="00FF4862"/>
    <w:rsid w:val="00FF4A01"/>
    <w:rsid w:val="00FF4A91"/>
    <w:rsid w:val="00FF4F17"/>
    <w:rsid w:val="00FF58A7"/>
    <w:rsid w:val="00FF5EF9"/>
    <w:rsid w:val="00FF61BC"/>
    <w:rsid w:val="00FF6794"/>
    <w:rsid w:val="00FF69D1"/>
    <w:rsid w:val="00FF6E43"/>
    <w:rsid w:val="00FF712B"/>
    <w:rsid w:val="00FF7506"/>
    <w:rsid w:val="00FF7A58"/>
    <w:rsid w:val="00FF7DC2"/>
    <w:rsid w:val="0282719B"/>
    <w:rsid w:val="03EA9215"/>
    <w:rsid w:val="061C915C"/>
    <w:rsid w:val="084012E9"/>
    <w:rsid w:val="0964F2E6"/>
    <w:rsid w:val="0AF57090"/>
    <w:rsid w:val="104A9EED"/>
    <w:rsid w:val="10ACD8DF"/>
    <w:rsid w:val="148D7030"/>
    <w:rsid w:val="15C3A95E"/>
    <w:rsid w:val="19885C30"/>
    <w:rsid w:val="1ED8A16F"/>
    <w:rsid w:val="1EF28EC2"/>
    <w:rsid w:val="22CDA6EF"/>
    <w:rsid w:val="2BD62FA8"/>
    <w:rsid w:val="31319BAC"/>
    <w:rsid w:val="327AD28A"/>
    <w:rsid w:val="33D12B61"/>
    <w:rsid w:val="33D8C07D"/>
    <w:rsid w:val="33D9EB0F"/>
    <w:rsid w:val="34EDA369"/>
    <w:rsid w:val="36719209"/>
    <w:rsid w:val="373DCD6B"/>
    <w:rsid w:val="376FF4FB"/>
    <w:rsid w:val="3C85E804"/>
    <w:rsid w:val="3E0D5181"/>
    <w:rsid w:val="4174BDFC"/>
    <w:rsid w:val="4425250E"/>
    <w:rsid w:val="4461EBC7"/>
    <w:rsid w:val="469431AF"/>
    <w:rsid w:val="49120565"/>
    <w:rsid w:val="4976CE44"/>
    <w:rsid w:val="49A1B5D2"/>
    <w:rsid w:val="4D1C2ED0"/>
    <w:rsid w:val="4D6FC2A0"/>
    <w:rsid w:val="4F71413A"/>
    <w:rsid w:val="4FAB13DF"/>
    <w:rsid w:val="602B3449"/>
    <w:rsid w:val="634EF2CC"/>
    <w:rsid w:val="6B96860B"/>
    <w:rsid w:val="6E654BE9"/>
    <w:rsid w:val="7367317F"/>
    <w:rsid w:val="747E944A"/>
    <w:rsid w:val="759D1C3B"/>
    <w:rsid w:val="766EB33B"/>
    <w:rsid w:val="768B9180"/>
    <w:rsid w:val="7D096D87"/>
    <w:rsid w:val="7EF0F0B1"/>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9311F6"/>
  <w15:docId w15:val="{EBE93F28-CD12-4AA6-90E1-AFA73068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FSMePro" w:hAnsi="Arial" w:cs="Times New Roman"/>
        <w:sz w:val="24"/>
        <w:szCs w:val="24"/>
        <w:lang w:val="en-AU" w:eastAsia="en-AU" w:bidi="ar-SA"/>
      </w:rPr>
    </w:rPrDefault>
    <w:pPrDefault>
      <w:pPr>
        <w:spacing w:before="120" w:after="120" w:line="28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7CF"/>
    <w:pPr>
      <w:spacing w:before="0" w:after="240"/>
    </w:pPr>
  </w:style>
  <w:style w:type="paragraph" w:styleId="Heading1">
    <w:name w:val="heading 1"/>
    <w:aliases w:val="Heading 1 do not use,Section heading 1,Front Page Title,1.,Para 1,Para 11"/>
    <w:basedOn w:val="Normal"/>
    <w:next w:val="Normal"/>
    <w:link w:val="Heading1Char"/>
    <w:qFormat/>
    <w:rsid w:val="00187DA2"/>
    <w:pPr>
      <w:spacing w:before="800" w:after="400"/>
      <w:outlineLvl w:val="0"/>
    </w:pPr>
    <w:rPr>
      <w:rFonts w:cs="Arial"/>
      <w:b/>
      <w:color w:val="6B2876" w:themeColor="text2"/>
      <w:sz w:val="80"/>
      <w:szCs w:val="60"/>
    </w:rPr>
  </w:style>
  <w:style w:type="paragraph" w:styleId="Heading2">
    <w:name w:val="heading 2"/>
    <w:aliases w:val="Heading 2 do not use,Front Page List of Sections"/>
    <w:basedOn w:val="Normal"/>
    <w:next w:val="Normal"/>
    <w:link w:val="Heading2Char"/>
    <w:qFormat/>
    <w:rsid w:val="00F2567E"/>
    <w:pPr>
      <w:spacing w:before="600"/>
      <w:outlineLvl w:val="1"/>
    </w:pPr>
    <w:rPr>
      <w:b/>
      <w:bCs/>
      <w:noProof/>
      <w:color w:val="6B2876" w:themeColor="text2"/>
      <w:sz w:val="48"/>
      <w:szCs w:val="36"/>
    </w:rPr>
  </w:style>
  <w:style w:type="paragraph" w:styleId="Heading3">
    <w:name w:val="heading 3"/>
    <w:aliases w:val="Heading 3 do not use"/>
    <w:basedOn w:val="Normal"/>
    <w:next w:val="Normal"/>
    <w:link w:val="Heading3Char"/>
    <w:qFormat/>
    <w:rsid w:val="00D8489C"/>
    <w:pPr>
      <w:keepNext/>
      <w:spacing w:before="400"/>
      <w:ind w:left="1021" w:hanging="1021"/>
      <w:outlineLvl w:val="2"/>
    </w:pPr>
    <w:rPr>
      <w:b/>
      <w:color w:val="6B2976"/>
      <w:sz w:val="32"/>
      <w:szCs w:val="32"/>
    </w:rPr>
  </w:style>
  <w:style w:type="paragraph" w:styleId="Heading4">
    <w:name w:val="heading 4"/>
    <w:basedOn w:val="Normal"/>
    <w:next w:val="Normal"/>
    <w:link w:val="Heading4Char"/>
    <w:qFormat/>
    <w:rsid w:val="00D8489C"/>
    <w:pPr>
      <w:keepNext/>
      <w:outlineLvl w:val="3"/>
    </w:pPr>
    <w:rPr>
      <w:b/>
      <w:color w:val="6B2876" w:themeColor="text1"/>
      <w:sz w:val="28"/>
      <w:szCs w:val="28"/>
    </w:rPr>
  </w:style>
  <w:style w:type="paragraph" w:styleId="Heading5">
    <w:name w:val="heading 5"/>
    <w:basedOn w:val="Normal"/>
    <w:next w:val="Normal"/>
    <w:link w:val="Heading5Char"/>
    <w:qFormat/>
    <w:rsid w:val="00D8489C"/>
    <w:pPr>
      <w:keepNext/>
      <w:spacing w:before="360"/>
      <w:outlineLvl w:val="4"/>
    </w:pPr>
    <w:rPr>
      <w:b/>
      <w:color w:val="6B2876" w:themeColor="text1"/>
    </w:rPr>
  </w:style>
  <w:style w:type="paragraph" w:styleId="Heading6">
    <w:name w:val="heading 6"/>
    <w:basedOn w:val="Normal"/>
    <w:next w:val="Normal"/>
    <w:link w:val="Heading6Char"/>
    <w:qFormat/>
    <w:rsid w:val="00416840"/>
    <w:pPr>
      <w:keepNext/>
      <w:spacing w:before="120"/>
      <w:outlineLvl w:val="5"/>
    </w:pPr>
    <w:rPr>
      <w:b/>
      <w:bCs/>
    </w:rPr>
  </w:style>
  <w:style w:type="paragraph" w:styleId="Heading7">
    <w:name w:val="heading 7"/>
    <w:aliases w:val="Section Sub-Heading 4"/>
    <w:basedOn w:val="Normal"/>
    <w:next w:val="Normal"/>
    <w:link w:val="Heading7Char"/>
    <w:rsid w:val="004B54CA"/>
    <w:pPr>
      <w:spacing w:after="0"/>
      <w:outlineLvl w:val="6"/>
    </w:pPr>
    <w:rPr>
      <w:i/>
      <w:iCs/>
    </w:rPr>
  </w:style>
  <w:style w:type="paragraph" w:styleId="Heading8">
    <w:name w:val="heading 8"/>
    <w:basedOn w:val="Normal"/>
    <w:next w:val="Normal"/>
    <w:link w:val="Heading8Char"/>
    <w:rsid w:val="004B54CA"/>
    <w:pPr>
      <w:spacing w:after="0"/>
      <w:outlineLvl w:val="7"/>
    </w:pPr>
    <w:rPr>
      <w:sz w:val="20"/>
      <w:szCs w:val="20"/>
    </w:rPr>
  </w:style>
  <w:style w:type="paragraph" w:styleId="Heading9">
    <w:name w:val="heading 9"/>
    <w:basedOn w:val="Normal"/>
    <w:next w:val="Normal"/>
    <w:link w:val="Heading9Char"/>
    <w:rsid w:val="004B54CA"/>
    <w:pPr>
      <w:spacing w:after="0"/>
      <w:outlineLvl w:val="8"/>
    </w:pPr>
    <w:rPr>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o not use Char,Section heading 1 Char,Front Page Title Char,1. Char,Para 1 Char,Para 11 Char"/>
    <w:link w:val="Heading1"/>
    <w:rsid w:val="00187DA2"/>
    <w:rPr>
      <w:rFonts w:cs="Arial"/>
      <w:b/>
      <w:color w:val="6B2876" w:themeColor="text2"/>
      <w:sz w:val="80"/>
      <w:szCs w:val="60"/>
    </w:rPr>
  </w:style>
  <w:style w:type="character" w:customStyle="1" w:styleId="Heading2Char">
    <w:name w:val="Heading 2 Char"/>
    <w:aliases w:val="Heading 2 do not use Char,Front Page List of Sections Char"/>
    <w:link w:val="Heading2"/>
    <w:rsid w:val="00F2567E"/>
    <w:rPr>
      <w:b/>
      <w:bCs/>
      <w:noProof/>
      <w:color w:val="6B2876" w:themeColor="text2"/>
      <w:sz w:val="48"/>
      <w:szCs w:val="36"/>
    </w:rPr>
  </w:style>
  <w:style w:type="paragraph" w:customStyle="1" w:styleId="Tablebullet">
    <w:name w:val="Table bullet"/>
    <w:link w:val="TablebulletChar"/>
    <w:uiPriority w:val="10"/>
    <w:qFormat/>
    <w:rsid w:val="0063178A"/>
    <w:pPr>
      <w:numPr>
        <w:numId w:val="7"/>
      </w:numPr>
      <w:spacing w:before="40" w:after="40"/>
      <w:contextualSpacing/>
    </w:pPr>
    <w:rPr>
      <w:rFonts w:eastAsia="Times New Roman"/>
      <w:lang w:eastAsia="ja-JP"/>
    </w:rPr>
  </w:style>
  <w:style w:type="character" w:customStyle="1" w:styleId="Heading3Char">
    <w:name w:val="Heading 3 Char"/>
    <w:aliases w:val="Heading 3 do not use Char"/>
    <w:link w:val="Heading3"/>
    <w:rsid w:val="00D8489C"/>
    <w:rPr>
      <w:b/>
      <w:color w:val="6B2976"/>
      <w:sz w:val="32"/>
      <w:szCs w:val="32"/>
    </w:rPr>
  </w:style>
  <w:style w:type="character" w:customStyle="1" w:styleId="Heading4Char">
    <w:name w:val="Heading 4 Char"/>
    <w:link w:val="Heading4"/>
    <w:rsid w:val="00D8489C"/>
    <w:rPr>
      <w:b/>
      <w:color w:val="6B2876" w:themeColor="text1"/>
      <w:sz w:val="28"/>
      <w:szCs w:val="28"/>
    </w:rPr>
  </w:style>
  <w:style w:type="character" w:customStyle="1" w:styleId="Heading5Char">
    <w:name w:val="Heading 5 Char"/>
    <w:link w:val="Heading5"/>
    <w:rsid w:val="00D8489C"/>
    <w:rPr>
      <w:b/>
      <w:color w:val="6B2876" w:themeColor="text1"/>
    </w:rPr>
  </w:style>
  <w:style w:type="character" w:customStyle="1" w:styleId="Heading6Char">
    <w:name w:val="Heading 6 Char"/>
    <w:link w:val="Heading6"/>
    <w:rsid w:val="00416840"/>
    <w:rPr>
      <w:b/>
      <w:bCs/>
    </w:rPr>
  </w:style>
  <w:style w:type="character" w:customStyle="1" w:styleId="Heading7Char">
    <w:name w:val="Heading 7 Char"/>
    <w:aliases w:val="Section Sub-Heading 4 Char"/>
    <w:link w:val="Heading7"/>
    <w:uiPriority w:val="99"/>
    <w:semiHidden/>
    <w:rsid w:val="00E95A9E"/>
    <w:rPr>
      <w:i/>
      <w:iCs/>
    </w:rPr>
  </w:style>
  <w:style w:type="character" w:customStyle="1" w:styleId="Heading8Char">
    <w:name w:val="Heading 8 Char"/>
    <w:link w:val="Heading8"/>
    <w:uiPriority w:val="99"/>
    <w:semiHidden/>
    <w:rsid w:val="00E95A9E"/>
    <w:rPr>
      <w:sz w:val="20"/>
      <w:szCs w:val="20"/>
    </w:rPr>
  </w:style>
  <w:style w:type="character" w:customStyle="1" w:styleId="Heading9Char">
    <w:name w:val="Heading 9 Char"/>
    <w:link w:val="Heading9"/>
    <w:uiPriority w:val="99"/>
    <w:semiHidden/>
    <w:rsid w:val="00E95A9E"/>
    <w:rPr>
      <w:i/>
      <w:iCs/>
      <w:spacing w:val="5"/>
      <w:sz w:val="20"/>
      <w:szCs w:val="20"/>
    </w:rPr>
  </w:style>
  <w:style w:type="table" w:styleId="ListTable7Colorful-Accent6">
    <w:name w:val="List Table 7 Colorful Accent 6"/>
    <w:basedOn w:val="TableNormal"/>
    <w:uiPriority w:val="52"/>
    <w:rsid w:val="002A30E0"/>
    <w:rPr>
      <w:color w:val="00000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accent6"/>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000000" w:themeColor="accent6"/>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accent6"/>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000000" w:themeColor="accent6"/>
        </w:tcBorders>
        <w:shd w:val="clear" w:color="auto" w:fill="F9F9F9" w:themeFill="background1"/>
      </w:tcPr>
    </w:tblStylePr>
    <w:tblStylePr w:type="band1Vert">
      <w:tblPr/>
      <w:tcPr>
        <w:shd w:val="clear" w:color="auto" w:fill="CCCCCC" w:themeFill="accent6" w:themeFillTint="33"/>
      </w:tcPr>
    </w:tblStylePr>
    <w:tblStylePr w:type="band1Horz">
      <w:tblPr/>
      <w:tcPr>
        <w:shd w:val="clear" w:color="auto" w:fill="CCCCCC"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
    <w:name w:val="List Table 7 Colorful"/>
    <w:basedOn w:val="TableNormal"/>
    <w:uiPriority w:val="52"/>
    <w:rsid w:val="00940AC8"/>
    <w:rPr>
      <w:color w:val="6B2876"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B2876" w:themeColor="text1"/>
        </w:tcBorders>
        <w:shd w:val="clear" w:color="auto" w:fill="F9F9F9" w:themeFill="background1"/>
      </w:tcPr>
    </w:tblStylePr>
    <w:tblStylePr w:type="lastRow">
      <w:rPr>
        <w:rFonts w:asciiTheme="majorHAnsi" w:eastAsiaTheme="majorEastAsia" w:hAnsiTheme="majorHAnsi" w:cstheme="majorBidi"/>
        <w:i/>
        <w:iCs/>
        <w:sz w:val="26"/>
      </w:rPr>
      <w:tblPr/>
      <w:tcPr>
        <w:tcBorders>
          <w:top w:val="single" w:sz="4" w:space="0" w:color="6B2876" w:themeColor="text1"/>
        </w:tcBorders>
        <w:shd w:val="clear" w:color="auto" w:fill="F9F9F9"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B2876" w:themeColor="text1"/>
        </w:tcBorders>
        <w:shd w:val="clear" w:color="auto" w:fill="F9F9F9" w:themeFill="background1"/>
      </w:tcPr>
    </w:tblStylePr>
    <w:tblStylePr w:type="lastCol">
      <w:rPr>
        <w:rFonts w:asciiTheme="majorHAnsi" w:eastAsiaTheme="majorEastAsia" w:hAnsiTheme="majorHAnsi" w:cstheme="majorBidi"/>
        <w:i/>
        <w:iCs/>
        <w:sz w:val="26"/>
      </w:rPr>
      <w:tblPr/>
      <w:tcPr>
        <w:tcBorders>
          <w:left w:val="single" w:sz="4" w:space="0" w:color="6B2876" w:themeColor="text1"/>
        </w:tcBorders>
        <w:shd w:val="clear" w:color="auto" w:fill="F9F9F9" w:themeFill="background1"/>
      </w:tcPr>
    </w:tblStylePr>
    <w:tblStylePr w:type="band1Vert">
      <w:tblPr/>
      <w:tcPr>
        <w:shd w:val="clear" w:color="auto" w:fill="E8CAED" w:themeFill="text1" w:themeFillTint="33"/>
      </w:tcPr>
    </w:tblStylePr>
    <w:tblStylePr w:type="band1Horz">
      <w:tblPr/>
      <w:tcPr>
        <w:shd w:val="clear" w:color="auto" w:fill="E8CAED"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CurrentList1">
    <w:name w:val="Current List1"/>
    <w:uiPriority w:val="99"/>
    <w:rsid w:val="00940AC8"/>
    <w:pPr>
      <w:numPr>
        <w:numId w:val="3"/>
      </w:numPr>
    </w:pPr>
  </w:style>
  <w:style w:type="numbering" w:customStyle="1" w:styleId="CurrentList2">
    <w:name w:val="Current List2"/>
    <w:uiPriority w:val="99"/>
    <w:rsid w:val="00940AC8"/>
    <w:pPr>
      <w:numPr>
        <w:numId w:val="4"/>
      </w:numPr>
    </w:pPr>
  </w:style>
  <w:style w:type="numbering" w:customStyle="1" w:styleId="CurrentList3">
    <w:name w:val="Current List3"/>
    <w:uiPriority w:val="99"/>
    <w:rsid w:val="00940AC8"/>
    <w:pPr>
      <w:numPr>
        <w:numId w:val="5"/>
      </w:numPr>
    </w:pPr>
  </w:style>
  <w:style w:type="table" w:styleId="TableGridLight">
    <w:name w:val="Grid Table Light"/>
    <w:basedOn w:val="TableNormal"/>
    <w:uiPriority w:val="40"/>
    <w:rsid w:val="00940AC8"/>
    <w:tblPr>
      <w:tblBorders>
        <w:top w:val="single" w:sz="4" w:space="0" w:color="BABABA" w:themeColor="background1" w:themeShade="BF"/>
        <w:left w:val="single" w:sz="4" w:space="0" w:color="BABABA" w:themeColor="background1" w:themeShade="BF"/>
        <w:bottom w:val="single" w:sz="4" w:space="0" w:color="BABABA" w:themeColor="background1" w:themeShade="BF"/>
        <w:right w:val="single" w:sz="4" w:space="0" w:color="BABABA" w:themeColor="background1" w:themeShade="BF"/>
        <w:insideH w:val="single" w:sz="4" w:space="0" w:color="BABABA" w:themeColor="background1" w:themeShade="BF"/>
        <w:insideV w:val="single" w:sz="4" w:space="0" w:color="BABABA" w:themeColor="background1" w:themeShade="BF"/>
      </w:tblBorders>
    </w:tblPr>
  </w:style>
  <w:style w:type="paragraph" w:styleId="ListParagraph">
    <w:name w:val="List Paragraph"/>
    <w:aliases w:val="Recommendation,List Paragraph1,List Paragraph11,Figure_name,Bullet- First level,Listenabsatz1,L,Number,#List Paragraph,Bullet point,List Paragraph111,F5 List Paragraph,Dot pt,CV text,Table text,Medium Grid 1 - Accent 21,Numbered Paragraph"/>
    <w:basedOn w:val="Normal"/>
    <w:link w:val="ListParagraphChar"/>
    <w:uiPriority w:val="34"/>
    <w:unhideWhenUsed/>
    <w:qFormat/>
    <w:rsid w:val="004B54CA"/>
    <w:pPr>
      <w:ind w:left="720"/>
      <w:contextualSpacing/>
    </w:pPr>
  </w:style>
  <w:style w:type="table" w:styleId="ListTable2">
    <w:name w:val="List Table 2"/>
    <w:basedOn w:val="TableNormal"/>
    <w:uiPriority w:val="47"/>
    <w:rsid w:val="00940AC8"/>
    <w:tblPr>
      <w:tblStyleRowBandSize w:val="1"/>
      <w:tblStyleColBandSize w:val="1"/>
      <w:tblBorders>
        <w:top w:val="single" w:sz="4" w:space="0" w:color="BA61C9" w:themeColor="text1" w:themeTint="99"/>
        <w:bottom w:val="single" w:sz="4" w:space="0" w:color="BA61C9" w:themeColor="text1" w:themeTint="99"/>
        <w:insideH w:val="single" w:sz="4" w:space="0" w:color="BA61C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8CAED" w:themeFill="text1" w:themeFillTint="33"/>
      </w:tcPr>
    </w:tblStylePr>
    <w:tblStylePr w:type="band1Horz">
      <w:tblPr/>
      <w:tcPr>
        <w:shd w:val="clear" w:color="auto" w:fill="E8CAED" w:themeFill="text1" w:themeFillTint="33"/>
      </w:tcPr>
    </w:tblStylePr>
  </w:style>
  <w:style w:type="paragraph" w:styleId="Header">
    <w:name w:val="header"/>
    <w:aliases w:val="Security markings"/>
    <w:basedOn w:val="Normal"/>
    <w:link w:val="HeaderChar"/>
    <w:uiPriority w:val="99"/>
    <w:unhideWhenUsed/>
    <w:rsid w:val="00B53EC9"/>
    <w:pPr>
      <w:spacing w:before="200" w:after="0"/>
      <w:jc w:val="center"/>
    </w:pPr>
    <w:rPr>
      <w:b/>
      <w:color w:val="C00000"/>
    </w:rPr>
  </w:style>
  <w:style w:type="character" w:customStyle="1" w:styleId="HeaderChar">
    <w:name w:val="Header Char"/>
    <w:aliases w:val="Security markings Char"/>
    <w:link w:val="Header"/>
    <w:uiPriority w:val="99"/>
    <w:rsid w:val="0009663A"/>
    <w:rPr>
      <w:b/>
      <w:color w:val="C00000"/>
    </w:rPr>
  </w:style>
  <w:style w:type="paragraph" w:styleId="Footer">
    <w:name w:val="footer"/>
    <w:basedOn w:val="Normal"/>
    <w:link w:val="FooterChar"/>
    <w:uiPriority w:val="99"/>
    <w:unhideWhenUsed/>
    <w:rsid w:val="009B2942"/>
    <w:pPr>
      <w:pBdr>
        <w:top w:val="single" w:sz="4" w:space="5" w:color="6B2976"/>
      </w:pBdr>
      <w:tabs>
        <w:tab w:val="center" w:pos="4513"/>
        <w:tab w:val="right" w:pos="9026"/>
      </w:tabs>
      <w:spacing w:after="200" w:line="240" w:lineRule="auto"/>
    </w:pPr>
    <w:rPr>
      <w:b/>
      <w:bCs/>
      <w:color w:val="6B2976"/>
    </w:rPr>
  </w:style>
  <w:style w:type="character" w:customStyle="1" w:styleId="FooterChar">
    <w:name w:val="Footer Char"/>
    <w:link w:val="Footer"/>
    <w:uiPriority w:val="99"/>
    <w:rsid w:val="0009663A"/>
    <w:rPr>
      <w:b/>
      <w:bCs/>
      <w:color w:val="6B2976"/>
    </w:rPr>
  </w:style>
  <w:style w:type="character" w:styleId="PageNumber">
    <w:name w:val="page number"/>
    <w:basedOn w:val="DefaultParagraphFont"/>
    <w:uiPriority w:val="99"/>
    <w:semiHidden/>
    <w:unhideWhenUsed/>
    <w:rsid w:val="007219F1"/>
  </w:style>
  <w:style w:type="paragraph" w:styleId="BalloonText">
    <w:name w:val="Balloon Text"/>
    <w:basedOn w:val="Normal"/>
    <w:link w:val="BalloonTextChar"/>
    <w:semiHidden/>
    <w:unhideWhenUsed/>
    <w:rsid w:val="007219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219F1"/>
    <w:rPr>
      <w:rFonts w:ascii="Tahoma" w:eastAsia="Times New Roman" w:hAnsi="Tahoma" w:cs="Tahoma"/>
      <w:sz w:val="16"/>
      <w:szCs w:val="16"/>
      <w:lang w:val="en-US" w:eastAsia="ja-JP"/>
    </w:rPr>
  </w:style>
  <w:style w:type="paragraph" w:customStyle="1" w:styleId="Bullet1">
    <w:name w:val="Bullet 1"/>
    <w:basedOn w:val="ListParagraph"/>
    <w:uiPriority w:val="1"/>
    <w:qFormat/>
    <w:rsid w:val="00084E5D"/>
    <w:pPr>
      <w:numPr>
        <w:numId w:val="2"/>
      </w:numPr>
    </w:pPr>
  </w:style>
  <w:style w:type="table" w:styleId="LightShading-Accent4">
    <w:name w:val="Light Shading Accent 4"/>
    <w:aliases w:val="NDIS purple table"/>
    <w:basedOn w:val="TableNormal"/>
    <w:uiPriority w:val="60"/>
    <w:rsid w:val="00192D14"/>
    <w:pPr>
      <w:keepLines/>
      <w:spacing w:after="80"/>
      <w:ind w:left="113" w:right="113"/>
    </w:pPr>
    <w:rPr>
      <w:rFonts w:eastAsia="Times New Roman"/>
      <w:lang w:val="en-US" w:eastAsia="ja-JP"/>
    </w:rPr>
    <w:tblPr>
      <w:tblStyleRowBandSize w:val="1"/>
      <w:tblStyleColBandSize w:val="1"/>
      <w:tblBorders>
        <w:top w:val="single" w:sz="4" w:space="0" w:color="6B2876" w:themeColor="text2"/>
        <w:bottom w:val="single" w:sz="4" w:space="0" w:color="6B2876" w:themeColor="text2"/>
      </w:tblBorders>
    </w:tblPr>
    <w:tblStylePr w:type="firstRow">
      <w:pPr>
        <w:wordWrap/>
        <w:spacing w:beforeLines="0" w:before="120" w:beforeAutospacing="0" w:afterLines="0" w:after="120" w:afterAutospacing="0" w:line="240" w:lineRule="auto"/>
        <w:ind w:leftChars="0" w:left="113" w:rightChars="0" w:right="113"/>
      </w:pPr>
      <w:rPr>
        <w:rFonts w:ascii="Arial" w:hAnsi="Arial"/>
        <w:b/>
        <w:bCs/>
        <w:color w:val="FEFFFF"/>
        <w:sz w:val="22"/>
      </w:rPr>
      <w:tblPr/>
      <w:tcPr>
        <w:tcBorders>
          <w:top w:val="nil"/>
          <w:left w:val="nil"/>
          <w:bottom w:val="nil"/>
          <w:right w:val="nil"/>
          <w:insideH w:val="nil"/>
          <w:insideV w:val="nil"/>
          <w:tl2br w:val="nil"/>
          <w:tr2bl w:val="nil"/>
        </w:tcBorders>
        <w:shd w:val="clear" w:color="auto" w:fill="6B2976"/>
      </w:tcPr>
    </w:tblStylePr>
    <w:tblStylePr w:type="lastRow">
      <w:pPr>
        <w:spacing w:before="0" w:after="0" w:line="240" w:lineRule="auto"/>
      </w:pPr>
      <w:rPr>
        <w:b/>
        <w:bCs/>
      </w:rPr>
      <w:tblPr/>
      <w:tcPr>
        <w:tcBorders>
          <w:top w:val="single" w:sz="8" w:space="0" w:color="C5296D"/>
          <w:left w:val="nil"/>
          <w:bottom w:val="single" w:sz="8" w:space="0" w:color="C5296D"/>
          <w:right w:val="nil"/>
          <w:insideH w:val="nil"/>
          <w:insideV w:val="nil"/>
        </w:tcBorders>
      </w:tcPr>
    </w:tblStylePr>
    <w:tblStylePr w:type="firstCol">
      <w:rPr>
        <w:b/>
        <w:bCs/>
      </w:rPr>
    </w:tblStylePr>
    <w:tblStylePr w:type="lastCol">
      <w:pPr>
        <w:wordWrap/>
        <w:spacing w:beforeLines="120" w:before="120" w:beforeAutospacing="0" w:afterLines="120" w:after="120" w:afterAutospacing="0"/>
        <w:ind w:leftChars="0" w:left="113" w:rightChars="0" w:right="113"/>
      </w:pPr>
      <w:rPr>
        <w:b/>
        <w:bCs/>
      </w:rPr>
    </w:tblStylePr>
    <w:tblStylePr w:type="band1Vert">
      <w:pPr>
        <w:wordWrap/>
        <w:spacing w:beforeLines="120" w:before="120" w:beforeAutospacing="0" w:afterLines="120" w:after="120" w:afterAutospacing="0"/>
        <w:ind w:leftChars="0" w:left="113" w:rightChars="0" w:right="113"/>
      </w:pPr>
      <w:tblPr/>
      <w:tcPr>
        <w:tcBorders>
          <w:left w:val="nil"/>
          <w:right w:val="nil"/>
          <w:insideH w:val="nil"/>
          <w:insideV w:val="nil"/>
        </w:tcBorders>
        <w:shd w:val="clear" w:color="auto" w:fill="F3C7DA"/>
      </w:tcPr>
    </w:tblStylePr>
    <w:tblStylePr w:type="band1Horz">
      <w:rPr>
        <w:color w:val="auto"/>
      </w:rPr>
      <w:tblPr/>
      <w:tcPr>
        <w:shd w:val="clear" w:color="auto" w:fill="F7EEF7"/>
      </w:tcPr>
    </w:tblStylePr>
    <w:tblStylePr w:type="band2Horz">
      <w:rPr>
        <w:color w:val="auto"/>
      </w:rPr>
    </w:tblStylePr>
  </w:style>
  <w:style w:type="paragraph" w:styleId="ListBullet">
    <w:name w:val="List Bullet"/>
    <w:basedOn w:val="Normal"/>
    <w:autoRedefine/>
    <w:uiPriority w:val="99"/>
    <w:semiHidden/>
    <w:qFormat/>
    <w:rsid w:val="003820DF"/>
    <w:pPr>
      <w:numPr>
        <w:numId w:val="1"/>
      </w:numPr>
      <w:ind w:left="714" w:hanging="357"/>
      <w:contextualSpacing/>
    </w:pPr>
    <w:rPr>
      <w:rFonts w:cs="Arial"/>
      <w:spacing w:val="-3"/>
      <w:kern w:val="1"/>
      <w:szCs w:val="20"/>
      <w:shd w:val="clear" w:color="auto" w:fill="FFFFFF"/>
      <w:lang w:val="en-GB" w:eastAsia="en-US"/>
    </w:rPr>
  </w:style>
  <w:style w:type="paragraph" w:styleId="TOC1">
    <w:name w:val="toc 1"/>
    <w:basedOn w:val="TOC2"/>
    <w:next w:val="Normal"/>
    <w:uiPriority w:val="39"/>
    <w:unhideWhenUsed/>
    <w:rsid w:val="000824DE"/>
    <w:pPr>
      <w:spacing w:before="120"/>
      <w:ind w:left="0"/>
    </w:pPr>
    <w:rPr>
      <w:noProof w:val="0"/>
    </w:rPr>
  </w:style>
  <w:style w:type="paragraph" w:styleId="TOC2">
    <w:name w:val="toc 2"/>
    <w:basedOn w:val="Normal"/>
    <w:next w:val="Normal"/>
    <w:uiPriority w:val="39"/>
    <w:unhideWhenUsed/>
    <w:rsid w:val="000824DE"/>
    <w:pPr>
      <w:tabs>
        <w:tab w:val="left" w:pos="426"/>
        <w:tab w:val="left" w:pos="851"/>
        <w:tab w:val="right" w:leader="dot" w:pos="9016"/>
      </w:tabs>
      <w:spacing w:after="200"/>
      <w:ind w:left="425"/>
    </w:pPr>
    <w:rPr>
      <w:rFonts w:asciiTheme="minorHAnsi" w:hAnsiTheme="minorHAnsi" w:cstheme="minorHAnsi"/>
      <w:iCs/>
      <w:noProof/>
      <w:szCs w:val="20"/>
    </w:rPr>
  </w:style>
  <w:style w:type="paragraph" w:styleId="TOC3">
    <w:name w:val="toc 3"/>
    <w:basedOn w:val="Normal"/>
    <w:next w:val="Normal"/>
    <w:uiPriority w:val="39"/>
    <w:unhideWhenUsed/>
    <w:rsid w:val="000824DE"/>
    <w:pPr>
      <w:tabs>
        <w:tab w:val="left" w:pos="993"/>
        <w:tab w:val="right" w:leader="dot" w:pos="9016"/>
      </w:tabs>
      <w:spacing w:after="200"/>
      <w:ind w:left="851"/>
    </w:pPr>
    <w:rPr>
      <w:rFonts w:asciiTheme="minorHAnsi" w:hAnsiTheme="minorHAnsi" w:cstheme="minorHAnsi"/>
      <w:noProof/>
      <w:szCs w:val="20"/>
    </w:rPr>
  </w:style>
  <w:style w:type="character" w:styleId="Hyperlink">
    <w:name w:val="Hyperlink"/>
    <w:uiPriority w:val="99"/>
    <w:unhideWhenUsed/>
    <w:rsid w:val="0040062A"/>
    <w:rPr>
      <w:color w:val="0432FF"/>
      <w:u w:val="single"/>
    </w:rPr>
  </w:style>
  <w:style w:type="paragraph" w:styleId="TOC4">
    <w:name w:val="toc 4"/>
    <w:basedOn w:val="Normal"/>
    <w:next w:val="Normal"/>
    <w:uiPriority w:val="39"/>
    <w:rsid w:val="00933B2A"/>
    <w:pPr>
      <w:tabs>
        <w:tab w:val="left" w:pos="1701"/>
        <w:tab w:val="right" w:leader="dot" w:pos="9016"/>
      </w:tabs>
      <w:spacing w:after="0"/>
      <w:ind w:left="709" w:firstLine="284"/>
    </w:pPr>
    <w:rPr>
      <w:rFonts w:asciiTheme="minorHAnsi" w:hAnsiTheme="minorHAnsi" w:cstheme="minorHAnsi"/>
      <w:noProof/>
    </w:rPr>
  </w:style>
  <w:style w:type="paragraph" w:styleId="TOC5">
    <w:name w:val="toc 5"/>
    <w:basedOn w:val="Normal"/>
    <w:next w:val="Normal"/>
    <w:autoRedefine/>
    <w:uiPriority w:val="39"/>
    <w:rsid w:val="00C54B33"/>
    <w:pPr>
      <w:spacing w:after="0"/>
      <w:ind w:left="960"/>
    </w:pPr>
    <w:rPr>
      <w:rFonts w:asciiTheme="minorHAnsi" w:hAnsiTheme="minorHAnsi" w:cstheme="minorHAnsi"/>
      <w:sz w:val="20"/>
      <w:szCs w:val="20"/>
    </w:rPr>
  </w:style>
  <w:style w:type="paragraph" w:customStyle="1" w:styleId="Securityinformation">
    <w:name w:val="Security information"/>
    <w:basedOn w:val="Normal"/>
    <w:link w:val="SecurityinformationChar"/>
    <w:uiPriority w:val="17"/>
    <w:qFormat/>
    <w:rsid w:val="00192D14"/>
    <w:pPr>
      <w:ind w:right="96"/>
    </w:pPr>
    <w:rPr>
      <w:b/>
      <w:color w:val="C00000"/>
      <w:sz w:val="28"/>
      <w:szCs w:val="28"/>
    </w:rPr>
  </w:style>
  <w:style w:type="table" w:styleId="TableGrid">
    <w:name w:val="Table Grid"/>
    <w:aliases w:val="HealthConsult"/>
    <w:basedOn w:val="TableNormal"/>
    <w:uiPriority w:val="39"/>
    <w:rsid w:val="00EC43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Description">
    <w:name w:val="Table Description"/>
    <w:basedOn w:val="Normal"/>
    <w:link w:val="TableDescriptionChar"/>
    <w:uiPriority w:val="99"/>
    <w:semiHidden/>
    <w:rsid w:val="00380E79"/>
    <w:pPr>
      <w:spacing w:before="360"/>
    </w:pPr>
    <w:rPr>
      <w:bCs/>
    </w:rPr>
  </w:style>
  <w:style w:type="character" w:customStyle="1" w:styleId="TableDescriptionChar">
    <w:name w:val="Table Description Char"/>
    <w:link w:val="TableDescription"/>
    <w:uiPriority w:val="99"/>
    <w:semiHidden/>
    <w:rsid w:val="00BE5808"/>
    <w:rPr>
      <w:bCs/>
    </w:rPr>
  </w:style>
  <w:style w:type="character" w:customStyle="1" w:styleId="SecurityinformationChar">
    <w:name w:val="Security information Char"/>
    <w:link w:val="Securityinformation"/>
    <w:uiPriority w:val="17"/>
    <w:rsid w:val="0009663A"/>
    <w:rPr>
      <w:b/>
      <w:color w:val="C00000"/>
      <w:sz w:val="28"/>
      <w:szCs w:val="28"/>
    </w:rPr>
  </w:style>
  <w:style w:type="table" w:customStyle="1" w:styleId="Coverpagetable">
    <w:name w:val="Cover page table"/>
    <w:basedOn w:val="TableNormal"/>
    <w:uiPriority w:val="99"/>
    <w:rsid w:val="00192D14"/>
    <w:rPr>
      <w:rFonts w:eastAsiaTheme="minorHAnsi" w:cs="Times New Roman (Body CS)"/>
      <w:color w:val="000000" w:themeColor="accent6"/>
      <w:lang w:eastAsia="en-US"/>
    </w:rPr>
    <w:tblPr/>
  </w:style>
  <w:style w:type="table" w:styleId="ListTable4">
    <w:name w:val="List Table 4"/>
    <w:basedOn w:val="TableNormal"/>
    <w:uiPriority w:val="49"/>
    <w:rsid w:val="005957FF"/>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single" w:sz="4" w:space="0" w:color="6B2876" w:themeColor="text1"/>
          <w:left w:val="single" w:sz="4" w:space="0" w:color="6B2876" w:themeColor="text1"/>
          <w:bottom w:val="nil"/>
          <w:right w:val="single" w:sz="4" w:space="0" w:color="6B2876" w:themeColor="text1"/>
          <w:insideH w:val="single" w:sz="4" w:space="0" w:color="F9F9F9" w:themeColor="background1"/>
          <w:insideV w:val="single" w:sz="4" w:space="0" w:color="F9F9F9" w:themeColor="background1"/>
        </w:tcBorders>
        <w:shd w:val="clear" w:color="auto" w:fill="6B2876" w:themeFill="text1"/>
      </w:tcPr>
    </w:tblStylePr>
    <w:tblStylePr w:type="lastRow">
      <w:rPr>
        <w:b/>
        <w:bCs/>
      </w:rPr>
      <w:tblPr/>
      <w:tcPr>
        <w:tcBorders>
          <w:top w:val="double" w:sz="4" w:space="0" w:color="BA61C9" w:themeColor="text1" w:themeTint="99"/>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nil"/>
          <w:insideH w:val="single" w:sz="4" w:space="0" w:color="F9F9F9" w:themeColor="background1"/>
          <w:insideV w:val="single" w:sz="4" w:space="0" w:color="F9F9F9" w:themeColor="background1"/>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styleId="GridTable4">
    <w:name w:val="Grid Table 4"/>
    <w:basedOn w:val="TableNormal"/>
    <w:uiPriority w:val="49"/>
    <w:rsid w:val="005957FF"/>
    <w:rPr>
      <w:rFonts w:asciiTheme="minorHAnsi" w:eastAsiaTheme="minorHAnsi" w:hAnsiTheme="minorHAnsi" w:cstheme="minorBidi"/>
      <w:sz w:val="22"/>
      <w:szCs w:val="22"/>
      <w:lang w:eastAsia="en-US"/>
    </w:rPr>
    <w:tblPr>
      <w:tblStyleRowBandSize w:val="1"/>
      <w:tblStyleCol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rPr>
        <w:tblHeader/>
      </w:tr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styleId="FootnoteText">
    <w:name w:val="footnote text"/>
    <w:basedOn w:val="Normal"/>
    <w:link w:val="FootnoteTextChar"/>
    <w:uiPriority w:val="99"/>
    <w:unhideWhenUsed/>
    <w:qFormat/>
    <w:rsid w:val="00FD13AB"/>
    <w:pPr>
      <w:spacing w:after="0" w:line="240" w:lineRule="auto"/>
    </w:pPr>
    <w:rPr>
      <w:sz w:val="20"/>
      <w:szCs w:val="20"/>
    </w:rPr>
  </w:style>
  <w:style w:type="character" w:customStyle="1" w:styleId="FootnoteTextChar">
    <w:name w:val="Footnote Text Char"/>
    <w:basedOn w:val="DefaultParagraphFont"/>
    <w:link w:val="FootnoteText"/>
    <w:uiPriority w:val="99"/>
    <w:rsid w:val="0009663A"/>
    <w:rPr>
      <w:sz w:val="20"/>
      <w:szCs w:val="20"/>
    </w:rPr>
  </w:style>
  <w:style w:type="character" w:styleId="FootnoteReference">
    <w:name w:val="footnote reference"/>
    <w:basedOn w:val="TableDescriptionChar"/>
    <w:uiPriority w:val="99"/>
    <w:unhideWhenUsed/>
    <w:rsid w:val="002E75F1"/>
    <w:rPr>
      <w:rFonts w:ascii="Arial" w:eastAsia="Times New Roman" w:hAnsi="Arial"/>
      <w:bCs/>
      <w:sz w:val="24"/>
      <w:szCs w:val="24"/>
      <w:vertAlign w:val="superscript"/>
      <w:lang w:val="en-US" w:eastAsia="ja-JP"/>
    </w:rPr>
  </w:style>
  <w:style w:type="paragraph" w:styleId="NormalWeb">
    <w:name w:val="Normal (Web)"/>
    <w:basedOn w:val="Normal"/>
    <w:uiPriority w:val="99"/>
    <w:unhideWhenUsed/>
    <w:rsid w:val="00BA56AF"/>
    <w:pPr>
      <w:spacing w:before="100" w:beforeAutospacing="1" w:after="100" w:afterAutospacing="1" w:line="240" w:lineRule="auto"/>
    </w:pPr>
    <w:rPr>
      <w:rFonts w:ascii="Times New Roman" w:hAnsi="Times New Roman"/>
    </w:rPr>
  </w:style>
  <w:style w:type="character" w:styleId="UnresolvedMention">
    <w:name w:val="Unresolved Mention"/>
    <w:basedOn w:val="DefaultParagraphFont"/>
    <w:uiPriority w:val="99"/>
    <w:semiHidden/>
    <w:unhideWhenUsed/>
    <w:rsid w:val="00BA56AF"/>
    <w:rPr>
      <w:color w:val="605E5C"/>
      <w:shd w:val="clear" w:color="auto" w:fill="E1DFDD"/>
    </w:rPr>
  </w:style>
  <w:style w:type="table" w:styleId="GridTable4-Accent1">
    <w:name w:val="Grid Table 4 Accent 1"/>
    <w:basedOn w:val="TableNormal"/>
    <w:uiPriority w:val="49"/>
    <w:rsid w:val="002E75F1"/>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insideV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insideV w:val="nil"/>
        </w:tcBorders>
        <w:shd w:val="clear" w:color="auto" w:fill="6B2876" w:themeFill="accent1"/>
      </w:tcPr>
    </w:tblStylePr>
    <w:tblStylePr w:type="lastRow">
      <w:rPr>
        <w:b/>
        <w:bCs/>
      </w:rPr>
      <w:tblPr/>
      <w:tcPr>
        <w:tcBorders>
          <w:top w:val="double" w:sz="4" w:space="0" w:color="6B2876" w:themeColor="accent1"/>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paragraph" w:customStyle="1" w:styleId="Bullet2">
    <w:name w:val="Bullet 2"/>
    <w:basedOn w:val="ListParagraph"/>
    <w:uiPriority w:val="2"/>
    <w:qFormat/>
    <w:rsid w:val="00A65C35"/>
    <w:pPr>
      <w:numPr>
        <w:numId w:val="10"/>
      </w:numPr>
      <w:ind w:left="714" w:hanging="357"/>
    </w:pPr>
  </w:style>
  <w:style w:type="numbering" w:customStyle="1" w:styleId="Bulletlist">
    <w:name w:val="Bullet list"/>
    <w:uiPriority w:val="99"/>
    <w:rsid w:val="00791CE9"/>
    <w:pPr>
      <w:numPr>
        <w:numId w:val="8"/>
      </w:numPr>
    </w:pPr>
  </w:style>
  <w:style w:type="paragraph" w:customStyle="1" w:styleId="BoardBrief-Paragraph2">
    <w:name w:val="Board Brief - Paragraph 2"/>
    <w:basedOn w:val="Normal"/>
    <w:uiPriority w:val="99"/>
    <w:semiHidden/>
    <w:qFormat/>
    <w:rsid w:val="00B743CB"/>
    <w:pPr>
      <w:numPr>
        <w:ilvl w:val="2"/>
        <w:numId w:val="6"/>
      </w:numPr>
      <w:spacing w:line="360" w:lineRule="auto"/>
    </w:pPr>
    <w:rPr>
      <w:rFonts w:eastAsiaTheme="minorHAnsi" w:cs="Arial"/>
      <w:szCs w:val="22"/>
    </w:rPr>
  </w:style>
  <w:style w:type="paragraph" w:customStyle="1" w:styleId="11Section-Parapraph">
    <w:name w:val="1.1 Section - Parapraph"/>
    <w:basedOn w:val="ListParagraph"/>
    <w:uiPriority w:val="99"/>
    <w:semiHidden/>
    <w:qFormat/>
    <w:rsid w:val="00B743CB"/>
    <w:pPr>
      <w:numPr>
        <w:ilvl w:val="1"/>
        <w:numId w:val="6"/>
      </w:numPr>
      <w:spacing w:before="240" w:line="360" w:lineRule="auto"/>
      <w:contextualSpacing w:val="0"/>
    </w:pPr>
    <w:rPr>
      <w:rFonts w:eastAsiaTheme="minorHAnsi" w:cs="Arial"/>
      <w:szCs w:val="22"/>
    </w:rPr>
  </w:style>
  <w:style w:type="character" w:styleId="FollowedHyperlink">
    <w:name w:val="FollowedHyperlink"/>
    <w:basedOn w:val="DefaultParagraphFont"/>
    <w:uiPriority w:val="99"/>
    <w:semiHidden/>
    <w:unhideWhenUsed/>
    <w:rsid w:val="00705AD7"/>
    <w:rPr>
      <w:color w:val="954F72"/>
      <w:u w:val="single"/>
    </w:rPr>
  </w:style>
  <w:style w:type="paragraph" w:styleId="Caption">
    <w:name w:val="caption"/>
    <w:basedOn w:val="Normal"/>
    <w:next w:val="Normal"/>
    <w:uiPriority w:val="35"/>
    <w:unhideWhenUsed/>
    <w:qFormat/>
    <w:rsid w:val="00042A45"/>
    <w:pPr>
      <w:keepNext/>
      <w:spacing w:after="200" w:line="240" w:lineRule="auto"/>
    </w:pPr>
    <w:rPr>
      <w:b/>
      <w:bCs/>
      <w:color w:val="6B2876" w:themeColor="text2"/>
    </w:rPr>
  </w:style>
  <w:style w:type="paragraph" w:styleId="TOCHeading">
    <w:name w:val="TOC Heading"/>
    <w:basedOn w:val="Heading1"/>
    <w:next w:val="Normal"/>
    <w:uiPriority w:val="39"/>
    <w:qFormat/>
    <w:rsid w:val="00A61E7C"/>
    <w:pPr>
      <w:keepNext/>
      <w:keepLines/>
      <w:spacing w:before="480" w:after="0" w:line="276" w:lineRule="auto"/>
      <w:outlineLvl w:val="9"/>
    </w:pPr>
    <w:rPr>
      <w:rFonts w:asciiTheme="majorHAnsi" w:eastAsiaTheme="majorEastAsia" w:hAnsiTheme="majorHAnsi" w:cstheme="majorBidi"/>
      <w:bCs/>
      <w:color w:val="501E58" w:themeColor="accent1" w:themeShade="BF"/>
      <w:sz w:val="28"/>
      <w:szCs w:val="28"/>
      <w:lang w:val="en-US" w:eastAsia="en-US"/>
    </w:rPr>
  </w:style>
  <w:style w:type="paragraph" w:styleId="TOC6">
    <w:name w:val="toc 6"/>
    <w:basedOn w:val="Normal"/>
    <w:next w:val="Normal"/>
    <w:autoRedefine/>
    <w:uiPriority w:val="39"/>
    <w:rsid w:val="00A61E7C"/>
    <w:pPr>
      <w:spacing w:after="0"/>
      <w:ind w:left="1200"/>
    </w:pPr>
    <w:rPr>
      <w:rFonts w:asciiTheme="minorHAnsi" w:hAnsiTheme="minorHAnsi" w:cstheme="minorHAnsi"/>
      <w:sz w:val="20"/>
      <w:szCs w:val="20"/>
    </w:rPr>
  </w:style>
  <w:style w:type="paragraph" w:styleId="TOC7">
    <w:name w:val="toc 7"/>
    <w:basedOn w:val="Normal"/>
    <w:next w:val="Normal"/>
    <w:autoRedefine/>
    <w:uiPriority w:val="39"/>
    <w:rsid w:val="00A61E7C"/>
    <w:pPr>
      <w:spacing w:after="0"/>
      <w:ind w:left="1440"/>
    </w:pPr>
    <w:rPr>
      <w:rFonts w:asciiTheme="minorHAnsi" w:hAnsiTheme="minorHAnsi" w:cstheme="minorHAnsi"/>
      <w:sz w:val="20"/>
      <w:szCs w:val="20"/>
    </w:rPr>
  </w:style>
  <w:style w:type="paragraph" w:styleId="TOC8">
    <w:name w:val="toc 8"/>
    <w:basedOn w:val="Normal"/>
    <w:next w:val="Normal"/>
    <w:autoRedefine/>
    <w:uiPriority w:val="39"/>
    <w:rsid w:val="00A61E7C"/>
    <w:pPr>
      <w:spacing w:after="0"/>
      <w:ind w:left="1680"/>
    </w:pPr>
    <w:rPr>
      <w:rFonts w:asciiTheme="minorHAnsi" w:hAnsiTheme="minorHAnsi" w:cstheme="minorHAnsi"/>
      <w:sz w:val="20"/>
      <w:szCs w:val="20"/>
    </w:rPr>
  </w:style>
  <w:style w:type="paragraph" w:styleId="TOC9">
    <w:name w:val="toc 9"/>
    <w:basedOn w:val="Normal"/>
    <w:next w:val="Normal"/>
    <w:autoRedefine/>
    <w:uiPriority w:val="39"/>
    <w:rsid w:val="00A61E7C"/>
    <w:pPr>
      <w:spacing w:after="0"/>
      <w:ind w:left="1920"/>
    </w:pPr>
    <w:rPr>
      <w:rFonts w:asciiTheme="minorHAnsi" w:hAnsiTheme="minorHAnsi" w:cstheme="minorHAnsi"/>
      <w:sz w:val="20"/>
      <w:szCs w:val="20"/>
    </w:rPr>
  </w:style>
  <w:style w:type="paragraph" w:customStyle="1" w:styleId="PullOut-Heading3">
    <w:name w:val="Pull Out - Heading 3"/>
    <w:basedOn w:val="Heading3"/>
    <w:link w:val="PullOut-Heading3Char"/>
    <w:uiPriority w:val="15"/>
    <w:qFormat/>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bCs/>
      <w:szCs w:val="20"/>
    </w:rPr>
  </w:style>
  <w:style w:type="paragraph" w:customStyle="1" w:styleId="Introparagraph">
    <w:name w:val="Intro paragraph"/>
    <w:basedOn w:val="Normal"/>
    <w:uiPriority w:val="8"/>
    <w:qFormat/>
    <w:rsid w:val="00AA38DB"/>
    <w:rPr>
      <w:bCs/>
      <w:color w:val="6B2876" w:themeColor="text1"/>
      <w:sz w:val="28"/>
      <w:szCs w:val="28"/>
    </w:rPr>
  </w:style>
  <w:style w:type="paragraph" w:customStyle="1" w:styleId="PullOut-Heading2">
    <w:name w:val="Pull Out - Heading 2"/>
    <w:basedOn w:val="Heading2"/>
    <w:uiPriority w:val="14"/>
    <w:unhideWhenUsed/>
    <w:qFormat/>
    <w:rsid w:val="008B419B"/>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pPr>
    <w:rPr>
      <w:szCs w:val="20"/>
    </w:rPr>
  </w:style>
  <w:style w:type="paragraph" w:customStyle="1" w:styleId="PullOut-Body">
    <w:name w:val="Pull Out - Body"/>
    <w:basedOn w:val="Normal"/>
    <w:uiPriority w:val="13"/>
    <w:qFormat/>
    <w:rsid w:val="00B8771C"/>
    <w:pPr>
      <w:pBdr>
        <w:top w:val="single" w:sz="4" w:space="20" w:color="6B2876" w:themeColor="text1"/>
        <w:left w:val="single" w:sz="4" w:space="20" w:color="6B2876" w:themeColor="text1"/>
        <w:bottom w:val="single" w:sz="4" w:space="20" w:color="6B2876" w:themeColor="text1"/>
        <w:right w:val="single" w:sz="4" w:space="20" w:color="6B2876" w:themeColor="text1"/>
      </w:pBdr>
      <w:shd w:val="clear" w:color="auto" w:fill="F7EEF7"/>
      <w:spacing w:after="120" w:line="276" w:lineRule="auto"/>
    </w:pPr>
    <w:rPr>
      <w:szCs w:val="20"/>
    </w:rPr>
  </w:style>
  <w:style w:type="paragraph" w:customStyle="1" w:styleId="tablelistbullet">
    <w:name w:val="table list bullet"/>
    <w:basedOn w:val="ListParagraph"/>
    <w:uiPriority w:val="99"/>
    <w:semiHidden/>
    <w:qFormat/>
    <w:rsid w:val="00BD5E4E"/>
    <w:pPr>
      <w:tabs>
        <w:tab w:val="num" w:pos="360"/>
      </w:tabs>
      <w:spacing w:line="240" w:lineRule="auto"/>
    </w:pPr>
    <w:rPr>
      <w:rFonts w:eastAsia="MS Mincho" w:cs="FSMe-Bold"/>
      <w:spacing w:val="-2"/>
      <w:szCs w:val="20"/>
      <w:lang w:eastAsia="en-US"/>
    </w:rPr>
  </w:style>
  <w:style w:type="paragraph" w:customStyle="1" w:styleId="TableBody">
    <w:name w:val="Table Body"/>
    <w:basedOn w:val="Normal"/>
    <w:qFormat/>
    <w:rsid w:val="00277603"/>
    <w:pPr>
      <w:spacing w:before="100" w:after="100"/>
    </w:pPr>
    <w:rPr>
      <w:rFonts w:eastAsia="MS Mincho" w:cs="Arial"/>
      <w:szCs w:val="22"/>
    </w:rPr>
  </w:style>
  <w:style w:type="table" w:customStyle="1" w:styleId="NDISTable1">
    <w:name w:val="NDIS Table 1"/>
    <w:basedOn w:val="TableNormal"/>
    <w:uiPriority w:val="99"/>
    <w:rsid w:val="009F1755"/>
    <w:pPr>
      <w:spacing w:before="40" w:after="40" w:line="269" w:lineRule="auto"/>
    </w:pPr>
    <w:tblPr>
      <w:tblStyleRowBandSize w:val="1"/>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rPr>
      <w:cantSplit/>
    </w:trPr>
    <w:tblStylePr w:type="firstRow">
      <w:rPr>
        <w:b w:val="0"/>
        <w:color w:val="F9F9F9" w:themeColor="background1"/>
      </w:rPr>
      <w:tblPr/>
      <w:trPr>
        <w:cantSplit/>
        <w:tblHeader/>
      </w:trPr>
      <w:tcPr>
        <w:tcBorders>
          <w:insideV w:val="single" w:sz="4" w:space="0" w:color="F9F9F9" w:themeColor="background1"/>
        </w:tcBorders>
        <w:shd w:val="clear" w:color="auto" w:fill="6B2876" w:themeFill="text1"/>
      </w:tcPr>
    </w:tblStylePr>
    <w:tblStylePr w:type="firstCol">
      <w:rPr>
        <w:b w:val="0"/>
        <w:color w:val="F9F9F9" w:themeColor="background1"/>
      </w:rPr>
      <w:tblPr/>
      <w:tcPr>
        <w:tcBorders>
          <w:insideH w:val="single" w:sz="4" w:space="0" w:color="F9F9F9" w:themeColor="background1"/>
        </w:tcBorders>
        <w:shd w:val="clear" w:color="auto" w:fill="6B2876" w:themeFill="text1"/>
      </w:tcPr>
    </w:tblStylePr>
    <w:tblStylePr w:type="band1Horz">
      <w:tblPr/>
      <w:tcPr>
        <w:shd w:val="clear" w:color="auto" w:fill="F7EEF7"/>
      </w:tcPr>
    </w:tblStylePr>
  </w:style>
  <w:style w:type="table" w:customStyle="1" w:styleId="NDISTable2">
    <w:name w:val="NDIS Table 2"/>
    <w:basedOn w:val="NDISTable1"/>
    <w:uiPriority w:val="99"/>
    <w:rsid w:val="009F1755"/>
    <w:tblPr/>
    <w:tblStylePr w:type="firstRow">
      <w:rPr>
        <w:b w:val="0"/>
        <w:color w:val="F9F9F9" w:themeColor="background1"/>
      </w:rPr>
      <w:tblPr/>
      <w:trPr>
        <w:cantSplit/>
        <w:tblHeader/>
      </w:trPr>
      <w:tcPr>
        <w:tcBorders>
          <w:insideV w:val="single" w:sz="4" w:space="0" w:color="F9F9F9" w:themeColor="background1"/>
        </w:tcBorders>
        <w:shd w:val="clear" w:color="auto" w:fill="6B2876" w:themeFill="text1"/>
      </w:tcPr>
    </w:tblStylePr>
    <w:tblStylePr w:type="firstCol">
      <w:rPr>
        <w:b w:val="0"/>
        <w:color w:val="auto"/>
      </w:rPr>
      <w:tblPr/>
      <w:tcPr>
        <w:tcBorders>
          <w:insideH w:val="single" w:sz="4" w:space="0" w:color="6B2876" w:themeColor="text1"/>
        </w:tcBorders>
        <w:shd w:val="clear" w:color="auto" w:fill="F7EEF7"/>
      </w:tcPr>
    </w:tblStylePr>
    <w:tblStylePr w:type="band1Horz">
      <w:tblPr/>
      <w:tcPr>
        <w:shd w:val="clear" w:color="auto" w:fill="F7EEF7"/>
      </w:tcPr>
    </w:tblStylePr>
  </w:style>
  <w:style w:type="table" w:customStyle="1" w:styleId="NDISTable3">
    <w:name w:val="NDIS Table 3"/>
    <w:basedOn w:val="NDISTable1"/>
    <w:uiPriority w:val="99"/>
    <w:rsid w:val="009F1755"/>
    <w:tblPr/>
    <w:tblStylePr w:type="firstRow">
      <w:rPr>
        <w:b w:val="0"/>
        <w:color w:val="F9F9F9" w:themeColor="background1"/>
      </w:rPr>
      <w:tblPr/>
      <w:trPr>
        <w:cantSplit/>
        <w:tblHeader/>
      </w:trPr>
      <w:tcPr>
        <w:tcBorders>
          <w:insideV w:val="single" w:sz="4" w:space="0" w:color="F9F9F9" w:themeColor="background1"/>
        </w:tcBorders>
        <w:shd w:val="clear" w:color="auto" w:fill="6B2876" w:themeFill="text1"/>
      </w:tcPr>
    </w:tblStylePr>
    <w:tblStylePr w:type="firstCol">
      <w:rPr>
        <w:b w:val="0"/>
        <w:color w:val="F9F9F9" w:themeColor="background1"/>
      </w:rPr>
      <w:tblPr/>
      <w:trPr>
        <w:cantSplit w:val="0"/>
      </w:trPr>
      <w:tcPr>
        <w:tcBorders>
          <w:insideH w:val="single" w:sz="4" w:space="0" w:color="F9F9F9" w:themeColor="background1"/>
        </w:tcBorders>
        <w:shd w:val="clear" w:color="auto" w:fill="6B2876" w:themeFill="text1"/>
      </w:tcPr>
    </w:tblStylePr>
    <w:tblStylePr w:type="band1Horz">
      <w:tblPr/>
      <w:tcPr>
        <w:shd w:val="clear" w:color="auto" w:fill="F7EEF7"/>
      </w:tcPr>
    </w:tblStylePr>
  </w:style>
  <w:style w:type="character" w:styleId="CommentReference">
    <w:name w:val="annotation reference"/>
    <w:basedOn w:val="DefaultParagraphFont"/>
    <w:uiPriority w:val="99"/>
    <w:semiHidden/>
    <w:unhideWhenUsed/>
    <w:rsid w:val="008C7E4D"/>
    <w:rPr>
      <w:sz w:val="16"/>
      <w:szCs w:val="16"/>
    </w:rPr>
  </w:style>
  <w:style w:type="paragraph" w:styleId="CommentText">
    <w:name w:val="annotation text"/>
    <w:basedOn w:val="Normal"/>
    <w:link w:val="CommentTextChar"/>
    <w:uiPriority w:val="99"/>
    <w:unhideWhenUsed/>
    <w:rsid w:val="008C7E4D"/>
    <w:pPr>
      <w:spacing w:line="240" w:lineRule="auto"/>
    </w:pPr>
    <w:rPr>
      <w:sz w:val="20"/>
      <w:szCs w:val="20"/>
    </w:rPr>
  </w:style>
  <w:style w:type="character" w:customStyle="1" w:styleId="CommentTextChar">
    <w:name w:val="Comment Text Char"/>
    <w:basedOn w:val="DefaultParagraphFont"/>
    <w:link w:val="CommentText"/>
    <w:uiPriority w:val="99"/>
    <w:rsid w:val="0009663A"/>
    <w:rPr>
      <w:sz w:val="20"/>
      <w:szCs w:val="20"/>
    </w:rPr>
  </w:style>
  <w:style w:type="paragraph" w:customStyle="1" w:styleId="Numberedlist">
    <w:name w:val="Numbered list"/>
    <w:basedOn w:val="Bullet1"/>
    <w:uiPriority w:val="99"/>
    <w:semiHidden/>
    <w:qFormat/>
    <w:rsid w:val="004B5CD1"/>
    <w:pPr>
      <w:numPr>
        <w:numId w:val="9"/>
      </w:numPr>
      <w:ind w:left="714" w:hanging="357"/>
    </w:pPr>
  </w:style>
  <w:style w:type="paragraph" w:styleId="Revision">
    <w:name w:val="Revision"/>
    <w:hidden/>
    <w:uiPriority w:val="99"/>
    <w:semiHidden/>
    <w:rsid w:val="00870EDC"/>
    <w:rPr>
      <w:rFonts w:eastAsia="Times New Roman"/>
      <w:lang w:val="en-US" w:eastAsia="ja-JP"/>
    </w:rPr>
  </w:style>
  <w:style w:type="paragraph" w:styleId="CommentSubject">
    <w:name w:val="annotation subject"/>
    <w:basedOn w:val="CommentText"/>
    <w:next w:val="CommentText"/>
    <w:link w:val="CommentSubjectChar"/>
    <w:semiHidden/>
    <w:unhideWhenUsed/>
    <w:rsid w:val="00870EDC"/>
    <w:rPr>
      <w:b/>
      <w:bCs/>
    </w:rPr>
  </w:style>
  <w:style w:type="character" w:customStyle="1" w:styleId="CommentSubjectChar">
    <w:name w:val="Comment Subject Char"/>
    <w:basedOn w:val="CommentTextChar"/>
    <w:link w:val="CommentSubject"/>
    <w:uiPriority w:val="99"/>
    <w:semiHidden/>
    <w:rsid w:val="00870EDC"/>
    <w:rPr>
      <w:rFonts w:ascii="Arial" w:eastAsia="Times New Roman" w:hAnsi="Arial"/>
      <w:b/>
      <w:bCs/>
      <w:sz w:val="20"/>
      <w:szCs w:val="20"/>
      <w:lang w:val="en-US" w:eastAsia="ja-JP"/>
    </w:rPr>
  </w:style>
  <w:style w:type="paragraph" w:styleId="NoSpacing">
    <w:name w:val="No Spacing"/>
    <w:link w:val="NoSpacingChar"/>
    <w:uiPriority w:val="99"/>
    <w:semiHidden/>
    <w:qFormat/>
    <w:rsid w:val="009312B2"/>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99"/>
    <w:semiHidden/>
    <w:rsid w:val="00BE5808"/>
    <w:rPr>
      <w:rFonts w:asciiTheme="minorHAnsi" w:eastAsiaTheme="minorEastAsia" w:hAnsiTheme="minorHAnsi" w:cstheme="minorBidi"/>
      <w:sz w:val="22"/>
      <w:szCs w:val="22"/>
    </w:rPr>
  </w:style>
  <w:style w:type="paragraph" w:customStyle="1" w:styleId="Tablenotes">
    <w:name w:val="Table notes"/>
    <w:basedOn w:val="FootnoteText"/>
    <w:link w:val="TablenotesChar"/>
    <w:uiPriority w:val="11"/>
    <w:qFormat/>
    <w:rsid w:val="009B6A86"/>
    <w:pPr>
      <w:tabs>
        <w:tab w:val="left" w:pos="284"/>
      </w:tabs>
      <w:spacing w:before="120" w:line="288" w:lineRule="auto"/>
      <w:contextualSpacing/>
    </w:pPr>
  </w:style>
  <w:style w:type="character" w:customStyle="1" w:styleId="TablenotesChar">
    <w:name w:val="Table notes Char"/>
    <w:basedOn w:val="FootnoteTextChar"/>
    <w:link w:val="Tablenotes"/>
    <w:uiPriority w:val="11"/>
    <w:rsid w:val="00E95A9E"/>
    <w:rPr>
      <w:sz w:val="20"/>
      <w:szCs w:val="20"/>
    </w:rPr>
  </w:style>
  <w:style w:type="paragraph" w:customStyle="1" w:styleId="Storytitle">
    <w:name w:val="Story title"/>
    <w:basedOn w:val="PullOut-Heading3"/>
    <w:next w:val="PullOut-Body"/>
    <w:link w:val="StorytitleChar"/>
    <w:uiPriority w:val="12"/>
    <w:qFormat/>
    <w:rsid w:val="00CE2125"/>
  </w:style>
  <w:style w:type="character" w:customStyle="1" w:styleId="PullOut-Heading3Char">
    <w:name w:val="Pull Out - Heading 3 Char"/>
    <w:basedOn w:val="Heading3Char"/>
    <w:link w:val="PullOut-Heading3"/>
    <w:uiPriority w:val="15"/>
    <w:rsid w:val="0009663A"/>
    <w:rPr>
      <w:b/>
      <w:bCs/>
      <w:color w:val="6B2976"/>
      <w:sz w:val="32"/>
      <w:szCs w:val="20"/>
      <w:shd w:val="clear" w:color="auto" w:fill="F7EEF7"/>
    </w:rPr>
  </w:style>
  <w:style w:type="character" w:customStyle="1" w:styleId="StorytitleChar">
    <w:name w:val="Story title Char"/>
    <w:basedOn w:val="PullOut-Heading3Char"/>
    <w:link w:val="Storytitle"/>
    <w:uiPriority w:val="12"/>
    <w:rsid w:val="0009663A"/>
    <w:rPr>
      <w:b/>
      <w:bCs/>
      <w:color w:val="6B2976"/>
      <w:sz w:val="32"/>
      <w:szCs w:val="20"/>
      <w:shd w:val="clear" w:color="auto" w:fill="F7EEF7"/>
    </w:rPr>
  </w:style>
  <w:style w:type="paragraph" w:customStyle="1" w:styleId="Contentsheading">
    <w:name w:val="Contents heading"/>
    <w:basedOn w:val="Normal"/>
    <w:link w:val="ContentsheadingChar"/>
    <w:qFormat/>
    <w:rsid w:val="007502B4"/>
    <w:rPr>
      <w:b/>
      <w:color w:val="6B2976"/>
      <w:sz w:val="32"/>
    </w:rPr>
  </w:style>
  <w:style w:type="character" w:customStyle="1" w:styleId="ContentsheadingChar">
    <w:name w:val="Contents heading Char"/>
    <w:basedOn w:val="Heading3Char"/>
    <w:link w:val="Contentsheading"/>
    <w:rsid w:val="007502B4"/>
    <w:rPr>
      <w:b/>
      <w:color w:val="6B2976"/>
      <w:sz w:val="32"/>
      <w:szCs w:val="32"/>
    </w:rPr>
  </w:style>
  <w:style w:type="table" w:styleId="GridTable4-Accent2">
    <w:name w:val="Grid Table 4 Accent 2"/>
    <w:basedOn w:val="TableNormal"/>
    <w:uiPriority w:val="49"/>
    <w:rsid w:val="00CA7954"/>
    <w:pPr>
      <w:spacing w:after="0" w:line="240" w:lineRule="auto"/>
    </w:pPr>
    <w:tblPr>
      <w:tblStyleRowBandSize w:val="1"/>
      <w:tblStyleColBandSize w:val="1"/>
      <w:tblBorders>
        <w:top w:val="single" w:sz="4" w:space="0" w:color="BA61C9" w:themeColor="accent2" w:themeTint="99"/>
        <w:left w:val="single" w:sz="4" w:space="0" w:color="BA61C9" w:themeColor="accent2" w:themeTint="99"/>
        <w:bottom w:val="single" w:sz="4" w:space="0" w:color="BA61C9" w:themeColor="accent2" w:themeTint="99"/>
        <w:right w:val="single" w:sz="4" w:space="0" w:color="BA61C9" w:themeColor="accent2" w:themeTint="99"/>
        <w:insideH w:val="single" w:sz="4" w:space="0" w:color="BA61C9" w:themeColor="accent2" w:themeTint="99"/>
        <w:insideV w:val="single" w:sz="4" w:space="0" w:color="BA61C9" w:themeColor="accent2" w:themeTint="99"/>
      </w:tblBorders>
    </w:tblPr>
    <w:tblStylePr w:type="firstRow">
      <w:rPr>
        <w:b/>
        <w:bCs/>
        <w:color w:val="F9F9F9" w:themeColor="background1"/>
      </w:rPr>
      <w:tblPr/>
      <w:tcPr>
        <w:tcBorders>
          <w:top w:val="single" w:sz="4" w:space="0" w:color="6B2876" w:themeColor="accent2"/>
          <w:left w:val="single" w:sz="4" w:space="0" w:color="6B2876" w:themeColor="accent2"/>
          <w:bottom w:val="single" w:sz="4" w:space="0" w:color="6B2876" w:themeColor="accent2"/>
          <w:right w:val="single" w:sz="4" w:space="0" w:color="6B2876" w:themeColor="accent2"/>
          <w:insideH w:val="nil"/>
          <w:insideV w:val="nil"/>
        </w:tcBorders>
        <w:shd w:val="clear" w:color="auto" w:fill="6B2876" w:themeFill="accent2"/>
      </w:tcPr>
    </w:tblStylePr>
    <w:tblStylePr w:type="lastRow">
      <w:rPr>
        <w:b/>
        <w:bCs/>
      </w:rPr>
      <w:tblPr/>
      <w:tcPr>
        <w:tcBorders>
          <w:top w:val="double" w:sz="4" w:space="0" w:color="6B2876" w:themeColor="accent2"/>
        </w:tcBorders>
      </w:tcPr>
    </w:tblStylePr>
    <w:tblStylePr w:type="firstCol">
      <w:rPr>
        <w:b/>
        <w:bCs/>
      </w:rPr>
    </w:tblStylePr>
    <w:tblStylePr w:type="lastCol">
      <w:rPr>
        <w:b/>
        <w:bCs/>
      </w:rPr>
    </w:tblStylePr>
    <w:tblStylePr w:type="band1Vert">
      <w:tblPr/>
      <w:tcPr>
        <w:shd w:val="clear" w:color="auto" w:fill="E8CAED" w:themeFill="accent2" w:themeFillTint="33"/>
      </w:tcPr>
    </w:tblStylePr>
    <w:tblStylePr w:type="band1Horz">
      <w:tblPr/>
      <w:tcPr>
        <w:shd w:val="clear" w:color="auto" w:fill="E8CAED" w:themeFill="accent2" w:themeFillTint="33"/>
      </w:tcPr>
    </w:tblStylePr>
  </w:style>
  <w:style w:type="paragraph" w:customStyle="1" w:styleId="Pa11">
    <w:name w:val="Pa11"/>
    <w:basedOn w:val="Normal"/>
    <w:next w:val="Normal"/>
    <w:uiPriority w:val="99"/>
    <w:rsid w:val="00B70AB7"/>
    <w:pPr>
      <w:autoSpaceDE w:val="0"/>
      <w:autoSpaceDN w:val="0"/>
      <w:adjustRightInd w:val="0"/>
      <w:spacing w:after="0" w:line="221" w:lineRule="atLeast"/>
    </w:pPr>
    <w:rPr>
      <w:rFonts w:ascii="FS Me Pro" w:hAnsi="FS Me Pro"/>
    </w:rPr>
  </w:style>
  <w:style w:type="paragraph" w:customStyle="1" w:styleId="Pa66">
    <w:name w:val="Pa66"/>
    <w:basedOn w:val="Normal"/>
    <w:next w:val="Normal"/>
    <w:uiPriority w:val="99"/>
    <w:rsid w:val="00B70AB7"/>
    <w:pPr>
      <w:autoSpaceDE w:val="0"/>
      <w:autoSpaceDN w:val="0"/>
      <w:adjustRightInd w:val="0"/>
      <w:spacing w:after="0" w:line="221" w:lineRule="atLeast"/>
    </w:pPr>
    <w:rPr>
      <w:rFonts w:ascii="FS Me Pro" w:hAnsi="FS Me Pro"/>
    </w:rPr>
  </w:style>
  <w:style w:type="character" w:customStyle="1" w:styleId="ListParagraphChar">
    <w:name w:val="List Paragraph Char"/>
    <w:aliases w:val="Recommendation Char,List Paragraph1 Char,List Paragraph11 Char,Figure_name Char,Bullet- First level Char,Listenabsatz1 Char,L Char,Number Char,#List Paragraph Char,Bullet point Char,List Paragraph111 Char,F5 List Paragraph Char"/>
    <w:link w:val="ListParagraph"/>
    <w:uiPriority w:val="34"/>
    <w:qFormat/>
    <w:locked/>
    <w:rsid w:val="00974979"/>
  </w:style>
  <w:style w:type="table" w:customStyle="1" w:styleId="TableGrid1">
    <w:name w:val="Table Grid1"/>
    <w:basedOn w:val="TableNormal"/>
    <w:next w:val="TableGrid"/>
    <w:uiPriority w:val="59"/>
    <w:rsid w:val="00F13F84"/>
    <w:pPr>
      <w:spacing w:before="0"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ullet2">
    <w:name w:val="Table bullet 2"/>
    <w:basedOn w:val="Tablebullet"/>
    <w:link w:val="Tablebullet2Char"/>
    <w:qFormat/>
    <w:rsid w:val="005A543F"/>
    <w:pPr>
      <w:numPr>
        <w:ilvl w:val="1"/>
      </w:numPr>
      <w:spacing w:line="269" w:lineRule="auto"/>
      <w:ind w:left="714" w:hanging="357"/>
    </w:pPr>
    <w:rPr>
      <w:rFonts w:eastAsia="Calibri"/>
    </w:rPr>
  </w:style>
  <w:style w:type="character" w:customStyle="1" w:styleId="TablebulletChar">
    <w:name w:val="Table bullet Char"/>
    <w:basedOn w:val="DefaultParagraphFont"/>
    <w:link w:val="Tablebullet"/>
    <w:uiPriority w:val="10"/>
    <w:rsid w:val="0063178A"/>
    <w:rPr>
      <w:rFonts w:eastAsia="Times New Roman"/>
      <w:lang w:eastAsia="ja-JP"/>
    </w:rPr>
  </w:style>
  <w:style w:type="character" w:customStyle="1" w:styleId="Tablebullet2Char">
    <w:name w:val="Table bullet 2 Char"/>
    <w:basedOn w:val="TablebulletChar"/>
    <w:link w:val="Tablebullet2"/>
    <w:rsid w:val="005A543F"/>
    <w:rPr>
      <w:rFonts w:eastAsia="Calibri"/>
      <w:lang w:eastAsia="ja-JP"/>
    </w:rPr>
  </w:style>
  <w:style w:type="character" w:styleId="Mention">
    <w:name w:val="Mention"/>
    <w:basedOn w:val="DefaultParagraphFont"/>
    <w:uiPriority w:val="99"/>
    <w:unhideWhenUsed/>
    <w:rsid w:val="00EF7A8C"/>
    <w:rPr>
      <w:color w:val="2B579A"/>
      <w:shd w:val="clear" w:color="auto" w:fill="E1DFDD"/>
    </w:rPr>
  </w:style>
  <w:style w:type="paragraph" w:customStyle="1" w:styleId="ReferenceText">
    <w:name w:val="Reference Text"/>
    <w:basedOn w:val="Normal"/>
    <w:link w:val="ReferenceTextChar"/>
    <w:autoRedefine/>
    <w:qFormat/>
    <w:rsid w:val="00020CFF"/>
    <w:pPr>
      <w:spacing w:before="180" w:after="0" w:line="240" w:lineRule="auto"/>
      <w:contextualSpacing/>
    </w:pPr>
    <w:rPr>
      <w:rFonts w:eastAsia="Times New Roman"/>
      <w:sz w:val="18"/>
      <w:szCs w:val="20"/>
    </w:rPr>
  </w:style>
  <w:style w:type="character" w:customStyle="1" w:styleId="ReferenceTextChar">
    <w:name w:val="Reference Text Char"/>
    <w:basedOn w:val="DefaultParagraphFont"/>
    <w:link w:val="ReferenceText"/>
    <w:rsid w:val="00020CFF"/>
    <w:rPr>
      <w:rFonts w:eastAsia="Times New Roman"/>
      <w:sz w:val="18"/>
      <w:szCs w:val="20"/>
    </w:rPr>
  </w:style>
  <w:style w:type="paragraph" w:customStyle="1" w:styleId="PolicyheadingDept">
    <w:name w:val="Policy heading Dept"/>
    <w:basedOn w:val="Normal"/>
    <w:qFormat/>
    <w:rsid w:val="00070475"/>
    <w:pPr>
      <w:pBdr>
        <w:top w:val="single" w:sz="4" w:space="1" w:color="800080"/>
        <w:left w:val="single" w:sz="4" w:space="0" w:color="800080"/>
        <w:bottom w:val="single" w:sz="4" w:space="1" w:color="800080"/>
        <w:right w:val="single" w:sz="4" w:space="0" w:color="800080"/>
      </w:pBdr>
      <w:spacing w:after="120" w:line="120" w:lineRule="atLeast"/>
    </w:pPr>
    <w:rPr>
      <w:rFonts w:eastAsia="Times New Roman" w:cs="Arial"/>
      <w:b/>
      <w:bCs/>
      <w:sz w:val="18"/>
      <w:szCs w:val="18"/>
      <w:lang w:eastAsia="en-US"/>
    </w:rPr>
  </w:style>
  <w:style w:type="numbering" w:customStyle="1" w:styleId="NoList1">
    <w:name w:val="No List1"/>
    <w:next w:val="NoList"/>
    <w:uiPriority w:val="99"/>
    <w:semiHidden/>
    <w:unhideWhenUsed/>
    <w:rsid w:val="00700F83"/>
  </w:style>
  <w:style w:type="paragraph" w:customStyle="1" w:styleId="StatementName">
    <w:name w:val="Statement Name"/>
    <w:basedOn w:val="Normal"/>
    <w:next w:val="Normal"/>
    <w:link w:val="StatementNameChar"/>
    <w:autoRedefine/>
    <w:rsid w:val="00653C96"/>
    <w:pPr>
      <w:pBdr>
        <w:bottom w:val="single" w:sz="4" w:space="1" w:color="auto"/>
      </w:pBdr>
      <w:spacing w:after="120" w:line="260" w:lineRule="atLeast"/>
      <w:contextualSpacing/>
    </w:pPr>
    <w:rPr>
      <w:rFonts w:eastAsia="Times New Roman" w:cs="Arial"/>
      <w:b/>
      <w:lang w:eastAsia="en-US"/>
    </w:rPr>
  </w:style>
  <w:style w:type="paragraph" w:customStyle="1" w:styleId="StatementDateHeader">
    <w:name w:val="Statement Date Header"/>
    <w:basedOn w:val="Normal"/>
    <w:next w:val="Normal"/>
    <w:rsid w:val="00700F83"/>
    <w:pPr>
      <w:pBdr>
        <w:bottom w:val="single" w:sz="4" w:space="1" w:color="auto"/>
      </w:pBdr>
      <w:spacing w:after="0" w:line="260" w:lineRule="atLeast"/>
    </w:pPr>
    <w:rPr>
      <w:rFonts w:eastAsia="Times New Roman"/>
      <w:i/>
      <w:szCs w:val="20"/>
      <w:lang w:eastAsia="en-US"/>
    </w:rPr>
  </w:style>
  <w:style w:type="paragraph" w:customStyle="1" w:styleId="StatementTextLevel3">
    <w:name w:val="Statement Text Level 3"/>
    <w:basedOn w:val="Normal"/>
    <w:next w:val="Normal"/>
    <w:rsid w:val="00700F83"/>
    <w:pPr>
      <w:spacing w:after="0" w:line="260" w:lineRule="atLeast"/>
    </w:pPr>
    <w:rPr>
      <w:rFonts w:eastAsia="Times New Roman"/>
      <w:sz w:val="18"/>
      <w:szCs w:val="20"/>
      <w:lang w:eastAsia="en-US"/>
    </w:rPr>
  </w:style>
  <w:style w:type="paragraph" w:customStyle="1" w:styleId="ContinuedNotesHeading-Level1">
    <w:name w:val="Continued Notes Heading - Level 1"/>
    <w:basedOn w:val="NotesHeading-Level1"/>
    <w:qFormat/>
    <w:rsid w:val="00700F83"/>
    <w:pPr>
      <w:numPr>
        <w:numId w:val="0"/>
      </w:numPr>
      <w:spacing w:line="240" w:lineRule="auto"/>
      <w:outlineLvl w:val="9"/>
    </w:pPr>
  </w:style>
  <w:style w:type="paragraph" w:customStyle="1" w:styleId="TableHeaderLevel1">
    <w:name w:val="Table Header Level 1"/>
    <w:basedOn w:val="Normal"/>
    <w:semiHidden/>
    <w:rsid w:val="00700F83"/>
    <w:pPr>
      <w:spacing w:after="0" w:line="260" w:lineRule="atLeast"/>
      <w:jc w:val="center"/>
    </w:pPr>
    <w:rPr>
      <w:rFonts w:eastAsia="Times New Roman"/>
      <w:b/>
      <w:sz w:val="18"/>
      <w:szCs w:val="18"/>
      <w:lang w:eastAsia="en-US"/>
    </w:rPr>
  </w:style>
  <w:style w:type="table" w:customStyle="1" w:styleId="TableGrid2">
    <w:name w:val="Table Grid2"/>
    <w:basedOn w:val="TableNormal"/>
    <w:next w:val="TableGrid"/>
    <w:uiPriority w:val="39"/>
    <w:rsid w:val="00700F83"/>
    <w:pPr>
      <w:spacing w:before="0" w:after="0" w:line="260" w:lineRule="atLeast"/>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tementTextLevel1bItalic">
    <w:name w:val="Statement Text Level 1(b) + Italic"/>
    <w:basedOn w:val="Normal"/>
    <w:rsid w:val="00700F83"/>
    <w:pPr>
      <w:spacing w:after="0" w:line="260" w:lineRule="atLeast"/>
    </w:pPr>
    <w:rPr>
      <w:rFonts w:eastAsia="Times New Roman"/>
      <w:b/>
      <w:bCs/>
      <w:i/>
      <w:iCs/>
      <w:sz w:val="18"/>
      <w:szCs w:val="18"/>
      <w:lang w:eastAsia="en-US"/>
    </w:rPr>
  </w:style>
  <w:style w:type="paragraph" w:customStyle="1" w:styleId="Graphic">
    <w:name w:val="Graphic"/>
    <w:basedOn w:val="Signature"/>
    <w:rsid w:val="00700F83"/>
    <w:pPr>
      <w:pBdr>
        <w:top w:val="single" w:sz="4" w:space="1" w:color="auto"/>
        <w:left w:val="single" w:sz="4" w:space="1" w:color="auto"/>
        <w:bottom w:val="single" w:sz="4" w:space="1" w:color="auto"/>
        <w:right w:val="single" w:sz="4" w:space="1" w:color="auto"/>
      </w:pBdr>
      <w:jc w:val="center"/>
    </w:pPr>
  </w:style>
  <w:style w:type="paragraph" w:styleId="Signature">
    <w:name w:val="Signature"/>
    <w:basedOn w:val="Normal"/>
    <w:link w:val="SignatureChar"/>
    <w:rsid w:val="00700F83"/>
    <w:pPr>
      <w:spacing w:after="0" w:line="240" w:lineRule="auto"/>
    </w:pPr>
    <w:rPr>
      <w:rFonts w:ascii="Times New Roman" w:eastAsia="Times New Roman" w:hAnsi="Times New Roman"/>
      <w:sz w:val="22"/>
      <w:szCs w:val="20"/>
      <w:lang w:eastAsia="en-US"/>
    </w:rPr>
  </w:style>
  <w:style w:type="character" w:customStyle="1" w:styleId="SignatureChar">
    <w:name w:val="Signature Char"/>
    <w:basedOn w:val="DefaultParagraphFont"/>
    <w:link w:val="Signature"/>
    <w:rsid w:val="00700F83"/>
    <w:rPr>
      <w:rFonts w:ascii="Times New Roman" w:eastAsia="Times New Roman" w:hAnsi="Times New Roman"/>
      <w:sz w:val="22"/>
      <w:szCs w:val="20"/>
      <w:lang w:eastAsia="en-US"/>
    </w:rPr>
  </w:style>
  <w:style w:type="paragraph" w:styleId="MacroText">
    <w:name w:val="macro"/>
    <w:link w:val="MacroTextChar"/>
    <w:semiHidden/>
    <w:rsid w:val="00700F83"/>
    <w:pPr>
      <w:tabs>
        <w:tab w:val="left" w:pos="480"/>
        <w:tab w:val="left" w:pos="960"/>
        <w:tab w:val="left" w:pos="1440"/>
        <w:tab w:val="left" w:pos="1920"/>
        <w:tab w:val="left" w:pos="2400"/>
        <w:tab w:val="left" w:pos="2880"/>
        <w:tab w:val="left" w:pos="3360"/>
        <w:tab w:val="left" w:pos="3840"/>
        <w:tab w:val="left" w:pos="4320"/>
      </w:tabs>
      <w:spacing w:before="0" w:after="0" w:line="260" w:lineRule="atLeast"/>
    </w:pPr>
    <w:rPr>
      <w:rFonts w:ascii="Courier New" w:eastAsia="Times New Roman" w:hAnsi="Courier New" w:cs="Courier New"/>
      <w:sz w:val="18"/>
      <w:szCs w:val="20"/>
      <w:lang w:val="en-GB" w:eastAsia="en-US"/>
    </w:rPr>
  </w:style>
  <w:style w:type="character" w:customStyle="1" w:styleId="MacroTextChar">
    <w:name w:val="Macro Text Char"/>
    <w:basedOn w:val="DefaultParagraphFont"/>
    <w:link w:val="MacroText"/>
    <w:semiHidden/>
    <w:rsid w:val="00700F83"/>
    <w:rPr>
      <w:rFonts w:ascii="Courier New" w:eastAsia="Times New Roman" w:hAnsi="Courier New" w:cs="Courier New"/>
      <w:sz w:val="18"/>
      <w:szCs w:val="20"/>
      <w:lang w:val="en-GB" w:eastAsia="en-US"/>
    </w:rPr>
  </w:style>
  <w:style w:type="paragraph" w:customStyle="1" w:styleId="NotesTotal">
    <w:name w:val="Notes Total"/>
    <w:basedOn w:val="Normal"/>
    <w:autoRedefine/>
    <w:rsid w:val="00700F83"/>
    <w:pPr>
      <w:spacing w:after="0" w:line="260" w:lineRule="atLeast"/>
      <w:ind w:left="139" w:right="57"/>
    </w:pPr>
    <w:rPr>
      <w:rFonts w:ascii="Times New Roman" w:eastAsia="Times New Roman" w:hAnsi="Times New Roman"/>
      <w:b/>
      <w:iCs/>
      <w:sz w:val="20"/>
      <w:szCs w:val="20"/>
      <w:lang w:eastAsia="en-US"/>
    </w:rPr>
  </w:style>
  <w:style w:type="paragraph" w:customStyle="1" w:styleId="TitlePage">
    <w:name w:val="Title Page"/>
    <w:basedOn w:val="Normal"/>
    <w:autoRedefine/>
    <w:rsid w:val="00700F83"/>
    <w:pPr>
      <w:spacing w:before="1200" w:after="1200" w:line="260" w:lineRule="atLeast"/>
      <w:ind w:left="57" w:right="57"/>
      <w:jc w:val="right"/>
    </w:pPr>
    <w:rPr>
      <w:rFonts w:ascii="Times New Roman" w:eastAsia="Times New Roman" w:hAnsi="Times New Roman"/>
      <w:b/>
      <w:bCs/>
      <w:sz w:val="48"/>
      <w:szCs w:val="20"/>
      <w:lang w:eastAsia="en-US"/>
    </w:rPr>
  </w:style>
  <w:style w:type="paragraph" w:customStyle="1" w:styleId="zcontents">
    <w:name w:val="zcontents"/>
    <w:basedOn w:val="Normal"/>
    <w:semiHidden/>
    <w:rsid w:val="00700F83"/>
    <w:pPr>
      <w:spacing w:after="260" w:line="240" w:lineRule="auto"/>
    </w:pPr>
    <w:rPr>
      <w:rFonts w:ascii="Times New Roman" w:eastAsia="Times New Roman" w:hAnsi="Times New Roman"/>
      <w:b/>
      <w:sz w:val="32"/>
      <w:szCs w:val="20"/>
      <w:lang w:eastAsia="en-US"/>
    </w:rPr>
  </w:style>
  <w:style w:type="paragraph" w:customStyle="1" w:styleId="Normal10pt">
    <w:name w:val="Normal + 10 pt"/>
    <w:aliases w:val="Line spacing:  single"/>
    <w:basedOn w:val="Normal"/>
    <w:rsid w:val="00700F83"/>
    <w:pPr>
      <w:spacing w:before="130" w:after="130" w:line="260" w:lineRule="atLeast"/>
    </w:pPr>
    <w:rPr>
      <w:rFonts w:ascii="Times New Roman" w:eastAsia="Times New Roman" w:hAnsi="Times New Roman"/>
      <w:b/>
      <w:sz w:val="20"/>
      <w:szCs w:val="20"/>
      <w:lang w:eastAsia="en-US"/>
    </w:rPr>
  </w:style>
  <w:style w:type="paragraph" w:styleId="z-BottomofForm">
    <w:name w:val="HTML Bottom of Form"/>
    <w:basedOn w:val="Normal"/>
    <w:next w:val="Normal"/>
    <w:link w:val="z-BottomofFormChar"/>
    <w:hidden/>
    <w:rsid w:val="00700F83"/>
    <w:pPr>
      <w:pBdr>
        <w:top w:val="single" w:sz="6" w:space="1" w:color="auto"/>
      </w:pBdr>
      <w:spacing w:after="0" w:line="260" w:lineRule="atLeast"/>
      <w:jc w:val="center"/>
    </w:pPr>
    <w:rPr>
      <w:rFonts w:eastAsia="Times New Roman" w:cs="Arial"/>
      <w:vanish/>
      <w:sz w:val="16"/>
      <w:szCs w:val="16"/>
      <w:lang w:eastAsia="en-US"/>
    </w:rPr>
  </w:style>
  <w:style w:type="character" w:customStyle="1" w:styleId="z-BottomofFormChar">
    <w:name w:val="z-Bottom of Form Char"/>
    <w:basedOn w:val="DefaultParagraphFont"/>
    <w:link w:val="z-BottomofForm"/>
    <w:rsid w:val="00700F83"/>
    <w:rPr>
      <w:rFonts w:eastAsia="Times New Roman" w:cs="Arial"/>
      <w:vanish/>
      <w:sz w:val="16"/>
      <w:szCs w:val="16"/>
      <w:lang w:eastAsia="en-US"/>
    </w:rPr>
  </w:style>
  <w:style w:type="paragraph" w:styleId="z-TopofForm">
    <w:name w:val="HTML Top of Form"/>
    <w:basedOn w:val="Normal"/>
    <w:next w:val="Normal"/>
    <w:link w:val="z-TopofFormChar"/>
    <w:hidden/>
    <w:rsid w:val="00700F83"/>
    <w:pPr>
      <w:pBdr>
        <w:bottom w:val="single" w:sz="6" w:space="1" w:color="auto"/>
      </w:pBdr>
      <w:spacing w:after="0" w:line="260" w:lineRule="atLeast"/>
      <w:jc w:val="center"/>
    </w:pPr>
    <w:rPr>
      <w:rFonts w:eastAsia="Times New Roman" w:cs="Arial"/>
      <w:vanish/>
      <w:sz w:val="16"/>
      <w:szCs w:val="16"/>
      <w:lang w:eastAsia="en-US"/>
    </w:rPr>
  </w:style>
  <w:style w:type="character" w:customStyle="1" w:styleId="z-TopofFormChar">
    <w:name w:val="z-Top of Form Char"/>
    <w:basedOn w:val="DefaultParagraphFont"/>
    <w:link w:val="z-TopofForm"/>
    <w:rsid w:val="00700F83"/>
    <w:rPr>
      <w:rFonts w:eastAsia="Times New Roman" w:cs="Arial"/>
      <w:vanish/>
      <w:sz w:val="16"/>
      <w:szCs w:val="16"/>
      <w:lang w:eastAsia="en-US"/>
    </w:rPr>
  </w:style>
  <w:style w:type="paragraph" w:styleId="DocumentMap">
    <w:name w:val="Document Map"/>
    <w:basedOn w:val="Normal"/>
    <w:link w:val="DocumentMapChar"/>
    <w:semiHidden/>
    <w:rsid w:val="00700F83"/>
    <w:pPr>
      <w:shd w:val="clear" w:color="auto" w:fill="000080"/>
      <w:spacing w:after="0" w:line="240" w:lineRule="auto"/>
    </w:pPr>
    <w:rPr>
      <w:rFonts w:ascii="Tahoma" w:eastAsia="Times New Roman" w:hAnsi="Tahoma"/>
      <w:sz w:val="20"/>
      <w:szCs w:val="20"/>
    </w:rPr>
  </w:style>
  <w:style w:type="character" w:customStyle="1" w:styleId="DocumentMapChar">
    <w:name w:val="Document Map Char"/>
    <w:basedOn w:val="DefaultParagraphFont"/>
    <w:link w:val="DocumentMap"/>
    <w:semiHidden/>
    <w:rsid w:val="00700F83"/>
    <w:rPr>
      <w:rFonts w:ascii="Tahoma" w:eastAsia="Times New Roman" w:hAnsi="Tahoma"/>
      <w:sz w:val="20"/>
      <w:szCs w:val="20"/>
      <w:shd w:val="clear" w:color="auto" w:fill="000080"/>
    </w:rPr>
  </w:style>
  <w:style w:type="paragraph" w:customStyle="1" w:styleId="Normal8pt">
    <w:name w:val="Normal + 8 pt"/>
    <w:basedOn w:val="Normal"/>
    <w:rsid w:val="00700F83"/>
    <w:pPr>
      <w:widowControl w:val="0"/>
      <w:autoSpaceDE w:val="0"/>
      <w:autoSpaceDN w:val="0"/>
      <w:spacing w:after="0" w:line="240" w:lineRule="auto"/>
    </w:pPr>
    <w:rPr>
      <w:rFonts w:ascii="Times New Roman" w:eastAsia="Times New Roman" w:hAnsi="Times New Roman"/>
      <w:bCs/>
      <w:iCs/>
      <w:spacing w:val="-6"/>
      <w:sz w:val="16"/>
      <w:szCs w:val="16"/>
      <w:lang w:val="en-US" w:eastAsia="en-US"/>
    </w:rPr>
  </w:style>
  <w:style w:type="paragraph" w:customStyle="1" w:styleId="NormalCalistoMT">
    <w:name w:val="Normal + Calisto MT"/>
    <w:aliases w:val="8 pt,Right"/>
    <w:basedOn w:val="Normal"/>
    <w:rsid w:val="00700F83"/>
    <w:pPr>
      <w:framePr w:hSpace="180" w:wrap="around" w:vAnchor="text" w:hAnchor="margin" w:y="1"/>
      <w:spacing w:after="0" w:line="260" w:lineRule="atLeast"/>
      <w:ind w:right="212"/>
      <w:suppressOverlap/>
      <w:jc w:val="right"/>
    </w:pPr>
    <w:rPr>
      <w:rFonts w:ascii="Calisto MT" w:eastAsia="Times New Roman" w:hAnsi="Calisto MT"/>
      <w:sz w:val="16"/>
      <w:szCs w:val="20"/>
      <w:lang w:eastAsia="en-US"/>
    </w:rPr>
  </w:style>
  <w:style w:type="paragraph" w:customStyle="1" w:styleId="NotesHeading-Level1">
    <w:name w:val="Notes Heading - Level 1"/>
    <w:basedOn w:val="Normal"/>
    <w:qFormat/>
    <w:rsid w:val="00700F83"/>
    <w:pPr>
      <w:numPr>
        <w:numId w:val="14"/>
      </w:numPr>
      <w:tabs>
        <w:tab w:val="clear" w:pos="10491"/>
        <w:tab w:val="num" w:pos="851"/>
      </w:tabs>
      <w:spacing w:after="0" w:line="260" w:lineRule="atLeast"/>
      <w:ind w:left="1134" w:right="607"/>
      <w:outlineLvl w:val="0"/>
    </w:pPr>
    <w:rPr>
      <w:rFonts w:eastAsia="Times New Roman"/>
      <w:b/>
      <w:sz w:val="20"/>
      <w:szCs w:val="20"/>
      <w:lang w:eastAsia="en-US"/>
    </w:rPr>
  </w:style>
  <w:style w:type="paragraph" w:customStyle="1" w:styleId="NotesHeading-Level2">
    <w:name w:val="Notes Heading - Level 2"/>
    <w:basedOn w:val="NotesHeading-Level1"/>
    <w:rsid w:val="00700F83"/>
    <w:pPr>
      <w:framePr w:hSpace="180" w:wrap="around" w:vAnchor="text" w:hAnchor="margin" w:y="1"/>
      <w:numPr>
        <w:ilvl w:val="1"/>
      </w:numPr>
      <w:suppressOverlap/>
    </w:pPr>
    <w:rPr>
      <w:sz w:val="18"/>
    </w:rPr>
  </w:style>
  <w:style w:type="character" w:customStyle="1" w:styleId="StatementNameChar">
    <w:name w:val="Statement Name Char"/>
    <w:basedOn w:val="DefaultParagraphFont"/>
    <w:link w:val="StatementName"/>
    <w:rsid w:val="00653C96"/>
    <w:rPr>
      <w:rFonts w:eastAsia="Times New Roman" w:cs="Arial"/>
      <w:b/>
      <w:lang w:eastAsia="en-US"/>
    </w:rPr>
  </w:style>
  <w:style w:type="numbering" w:customStyle="1" w:styleId="CurrentList11">
    <w:name w:val="Current List11"/>
    <w:rsid w:val="00700F83"/>
    <w:pPr>
      <w:numPr>
        <w:numId w:val="15"/>
      </w:numPr>
    </w:pPr>
  </w:style>
  <w:style w:type="numbering" w:customStyle="1" w:styleId="Style2">
    <w:name w:val="Style2"/>
    <w:rsid w:val="00700F83"/>
    <w:pPr>
      <w:numPr>
        <w:numId w:val="16"/>
      </w:numPr>
    </w:pPr>
  </w:style>
  <w:style w:type="numbering" w:customStyle="1" w:styleId="CurrentList21">
    <w:name w:val="Current List21"/>
    <w:rsid w:val="00700F83"/>
    <w:pPr>
      <w:numPr>
        <w:numId w:val="17"/>
      </w:numPr>
    </w:pPr>
  </w:style>
  <w:style w:type="paragraph" w:customStyle="1" w:styleId="StatementHeading">
    <w:name w:val="Statement Heading"/>
    <w:basedOn w:val="Normal"/>
    <w:rsid w:val="00700F83"/>
    <w:pPr>
      <w:spacing w:after="0" w:line="260" w:lineRule="atLeast"/>
    </w:pPr>
    <w:rPr>
      <w:rFonts w:eastAsia="Times New Roman"/>
      <w:b/>
      <w:szCs w:val="20"/>
      <w:lang w:eastAsia="en-US"/>
    </w:rPr>
  </w:style>
  <w:style w:type="table" w:customStyle="1" w:styleId="TableGrid11">
    <w:name w:val="Table Grid11"/>
    <w:basedOn w:val="TableNormal"/>
    <w:next w:val="TableGrid"/>
    <w:rsid w:val="00700F83"/>
    <w:pPr>
      <w:spacing w:before="0"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semiHidden/>
    <w:rsid w:val="00700F83"/>
    <w:pPr>
      <w:spacing w:after="0" w:line="260" w:lineRule="atLeast"/>
    </w:pPr>
    <w:rPr>
      <w:rFonts w:ascii="Times New Roman" w:eastAsia="Times New Roman" w:hAnsi="Times New Roman"/>
      <w:sz w:val="22"/>
      <w:szCs w:val="20"/>
      <w:lang w:eastAsia="en-US"/>
    </w:rPr>
  </w:style>
  <w:style w:type="paragraph" w:customStyle="1" w:styleId="GreyShadeTableBreak">
    <w:name w:val="Grey Shade Table Break"/>
    <w:basedOn w:val="Normal"/>
    <w:qFormat/>
    <w:rsid w:val="00700F83"/>
    <w:pPr>
      <w:shd w:val="clear" w:color="auto" w:fill="D9D9D9"/>
      <w:tabs>
        <w:tab w:val="left" w:pos="9214"/>
      </w:tabs>
      <w:spacing w:after="0" w:line="260" w:lineRule="atLeast"/>
      <w:ind w:right="607"/>
    </w:pPr>
    <w:rPr>
      <w:rFonts w:ascii="Times New Roman" w:eastAsia="Times New Roman" w:hAnsi="Times New Roman"/>
      <w:sz w:val="22"/>
      <w:szCs w:val="20"/>
      <w:lang w:eastAsia="en-US"/>
    </w:rPr>
  </w:style>
  <w:style w:type="paragraph" w:customStyle="1" w:styleId="GreyShadeTableBreaknon-Standard">
    <w:name w:val="Grey Shade Table Break non-Standard"/>
    <w:qFormat/>
    <w:rsid w:val="00700F83"/>
    <w:pPr>
      <w:shd w:val="clear" w:color="auto" w:fill="D9D9D9"/>
      <w:spacing w:before="0" w:after="0" w:line="240" w:lineRule="auto"/>
      <w:ind w:right="57"/>
    </w:pPr>
    <w:rPr>
      <w:rFonts w:ascii="Times New Roman" w:eastAsia="Times New Roman" w:hAnsi="Times New Roman"/>
      <w:sz w:val="22"/>
      <w:szCs w:val="20"/>
      <w:lang w:eastAsia="en-US"/>
    </w:rPr>
  </w:style>
  <w:style w:type="paragraph" w:customStyle="1" w:styleId="ReferenceTextLetter">
    <w:name w:val="Reference Text Letter"/>
    <w:basedOn w:val="ReferenceText"/>
    <w:rsid w:val="00700F83"/>
    <w:pPr>
      <w:spacing w:before="0"/>
      <w:ind w:left="567" w:right="567"/>
      <w:contextualSpacing w:val="0"/>
    </w:pPr>
    <w:rPr>
      <w:rFonts w:cs="Arial"/>
      <w:szCs w:val="18"/>
    </w:rPr>
  </w:style>
  <w:style w:type="paragraph" w:customStyle="1" w:styleId="StyleNotesHeaderLeftLeft-008cm">
    <w:name w:val="Style Notes Header + Left Left:  -0.08 cm"/>
    <w:basedOn w:val="Normal"/>
    <w:rsid w:val="00700F83"/>
    <w:pPr>
      <w:numPr>
        <w:ilvl w:val="1"/>
        <w:numId w:val="18"/>
      </w:numPr>
      <w:spacing w:before="180" w:after="60" w:line="240" w:lineRule="auto"/>
    </w:pPr>
    <w:rPr>
      <w:rFonts w:eastAsia="Times New Roman"/>
      <w:b/>
      <w:bCs/>
      <w:sz w:val="18"/>
      <w:szCs w:val="20"/>
      <w:lang w:eastAsia="en-US"/>
    </w:rPr>
  </w:style>
  <w:style w:type="paragraph" w:customStyle="1" w:styleId="NotesText">
    <w:name w:val="Notes Text"/>
    <w:basedOn w:val="ReferenceText"/>
    <w:rsid w:val="00700F83"/>
    <w:pPr>
      <w:spacing w:before="100" w:after="100"/>
      <w:contextualSpacing w:val="0"/>
    </w:pPr>
  </w:style>
  <w:style w:type="paragraph" w:customStyle="1" w:styleId="Default">
    <w:name w:val="Default"/>
    <w:rsid w:val="00700F83"/>
    <w:pPr>
      <w:autoSpaceDE w:val="0"/>
      <w:autoSpaceDN w:val="0"/>
      <w:adjustRightInd w:val="0"/>
      <w:spacing w:before="0" w:after="0" w:line="240" w:lineRule="auto"/>
    </w:pPr>
    <w:rPr>
      <w:rFonts w:ascii="Times New Roman" w:eastAsia="Calibri" w:hAnsi="Times New Roman"/>
      <w:color w:val="000000"/>
      <w:lang w:eastAsia="en-US"/>
    </w:rPr>
  </w:style>
  <w:style w:type="table" w:customStyle="1" w:styleId="LightShading1">
    <w:name w:val="Light Shading1"/>
    <w:basedOn w:val="TableNormal"/>
    <w:uiPriority w:val="60"/>
    <w:rsid w:val="00700F83"/>
    <w:pPr>
      <w:spacing w:before="0" w:after="0" w:line="240" w:lineRule="auto"/>
    </w:pPr>
    <w:rPr>
      <w:rFonts w:ascii="Calibri" w:eastAsia="Calibri" w:hAnsi="Calibri" w:cs="Cordia New"/>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10">
    <w:name w:val="Light Shading10"/>
    <w:basedOn w:val="TableNormal"/>
    <w:next w:val="LightShading1"/>
    <w:uiPriority w:val="60"/>
    <w:rsid w:val="00700F83"/>
    <w:pPr>
      <w:spacing w:before="0" w:after="0" w:line="240" w:lineRule="auto"/>
    </w:pPr>
    <w:rPr>
      <w:rFonts w:ascii="Calibri" w:eastAsia="Calibri" w:hAnsi="Calibri" w:cs="Cordia New"/>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21">
    <w:name w:val="Table Grid21"/>
    <w:basedOn w:val="TableNormal"/>
    <w:next w:val="TableGrid"/>
    <w:uiPriority w:val="59"/>
    <w:rsid w:val="00700F83"/>
    <w:pPr>
      <w:spacing w:before="0" w:after="0" w:line="240" w:lineRule="auto"/>
    </w:pPr>
    <w:rPr>
      <w:rFonts w:ascii="Calibri" w:eastAsia="SimSun" w:hAnsi="Calibri" w:cs="Cordia New"/>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ookTitle">
    <w:name w:val="Book Title"/>
    <w:uiPriority w:val="33"/>
    <w:qFormat/>
    <w:rsid w:val="00700F83"/>
    <w:rPr>
      <w:i/>
      <w:iCs/>
      <w:smallCaps/>
      <w:spacing w:val="5"/>
    </w:rPr>
  </w:style>
  <w:style w:type="paragraph" w:customStyle="1" w:styleId="PolicytextDept">
    <w:name w:val="Policy text Dept"/>
    <w:basedOn w:val="Normal"/>
    <w:link w:val="PolicytextDeptChar"/>
    <w:qFormat/>
    <w:rsid w:val="00700F83"/>
    <w:pPr>
      <w:pBdr>
        <w:top w:val="single" w:sz="4" w:space="1" w:color="800080"/>
        <w:left w:val="single" w:sz="4" w:space="0" w:color="800080"/>
        <w:bottom w:val="single" w:sz="4" w:space="1" w:color="800080"/>
        <w:right w:val="single" w:sz="4" w:space="0" w:color="800080"/>
      </w:pBdr>
      <w:spacing w:after="120" w:line="120" w:lineRule="atLeast"/>
    </w:pPr>
    <w:rPr>
      <w:rFonts w:eastAsia="Times New Roman" w:cs="Arial"/>
      <w:bCs/>
      <w:sz w:val="18"/>
      <w:szCs w:val="18"/>
      <w:lang w:eastAsia="en-US"/>
    </w:rPr>
  </w:style>
  <w:style w:type="character" w:customStyle="1" w:styleId="PolicytextDeptChar">
    <w:name w:val="Policy text Dept Char"/>
    <w:basedOn w:val="DefaultParagraphFont"/>
    <w:link w:val="PolicytextDept"/>
    <w:rsid w:val="00700F83"/>
    <w:rPr>
      <w:rFonts w:eastAsia="Times New Roman" w:cs="Arial"/>
      <w:bCs/>
      <w:sz w:val="18"/>
      <w:szCs w:val="18"/>
      <w:lang w:eastAsia="en-US"/>
    </w:rPr>
  </w:style>
  <w:style w:type="paragraph" w:customStyle="1" w:styleId="SectionHeading">
    <w:name w:val="Section Heading"/>
    <w:basedOn w:val="Normal"/>
    <w:link w:val="SectionHeadingChar"/>
    <w:qFormat/>
    <w:rsid w:val="00700F83"/>
    <w:pPr>
      <w:numPr>
        <w:numId w:val="20"/>
      </w:numPr>
      <w:shd w:val="clear" w:color="00CC99" w:fill="800080"/>
      <w:spacing w:after="0" w:line="260" w:lineRule="atLeast"/>
      <w:outlineLvl w:val="0"/>
    </w:pPr>
    <w:rPr>
      <w:rFonts w:ascii="Arial Bold" w:eastAsia="Times New Roman" w:hAnsi="Arial Bold"/>
      <w:b/>
      <w:color w:val="FFFFFF"/>
      <w:szCs w:val="20"/>
      <w:lang w:eastAsia="en-US"/>
    </w:rPr>
  </w:style>
  <w:style w:type="character" w:customStyle="1" w:styleId="SectionHeadingChar">
    <w:name w:val="Section Heading Char"/>
    <w:basedOn w:val="DefaultParagraphFont"/>
    <w:link w:val="SectionHeading"/>
    <w:rsid w:val="00700F83"/>
    <w:rPr>
      <w:rFonts w:ascii="Arial Bold" w:eastAsia="Times New Roman" w:hAnsi="Arial Bold"/>
      <w:b/>
      <w:color w:val="FFFFFF"/>
      <w:szCs w:val="20"/>
      <w:shd w:val="clear" w:color="00CC99" w:fill="800080"/>
      <w:lang w:eastAsia="en-US"/>
    </w:rPr>
  </w:style>
  <w:style w:type="paragraph" w:customStyle="1" w:styleId="SubHeading">
    <w:name w:val="Sub Heading"/>
    <w:basedOn w:val="SectionHeading"/>
    <w:link w:val="SubHeadingChar"/>
    <w:qFormat/>
    <w:rsid w:val="00700F83"/>
    <w:pPr>
      <w:numPr>
        <w:ilvl w:val="1"/>
        <w:numId w:val="21"/>
      </w:numPr>
      <w:shd w:val="clear" w:color="auto" w:fill="000000"/>
      <w:ind w:left="426" w:hanging="426"/>
      <w:outlineLvl w:val="1"/>
    </w:pPr>
    <w:rPr>
      <w:rFonts w:ascii="Arial" w:hAnsi="Arial" w:cs="Arial"/>
      <w:sz w:val="20"/>
    </w:rPr>
  </w:style>
  <w:style w:type="paragraph" w:customStyle="1" w:styleId="SectionHeadingDescription">
    <w:name w:val="Section Heading Description"/>
    <w:basedOn w:val="SectionHeading"/>
    <w:next w:val="SubHeading"/>
    <w:qFormat/>
    <w:rsid w:val="00700F83"/>
    <w:pPr>
      <w:numPr>
        <w:numId w:val="0"/>
      </w:numPr>
      <w:outlineLvl w:val="9"/>
    </w:pPr>
    <w:rPr>
      <w:rFonts w:ascii="Arial" w:hAnsi="Arial"/>
      <w:b w:val="0"/>
      <w:sz w:val="18"/>
      <w:szCs w:val="18"/>
    </w:rPr>
  </w:style>
  <w:style w:type="character" w:customStyle="1" w:styleId="SubHeadingChar">
    <w:name w:val="Sub Heading Char"/>
    <w:basedOn w:val="DefaultParagraphFont"/>
    <w:link w:val="SubHeading"/>
    <w:rsid w:val="00700F83"/>
    <w:rPr>
      <w:rFonts w:eastAsia="Times New Roman" w:cs="Arial"/>
      <w:b/>
      <w:color w:val="FFFFFF"/>
      <w:sz w:val="20"/>
      <w:szCs w:val="20"/>
      <w:shd w:val="clear" w:color="auto" w:fill="000000"/>
      <w:lang w:eastAsia="en-US"/>
    </w:rPr>
  </w:style>
  <w:style w:type="paragraph" w:customStyle="1" w:styleId="AccountingPolicy-Departmental">
    <w:name w:val="Accounting Policy - Departmental"/>
    <w:basedOn w:val="Normal"/>
    <w:qFormat/>
    <w:rsid w:val="00700F83"/>
    <w:pPr>
      <w:pBdr>
        <w:top w:val="single" w:sz="4" w:space="1" w:color="800080"/>
        <w:left w:val="single" w:sz="4" w:space="4" w:color="800080"/>
        <w:bottom w:val="single" w:sz="4" w:space="1" w:color="800080"/>
        <w:right w:val="single" w:sz="4" w:space="4" w:color="800080"/>
      </w:pBdr>
      <w:spacing w:after="20" w:line="260" w:lineRule="atLeast"/>
      <w:ind w:left="85" w:right="142"/>
      <w:outlineLvl w:val="0"/>
    </w:pPr>
    <w:rPr>
      <w:rFonts w:eastAsia="Times New Roman" w:cs="Helvetica"/>
      <w:sz w:val="18"/>
      <w:szCs w:val="18"/>
      <w:lang w:eastAsia="en-US"/>
    </w:rPr>
  </w:style>
  <w:style w:type="paragraph" w:customStyle="1" w:styleId="SectionHeading-NoNumber">
    <w:name w:val="Section Heading - No Number"/>
    <w:basedOn w:val="SectionHeading"/>
    <w:link w:val="SectionHeading-NoNumberChar"/>
    <w:qFormat/>
    <w:rsid w:val="00700F83"/>
    <w:pPr>
      <w:numPr>
        <w:numId w:val="0"/>
      </w:numPr>
      <w:shd w:val="clear" w:color="auto" w:fill="800080"/>
      <w:tabs>
        <w:tab w:val="right" w:pos="9072"/>
      </w:tabs>
    </w:pPr>
  </w:style>
  <w:style w:type="character" w:customStyle="1" w:styleId="SectionHeading-NoNumberChar">
    <w:name w:val="Section Heading - No Number Char"/>
    <w:basedOn w:val="SectionHeadingChar"/>
    <w:link w:val="SectionHeading-NoNumber"/>
    <w:rsid w:val="00700F83"/>
    <w:rPr>
      <w:rFonts w:ascii="Arial Bold" w:eastAsia="Times New Roman" w:hAnsi="Arial Bold"/>
      <w:b/>
      <w:color w:val="FFFFFF"/>
      <w:szCs w:val="20"/>
      <w:shd w:val="clear" w:color="auto" w:fill="800080"/>
      <w:lang w:eastAsia="en-US"/>
    </w:rPr>
  </w:style>
  <w:style w:type="paragraph" w:customStyle="1" w:styleId="Dash">
    <w:name w:val="Dash"/>
    <w:basedOn w:val="Normal"/>
    <w:rsid w:val="00700F83"/>
    <w:pPr>
      <w:spacing w:line="240" w:lineRule="auto"/>
    </w:pPr>
    <w:rPr>
      <w:rFonts w:ascii="Times New Roman" w:eastAsia="Times New Roman" w:hAnsi="Times New Roman"/>
      <w:lang w:eastAsia="en-US"/>
    </w:rPr>
  </w:style>
  <w:style w:type="character" w:customStyle="1" w:styleId="ms-rtefontsize-3">
    <w:name w:val="ms-rtefontsize-3"/>
    <w:basedOn w:val="DefaultParagraphFont"/>
    <w:rsid w:val="00700F83"/>
  </w:style>
  <w:style w:type="character" w:styleId="Strong">
    <w:name w:val="Strong"/>
    <w:basedOn w:val="DefaultParagraphFont"/>
    <w:uiPriority w:val="22"/>
    <w:qFormat/>
    <w:rsid w:val="00700F83"/>
    <w:rPr>
      <w:b/>
      <w:bCs/>
    </w:rPr>
  </w:style>
  <w:style w:type="character" w:customStyle="1" w:styleId="ui-provider">
    <w:name w:val="ui-provider"/>
    <w:basedOn w:val="DefaultParagraphFont"/>
    <w:rsid w:val="00700F83"/>
  </w:style>
  <w:style w:type="paragraph" w:customStyle="1" w:styleId="CEOBrief-Heading1">
    <w:name w:val="CEO Brief - Heading 1"/>
    <w:basedOn w:val="ListParagraph"/>
    <w:qFormat/>
    <w:rsid w:val="00700F83"/>
    <w:pPr>
      <w:numPr>
        <w:numId w:val="22"/>
      </w:numPr>
      <w:tabs>
        <w:tab w:val="num" w:pos="360"/>
      </w:tabs>
      <w:spacing w:before="120" w:after="120" w:line="240" w:lineRule="auto"/>
      <w:ind w:left="720" w:firstLine="0"/>
      <w:contextualSpacing w:val="0"/>
    </w:pPr>
    <w:rPr>
      <w:rFonts w:eastAsia="Times New Roman" w:cs="Arial"/>
      <w:b/>
      <w:color w:val="6B2F76"/>
      <w:sz w:val="22"/>
      <w:szCs w:val="22"/>
      <w:lang w:eastAsia="en-US"/>
    </w:rPr>
  </w:style>
  <w:style w:type="character" w:customStyle="1" w:styleId="CEOBrief-Paragraph1Char">
    <w:name w:val="CEO Brief - Paragraph 1 Char"/>
    <w:basedOn w:val="DefaultParagraphFont"/>
    <w:link w:val="CEOBrief-Paragraph1"/>
    <w:locked/>
    <w:rsid w:val="00700F83"/>
    <w:rPr>
      <w:rFonts w:cs="Arial"/>
      <w:sz w:val="22"/>
      <w:szCs w:val="22"/>
      <w:lang w:eastAsia="en-US"/>
    </w:rPr>
  </w:style>
  <w:style w:type="paragraph" w:customStyle="1" w:styleId="CEOBrief-Paragraph1">
    <w:name w:val="CEO Brief - Paragraph 1"/>
    <w:basedOn w:val="ListParagraph"/>
    <w:link w:val="CEOBrief-Paragraph1Char"/>
    <w:qFormat/>
    <w:rsid w:val="00700F83"/>
    <w:pPr>
      <w:numPr>
        <w:ilvl w:val="1"/>
        <w:numId w:val="22"/>
      </w:numPr>
      <w:spacing w:before="120" w:after="120" w:line="240" w:lineRule="auto"/>
      <w:contextualSpacing w:val="0"/>
    </w:pPr>
    <w:rPr>
      <w:rFonts w:cs="Arial"/>
      <w:sz w:val="22"/>
      <w:szCs w:val="22"/>
      <w:lang w:eastAsia="en-US"/>
    </w:rPr>
  </w:style>
  <w:style w:type="paragraph" w:customStyle="1" w:styleId="CEOBrief-Paragraph2">
    <w:name w:val="CEO Brief - Paragraph 2"/>
    <w:basedOn w:val="CEOBrief-Paragraph1"/>
    <w:qFormat/>
    <w:rsid w:val="00700F83"/>
    <w:pPr>
      <w:numPr>
        <w:ilvl w:val="2"/>
      </w:numPr>
      <w:tabs>
        <w:tab w:val="num" w:pos="360"/>
        <w:tab w:val="num" w:pos="1080"/>
      </w:tabs>
      <w:ind w:left="1224" w:hanging="720"/>
    </w:pPr>
  </w:style>
  <w:style w:type="table" w:styleId="ListTable4-Accent1">
    <w:name w:val="List Table 4 Accent 1"/>
    <w:basedOn w:val="TableNormal"/>
    <w:uiPriority w:val="49"/>
    <w:rsid w:val="00042217"/>
    <w:pPr>
      <w:spacing w:after="0" w:line="240" w:lineRule="auto"/>
    </w:pPr>
    <w:tblPr>
      <w:tblStyleRowBandSize w:val="1"/>
      <w:tblStyleColBandSize w:val="1"/>
      <w:tblBorders>
        <w:top w:val="single" w:sz="4" w:space="0" w:color="BA61C9" w:themeColor="accent1" w:themeTint="99"/>
        <w:left w:val="single" w:sz="4" w:space="0" w:color="BA61C9" w:themeColor="accent1" w:themeTint="99"/>
        <w:bottom w:val="single" w:sz="4" w:space="0" w:color="BA61C9" w:themeColor="accent1" w:themeTint="99"/>
        <w:right w:val="single" w:sz="4" w:space="0" w:color="BA61C9" w:themeColor="accent1" w:themeTint="99"/>
        <w:insideH w:val="single" w:sz="4" w:space="0" w:color="BA61C9" w:themeColor="accent1" w:themeTint="99"/>
      </w:tblBorders>
    </w:tblPr>
    <w:tblStylePr w:type="firstRow">
      <w:rPr>
        <w:b/>
        <w:bCs/>
        <w:color w:val="F9F9F9" w:themeColor="background1"/>
      </w:rPr>
      <w:tblPr/>
      <w:tcPr>
        <w:tcBorders>
          <w:top w:val="single" w:sz="4" w:space="0" w:color="6B2876" w:themeColor="accent1"/>
          <w:left w:val="single" w:sz="4" w:space="0" w:color="6B2876" w:themeColor="accent1"/>
          <w:bottom w:val="single" w:sz="4" w:space="0" w:color="6B2876" w:themeColor="accent1"/>
          <w:right w:val="single" w:sz="4" w:space="0" w:color="6B2876" w:themeColor="accent1"/>
          <w:insideH w:val="nil"/>
        </w:tcBorders>
        <w:shd w:val="clear" w:color="auto" w:fill="6B2876" w:themeFill="accent1"/>
      </w:tcPr>
    </w:tblStylePr>
    <w:tblStylePr w:type="lastRow">
      <w:rPr>
        <w:b/>
        <w:bCs/>
      </w:rPr>
      <w:tblPr/>
      <w:tcPr>
        <w:tcBorders>
          <w:top w:val="double" w:sz="4" w:space="0" w:color="BA61C9" w:themeColor="accent1" w:themeTint="99"/>
        </w:tcBorders>
      </w:tcPr>
    </w:tblStylePr>
    <w:tblStylePr w:type="firstCol">
      <w:rPr>
        <w:b/>
        <w:bCs/>
      </w:rPr>
    </w:tblStylePr>
    <w:tblStylePr w:type="lastCol">
      <w:rPr>
        <w:b/>
        <w:bCs/>
      </w:rPr>
    </w:tblStylePr>
    <w:tblStylePr w:type="band1Vert">
      <w:tblPr/>
      <w:tcPr>
        <w:shd w:val="clear" w:color="auto" w:fill="E8CAED" w:themeFill="accent1" w:themeFillTint="33"/>
      </w:tcPr>
    </w:tblStylePr>
    <w:tblStylePr w:type="band1Horz">
      <w:tblPr/>
      <w:tcPr>
        <w:shd w:val="clear" w:color="auto" w:fill="E8CAED" w:themeFill="accent1" w:themeFillTint="33"/>
      </w:tcPr>
    </w:tblStylePr>
  </w:style>
  <w:style w:type="table" w:customStyle="1" w:styleId="GridTable41">
    <w:name w:val="Grid Table 41"/>
    <w:basedOn w:val="TableNormal"/>
    <w:next w:val="GridTable4"/>
    <w:uiPriority w:val="49"/>
    <w:rsid w:val="00205DF7"/>
    <w:pPr>
      <w:spacing w:line="240" w:lineRule="auto"/>
    </w:pPr>
    <w:rPr>
      <w:rFonts w:eastAsia="Arial" w:cs="Cordia New"/>
      <w:sz w:val="22"/>
      <w:szCs w:val="22"/>
      <w:lang w:eastAsia="en-US"/>
    </w:rPr>
    <w:tblPr>
      <w:tblStyleRowBandSize w:val="1"/>
      <w:tblStyleColBandSize w:val="1"/>
      <w:tblInd w:w="0" w:type="nil"/>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GridTable42">
    <w:name w:val="Grid Table 42"/>
    <w:basedOn w:val="TableNormal"/>
    <w:next w:val="GridTable4"/>
    <w:uiPriority w:val="49"/>
    <w:rsid w:val="00151415"/>
    <w:pPr>
      <w:spacing w:line="240" w:lineRule="auto"/>
    </w:pPr>
    <w:rPr>
      <w:rFonts w:eastAsia="Arial" w:cs="Cordia New"/>
      <w:sz w:val="22"/>
      <w:szCs w:val="22"/>
      <w:lang w:eastAsia="en-US"/>
    </w:rPr>
    <w:tblPr>
      <w:tblStyleRowBandSize w:val="1"/>
      <w:tblStyleColBandSize w:val="1"/>
      <w:tblInd w:w="0" w:type="nil"/>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table" w:customStyle="1" w:styleId="GridTable43">
    <w:name w:val="Grid Table 43"/>
    <w:basedOn w:val="TableNormal"/>
    <w:next w:val="GridTable4"/>
    <w:uiPriority w:val="49"/>
    <w:rsid w:val="00114CBA"/>
    <w:pPr>
      <w:spacing w:line="240" w:lineRule="auto"/>
    </w:pPr>
    <w:rPr>
      <w:rFonts w:eastAsia="Arial" w:cs="Cordia New"/>
      <w:sz w:val="22"/>
      <w:szCs w:val="22"/>
      <w:lang w:eastAsia="en-US"/>
    </w:rPr>
    <w:tblPr>
      <w:tblStyleRowBandSize w:val="1"/>
      <w:tblStyleColBandSize w:val="1"/>
      <w:tblInd w:w="0" w:type="nil"/>
      <w:tbl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6B2876" w:themeColor="text1"/>
        <w:insideV w:val="single" w:sz="4" w:space="0" w:color="6B2876" w:themeColor="text1"/>
      </w:tblBorders>
    </w:tblPr>
    <w:tblStylePr w:type="firstRow">
      <w:rPr>
        <w:b/>
        <w:bCs/>
        <w:color w:val="F9F9F9" w:themeColor="background1"/>
      </w:rPr>
      <w:tblPr/>
      <w:tcPr>
        <w:tcBorders>
          <w:top w:val="nil"/>
          <w:left w:val="single" w:sz="4" w:space="0" w:color="6B2876" w:themeColor="text1"/>
          <w:bottom w:val="nil"/>
          <w:right w:val="nil"/>
          <w:insideH w:val="single" w:sz="4" w:space="0" w:color="F9F9F9" w:themeColor="background1"/>
          <w:insideV w:val="single" w:sz="4" w:space="0" w:color="F9F9F9" w:themeColor="background1"/>
          <w:tl2br w:val="nil"/>
          <w:tr2bl w:val="nil"/>
        </w:tcBorders>
        <w:shd w:val="clear" w:color="auto" w:fill="6B2876" w:themeFill="text1"/>
      </w:tcPr>
    </w:tblStylePr>
    <w:tblStylePr w:type="lastRow">
      <w:rPr>
        <w:b/>
        <w:bCs/>
      </w:rPr>
      <w:tblPr/>
      <w:tcPr>
        <w:tcBorders>
          <w:top w:val="double" w:sz="4" w:space="0" w:color="6B2876" w:themeColor="text1"/>
          <w:bottom w:val="nil"/>
        </w:tcBorders>
      </w:tcPr>
    </w:tblStylePr>
    <w:tblStylePr w:type="firstCol">
      <w:rPr>
        <w:b/>
        <w:bCs/>
        <w:color w:val="F9F9F9" w:themeColor="background1"/>
      </w:rPr>
      <w:tblPr/>
      <w:tcPr>
        <w:tcBorders>
          <w:top w:val="single" w:sz="4" w:space="0" w:color="6B2876" w:themeColor="text1"/>
          <w:left w:val="single" w:sz="4" w:space="0" w:color="6B2876" w:themeColor="text1"/>
          <w:bottom w:val="single" w:sz="4" w:space="0" w:color="6B2876" w:themeColor="text1"/>
          <w:right w:val="single" w:sz="4" w:space="0" w:color="6B2876" w:themeColor="text1"/>
          <w:insideH w:val="single" w:sz="4" w:space="0" w:color="F9F9F9" w:themeColor="background1"/>
          <w:insideV w:val="single" w:sz="4" w:space="0" w:color="F9F9F9" w:themeColor="background1"/>
          <w:tl2br w:val="nil"/>
          <w:tr2bl w:val="nil"/>
        </w:tcBorders>
        <w:shd w:val="clear" w:color="auto" w:fill="6B2876" w:themeFill="text1"/>
      </w:tcPr>
    </w:tblStylePr>
    <w:tblStylePr w:type="lastCol">
      <w:rPr>
        <w:b/>
        <w:bCs/>
      </w:rPr>
    </w:tblStylePr>
    <w:tblStylePr w:type="band1Vert">
      <w:tblPr/>
      <w:tcPr>
        <w:shd w:val="clear" w:color="auto" w:fill="F7EEF7"/>
      </w:tcPr>
    </w:tblStylePr>
    <w:tblStylePr w:type="band1Horz">
      <w:tblPr/>
      <w:tcPr>
        <w:shd w:val="clear" w:color="auto" w:fill="F7EEF7"/>
      </w:tcPr>
    </w:tblStylePr>
  </w:style>
  <w:style w:type="paragraph" w:customStyle="1" w:styleId="Financialstatementbulletpoint">
    <w:name w:val="Financial statement bullet point"/>
    <w:basedOn w:val="Normal"/>
    <w:link w:val="FinancialstatementbulletpointChar"/>
    <w:qFormat/>
    <w:rsid w:val="00810639"/>
    <w:pPr>
      <w:numPr>
        <w:numId w:val="23"/>
      </w:numPr>
      <w:spacing w:before="120" w:after="120" w:line="260" w:lineRule="atLeast"/>
      <w:ind w:left="714" w:hanging="357"/>
    </w:pPr>
    <w:rPr>
      <w:rFonts w:eastAsia="Times New Roman" w:cs="Arial"/>
      <w:bCs/>
      <w:sz w:val="18"/>
      <w:szCs w:val="18"/>
      <w:lang w:eastAsia="en-US"/>
    </w:rPr>
  </w:style>
  <w:style w:type="character" w:customStyle="1" w:styleId="FinancialstatementbulletpointChar">
    <w:name w:val="Financial statement bullet point Char"/>
    <w:basedOn w:val="DefaultParagraphFont"/>
    <w:link w:val="Financialstatementbulletpoint"/>
    <w:rsid w:val="00810639"/>
    <w:rPr>
      <w:rFonts w:eastAsia="Times New Roman" w:cs="Arial"/>
      <w:bCs/>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1694">
      <w:bodyDiv w:val="1"/>
      <w:marLeft w:val="0"/>
      <w:marRight w:val="0"/>
      <w:marTop w:val="0"/>
      <w:marBottom w:val="0"/>
      <w:divBdr>
        <w:top w:val="none" w:sz="0" w:space="0" w:color="auto"/>
        <w:left w:val="none" w:sz="0" w:space="0" w:color="auto"/>
        <w:bottom w:val="none" w:sz="0" w:space="0" w:color="auto"/>
        <w:right w:val="none" w:sz="0" w:space="0" w:color="auto"/>
      </w:divBdr>
    </w:div>
    <w:div w:id="8258160">
      <w:bodyDiv w:val="1"/>
      <w:marLeft w:val="0"/>
      <w:marRight w:val="0"/>
      <w:marTop w:val="0"/>
      <w:marBottom w:val="0"/>
      <w:divBdr>
        <w:top w:val="none" w:sz="0" w:space="0" w:color="auto"/>
        <w:left w:val="none" w:sz="0" w:space="0" w:color="auto"/>
        <w:bottom w:val="none" w:sz="0" w:space="0" w:color="auto"/>
        <w:right w:val="none" w:sz="0" w:space="0" w:color="auto"/>
      </w:divBdr>
    </w:div>
    <w:div w:id="48960728">
      <w:bodyDiv w:val="1"/>
      <w:marLeft w:val="0"/>
      <w:marRight w:val="0"/>
      <w:marTop w:val="0"/>
      <w:marBottom w:val="0"/>
      <w:divBdr>
        <w:top w:val="none" w:sz="0" w:space="0" w:color="auto"/>
        <w:left w:val="none" w:sz="0" w:space="0" w:color="auto"/>
        <w:bottom w:val="none" w:sz="0" w:space="0" w:color="auto"/>
        <w:right w:val="none" w:sz="0" w:space="0" w:color="auto"/>
      </w:divBdr>
    </w:div>
    <w:div w:id="85347119">
      <w:bodyDiv w:val="1"/>
      <w:marLeft w:val="0"/>
      <w:marRight w:val="0"/>
      <w:marTop w:val="0"/>
      <w:marBottom w:val="0"/>
      <w:divBdr>
        <w:top w:val="none" w:sz="0" w:space="0" w:color="auto"/>
        <w:left w:val="none" w:sz="0" w:space="0" w:color="auto"/>
        <w:bottom w:val="none" w:sz="0" w:space="0" w:color="auto"/>
        <w:right w:val="none" w:sz="0" w:space="0" w:color="auto"/>
      </w:divBdr>
    </w:div>
    <w:div w:id="116531915">
      <w:bodyDiv w:val="1"/>
      <w:marLeft w:val="0"/>
      <w:marRight w:val="0"/>
      <w:marTop w:val="0"/>
      <w:marBottom w:val="0"/>
      <w:divBdr>
        <w:top w:val="none" w:sz="0" w:space="0" w:color="auto"/>
        <w:left w:val="none" w:sz="0" w:space="0" w:color="auto"/>
        <w:bottom w:val="none" w:sz="0" w:space="0" w:color="auto"/>
        <w:right w:val="none" w:sz="0" w:space="0" w:color="auto"/>
      </w:divBdr>
    </w:div>
    <w:div w:id="122385222">
      <w:bodyDiv w:val="1"/>
      <w:marLeft w:val="0"/>
      <w:marRight w:val="0"/>
      <w:marTop w:val="0"/>
      <w:marBottom w:val="0"/>
      <w:divBdr>
        <w:top w:val="none" w:sz="0" w:space="0" w:color="auto"/>
        <w:left w:val="none" w:sz="0" w:space="0" w:color="auto"/>
        <w:bottom w:val="none" w:sz="0" w:space="0" w:color="auto"/>
        <w:right w:val="none" w:sz="0" w:space="0" w:color="auto"/>
      </w:divBdr>
    </w:div>
    <w:div w:id="143744041">
      <w:bodyDiv w:val="1"/>
      <w:marLeft w:val="0"/>
      <w:marRight w:val="0"/>
      <w:marTop w:val="0"/>
      <w:marBottom w:val="0"/>
      <w:divBdr>
        <w:top w:val="none" w:sz="0" w:space="0" w:color="auto"/>
        <w:left w:val="none" w:sz="0" w:space="0" w:color="auto"/>
        <w:bottom w:val="none" w:sz="0" w:space="0" w:color="auto"/>
        <w:right w:val="none" w:sz="0" w:space="0" w:color="auto"/>
      </w:divBdr>
    </w:div>
    <w:div w:id="159584529">
      <w:bodyDiv w:val="1"/>
      <w:marLeft w:val="0"/>
      <w:marRight w:val="0"/>
      <w:marTop w:val="0"/>
      <w:marBottom w:val="0"/>
      <w:divBdr>
        <w:top w:val="none" w:sz="0" w:space="0" w:color="auto"/>
        <w:left w:val="none" w:sz="0" w:space="0" w:color="auto"/>
        <w:bottom w:val="none" w:sz="0" w:space="0" w:color="auto"/>
        <w:right w:val="none" w:sz="0" w:space="0" w:color="auto"/>
      </w:divBdr>
    </w:div>
    <w:div w:id="180970597">
      <w:bodyDiv w:val="1"/>
      <w:marLeft w:val="0"/>
      <w:marRight w:val="0"/>
      <w:marTop w:val="0"/>
      <w:marBottom w:val="0"/>
      <w:divBdr>
        <w:top w:val="none" w:sz="0" w:space="0" w:color="auto"/>
        <w:left w:val="none" w:sz="0" w:space="0" w:color="auto"/>
        <w:bottom w:val="none" w:sz="0" w:space="0" w:color="auto"/>
        <w:right w:val="none" w:sz="0" w:space="0" w:color="auto"/>
      </w:divBdr>
    </w:div>
    <w:div w:id="196967608">
      <w:bodyDiv w:val="1"/>
      <w:marLeft w:val="0"/>
      <w:marRight w:val="0"/>
      <w:marTop w:val="0"/>
      <w:marBottom w:val="0"/>
      <w:divBdr>
        <w:top w:val="none" w:sz="0" w:space="0" w:color="auto"/>
        <w:left w:val="none" w:sz="0" w:space="0" w:color="auto"/>
        <w:bottom w:val="none" w:sz="0" w:space="0" w:color="auto"/>
        <w:right w:val="none" w:sz="0" w:space="0" w:color="auto"/>
      </w:divBdr>
    </w:div>
    <w:div w:id="238561619">
      <w:bodyDiv w:val="1"/>
      <w:marLeft w:val="0"/>
      <w:marRight w:val="0"/>
      <w:marTop w:val="0"/>
      <w:marBottom w:val="0"/>
      <w:divBdr>
        <w:top w:val="none" w:sz="0" w:space="0" w:color="auto"/>
        <w:left w:val="none" w:sz="0" w:space="0" w:color="auto"/>
        <w:bottom w:val="none" w:sz="0" w:space="0" w:color="auto"/>
        <w:right w:val="none" w:sz="0" w:space="0" w:color="auto"/>
      </w:divBdr>
    </w:div>
    <w:div w:id="275254932">
      <w:bodyDiv w:val="1"/>
      <w:marLeft w:val="0"/>
      <w:marRight w:val="0"/>
      <w:marTop w:val="0"/>
      <w:marBottom w:val="0"/>
      <w:divBdr>
        <w:top w:val="none" w:sz="0" w:space="0" w:color="auto"/>
        <w:left w:val="none" w:sz="0" w:space="0" w:color="auto"/>
        <w:bottom w:val="none" w:sz="0" w:space="0" w:color="auto"/>
        <w:right w:val="none" w:sz="0" w:space="0" w:color="auto"/>
      </w:divBdr>
    </w:div>
    <w:div w:id="357394475">
      <w:bodyDiv w:val="1"/>
      <w:marLeft w:val="0"/>
      <w:marRight w:val="0"/>
      <w:marTop w:val="0"/>
      <w:marBottom w:val="0"/>
      <w:divBdr>
        <w:top w:val="none" w:sz="0" w:space="0" w:color="auto"/>
        <w:left w:val="none" w:sz="0" w:space="0" w:color="auto"/>
        <w:bottom w:val="none" w:sz="0" w:space="0" w:color="auto"/>
        <w:right w:val="none" w:sz="0" w:space="0" w:color="auto"/>
      </w:divBdr>
    </w:div>
    <w:div w:id="405686261">
      <w:bodyDiv w:val="1"/>
      <w:marLeft w:val="0"/>
      <w:marRight w:val="0"/>
      <w:marTop w:val="0"/>
      <w:marBottom w:val="0"/>
      <w:divBdr>
        <w:top w:val="none" w:sz="0" w:space="0" w:color="auto"/>
        <w:left w:val="none" w:sz="0" w:space="0" w:color="auto"/>
        <w:bottom w:val="none" w:sz="0" w:space="0" w:color="auto"/>
        <w:right w:val="none" w:sz="0" w:space="0" w:color="auto"/>
      </w:divBdr>
    </w:div>
    <w:div w:id="413093659">
      <w:bodyDiv w:val="1"/>
      <w:marLeft w:val="0"/>
      <w:marRight w:val="0"/>
      <w:marTop w:val="0"/>
      <w:marBottom w:val="0"/>
      <w:divBdr>
        <w:top w:val="none" w:sz="0" w:space="0" w:color="auto"/>
        <w:left w:val="none" w:sz="0" w:space="0" w:color="auto"/>
        <w:bottom w:val="none" w:sz="0" w:space="0" w:color="auto"/>
        <w:right w:val="none" w:sz="0" w:space="0" w:color="auto"/>
      </w:divBdr>
    </w:div>
    <w:div w:id="474765286">
      <w:bodyDiv w:val="1"/>
      <w:marLeft w:val="0"/>
      <w:marRight w:val="0"/>
      <w:marTop w:val="0"/>
      <w:marBottom w:val="0"/>
      <w:divBdr>
        <w:top w:val="none" w:sz="0" w:space="0" w:color="auto"/>
        <w:left w:val="none" w:sz="0" w:space="0" w:color="auto"/>
        <w:bottom w:val="none" w:sz="0" w:space="0" w:color="auto"/>
        <w:right w:val="none" w:sz="0" w:space="0" w:color="auto"/>
      </w:divBdr>
    </w:div>
    <w:div w:id="484781315">
      <w:bodyDiv w:val="1"/>
      <w:marLeft w:val="0"/>
      <w:marRight w:val="0"/>
      <w:marTop w:val="0"/>
      <w:marBottom w:val="0"/>
      <w:divBdr>
        <w:top w:val="none" w:sz="0" w:space="0" w:color="auto"/>
        <w:left w:val="none" w:sz="0" w:space="0" w:color="auto"/>
        <w:bottom w:val="none" w:sz="0" w:space="0" w:color="auto"/>
        <w:right w:val="none" w:sz="0" w:space="0" w:color="auto"/>
      </w:divBdr>
    </w:div>
    <w:div w:id="526020094">
      <w:bodyDiv w:val="1"/>
      <w:marLeft w:val="0"/>
      <w:marRight w:val="0"/>
      <w:marTop w:val="0"/>
      <w:marBottom w:val="0"/>
      <w:divBdr>
        <w:top w:val="none" w:sz="0" w:space="0" w:color="auto"/>
        <w:left w:val="none" w:sz="0" w:space="0" w:color="auto"/>
        <w:bottom w:val="none" w:sz="0" w:space="0" w:color="auto"/>
        <w:right w:val="none" w:sz="0" w:space="0" w:color="auto"/>
      </w:divBdr>
    </w:div>
    <w:div w:id="531723293">
      <w:bodyDiv w:val="1"/>
      <w:marLeft w:val="0"/>
      <w:marRight w:val="0"/>
      <w:marTop w:val="0"/>
      <w:marBottom w:val="0"/>
      <w:divBdr>
        <w:top w:val="none" w:sz="0" w:space="0" w:color="auto"/>
        <w:left w:val="none" w:sz="0" w:space="0" w:color="auto"/>
        <w:bottom w:val="none" w:sz="0" w:space="0" w:color="auto"/>
        <w:right w:val="none" w:sz="0" w:space="0" w:color="auto"/>
      </w:divBdr>
    </w:div>
    <w:div w:id="617493230">
      <w:bodyDiv w:val="1"/>
      <w:marLeft w:val="0"/>
      <w:marRight w:val="0"/>
      <w:marTop w:val="0"/>
      <w:marBottom w:val="0"/>
      <w:divBdr>
        <w:top w:val="none" w:sz="0" w:space="0" w:color="auto"/>
        <w:left w:val="none" w:sz="0" w:space="0" w:color="auto"/>
        <w:bottom w:val="none" w:sz="0" w:space="0" w:color="auto"/>
        <w:right w:val="none" w:sz="0" w:space="0" w:color="auto"/>
      </w:divBdr>
    </w:div>
    <w:div w:id="671226627">
      <w:bodyDiv w:val="1"/>
      <w:marLeft w:val="0"/>
      <w:marRight w:val="0"/>
      <w:marTop w:val="0"/>
      <w:marBottom w:val="0"/>
      <w:divBdr>
        <w:top w:val="none" w:sz="0" w:space="0" w:color="auto"/>
        <w:left w:val="none" w:sz="0" w:space="0" w:color="auto"/>
        <w:bottom w:val="none" w:sz="0" w:space="0" w:color="auto"/>
        <w:right w:val="none" w:sz="0" w:space="0" w:color="auto"/>
      </w:divBdr>
    </w:div>
    <w:div w:id="748770521">
      <w:bodyDiv w:val="1"/>
      <w:marLeft w:val="0"/>
      <w:marRight w:val="0"/>
      <w:marTop w:val="0"/>
      <w:marBottom w:val="0"/>
      <w:divBdr>
        <w:top w:val="none" w:sz="0" w:space="0" w:color="auto"/>
        <w:left w:val="none" w:sz="0" w:space="0" w:color="auto"/>
        <w:bottom w:val="none" w:sz="0" w:space="0" w:color="auto"/>
        <w:right w:val="none" w:sz="0" w:space="0" w:color="auto"/>
      </w:divBdr>
    </w:div>
    <w:div w:id="775254061">
      <w:bodyDiv w:val="1"/>
      <w:marLeft w:val="0"/>
      <w:marRight w:val="0"/>
      <w:marTop w:val="0"/>
      <w:marBottom w:val="0"/>
      <w:divBdr>
        <w:top w:val="none" w:sz="0" w:space="0" w:color="auto"/>
        <w:left w:val="none" w:sz="0" w:space="0" w:color="auto"/>
        <w:bottom w:val="none" w:sz="0" w:space="0" w:color="auto"/>
        <w:right w:val="none" w:sz="0" w:space="0" w:color="auto"/>
      </w:divBdr>
    </w:div>
    <w:div w:id="799153564">
      <w:bodyDiv w:val="1"/>
      <w:marLeft w:val="0"/>
      <w:marRight w:val="0"/>
      <w:marTop w:val="0"/>
      <w:marBottom w:val="0"/>
      <w:divBdr>
        <w:top w:val="none" w:sz="0" w:space="0" w:color="auto"/>
        <w:left w:val="none" w:sz="0" w:space="0" w:color="auto"/>
        <w:bottom w:val="none" w:sz="0" w:space="0" w:color="auto"/>
        <w:right w:val="none" w:sz="0" w:space="0" w:color="auto"/>
      </w:divBdr>
    </w:div>
    <w:div w:id="799611433">
      <w:bodyDiv w:val="1"/>
      <w:marLeft w:val="0"/>
      <w:marRight w:val="0"/>
      <w:marTop w:val="0"/>
      <w:marBottom w:val="0"/>
      <w:divBdr>
        <w:top w:val="none" w:sz="0" w:space="0" w:color="auto"/>
        <w:left w:val="none" w:sz="0" w:space="0" w:color="auto"/>
        <w:bottom w:val="none" w:sz="0" w:space="0" w:color="auto"/>
        <w:right w:val="none" w:sz="0" w:space="0" w:color="auto"/>
      </w:divBdr>
    </w:div>
    <w:div w:id="821119745">
      <w:bodyDiv w:val="1"/>
      <w:marLeft w:val="0"/>
      <w:marRight w:val="0"/>
      <w:marTop w:val="0"/>
      <w:marBottom w:val="0"/>
      <w:divBdr>
        <w:top w:val="none" w:sz="0" w:space="0" w:color="auto"/>
        <w:left w:val="none" w:sz="0" w:space="0" w:color="auto"/>
        <w:bottom w:val="none" w:sz="0" w:space="0" w:color="auto"/>
        <w:right w:val="none" w:sz="0" w:space="0" w:color="auto"/>
      </w:divBdr>
      <w:divsChild>
        <w:div w:id="668947970">
          <w:marLeft w:val="0"/>
          <w:marRight w:val="0"/>
          <w:marTop w:val="0"/>
          <w:marBottom w:val="0"/>
          <w:divBdr>
            <w:top w:val="none" w:sz="0" w:space="0" w:color="auto"/>
            <w:left w:val="none" w:sz="0" w:space="0" w:color="auto"/>
            <w:bottom w:val="none" w:sz="0" w:space="0" w:color="auto"/>
            <w:right w:val="none" w:sz="0" w:space="0" w:color="auto"/>
          </w:divBdr>
          <w:divsChild>
            <w:div w:id="869495730">
              <w:marLeft w:val="0"/>
              <w:marRight w:val="0"/>
              <w:marTop w:val="0"/>
              <w:marBottom w:val="0"/>
              <w:divBdr>
                <w:top w:val="none" w:sz="0" w:space="0" w:color="auto"/>
                <w:left w:val="none" w:sz="0" w:space="0" w:color="auto"/>
                <w:bottom w:val="none" w:sz="0" w:space="0" w:color="auto"/>
                <w:right w:val="none" w:sz="0" w:space="0" w:color="auto"/>
              </w:divBdr>
              <w:divsChild>
                <w:div w:id="1879776626">
                  <w:marLeft w:val="0"/>
                  <w:marRight w:val="0"/>
                  <w:marTop w:val="0"/>
                  <w:marBottom w:val="0"/>
                  <w:divBdr>
                    <w:top w:val="none" w:sz="0" w:space="0" w:color="auto"/>
                    <w:left w:val="none" w:sz="0" w:space="0" w:color="auto"/>
                    <w:bottom w:val="none" w:sz="0" w:space="0" w:color="auto"/>
                    <w:right w:val="none" w:sz="0" w:space="0" w:color="auto"/>
                  </w:divBdr>
                  <w:divsChild>
                    <w:div w:id="1290090192">
                      <w:marLeft w:val="0"/>
                      <w:marRight w:val="0"/>
                      <w:marTop w:val="0"/>
                      <w:marBottom w:val="0"/>
                      <w:divBdr>
                        <w:top w:val="none" w:sz="0" w:space="0" w:color="auto"/>
                        <w:left w:val="none" w:sz="0" w:space="0" w:color="auto"/>
                        <w:bottom w:val="none" w:sz="0" w:space="0" w:color="auto"/>
                        <w:right w:val="none" w:sz="0" w:space="0" w:color="auto"/>
                      </w:divBdr>
                      <w:divsChild>
                        <w:div w:id="1778208205">
                          <w:marLeft w:val="0"/>
                          <w:marRight w:val="0"/>
                          <w:marTop w:val="0"/>
                          <w:marBottom w:val="0"/>
                          <w:divBdr>
                            <w:top w:val="none" w:sz="0" w:space="0" w:color="auto"/>
                            <w:left w:val="none" w:sz="0" w:space="0" w:color="auto"/>
                            <w:bottom w:val="none" w:sz="0" w:space="0" w:color="auto"/>
                            <w:right w:val="none" w:sz="0" w:space="0" w:color="auto"/>
                          </w:divBdr>
                          <w:divsChild>
                            <w:div w:id="180665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3048975">
          <w:marLeft w:val="0"/>
          <w:marRight w:val="0"/>
          <w:marTop w:val="0"/>
          <w:marBottom w:val="0"/>
          <w:divBdr>
            <w:top w:val="none" w:sz="0" w:space="0" w:color="auto"/>
            <w:left w:val="none" w:sz="0" w:space="0" w:color="auto"/>
            <w:bottom w:val="none" w:sz="0" w:space="0" w:color="auto"/>
            <w:right w:val="none" w:sz="0" w:space="0" w:color="auto"/>
          </w:divBdr>
          <w:divsChild>
            <w:div w:id="150143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355613">
      <w:bodyDiv w:val="1"/>
      <w:marLeft w:val="0"/>
      <w:marRight w:val="0"/>
      <w:marTop w:val="0"/>
      <w:marBottom w:val="0"/>
      <w:divBdr>
        <w:top w:val="none" w:sz="0" w:space="0" w:color="auto"/>
        <w:left w:val="none" w:sz="0" w:space="0" w:color="auto"/>
        <w:bottom w:val="none" w:sz="0" w:space="0" w:color="auto"/>
        <w:right w:val="none" w:sz="0" w:space="0" w:color="auto"/>
      </w:divBdr>
    </w:div>
    <w:div w:id="941760682">
      <w:bodyDiv w:val="1"/>
      <w:marLeft w:val="0"/>
      <w:marRight w:val="0"/>
      <w:marTop w:val="0"/>
      <w:marBottom w:val="0"/>
      <w:divBdr>
        <w:top w:val="none" w:sz="0" w:space="0" w:color="auto"/>
        <w:left w:val="none" w:sz="0" w:space="0" w:color="auto"/>
        <w:bottom w:val="none" w:sz="0" w:space="0" w:color="auto"/>
        <w:right w:val="none" w:sz="0" w:space="0" w:color="auto"/>
      </w:divBdr>
    </w:div>
    <w:div w:id="958334833">
      <w:bodyDiv w:val="1"/>
      <w:marLeft w:val="0"/>
      <w:marRight w:val="0"/>
      <w:marTop w:val="0"/>
      <w:marBottom w:val="0"/>
      <w:divBdr>
        <w:top w:val="none" w:sz="0" w:space="0" w:color="auto"/>
        <w:left w:val="none" w:sz="0" w:space="0" w:color="auto"/>
        <w:bottom w:val="none" w:sz="0" w:space="0" w:color="auto"/>
        <w:right w:val="none" w:sz="0" w:space="0" w:color="auto"/>
      </w:divBdr>
    </w:div>
    <w:div w:id="969745640">
      <w:bodyDiv w:val="1"/>
      <w:marLeft w:val="0"/>
      <w:marRight w:val="0"/>
      <w:marTop w:val="0"/>
      <w:marBottom w:val="0"/>
      <w:divBdr>
        <w:top w:val="none" w:sz="0" w:space="0" w:color="auto"/>
        <w:left w:val="none" w:sz="0" w:space="0" w:color="auto"/>
        <w:bottom w:val="none" w:sz="0" w:space="0" w:color="auto"/>
        <w:right w:val="none" w:sz="0" w:space="0" w:color="auto"/>
      </w:divBdr>
    </w:div>
    <w:div w:id="1020543767">
      <w:bodyDiv w:val="1"/>
      <w:marLeft w:val="0"/>
      <w:marRight w:val="0"/>
      <w:marTop w:val="0"/>
      <w:marBottom w:val="0"/>
      <w:divBdr>
        <w:top w:val="none" w:sz="0" w:space="0" w:color="auto"/>
        <w:left w:val="none" w:sz="0" w:space="0" w:color="auto"/>
        <w:bottom w:val="none" w:sz="0" w:space="0" w:color="auto"/>
        <w:right w:val="none" w:sz="0" w:space="0" w:color="auto"/>
      </w:divBdr>
    </w:div>
    <w:div w:id="1113404678">
      <w:bodyDiv w:val="1"/>
      <w:marLeft w:val="0"/>
      <w:marRight w:val="0"/>
      <w:marTop w:val="0"/>
      <w:marBottom w:val="0"/>
      <w:divBdr>
        <w:top w:val="none" w:sz="0" w:space="0" w:color="auto"/>
        <w:left w:val="none" w:sz="0" w:space="0" w:color="auto"/>
        <w:bottom w:val="none" w:sz="0" w:space="0" w:color="auto"/>
        <w:right w:val="none" w:sz="0" w:space="0" w:color="auto"/>
      </w:divBdr>
    </w:div>
    <w:div w:id="1135562096">
      <w:bodyDiv w:val="1"/>
      <w:marLeft w:val="0"/>
      <w:marRight w:val="0"/>
      <w:marTop w:val="0"/>
      <w:marBottom w:val="0"/>
      <w:divBdr>
        <w:top w:val="none" w:sz="0" w:space="0" w:color="auto"/>
        <w:left w:val="none" w:sz="0" w:space="0" w:color="auto"/>
        <w:bottom w:val="none" w:sz="0" w:space="0" w:color="auto"/>
        <w:right w:val="none" w:sz="0" w:space="0" w:color="auto"/>
      </w:divBdr>
    </w:div>
    <w:div w:id="1171531077">
      <w:bodyDiv w:val="1"/>
      <w:marLeft w:val="0"/>
      <w:marRight w:val="0"/>
      <w:marTop w:val="0"/>
      <w:marBottom w:val="0"/>
      <w:divBdr>
        <w:top w:val="none" w:sz="0" w:space="0" w:color="auto"/>
        <w:left w:val="none" w:sz="0" w:space="0" w:color="auto"/>
        <w:bottom w:val="none" w:sz="0" w:space="0" w:color="auto"/>
        <w:right w:val="none" w:sz="0" w:space="0" w:color="auto"/>
      </w:divBdr>
    </w:div>
    <w:div w:id="1271938801">
      <w:bodyDiv w:val="1"/>
      <w:marLeft w:val="0"/>
      <w:marRight w:val="0"/>
      <w:marTop w:val="0"/>
      <w:marBottom w:val="0"/>
      <w:divBdr>
        <w:top w:val="none" w:sz="0" w:space="0" w:color="auto"/>
        <w:left w:val="none" w:sz="0" w:space="0" w:color="auto"/>
        <w:bottom w:val="none" w:sz="0" w:space="0" w:color="auto"/>
        <w:right w:val="none" w:sz="0" w:space="0" w:color="auto"/>
      </w:divBdr>
    </w:div>
    <w:div w:id="1362514225">
      <w:bodyDiv w:val="1"/>
      <w:marLeft w:val="0"/>
      <w:marRight w:val="0"/>
      <w:marTop w:val="0"/>
      <w:marBottom w:val="0"/>
      <w:divBdr>
        <w:top w:val="none" w:sz="0" w:space="0" w:color="auto"/>
        <w:left w:val="none" w:sz="0" w:space="0" w:color="auto"/>
        <w:bottom w:val="none" w:sz="0" w:space="0" w:color="auto"/>
        <w:right w:val="none" w:sz="0" w:space="0" w:color="auto"/>
      </w:divBdr>
    </w:div>
    <w:div w:id="1368145984">
      <w:bodyDiv w:val="1"/>
      <w:marLeft w:val="0"/>
      <w:marRight w:val="0"/>
      <w:marTop w:val="0"/>
      <w:marBottom w:val="0"/>
      <w:divBdr>
        <w:top w:val="none" w:sz="0" w:space="0" w:color="auto"/>
        <w:left w:val="none" w:sz="0" w:space="0" w:color="auto"/>
        <w:bottom w:val="none" w:sz="0" w:space="0" w:color="auto"/>
        <w:right w:val="none" w:sz="0" w:space="0" w:color="auto"/>
      </w:divBdr>
    </w:div>
    <w:div w:id="1373261781">
      <w:bodyDiv w:val="1"/>
      <w:marLeft w:val="0"/>
      <w:marRight w:val="0"/>
      <w:marTop w:val="0"/>
      <w:marBottom w:val="0"/>
      <w:divBdr>
        <w:top w:val="none" w:sz="0" w:space="0" w:color="auto"/>
        <w:left w:val="none" w:sz="0" w:space="0" w:color="auto"/>
        <w:bottom w:val="none" w:sz="0" w:space="0" w:color="auto"/>
        <w:right w:val="none" w:sz="0" w:space="0" w:color="auto"/>
      </w:divBdr>
    </w:div>
    <w:div w:id="1391803639">
      <w:bodyDiv w:val="1"/>
      <w:marLeft w:val="0"/>
      <w:marRight w:val="0"/>
      <w:marTop w:val="0"/>
      <w:marBottom w:val="0"/>
      <w:divBdr>
        <w:top w:val="none" w:sz="0" w:space="0" w:color="auto"/>
        <w:left w:val="none" w:sz="0" w:space="0" w:color="auto"/>
        <w:bottom w:val="none" w:sz="0" w:space="0" w:color="auto"/>
        <w:right w:val="none" w:sz="0" w:space="0" w:color="auto"/>
      </w:divBdr>
    </w:div>
    <w:div w:id="1447191265">
      <w:bodyDiv w:val="1"/>
      <w:marLeft w:val="0"/>
      <w:marRight w:val="0"/>
      <w:marTop w:val="0"/>
      <w:marBottom w:val="0"/>
      <w:divBdr>
        <w:top w:val="none" w:sz="0" w:space="0" w:color="auto"/>
        <w:left w:val="none" w:sz="0" w:space="0" w:color="auto"/>
        <w:bottom w:val="none" w:sz="0" w:space="0" w:color="auto"/>
        <w:right w:val="none" w:sz="0" w:space="0" w:color="auto"/>
      </w:divBdr>
    </w:div>
    <w:div w:id="1451321326">
      <w:bodyDiv w:val="1"/>
      <w:marLeft w:val="0"/>
      <w:marRight w:val="0"/>
      <w:marTop w:val="0"/>
      <w:marBottom w:val="0"/>
      <w:divBdr>
        <w:top w:val="none" w:sz="0" w:space="0" w:color="auto"/>
        <w:left w:val="none" w:sz="0" w:space="0" w:color="auto"/>
        <w:bottom w:val="none" w:sz="0" w:space="0" w:color="auto"/>
        <w:right w:val="none" w:sz="0" w:space="0" w:color="auto"/>
      </w:divBdr>
    </w:div>
    <w:div w:id="1452749523">
      <w:bodyDiv w:val="1"/>
      <w:marLeft w:val="0"/>
      <w:marRight w:val="0"/>
      <w:marTop w:val="0"/>
      <w:marBottom w:val="0"/>
      <w:divBdr>
        <w:top w:val="none" w:sz="0" w:space="0" w:color="auto"/>
        <w:left w:val="none" w:sz="0" w:space="0" w:color="auto"/>
        <w:bottom w:val="none" w:sz="0" w:space="0" w:color="auto"/>
        <w:right w:val="none" w:sz="0" w:space="0" w:color="auto"/>
      </w:divBdr>
    </w:div>
    <w:div w:id="1507792986">
      <w:bodyDiv w:val="1"/>
      <w:marLeft w:val="0"/>
      <w:marRight w:val="0"/>
      <w:marTop w:val="0"/>
      <w:marBottom w:val="0"/>
      <w:divBdr>
        <w:top w:val="none" w:sz="0" w:space="0" w:color="auto"/>
        <w:left w:val="none" w:sz="0" w:space="0" w:color="auto"/>
        <w:bottom w:val="none" w:sz="0" w:space="0" w:color="auto"/>
        <w:right w:val="none" w:sz="0" w:space="0" w:color="auto"/>
      </w:divBdr>
      <w:divsChild>
        <w:div w:id="1258833994">
          <w:marLeft w:val="0"/>
          <w:marRight w:val="0"/>
          <w:marTop w:val="0"/>
          <w:marBottom w:val="0"/>
          <w:divBdr>
            <w:top w:val="none" w:sz="0" w:space="0" w:color="auto"/>
            <w:left w:val="none" w:sz="0" w:space="0" w:color="auto"/>
            <w:bottom w:val="none" w:sz="0" w:space="0" w:color="auto"/>
            <w:right w:val="none" w:sz="0" w:space="0" w:color="auto"/>
          </w:divBdr>
          <w:divsChild>
            <w:div w:id="600918944">
              <w:marLeft w:val="0"/>
              <w:marRight w:val="0"/>
              <w:marTop w:val="0"/>
              <w:marBottom w:val="0"/>
              <w:divBdr>
                <w:top w:val="none" w:sz="0" w:space="0" w:color="auto"/>
                <w:left w:val="none" w:sz="0" w:space="0" w:color="auto"/>
                <w:bottom w:val="none" w:sz="0" w:space="0" w:color="auto"/>
                <w:right w:val="none" w:sz="0" w:space="0" w:color="auto"/>
              </w:divBdr>
              <w:divsChild>
                <w:div w:id="470169485">
                  <w:marLeft w:val="0"/>
                  <w:marRight w:val="0"/>
                  <w:marTop w:val="0"/>
                  <w:marBottom w:val="0"/>
                  <w:divBdr>
                    <w:top w:val="none" w:sz="0" w:space="0" w:color="auto"/>
                    <w:left w:val="none" w:sz="0" w:space="0" w:color="auto"/>
                    <w:bottom w:val="none" w:sz="0" w:space="0" w:color="auto"/>
                    <w:right w:val="none" w:sz="0" w:space="0" w:color="auto"/>
                  </w:divBdr>
                  <w:divsChild>
                    <w:div w:id="1969162188">
                      <w:marLeft w:val="0"/>
                      <w:marRight w:val="0"/>
                      <w:marTop w:val="0"/>
                      <w:marBottom w:val="0"/>
                      <w:divBdr>
                        <w:top w:val="none" w:sz="0" w:space="0" w:color="auto"/>
                        <w:left w:val="none" w:sz="0" w:space="0" w:color="auto"/>
                        <w:bottom w:val="none" w:sz="0" w:space="0" w:color="auto"/>
                        <w:right w:val="none" w:sz="0" w:space="0" w:color="auto"/>
                      </w:divBdr>
                      <w:divsChild>
                        <w:div w:id="633095883">
                          <w:marLeft w:val="0"/>
                          <w:marRight w:val="0"/>
                          <w:marTop w:val="0"/>
                          <w:marBottom w:val="0"/>
                          <w:divBdr>
                            <w:top w:val="none" w:sz="0" w:space="0" w:color="auto"/>
                            <w:left w:val="none" w:sz="0" w:space="0" w:color="auto"/>
                            <w:bottom w:val="none" w:sz="0" w:space="0" w:color="auto"/>
                            <w:right w:val="none" w:sz="0" w:space="0" w:color="auto"/>
                          </w:divBdr>
                          <w:divsChild>
                            <w:div w:id="2136482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6329261">
          <w:marLeft w:val="0"/>
          <w:marRight w:val="0"/>
          <w:marTop w:val="0"/>
          <w:marBottom w:val="0"/>
          <w:divBdr>
            <w:top w:val="none" w:sz="0" w:space="0" w:color="auto"/>
            <w:left w:val="none" w:sz="0" w:space="0" w:color="auto"/>
            <w:bottom w:val="none" w:sz="0" w:space="0" w:color="auto"/>
            <w:right w:val="none" w:sz="0" w:space="0" w:color="auto"/>
          </w:divBdr>
          <w:divsChild>
            <w:div w:id="1424759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349304">
      <w:bodyDiv w:val="1"/>
      <w:marLeft w:val="0"/>
      <w:marRight w:val="0"/>
      <w:marTop w:val="0"/>
      <w:marBottom w:val="0"/>
      <w:divBdr>
        <w:top w:val="none" w:sz="0" w:space="0" w:color="auto"/>
        <w:left w:val="none" w:sz="0" w:space="0" w:color="auto"/>
        <w:bottom w:val="none" w:sz="0" w:space="0" w:color="auto"/>
        <w:right w:val="none" w:sz="0" w:space="0" w:color="auto"/>
      </w:divBdr>
    </w:div>
    <w:div w:id="1519545039">
      <w:bodyDiv w:val="1"/>
      <w:marLeft w:val="0"/>
      <w:marRight w:val="0"/>
      <w:marTop w:val="0"/>
      <w:marBottom w:val="0"/>
      <w:divBdr>
        <w:top w:val="none" w:sz="0" w:space="0" w:color="auto"/>
        <w:left w:val="none" w:sz="0" w:space="0" w:color="auto"/>
        <w:bottom w:val="none" w:sz="0" w:space="0" w:color="auto"/>
        <w:right w:val="none" w:sz="0" w:space="0" w:color="auto"/>
      </w:divBdr>
    </w:div>
    <w:div w:id="1534227582">
      <w:bodyDiv w:val="1"/>
      <w:marLeft w:val="0"/>
      <w:marRight w:val="0"/>
      <w:marTop w:val="0"/>
      <w:marBottom w:val="0"/>
      <w:divBdr>
        <w:top w:val="none" w:sz="0" w:space="0" w:color="auto"/>
        <w:left w:val="none" w:sz="0" w:space="0" w:color="auto"/>
        <w:bottom w:val="none" w:sz="0" w:space="0" w:color="auto"/>
        <w:right w:val="none" w:sz="0" w:space="0" w:color="auto"/>
      </w:divBdr>
    </w:div>
    <w:div w:id="1684280826">
      <w:bodyDiv w:val="1"/>
      <w:marLeft w:val="0"/>
      <w:marRight w:val="0"/>
      <w:marTop w:val="0"/>
      <w:marBottom w:val="0"/>
      <w:divBdr>
        <w:top w:val="none" w:sz="0" w:space="0" w:color="auto"/>
        <w:left w:val="none" w:sz="0" w:space="0" w:color="auto"/>
        <w:bottom w:val="none" w:sz="0" w:space="0" w:color="auto"/>
        <w:right w:val="none" w:sz="0" w:space="0" w:color="auto"/>
      </w:divBdr>
    </w:div>
    <w:div w:id="1700547812">
      <w:bodyDiv w:val="1"/>
      <w:marLeft w:val="0"/>
      <w:marRight w:val="0"/>
      <w:marTop w:val="0"/>
      <w:marBottom w:val="0"/>
      <w:divBdr>
        <w:top w:val="none" w:sz="0" w:space="0" w:color="auto"/>
        <w:left w:val="none" w:sz="0" w:space="0" w:color="auto"/>
        <w:bottom w:val="none" w:sz="0" w:space="0" w:color="auto"/>
        <w:right w:val="none" w:sz="0" w:space="0" w:color="auto"/>
      </w:divBdr>
    </w:div>
    <w:div w:id="1722049797">
      <w:bodyDiv w:val="1"/>
      <w:marLeft w:val="0"/>
      <w:marRight w:val="0"/>
      <w:marTop w:val="0"/>
      <w:marBottom w:val="0"/>
      <w:divBdr>
        <w:top w:val="none" w:sz="0" w:space="0" w:color="auto"/>
        <w:left w:val="none" w:sz="0" w:space="0" w:color="auto"/>
        <w:bottom w:val="none" w:sz="0" w:space="0" w:color="auto"/>
        <w:right w:val="none" w:sz="0" w:space="0" w:color="auto"/>
      </w:divBdr>
    </w:div>
    <w:div w:id="1730610455">
      <w:bodyDiv w:val="1"/>
      <w:marLeft w:val="0"/>
      <w:marRight w:val="0"/>
      <w:marTop w:val="0"/>
      <w:marBottom w:val="0"/>
      <w:divBdr>
        <w:top w:val="none" w:sz="0" w:space="0" w:color="auto"/>
        <w:left w:val="none" w:sz="0" w:space="0" w:color="auto"/>
        <w:bottom w:val="none" w:sz="0" w:space="0" w:color="auto"/>
        <w:right w:val="none" w:sz="0" w:space="0" w:color="auto"/>
      </w:divBdr>
    </w:div>
    <w:div w:id="1781873063">
      <w:bodyDiv w:val="1"/>
      <w:marLeft w:val="0"/>
      <w:marRight w:val="0"/>
      <w:marTop w:val="0"/>
      <w:marBottom w:val="0"/>
      <w:divBdr>
        <w:top w:val="none" w:sz="0" w:space="0" w:color="auto"/>
        <w:left w:val="none" w:sz="0" w:space="0" w:color="auto"/>
        <w:bottom w:val="none" w:sz="0" w:space="0" w:color="auto"/>
        <w:right w:val="none" w:sz="0" w:space="0" w:color="auto"/>
      </w:divBdr>
    </w:div>
    <w:div w:id="1821802034">
      <w:bodyDiv w:val="1"/>
      <w:marLeft w:val="0"/>
      <w:marRight w:val="0"/>
      <w:marTop w:val="0"/>
      <w:marBottom w:val="0"/>
      <w:divBdr>
        <w:top w:val="none" w:sz="0" w:space="0" w:color="auto"/>
        <w:left w:val="none" w:sz="0" w:space="0" w:color="auto"/>
        <w:bottom w:val="none" w:sz="0" w:space="0" w:color="auto"/>
        <w:right w:val="none" w:sz="0" w:space="0" w:color="auto"/>
      </w:divBdr>
    </w:div>
    <w:div w:id="1854687825">
      <w:bodyDiv w:val="1"/>
      <w:marLeft w:val="0"/>
      <w:marRight w:val="0"/>
      <w:marTop w:val="0"/>
      <w:marBottom w:val="0"/>
      <w:divBdr>
        <w:top w:val="none" w:sz="0" w:space="0" w:color="auto"/>
        <w:left w:val="none" w:sz="0" w:space="0" w:color="auto"/>
        <w:bottom w:val="none" w:sz="0" w:space="0" w:color="auto"/>
        <w:right w:val="none" w:sz="0" w:space="0" w:color="auto"/>
      </w:divBdr>
      <w:divsChild>
        <w:div w:id="154995166">
          <w:marLeft w:val="0"/>
          <w:marRight w:val="0"/>
          <w:marTop w:val="0"/>
          <w:marBottom w:val="0"/>
          <w:divBdr>
            <w:top w:val="none" w:sz="0" w:space="0" w:color="auto"/>
            <w:left w:val="none" w:sz="0" w:space="0" w:color="auto"/>
            <w:bottom w:val="none" w:sz="0" w:space="0" w:color="auto"/>
            <w:right w:val="none" w:sz="0" w:space="0" w:color="auto"/>
          </w:divBdr>
          <w:divsChild>
            <w:div w:id="880167561">
              <w:marLeft w:val="0"/>
              <w:marRight w:val="0"/>
              <w:marTop w:val="0"/>
              <w:marBottom w:val="0"/>
              <w:divBdr>
                <w:top w:val="none" w:sz="0" w:space="0" w:color="auto"/>
                <w:left w:val="none" w:sz="0" w:space="0" w:color="auto"/>
                <w:bottom w:val="none" w:sz="0" w:space="0" w:color="auto"/>
                <w:right w:val="none" w:sz="0" w:space="0" w:color="auto"/>
              </w:divBdr>
            </w:div>
          </w:divsChild>
        </w:div>
        <w:div w:id="2095661070">
          <w:marLeft w:val="0"/>
          <w:marRight w:val="0"/>
          <w:marTop w:val="0"/>
          <w:marBottom w:val="0"/>
          <w:divBdr>
            <w:top w:val="none" w:sz="0" w:space="0" w:color="auto"/>
            <w:left w:val="none" w:sz="0" w:space="0" w:color="auto"/>
            <w:bottom w:val="none" w:sz="0" w:space="0" w:color="auto"/>
            <w:right w:val="none" w:sz="0" w:space="0" w:color="auto"/>
          </w:divBdr>
          <w:divsChild>
            <w:div w:id="2027902668">
              <w:marLeft w:val="0"/>
              <w:marRight w:val="0"/>
              <w:marTop w:val="0"/>
              <w:marBottom w:val="0"/>
              <w:divBdr>
                <w:top w:val="none" w:sz="0" w:space="0" w:color="auto"/>
                <w:left w:val="none" w:sz="0" w:space="0" w:color="auto"/>
                <w:bottom w:val="none" w:sz="0" w:space="0" w:color="auto"/>
                <w:right w:val="none" w:sz="0" w:space="0" w:color="auto"/>
              </w:divBdr>
              <w:divsChild>
                <w:div w:id="450248745">
                  <w:marLeft w:val="0"/>
                  <w:marRight w:val="0"/>
                  <w:marTop w:val="0"/>
                  <w:marBottom w:val="0"/>
                  <w:divBdr>
                    <w:top w:val="none" w:sz="0" w:space="0" w:color="auto"/>
                    <w:left w:val="none" w:sz="0" w:space="0" w:color="auto"/>
                    <w:bottom w:val="none" w:sz="0" w:space="0" w:color="auto"/>
                    <w:right w:val="none" w:sz="0" w:space="0" w:color="auto"/>
                  </w:divBdr>
                  <w:divsChild>
                    <w:div w:id="112990384">
                      <w:marLeft w:val="0"/>
                      <w:marRight w:val="0"/>
                      <w:marTop w:val="0"/>
                      <w:marBottom w:val="0"/>
                      <w:divBdr>
                        <w:top w:val="none" w:sz="0" w:space="0" w:color="auto"/>
                        <w:left w:val="none" w:sz="0" w:space="0" w:color="auto"/>
                        <w:bottom w:val="none" w:sz="0" w:space="0" w:color="auto"/>
                        <w:right w:val="none" w:sz="0" w:space="0" w:color="auto"/>
                      </w:divBdr>
                      <w:divsChild>
                        <w:div w:id="1094280346">
                          <w:marLeft w:val="0"/>
                          <w:marRight w:val="0"/>
                          <w:marTop w:val="0"/>
                          <w:marBottom w:val="0"/>
                          <w:divBdr>
                            <w:top w:val="none" w:sz="0" w:space="0" w:color="auto"/>
                            <w:left w:val="none" w:sz="0" w:space="0" w:color="auto"/>
                            <w:bottom w:val="none" w:sz="0" w:space="0" w:color="auto"/>
                            <w:right w:val="none" w:sz="0" w:space="0" w:color="auto"/>
                          </w:divBdr>
                          <w:divsChild>
                            <w:div w:id="45976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415161">
      <w:bodyDiv w:val="1"/>
      <w:marLeft w:val="0"/>
      <w:marRight w:val="0"/>
      <w:marTop w:val="0"/>
      <w:marBottom w:val="0"/>
      <w:divBdr>
        <w:top w:val="none" w:sz="0" w:space="0" w:color="auto"/>
        <w:left w:val="none" w:sz="0" w:space="0" w:color="auto"/>
        <w:bottom w:val="none" w:sz="0" w:space="0" w:color="auto"/>
        <w:right w:val="none" w:sz="0" w:space="0" w:color="auto"/>
      </w:divBdr>
    </w:div>
    <w:div w:id="1877154996">
      <w:bodyDiv w:val="1"/>
      <w:marLeft w:val="0"/>
      <w:marRight w:val="0"/>
      <w:marTop w:val="0"/>
      <w:marBottom w:val="0"/>
      <w:divBdr>
        <w:top w:val="none" w:sz="0" w:space="0" w:color="auto"/>
        <w:left w:val="none" w:sz="0" w:space="0" w:color="auto"/>
        <w:bottom w:val="none" w:sz="0" w:space="0" w:color="auto"/>
        <w:right w:val="none" w:sz="0" w:space="0" w:color="auto"/>
      </w:divBdr>
    </w:div>
    <w:div w:id="1878470826">
      <w:bodyDiv w:val="1"/>
      <w:marLeft w:val="0"/>
      <w:marRight w:val="0"/>
      <w:marTop w:val="0"/>
      <w:marBottom w:val="0"/>
      <w:divBdr>
        <w:top w:val="none" w:sz="0" w:space="0" w:color="auto"/>
        <w:left w:val="none" w:sz="0" w:space="0" w:color="auto"/>
        <w:bottom w:val="none" w:sz="0" w:space="0" w:color="auto"/>
        <w:right w:val="none" w:sz="0" w:space="0" w:color="auto"/>
      </w:divBdr>
    </w:div>
    <w:div w:id="1881159950">
      <w:bodyDiv w:val="1"/>
      <w:marLeft w:val="0"/>
      <w:marRight w:val="0"/>
      <w:marTop w:val="0"/>
      <w:marBottom w:val="0"/>
      <w:divBdr>
        <w:top w:val="none" w:sz="0" w:space="0" w:color="auto"/>
        <w:left w:val="none" w:sz="0" w:space="0" w:color="auto"/>
        <w:bottom w:val="none" w:sz="0" w:space="0" w:color="auto"/>
        <w:right w:val="none" w:sz="0" w:space="0" w:color="auto"/>
      </w:divBdr>
    </w:div>
    <w:div w:id="1924026537">
      <w:bodyDiv w:val="1"/>
      <w:marLeft w:val="0"/>
      <w:marRight w:val="0"/>
      <w:marTop w:val="0"/>
      <w:marBottom w:val="0"/>
      <w:divBdr>
        <w:top w:val="none" w:sz="0" w:space="0" w:color="auto"/>
        <w:left w:val="none" w:sz="0" w:space="0" w:color="auto"/>
        <w:bottom w:val="none" w:sz="0" w:space="0" w:color="auto"/>
        <w:right w:val="none" w:sz="0" w:space="0" w:color="auto"/>
      </w:divBdr>
    </w:div>
    <w:div w:id="1935356191">
      <w:bodyDiv w:val="1"/>
      <w:marLeft w:val="0"/>
      <w:marRight w:val="0"/>
      <w:marTop w:val="0"/>
      <w:marBottom w:val="0"/>
      <w:divBdr>
        <w:top w:val="none" w:sz="0" w:space="0" w:color="auto"/>
        <w:left w:val="none" w:sz="0" w:space="0" w:color="auto"/>
        <w:bottom w:val="none" w:sz="0" w:space="0" w:color="auto"/>
        <w:right w:val="none" w:sz="0" w:space="0" w:color="auto"/>
      </w:divBdr>
    </w:div>
    <w:div w:id="1942453510">
      <w:bodyDiv w:val="1"/>
      <w:marLeft w:val="0"/>
      <w:marRight w:val="0"/>
      <w:marTop w:val="0"/>
      <w:marBottom w:val="0"/>
      <w:divBdr>
        <w:top w:val="none" w:sz="0" w:space="0" w:color="auto"/>
        <w:left w:val="none" w:sz="0" w:space="0" w:color="auto"/>
        <w:bottom w:val="none" w:sz="0" w:space="0" w:color="auto"/>
        <w:right w:val="none" w:sz="0" w:space="0" w:color="auto"/>
      </w:divBdr>
    </w:div>
    <w:div w:id="2028560548">
      <w:bodyDiv w:val="1"/>
      <w:marLeft w:val="0"/>
      <w:marRight w:val="0"/>
      <w:marTop w:val="0"/>
      <w:marBottom w:val="0"/>
      <w:divBdr>
        <w:top w:val="none" w:sz="0" w:space="0" w:color="auto"/>
        <w:left w:val="none" w:sz="0" w:space="0" w:color="auto"/>
        <w:bottom w:val="none" w:sz="0" w:space="0" w:color="auto"/>
        <w:right w:val="none" w:sz="0" w:space="0" w:color="auto"/>
      </w:divBdr>
    </w:div>
    <w:div w:id="2065524520">
      <w:bodyDiv w:val="1"/>
      <w:marLeft w:val="0"/>
      <w:marRight w:val="0"/>
      <w:marTop w:val="0"/>
      <w:marBottom w:val="0"/>
      <w:divBdr>
        <w:top w:val="none" w:sz="0" w:space="0" w:color="auto"/>
        <w:left w:val="none" w:sz="0" w:space="0" w:color="auto"/>
        <w:bottom w:val="none" w:sz="0" w:space="0" w:color="auto"/>
        <w:right w:val="none" w:sz="0" w:space="0" w:color="auto"/>
      </w:divBdr>
    </w:div>
    <w:div w:id="2068989593">
      <w:bodyDiv w:val="1"/>
      <w:marLeft w:val="0"/>
      <w:marRight w:val="0"/>
      <w:marTop w:val="0"/>
      <w:marBottom w:val="0"/>
      <w:divBdr>
        <w:top w:val="none" w:sz="0" w:space="0" w:color="auto"/>
        <w:left w:val="none" w:sz="0" w:space="0" w:color="auto"/>
        <w:bottom w:val="none" w:sz="0" w:space="0" w:color="auto"/>
        <w:right w:val="none" w:sz="0" w:space="0" w:color="auto"/>
      </w:divBdr>
    </w:div>
    <w:div w:id="2124113699">
      <w:bodyDiv w:val="1"/>
      <w:marLeft w:val="0"/>
      <w:marRight w:val="0"/>
      <w:marTop w:val="0"/>
      <w:marBottom w:val="0"/>
      <w:divBdr>
        <w:top w:val="none" w:sz="0" w:space="0" w:color="auto"/>
        <w:left w:val="none" w:sz="0" w:space="0" w:color="auto"/>
        <w:bottom w:val="none" w:sz="0" w:space="0" w:color="auto"/>
        <w:right w:val="none" w:sz="0" w:space="0" w:color="auto"/>
      </w:divBdr>
    </w:div>
    <w:div w:id="2142333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42.xml"/><Relationship Id="rId21" Type="http://schemas.openxmlformats.org/officeDocument/2006/relationships/image" Target="media/image3.jpeg"/><Relationship Id="rId42" Type="http://schemas.openxmlformats.org/officeDocument/2006/relationships/hyperlink" Target="https://www.ndis.gov.au/understanding/supports-funded-ndis/reasonable-and-necessary-supports" TargetMode="External"/><Relationship Id="rId63" Type="http://schemas.openxmlformats.org/officeDocument/2006/relationships/header" Target="header20.xml"/><Relationship Id="rId84" Type="http://schemas.openxmlformats.org/officeDocument/2006/relationships/header" Target="header25.xml"/><Relationship Id="rId138" Type="http://schemas.openxmlformats.org/officeDocument/2006/relationships/header" Target="header58.xml"/><Relationship Id="rId159" Type="http://schemas.openxmlformats.org/officeDocument/2006/relationships/footer" Target="footer38.xml"/><Relationship Id="rId170" Type="http://schemas.openxmlformats.org/officeDocument/2006/relationships/hyperlink" Target="https://www.dcceew.gov.au/climate-change/publications/climate-risk-opportunity-management-program-resources" TargetMode="External"/><Relationship Id="rId191" Type="http://schemas.openxmlformats.org/officeDocument/2006/relationships/header" Target="header82.xml"/><Relationship Id="rId107" Type="http://schemas.openxmlformats.org/officeDocument/2006/relationships/footer" Target="footer27.xml"/><Relationship Id="rId11" Type="http://schemas.openxmlformats.org/officeDocument/2006/relationships/header" Target="header1.xml"/><Relationship Id="rId32" Type="http://schemas.openxmlformats.org/officeDocument/2006/relationships/header" Target="header10.xml"/><Relationship Id="rId53" Type="http://schemas.openxmlformats.org/officeDocument/2006/relationships/header" Target="header14.xml"/><Relationship Id="rId74" Type="http://schemas.openxmlformats.org/officeDocument/2006/relationships/image" Target="media/image18.png"/><Relationship Id="rId128" Type="http://schemas.openxmlformats.org/officeDocument/2006/relationships/header" Target="header50.xml"/><Relationship Id="rId149" Type="http://schemas.openxmlformats.org/officeDocument/2006/relationships/header" Target="header67.xml"/><Relationship Id="rId5" Type="http://schemas.openxmlformats.org/officeDocument/2006/relationships/numbering" Target="numbering.xml"/><Relationship Id="rId95" Type="http://schemas.openxmlformats.org/officeDocument/2006/relationships/header" Target="header31.xml"/><Relationship Id="rId160" Type="http://schemas.openxmlformats.org/officeDocument/2006/relationships/header" Target="header75.xml"/><Relationship Id="rId181" Type="http://schemas.openxmlformats.org/officeDocument/2006/relationships/hyperlink" Target="https://en.wikipedia.org/wiki/Administrative_Review_Tribunal" TargetMode="External"/><Relationship Id="rId22" Type="http://schemas.openxmlformats.org/officeDocument/2006/relationships/image" Target="media/image4.png"/><Relationship Id="rId43" Type="http://schemas.openxmlformats.org/officeDocument/2006/relationships/hyperlink" Target="https://www.ndis.gov.au/about-us/service-charter/participant-service-guarantee" TargetMode="External"/><Relationship Id="rId64" Type="http://schemas.openxmlformats.org/officeDocument/2006/relationships/header" Target="header21.xml"/><Relationship Id="rId118" Type="http://schemas.openxmlformats.org/officeDocument/2006/relationships/footer" Target="footer30.xml"/><Relationship Id="rId139" Type="http://schemas.openxmlformats.org/officeDocument/2006/relationships/header" Target="header59.xml"/><Relationship Id="rId85" Type="http://schemas.openxmlformats.org/officeDocument/2006/relationships/header" Target="header26.xml"/><Relationship Id="rId150" Type="http://schemas.openxmlformats.org/officeDocument/2006/relationships/header" Target="header68.xml"/><Relationship Id="rId171" Type="http://schemas.openxmlformats.org/officeDocument/2006/relationships/hyperlink" Target="https://www.climatechangeinaustralia.gov.au/en/" TargetMode="External"/><Relationship Id="rId192" Type="http://schemas.openxmlformats.org/officeDocument/2006/relationships/fontTable" Target="fontTable.xml"/><Relationship Id="rId12" Type="http://schemas.openxmlformats.org/officeDocument/2006/relationships/footer" Target="footer1.xml"/><Relationship Id="rId33" Type="http://schemas.openxmlformats.org/officeDocument/2006/relationships/footer" Target="footer7.xml"/><Relationship Id="rId108" Type="http://schemas.openxmlformats.org/officeDocument/2006/relationships/header" Target="header39.xml"/><Relationship Id="rId129" Type="http://schemas.openxmlformats.org/officeDocument/2006/relationships/header" Target="header51.xml"/><Relationship Id="rId54" Type="http://schemas.openxmlformats.org/officeDocument/2006/relationships/footer" Target="footer13.xml"/><Relationship Id="rId75" Type="http://schemas.openxmlformats.org/officeDocument/2006/relationships/image" Target="media/image19.png"/><Relationship Id="rId96" Type="http://schemas.openxmlformats.org/officeDocument/2006/relationships/header" Target="header32.xml"/><Relationship Id="rId140" Type="http://schemas.openxmlformats.org/officeDocument/2006/relationships/header" Target="header60.xml"/><Relationship Id="rId161" Type="http://schemas.openxmlformats.org/officeDocument/2006/relationships/footer" Target="footer39.xml"/><Relationship Id="rId182" Type="http://schemas.openxmlformats.org/officeDocument/2006/relationships/hyperlink" Target="https://www.legislation.gov.au/C2024A00040/latest/text" TargetMode="External"/><Relationship Id="rId6" Type="http://schemas.openxmlformats.org/officeDocument/2006/relationships/styles" Target="styles.xml"/><Relationship Id="rId23" Type="http://schemas.openxmlformats.org/officeDocument/2006/relationships/header" Target="header7.xml"/><Relationship Id="rId119" Type="http://schemas.openxmlformats.org/officeDocument/2006/relationships/image" Target="media/image27.png"/><Relationship Id="rId44" Type="http://schemas.openxmlformats.org/officeDocument/2006/relationships/header" Target="header11.xml"/><Relationship Id="rId65" Type="http://schemas.openxmlformats.org/officeDocument/2006/relationships/footer" Target="footer16.xml"/><Relationship Id="rId86" Type="http://schemas.openxmlformats.org/officeDocument/2006/relationships/footer" Target="footer19.xml"/><Relationship Id="rId130" Type="http://schemas.openxmlformats.org/officeDocument/2006/relationships/header" Target="header52.xml"/><Relationship Id="rId151" Type="http://schemas.openxmlformats.org/officeDocument/2006/relationships/header" Target="header69.xml"/><Relationship Id="rId172" Type="http://schemas.openxmlformats.org/officeDocument/2006/relationships/hyperlink" Target="https://www.finance.gov.au/government/climate-action-government-operations/aps-net-zero-emissions-2030" TargetMode="External"/><Relationship Id="rId193" Type="http://schemas.openxmlformats.org/officeDocument/2006/relationships/theme" Target="theme/theme1.xml"/><Relationship Id="rId13" Type="http://schemas.openxmlformats.org/officeDocument/2006/relationships/header" Target="header2.xml"/><Relationship Id="rId109" Type="http://schemas.openxmlformats.org/officeDocument/2006/relationships/footer" Target="footer28.xml"/><Relationship Id="rId34" Type="http://schemas.openxmlformats.org/officeDocument/2006/relationships/image" Target="media/image8.png"/><Relationship Id="rId50" Type="http://schemas.openxmlformats.org/officeDocument/2006/relationships/footer" Target="footer11.xml"/><Relationship Id="rId55" Type="http://schemas.openxmlformats.org/officeDocument/2006/relationships/header" Target="header15.xml"/><Relationship Id="rId76" Type="http://schemas.openxmlformats.org/officeDocument/2006/relationships/image" Target="media/image20.png"/><Relationship Id="rId97" Type="http://schemas.openxmlformats.org/officeDocument/2006/relationships/footer" Target="footer23.xml"/><Relationship Id="rId104" Type="http://schemas.openxmlformats.org/officeDocument/2006/relationships/footer" Target="footer26.xml"/><Relationship Id="rId120" Type="http://schemas.openxmlformats.org/officeDocument/2006/relationships/header" Target="header43.xml"/><Relationship Id="rId125" Type="http://schemas.openxmlformats.org/officeDocument/2006/relationships/header" Target="header47.xml"/><Relationship Id="rId141" Type="http://schemas.openxmlformats.org/officeDocument/2006/relationships/header" Target="header61.xml"/><Relationship Id="rId146" Type="http://schemas.openxmlformats.org/officeDocument/2006/relationships/header" Target="header65.xml"/><Relationship Id="rId167" Type="http://schemas.openxmlformats.org/officeDocument/2006/relationships/hyperlink" Target="https://www.finance.gov.au/government/climate-action-government-operations/commonwealth-climate-disclosure-requirements" TargetMode="External"/><Relationship Id="rId188" Type="http://schemas.openxmlformats.org/officeDocument/2006/relationships/image" Target="media/image29.emf"/><Relationship Id="rId7" Type="http://schemas.openxmlformats.org/officeDocument/2006/relationships/settings" Target="settings.xml"/><Relationship Id="rId71" Type="http://schemas.openxmlformats.org/officeDocument/2006/relationships/image" Target="media/image15.png"/><Relationship Id="rId92" Type="http://schemas.openxmlformats.org/officeDocument/2006/relationships/footer" Target="footer21.xml"/><Relationship Id="rId162" Type="http://schemas.openxmlformats.org/officeDocument/2006/relationships/header" Target="header76.xml"/><Relationship Id="rId183" Type="http://schemas.openxmlformats.org/officeDocument/2006/relationships/hyperlink" Target="https://www.ndis.gov.au/about-us/improving-ndis/changes-ndis-legislation" TargetMode="Externa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footer" Target="footer5.xml"/><Relationship Id="rId40" Type="http://schemas.openxmlformats.org/officeDocument/2006/relationships/hyperlink" Target="https://dataresearch.ndis.gov.au/reports-and-analyses/outcomes-and-goals/participant-families-and-carer-outcomes-reports?_gl=1*eps4e1*_gcl_au*MjEwNTg2ODAxMS4xNzQ5NjIxNDY1" TargetMode="External"/><Relationship Id="rId45" Type="http://schemas.openxmlformats.org/officeDocument/2006/relationships/footer" Target="footer8.xml"/><Relationship Id="rId66" Type="http://schemas.openxmlformats.org/officeDocument/2006/relationships/image" Target="media/image10.png"/><Relationship Id="rId87" Type="http://schemas.openxmlformats.org/officeDocument/2006/relationships/header" Target="header27.xml"/><Relationship Id="rId110" Type="http://schemas.openxmlformats.org/officeDocument/2006/relationships/image" Target="media/image23.png"/><Relationship Id="rId115" Type="http://schemas.openxmlformats.org/officeDocument/2006/relationships/header" Target="header41.xml"/><Relationship Id="rId131" Type="http://schemas.openxmlformats.org/officeDocument/2006/relationships/header" Target="header53.xml"/><Relationship Id="rId136" Type="http://schemas.openxmlformats.org/officeDocument/2006/relationships/footer" Target="footer33.xml"/><Relationship Id="rId157" Type="http://schemas.openxmlformats.org/officeDocument/2006/relationships/header" Target="header73.xml"/><Relationship Id="rId178" Type="http://schemas.openxmlformats.org/officeDocument/2006/relationships/footer" Target="footer44.xml"/><Relationship Id="rId61" Type="http://schemas.openxmlformats.org/officeDocument/2006/relationships/image" Target="media/image9.jpeg"/><Relationship Id="rId82" Type="http://schemas.openxmlformats.org/officeDocument/2006/relationships/header" Target="header24.xml"/><Relationship Id="rId152" Type="http://schemas.openxmlformats.org/officeDocument/2006/relationships/header" Target="header70.xml"/><Relationship Id="rId173" Type="http://schemas.openxmlformats.org/officeDocument/2006/relationships/hyperlink" Target="https://www.finance.gov.au/government/climate-action-government-operations/australian-government-emissions-reporting" TargetMode="External"/><Relationship Id="rId19" Type="http://schemas.openxmlformats.org/officeDocument/2006/relationships/header" Target="header6.xml"/><Relationship Id="rId14" Type="http://schemas.openxmlformats.org/officeDocument/2006/relationships/header" Target="header3.xml"/><Relationship Id="rId30" Type="http://schemas.openxmlformats.org/officeDocument/2006/relationships/header" Target="header9.xml"/><Relationship Id="rId35" Type="http://schemas.openxmlformats.org/officeDocument/2006/relationships/hyperlink" Target="https://dataresearch.ndis.gov.au/reports-and-analyses/outcomes-and-goals?_gl=1*1yz99dn*_gcl_au*MTE4OTExODI3Mi4xNzUxODQ0OTEy" TargetMode="External"/><Relationship Id="rId56" Type="http://schemas.openxmlformats.org/officeDocument/2006/relationships/header" Target="header16.xml"/><Relationship Id="rId77" Type="http://schemas.openxmlformats.org/officeDocument/2006/relationships/image" Target="media/image21.png"/><Relationship Id="rId100" Type="http://schemas.openxmlformats.org/officeDocument/2006/relationships/header" Target="header34.xml"/><Relationship Id="rId105" Type="http://schemas.openxmlformats.org/officeDocument/2006/relationships/header" Target="header37.xml"/><Relationship Id="rId126" Type="http://schemas.openxmlformats.org/officeDocument/2006/relationships/header" Target="header48.xml"/><Relationship Id="rId147" Type="http://schemas.openxmlformats.org/officeDocument/2006/relationships/header" Target="header66.xml"/><Relationship Id="rId168" Type="http://schemas.openxmlformats.org/officeDocument/2006/relationships/image" Target="media/image28.png"/><Relationship Id="rId8" Type="http://schemas.openxmlformats.org/officeDocument/2006/relationships/webSettings" Target="webSettings.xml"/><Relationship Id="rId51" Type="http://schemas.openxmlformats.org/officeDocument/2006/relationships/hyperlink" Target="https://www.ndis.gov.au/publications/quarterly-reports" TargetMode="External"/><Relationship Id="rId72" Type="http://schemas.openxmlformats.org/officeDocument/2006/relationships/image" Target="media/image16.png"/><Relationship Id="rId93" Type="http://schemas.openxmlformats.org/officeDocument/2006/relationships/header" Target="header30.xml"/><Relationship Id="rId98" Type="http://schemas.openxmlformats.org/officeDocument/2006/relationships/header" Target="header33.xml"/><Relationship Id="rId121" Type="http://schemas.openxmlformats.org/officeDocument/2006/relationships/header" Target="header44.xml"/><Relationship Id="rId142" Type="http://schemas.openxmlformats.org/officeDocument/2006/relationships/header" Target="header62.xml"/><Relationship Id="rId163" Type="http://schemas.openxmlformats.org/officeDocument/2006/relationships/header" Target="header77.xml"/><Relationship Id="rId184" Type="http://schemas.openxmlformats.org/officeDocument/2006/relationships/hyperlink" Target="https://www.ndisreview.gov.au/" TargetMode="External"/><Relationship Id="rId189" Type="http://schemas.openxmlformats.org/officeDocument/2006/relationships/header" Target="header80.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header" Target="header12.xml"/><Relationship Id="rId67" Type="http://schemas.openxmlformats.org/officeDocument/2006/relationships/image" Target="media/image11.png"/><Relationship Id="rId116" Type="http://schemas.openxmlformats.org/officeDocument/2006/relationships/footer" Target="footer29.xml"/><Relationship Id="rId137" Type="http://schemas.openxmlformats.org/officeDocument/2006/relationships/header" Target="header57.xml"/><Relationship Id="rId158" Type="http://schemas.openxmlformats.org/officeDocument/2006/relationships/header" Target="header74.xml"/><Relationship Id="rId20" Type="http://schemas.openxmlformats.org/officeDocument/2006/relationships/footer" Target="footer4.xml"/><Relationship Id="rId41" Type="http://schemas.openxmlformats.org/officeDocument/2006/relationships/hyperlink" Target="https://www.ndis.gov.au/our-guidelines" TargetMode="External"/><Relationship Id="rId62" Type="http://schemas.openxmlformats.org/officeDocument/2006/relationships/header" Target="header19.xml"/><Relationship Id="rId83" Type="http://schemas.openxmlformats.org/officeDocument/2006/relationships/footer" Target="footer18.xml"/><Relationship Id="rId88" Type="http://schemas.openxmlformats.org/officeDocument/2006/relationships/footer" Target="footer20.xml"/><Relationship Id="rId111" Type="http://schemas.openxmlformats.org/officeDocument/2006/relationships/image" Target="media/image24.png"/><Relationship Id="rId132" Type="http://schemas.openxmlformats.org/officeDocument/2006/relationships/footer" Target="footer32.xml"/><Relationship Id="rId153" Type="http://schemas.openxmlformats.org/officeDocument/2006/relationships/header" Target="header71.xml"/><Relationship Id="rId174" Type="http://schemas.openxmlformats.org/officeDocument/2006/relationships/hyperlink" Target="https://www.finance.gov.au/government/climate-action-government-operations/aps-net-zero-emissions-2030" TargetMode="External"/><Relationship Id="rId179" Type="http://schemas.openxmlformats.org/officeDocument/2006/relationships/header" Target="header79.xml"/><Relationship Id="rId190" Type="http://schemas.openxmlformats.org/officeDocument/2006/relationships/header" Target="header81.xml"/><Relationship Id="rId15" Type="http://schemas.openxmlformats.org/officeDocument/2006/relationships/header" Target="header4.xml"/><Relationship Id="rId36" Type="http://schemas.openxmlformats.org/officeDocument/2006/relationships/hyperlink" Target="https://ourguidelines.ndis.gov.au/" TargetMode="External"/><Relationship Id="rId57" Type="http://schemas.openxmlformats.org/officeDocument/2006/relationships/header" Target="header17.xml"/><Relationship Id="rId106" Type="http://schemas.openxmlformats.org/officeDocument/2006/relationships/header" Target="header38.xml"/><Relationship Id="rId127" Type="http://schemas.openxmlformats.org/officeDocument/2006/relationships/header" Target="header49.xml"/><Relationship Id="rId10" Type="http://schemas.openxmlformats.org/officeDocument/2006/relationships/endnotes" Target="endnotes.xml"/><Relationship Id="rId31" Type="http://schemas.openxmlformats.org/officeDocument/2006/relationships/footer" Target="footer6.xml"/><Relationship Id="rId52" Type="http://schemas.openxmlformats.org/officeDocument/2006/relationships/footer" Target="footer12.xml"/><Relationship Id="rId73" Type="http://schemas.openxmlformats.org/officeDocument/2006/relationships/image" Target="media/image17.png"/><Relationship Id="rId78" Type="http://schemas.openxmlformats.org/officeDocument/2006/relationships/image" Target="media/image22.png"/><Relationship Id="rId94" Type="http://schemas.openxmlformats.org/officeDocument/2006/relationships/footer" Target="footer22.xml"/><Relationship Id="rId99" Type="http://schemas.openxmlformats.org/officeDocument/2006/relationships/footer" Target="footer24.xml"/><Relationship Id="rId101" Type="http://schemas.openxmlformats.org/officeDocument/2006/relationships/header" Target="header35.xml"/><Relationship Id="rId122" Type="http://schemas.openxmlformats.org/officeDocument/2006/relationships/header" Target="header45.xml"/><Relationship Id="rId143" Type="http://schemas.openxmlformats.org/officeDocument/2006/relationships/footer" Target="footer34.xml"/><Relationship Id="rId148" Type="http://schemas.openxmlformats.org/officeDocument/2006/relationships/footer" Target="footer35.xml"/><Relationship Id="rId164" Type="http://schemas.openxmlformats.org/officeDocument/2006/relationships/footer" Target="footer40.xml"/><Relationship Id="rId169" Type="http://schemas.openxmlformats.org/officeDocument/2006/relationships/hyperlink" Target="https://www.dcceew.gov.au/sites/default/files/documents/climate-risk-management.pdf" TargetMode="External"/><Relationship Id="rId185" Type="http://schemas.openxmlformats.org/officeDocument/2006/relationships/hyperlink" Target="https://disability.royalcommission.gov.au/"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footer" Target="footer45.xml"/><Relationship Id="rId26" Type="http://schemas.openxmlformats.org/officeDocument/2006/relationships/image" Target="media/image6.jpeg"/><Relationship Id="rId47" Type="http://schemas.openxmlformats.org/officeDocument/2006/relationships/footer" Target="footer9.xml"/><Relationship Id="rId68" Type="http://schemas.openxmlformats.org/officeDocument/2006/relationships/image" Target="media/image12.png"/><Relationship Id="rId89" Type="http://schemas.openxmlformats.org/officeDocument/2006/relationships/hyperlink" Target="https://ndisgovau.sharepoint.com/sites/ENABLINGSERVICESTRANSFORMATIONIMPROVEMENTBRANCH/Shared%20Documents/4.%20Integrated%20Performance%20Improvement%20(IPI)/2.%20Annual%20Report/2024-25/Content/Master/ndis.gov.au/governance/board" TargetMode="External"/><Relationship Id="rId112" Type="http://schemas.openxmlformats.org/officeDocument/2006/relationships/image" Target="media/image25.png"/><Relationship Id="rId133" Type="http://schemas.openxmlformats.org/officeDocument/2006/relationships/header" Target="header54.xml"/><Relationship Id="rId154" Type="http://schemas.openxmlformats.org/officeDocument/2006/relationships/footer" Target="footer36.xml"/><Relationship Id="rId175" Type="http://schemas.openxmlformats.org/officeDocument/2006/relationships/hyperlink" Target="https://www.finance.gov.au/government/climate-action-government-operations/aps-net-zero-emissions-2030" TargetMode="External"/><Relationship Id="rId16" Type="http://schemas.openxmlformats.org/officeDocument/2006/relationships/footer" Target="footer2.xml"/><Relationship Id="rId37" Type="http://schemas.openxmlformats.org/officeDocument/2006/relationships/hyperlink" Target="https://aus01.safelinks.protection.outlook.com/?url=https%3A%2F%2Fwww.ndis.gov.au%2Fstrategies%2Fparticipant-employment-strategy&amp;data=05%7C02%7CBridie.BLACHFORD%40ndis.gov.au%7C1d0c4116cdf6452000ab08ddf7308a61%7Ccd778b65752d454a87cfb9990fe58993%7C0%7C0%7C638938510029908472%7CUnknown%7CTWFpbGZsb3d8eyJFbXB0eU1hcGkiOnRydWUsIlYiOiIwLjAuMDAwMCIsIlAiOiJXaW4zMiIsIkFOIjoiTWFpbCIsIldUIjoyfQ%3D%3D%7C0%7C%7C%7C&amp;sdata=eeIk8vM5qWVZUTrGYedOUrj1C%2FI6MSEpEzjLnEv7caU%3D&amp;reserved=0" TargetMode="External"/><Relationship Id="rId58" Type="http://schemas.openxmlformats.org/officeDocument/2006/relationships/footer" Target="footer14.xml"/><Relationship Id="rId79" Type="http://schemas.openxmlformats.org/officeDocument/2006/relationships/header" Target="header22.xml"/><Relationship Id="rId102" Type="http://schemas.openxmlformats.org/officeDocument/2006/relationships/footer" Target="footer25.xml"/><Relationship Id="rId123" Type="http://schemas.openxmlformats.org/officeDocument/2006/relationships/footer" Target="footer31.xml"/><Relationship Id="rId144" Type="http://schemas.openxmlformats.org/officeDocument/2006/relationships/header" Target="header63.xml"/><Relationship Id="rId90" Type="http://schemas.openxmlformats.org/officeDocument/2006/relationships/header" Target="header28.xml"/><Relationship Id="rId165" Type="http://schemas.openxmlformats.org/officeDocument/2006/relationships/header" Target="header78.xml"/><Relationship Id="rId186" Type="http://schemas.openxmlformats.org/officeDocument/2006/relationships/footer" Target="footer46.xml"/><Relationship Id="rId27" Type="http://schemas.openxmlformats.org/officeDocument/2006/relationships/image" Target="media/image7.png"/><Relationship Id="rId48" Type="http://schemas.openxmlformats.org/officeDocument/2006/relationships/footer" Target="footer10.xml"/><Relationship Id="rId69" Type="http://schemas.openxmlformats.org/officeDocument/2006/relationships/image" Target="media/image13.png"/><Relationship Id="rId113" Type="http://schemas.openxmlformats.org/officeDocument/2006/relationships/image" Target="media/image26.png"/><Relationship Id="rId134" Type="http://schemas.openxmlformats.org/officeDocument/2006/relationships/header" Target="header55.xml"/><Relationship Id="rId80" Type="http://schemas.openxmlformats.org/officeDocument/2006/relationships/header" Target="header23.xml"/><Relationship Id="rId155" Type="http://schemas.openxmlformats.org/officeDocument/2006/relationships/header" Target="header72.xml"/><Relationship Id="rId176" Type="http://schemas.openxmlformats.org/officeDocument/2006/relationships/footer" Target="footer42.xml"/><Relationship Id="rId17" Type="http://schemas.openxmlformats.org/officeDocument/2006/relationships/header" Target="header5.xml"/><Relationship Id="rId38" Type="http://schemas.openxmlformats.org/officeDocument/2006/relationships/hyperlink" Target="https://www.ndis.gov.au/publications/quarterly-reports" TargetMode="External"/><Relationship Id="rId59" Type="http://schemas.openxmlformats.org/officeDocument/2006/relationships/header" Target="header18.xml"/><Relationship Id="rId103" Type="http://schemas.openxmlformats.org/officeDocument/2006/relationships/header" Target="header36.xml"/><Relationship Id="rId124" Type="http://schemas.openxmlformats.org/officeDocument/2006/relationships/header" Target="header46.xml"/><Relationship Id="rId70" Type="http://schemas.openxmlformats.org/officeDocument/2006/relationships/image" Target="media/image14.jpeg"/><Relationship Id="rId91" Type="http://schemas.openxmlformats.org/officeDocument/2006/relationships/header" Target="header29.xml"/><Relationship Id="rId145" Type="http://schemas.openxmlformats.org/officeDocument/2006/relationships/header" Target="header64.xml"/><Relationship Id="rId166" Type="http://schemas.openxmlformats.org/officeDocument/2006/relationships/footer" Target="footer41.xml"/><Relationship Id="rId187" Type="http://schemas.openxmlformats.org/officeDocument/2006/relationships/footer" Target="footer47.xml"/><Relationship Id="rId1" Type="http://schemas.openxmlformats.org/officeDocument/2006/relationships/customXml" Target="../customXml/item1.xml"/><Relationship Id="rId28" Type="http://schemas.openxmlformats.org/officeDocument/2006/relationships/hyperlink" Target="https://www.ndis.gov.au/changes-ndis-legislation" TargetMode="External"/><Relationship Id="rId49" Type="http://schemas.openxmlformats.org/officeDocument/2006/relationships/header" Target="header13.xml"/><Relationship Id="rId114" Type="http://schemas.openxmlformats.org/officeDocument/2006/relationships/header" Target="header40.xml"/><Relationship Id="rId60" Type="http://schemas.openxmlformats.org/officeDocument/2006/relationships/footer" Target="footer15.xml"/><Relationship Id="rId81" Type="http://schemas.openxmlformats.org/officeDocument/2006/relationships/footer" Target="footer17.xml"/><Relationship Id="rId135" Type="http://schemas.openxmlformats.org/officeDocument/2006/relationships/header" Target="header56.xml"/><Relationship Id="rId156" Type="http://schemas.openxmlformats.org/officeDocument/2006/relationships/footer" Target="footer37.xml"/><Relationship Id="rId177" Type="http://schemas.openxmlformats.org/officeDocument/2006/relationships/footer" Target="footer43.xml"/><Relationship Id="rId18" Type="http://schemas.openxmlformats.org/officeDocument/2006/relationships/footer" Target="footer3.xml"/><Relationship Id="rId39" Type="http://schemas.openxmlformats.org/officeDocument/2006/relationships/hyperlink" Target="https://www.ndis.gov.au/news/event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ndis.gov.au/news/9828-reinforcing-sustainable-honest-and-trustworthy-ndis" TargetMode="External"/><Relationship Id="rId2" Type="http://schemas.openxmlformats.org/officeDocument/2006/relationships/hyperlink" Target="https://www.aph.gov.au/Parliamentary_Business/Bills_Legislation/Bills_Search_Results/Result?bId=r7181" TargetMode="External"/><Relationship Id="rId1" Type="http://schemas.openxmlformats.org/officeDocument/2006/relationships/hyperlink" Target="https://dataresearch.ndis.gov.au/reports-and-analyses/previous-annual-financial-sustainability-report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O106\OneDrive%20-%20ndis.gov.au\Desktop\NDIS%20Report%20Template%20for%20Review.dotx" TargetMode="External"/></Relationships>
</file>

<file path=word/theme/theme1.xml><?xml version="1.0" encoding="utf-8"?>
<a:theme xmlns:a="http://schemas.openxmlformats.org/drawingml/2006/main" name="Office Theme">
  <a:themeElements>
    <a:clrScheme name="Custom 1">
      <a:dk1>
        <a:srgbClr val="6B2876"/>
      </a:dk1>
      <a:lt1>
        <a:srgbClr val="F9F9F9"/>
      </a:lt1>
      <a:dk2>
        <a:srgbClr val="6B2876"/>
      </a:dk2>
      <a:lt2>
        <a:srgbClr val="F9FAF9"/>
      </a:lt2>
      <a:accent1>
        <a:srgbClr val="6B2876"/>
      </a:accent1>
      <a:accent2>
        <a:srgbClr val="6B2876"/>
      </a:accent2>
      <a:accent3>
        <a:srgbClr val="6B2876"/>
      </a:accent3>
      <a:accent4>
        <a:srgbClr val="6B2876"/>
      </a:accent4>
      <a:accent5>
        <a:srgbClr val="6B2876"/>
      </a:accent5>
      <a:accent6>
        <a:srgbClr val="000000"/>
      </a:accent6>
      <a:hlink>
        <a:srgbClr val="0563C1"/>
      </a:hlink>
      <a:folHlink>
        <a:srgbClr val="7F8285"/>
      </a:folHlink>
    </a:clrScheme>
    <a:fontScheme name="NDI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7D314338FB7AB46AA642981DE9B9D7A" ma:contentTypeVersion="12" ma:contentTypeDescription="Create a new document." ma:contentTypeScope="" ma:versionID="0651ad0ccc3423988f5da98ffb204ac2">
  <xsd:schema xmlns:xsd="http://www.w3.org/2001/XMLSchema" xmlns:xs="http://www.w3.org/2001/XMLSchema" xmlns:p="http://schemas.microsoft.com/office/2006/metadata/properties" xmlns:ns2="5510f1a2-7575-44f9-bae2-1f5ae0394ecc" xmlns:ns3="608d5f8d-f7a6-4c8d-a6a1-0f796b2b6847" targetNamespace="http://schemas.microsoft.com/office/2006/metadata/properties" ma:root="true" ma:fieldsID="e6cc7bc1f6cc03aa4b5c56896dfaa277" ns2:_="" ns3:_="">
    <xsd:import namespace="5510f1a2-7575-44f9-bae2-1f5ae0394ecc"/>
    <xsd:import namespace="608d5f8d-f7a6-4c8d-a6a1-0f796b2b684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0f1a2-7575-44f9-bae2-1f5ae0394e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8d5f8d-f7a6-4c8d-a6a1-0f796b2b684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7912838-432f-4ceb-b63d-534f9c2fe932}" ma:internalName="TaxCatchAll" ma:showField="CatchAllData" ma:web="608d5f8d-f7a6-4c8d-a6a1-0f796b2b68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510f1a2-7575-44f9-bae2-1f5ae0394ecc">
      <Terms xmlns="http://schemas.microsoft.com/office/infopath/2007/PartnerControls"/>
    </lcf76f155ced4ddcb4097134ff3c332f>
    <TaxCatchAll xmlns="608d5f8d-f7a6-4c8d-a6a1-0f796b2b6847" xsi:nil="true"/>
  </documentManagement>
</p:properties>
</file>

<file path=customXml/itemProps1.xml><?xml version="1.0" encoding="utf-8"?>
<ds:datastoreItem xmlns:ds="http://schemas.openxmlformats.org/officeDocument/2006/customXml" ds:itemID="{89A69E3B-2E69-4E76-90FF-9674736F98CA}">
  <ds:schemaRefs>
    <ds:schemaRef ds:uri="http://schemas.microsoft.com/sharepoint/v3/contenttype/forms"/>
  </ds:schemaRefs>
</ds:datastoreItem>
</file>

<file path=customXml/itemProps2.xml><?xml version="1.0" encoding="utf-8"?>
<ds:datastoreItem xmlns:ds="http://schemas.openxmlformats.org/officeDocument/2006/customXml" ds:itemID="{2122171E-90BF-4907-8266-8DB8C72410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0f1a2-7575-44f9-bae2-1f5ae0394ecc"/>
    <ds:schemaRef ds:uri="608d5f8d-f7a6-4c8d-a6a1-0f796b2b68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A4AC92-220E-4EF7-8079-60B37069D9A0}">
  <ds:schemaRefs>
    <ds:schemaRef ds:uri="http://schemas.openxmlformats.org/officeDocument/2006/bibliography"/>
  </ds:schemaRefs>
</ds:datastoreItem>
</file>

<file path=customXml/itemProps4.xml><?xml version="1.0" encoding="utf-8"?>
<ds:datastoreItem xmlns:ds="http://schemas.openxmlformats.org/officeDocument/2006/customXml" ds:itemID="{31689B0D-D11F-46D6-8965-1D744A93D2D1}">
  <ds:schemaRefs>
    <ds:schemaRef ds:uri="http://schemas.microsoft.com/office/2006/metadata/properties"/>
    <ds:schemaRef ds:uri="http://schemas.microsoft.com/office/infopath/2007/PartnerControls"/>
    <ds:schemaRef ds:uri="66f30785-3033-406d-ad85-6f15c7f15760"/>
    <ds:schemaRef ds:uri="3b2b40ee-b8fe-4b06-ad44-1258380a093b"/>
    <ds:schemaRef ds:uri="5510f1a2-7575-44f9-bae2-1f5ae0394ecc"/>
    <ds:schemaRef ds:uri="608d5f8d-f7a6-4c8d-a6a1-0f796b2b6847"/>
  </ds:schemaRefs>
</ds:datastoreItem>
</file>

<file path=docProps/app.xml><?xml version="1.0" encoding="utf-8"?>
<Properties xmlns="http://schemas.openxmlformats.org/officeDocument/2006/extended-properties" xmlns:vt="http://schemas.openxmlformats.org/officeDocument/2006/docPropsVTypes">
  <Template>NDIS Report Template for Review.dotx</Template>
  <TotalTime>1</TotalTime>
  <Pages>182</Pages>
  <Words>40769</Words>
  <Characters>232389</Characters>
  <Application>Microsoft Office Word</Application>
  <DocSecurity>0</DocSecurity>
  <Lines>1936</Lines>
  <Paragraphs>545</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272613</CharactersWithSpaces>
  <SharedDoc>false</SharedDoc>
  <HLinks>
    <vt:vector size="474" baseType="variant">
      <vt:variant>
        <vt:i4>131195</vt:i4>
      </vt:variant>
      <vt:variant>
        <vt:i4>549</vt:i4>
      </vt:variant>
      <vt:variant>
        <vt:i4>0</vt:i4>
      </vt:variant>
      <vt:variant>
        <vt:i4>5</vt:i4>
      </vt:variant>
      <vt:variant>
        <vt:lpwstr/>
      </vt:variant>
      <vt:variant>
        <vt:lpwstr>_8.7_Privacy_obligations</vt:lpwstr>
      </vt:variant>
      <vt:variant>
        <vt:i4>3145808</vt:i4>
      </vt:variant>
      <vt:variant>
        <vt:i4>546</vt:i4>
      </vt:variant>
      <vt:variant>
        <vt:i4>0</vt:i4>
      </vt:variant>
      <vt:variant>
        <vt:i4>5</vt:i4>
      </vt:variant>
      <vt:variant>
        <vt:lpwstr/>
      </vt:variant>
      <vt:variant>
        <vt:lpwstr>_8.6_Compliance_with</vt:lpwstr>
      </vt:variant>
      <vt:variant>
        <vt:i4>1900553</vt:i4>
      </vt:variant>
      <vt:variant>
        <vt:i4>543</vt:i4>
      </vt:variant>
      <vt:variant>
        <vt:i4>0</vt:i4>
      </vt:variant>
      <vt:variant>
        <vt:i4>5</vt:i4>
      </vt:variant>
      <vt:variant>
        <vt:lpwstr/>
      </vt:variant>
      <vt:variant>
        <vt:lpwstr>_Emissions_reporting</vt:lpwstr>
      </vt:variant>
      <vt:variant>
        <vt:i4>6619143</vt:i4>
      </vt:variant>
      <vt:variant>
        <vt:i4>540</vt:i4>
      </vt:variant>
      <vt:variant>
        <vt:i4>0</vt:i4>
      </vt:variant>
      <vt:variant>
        <vt:i4>5</vt:i4>
      </vt:variant>
      <vt:variant>
        <vt:lpwstr/>
      </vt:variant>
      <vt:variant>
        <vt:lpwstr>_8.5_Climate_statement</vt:lpwstr>
      </vt:variant>
      <vt:variant>
        <vt:i4>721015</vt:i4>
      </vt:variant>
      <vt:variant>
        <vt:i4>537</vt:i4>
      </vt:variant>
      <vt:variant>
        <vt:i4>0</vt:i4>
      </vt:variant>
      <vt:variant>
        <vt:i4>5</vt:i4>
      </vt:variant>
      <vt:variant>
        <vt:lpwstr/>
      </vt:variant>
      <vt:variant>
        <vt:lpwstr>_8.4_Advertising_and</vt:lpwstr>
      </vt:variant>
      <vt:variant>
        <vt:i4>4063255</vt:i4>
      </vt:variant>
      <vt:variant>
        <vt:i4>534</vt:i4>
      </vt:variant>
      <vt:variant>
        <vt:i4>0</vt:i4>
      </vt:variant>
      <vt:variant>
        <vt:i4>5</vt:i4>
      </vt:variant>
      <vt:variant>
        <vt:lpwstr/>
      </vt:variant>
      <vt:variant>
        <vt:lpwstr>_Work_health_and</vt:lpwstr>
      </vt:variant>
      <vt:variant>
        <vt:i4>7602200</vt:i4>
      </vt:variant>
      <vt:variant>
        <vt:i4>531</vt:i4>
      </vt:variant>
      <vt:variant>
        <vt:i4>0</vt:i4>
      </vt:variant>
      <vt:variant>
        <vt:i4>5</vt:i4>
      </vt:variant>
      <vt:variant>
        <vt:lpwstr/>
      </vt:variant>
      <vt:variant>
        <vt:lpwstr>_6.2_Workforce_demographics</vt:lpwstr>
      </vt:variant>
      <vt:variant>
        <vt:i4>7405643</vt:i4>
      </vt:variant>
      <vt:variant>
        <vt:i4>528</vt:i4>
      </vt:variant>
      <vt:variant>
        <vt:i4>0</vt:i4>
      </vt:variant>
      <vt:variant>
        <vt:i4>5</vt:i4>
      </vt:variant>
      <vt:variant>
        <vt:lpwstr/>
      </vt:variant>
      <vt:variant>
        <vt:lpwstr>_Section_3:_Financial</vt:lpwstr>
      </vt:variant>
      <vt:variant>
        <vt:i4>7405643</vt:i4>
      </vt:variant>
      <vt:variant>
        <vt:i4>525</vt:i4>
      </vt:variant>
      <vt:variant>
        <vt:i4>0</vt:i4>
      </vt:variant>
      <vt:variant>
        <vt:i4>5</vt:i4>
      </vt:variant>
      <vt:variant>
        <vt:lpwstr/>
      </vt:variant>
      <vt:variant>
        <vt:lpwstr>_Section_3:_Financial</vt:lpwstr>
      </vt:variant>
      <vt:variant>
        <vt:i4>7405643</vt:i4>
      </vt:variant>
      <vt:variant>
        <vt:i4>522</vt:i4>
      </vt:variant>
      <vt:variant>
        <vt:i4>0</vt:i4>
      </vt:variant>
      <vt:variant>
        <vt:i4>5</vt:i4>
      </vt:variant>
      <vt:variant>
        <vt:lpwstr/>
      </vt:variant>
      <vt:variant>
        <vt:lpwstr>_Section_3:_Financial</vt:lpwstr>
      </vt:variant>
      <vt:variant>
        <vt:i4>7405643</vt:i4>
      </vt:variant>
      <vt:variant>
        <vt:i4>519</vt:i4>
      </vt:variant>
      <vt:variant>
        <vt:i4>0</vt:i4>
      </vt:variant>
      <vt:variant>
        <vt:i4>5</vt:i4>
      </vt:variant>
      <vt:variant>
        <vt:lpwstr/>
      </vt:variant>
      <vt:variant>
        <vt:lpwstr>_Section_3:_Financial</vt:lpwstr>
      </vt:variant>
      <vt:variant>
        <vt:i4>7405643</vt:i4>
      </vt:variant>
      <vt:variant>
        <vt:i4>516</vt:i4>
      </vt:variant>
      <vt:variant>
        <vt:i4>0</vt:i4>
      </vt:variant>
      <vt:variant>
        <vt:i4>5</vt:i4>
      </vt:variant>
      <vt:variant>
        <vt:lpwstr/>
      </vt:variant>
      <vt:variant>
        <vt:lpwstr>_Section_3:_Financial</vt:lpwstr>
      </vt:variant>
      <vt:variant>
        <vt:i4>3801156</vt:i4>
      </vt:variant>
      <vt:variant>
        <vt:i4>513</vt:i4>
      </vt:variant>
      <vt:variant>
        <vt:i4>0</vt:i4>
      </vt:variant>
      <vt:variant>
        <vt:i4>5</vt:i4>
      </vt:variant>
      <vt:variant>
        <vt:lpwstr/>
      </vt:variant>
      <vt:variant>
        <vt:lpwstr>_3.4_Letter_from</vt:lpwstr>
      </vt:variant>
      <vt:variant>
        <vt:i4>7405643</vt:i4>
      </vt:variant>
      <vt:variant>
        <vt:i4>510</vt:i4>
      </vt:variant>
      <vt:variant>
        <vt:i4>0</vt:i4>
      </vt:variant>
      <vt:variant>
        <vt:i4>5</vt:i4>
      </vt:variant>
      <vt:variant>
        <vt:lpwstr/>
      </vt:variant>
      <vt:variant>
        <vt:lpwstr>_Section_3:_Financial</vt:lpwstr>
      </vt:variant>
      <vt:variant>
        <vt:i4>5505146</vt:i4>
      </vt:variant>
      <vt:variant>
        <vt:i4>507</vt:i4>
      </vt:variant>
      <vt:variant>
        <vt:i4>0</vt:i4>
      </vt:variant>
      <vt:variant>
        <vt:i4>5</vt:i4>
      </vt:variant>
      <vt:variant>
        <vt:lpwstr/>
      </vt:variant>
      <vt:variant>
        <vt:lpwstr>_8.10_NDIS_Act</vt:lpwstr>
      </vt:variant>
      <vt:variant>
        <vt:i4>7405643</vt:i4>
      </vt:variant>
      <vt:variant>
        <vt:i4>504</vt:i4>
      </vt:variant>
      <vt:variant>
        <vt:i4>0</vt:i4>
      </vt:variant>
      <vt:variant>
        <vt:i4>5</vt:i4>
      </vt:variant>
      <vt:variant>
        <vt:lpwstr/>
      </vt:variant>
      <vt:variant>
        <vt:lpwstr>_Section_3:_Financial</vt:lpwstr>
      </vt:variant>
      <vt:variant>
        <vt:i4>7405643</vt:i4>
      </vt:variant>
      <vt:variant>
        <vt:i4>501</vt:i4>
      </vt:variant>
      <vt:variant>
        <vt:i4>0</vt:i4>
      </vt:variant>
      <vt:variant>
        <vt:i4>5</vt:i4>
      </vt:variant>
      <vt:variant>
        <vt:lpwstr/>
      </vt:variant>
      <vt:variant>
        <vt:lpwstr>_Section_3:_Financial</vt:lpwstr>
      </vt:variant>
      <vt:variant>
        <vt:i4>5505146</vt:i4>
      </vt:variant>
      <vt:variant>
        <vt:i4>498</vt:i4>
      </vt:variant>
      <vt:variant>
        <vt:i4>0</vt:i4>
      </vt:variant>
      <vt:variant>
        <vt:i4>5</vt:i4>
      </vt:variant>
      <vt:variant>
        <vt:lpwstr/>
      </vt:variant>
      <vt:variant>
        <vt:lpwstr>_8.10_NDIS_Act</vt:lpwstr>
      </vt:variant>
      <vt:variant>
        <vt:i4>5505146</vt:i4>
      </vt:variant>
      <vt:variant>
        <vt:i4>495</vt:i4>
      </vt:variant>
      <vt:variant>
        <vt:i4>0</vt:i4>
      </vt:variant>
      <vt:variant>
        <vt:i4>5</vt:i4>
      </vt:variant>
      <vt:variant>
        <vt:lpwstr/>
      </vt:variant>
      <vt:variant>
        <vt:lpwstr>_8.10_NDIS_Act</vt:lpwstr>
      </vt:variant>
      <vt:variant>
        <vt:i4>262264</vt:i4>
      </vt:variant>
      <vt:variant>
        <vt:i4>492</vt:i4>
      </vt:variant>
      <vt:variant>
        <vt:i4>0</vt:i4>
      </vt:variant>
      <vt:variant>
        <vt:i4>5</vt:i4>
      </vt:variant>
      <vt:variant>
        <vt:lpwstr/>
      </vt:variant>
      <vt:variant>
        <vt:lpwstr>_3.2_Financial_statements</vt:lpwstr>
      </vt:variant>
      <vt:variant>
        <vt:i4>262264</vt:i4>
      </vt:variant>
      <vt:variant>
        <vt:i4>489</vt:i4>
      </vt:variant>
      <vt:variant>
        <vt:i4>0</vt:i4>
      </vt:variant>
      <vt:variant>
        <vt:i4>5</vt:i4>
      </vt:variant>
      <vt:variant>
        <vt:lpwstr/>
      </vt:variant>
      <vt:variant>
        <vt:lpwstr>_3.2_Financial_statements</vt:lpwstr>
      </vt:variant>
      <vt:variant>
        <vt:i4>262264</vt:i4>
      </vt:variant>
      <vt:variant>
        <vt:i4>486</vt:i4>
      </vt:variant>
      <vt:variant>
        <vt:i4>0</vt:i4>
      </vt:variant>
      <vt:variant>
        <vt:i4>5</vt:i4>
      </vt:variant>
      <vt:variant>
        <vt:lpwstr/>
      </vt:variant>
      <vt:variant>
        <vt:lpwstr>_3.2_Financial_statements</vt:lpwstr>
      </vt:variant>
      <vt:variant>
        <vt:i4>262264</vt:i4>
      </vt:variant>
      <vt:variant>
        <vt:i4>483</vt:i4>
      </vt:variant>
      <vt:variant>
        <vt:i4>0</vt:i4>
      </vt:variant>
      <vt:variant>
        <vt:i4>5</vt:i4>
      </vt:variant>
      <vt:variant>
        <vt:lpwstr/>
      </vt:variant>
      <vt:variant>
        <vt:lpwstr>_3.2_Financial_statements</vt:lpwstr>
      </vt:variant>
      <vt:variant>
        <vt:i4>262264</vt:i4>
      </vt:variant>
      <vt:variant>
        <vt:i4>480</vt:i4>
      </vt:variant>
      <vt:variant>
        <vt:i4>0</vt:i4>
      </vt:variant>
      <vt:variant>
        <vt:i4>5</vt:i4>
      </vt:variant>
      <vt:variant>
        <vt:lpwstr/>
      </vt:variant>
      <vt:variant>
        <vt:lpwstr>_3.2_Financial_statements</vt:lpwstr>
      </vt:variant>
      <vt:variant>
        <vt:i4>3276878</vt:i4>
      </vt:variant>
      <vt:variant>
        <vt:i4>477</vt:i4>
      </vt:variant>
      <vt:variant>
        <vt:i4>0</vt:i4>
      </vt:variant>
      <vt:variant>
        <vt:i4>5</vt:i4>
      </vt:variant>
      <vt:variant>
        <vt:lpwstr/>
      </vt:variant>
      <vt:variant>
        <vt:lpwstr>_8.3_Remuneration_tables</vt:lpwstr>
      </vt:variant>
      <vt:variant>
        <vt:i4>7274517</vt:i4>
      </vt:variant>
      <vt:variant>
        <vt:i4>474</vt:i4>
      </vt:variant>
      <vt:variant>
        <vt:i4>0</vt:i4>
      </vt:variant>
      <vt:variant>
        <vt:i4>5</vt:i4>
      </vt:variant>
      <vt:variant>
        <vt:lpwstr/>
      </vt:variant>
      <vt:variant>
        <vt:lpwstr>_6.8_Executive_remuneration</vt:lpwstr>
      </vt:variant>
      <vt:variant>
        <vt:i4>1507455</vt:i4>
      </vt:variant>
      <vt:variant>
        <vt:i4>471</vt:i4>
      </vt:variant>
      <vt:variant>
        <vt:i4>0</vt:i4>
      </vt:variant>
      <vt:variant>
        <vt:i4>5</vt:i4>
      </vt:variant>
      <vt:variant>
        <vt:lpwstr/>
      </vt:variant>
      <vt:variant>
        <vt:lpwstr>_5.3_Board_committees</vt:lpwstr>
      </vt:variant>
      <vt:variant>
        <vt:i4>7667804</vt:i4>
      </vt:variant>
      <vt:variant>
        <vt:i4>468</vt:i4>
      </vt:variant>
      <vt:variant>
        <vt:i4>0</vt:i4>
      </vt:variant>
      <vt:variant>
        <vt:i4>5</vt:i4>
      </vt:variant>
      <vt:variant>
        <vt:lpwstr/>
      </vt:variant>
      <vt:variant>
        <vt:lpwstr>_Indemnities_and_insurance</vt:lpwstr>
      </vt:variant>
      <vt:variant>
        <vt:i4>1179751</vt:i4>
      </vt:variant>
      <vt:variant>
        <vt:i4>465</vt:i4>
      </vt:variant>
      <vt:variant>
        <vt:i4>0</vt:i4>
      </vt:variant>
      <vt:variant>
        <vt:i4>5</vt:i4>
      </vt:variant>
      <vt:variant>
        <vt:lpwstr/>
      </vt:variant>
      <vt:variant>
        <vt:lpwstr>_8.6_Royal_Commission</vt:lpwstr>
      </vt:variant>
      <vt:variant>
        <vt:i4>6946831</vt:i4>
      </vt:variant>
      <vt:variant>
        <vt:i4>462</vt:i4>
      </vt:variant>
      <vt:variant>
        <vt:i4>0</vt:i4>
      </vt:variant>
      <vt:variant>
        <vt:i4>5</vt:i4>
      </vt:variant>
      <vt:variant>
        <vt:lpwstr/>
      </vt:variant>
      <vt:variant>
        <vt:lpwstr>_8.3_Reports_by</vt:lpwstr>
      </vt:variant>
      <vt:variant>
        <vt:i4>5505068</vt:i4>
      </vt:variant>
      <vt:variant>
        <vt:i4>459</vt:i4>
      </vt:variant>
      <vt:variant>
        <vt:i4>0</vt:i4>
      </vt:variant>
      <vt:variant>
        <vt:i4>5</vt:i4>
      </vt:variant>
      <vt:variant>
        <vt:lpwstr/>
      </vt:variant>
      <vt:variant>
        <vt:lpwstr>_8.4_Judicial_decisions</vt:lpwstr>
      </vt:variant>
      <vt:variant>
        <vt:i4>5505068</vt:i4>
      </vt:variant>
      <vt:variant>
        <vt:i4>456</vt:i4>
      </vt:variant>
      <vt:variant>
        <vt:i4>0</vt:i4>
      </vt:variant>
      <vt:variant>
        <vt:i4>5</vt:i4>
      </vt:variant>
      <vt:variant>
        <vt:lpwstr/>
      </vt:variant>
      <vt:variant>
        <vt:lpwstr>_8.4_Judicial_decisions</vt:lpwstr>
      </vt:variant>
      <vt:variant>
        <vt:i4>262264</vt:i4>
      </vt:variant>
      <vt:variant>
        <vt:i4>453</vt:i4>
      </vt:variant>
      <vt:variant>
        <vt:i4>0</vt:i4>
      </vt:variant>
      <vt:variant>
        <vt:i4>5</vt:i4>
      </vt:variant>
      <vt:variant>
        <vt:lpwstr/>
      </vt:variant>
      <vt:variant>
        <vt:lpwstr>_3.2_Financial_statements</vt:lpwstr>
      </vt:variant>
      <vt:variant>
        <vt:i4>524323</vt:i4>
      </vt:variant>
      <vt:variant>
        <vt:i4>450</vt:i4>
      </vt:variant>
      <vt:variant>
        <vt:i4>0</vt:i4>
      </vt:variant>
      <vt:variant>
        <vt:i4>5</vt:i4>
      </vt:variant>
      <vt:variant>
        <vt:lpwstr/>
      </vt:variant>
      <vt:variant>
        <vt:lpwstr>_Section_4:_Management</vt:lpwstr>
      </vt:variant>
      <vt:variant>
        <vt:i4>2228269</vt:i4>
      </vt:variant>
      <vt:variant>
        <vt:i4>447</vt:i4>
      </vt:variant>
      <vt:variant>
        <vt:i4>0</vt:i4>
      </vt:variant>
      <vt:variant>
        <vt:i4>5</vt:i4>
      </vt:variant>
      <vt:variant>
        <vt:lpwstr/>
      </vt:variant>
      <vt:variant>
        <vt:lpwstr>_Enabling_legislation</vt:lpwstr>
      </vt:variant>
      <vt:variant>
        <vt:i4>262264</vt:i4>
      </vt:variant>
      <vt:variant>
        <vt:i4>444</vt:i4>
      </vt:variant>
      <vt:variant>
        <vt:i4>0</vt:i4>
      </vt:variant>
      <vt:variant>
        <vt:i4>5</vt:i4>
      </vt:variant>
      <vt:variant>
        <vt:lpwstr/>
      </vt:variant>
      <vt:variant>
        <vt:lpwstr>_3.2_Financial_statements</vt:lpwstr>
      </vt:variant>
      <vt:variant>
        <vt:i4>524323</vt:i4>
      </vt:variant>
      <vt:variant>
        <vt:i4>441</vt:i4>
      </vt:variant>
      <vt:variant>
        <vt:i4>0</vt:i4>
      </vt:variant>
      <vt:variant>
        <vt:i4>5</vt:i4>
      </vt:variant>
      <vt:variant>
        <vt:lpwstr/>
      </vt:variant>
      <vt:variant>
        <vt:lpwstr>_Section_4:_Management</vt:lpwstr>
      </vt:variant>
      <vt:variant>
        <vt:i4>5767272</vt:i4>
      </vt:variant>
      <vt:variant>
        <vt:i4>438</vt:i4>
      </vt:variant>
      <vt:variant>
        <vt:i4>0</vt:i4>
      </vt:variant>
      <vt:variant>
        <vt:i4>5</vt:i4>
      </vt:variant>
      <vt:variant>
        <vt:lpwstr/>
      </vt:variant>
      <vt:variant>
        <vt:lpwstr>_Location_of_major</vt:lpwstr>
      </vt:variant>
      <vt:variant>
        <vt:i4>5373996</vt:i4>
      </vt:variant>
      <vt:variant>
        <vt:i4>435</vt:i4>
      </vt:variant>
      <vt:variant>
        <vt:i4>0</vt:i4>
      </vt:variant>
      <vt:variant>
        <vt:i4>5</vt:i4>
      </vt:variant>
      <vt:variant>
        <vt:lpwstr/>
      </vt:variant>
      <vt:variant>
        <vt:lpwstr>_8.2_Judicial_decisions</vt:lpwstr>
      </vt:variant>
      <vt:variant>
        <vt:i4>3604536</vt:i4>
      </vt:variant>
      <vt:variant>
        <vt:i4>432</vt:i4>
      </vt:variant>
      <vt:variant>
        <vt:i4>0</vt:i4>
      </vt:variant>
      <vt:variant>
        <vt:i4>5</vt:i4>
      </vt:variant>
      <vt:variant>
        <vt:lpwstr/>
      </vt:variant>
      <vt:variant>
        <vt:lpwstr>_Organisational_structure</vt:lpwstr>
      </vt:variant>
      <vt:variant>
        <vt:i4>6750213</vt:i4>
      </vt:variant>
      <vt:variant>
        <vt:i4>429</vt:i4>
      </vt:variant>
      <vt:variant>
        <vt:i4>0</vt:i4>
      </vt:variant>
      <vt:variant>
        <vt:i4>5</vt:i4>
      </vt:variant>
      <vt:variant>
        <vt:lpwstr/>
      </vt:variant>
      <vt:variant>
        <vt:lpwstr>_8.1_Accountable_authority</vt:lpwstr>
      </vt:variant>
      <vt:variant>
        <vt:i4>2162717</vt:i4>
      </vt:variant>
      <vt:variant>
        <vt:i4>426</vt:i4>
      </vt:variant>
      <vt:variant>
        <vt:i4>0</vt:i4>
      </vt:variant>
      <vt:variant>
        <vt:i4>5</vt:i4>
      </vt:variant>
      <vt:variant>
        <vt:lpwstr/>
      </vt:variant>
      <vt:variant>
        <vt:lpwstr>_Related_entity_transactions</vt:lpwstr>
      </vt:variant>
      <vt:variant>
        <vt:i4>852010</vt:i4>
      </vt:variant>
      <vt:variant>
        <vt:i4>423</vt:i4>
      </vt:variant>
      <vt:variant>
        <vt:i4>0</vt:i4>
      </vt:variant>
      <vt:variant>
        <vt:i4>5</vt:i4>
      </vt:variant>
      <vt:variant>
        <vt:lpwstr/>
      </vt:variant>
      <vt:variant>
        <vt:lpwstr>_Section_2:_Annual</vt:lpwstr>
      </vt:variant>
      <vt:variant>
        <vt:i4>5439586</vt:i4>
      </vt:variant>
      <vt:variant>
        <vt:i4>420</vt:i4>
      </vt:variant>
      <vt:variant>
        <vt:i4>0</vt:i4>
      </vt:variant>
      <vt:variant>
        <vt:i4>5</vt:i4>
      </vt:variant>
      <vt:variant>
        <vt:lpwstr/>
      </vt:variant>
      <vt:variant>
        <vt:lpwstr>_Ministerial_directions_and</vt:lpwstr>
      </vt:variant>
      <vt:variant>
        <vt:i4>5439586</vt:i4>
      </vt:variant>
      <vt:variant>
        <vt:i4>417</vt:i4>
      </vt:variant>
      <vt:variant>
        <vt:i4>0</vt:i4>
      </vt:variant>
      <vt:variant>
        <vt:i4>5</vt:i4>
      </vt:variant>
      <vt:variant>
        <vt:lpwstr/>
      </vt:variant>
      <vt:variant>
        <vt:lpwstr>_Ministerial_directions_and</vt:lpwstr>
      </vt:variant>
      <vt:variant>
        <vt:i4>5439586</vt:i4>
      </vt:variant>
      <vt:variant>
        <vt:i4>414</vt:i4>
      </vt:variant>
      <vt:variant>
        <vt:i4>0</vt:i4>
      </vt:variant>
      <vt:variant>
        <vt:i4>5</vt:i4>
      </vt:variant>
      <vt:variant>
        <vt:lpwstr/>
      </vt:variant>
      <vt:variant>
        <vt:lpwstr>_Ministerial_directions_and</vt:lpwstr>
      </vt:variant>
      <vt:variant>
        <vt:i4>983050</vt:i4>
      </vt:variant>
      <vt:variant>
        <vt:i4>411</vt:i4>
      </vt:variant>
      <vt:variant>
        <vt:i4>0</vt:i4>
      </vt:variant>
      <vt:variant>
        <vt:i4>5</vt:i4>
      </vt:variant>
      <vt:variant>
        <vt:lpwstr/>
      </vt:variant>
      <vt:variant>
        <vt:lpwstr>_Responsible_Minister</vt:lpwstr>
      </vt:variant>
      <vt:variant>
        <vt:i4>5177462</vt:i4>
      </vt:variant>
      <vt:variant>
        <vt:i4>408</vt:i4>
      </vt:variant>
      <vt:variant>
        <vt:i4>0</vt:i4>
      </vt:variant>
      <vt:variant>
        <vt:i4>5</vt:i4>
      </vt:variant>
      <vt:variant>
        <vt:lpwstr/>
      </vt:variant>
      <vt:variant>
        <vt:lpwstr>_2.11.3_The_National</vt:lpwstr>
      </vt:variant>
      <vt:variant>
        <vt:i4>2228269</vt:i4>
      </vt:variant>
      <vt:variant>
        <vt:i4>405</vt:i4>
      </vt:variant>
      <vt:variant>
        <vt:i4>0</vt:i4>
      </vt:variant>
      <vt:variant>
        <vt:i4>5</vt:i4>
      </vt:variant>
      <vt:variant>
        <vt:lpwstr/>
      </vt:variant>
      <vt:variant>
        <vt:lpwstr>_Enabling_legislation</vt:lpwstr>
      </vt:variant>
      <vt:variant>
        <vt:i4>4784201</vt:i4>
      </vt:variant>
      <vt:variant>
        <vt:i4>402</vt:i4>
      </vt:variant>
      <vt:variant>
        <vt:i4>0</vt:i4>
      </vt:variant>
      <vt:variant>
        <vt:i4>5</vt:i4>
      </vt:variant>
      <vt:variant>
        <vt:lpwstr/>
      </vt:variant>
      <vt:variant>
        <vt:lpwstr>_NDIA_functions</vt:lpwstr>
      </vt:variant>
      <vt:variant>
        <vt:i4>2228269</vt:i4>
      </vt:variant>
      <vt:variant>
        <vt:i4>399</vt:i4>
      </vt:variant>
      <vt:variant>
        <vt:i4>0</vt:i4>
      </vt:variant>
      <vt:variant>
        <vt:i4>5</vt:i4>
      </vt:variant>
      <vt:variant>
        <vt:lpwstr/>
      </vt:variant>
      <vt:variant>
        <vt:lpwstr>_Enabling_legislation</vt:lpwstr>
      </vt:variant>
      <vt:variant>
        <vt:i4>3014764</vt:i4>
      </vt:variant>
      <vt:variant>
        <vt:i4>396</vt:i4>
      </vt:variant>
      <vt:variant>
        <vt:i4>0</vt:i4>
      </vt:variant>
      <vt:variant>
        <vt:i4>5</vt:i4>
      </vt:variant>
      <vt:variant>
        <vt:lpwstr>https://disability.royalcommission.gov.au/</vt:lpwstr>
      </vt:variant>
      <vt:variant>
        <vt:lpwstr/>
      </vt:variant>
      <vt:variant>
        <vt:i4>8060988</vt:i4>
      </vt:variant>
      <vt:variant>
        <vt:i4>393</vt:i4>
      </vt:variant>
      <vt:variant>
        <vt:i4>0</vt:i4>
      </vt:variant>
      <vt:variant>
        <vt:i4>5</vt:i4>
      </vt:variant>
      <vt:variant>
        <vt:lpwstr>https://www.ndisreview.gov.au/</vt:lpwstr>
      </vt:variant>
      <vt:variant>
        <vt:lpwstr/>
      </vt:variant>
      <vt:variant>
        <vt:i4>6160391</vt:i4>
      </vt:variant>
      <vt:variant>
        <vt:i4>390</vt:i4>
      </vt:variant>
      <vt:variant>
        <vt:i4>0</vt:i4>
      </vt:variant>
      <vt:variant>
        <vt:i4>5</vt:i4>
      </vt:variant>
      <vt:variant>
        <vt:lpwstr>https://www.ndis.gov.au/about-us/improving-ndis/changes-ndis-legislation</vt:lpwstr>
      </vt:variant>
      <vt:variant>
        <vt:lpwstr/>
      </vt:variant>
      <vt:variant>
        <vt:i4>2818103</vt:i4>
      </vt:variant>
      <vt:variant>
        <vt:i4>387</vt:i4>
      </vt:variant>
      <vt:variant>
        <vt:i4>0</vt:i4>
      </vt:variant>
      <vt:variant>
        <vt:i4>5</vt:i4>
      </vt:variant>
      <vt:variant>
        <vt:lpwstr>https://www.legislation.gov.au/C2024A00040/latest/text</vt:lpwstr>
      </vt:variant>
      <vt:variant>
        <vt:lpwstr/>
      </vt:variant>
      <vt:variant>
        <vt:i4>8126520</vt:i4>
      </vt:variant>
      <vt:variant>
        <vt:i4>384</vt:i4>
      </vt:variant>
      <vt:variant>
        <vt:i4>0</vt:i4>
      </vt:variant>
      <vt:variant>
        <vt:i4>5</vt:i4>
      </vt:variant>
      <vt:variant>
        <vt:lpwstr>https://en.wikipedia.org/wiki/Administrative_Review_Tribunal</vt:lpwstr>
      </vt:variant>
      <vt:variant>
        <vt:lpwstr/>
      </vt:variant>
      <vt:variant>
        <vt:i4>7602299</vt:i4>
      </vt:variant>
      <vt:variant>
        <vt:i4>381</vt:i4>
      </vt:variant>
      <vt:variant>
        <vt:i4>0</vt:i4>
      </vt:variant>
      <vt:variant>
        <vt:i4>5</vt:i4>
      </vt:variant>
      <vt:variant>
        <vt:lpwstr>https://www.finance.gov.au/government/climate-action-government-operations/aps-net-zero-emissions-2030</vt:lpwstr>
      </vt:variant>
      <vt:variant>
        <vt:lpwstr/>
      </vt:variant>
      <vt:variant>
        <vt:i4>7602299</vt:i4>
      </vt:variant>
      <vt:variant>
        <vt:i4>378</vt:i4>
      </vt:variant>
      <vt:variant>
        <vt:i4>0</vt:i4>
      </vt:variant>
      <vt:variant>
        <vt:i4>5</vt:i4>
      </vt:variant>
      <vt:variant>
        <vt:lpwstr>https://www.finance.gov.au/government/climate-action-government-operations/aps-net-zero-emissions-2030</vt:lpwstr>
      </vt:variant>
      <vt:variant>
        <vt:lpwstr/>
      </vt:variant>
      <vt:variant>
        <vt:i4>4521992</vt:i4>
      </vt:variant>
      <vt:variant>
        <vt:i4>375</vt:i4>
      </vt:variant>
      <vt:variant>
        <vt:i4>0</vt:i4>
      </vt:variant>
      <vt:variant>
        <vt:i4>5</vt:i4>
      </vt:variant>
      <vt:variant>
        <vt:lpwstr>https://www.finance.gov.au/government/climate-action-government-operations/australian-government-emissions-reporting</vt:lpwstr>
      </vt:variant>
      <vt:variant>
        <vt:lpwstr/>
      </vt:variant>
      <vt:variant>
        <vt:i4>7602299</vt:i4>
      </vt:variant>
      <vt:variant>
        <vt:i4>372</vt:i4>
      </vt:variant>
      <vt:variant>
        <vt:i4>0</vt:i4>
      </vt:variant>
      <vt:variant>
        <vt:i4>5</vt:i4>
      </vt:variant>
      <vt:variant>
        <vt:lpwstr>https://www.finance.gov.au/government/climate-action-government-operations/aps-net-zero-emissions-2030</vt:lpwstr>
      </vt:variant>
      <vt:variant>
        <vt:lpwstr/>
      </vt:variant>
      <vt:variant>
        <vt:i4>7143477</vt:i4>
      </vt:variant>
      <vt:variant>
        <vt:i4>369</vt:i4>
      </vt:variant>
      <vt:variant>
        <vt:i4>0</vt:i4>
      </vt:variant>
      <vt:variant>
        <vt:i4>5</vt:i4>
      </vt:variant>
      <vt:variant>
        <vt:lpwstr>https://www.climatechangeinaustralia.gov.au/en/</vt:lpwstr>
      </vt:variant>
      <vt:variant>
        <vt:lpwstr/>
      </vt:variant>
      <vt:variant>
        <vt:i4>3342451</vt:i4>
      </vt:variant>
      <vt:variant>
        <vt:i4>366</vt:i4>
      </vt:variant>
      <vt:variant>
        <vt:i4>0</vt:i4>
      </vt:variant>
      <vt:variant>
        <vt:i4>5</vt:i4>
      </vt:variant>
      <vt:variant>
        <vt:lpwstr>https://www.dcceew.gov.au/climate-change/publications/climate-risk-opportunity-management-program-resources</vt:lpwstr>
      </vt:variant>
      <vt:variant>
        <vt:lpwstr/>
      </vt:variant>
      <vt:variant>
        <vt:i4>7471207</vt:i4>
      </vt:variant>
      <vt:variant>
        <vt:i4>363</vt:i4>
      </vt:variant>
      <vt:variant>
        <vt:i4>0</vt:i4>
      </vt:variant>
      <vt:variant>
        <vt:i4>5</vt:i4>
      </vt:variant>
      <vt:variant>
        <vt:lpwstr>https://www.dcceew.gov.au/sites/default/files/documents/climate-risk-management.pdf</vt:lpwstr>
      </vt:variant>
      <vt:variant>
        <vt:lpwstr/>
      </vt:variant>
      <vt:variant>
        <vt:i4>7340083</vt:i4>
      </vt:variant>
      <vt:variant>
        <vt:i4>360</vt:i4>
      </vt:variant>
      <vt:variant>
        <vt:i4>0</vt:i4>
      </vt:variant>
      <vt:variant>
        <vt:i4>5</vt:i4>
      </vt:variant>
      <vt:variant>
        <vt:lpwstr>https://www.finance.gov.au/government/climate-action-government-operations/commonwealth-climate-disclosure-requirements</vt:lpwstr>
      </vt:variant>
      <vt:variant>
        <vt:lpwstr/>
      </vt:variant>
      <vt:variant>
        <vt:i4>1179662</vt:i4>
      </vt:variant>
      <vt:variant>
        <vt:i4>204</vt:i4>
      </vt:variant>
      <vt:variant>
        <vt:i4>0</vt:i4>
      </vt:variant>
      <vt:variant>
        <vt:i4>5</vt:i4>
      </vt:variant>
      <vt:variant>
        <vt:lpwstr>https://ndisgovau.sharepoint.com/sites/ENABLINGSERVICESTRANSFORMATIONIMPROVEMENTBRANCH/Shared Documents/4. Integrated Performance Improvement (IPI)/2. Annual Report/2024-25/Content/Master/ndis.gov.au/governance/board</vt:lpwstr>
      </vt:variant>
      <vt:variant>
        <vt:lpwstr/>
      </vt:variant>
      <vt:variant>
        <vt:i4>8257586</vt:i4>
      </vt:variant>
      <vt:variant>
        <vt:i4>201</vt:i4>
      </vt:variant>
      <vt:variant>
        <vt:i4>0</vt:i4>
      </vt:variant>
      <vt:variant>
        <vt:i4>5</vt:i4>
      </vt:variant>
      <vt:variant>
        <vt:lpwstr>https://www.ndis.gov.au/publications/quarterly-reports</vt:lpwstr>
      </vt:variant>
      <vt:variant>
        <vt:lpwstr/>
      </vt:variant>
      <vt:variant>
        <vt:i4>2883684</vt:i4>
      </vt:variant>
      <vt:variant>
        <vt:i4>198</vt:i4>
      </vt:variant>
      <vt:variant>
        <vt:i4>0</vt:i4>
      </vt:variant>
      <vt:variant>
        <vt:i4>5</vt:i4>
      </vt:variant>
      <vt:variant>
        <vt:lpwstr>https://www.ndis.gov.au/about-us/service-charter/participant-service-guarantee</vt:lpwstr>
      </vt:variant>
      <vt:variant>
        <vt:lpwstr/>
      </vt:variant>
      <vt:variant>
        <vt:i4>5767238</vt:i4>
      </vt:variant>
      <vt:variant>
        <vt:i4>195</vt:i4>
      </vt:variant>
      <vt:variant>
        <vt:i4>0</vt:i4>
      </vt:variant>
      <vt:variant>
        <vt:i4>5</vt:i4>
      </vt:variant>
      <vt:variant>
        <vt:lpwstr>https://www.ndis.gov.au/understanding/supports-funded-ndis/reasonable-and-necessary-supports</vt:lpwstr>
      </vt:variant>
      <vt:variant>
        <vt:lpwstr/>
      </vt:variant>
      <vt:variant>
        <vt:i4>3670055</vt:i4>
      </vt:variant>
      <vt:variant>
        <vt:i4>192</vt:i4>
      </vt:variant>
      <vt:variant>
        <vt:i4>0</vt:i4>
      </vt:variant>
      <vt:variant>
        <vt:i4>5</vt:i4>
      </vt:variant>
      <vt:variant>
        <vt:lpwstr>https://www.ndis.gov.au/our-guidelines</vt:lpwstr>
      </vt:variant>
      <vt:variant>
        <vt:lpwstr/>
      </vt:variant>
      <vt:variant>
        <vt:i4>6094962</vt:i4>
      </vt:variant>
      <vt:variant>
        <vt:i4>189</vt:i4>
      </vt:variant>
      <vt:variant>
        <vt:i4>0</vt:i4>
      </vt:variant>
      <vt:variant>
        <vt:i4>5</vt:i4>
      </vt:variant>
      <vt:variant>
        <vt:lpwstr>https://dataresearch.ndis.gov.au/reports-and-analyses/outcomes-and-goals/participant-families-and-carer-outcomes-reports?_gl=1*eps4e1*_gcl_au*MjEwNTg2ODAxMS4xNzQ5NjIxNDY1</vt:lpwstr>
      </vt:variant>
      <vt:variant>
        <vt:lpwstr/>
      </vt:variant>
      <vt:variant>
        <vt:i4>6422643</vt:i4>
      </vt:variant>
      <vt:variant>
        <vt:i4>186</vt:i4>
      </vt:variant>
      <vt:variant>
        <vt:i4>0</vt:i4>
      </vt:variant>
      <vt:variant>
        <vt:i4>5</vt:i4>
      </vt:variant>
      <vt:variant>
        <vt:lpwstr>https://www.ndis.gov.au/news/events</vt:lpwstr>
      </vt:variant>
      <vt:variant>
        <vt:lpwstr/>
      </vt:variant>
      <vt:variant>
        <vt:i4>8257586</vt:i4>
      </vt:variant>
      <vt:variant>
        <vt:i4>183</vt:i4>
      </vt:variant>
      <vt:variant>
        <vt:i4>0</vt:i4>
      </vt:variant>
      <vt:variant>
        <vt:i4>5</vt:i4>
      </vt:variant>
      <vt:variant>
        <vt:lpwstr>https://www.ndis.gov.au/publications/quarterly-reports</vt:lpwstr>
      </vt:variant>
      <vt:variant>
        <vt:lpwstr/>
      </vt:variant>
      <vt:variant>
        <vt:i4>7995488</vt:i4>
      </vt:variant>
      <vt:variant>
        <vt:i4>180</vt:i4>
      </vt:variant>
      <vt:variant>
        <vt:i4>0</vt:i4>
      </vt:variant>
      <vt:variant>
        <vt:i4>5</vt:i4>
      </vt:variant>
      <vt:variant>
        <vt:lpwstr>https://aus01.safelinks.protection.outlook.com/?url=https%3A%2F%2Fwww.ndis.gov.au%2Fstrategies%2Fparticipant-employment-strategy&amp;data=05%7C02%7CBridie.BLACHFORD%40ndis.gov.au%7C1d0c4116cdf6452000ab08ddf7308a61%7Ccd778b65752d454a87cfb9990fe58993%7C0%7C0%7C638938510029908472%7CUnknown%7CTWFpbGZsb3d8eyJFbXB0eU1hcGkiOnRydWUsIlYiOiIwLjAuMDAwMCIsIlAiOiJXaW4zMiIsIkFOIjoiTWFpbCIsIldUIjoyfQ%3D%3D%7C0%7C%7C%7C&amp;sdata=eeIk8vM5qWVZUTrGYedOUrj1C%2FI6MSEpEzjLnEv7caU%3D&amp;reserved=0</vt:lpwstr>
      </vt:variant>
      <vt:variant>
        <vt:lpwstr/>
      </vt:variant>
      <vt:variant>
        <vt:i4>6619168</vt:i4>
      </vt:variant>
      <vt:variant>
        <vt:i4>177</vt:i4>
      </vt:variant>
      <vt:variant>
        <vt:i4>0</vt:i4>
      </vt:variant>
      <vt:variant>
        <vt:i4>5</vt:i4>
      </vt:variant>
      <vt:variant>
        <vt:lpwstr>https://ourguidelines.ndis.gov.au/</vt:lpwstr>
      </vt:variant>
      <vt:variant>
        <vt:lpwstr/>
      </vt:variant>
      <vt:variant>
        <vt:i4>65650</vt:i4>
      </vt:variant>
      <vt:variant>
        <vt:i4>174</vt:i4>
      </vt:variant>
      <vt:variant>
        <vt:i4>0</vt:i4>
      </vt:variant>
      <vt:variant>
        <vt:i4>5</vt:i4>
      </vt:variant>
      <vt:variant>
        <vt:lpwstr>https://dataresearch.ndis.gov.au/reports-and-analyses/outcomes-and-goals?_gl=1*1yz99dn*_gcl_au*MTE4OTExODI3Mi4xNzUxODQ0OTEy</vt:lpwstr>
      </vt:variant>
      <vt:variant>
        <vt:lpwstr/>
      </vt:variant>
      <vt:variant>
        <vt:i4>4653082</vt:i4>
      </vt:variant>
      <vt:variant>
        <vt:i4>171</vt:i4>
      </vt:variant>
      <vt:variant>
        <vt:i4>0</vt:i4>
      </vt:variant>
      <vt:variant>
        <vt:i4>5</vt:i4>
      </vt:variant>
      <vt:variant>
        <vt:lpwstr>https://www.ndis.gov.au/changes-ndis-legislation</vt:lpwstr>
      </vt:variant>
      <vt:variant>
        <vt:lpwstr/>
      </vt:variant>
      <vt:variant>
        <vt:i4>5701724</vt:i4>
      </vt:variant>
      <vt:variant>
        <vt:i4>6</vt:i4>
      </vt:variant>
      <vt:variant>
        <vt:i4>0</vt:i4>
      </vt:variant>
      <vt:variant>
        <vt:i4>5</vt:i4>
      </vt:variant>
      <vt:variant>
        <vt:lpwstr>https://www.ndis.gov.au/news/9828-reinforcing-sustainable-honest-and-trustworthy-ndis</vt:lpwstr>
      </vt:variant>
      <vt:variant>
        <vt:lpwstr/>
      </vt:variant>
      <vt:variant>
        <vt:i4>5046294</vt:i4>
      </vt:variant>
      <vt:variant>
        <vt:i4>3</vt:i4>
      </vt:variant>
      <vt:variant>
        <vt:i4>0</vt:i4>
      </vt:variant>
      <vt:variant>
        <vt:i4>5</vt:i4>
      </vt:variant>
      <vt:variant>
        <vt:lpwstr>https://www.aph.gov.au/Parliamentary_Business/Bills_Legislation/Bills_Search_Results/Result?bId=r7181</vt:lpwstr>
      </vt:variant>
      <vt:variant>
        <vt:lpwstr/>
      </vt:variant>
      <vt:variant>
        <vt:i4>2883633</vt:i4>
      </vt:variant>
      <vt:variant>
        <vt:i4>0</vt:i4>
      </vt:variant>
      <vt:variant>
        <vt:i4>0</vt:i4>
      </vt:variant>
      <vt:variant>
        <vt:i4>5</vt:i4>
      </vt:variant>
      <vt:variant>
        <vt:lpwstr>https://dataresearch.ndis.gov.au/reports-and-analyses/previous-annual-financial-sustainability-reports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NDIA Annual Report 2024-25</dc:title>
  <dc:subject/>
  <dc:creator>Blachford, Bridie</dc:creator>
  <cp:keywords/>
  <dc:description/>
  <cp:lastModifiedBy>Dakin, Petrina</cp:lastModifiedBy>
  <cp:revision>2</cp:revision>
  <cp:lastPrinted>2025-09-24T14:30:00Z</cp:lastPrinted>
  <dcterms:created xsi:type="dcterms:W3CDTF">2025-10-30T22:23:00Z</dcterms:created>
  <dcterms:modified xsi:type="dcterms:W3CDTF">2025-10-30T22:23:00Z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NDIAAudience">
    <vt:lpwstr>1;#All staff|60152733-a6e9-4070-8d91-7ad5c325687c</vt:lpwstr>
  </property>
  <property fmtid="{D5CDD505-2E9C-101B-9397-08002B2CF9AE}" pid="4" name="DocumentStatus">
    <vt:lpwstr>12;#Approved|38d2d1ad-195e-4428-a55d-25a6b10fdc1d</vt:lpwstr>
  </property>
  <property fmtid="{D5CDD505-2E9C-101B-9397-08002B2CF9AE}" pid="5" name="NDIALocation">
    <vt:lpwstr>2;#Australia-wide|128ca0ae-5e24-49e1-a2ce-f7dc74366abc</vt:lpwstr>
  </property>
  <property fmtid="{D5CDD505-2E9C-101B-9397-08002B2CF9AE}" pid="6" name="DocumentType">
    <vt:lpwstr>20;#Template|134e8c49-a2b9-47ae-b156-db0bee5ca248</vt:lpwstr>
  </property>
  <property fmtid="{D5CDD505-2E9C-101B-9397-08002B2CF9AE}" pid="7" name="NDIALocation_1">
    <vt:lpwstr>Australia-wide|128ca0ae-5e24-49e1-a2ce-f7dc74366abc</vt:lpwstr>
  </property>
  <property fmtid="{D5CDD505-2E9C-101B-9397-08002B2CF9AE}" pid="8" name="DocumentStatus_1">
    <vt:lpwstr>Approved|38d2d1ad-195e-4428-a55d-25a6b10fdc1d</vt:lpwstr>
  </property>
  <property fmtid="{D5CDD505-2E9C-101B-9397-08002B2CF9AE}" pid="9" name="NDIAAudience_1">
    <vt:lpwstr>All staff|60152733-a6e9-4070-8d91-7ad5c325687c</vt:lpwstr>
  </property>
  <property fmtid="{D5CDD505-2E9C-101B-9397-08002B2CF9AE}" pid="10" name="TaxKeywordTaxHTField">
    <vt:lpwstr/>
  </property>
  <property fmtid="{D5CDD505-2E9C-101B-9397-08002B2CF9AE}" pid="11" name="DocumentType_1">
    <vt:lpwstr>Template|134e8c49-a2b9-47ae-b156-db0bee5ca248</vt:lpwstr>
  </property>
  <property fmtid="{D5CDD505-2E9C-101B-9397-08002B2CF9AE}" pid="12" name="ApprovedDate">
    <vt:lpwstr/>
  </property>
  <property fmtid="{D5CDD505-2E9C-101B-9397-08002B2CF9AE}" pid="13" name="ReviewDate">
    <vt:lpwstr/>
  </property>
  <property fmtid="{D5CDD505-2E9C-101B-9397-08002B2CF9AE}" pid="14" name="EffectiveDate">
    <vt:lpwstr/>
  </property>
  <property fmtid="{D5CDD505-2E9C-101B-9397-08002B2CF9AE}" pid="15" name="ResponsibleTeam">
    <vt:lpwstr/>
  </property>
  <property fmtid="{D5CDD505-2E9C-101B-9397-08002B2CF9AE}" pid="16" name="DocumentID">
    <vt:lpwstr/>
  </property>
  <property fmtid="{D5CDD505-2E9C-101B-9397-08002B2CF9AE}" pid="17" name="Subject matter">
    <vt:lpwstr/>
  </property>
  <property fmtid="{D5CDD505-2E9C-101B-9397-08002B2CF9AE}" pid="18" name="MSIP_Label_2b83f8d7-e91f-4eee-a336-52a8061c0503_Enabled">
    <vt:lpwstr>true</vt:lpwstr>
  </property>
  <property fmtid="{D5CDD505-2E9C-101B-9397-08002B2CF9AE}" pid="19" name="MSIP_Label_2b83f8d7-e91f-4eee-a336-52a8061c0503_SetDate">
    <vt:lpwstr>2023-02-02T01:29:46Z</vt:lpwstr>
  </property>
  <property fmtid="{D5CDD505-2E9C-101B-9397-08002B2CF9AE}" pid="20" name="MSIP_Label_2b83f8d7-e91f-4eee-a336-52a8061c0503_Method">
    <vt:lpwstr>Privileged</vt:lpwstr>
  </property>
  <property fmtid="{D5CDD505-2E9C-101B-9397-08002B2CF9AE}" pid="21" name="MSIP_Label_2b83f8d7-e91f-4eee-a336-52a8061c0503_Name">
    <vt:lpwstr>OFFICIAL</vt:lpwstr>
  </property>
  <property fmtid="{D5CDD505-2E9C-101B-9397-08002B2CF9AE}" pid="22" name="MSIP_Label_2b83f8d7-e91f-4eee-a336-52a8061c0503_SiteId">
    <vt:lpwstr>cd778b65-752d-454a-87cf-b9990fe58993</vt:lpwstr>
  </property>
  <property fmtid="{D5CDD505-2E9C-101B-9397-08002B2CF9AE}" pid="23" name="MSIP_Label_2b83f8d7-e91f-4eee-a336-52a8061c0503_ActionId">
    <vt:lpwstr>fe9a938b-ad0e-4317-89a9-793d7b467571</vt:lpwstr>
  </property>
  <property fmtid="{D5CDD505-2E9C-101B-9397-08002B2CF9AE}" pid="24" name="MSIP_Label_2b83f8d7-e91f-4eee-a336-52a8061c0503_ContentBits">
    <vt:lpwstr>0</vt:lpwstr>
  </property>
  <property fmtid="{D5CDD505-2E9C-101B-9397-08002B2CF9AE}" pid="25" name="ContentTypeId">
    <vt:lpwstr>0x01010057D314338FB7AB46AA642981DE9B9D7A</vt:lpwstr>
  </property>
  <property fmtid="{D5CDD505-2E9C-101B-9397-08002B2CF9AE}" pid="26" name="MediaServiceImageTags">
    <vt:lpwstr/>
  </property>
  <property fmtid="{D5CDD505-2E9C-101B-9397-08002B2CF9AE}" pid="27" name="Order">
    <vt:r8>1804900</vt:r8>
  </property>
  <property fmtid="{D5CDD505-2E9C-101B-9397-08002B2CF9AE}" pid="28" name="xd_Signature">
    <vt:bool>false</vt:bool>
  </property>
  <property fmtid="{D5CDD505-2E9C-101B-9397-08002B2CF9AE}" pid="29" name="xd_ProgID">
    <vt:lpwstr/>
  </property>
  <property fmtid="{D5CDD505-2E9C-101B-9397-08002B2CF9AE}" pid="30" name="ComplianceAssetId">
    <vt:lpwstr/>
  </property>
  <property fmtid="{D5CDD505-2E9C-101B-9397-08002B2CF9AE}" pid="31" name="TemplateUrl">
    <vt:lpwstr/>
  </property>
  <property fmtid="{D5CDD505-2E9C-101B-9397-08002B2CF9AE}" pid="32" name="_ExtendedDescription">
    <vt:lpwstr/>
  </property>
  <property fmtid="{D5CDD505-2E9C-101B-9397-08002B2CF9AE}" pid="33" name="TriggerFlowInfo">
    <vt:lpwstr/>
  </property>
  <property fmtid="{D5CDD505-2E9C-101B-9397-08002B2CF9AE}" pid="34" name="docLang">
    <vt:lpwstr>en</vt:lpwstr>
  </property>
</Properties>
</file>