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1D" w:rsidRDefault="00A165E6" w:rsidP="006C731D">
      <w:pPr>
        <w:pStyle w:val="Title"/>
        <w:jc w:val="center"/>
        <w:rPr>
          <w:rStyle w:val="BookTitle"/>
          <w:rFonts w:cs="Arial"/>
          <w:b/>
          <w:i w:val="0"/>
          <w:smallCaps w:val="0"/>
          <w:color w:val="auto"/>
        </w:rPr>
      </w:pPr>
      <w:bookmarkStart w:id="0" w:name="_GoBack"/>
      <w:bookmarkEnd w:id="0"/>
      <w:r>
        <w:rPr>
          <w:rStyle w:val="BookTitle"/>
          <w:rFonts w:cs="Arial"/>
          <w:b/>
          <w:i w:val="0"/>
          <w:smallCaps w:val="0"/>
          <w:color w:val="auto"/>
        </w:rPr>
        <w:t>Quality and S</w:t>
      </w:r>
      <w:r w:rsidR="00444534" w:rsidRPr="00124558">
        <w:rPr>
          <w:rStyle w:val="BookTitle"/>
          <w:rFonts w:cs="Arial"/>
          <w:b/>
          <w:i w:val="0"/>
          <w:smallCaps w:val="0"/>
          <w:color w:val="auto"/>
        </w:rPr>
        <w:t>afeguards</w:t>
      </w:r>
      <w:r w:rsidR="006C731D">
        <w:rPr>
          <w:rStyle w:val="BookTitle"/>
          <w:rFonts w:cs="Arial"/>
          <w:b/>
          <w:i w:val="0"/>
          <w:smallCaps w:val="0"/>
          <w:color w:val="auto"/>
        </w:rPr>
        <w:t xml:space="preserve"> </w:t>
      </w:r>
    </w:p>
    <w:p w:rsidR="00444534" w:rsidRPr="006C731D" w:rsidRDefault="00BA3A41" w:rsidP="006C731D">
      <w:pPr>
        <w:pStyle w:val="Title"/>
        <w:jc w:val="center"/>
        <w:rPr>
          <w:rFonts w:cs="Arial"/>
          <w:color w:val="auto"/>
        </w:rPr>
        <w:sectPr w:rsidR="00444534" w:rsidRPr="006C731D" w:rsidSect="00C172DD">
          <w:headerReference w:type="default" r:id="rId8"/>
          <w:footerReference w:type="default" r:id="rId9"/>
          <w:headerReference w:type="first" r:id="rId10"/>
          <w:pgSz w:w="11906" w:h="16838"/>
          <w:pgMar w:top="3935" w:right="1440" w:bottom="1440" w:left="1440" w:header="0" w:footer="708" w:gutter="0"/>
          <w:cols w:space="708"/>
          <w:titlePg/>
          <w:docGrid w:linePitch="360"/>
        </w:sectPr>
      </w:pPr>
      <w:r w:rsidRPr="00124558">
        <w:rPr>
          <w:rStyle w:val="BookTitle"/>
          <w:rFonts w:cs="Arial"/>
          <w:b/>
          <w:i w:val="0"/>
          <w:smallCaps w:val="0"/>
          <w:color w:val="auto"/>
        </w:rPr>
        <w:t>working a</w:t>
      </w:r>
      <w:r w:rsidR="00444534" w:rsidRPr="00124558">
        <w:rPr>
          <w:rStyle w:val="BookTitle"/>
          <w:rFonts w:cs="Arial"/>
          <w:b/>
          <w:i w:val="0"/>
          <w:smallCaps w:val="0"/>
          <w:color w:val="auto"/>
        </w:rPr>
        <w:t xml:space="preserve">rrangements for </w:t>
      </w:r>
      <w:r w:rsidRPr="00124558">
        <w:rPr>
          <w:rStyle w:val="BookTitle"/>
          <w:rFonts w:cs="Arial"/>
          <w:b/>
          <w:i w:val="0"/>
          <w:smallCaps w:val="0"/>
          <w:color w:val="auto"/>
        </w:rPr>
        <w:t>t</w:t>
      </w:r>
      <w:r w:rsidR="00EC25F5" w:rsidRPr="00124558">
        <w:rPr>
          <w:rStyle w:val="BookTitle"/>
          <w:rFonts w:cs="Arial"/>
          <w:b/>
          <w:i w:val="0"/>
          <w:smallCaps w:val="0"/>
          <w:color w:val="auto"/>
        </w:rPr>
        <w:t>ransition</w:t>
      </w:r>
      <w:r w:rsidR="00444534" w:rsidRPr="00124558">
        <w:rPr>
          <w:rStyle w:val="BookTitle"/>
          <w:rFonts w:cs="Arial"/>
          <w:b/>
          <w:i w:val="0"/>
          <w:smallCaps w:val="0"/>
          <w:color w:val="auto"/>
        </w:rPr>
        <w:t xml:space="preserve"> </w:t>
      </w:r>
      <w:r w:rsidR="00F43FA0" w:rsidRPr="00124558">
        <w:rPr>
          <w:rStyle w:val="BookTitle"/>
          <w:rFonts w:cs="Arial"/>
          <w:b/>
          <w:i w:val="0"/>
          <w:smallCaps w:val="0"/>
          <w:color w:val="auto"/>
        </w:rPr>
        <w:t>to</w:t>
      </w:r>
      <w:r w:rsidR="00444534" w:rsidRPr="00124558">
        <w:rPr>
          <w:rStyle w:val="BookTitle"/>
          <w:rFonts w:cs="Arial"/>
          <w:b/>
          <w:i w:val="0"/>
          <w:smallCaps w:val="0"/>
          <w:color w:val="auto"/>
        </w:rPr>
        <w:t xml:space="preserve"> the NDIS in </w:t>
      </w:r>
      <w:r w:rsidR="00B06779" w:rsidRPr="00124558">
        <w:rPr>
          <w:rStyle w:val="BookTitle"/>
          <w:rFonts w:cs="Arial"/>
          <w:b/>
          <w:i w:val="0"/>
          <w:smallCaps w:val="0"/>
          <w:color w:val="auto"/>
        </w:rPr>
        <w:t>Northern Territory (NT)</w:t>
      </w:r>
    </w:p>
    <w:p w:rsidR="00A165E6" w:rsidRPr="00FE0558" w:rsidRDefault="00A165E6" w:rsidP="00876883">
      <w:pPr>
        <w:pStyle w:val="Title"/>
        <w:rPr>
          <w:rFonts w:cs="Arial"/>
          <w:color w:val="auto"/>
          <w:sz w:val="18"/>
        </w:rPr>
      </w:pPr>
    </w:p>
    <w:p w:rsidR="00444534" w:rsidRPr="00124558" w:rsidRDefault="00444534" w:rsidP="00876883">
      <w:pPr>
        <w:pStyle w:val="Title"/>
        <w:rPr>
          <w:rFonts w:cs="Arial"/>
          <w:color w:val="auto"/>
          <w:sz w:val="36"/>
        </w:rPr>
      </w:pPr>
      <w:r w:rsidRPr="00124558">
        <w:rPr>
          <w:rFonts w:cs="Arial"/>
          <w:color w:val="auto"/>
          <w:sz w:val="36"/>
        </w:rPr>
        <w:t>Contents</w:t>
      </w:r>
    </w:p>
    <w:p w:rsidR="002C5FD4" w:rsidRPr="002C5FD4" w:rsidRDefault="00444534">
      <w:pPr>
        <w:pStyle w:val="TOC1"/>
        <w:rPr>
          <w:rFonts w:ascii="Arial" w:eastAsiaTheme="minorEastAsia" w:hAnsi="Arial" w:cs="Arial"/>
          <w:noProof/>
          <w:color w:val="auto"/>
        </w:rPr>
      </w:pPr>
      <w:r w:rsidRPr="00124558">
        <w:rPr>
          <w:rFonts w:ascii="Arial" w:hAnsi="Arial" w:cs="Arial"/>
          <w:color w:val="auto"/>
        </w:rPr>
        <w:fldChar w:fldCharType="begin"/>
      </w:r>
      <w:r w:rsidRPr="00124558">
        <w:rPr>
          <w:rFonts w:ascii="Arial" w:hAnsi="Arial" w:cs="Arial"/>
          <w:color w:val="auto"/>
        </w:rPr>
        <w:instrText xml:space="preserve"> TOC \o "1-2" \h \z \u </w:instrText>
      </w:r>
      <w:r w:rsidRPr="00124558">
        <w:rPr>
          <w:rFonts w:ascii="Arial" w:hAnsi="Arial" w:cs="Arial"/>
          <w:color w:val="auto"/>
        </w:rPr>
        <w:fldChar w:fldCharType="separate"/>
      </w:r>
      <w:hyperlink w:anchor="_Toc513450461" w:history="1">
        <w:r w:rsidR="002C5FD4" w:rsidRPr="002C5FD4">
          <w:rPr>
            <w:rStyle w:val="Hyperlink"/>
            <w:rFonts w:ascii="Arial" w:hAnsi="Arial" w:cs="Arial"/>
            <w:noProof/>
            <w:color w:val="auto"/>
          </w:rPr>
          <w:t>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Purpose</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_Toc513450461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3</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62" w:history="1">
        <w:r w:rsidR="002C5FD4" w:rsidRPr="002C5FD4">
          <w:rPr>
            <w:rStyle w:val="Hyperlink"/>
            <w:rFonts w:ascii="Arial" w:hAnsi="Arial" w:cs="Arial"/>
            <w:noProof/>
            <w:color w:val="auto"/>
          </w:rPr>
          <w:t>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Background</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_Toc513450462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4</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63" w:history="1">
        <w:r w:rsidR="002C5FD4" w:rsidRPr="002C5FD4">
          <w:rPr>
            <w:rStyle w:val="Hyperlink"/>
            <w:rFonts w:ascii="Arial" w:hAnsi="Arial" w:cs="Arial"/>
            <w:noProof/>
            <w:color w:val="auto"/>
          </w:rPr>
          <w:t>3.</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Guiding principles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_Toc513450463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4</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64" w:history="1">
        <w:r w:rsidR="002C5FD4" w:rsidRPr="002C5FD4">
          <w:rPr>
            <w:rStyle w:val="Hyperlink"/>
            <w:rFonts w:ascii="Arial" w:hAnsi="Arial" w:cs="Arial"/>
            <w:noProof/>
            <w:color w:val="auto"/>
          </w:rPr>
          <w:t>3.1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Individual safeguards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_Toc513450464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4</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65" w:history="1">
        <w:r w:rsidR="002C5FD4" w:rsidRPr="002C5FD4">
          <w:rPr>
            <w:rStyle w:val="Hyperlink"/>
            <w:rFonts w:ascii="Arial" w:hAnsi="Arial" w:cs="Arial"/>
            <w:noProof/>
            <w:color w:val="auto"/>
          </w:rPr>
          <w:t>3.2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Service provider quality assurance and safeguards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_Toc513450465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5</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66" w:history="1">
        <w:r w:rsidR="002C5FD4" w:rsidRPr="002C5FD4">
          <w:rPr>
            <w:rStyle w:val="Hyperlink"/>
            <w:rFonts w:ascii="Arial" w:hAnsi="Arial" w:cs="Arial"/>
            <w:noProof/>
            <w:color w:val="auto"/>
          </w:rPr>
          <w:t>3.3</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Legislative safeguards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_Toc513450466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5</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67" w:history="1">
        <w:r w:rsidR="002C5FD4" w:rsidRPr="002C5FD4">
          <w:rPr>
            <w:rStyle w:val="Hyperlink"/>
            <w:rFonts w:ascii="Arial" w:hAnsi="Arial" w:cs="Arial"/>
            <w:noProof/>
            <w:color w:val="auto"/>
          </w:rPr>
          <w:t>4.</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Registration process for providers of specialist disability supports in Northern Territory</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_Toc513450467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68" w:history="1">
        <w:r w:rsidR="002C5FD4" w:rsidRPr="002C5FD4">
          <w:rPr>
            <w:rStyle w:val="Hyperlink"/>
            <w:rFonts w:ascii="Arial" w:hAnsi="Arial" w:cs="Arial"/>
            <w:noProof/>
            <w:color w:val="auto"/>
          </w:rPr>
          <w:t>4.1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Provider registration application form</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_Toc513450468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69" w:history="1">
        <w:r w:rsidR="002C5FD4" w:rsidRPr="002C5FD4">
          <w:rPr>
            <w:rStyle w:val="Hyperlink"/>
            <w:rFonts w:ascii="Arial" w:hAnsi="Arial" w:cs="Arial"/>
            <w:noProof/>
            <w:color w:val="auto"/>
          </w:rPr>
          <w:t>4.2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Registration Groups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_Toc513450469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0" w:history="1">
        <w:r w:rsidR="002C5FD4" w:rsidRPr="002C5FD4">
          <w:rPr>
            <w:rStyle w:val="Hyperlink"/>
            <w:rFonts w:ascii="Arial" w:hAnsi="Arial" w:cs="Arial"/>
            <w:noProof/>
            <w:color w:val="auto"/>
          </w:rPr>
          <w:t>4.3</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Providing evidence for specialist disability registration groups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_Toc513450470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1" w:history="1">
        <w:r w:rsidR="002C5FD4" w:rsidRPr="002C5FD4">
          <w:rPr>
            <w:rStyle w:val="Hyperlink"/>
            <w:rFonts w:ascii="Arial" w:hAnsi="Arial" w:cs="Arial"/>
            <w:noProof/>
            <w:color w:val="auto"/>
          </w:rPr>
          <w:t>4.4</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Allied Health Professionals and Streamlined Assessment</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_Toc513450471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9</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2" w:history="1">
        <w:r w:rsidR="002C5FD4" w:rsidRPr="002C5FD4">
          <w:rPr>
            <w:rStyle w:val="Hyperlink"/>
            <w:rFonts w:ascii="Arial" w:hAnsi="Arial" w:cs="Arial"/>
            <w:noProof/>
            <w:color w:val="auto"/>
          </w:rPr>
          <w:t>4.5</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NDIS Registration Groups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_Toc513450472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9</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3" w:history="1">
        <w:r w:rsidR="002C5FD4" w:rsidRPr="002C5FD4">
          <w:rPr>
            <w:rStyle w:val="Hyperlink"/>
            <w:rFonts w:ascii="Arial" w:hAnsi="Arial" w:cs="Arial"/>
            <w:noProof/>
            <w:color w:val="auto"/>
          </w:rPr>
          <w:t>4.6</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Commonwealth providers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_Toc513450473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12</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74" w:history="1">
        <w:r w:rsidR="002C5FD4" w:rsidRPr="002C5FD4">
          <w:rPr>
            <w:rStyle w:val="Hyperlink"/>
            <w:rFonts w:ascii="Arial" w:hAnsi="Arial" w:cs="Arial"/>
            <w:noProof/>
            <w:color w:val="auto"/>
          </w:rPr>
          <w:t>5.</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Quality framework</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_Toc513450474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14</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5" w:history="1">
        <w:r w:rsidR="002C5FD4" w:rsidRPr="002C5FD4">
          <w:rPr>
            <w:rStyle w:val="Hyperlink"/>
            <w:rFonts w:ascii="Arial" w:hAnsi="Arial" w:cs="Arial"/>
            <w:noProof/>
            <w:color w:val="auto"/>
          </w:rPr>
          <w:t>5.1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Northern Territory quality framework</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_Toc513450475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14</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6" w:history="1">
        <w:r w:rsidR="002C5FD4" w:rsidRPr="002C5FD4">
          <w:rPr>
            <w:rStyle w:val="Hyperlink"/>
            <w:rFonts w:ascii="Arial" w:hAnsi="Arial" w:cs="Arial"/>
            <w:noProof/>
            <w:color w:val="auto"/>
          </w:rPr>
          <w:t>5.2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_Toc513450476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14</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77" w:history="1">
        <w:r w:rsidR="002C5FD4" w:rsidRPr="002C5FD4">
          <w:rPr>
            <w:rStyle w:val="Hyperlink"/>
            <w:rFonts w:ascii="Arial" w:hAnsi="Arial" w:cs="Arial"/>
            <w:noProof/>
            <w:color w:val="auto"/>
          </w:rPr>
          <w:t>6.</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Criminal history screening</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_Toc513450477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16</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8" w:history="1">
        <w:r w:rsidR="002C5FD4" w:rsidRPr="002C5FD4">
          <w:rPr>
            <w:rStyle w:val="Hyperlink"/>
            <w:rFonts w:ascii="Arial" w:hAnsi="Arial" w:cs="Arial"/>
            <w:noProof/>
            <w:color w:val="auto"/>
          </w:rPr>
          <w:t>6.1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NT criminal history screening</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_Toc513450478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16</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79" w:history="1">
        <w:r w:rsidR="002C5FD4" w:rsidRPr="002C5FD4">
          <w:rPr>
            <w:rStyle w:val="Hyperlink"/>
            <w:rFonts w:ascii="Arial" w:hAnsi="Arial" w:cs="Arial"/>
            <w:noProof/>
            <w:color w:val="auto"/>
          </w:rPr>
          <w:t>6.2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_Toc513450479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16</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80" w:history="1">
        <w:r w:rsidR="002C5FD4" w:rsidRPr="002C5FD4">
          <w:rPr>
            <w:rStyle w:val="Hyperlink"/>
            <w:rFonts w:ascii="Arial" w:hAnsi="Arial" w:cs="Arial"/>
            <w:noProof/>
            <w:color w:val="auto"/>
          </w:rPr>
          <w:t>7.</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Complaints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_Toc513450480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1" w:history="1">
        <w:r w:rsidR="002C5FD4" w:rsidRPr="002C5FD4">
          <w:rPr>
            <w:rStyle w:val="Hyperlink"/>
            <w:rFonts w:ascii="Arial" w:hAnsi="Arial" w:cs="Arial"/>
            <w:noProof/>
            <w:color w:val="auto"/>
          </w:rPr>
          <w:t>7.1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Commonwealth complaints systems 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_Toc513450481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2" w:history="1">
        <w:r w:rsidR="002C5FD4" w:rsidRPr="002C5FD4">
          <w:rPr>
            <w:rStyle w:val="Hyperlink"/>
            <w:rFonts w:ascii="Arial" w:hAnsi="Arial" w:cs="Arial"/>
            <w:noProof/>
            <w:color w:val="auto"/>
          </w:rPr>
          <w:t>7.2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NT complaints systems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_Toc513450482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17</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3" w:history="1">
        <w:r w:rsidR="002C5FD4" w:rsidRPr="002C5FD4">
          <w:rPr>
            <w:rStyle w:val="Hyperlink"/>
            <w:rFonts w:ascii="Arial" w:hAnsi="Arial" w:cs="Arial"/>
            <w:noProof/>
            <w:color w:val="auto"/>
          </w:rPr>
          <w:t>7.3</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_Toc513450483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17</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84" w:history="1">
        <w:r w:rsidR="002C5FD4" w:rsidRPr="002C5FD4">
          <w:rPr>
            <w:rStyle w:val="Hyperlink"/>
            <w:rFonts w:ascii="Arial" w:hAnsi="Arial" w:cs="Arial"/>
            <w:noProof/>
            <w:color w:val="auto"/>
          </w:rPr>
          <w:t>8.</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Serious Incidents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_Toc513450484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20</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5" w:history="1">
        <w:r w:rsidR="002C5FD4" w:rsidRPr="002C5FD4">
          <w:rPr>
            <w:rStyle w:val="Hyperlink"/>
            <w:rFonts w:ascii="Arial" w:hAnsi="Arial" w:cs="Arial"/>
            <w:noProof/>
            <w:color w:val="auto"/>
          </w:rPr>
          <w:t>8.1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NT Serious Incidents requirements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_Toc513450485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20</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6" w:history="1">
        <w:r w:rsidR="002C5FD4" w:rsidRPr="002C5FD4">
          <w:rPr>
            <w:rStyle w:val="Hyperlink"/>
            <w:rFonts w:ascii="Arial" w:hAnsi="Arial" w:cs="Arial"/>
            <w:noProof/>
            <w:color w:val="auto"/>
          </w:rPr>
          <w:t>8.2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_Toc513450486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20</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87" w:history="1">
        <w:r w:rsidR="002C5FD4" w:rsidRPr="002C5FD4">
          <w:rPr>
            <w:rStyle w:val="Hyperlink"/>
            <w:rFonts w:ascii="Arial" w:hAnsi="Arial" w:cs="Arial"/>
            <w:noProof/>
            <w:color w:val="auto"/>
          </w:rPr>
          <w:t>9.</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Restrictive practices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_Toc513450487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21</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8" w:history="1">
        <w:r w:rsidR="002C5FD4" w:rsidRPr="002C5FD4">
          <w:rPr>
            <w:rStyle w:val="Hyperlink"/>
            <w:rFonts w:ascii="Arial" w:hAnsi="Arial" w:cs="Arial"/>
            <w:noProof/>
            <w:color w:val="auto"/>
          </w:rPr>
          <w:t>9.1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NT restrictive practices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_Toc513450488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21</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89" w:history="1">
        <w:r w:rsidR="002C5FD4" w:rsidRPr="002C5FD4">
          <w:rPr>
            <w:rStyle w:val="Hyperlink"/>
            <w:rFonts w:ascii="Arial" w:hAnsi="Arial" w:cs="Arial"/>
            <w:noProof/>
            <w:color w:val="auto"/>
          </w:rPr>
          <w:t>9.2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_Toc513450489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21</w:t>
        </w:r>
        <w:r w:rsidR="002C5FD4" w:rsidRPr="002C5FD4">
          <w:rPr>
            <w:rFonts w:ascii="Arial" w:hAnsi="Arial" w:cs="Arial"/>
            <w:noProof/>
            <w:webHidden/>
            <w:color w:val="auto"/>
          </w:rPr>
          <w:fldChar w:fldCharType="end"/>
        </w:r>
      </w:hyperlink>
    </w:p>
    <w:p w:rsidR="002C5FD4" w:rsidRPr="002C5FD4" w:rsidRDefault="00060B01">
      <w:pPr>
        <w:pStyle w:val="TOC1"/>
        <w:rPr>
          <w:rFonts w:ascii="Arial" w:eastAsiaTheme="minorEastAsia" w:hAnsi="Arial" w:cs="Arial"/>
          <w:noProof/>
          <w:color w:val="auto"/>
        </w:rPr>
      </w:pPr>
      <w:hyperlink w:anchor="_Toc513450490" w:history="1">
        <w:r w:rsidR="002C5FD4" w:rsidRPr="002C5FD4">
          <w:rPr>
            <w:rStyle w:val="Hyperlink"/>
            <w:rFonts w:ascii="Arial" w:hAnsi="Arial" w:cs="Arial"/>
            <w:noProof/>
            <w:color w:val="auto"/>
          </w:rPr>
          <w:t>10.</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Monitoring and compliance</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_Toc513450490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22</w:t>
        </w:r>
        <w:r w:rsidR="002C5FD4" w:rsidRPr="002C5FD4">
          <w:rPr>
            <w:rFonts w:ascii="Arial" w:hAnsi="Arial" w:cs="Arial"/>
            <w:noProof/>
            <w:webHidden/>
            <w:color w:val="auto"/>
          </w:rPr>
          <w:fldChar w:fldCharType="end"/>
        </w:r>
      </w:hyperlink>
    </w:p>
    <w:p w:rsidR="002C5FD4" w:rsidRPr="002C5FD4" w:rsidRDefault="00060B01">
      <w:pPr>
        <w:pStyle w:val="TOC2"/>
        <w:rPr>
          <w:rFonts w:ascii="Arial" w:eastAsiaTheme="minorEastAsia" w:hAnsi="Arial" w:cs="Arial"/>
          <w:noProof/>
          <w:color w:val="auto"/>
        </w:rPr>
      </w:pPr>
      <w:hyperlink w:anchor="_Toc513450491" w:history="1">
        <w:r w:rsidR="002C5FD4" w:rsidRPr="002C5FD4">
          <w:rPr>
            <w:rStyle w:val="Hyperlink"/>
            <w:rFonts w:ascii="Arial" w:hAnsi="Arial" w:cs="Arial"/>
            <w:noProof/>
            <w:color w:val="auto"/>
          </w:rPr>
          <w:t>10.1</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NT monitoring and compliance systems</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_Toc513450491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22</w:t>
        </w:r>
        <w:r w:rsidR="002C5FD4" w:rsidRPr="002C5FD4">
          <w:rPr>
            <w:rFonts w:ascii="Arial" w:hAnsi="Arial" w:cs="Arial"/>
            <w:noProof/>
            <w:webHidden/>
            <w:color w:val="auto"/>
          </w:rPr>
          <w:fldChar w:fldCharType="end"/>
        </w:r>
      </w:hyperlink>
    </w:p>
    <w:p w:rsidR="002C5FD4" w:rsidRDefault="00060B01">
      <w:pPr>
        <w:pStyle w:val="TOC2"/>
        <w:rPr>
          <w:rFonts w:asciiTheme="minorHAnsi" w:eastAsiaTheme="minorEastAsia" w:hAnsiTheme="minorHAnsi" w:cstheme="minorBidi"/>
          <w:noProof/>
          <w:color w:val="auto"/>
        </w:rPr>
      </w:pPr>
      <w:hyperlink w:anchor="_Toc513450492" w:history="1">
        <w:r w:rsidR="002C5FD4" w:rsidRPr="002C5FD4">
          <w:rPr>
            <w:rStyle w:val="Hyperlink"/>
            <w:rFonts w:ascii="Arial" w:hAnsi="Arial" w:cs="Arial"/>
            <w:noProof/>
            <w:color w:val="auto"/>
          </w:rPr>
          <w:t>10.2</w:t>
        </w:r>
        <w:r w:rsidR="002C5FD4" w:rsidRPr="002C5FD4">
          <w:rPr>
            <w:rFonts w:ascii="Arial" w:eastAsiaTheme="minorEastAsia" w:hAnsi="Arial" w:cs="Arial"/>
            <w:noProof/>
            <w:color w:val="auto"/>
          </w:rPr>
          <w:tab/>
        </w:r>
        <w:r w:rsidR="002C5FD4" w:rsidRPr="002C5FD4">
          <w:rPr>
            <w:rStyle w:val="Hyperlink"/>
            <w:rFonts w:ascii="Arial" w:hAnsi="Arial" w:cs="Arial"/>
            <w:noProof/>
            <w:color w:val="auto"/>
          </w:rPr>
          <w:t>During transition</w:t>
        </w:r>
        <w:r w:rsidR="002C5FD4" w:rsidRPr="002C5FD4">
          <w:rPr>
            <w:rFonts w:ascii="Arial" w:hAnsi="Arial" w:cs="Arial"/>
            <w:noProof/>
            <w:webHidden/>
            <w:color w:val="auto"/>
          </w:rPr>
          <w:tab/>
        </w:r>
        <w:r w:rsidR="002C5FD4" w:rsidRPr="002C5FD4">
          <w:rPr>
            <w:rFonts w:ascii="Arial" w:hAnsi="Arial" w:cs="Arial"/>
            <w:noProof/>
            <w:webHidden/>
            <w:color w:val="auto"/>
          </w:rPr>
          <w:fldChar w:fldCharType="begin"/>
        </w:r>
        <w:r w:rsidR="002C5FD4" w:rsidRPr="002C5FD4">
          <w:rPr>
            <w:rFonts w:ascii="Arial" w:hAnsi="Arial" w:cs="Arial"/>
            <w:noProof/>
            <w:webHidden/>
            <w:color w:val="auto"/>
          </w:rPr>
          <w:instrText xml:space="preserve"> PAGEREF _Toc513450492 \h </w:instrText>
        </w:r>
        <w:r w:rsidR="002C5FD4" w:rsidRPr="002C5FD4">
          <w:rPr>
            <w:rFonts w:ascii="Arial" w:hAnsi="Arial" w:cs="Arial"/>
            <w:noProof/>
            <w:webHidden/>
            <w:color w:val="auto"/>
          </w:rPr>
        </w:r>
        <w:r w:rsidR="002C5FD4" w:rsidRPr="002C5FD4">
          <w:rPr>
            <w:rFonts w:ascii="Arial" w:hAnsi="Arial" w:cs="Arial"/>
            <w:noProof/>
            <w:webHidden/>
            <w:color w:val="auto"/>
          </w:rPr>
          <w:fldChar w:fldCharType="separate"/>
        </w:r>
        <w:r w:rsidR="000273F3">
          <w:rPr>
            <w:rFonts w:ascii="Arial" w:hAnsi="Arial" w:cs="Arial"/>
            <w:noProof/>
            <w:webHidden/>
            <w:color w:val="auto"/>
          </w:rPr>
          <w:t>22</w:t>
        </w:r>
        <w:r w:rsidR="002C5FD4" w:rsidRPr="002C5FD4">
          <w:rPr>
            <w:rFonts w:ascii="Arial" w:hAnsi="Arial" w:cs="Arial"/>
            <w:noProof/>
            <w:webHidden/>
            <w:color w:val="auto"/>
          </w:rPr>
          <w:fldChar w:fldCharType="end"/>
        </w:r>
      </w:hyperlink>
    </w:p>
    <w:p w:rsidR="00FD2604" w:rsidRPr="00124558" w:rsidRDefault="00444534" w:rsidP="00936A79">
      <w:pPr>
        <w:tabs>
          <w:tab w:val="left" w:pos="8931"/>
        </w:tabs>
        <w:spacing w:before="0" w:after="0"/>
        <w:rPr>
          <w:rFonts w:cs="Arial"/>
          <w:color w:val="auto"/>
        </w:rPr>
      </w:pPr>
      <w:r w:rsidRPr="00124558">
        <w:rPr>
          <w:rFonts w:cs="Arial"/>
          <w:color w:val="auto"/>
        </w:rPr>
        <w:lastRenderedPageBreak/>
        <w:fldChar w:fldCharType="end"/>
      </w:r>
    </w:p>
    <w:p w:rsidR="00FD2604" w:rsidRPr="00124558" w:rsidRDefault="00FD2604" w:rsidP="00FD2604">
      <w:pPr>
        <w:rPr>
          <w:rFonts w:cs="Arial"/>
          <w:color w:val="auto"/>
        </w:rPr>
      </w:pPr>
    </w:p>
    <w:p w:rsidR="006D2CB0" w:rsidRPr="00124558" w:rsidRDefault="006D2CB0" w:rsidP="00936A79">
      <w:pPr>
        <w:tabs>
          <w:tab w:val="left" w:pos="8931"/>
        </w:tabs>
        <w:spacing w:before="0" w:after="0"/>
        <w:rPr>
          <w:rFonts w:cs="Arial"/>
          <w:color w:val="auto"/>
        </w:rPr>
      </w:pPr>
    </w:p>
    <w:p w:rsidR="00876883" w:rsidRPr="00124558" w:rsidRDefault="00FE0558" w:rsidP="001D0710">
      <w:pPr>
        <w:pStyle w:val="Normal-QLD"/>
        <w:tabs>
          <w:tab w:val="left" w:pos="3750"/>
        </w:tabs>
        <w:rPr>
          <w:b/>
        </w:rPr>
      </w:pPr>
      <w:r>
        <w:rPr>
          <w:b/>
        </w:rPr>
        <w:t xml:space="preserve">  </w:t>
      </w:r>
      <w:r w:rsidR="00876883" w:rsidRPr="00124558">
        <w:rPr>
          <w:b/>
        </w:rPr>
        <w:t>Acronyms</w:t>
      </w:r>
      <w:r w:rsidR="001D0710">
        <w:rPr>
          <w:b/>
        </w:rPr>
        <w:tab/>
      </w:r>
    </w:p>
    <w:tbl>
      <w:tblPr>
        <w:tblStyle w:val="TableGrid"/>
        <w:tblW w:w="0" w:type="auto"/>
        <w:tblLook w:val="04A0" w:firstRow="1" w:lastRow="0" w:firstColumn="1" w:lastColumn="0" w:noHBand="0" w:noVBand="1"/>
        <w:tblCaption w:val="Acronyms"/>
        <w:tblDescription w:val="This table lists the acronyms used throughout the document. "/>
      </w:tblPr>
      <w:tblGrid>
        <w:gridCol w:w="2352"/>
        <w:gridCol w:w="6981"/>
      </w:tblGrid>
      <w:tr w:rsidR="00124558" w:rsidRPr="00124558" w:rsidTr="00B06779">
        <w:trPr>
          <w:cantSplit/>
          <w:tblHeader/>
        </w:trPr>
        <w:tc>
          <w:tcPr>
            <w:tcW w:w="2352" w:type="dxa"/>
            <w:tcBorders>
              <w:top w:val="nil"/>
              <w:left w:val="nil"/>
              <w:bottom w:val="nil"/>
              <w:right w:val="nil"/>
            </w:tcBorders>
          </w:tcPr>
          <w:p w:rsidR="00702B90" w:rsidRPr="00124558" w:rsidRDefault="00702B90" w:rsidP="00B20808">
            <w:pPr>
              <w:pStyle w:val="Normal-QLD"/>
              <w:rPr>
                <w:rStyle w:val="Strong"/>
              </w:rPr>
            </w:pPr>
            <w:r w:rsidRPr="00124558">
              <w:rPr>
                <w:rStyle w:val="Strong"/>
              </w:rPr>
              <w:t>Acronym</w:t>
            </w:r>
          </w:p>
        </w:tc>
        <w:tc>
          <w:tcPr>
            <w:tcW w:w="6981" w:type="dxa"/>
            <w:tcBorders>
              <w:top w:val="nil"/>
              <w:left w:val="nil"/>
              <w:bottom w:val="nil"/>
              <w:right w:val="nil"/>
            </w:tcBorders>
          </w:tcPr>
          <w:p w:rsidR="00702B90" w:rsidRPr="00124558" w:rsidRDefault="00702B90" w:rsidP="00B20808">
            <w:pPr>
              <w:pStyle w:val="Normal-QLD"/>
              <w:rPr>
                <w:rStyle w:val="Strong"/>
              </w:rPr>
            </w:pPr>
            <w:r w:rsidRPr="00124558">
              <w:rPr>
                <w:rStyle w:val="Strong"/>
              </w:rPr>
              <w:t>Full name</w:t>
            </w:r>
          </w:p>
        </w:tc>
      </w:tr>
      <w:tr w:rsidR="00124558" w:rsidRPr="00124558" w:rsidTr="00B06779">
        <w:trPr>
          <w:cantSplit/>
        </w:trPr>
        <w:tc>
          <w:tcPr>
            <w:tcW w:w="2352" w:type="dxa"/>
            <w:tcBorders>
              <w:top w:val="nil"/>
              <w:left w:val="nil"/>
              <w:bottom w:val="nil"/>
              <w:right w:val="nil"/>
            </w:tcBorders>
          </w:tcPr>
          <w:p w:rsidR="00876883" w:rsidRPr="00124558" w:rsidRDefault="00876883" w:rsidP="00B20808">
            <w:pPr>
              <w:pStyle w:val="Normal-QLD"/>
            </w:pPr>
            <w:r w:rsidRPr="00124558">
              <w:t>NDIA</w:t>
            </w:r>
          </w:p>
        </w:tc>
        <w:tc>
          <w:tcPr>
            <w:tcW w:w="6981" w:type="dxa"/>
            <w:tcBorders>
              <w:top w:val="nil"/>
              <w:left w:val="nil"/>
              <w:bottom w:val="nil"/>
              <w:right w:val="nil"/>
            </w:tcBorders>
          </w:tcPr>
          <w:p w:rsidR="00876883" w:rsidRPr="00124558" w:rsidRDefault="00876883" w:rsidP="00B20808">
            <w:pPr>
              <w:pStyle w:val="Normal-QLD"/>
            </w:pPr>
            <w:r w:rsidRPr="00124558">
              <w:t>National Disability Insurance Agency</w:t>
            </w:r>
          </w:p>
        </w:tc>
      </w:tr>
      <w:tr w:rsidR="00124558" w:rsidRPr="00124558" w:rsidTr="00B06779">
        <w:trPr>
          <w:cantSplit/>
        </w:trPr>
        <w:tc>
          <w:tcPr>
            <w:tcW w:w="2352" w:type="dxa"/>
            <w:tcBorders>
              <w:top w:val="nil"/>
              <w:left w:val="nil"/>
              <w:bottom w:val="nil"/>
              <w:right w:val="nil"/>
            </w:tcBorders>
          </w:tcPr>
          <w:p w:rsidR="00876883" w:rsidRPr="00124558" w:rsidRDefault="00876883" w:rsidP="00B20808">
            <w:pPr>
              <w:pStyle w:val="Normal-QLD"/>
            </w:pPr>
            <w:r w:rsidRPr="00124558">
              <w:t>NDIS</w:t>
            </w:r>
          </w:p>
        </w:tc>
        <w:tc>
          <w:tcPr>
            <w:tcW w:w="6981" w:type="dxa"/>
            <w:tcBorders>
              <w:top w:val="nil"/>
              <w:left w:val="nil"/>
              <w:bottom w:val="nil"/>
              <w:right w:val="nil"/>
            </w:tcBorders>
          </w:tcPr>
          <w:p w:rsidR="00876883" w:rsidRPr="00124558" w:rsidRDefault="00876883" w:rsidP="00B20808">
            <w:pPr>
              <w:pStyle w:val="Normal-QLD"/>
            </w:pPr>
            <w:r w:rsidRPr="00124558">
              <w:t>National Disability Insurance Scheme</w:t>
            </w:r>
          </w:p>
        </w:tc>
      </w:tr>
    </w:tbl>
    <w:p w:rsidR="00DD1111" w:rsidRPr="00124558" w:rsidRDefault="00DD1111" w:rsidP="00876883">
      <w:pPr>
        <w:pStyle w:val="Heading1"/>
        <w:rPr>
          <w:rFonts w:cs="Arial"/>
          <w:color w:val="auto"/>
        </w:rPr>
      </w:pPr>
      <w:bookmarkStart w:id="1" w:name="_Toc513450461"/>
      <w:r w:rsidRPr="00124558">
        <w:rPr>
          <w:rFonts w:cs="Arial"/>
          <w:color w:val="auto"/>
        </w:rPr>
        <w:t>Purpose</w:t>
      </w:r>
      <w:bookmarkEnd w:id="1"/>
    </w:p>
    <w:p w:rsidR="00DD1111" w:rsidRPr="00124558" w:rsidRDefault="00DD1111" w:rsidP="003F2679">
      <w:pPr>
        <w:pStyle w:val="Normal-QLD"/>
      </w:pPr>
      <w:r w:rsidRPr="00124558">
        <w:t>This document provides the details of quality and safeguard</w:t>
      </w:r>
      <w:r w:rsidR="001E1E78">
        <w:t>ing</w:t>
      </w:r>
      <w:r w:rsidRPr="00124558">
        <w:t xml:space="preserve"> arrangements for </w:t>
      </w:r>
      <w:r w:rsidR="00B06779" w:rsidRPr="00124558">
        <w:t xml:space="preserve">Northern Territory’s </w:t>
      </w:r>
      <w:r w:rsidR="009953D9" w:rsidRPr="00124558">
        <w:t>transition to</w:t>
      </w:r>
      <w:r w:rsidRPr="00124558">
        <w:t xml:space="preserve"> the NDIS. </w:t>
      </w:r>
      <w:r w:rsidR="00FA7B21">
        <w:t>These Working Arrangements are agreed</w:t>
      </w:r>
      <w:r w:rsidRPr="00124558">
        <w:t xml:space="preserve"> between the National Disability Insurance Agency, the Commonwealth of Australia and the </w:t>
      </w:r>
      <w:r w:rsidR="00B06779" w:rsidRPr="00124558">
        <w:t>NT</w:t>
      </w:r>
      <w:r w:rsidRPr="00124558">
        <w:t xml:space="preserve"> Government</w:t>
      </w:r>
      <w:r w:rsidR="00530651" w:rsidRPr="00124558">
        <w:t>.</w:t>
      </w:r>
    </w:p>
    <w:p w:rsidR="00530651" w:rsidRPr="00124558" w:rsidRDefault="00530651" w:rsidP="003F2679">
      <w:pPr>
        <w:pStyle w:val="Normal-QLD"/>
      </w:pPr>
      <w:r w:rsidRPr="00124558">
        <w:t xml:space="preserve">The Commonwealth, </w:t>
      </w:r>
      <w:r w:rsidR="00B06779" w:rsidRPr="00124558">
        <w:t>NT</w:t>
      </w:r>
      <w:r w:rsidRPr="00124558">
        <w:t xml:space="preserve"> and NDIA will jointly monitor the implementation of these working arrangements, including working t</w:t>
      </w:r>
      <w:r w:rsidR="00B06779" w:rsidRPr="00124558">
        <w:t>ogether with relevant NT</w:t>
      </w:r>
      <w:r w:rsidRPr="00124558">
        <w:t xml:space="preserve"> statutory bodies to manage quality and safeguards issues that arise during the transition to the NDIS in</w:t>
      </w:r>
      <w:r w:rsidR="00B06779" w:rsidRPr="00124558">
        <w:t xml:space="preserve"> NT</w:t>
      </w:r>
      <w:r w:rsidRPr="00124558">
        <w:t xml:space="preserve"> to ensure the best possible outcomes for participants.</w:t>
      </w:r>
    </w:p>
    <w:p w:rsidR="00DD1111" w:rsidRPr="00124558" w:rsidRDefault="00DD1111" w:rsidP="006D2CB0">
      <w:pPr>
        <w:rPr>
          <w:rFonts w:cs="Arial"/>
          <w:color w:val="auto"/>
        </w:rPr>
        <w:sectPr w:rsidR="00DD1111" w:rsidRPr="00124558" w:rsidSect="0040549E">
          <w:headerReference w:type="default" r:id="rId11"/>
          <w:footerReference w:type="first" r:id="rId12"/>
          <w:pgSz w:w="11906" w:h="16838"/>
          <w:pgMar w:top="1134" w:right="1133" w:bottom="993" w:left="1440" w:header="708" w:footer="123" w:gutter="0"/>
          <w:cols w:space="708"/>
          <w:titlePg/>
          <w:docGrid w:linePitch="360"/>
        </w:sectPr>
      </w:pPr>
    </w:p>
    <w:p w:rsidR="00C244AE" w:rsidRPr="00124558" w:rsidRDefault="00F43FA0" w:rsidP="00876883">
      <w:pPr>
        <w:pStyle w:val="Heading1"/>
        <w:rPr>
          <w:rFonts w:cs="Arial"/>
          <w:color w:val="auto"/>
        </w:rPr>
      </w:pPr>
      <w:r w:rsidRPr="00124558">
        <w:rPr>
          <w:rFonts w:cs="Arial"/>
          <w:color w:val="auto"/>
        </w:rPr>
        <w:lastRenderedPageBreak/>
        <w:t xml:space="preserve"> </w:t>
      </w:r>
      <w:bookmarkStart w:id="2" w:name="_Toc513450462"/>
      <w:r w:rsidR="00C244AE" w:rsidRPr="00124558">
        <w:rPr>
          <w:rFonts w:cs="Arial"/>
          <w:color w:val="auto"/>
        </w:rPr>
        <w:t>Background</w:t>
      </w:r>
      <w:bookmarkEnd w:id="2"/>
    </w:p>
    <w:p w:rsidR="00C244AE" w:rsidRPr="00124558" w:rsidRDefault="00BA3A41" w:rsidP="00C244AE">
      <w:pPr>
        <w:pStyle w:val="Normal-QLD"/>
      </w:pPr>
      <w:r w:rsidRPr="00124558">
        <w:t>The</w:t>
      </w:r>
      <w:r w:rsidR="00C244AE" w:rsidRPr="00124558">
        <w:t xml:space="preserve"> National Disability Insurance Scheme Act </w:t>
      </w:r>
      <w:r w:rsidRPr="00124558">
        <w:t xml:space="preserve">Part 3 of Chapter 4 </w:t>
      </w:r>
      <w:r w:rsidR="00C244AE" w:rsidRPr="00124558">
        <w:t>requires a person or entity to apply to be a registered provider of supports in relation to</w:t>
      </w:r>
      <w:r w:rsidR="00B02C89">
        <w:t xml:space="preserve"> either or both of the following</w:t>
      </w:r>
      <w:r w:rsidR="00C244AE" w:rsidRPr="00124558">
        <w:t>:</w:t>
      </w:r>
    </w:p>
    <w:p w:rsidR="00C244AE" w:rsidRPr="00124558" w:rsidRDefault="00C244AE" w:rsidP="00044CF0">
      <w:pPr>
        <w:pStyle w:val="Normal-QLD"/>
        <w:numPr>
          <w:ilvl w:val="0"/>
          <w:numId w:val="3"/>
        </w:numPr>
      </w:pPr>
      <w:r w:rsidRPr="00124558">
        <w:t>managing the funding for supports under plans</w:t>
      </w:r>
      <w:r w:rsidR="006A12AC" w:rsidRPr="00124558">
        <w:t xml:space="preserve"> and</w:t>
      </w:r>
    </w:p>
    <w:p w:rsidR="00C244AE" w:rsidRPr="00124558" w:rsidRDefault="00C244AE" w:rsidP="00044CF0">
      <w:pPr>
        <w:pStyle w:val="Normal-QLD"/>
        <w:numPr>
          <w:ilvl w:val="0"/>
          <w:numId w:val="3"/>
        </w:numPr>
      </w:pPr>
      <w:r w:rsidRPr="00124558">
        <w:t>the provision of supports</w:t>
      </w:r>
      <w:r w:rsidR="00425C8A" w:rsidRPr="00124558">
        <w:t>.</w:t>
      </w:r>
    </w:p>
    <w:p w:rsidR="00C244AE" w:rsidRPr="00124558" w:rsidRDefault="001663AA" w:rsidP="00C244AE">
      <w:pPr>
        <w:pStyle w:val="Normal-QLD"/>
      </w:pPr>
      <w:r w:rsidRPr="00124558">
        <w:t>T</w:t>
      </w:r>
      <w:r w:rsidR="00C244AE" w:rsidRPr="00124558">
        <w:t xml:space="preserve">he </w:t>
      </w:r>
      <w:r w:rsidR="006A12AC" w:rsidRPr="00124558">
        <w:rPr>
          <w:i/>
        </w:rPr>
        <w:t>National Disability Insurance Scheme (Registered Providers of Supports) Rules</w:t>
      </w:r>
      <w:r w:rsidR="00C244AE" w:rsidRPr="00124558">
        <w:rPr>
          <w:i/>
        </w:rPr>
        <w:t xml:space="preserve"> </w:t>
      </w:r>
      <w:r w:rsidR="00C244AE" w:rsidRPr="00124558">
        <w:t>2013</w:t>
      </w:r>
      <w:r w:rsidR="006A12AC" w:rsidRPr="00124558">
        <w:rPr>
          <w:i/>
        </w:rPr>
        <w:t xml:space="preserve"> </w:t>
      </w:r>
      <w:r w:rsidRPr="00124558">
        <w:t>(clause 73)</w:t>
      </w:r>
      <w:r w:rsidRPr="00124558">
        <w:rPr>
          <w:i/>
        </w:rPr>
        <w:t xml:space="preserve"> </w:t>
      </w:r>
      <w:r w:rsidR="00C244AE" w:rsidRPr="00124558">
        <w:t>may make provision in connection with the approval of persons or entities as registered providers of supports, including by prescribing criteria relating to:</w:t>
      </w:r>
    </w:p>
    <w:p w:rsidR="00C244AE" w:rsidRPr="00124558" w:rsidRDefault="00C244AE" w:rsidP="00044CF0">
      <w:pPr>
        <w:pStyle w:val="Normal-QLD"/>
        <w:numPr>
          <w:ilvl w:val="0"/>
          <w:numId w:val="4"/>
        </w:numPr>
      </w:pPr>
      <w:r w:rsidRPr="00124558">
        <w:t>compliance with prescribed safeguards</w:t>
      </w:r>
    </w:p>
    <w:p w:rsidR="00C244AE" w:rsidRPr="00124558" w:rsidRDefault="00C244AE" w:rsidP="00044CF0">
      <w:pPr>
        <w:pStyle w:val="Normal-QLD"/>
        <w:numPr>
          <w:ilvl w:val="0"/>
          <w:numId w:val="4"/>
        </w:numPr>
      </w:pPr>
      <w:r w:rsidRPr="00124558">
        <w:t>compliance with prescribed quality assurance standards and procedures</w:t>
      </w:r>
      <w:r w:rsidR="00425C8A" w:rsidRPr="00124558">
        <w:t>.</w:t>
      </w:r>
    </w:p>
    <w:p w:rsidR="00C244AE" w:rsidRPr="00124558" w:rsidRDefault="00C244AE" w:rsidP="00C244AE">
      <w:pPr>
        <w:pStyle w:val="Normal-QLD"/>
      </w:pPr>
      <w:r w:rsidRPr="00124558">
        <w:t>Existing Commonwealth and</w:t>
      </w:r>
      <w:r w:rsidR="000F5ACD" w:rsidRPr="00124558">
        <w:t xml:space="preserve"> </w:t>
      </w:r>
      <w:r w:rsidR="00087D04" w:rsidRPr="00124558">
        <w:t>s</w:t>
      </w:r>
      <w:r w:rsidR="000F5ACD" w:rsidRPr="00124558">
        <w:t xml:space="preserve">tate </w:t>
      </w:r>
      <w:r w:rsidRPr="00124558">
        <w:t xml:space="preserve">quality and safeguarding systems will apply to </w:t>
      </w:r>
      <w:r w:rsidR="00004679" w:rsidRPr="00124558">
        <w:t xml:space="preserve">NDIS </w:t>
      </w:r>
      <w:r w:rsidRPr="00124558">
        <w:t xml:space="preserve">providers of specialist disability services </w:t>
      </w:r>
      <w:r w:rsidR="00B06779" w:rsidRPr="00124558">
        <w:t>in NT</w:t>
      </w:r>
      <w:r w:rsidRPr="00124558">
        <w:t xml:space="preserve"> during transition.</w:t>
      </w:r>
    </w:p>
    <w:p w:rsidR="00C244AE" w:rsidRPr="00124558" w:rsidRDefault="00C244AE" w:rsidP="00C244AE">
      <w:pPr>
        <w:pStyle w:val="Normal-QLD"/>
      </w:pPr>
      <w:r w:rsidRPr="00124558">
        <w:t xml:space="preserve">The following arrangements have been agreed to between the </w:t>
      </w:r>
      <w:r w:rsidR="00B06779" w:rsidRPr="00124558">
        <w:t>NT</w:t>
      </w:r>
      <w:r w:rsidR="00B02C89">
        <w:t xml:space="preserve"> and Commonwealth Governments, and the NDIA</w:t>
      </w:r>
      <w:r w:rsidR="00E4720E" w:rsidRPr="00124558">
        <w:t xml:space="preserve"> </w:t>
      </w:r>
      <w:r w:rsidRPr="00124558">
        <w:t xml:space="preserve">to ensure the existing systems </w:t>
      </w:r>
      <w:r w:rsidR="006A12AC" w:rsidRPr="00124558">
        <w:t>include NDIS providers delivering specialist disability services in</w:t>
      </w:r>
      <w:r w:rsidR="00F97B51" w:rsidRPr="00124558">
        <w:t xml:space="preserve"> NT</w:t>
      </w:r>
      <w:r w:rsidR="001663AA" w:rsidRPr="00124558">
        <w:t>.</w:t>
      </w:r>
    </w:p>
    <w:p w:rsidR="00C244AE" w:rsidRPr="00124558" w:rsidRDefault="00087D04" w:rsidP="00876883">
      <w:pPr>
        <w:pStyle w:val="Heading1"/>
        <w:rPr>
          <w:rFonts w:cs="Arial"/>
          <w:color w:val="auto"/>
        </w:rPr>
      </w:pPr>
      <w:r w:rsidRPr="00124558">
        <w:rPr>
          <w:rFonts w:cs="Arial"/>
          <w:color w:val="auto"/>
        </w:rPr>
        <w:t xml:space="preserve"> </w:t>
      </w:r>
      <w:bookmarkStart w:id="3" w:name="_Toc513450463"/>
      <w:r w:rsidR="00C244AE" w:rsidRPr="00124558">
        <w:rPr>
          <w:rFonts w:cs="Arial"/>
          <w:color w:val="auto"/>
        </w:rPr>
        <w:t xml:space="preserve">Guiding </w:t>
      </w:r>
      <w:r w:rsidRPr="00124558">
        <w:rPr>
          <w:rFonts w:cs="Arial"/>
          <w:color w:val="auto"/>
        </w:rPr>
        <w:t>p</w:t>
      </w:r>
      <w:r w:rsidR="00C244AE" w:rsidRPr="00124558">
        <w:rPr>
          <w:rFonts w:cs="Arial"/>
          <w:color w:val="auto"/>
        </w:rPr>
        <w:t>rinciples</w:t>
      </w:r>
      <w:bookmarkEnd w:id="3"/>
    </w:p>
    <w:p w:rsidR="00C244AE" w:rsidRPr="00124558" w:rsidRDefault="00C244AE" w:rsidP="00C244AE">
      <w:pPr>
        <w:pStyle w:val="Normal-QLD"/>
      </w:pPr>
      <w:r w:rsidRPr="00124558">
        <w:t xml:space="preserve">The </w:t>
      </w:r>
      <w:r w:rsidR="006A12AC" w:rsidRPr="00124558">
        <w:t>NDIA</w:t>
      </w:r>
      <w:r w:rsidRPr="00124558">
        <w:t xml:space="preserve"> is working to ensure high quality services for people with disability </w:t>
      </w:r>
      <w:r w:rsidR="00B718E7">
        <w:t>that enable</w:t>
      </w:r>
      <w:r w:rsidRPr="00124558">
        <w:t xml:space="preserve"> choice and control.  </w:t>
      </w:r>
    </w:p>
    <w:p w:rsidR="00C244AE" w:rsidRPr="00124558" w:rsidRDefault="00C244AE" w:rsidP="00C244AE">
      <w:pPr>
        <w:rPr>
          <w:rFonts w:cs="Arial"/>
          <w:color w:val="auto"/>
        </w:rPr>
      </w:pPr>
      <w:r w:rsidRPr="00124558">
        <w:rPr>
          <w:rFonts w:cs="Arial"/>
          <w:color w:val="auto"/>
        </w:rPr>
        <w:t xml:space="preserve">Consistent with </w:t>
      </w:r>
      <w:r w:rsidR="001663AA" w:rsidRPr="00124558">
        <w:rPr>
          <w:rFonts w:cs="Arial"/>
          <w:color w:val="auto"/>
        </w:rPr>
        <w:t xml:space="preserve">the </w:t>
      </w:r>
      <w:r w:rsidRPr="00124558">
        <w:rPr>
          <w:rFonts w:cs="Arial"/>
          <w:color w:val="auto"/>
        </w:rPr>
        <w:t xml:space="preserve">principles of </w:t>
      </w:r>
      <w:r w:rsidR="00A90383" w:rsidRPr="00124558">
        <w:rPr>
          <w:rFonts w:cs="Arial"/>
          <w:color w:val="auto"/>
        </w:rPr>
        <w:t>the NDIS</w:t>
      </w:r>
      <w:r w:rsidRPr="00124558">
        <w:rPr>
          <w:rFonts w:cs="Arial"/>
          <w:color w:val="auto"/>
        </w:rPr>
        <w:t>, individual, service and system level safeguards aim to achieve a balance between choice and control and adequate and appropriate safeguards.</w:t>
      </w:r>
    </w:p>
    <w:p w:rsidR="00C244AE" w:rsidRPr="00124558" w:rsidRDefault="00AF6F4C" w:rsidP="00C244AE">
      <w:pPr>
        <w:pStyle w:val="Normal-QLD"/>
      </w:pPr>
      <w:r w:rsidRPr="00124558">
        <w:t xml:space="preserve">The Commonwealth and </w:t>
      </w:r>
      <w:r w:rsidR="00B06779" w:rsidRPr="00124558">
        <w:t>NT</w:t>
      </w:r>
      <w:r w:rsidRPr="00124558">
        <w:t xml:space="preserve"> governments</w:t>
      </w:r>
      <w:r w:rsidR="00B06779" w:rsidRPr="00124558">
        <w:t>,</w:t>
      </w:r>
      <w:r w:rsidRPr="00124558">
        <w:t xml:space="preserve"> and the NDIA</w:t>
      </w:r>
      <w:r w:rsidR="00B06779" w:rsidRPr="00124558">
        <w:t>,</w:t>
      </w:r>
      <w:r w:rsidRPr="00124558">
        <w:t xml:space="preserve"> will ensure that there are appropriate levels of safeguards for individuals, particularly where risk is identified. They will ensure </w:t>
      </w:r>
      <w:r w:rsidR="00C244AE" w:rsidRPr="00124558">
        <w:t xml:space="preserve">that these safeguards are </w:t>
      </w:r>
      <w:r w:rsidR="00B718E7">
        <w:t>proportionate and risk-based</w:t>
      </w:r>
      <w:r w:rsidR="00C244AE" w:rsidRPr="00124558">
        <w:t>.</w:t>
      </w:r>
    </w:p>
    <w:p w:rsidR="0059597C" w:rsidRPr="001D0710" w:rsidRDefault="00087D04" w:rsidP="001D0710">
      <w:pPr>
        <w:pStyle w:val="Heading2"/>
      </w:pPr>
      <w:bookmarkStart w:id="4" w:name="_Toc389490324"/>
      <w:r w:rsidRPr="001D0710">
        <w:t xml:space="preserve"> </w:t>
      </w:r>
      <w:bookmarkStart w:id="5" w:name="_Toc513450464"/>
      <w:r w:rsidR="00C244AE" w:rsidRPr="001D0710">
        <w:t xml:space="preserve">Individual </w:t>
      </w:r>
      <w:r w:rsidRPr="001D0710">
        <w:t>s</w:t>
      </w:r>
      <w:r w:rsidR="00C244AE" w:rsidRPr="001D0710">
        <w:t>afeguards</w:t>
      </w:r>
      <w:bookmarkEnd w:id="4"/>
      <w:bookmarkEnd w:id="5"/>
    </w:p>
    <w:p w:rsidR="00C244AE" w:rsidRPr="00124558" w:rsidRDefault="00C244AE" w:rsidP="00C244AE">
      <w:pPr>
        <w:rPr>
          <w:rFonts w:cs="Arial"/>
          <w:color w:val="auto"/>
        </w:rPr>
      </w:pPr>
      <w:r w:rsidRPr="00124558">
        <w:rPr>
          <w:rFonts w:cs="Arial"/>
          <w:color w:val="auto"/>
        </w:rPr>
        <w:t>The</w:t>
      </w:r>
      <w:r w:rsidR="00D84786">
        <w:rPr>
          <w:rFonts w:cs="Arial"/>
          <w:color w:val="auto"/>
        </w:rPr>
        <w:t xml:space="preserve"> NDIS plan development and implementation will identify and support n</w:t>
      </w:r>
      <w:r w:rsidRPr="00124558">
        <w:rPr>
          <w:rFonts w:cs="Arial"/>
          <w:color w:val="auto"/>
        </w:rPr>
        <w:t>atural safeguards</w:t>
      </w:r>
      <w:r w:rsidR="00D84786">
        <w:rPr>
          <w:rFonts w:cs="Arial"/>
          <w:color w:val="auto"/>
        </w:rPr>
        <w:t>.</w:t>
      </w:r>
      <w:r w:rsidRPr="00124558">
        <w:rPr>
          <w:rFonts w:cs="Arial"/>
          <w:color w:val="auto"/>
        </w:rPr>
        <w:t xml:space="preserve"> Th</w:t>
      </w:r>
      <w:r w:rsidR="00D84786">
        <w:rPr>
          <w:rFonts w:cs="Arial"/>
          <w:color w:val="auto"/>
        </w:rPr>
        <w:t xml:space="preserve">e NDIS </w:t>
      </w:r>
      <w:r w:rsidRPr="00124558">
        <w:rPr>
          <w:rFonts w:cs="Arial"/>
          <w:color w:val="auto"/>
        </w:rPr>
        <w:t xml:space="preserve">plan </w:t>
      </w:r>
      <w:r w:rsidR="00D84786" w:rsidRPr="00124558">
        <w:rPr>
          <w:rFonts w:cs="Arial"/>
          <w:color w:val="auto"/>
        </w:rPr>
        <w:t>identif</w:t>
      </w:r>
      <w:r w:rsidR="00D84786">
        <w:rPr>
          <w:rFonts w:cs="Arial"/>
          <w:color w:val="auto"/>
        </w:rPr>
        <w:t>ies</w:t>
      </w:r>
      <w:r w:rsidRPr="00124558">
        <w:rPr>
          <w:rFonts w:cs="Arial"/>
          <w:color w:val="auto"/>
        </w:rPr>
        <w:t xml:space="preserve"> the </w:t>
      </w:r>
      <w:r w:rsidR="001D0710" w:rsidRPr="00124558">
        <w:rPr>
          <w:rFonts w:cs="Arial"/>
          <w:color w:val="auto"/>
        </w:rPr>
        <w:t>p</w:t>
      </w:r>
      <w:r w:rsidR="001D0710">
        <w:rPr>
          <w:rFonts w:cs="Arial"/>
          <w:color w:val="auto"/>
        </w:rPr>
        <w:t>articipant’s</w:t>
      </w:r>
      <w:r w:rsidR="00D84786">
        <w:rPr>
          <w:rFonts w:cs="Arial"/>
          <w:color w:val="auto"/>
        </w:rPr>
        <w:t xml:space="preserve"> </w:t>
      </w:r>
      <w:r w:rsidRPr="00124558">
        <w:rPr>
          <w:rFonts w:cs="Arial"/>
          <w:color w:val="auto"/>
        </w:rPr>
        <w:t>goals and aspirations, unique risks and appropriate safeguards for each individual</w:t>
      </w:r>
      <w:r w:rsidR="00D84786">
        <w:rPr>
          <w:rFonts w:cs="Arial"/>
          <w:color w:val="auto"/>
        </w:rPr>
        <w:t>, and</w:t>
      </w:r>
      <w:r w:rsidR="00FA7B21">
        <w:rPr>
          <w:rFonts w:cs="Arial"/>
          <w:color w:val="auto"/>
        </w:rPr>
        <w:t xml:space="preserve"> is</w:t>
      </w:r>
      <w:r w:rsidR="00D84786">
        <w:rPr>
          <w:rFonts w:cs="Arial"/>
          <w:color w:val="auto"/>
        </w:rPr>
        <w:t xml:space="preserve"> developed </w:t>
      </w:r>
      <w:r w:rsidRPr="00124558">
        <w:rPr>
          <w:rFonts w:cs="Arial"/>
          <w:color w:val="auto"/>
        </w:rPr>
        <w:t>on a presumption of capacity</w:t>
      </w:r>
      <w:r w:rsidR="00AF6F4C" w:rsidRPr="00124558">
        <w:rPr>
          <w:rFonts w:cs="Arial"/>
          <w:color w:val="auto"/>
        </w:rPr>
        <w:t>,</w:t>
      </w:r>
      <w:r w:rsidRPr="00124558">
        <w:rPr>
          <w:rFonts w:cs="Arial"/>
          <w:color w:val="auto"/>
        </w:rPr>
        <w:t xml:space="preserve"> unless there is evidence to the contrary.</w:t>
      </w:r>
    </w:p>
    <w:p w:rsidR="00C244AE" w:rsidRDefault="006A12AC" w:rsidP="00C244AE">
      <w:pPr>
        <w:rPr>
          <w:rFonts w:cs="Arial"/>
          <w:color w:val="auto"/>
        </w:rPr>
      </w:pPr>
      <w:r w:rsidRPr="00124558">
        <w:rPr>
          <w:rFonts w:cs="Arial"/>
          <w:color w:val="auto"/>
        </w:rPr>
        <w:t xml:space="preserve">The individual safeguards depend on the person’s level of identified risk and need. </w:t>
      </w:r>
      <w:r w:rsidR="00C244AE" w:rsidRPr="00124558">
        <w:rPr>
          <w:rFonts w:cs="Arial"/>
          <w:color w:val="auto"/>
        </w:rPr>
        <w:t>Through the support needs assessment and planning process</w:t>
      </w:r>
      <w:r w:rsidR="00AF6F4C" w:rsidRPr="00124558">
        <w:rPr>
          <w:rFonts w:cs="Arial"/>
          <w:color w:val="auto"/>
        </w:rPr>
        <w:t>,</w:t>
      </w:r>
      <w:r w:rsidR="00C244AE" w:rsidRPr="00124558">
        <w:rPr>
          <w:rFonts w:cs="Arial"/>
          <w:color w:val="auto"/>
        </w:rPr>
        <w:t xml:space="preserve"> the NDIA planning support coordinators will work with participants to identify their existing risks and safeguards</w:t>
      </w:r>
      <w:r w:rsidR="00AF6F4C" w:rsidRPr="00124558">
        <w:rPr>
          <w:rFonts w:cs="Arial"/>
          <w:color w:val="auto"/>
        </w:rPr>
        <w:t>,</w:t>
      </w:r>
      <w:r w:rsidR="00C244AE" w:rsidRPr="00124558">
        <w:rPr>
          <w:rFonts w:cs="Arial"/>
          <w:color w:val="auto"/>
        </w:rPr>
        <w:t xml:space="preserve"> and to build intentional safeguards into the plan that reflect each participant’s needs.</w:t>
      </w:r>
    </w:p>
    <w:p w:rsidR="00E21DF2" w:rsidRDefault="00E21DF2" w:rsidP="00E21DF2">
      <w:pPr>
        <w:autoSpaceDE w:val="0"/>
        <w:autoSpaceDN w:val="0"/>
        <w:adjustRightInd w:val="0"/>
        <w:spacing w:after="240"/>
        <w:rPr>
          <w:rFonts w:ascii="Calibri" w:hAnsi="Calibri" w:cs="Arial"/>
          <w:color w:val="000000"/>
          <w:spacing w:val="0"/>
          <w:lang w:val="en-AU" w:eastAsia="en-AU"/>
        </w:rPr>
      </w:pPr>
      <w:r>
        <w:rPr>
          <w:rFonts w:cs="Arial"/>
          <w:color w:val="000000"/>
          <w:lang w:eastAsia="en-AU"/>
        </w:rPr>
        <w:t xml:space="preserve">The decisions of planners and participants in relation to the management of plans </w:t>
      </w:r>
      <w:r w:rsidR="001E1E78">
        <w:rPr>
          <w:rFonts w:cs="Arial"/>
          <w:color w:val="000000"/>
          <w:lang w:eastAsia="en-AU"/>
        </w:rPr>
        <w:t>is</w:t>
      </w:r>
      <w:r>
        <w:rPr>
          <w:rFonts w:cs="Arial"/>
          <w:color w:val="000000"/>
          <w:lang w:eastAsia="en-AU"/>
        </w:rPr>
        <w:t xml:space="preserve"> guided by legislative provisions, which form the basis of NDIA practice guidance, conversation tools and information sheets for participants.  It is the responsibility of the NDIA to determine the reasonable and necessary supports in a participant plan, and to ensure that participants who choose to self-</w:t>
      </w:r>
      <w:r>
        <w:rPr>
          <w:rFonts w:cs="Arial"/>
          <w:color w:val="000000"/>
          <w:lang w:eastAsia="en-AU"/>
        </w:rPr>
        <w:lastRenderedPageBreak/>
        <w:t>manage some or all of the supports in their plan understand the risk implications and their responsibilities and expectations of self-managing NDIS funds.</w:t>
      </w:r>
    </w:p>
    <w:p w:rsidR="00E21DF2" w:rsidRPr="00E21DF2" w:rsidRDefault="00E21DF2" w:rsidP="00C244AE">
      <w:pPr>
        <w:rPr>
          <w:rFonts w:cs="Arial"/>
          <w:color w:val="auto"/>
        </w:rPr>
      </w:pPr>
      <w:r>
        <w:rPr>
          <w:rFonts w:cs="Arial"/>
          <w:color w:val="000000"/>
          <w:lang w:eastAsia="en-AU"/>
        </w:rPr>
        <w:t>The NDIA also requires planners to support their rationale for decisions and has review and quality audit arrangements in place to support best practice, ongoing quality assessment of plans and a culture of continuous improvement to benefit participants and enhance scheme performance.</w:t>
      </w:r>
    </w:p>
    <w:p w:rsidR="0059597C" w:rsidRPr="00124558" w:rsidRDefault="00087D04" w:rsidP="001D0710">
      <w:pPr>
        <w:pStyle w:val="Heading2"/>
      </w:pPr>
      <w:r w:rsidRPr="00124558">
        <w:t xml:space="preserve"> </w:t>
      </w:r>
      <w:bookmarkStart w:id="6" w:name="_Toc513450465"/>
      <w:r w:rsidR="00C244AE" w:rsidRPr="00124558">
        <w:t xml:space="preserve">Service </w:t>
      </w:r>
      <w:r w:rsidRPr="00124558">
        <w:t>p</w:t>
      </w:r>
      <w:r w:rsidR="00C244AE" w:rsidRPr="00124558">
        <w:t xml:space="preserve">rovider </w:t>
      </w:r>
      <w:r w:rsidRPr="00124558">
        <w:t>q</w:t>
      </w:r>
      <w:r w:rsidR="00C244AE" w:rsidRPr="00124558">
        <w:t xml:space="preserve">uality </w:t>
      </w:r>
      <w:r w:rsidRPr="00124558">
        <w:t>assurance and s</w:t>
      </w:r>
      <w:r w:rsidR="00C244AE" w:rsidRPr="00124558">
        <w:t>afeguards</w:t>
      </w:r>
      <w:bookmarkEnd w:id="6"/>
    </w:p>
    <w:p w:rsidR="00FF4501" w:rsidRPr="00124558" w:rsidRDefault="00FF4501" w:rsidP="00FF4501">
      <w:pPr>
        <w:rPr>
          <w:rFonts w:cs="Arial"/>
          <w:color w:val="auto"/>
        </w:rPr>
      </w:pPr>
      <w:r w:rsidRPr="00124558">
        <w:rPr>
          <w:rFonts w:cs="Arial"/>
          <w:color w:val="auto"/>
        </w:rPr>
        <w:t>The N</w:t>
      </w:r>
      <w:r w:rsidR="00EF3DBA">
        <w:rPr>
          <w:rFonts w:cs="Arial"/>
          <w:color w:val="auto"/>
        </w:rPr>
        <w:t xml:space="preserve">orthern </w:t>
      </w:r>
      <w:r w:rsidRPr="00124558">
        <w:rPr>
          <w:rFonts w:cs="Arial"/>
          <w:color w:val="auto"/>
        </w:rPr>
        <w:t>T</w:t>
      </w:r>
      <w:r w:rsidR="00EF3DBA">
        <w:rPr>
          <w:rFonts w:cs="Arial"/>
          <w:color w:val="auto"/>
        </w:rPr>
        <w:t>erritory (NT)</w:t>
      </w:r>
      <w:r w:rsidRPr="00124558">
        <w:rPr>
          <w:rFonts w:cs="Arial"/>
          <w:color w:val="auto"/>
        </w:rPr>
        <w:t xml:space="preserve"> Government </w:t>
      </w:r>
      <w:r w:rsidR="00AD5FCD">
        <w:rPr>
          <w:rFonts w:cs="Arial"/>
          <w:color w:val="auto"/>
        </w:rPr>
        <w:t>released</w:t>
      </w:r>
      <w:r w:rsidRPr="00124558">
        <w:rPr>
          <w:rFonts w:cs="Arial"/>
          <w:color w:val="auto"/>
        </w:rPr>
        <w:t xml:space="preserve"> </w:t>
      </w:r>
      <w:r w:rsidR="00AD5FCD">
        <w:rPr>
          <w:rFonts w:cs="Arial"/>
          <w:color w:val="auto"/>
        </w:rPr>
        <w:t>the</w:t>
      </w:r>
      <w:r w:rsidRPr="00124558">
        <w:rPr>
          <w:rFonts w:cs="Arial"/>
          <w:color w:val="auto"/>
        </w:rPr>
        <w:t xml:space="preserve"> </w:t>
      </w:r>
      <w:r w:rsidR="00AD5FCD">
        <w:rPr>
          <w:rFonts w:cs="Arial"/>
          <w:i/>
          <w:color w:val="auto"/>
        </w:rPr>
        <w:t xml:space="preserve">Northern Territory </w:t>
      </w:r>
      <w:r w:rsidRPr="00124558">
        <w:rPr>
          <w:rFonts w:cs="Arial"/>
          <w:i/>
          <w:color w:val="auto"/>
        </w:rPr>
        <w:t xml:space="preserve">Quality and Safeguarding Framework </w:t>
      </w:r>
      <w:r w:rsidRPr="00124558">
        <w:rPr>
          <w:rFonts w:cs="Arial"/>
          <w:color w:val="auto"/>
        </w:rPr>
        <w:t>(</w:t>
      </w:r>
      <w:r w:rsidR="00966F01">
        <w:rPr>
          <w:rFonts w:cs="Arial"/>
          <w:color w:val="auto"/>
        </w:rPr>
        <w:t xml:space="preserve">NT </w:t>
      </w:r>
      <w:r w:rsidRPr="00124558">
        <w:rPr>
          <w:rFonts w:cs="Arial"/>
          <w:color w:val="auto"/>
        </w:rPr>
        <w:t>Framework)</w:t>
      </w:r>
      <w:r w:rsidR="00AD5FCD">
        <w:rPr>
          <w:rFonts w:cs="Arial"/>
          <w:color w:val="auto"/>
        </w:rPr>
        <w:t xml:space="preserve"> in November</w:t>
      </w:r>
      <w:r w:rsidRPr="00124558">
        <w:rPr>
          <w:rFonts w:cs="Arial"/>
          <w:color w:val="auto"/>
        </w:rPr>
        <w:t xml:space="preserve"> </w:t>
      </w:r>
      <w:r w:rsidR="00AD5FCD">
        <w:rPr>
          <w:rFonts w:cs="Arial"/>
          <w:color w:val="auto"/>
        </w:rPr>
        <w:t>2016</w:t>
      </w:r>
      <w:r w:rsidR="00F551DC">
        <w:rPr>
          <w:rFonts w:cs="Arial"/>
          <w:color w:val="auto"/>
        </w:rPr>
        <w:t>.</w:t>
      </w:r>
    </w:p>
    <w:p w:rsidR="00FF4501" w:rsidRPr="0099163B" w:rsidRDefault="00FF4501" w:rsidP="0099163B">
      <w:pPr>
        <w:rPr>
          <w:color w:val="auto"/>
        </w:rPr>
      </w:pPr>
      <w:r w:rsidRPr="0099163B">
        <w:rPr>
          <w:color w:val="auto"/>
        </w:rPr>
        <w:t xml:space="preserve">The </w:t>
      </w:r>
      <w:r w:rsidR="00966F01" w:rsidRPr="0099163B">
        <w:rPr>
          <w:color w:val="auto"/>
        </w:rPr>
        <w:t xml:space="preserve">NT </w:t>
      </w:r>
      <w:r w:rsidRPr="0099163B">
        <w:rPr>
          <w:color w:val="auto"/>
        </w:rPr>
        <w:t>Framework and assessment process</w:t>
      </w:r>
      <w:r w:rsidR="00D84786" w:rsidRPr="0099163B">
        <w:rPr>
          <w:color w:val="auto"/>
        </w:rPr>
        <w:t xml:space="preserve"> </w:t>
      </w:r>
      <w:r w:rsidRPr="0099163B">
        <w:rPr>
          <w:color w:val="auto"/>
        </w:rPr>
        <w:t xml:space="preserve">will </w:t>
      </w:r>
      <w:r w:rsidR="00966F01" w:rsidRPr="0099163B">
        <w:rPr>
          <w:color w:val="auto"/>
        </w:rPr>
        <w:t xml:space="preserve">operate </w:t>
      </w:r>
      <w:r w:rsidR="00EE2EA4" w:rsidRPr="0099163B">
        <w:rPr>
          <w:color w:val="auto"/>
        </w:rPr>
        <w:t xml:space="preserve">until </w:t>
      </w:r>
      <w:r w:rsidR="00966F01" w:rsidRPr="0099163B">
        <w:rPr>
          <w:color w:val="auto"/>
        </w:rPr>
        <w:t xml:space="preserve">full implementation of </w:t>
      </w:r>
      <w:r w:rsidR="00EE2EA4" w:rsidRPr="0099163B">
        <w:rPr>
          <w:color w:val="auto"/>
        </w:rPr>
        <w:t xml:space="preserve">the </w:t>
      </w:r>
      <w:r w:rsidR="00966F01" w:rsidRPr="0099163B">
        <w:rPr>
          <w:color w:val="auto"/>
        </w:rPr>
        <w:t>N</w:t>
      </w:r>
      <w:r w:rsidR="00EE2EA4" w:rsidRPr="0099163B">
        <w:rPr>
          <w:color w:val="auto"/>
        </w:rPr>
        <w:t xml:space="preserve">ational </w:t>
      </w:r>
      <w:r w:rsidR="00966F01" w:rsidRPr="0099163B">
        <w:rPr>
          <w:color w:val="auto"/>
        </w:rPr>
        <w:t xml:space="preserve">NDIS </w:t>
      </w:r>
      <w:r w:rsidR="00EE2EA4" w:rsidRPr="0099163B">
        <w:rPr>
          <w:color w:val="auto"/>
        </w:rPr>
        <w:t>Quality and Safeguards Framework</w:t>
      </w:r>
      <w:r w:rsidR="00966F01" w:rsidRPr="0099163B">
        <w:rPr>
          <w:color w:val="auto"/>
        </w:rPr>
        <w:t xml:space="preserve"> (National Framework)</w:t>
      </w:r>
      <w:r w:rsidR="00EE2EA4" w:rsidRPr="0099163B">
        <w:rPr>
          <w:color w:val="auto"/>
        </w:rPr>
        <w:t xml:space="preserve">. The </w:t>
      </w:r>
      <w:r w:rsidR="00966F01" w:rsidRPr="0099163B">
        <w:rPr>
          <w:color w:val="auto"/>
        </w:rPr>
        <w:t>NT F</w:t>
      </w:r>
      <w:r w:rsidR="00EE2EA4" w:rsidRPr="0099163B">
        <w:rPr>
          <w:color w:val="auto"/>
        </w:rPr>
        <w:t xml:space="preserve">ramework will </w:t>
      </w:r>
      <w:r w:rsidRPr="0099163B">
        <w:rPr>
          <w:color w:val="auto"/>
        </w:rPr>
        <w:t xml:space="preserve">support providers to prepare and meet the </w:t>
      </w:r>
      <w:r w:rsidR="00966F01" w:rsidRPr="0099163B">
        <w:rPr>
          <w:color w:val="auto"/>
        </w:rPr>
        <w:t>N</w:t>
      </w:r>
      <w:r w:rsidRPr="0099163B">
        <w:rPr>
          <w:color w:val="auto"/>
        </w:rPr>
        <w:t>ational Framework</w:t>
      </w:r>
      <w:r w:rsidR="00341D27" w:rsidRPr="0099163B">
        <w:rPr>
          <w:color w:val="auto"/>
        </w:rPr>
        <w:t xml:space="preserve"> requirements</w:t>
      </w:r>
      <w:r w:rsidRPr="0099163B">
        <w:rPr>
          <w:color w:val="auto"/>
        </w:rPr>
        <w:t xml:space="preserve"> in 2019. The </w:t>
      </w:r>
      <w:r w:rsidR="00966F01" w:rsidRPr="0099163B">
        <w:rPr>
          <w:color w:val="auto"/>
        </w:rPr>
        <w:t xml:space="preserve">NT </w:t>
      </w:r>
      <w:r w:rsidRPr="0099163B">
        <w:rPr>
          <w:color w:val="auto"/>
        </w:rPr>
        <w:t xml:space="preserve">Framework’s assessment process will also support the Northern Territory disability sector to strengthen its support offerings and will assist in the establishment of a sustainable provider market post full Scheme implementation. </w:t>
      </w:r>
    </w:p>
    <w:p w:rsidR="00FF4501" w:rsidRPr="001D0710" w:rsidRDefault="00FF4501" w:rsidP="001D0710">
      <w:pPr>
        <w:rPr>
          <w:color w:val="auto"/>
        </w:rPr>
      </w:pPr>
      <w:r w:rsidRPr="001D0710">
        <w:rPr>
          <w:color w:val="auto"/>
        </w:rPr>
        <w:t xml:space="preserve">The </w:t>
      </w:r>
      <w:r w:rsidR="00966F01" w:rsidRPr="001D0710">
        <w:rPr>
          <w:color w:val="auto"/>
        </w:rPr>
        <w:t xml:space="preserve">NT </w:t>
      </w:r>
      <w:r w:rsidRPr="001D0710">
        <w:rPr>
          <w:color w:val="auto"/>
        </w:rPr>
        <w:t xml:space="preserve">Framework </w:t>
      </w:r>
      <w:r w:rsidR="00966F01" w:rsidRPr="001D0710">
        <w:rPr>
          <w:color w:val="auto"/>
        </w:rPr>
        <w:t>aligns</w:t>
      </w:r>
      <w:r w:rsidR="00EE2EA4" w:rsidRPr="001D0710">
        <w:rPr>
          <w:color w:val="auto"/>
        </w:rPr>
        <w:t xml:space="preserve"> with </w:t>
      </w:r>
      <w:r w:rsidRPr="001D0710">
        <w:rPr>
          <w:color w:val="auto"/>
        </w:rPr>
        <w:t xml:space="preserve">the National Standards for Disability Services, 2013 and is consistent with the intent and approach of the </w:t>
      </w:r>
      <w:r w:rsidR="00966F01" w:rsidRPr="001D0710">
        <w:rPr>
          <w:color w:val="auto"/>
        </w:rPr>
        <w:t>National Framework</w:t>
      </w:r>
      <w:r w:rsidRPr="001D0710">
        <w:rPr>
          <w:color w:val="auto"/>
        </w:rPr>
        <w:t xml:space="preserve">. The Northern Territory Framework has a strong emphasis on cultural safety, security and competency as well as remote service provision. The </w:t>
      </w:r>
      <w:r w:rsidR="00966F01" w:rsidRPr="001D0710">
        <w:rPr>
          <w:color w:val="auto"/>
        </w:rPr>
        <w:t xml:space="preserve">NT </w:t>
      </w:r>
      <w:r w:rsidRPr="001D0710">
        <w:rPr>
          <w:color w:val="auto"/>
        </w:rPr>
        <w:t xml:space="preserve">Framework draws on the extensive consultation conducted by the Commonwealth on the </w:t>
      </w:r>
      <w:r w:rsidR="00966F01" w:rsidRPr="001D0710">
        <w:rPr>
          <w:color w:val="auto"/>
        </w:rPr>
        <w:t>National Framework</w:t>
      </w:r>
      <w:r w:rsidR="00966F01" w:rsidRPr="001D0710" w:rsidDel="00966F01">
        <w:rPr>
          <w:color w:val="auto"/>
        </w:rPr>
        <w:t xml:space="preserve"> </w:t>
      </w:r>
      <w:r w:rsidRPr="001D0710">
        <w:rPr>
          <w:color w:val="auto"/>
        </w:rPr>
        <w:t>as well as targeted consultations with the disability sector and other key stakeholders in the Northern Territory during its development.</w:t>
      </w:r>
    </w:p>
    <w:p w:rsidR="00C244AE" w:rsidRPr="00124558" w:rsidRDefault="00C244AE" w:rsidP="001D0710">
      <w:pPr>
        <w:pStyle w:val="Heading2"/>
      </w:pPr>
      <w:bookmarkStart w:id="7" w:name="_Toc513450466"/>
      <w:r w:rsidRPr="00124558">
        <w:t>Legislative</w:t>
      </w:r>
      <w:r w:rsidR="006A12AC" w:rsidRPr="00124558">
        <w:t xml:space="preserve"> </w:t>
      </w:r>
      <w:r w:rsidR="00087D04" w:rsidRPr="00124558">
        <w:t>s</w:t>
      </w:r>
      <w:r w:rsidR="006A12AC" w:rsidRPr="00124558">
        <w:t>afeguards</w:t>
      </w:r>
      <w:bookmarkEnd w:id="7"/>
    </w:p>
    <w:p w:rsidR="00524208" w:rsidRPr="00124558" w:rsidRDefault="00524208" w:rsidP="00524208">
      <w:pPr>
        <w:pStyle w:val="ListNumber"/>
        <w:rPr>
          <w:rFonts w:ascii="Arial" w:eastAsia="MS Mincho" w:hAnsi="Arial" w:cs="Arial"/>
          <w:color w:val="auto"/>
          <w:spacing w:val="-2"/>
          <w:szCs w:val="20"/>
          <w:lang w:val="en-US" w:eastAsia="en-US"/>
        </w:rPr>
      </w:pPr>
      <w:r w:rsidRPr="00124558">
        <w:rPr>
          <w:rFonts w:ascii="Arial" w:eastAsia="MS Mincho" w:hAnsi="Arial" w:cs="Arial"/>
          <w:color w:val="auto"/>
          <w:spacing w:val="-2"/>
          <w:szCs w:val="20"/>
          <w:lang w:val="en-US" w:eastAsia="en-US"/>
        </w:rPr>
        <w:t xml:space="preserve">Providers in the NT must operate in accordance with a range of Commonwealth and Territory legislative requirements. </w:t>
      </w:r>
      <w:r w:rsidR="00341D27">
        <w:rPr>
          <w:rFonts w:ascii="Arial" w:eastAsia="MS Mincho" w:hAnsi="Arial" w:cs="Arial"/>
          <w:color w:val="auto"/>
          <w:spacing w:val="-2"/>
          <w:szCs w:val="20"/>
          <w:lang w:val="en-US" w:eastAsia="en-US"/>
        </w:rPr>
        <w:t>L</w:t>
      </w:r>
      <w:r w:rsidRPr="00124558">
        <w:rPr>
          <w:rFonts w:ascii="Arial" w:eastAsia="MS Mincho" w:hAnsi="Arial" w:cs="Arial"/>
          <w:color w:val="auto"/>
          <w:spacing w:val="-2"/>
          <w:szCs w:val="20"/>
          <w:lang w:val="en-US" w:eastAsia="en-US"/>
        </w:rPr>
        <w:t xml:space="preserve">egislation that is particular relevant to providers include: </w:t>
      </w:r>
    </w:p>
    <w:p w:rsidR="000428C5" w:rsidRDefault="000428C5" w:rsidP="00524208">
      <w:pPr>
        <w:pStyle w:val="Normal-QLD"/>
        <w:numPr>
          <w:ilvl w:val="0"/>
          <w:numId w:val="25"/>
        </w:numPr>
      </w:pPr>
      <w:r w:rsidRPr="00124558">
        <w:t>Disability Services Act</w:t>
      </w:r>
    </w:p>
    <w:p w:rsidR="00B02C89" w:rsidRDefault="00B02C89" w:rsidP="00524208">
      <w:pPr>
        <w:pStyle w:val="Normal-QLD"/>
        <w:numPr>
          <w:ilvl w:val="0"/>
          <w:numId w:val="25"/>
        </w:numPr>
      </w:pPr>
      <w:r>
        <w:t>Disability Services Act 1986 (Cwlth)</w:t>
      </w:r>
    </w:p>
    <w:p w:rsidR="00B02C89" w:rsidRDefault="00B02C89" w:rsidP="00524208">
      <w:pPr>
        <w:pStyle w:val="Normal-QLD"/>
        <w:numPr>
          <w:ilvl w:val="0"/>
          <w:numId w:val="25"/>
        </w:numPr>
      </w:pPr>
      <w:r>
        <w:t>National Disability Insurance Scheme Act 2013 (Cwlth)</w:t>
      </w:r>
    </w:p>
    <w:p w:rsidR="00B02C89" w:rsidRPr="00124558" w:rsidRDefault="00B02C89" w:rsidP="00524208">
      <w:pPr>
        <w:pStyle w:val="Normal-QLD"/>
        <w:numPr>
          <w:ilvl w:val="0"/>
          <w:numId w:val="25"/>
        </w:numPr>
      </w:pPr>
      <w:r>
        <w:t>National Disability Insurance Scheme (Registered Providers of Supports) Rules 2013 (Cwlth)</w:t>
      </w:r>
    </w:p>
    <w:p w:rsidR="00524208" w:rsidRPr="00124558" w:rsidRDefault="00524208" w:rsidP="00524208">
      <w:pPr>
        <w:pStyle w:val="Normal-QLD"/>
        <w:numPr>
          <w:ilvl w:val="0"/>
          <w:numId w:val="25"/>
        </w:numPr>
      </w:pPr>
      <w:r w:rsidRPr="00124558">
        <w:t>Health and Community Services Complaints Act</w:t>
      </w:r>
    </w:p>
    <w:p w:rsidR="000428C5" w:rsidRPr="00124558" w:rsidRDefault="000428C5" w:rsidP="00524208">
      <w:pPr>
        <w:pStyle w:val="Normal-QLD"/>
        <w:numPr>
          <w:ilvl w:val="0"/>
          <w:numId w:val="25"/>
        </w:numPr>
      </w:pPr>
      <w:r w:rsidRPr="00124558">
        <w:rPr>
          <w:iCs/>
        </w:rPr>
        <w:t xml:space="preserve">Carers Recognition Act </w:t>
      </w:r>
    </w:p>
    <w:p w:rsidR="00524208" w:rsidRPr="00124558" w:rsidRDefault="00524208" w:rsidP="00524208">
      <w:pPr>
        <w:pStyle w:val="Normal-QLD"/>
        <w:numPr>
          <w:ilvl w:val="0"/>
          <w:numId w:val="25"/>
        </w:numPr>
      </w:pPr>
      <w:r w:rsidRPr="00124558">
        <w:t>Care and Protection of Children Act</w:t>
      </w:r>
    </w:p>
    <w:p w:rsidR="00524208" w:rsidRPr="00124558" w:rsidRDefault="00524208" w:rsidP="00524208">
      <w:pPr>
        <w:pStyle w:val="Normal-QLD"/>
        <w:numPr>
          <w:ilvl w:val="0"/>
          <w:numId w:val="25"/>
        </w:numPr>
      </w:pPr>
      <w:r w:rsidRPr="00124558">
        <w:t>Guardianship of Adults Act</w:t>
      </w:r>
    </w:p>
    <w:p w:rsidR="00524208" w:rsidRPr="00124558" w:rsidRDefault="00524208" w:rsidP="00524208">
      <w:pPr>
        <w:pStyle w:val="Normal-QLD"/>
        <w:numPr>
          <w:ilvl w:val="0"/>
          <w:numId w:val="25"/>
        </w:numPr>
      </w:pPr>
      <w:r w:rsidRPr="00124558">
        <w:t>Anti-Discrimination Act</w:t>
      </w:r>
    </w:p>
    <w:p w:rsidR="00524208" w:rsidRPr="00124558" w:rsidRDefault="00524208" w:rsidP="00524208">
      <w:pPr>
        <w:pStyle w:val="Normal-QLD"/>
        <w:numPr>
          <w:ilvl w:val="0"/>
          <w:numId w:val="25"/>
        </w:numPr>
      </w:pPr>
      <w:r w:rsidRPr="00124558">
        <w:t xml:space="preserve">Work </w:t>
      </w:r>
      <w:r w:rsidR="000428C5" w:rsidRPr="00124558">
        <w:t xml:space="preserve">Health and </w:t>
      </w:r>
      <w:r w:rsidRPr="00124558">
        <w:t>Safe</w:t>
      </w:r>
      <w:r w:rsidR="000428C5" w:rsidRPr="00124558">
        <w:t>ty</w:t>
      </w:r>
      <w:r w:rsidRPr="00124558">
        <w:t xml:space="preserve"> Act</w:t>
      </w:r>
    </w:p>
    <w:p w:rsidR="00524208" w:rsidRDefault="00524208" w:rsidP="00524208">
      <w:pPr>
        <w:pStyle w:val="Normal-QLD"/>
        <w:numPr>
          <w:ilvl w:val="0"/>
          <w:numId w:val="25"/>
        </w:numPr>
      </w:pPr>
      <w:r w:rsidRPr="00124558">
        <w:t>NT Building Act</w:t>
      </w:r>
    </w:p>
    <w:p w:rsidR="00D426C1" w:rsidRPr="00D426C1" w:rsidRDefault="00D426C1" w:rsidP="00524208">
      <w:pPr>
        <w:pStyle w:val="Normal-QLD"/>
        <w:numPr>
          <w:ilvl w:val="0"/>
          <w:numId w:val="25"/>
        </w:numPr>
      </w:pPr>
      <w:r w:rsidRPr="0099163B">
        <w:t>Children’s Commissioner Act</w:t>
      </w:r>
    </w:p>
    <w:p w:rsidR="00C244AE" w:rsidRPr="001D0710" w:rsidRDefault="001D0710" w:rsidP="001D0710">
      <w:pPr>
        <w:pStyle w:val="Heading3"/>
      </w:pPr>
      <w:r>
        <w:lastRenderedPageBreak/>
        <w:t xml:space="preserve"> </w:t>
      </w:r>
      <w:r w:rsidR="00D84702" w:rsidRPr="001D0710">
        <w:t>Safeguards under the NT Framework</w:t>
      </w:r>
    </w:p>
    <w:p w:rsidR="00FF4501" w:rsidRDefault="00FF4501" w:rsidP="00FF4501">
      <w:pPr>
        <w:rPr>
          <w:rFonts w:cs="Arial"/>
          <w:color w:val="auto"/>
        </w:rPr>
      </w:pPr>
      <w:r w:rsidRPr="00124558">
        <w:rPr>
          <w:rFonts w:cs="Arial"/>
          <w:color w:val="auto"/>
        </w:rPr>
        <w:t>As stipulated in the N</w:t>
      </w:r>
      <w:r w:rsidR="00D426C1">
        <w:rPr>
          <w:rFonts w:cs="Arial"/>
          <w:color w:val="auto"/>
        </w:rPr>
        <w:t>T</w:t>
      </w:r>
      <w:r w:rsidRPr="00124558">
        <w:rPr>
          <w:rFonts w:cs="Arial"/>
          <w:color w:val="auto"/>
        </w:rPr>
        <w:t xml:space="preserve"> Bilateral Agreement, the NT Government is required to assess providers to deliver supports under the NDIS. The NT provider assessment process will facilitate the NDIS registration of existing providers who wish to continue to provide current support types, existing providers who wish to expand their services into new support types, and new providers who wish to provide disability support. </w:t>
      </w:r>
      <w:r w:rsidR="00966F01">
        <w:rPr>
          <w:rFonts w:cs="Arial"/>
          <w:color w:val="auto"/>
        </w:rPr>
        <w:t>Section 4.4 of this document outlines t</w:t>
      </w:r>
      <w:r w:rsidRPr="00124558">
        <w:rPr>
          <w:rFonts w:cs="Arial"/>
          <w:color w:val="auto"/>
        </w:rPr>
        <w:t xml:space="preserve">he NDIS </w:t>
      </w:r>
      <w:r w:rsidR="00966F01">
        <w:rPr>
          <w:rFonts w:cs="Arial"/>
          <w:color w:val="auto"/>
        </w:rPr>
        <w:t xml:space="preserve">Registration Groups for which compliance with </w:t>
      </w:r>
      <w:r w:rsidRPr="00124558">
        <w:rPr>
          <w:rFonts w:cs="Arial"/>
          <w:color w:val="auto"/>
        </w:rPr>
        <w:t xml:space="preserve">the </w:t>
      </w:r>
      <w:r w:rsidR="00966F01">
        <w:rPr>
          <w:rFonts w:cs="Arial"/>
          <w:color w:val="auto"/>
        </w:rPr>
        <w:t xml:space="preserve">NT </w:t>
      </w:r>
      <w:r w:rsidRPr="00124558">
        <w:rPr>
          <w:rFonts w:cs="Arial"/>
          <w:color w:val="auto"/>
        </w:rPr>
        <w:t>Framework</w:t>
      </w:r>
      <w:r w:rsidR="00966F01">
        <w:rPr>
          <w:rFonts w:cs="Arial"/>
          <w:color w:val="auto"/>
        </w:rPr>
        <w:t xml:space="preserve"> is a prerequisite to NDIS registration</w:t>
      </w:r>
      <w:r w:rsidRPr="00124558">
        <w:rPr>
          <w:rFonts w:cs="Arial"/>
          <w:color w:val="auto"/>
        </w:rPr>
        <w:t xml:space="preserve">. Also, providers do not need to participate in the NT assessment process </w:t>
      </w:r>
      <w:r w:rsidR="00341D27">
        <w:rPr>
          <w:rFonts w:cs="Arial"/>
          <w:color w:val="auto"/>
        </w:rPr>
        <w:t xml:space="preserve">if they </w:t>
      </w:r>
      <w:r w:rsidR="00AD5FCD">
        <w:rPr>
          <w:rFonts w:cs="Arial"/>
          <w:color w:val="auto"/>
        </w:rPr>
        <w:t>do not intend to register with the NDIA to provide funded NDIS supports</w:t>
      </w:r>
      <w:r w:rsidR="008948A0">
        <w:rPr>
          <w:rFonts w:cs="Arial"/>
          <w:color w:val="auto"/>
        </w:rPr>
        <w:t xml:space="preserve">. </w:t>
      </w:r>
    </w:p>
    <w:p w:rsidR="008948A0" w:rsidRPr="00124558" w:rsidRDefault="008948A0" w:rsidP="008948A0">
      <w:pPr>
        <w:rPr>
          <w:rFonts w:cs="Arial"/>
          <w:color w:val="auto"/>
        </w:rPr>
      </w:pPr>
      <w:r>
        <w:rPr>
          <w:rFonts w:cs="Arial"/>
          <w:color w:val="auto"/>
        </w:rPr>
        <w:t>All disability services</w:t>
      </w:r>
      <w:r w:rsidRPr="008948A0">
        <w:rPr>
          <w:rFonts w:cs="Arial"/>
          <w:color w:val="auto"/>
        </w:rPr>
        <w:t xml:space="preserve"> </w:t>
      </w:r>
      <w:r>
        <w:rPr>
          <w:rFonts w:cs="Arial"/>
          <w:color w:val="auto"/>
        </w:rPr>
        <w:t xml:space="preserve">in the NT, including unregistered providers, are subject to the </w:t>
      </w:r>
      <w:r w:rsidRPr="008948A0">
        <w:rPr>
          <w:rFonts w:cs="Arial"/>
          <w:color w:val="auto"/>
        </w:rPr>
        <w:t>Health and Community Services Complaints Commission</w:t>
      </w:r>
      <w:r>
        <w:rPr>
          <w:rFonts w:cs="Arial"/>
          <w:color w:val="auto"/>
        </w:rPr>
        <w:t xml:space="preserve"> (Commission), </w:t>
      </w:r>
      <w:r w:rsidRPr="008948A0">
        <w:rPr>
          <w:rFonts w:cs="Arial"/>
          <w:color w:val="auto"/>
        </w:rPr>
        <w:t xml:space="preserve">an independent statutory body established under the </w:t>
      </w:r>
      <w:r w:rsidRPr="0099163B">
        <w:rPr>
          <w:rFonts w:cs="Arial"/>
          <w:i/>
          <w:color w:val="auto"/>
        </w:rPr>
        <w:t>Health and Community Services Complaints Act</w:t>
      </w:r>
      <w:r w:rsidRPr="008948A0">
        <w:rPr>
          <w:rFonts w:cs="Arial"/>
          <w:color w:val="auto"/>
        </w:rPr>
        <w:t>.</w:t>
      </w:r>
      <w:r>
        <w:rPr>
          <w:rFonts w:cs="Arial"/>
          <w:color w:val="auto"/>
        </w:rPr>
        <w:t xml:space="preserve">  The Commission </w:t>
      </w:r>
      <w:r w:rsidR="0099163B" w:rsidRPr="008948A0">
        <w:rPr>
          <w:rFonts w:cs="Arial"/>
          <w:color w:val="auto"/>
        </w:rPr>
        <w:t>assists</w:t>
      </w:r>
      <w:r w:rsidRPr="008948A0">
        <w:rPr>
          <w:rFonts w:cs="Arial"/>
          <w:color w:val="auto"/>
        </w:rPr>
        <w:t xml:space="preserve"> Territorians to resolve complaints about health, disability and aged services and make recommendations to improve the quality of these services.</w:t>
      </w:r>
      <w:r>
        <w:rPr>
          <w:rFonts w:cs="Arial"/>
          <w:color w:val="auto"/>
        </w:rPr>
        <w:tab/>
      </w:r>
    </w:p>
    <w:p w:rsidR="00C244AE" w:rsidRPr="0099163B" w:rsidRDefault="00FF4501" w:rsidP="0099163B">
      <w:pPr>
        <w:pStyle w:val="Finding"/>
        <w:pBdr>
          <w:top w:val="none" w:sz="0" w:space="0" w:color="auto"/>
          <w:left w:val="none" w:sz="0" w:space="0" w:color="auto"/>
          <w:bottom w:val="none" w:sz="0" w:space="0" w:color="auto"/>
          <w:right w:val="none" w:sz="0" w:space="0" w:color="auto"/>
        </w:pBdr>
        <w:jc w:val="left"/>
        <w:rPr>
          <w:rFonts w:ascii="Arial" w:hAnsi="Arial" w:cs="Arial"/>
        </w:rPr>
      </w:pPr>
      <w:r w:rsidRPr="0099163B">
        <w:rPr>
          <w:rFonts w:ascii="Arial" w:hAnsi="Arial" w:cs="Arial"/>
        </w:rPr>
        <w:t>The N</w:t>
      </w:r>
      <w:r w:rsidR="0099163B" w:rsidRPr="0099163B">
        <w:rPr>
          <w:rFonts w:ascii="Arial" w:hAnsi="Arial" w:cs="Arial"/>
        </w:rPr>
        <w:t>T</w:t>
      </w:r>
      <w:r w:rsidRPr="0099163B">
        <w:rPr>
          <w:rFonts w:ascii="Arial" w:hAnsi="Arial" w:cs="Arial"/>
        </w:rPr>
        <w:t xml:space="preserve"> </w:t>
      </w:r>
      <w:r w:rsidR="006E3F5E" w:rsidRPr="0099163B">
        <w:rPr>
          <w:rFonts w:ascii="Arial" w:hAnsi="Arial" w:cs="Arial"/>
        </w:rPr>
        <w:t>rollout of the</w:t>
      </w:r>
      <w:r w:rsidR="0099163B" w:rsidRPr="0099163B">
        <w:rPr>
          <w:rFonts w:ascii="Arial" w:hAnsi="Arial" w:cs="Arial"/>
        </w:rPr>
        <w:t xml:space="preserve"> provider</w:t>
      </w:r>
      <w:r w:rsidR="006E3F5E" w:rsidRPr="0099163B">
        <w:rPr>
          <w:rFonts w:ascii="Arial" w:hAnsi="Arial" w:cs="Arial"/>
        </w:rPr>
        <w:t xml:space="preserve"> </w:t>
      </w:r>
      <w:r w:rsidRPr="0099163B">
        <w:rPr>
          <w:rFonts w:ascii="Arial" w:hAnsi="Arial" w:cs="Arial"/>
        </w:rPr>
        <w:t>assessment process will</w:t>
      </w:r>
      <w:r w:rsidR="00D2436B" w:rsidRPr="0099163B">
        <w:rPr>
          <w:rFonts w:ascii="Arial" w:hAnsi="Arial" w:cs="Arial"/>
        </w:rPr>
        <w:t xml:space="preserve"> </w:t>
      </w:r>
      <w:r w:rsidR="006E3F5E" w:rsidRPr="0099163B">
        <w:rPr>
          <w:rFonts w:ascii="Arial" w:hAnsi="Arial" w:cs="Arial"/>
        </w:rPr>
        <w:t xml:space="preserve">align with </w:t>
      </w:r>
      <w:r w:rsidRPr="0099163B">
        <w:rPr>
          <w:rFonts w:ascii="Arial" w:hAnsi="Arial" w:cs="Arial"/>
        </w:rPr>
        <w:t xml:space="preserve">the NDIS phasing arrangements. The initial focus </w:t>
      </w:r>
      <w:r w:rsidR="006E3F5E" w:rsidRPr="0099163B">
        <w:rPr>
          <w:rFonts w:ascii="Arial" w:hAnsi="Arial" w:cs="Arial"/>
        </w:rPr>
        <w:t xml:space="preserve">of the assessment </w:t>
      </w:r>
      <w:r w:rsidRPr="0099163B">
        <w:rPr>
          <w:rFonts w:ascii="Arial" w:hAnsi="Arial" w:cs="Arial"/>
        </w:rPr>
        <w:t xml:space="preserve">will be on </w:t>
      </w:r>
      <w:r w:rsidR="006E3F5E" w:rsidRPr="0099163B">
        <w:rPr>
          <w:rFonts w:ascii="Arial" w:hAnsi="Arial" w:cs="Arial"/>
        </w:rPr>
        <w:t xml:space="preserve">supporting </w:t>
      </w:r>
      <w:r w:rsidRPr="0099163B">
        <w:rPr>
          <w:rFonts w:ascii="Arial" w:hAnsi="Arial" w:cs="Arial"/>
        </w:rPr>
        <w:t xml:space="preserve">existing service providers </w:t>
      </w:r>
      <w:r w:rsidR="006E3F5E" w:rsidRPr="0099163B">
        <w:rPr>
          <w:rFonts w:ascii="Arial" w:hAnsi="Arial" w:cs="Arial"/>
        </w:rPr>
        <w:t>of each region to become registered.</w:t>
      </w:r>
    </w:p>
    <w:p w:rsidR="00D84702" w:rsidRPr="001D0710" w:rsidRDefault="00C81566" w:rsidP="001D0710">
      <w:pPr>
        <w:pStyle w:val="Heading3"/>
      </w:pPr>
      <w:r>
        <w:t xml:space="preserve"> </w:t>
      </w:r>
      <w:r w:rsidR="00D84702">
        <w:t>Overview of the NT Quality and Safeguards Framework</w:t>
      </w:r>
    </w:p>
    <w:p w:rsidR="00FF4501" w:rsidRPr="00124558" w:rsidRDefault="00431FD0" w:rsidP="00431FD0">
      <w:pPr>
        <w:rPr>
          <w:rFonts w:cs="Arial"/>
          <w:color w:val="auto"/>
        </w:rPr>
      </w:pPr>
      <w:r w:rsidRPr="00124558">
        <w:rPr>
          <w:rFonts w:cs="Arial"/>
          <w:color w:val="auto"/>
        </w:rPr>
        <w:t xml:space="preserve">The Framework covers five key domains and corresponding elements with associated indicators of good practice. It also includes a provider self-assessment and independent assessment process. The Framework takes a risk-based approach to ensure that those areas where the risks are greatest and the consequences of harm most severe are addressed.  </w:t>
      </w:r>
      <w:r w:rsidR="00D2436B">
        <w:rPr>
          <w:rFonts w:cs="Arial"/>
          <w:color w:val="auto"/>
        </w:rPr>
        <w:t>Diagram 1 provides a</w:t>
      </w:r>
      <w:r w:rsidRPr="00124558">
        <w:rPr>
          <w:rFonts w:cs="Arial"/>
          <w:color w:val="auto"/>
        </w:rPr>
        <w:t xml:space="preserve">n overview of the </w:t>
      </w:r>
      <w:r w:rsidR="00D2436B">
        <w:rPr>
          <w:rFonts w:cs="Arial"/>
          <w:color w:val="auto"/>
        </w:rPr>
        <w:t xml:space="preserve">NT </w:t>
      </w:r>
      <w:r w:rsidRPr="00124558">
        <w:rPr>
          <w:rFonts w:cs="Arial"/>
          <w:color w:val="auto"/>
        </w:rPr>
        <w:t>Framework.</w:t>
      </w:r>
    </w:p>
    <w:p w:rsidR="00431FD0" w:rsidRPr="00124558" w:rsidRDefault="00431FD0" w:rsidP="00FF4501">
      <w:pPr>
        <w:pStyle w:val="Finding"/>
        <w:pBdr>
          <w:top w:val="none" w:sz="0" w:space="0" w:color="auto"/>
          <w:left w:val="none" w:sz="0" w:space="0" w:color="auto"/>
          <w:bottom w:val="none" w:sz="0" w:space="0" w:color="auto"/>
          <w:right w:val="none" w:sz="0" w:space="0" w:color="auto"/>
        </w:pBdr>
        <w:ind w:left="360" w:hanging="360"/>
        <w:jc w:val="left"/>
        <w:rPr>
          <w:rFonts w:ascii="Arial" w:eastAsia="+mn-ea" w:hAnsi="Arial" w:cs="Arial"/>
        </w:rPr>
      </w:pPr>
    </w:p>
    <w:p w:rsidR="00431FD0" w:rsidRPr="00124558" w:rsidRDefault="00431FD0" w:rsidP="00FF4501">
      <w:pPr>
        <w:pStyle w:val="Finding"/>
        <w:pBdr>
          <w:top w:val="none" w:sz="0" w:space="0" w:color="auto"/>
          <w:left w:val="none" w:sz="0" w:space="0" w:color="auto"/>
          <w:bottom w:val="none" w:sz="0" w:space="0" w:color="auto"/>
          <w:right w:val="none" w:sz="0" w:space="0" w:color="auto"/>
        </w:pBdr>
        <w:ind w:left="360" w:hanging="360"/>
        <w:jc w:val="left"/>
        <w:rPr>
          <w:rFonts w:ascii="Arial" w:eastAsia="+mn-ea" w:hAnsi="Arial" w:cs="Arial"/>
        </w:rPr>
      </w:pPr>
      <w:r w:rsidRPr="00124558">
        <w:rPr>
          <w:rFonts w:ascii="Arial" w:hAnsi="Arial" w:cs="Arial"/>
          <w:noProof/>
          <w:lang w:eastAsia="en-AU"/>
        </w:rPr>
        <w:drawing>
          <wp:inline distT="0" distB="0" distL="0" distR="0" wp14:anchorId="07B431E4" wp14:editId="26EA9D4C">
            <wp:extent cx="4675750" cy="3138985"/>
            <wp:effectExtent l="0" t="0" r="0" b="4445"/>
            <wp:docPr id="5" name="Picture 5" descr="This is a coloured bar diagram that has nine levels setting out the components of the framework. &#10;At the top, on level 1, is a black box labelled &quot;The Framework&quot;.&#10;On the next level down, level 2 there is a grey bar labelled &quot;Guiding principles&quot;.&#10;The boxes on Level 3, 4 and 5 are blue. On level 3 there are five boxes, one for each of the five domains of the &quot;guiding prinicples&quot;. They are labelled Domain 1 - Governance and financial management, Domain 2- Workforce Planning and development, Domain  3 - Person -centred planning and practice, Domain 4 -  Safeguarding  and Domain 5 - Cultural safety, security and competency. On Level 4, underneath each of the five domain boxes are a row of boxes labelled &quot;core elements&quot;. Under each of them, on level 5 are a row of boxes labelled  &quot; Indicators of good practice&quot;. &#10;On Level 6, one large box, coloured yellow,  labelled &quot;Self-assessment&quot; stretches across all of the Domains and has a downward arrow pointing to the orange box below it labelled &quot;Independant assessment&quot; on Level 7. On level 8, there are two green boxes labelled &quot;Quality Assessment Report&quot; and  &quot;Quality Improvment Plan&quot;. On the bottom level, level 9, is a blue arrow labelled &quot;NDIS Registration&quot;stretching  across the bottom of the diagram. " title="Diagram of NT Quality and Safeguard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5750" cy="3138985"/>
                    </a:xfrm>
                    <a:prstGeom prst="rect">
                      <a:avLst/>
                    </a:prstGeom>
                    <a:noFill/>
                  </pic:spPr>
                </pic:pic>
              </a:graphicData>
            </a:graphic>
          </wp:inline>
        </w:drawing>
      </w:r>
    </w:p>
    <w:p w:rsidR="00047DFA" w:rsidRPr="00124558" w:rsidRDefault="00431FD0" w:rsidP="00431FD0">
      <w:pPr>
        <w:pStyle w:val="Source"/>
        <w:jc w:val="both"/>
        <w:rPr>
          <w:rFonts w:ascii="Arial" w:eastAsia="+mn-ea" w:hAnsi="Arial" w:cs="Arial"/>
          <w:color w:val="auto"/>
        </w:rPr>
      </w:pPr>
      <w:r w:rsidRPr="00124558">
        <w:rPr>
          <w:rFonts w:ascii="Arial" w:eastAsia="+mn-ea" w:hAnsi="Arial" w:cs="Arial"/>
          <w:color w:val="auto"/>
        </w:rPr>
        <w:t xml:space="preserve">Diagram 1: Overview of the Framework </w:t>
      </w:r>
    </w:p>
    <w:p w:rsidR="00047DFA" w:rsidRDefault="00047DFA" w:rsidP="00C81566">
      <w:pPr>
        <w:pStyle w:val="Source"/>
        <w:jc w:val="both"/>
      </w:pPr>
    </w:p>
    <w:p w:rsidR="00047DFA" w:rsidRPr="00124558" w:rsidRDefault="00BA664D" w:rsidP="001D0710">
      <w:pPr>
        <w:rPr>
          <w:rFonts w:cs="Arial"/>
          <w:color w:val="auto"/>
        </w:rPr>
      </w:pPr>
      <w:r w:rsidRPr="00124558">
        <w:rPr>
          <w:rFonts w:cs="Arial"/>
          <w:color w:val="auto"/>
        </w:rPr>
        <w:t>All providers</w:t>
      </w:r>
      <w:r w:rsidR="00047DFA" w:rsidRPr="00124558">
        <w:rPr>
          <w:rFonts w:cs="Arial"/>
          <w:color w:val="auto"/>
        </w:rPr>
        <w:t xml:space="preserve"> </w:t>
      </w:r>
      <w:r w:rsidR="00047DFA">
        <w:rPr>
          <w:rFonts w:cs="Arial"/>
          <w:color w:val="auto"/>
        </w:rPr>
        <w:t xml:space="preserve">intending </w:t>
      </w:r>
      <w:r w:rsidR="00047DFA" w:rsidRPr="00124558">
        <w:rPr>
          <w:rFonts w:cs="Arial"/>
          <w:color w:val="auto"/>
        </w:rPr>
        <w:t>to register</w:t>
      </w:r>
      <w:r w:rsidR="00047DFA">
        <w:rPr>
          <w:rFonts w:cs="Arial"/>
          <w:color w:val="auto"/>
        </w:rPr>
        <w:t xml:space="preserve"> </w:t>
      </w:r>
      <w:r w:rsidR="00047DFA" w:rsidRPr="00124558">
        <w:rPr>
          <w:rFonts w:cs="Arial"/>
          <w:color w:val="auto"/>
        </w:rPr>
        <w:t xml:space="preserve">with the </w:t>
      </w:r>
      <w:r w:rsidR="00047DFA">
        <w:rPr>
          <w:rFonts w:cs="Arial"/>
          <w:color w:val="auto"/>
        </w:rPr>
        <w:t xml:space="preserve">NDIA </w:t>
      </w:r>
      <w:r w:rsidR="00047DFA" w:rsidRPr="00124558">
        <w:rPr>
          <w:rFonts w:cs="Arial"/>
          <w:color w:val="auto"/>
        </w:rPr>
        <w:t xml:space="preserve">to deliver </w:t>
      </w:r>
      <w:r w:rsidR="00EF3DBA">
        <w:rPr>
          <w:rFonts w:cs="Arial"/>
          <w:color w:val="auto"/>
        </w:rPr>
        <w:t xml:space="preserve">particular </w:t>
      </w:r>
      <w:r w:rsidR="00047DFA" w:rsidRPr="00124558">
        <w:rPr>
          <w:rFonts w:cs="Arial"/>
          <w:color w:val="auto"/>
        </w:rPr>
        <w:t>NDIS supports in the N</w:t>
      </w:r>
      <w:r w:rsidR="00EF3DBA">
        <w:rPr>
          <w:rFonts w:cs="Arial"/>
          <w:color w:val="auto"/>
        </w:rPr>
        <w:t>T</w:t>
      </w:r>
      <w:r w:rsidR="00047DFA" w:rsidRPr="00124558">
        <w:rPr>
          <w:rFonts w:cs="Arial"/>
          <w:color w:val="auto"/>
        </w:rPr>
        <w:t xml:space="preserve"> must </w:t>
      </w:r>
      <w:r w:rsidR="00047DFA">
        <w:rPr>
          <w:rFonts w:cs="Arial"/>
          <w:color w:val="auto"/>
        </w:rPr>
        <w:t xml:space="preserve">first successfully complete </w:t>
      </w:r>
      <w:r w:rsidR="00047DFA" w:rsidRPr="00124558">
        <w:rPr>
          <w:rFonts w:cs="Arial"/>
          <w:color w:val="auto"/>
        </w:rPr>
        <w:t xml:space="preserve">an assessment process against the </w:t>
      </w:r>
      <w:r w:rsidR="00047DFA">
        <w:rPr>
          <w:rFonts w:cs="Arial"/>
          <w:color w:val="auto"/>
        </w:rPr>
        <w:t xml:space="preserve">NT </w:t>
      </w:r>
      <w:r w:rsidR="00047DFA" w:rsidRPr="00124558">
        <w:rPr>
          <w:rFonts w:cs="Arial"/>
          <w:color w:val="auto"/>
        </w:rPr>
        <w:t>Framework.</w:t>
      </w:r>
      <w:r w:rsidR="00047DFA">
        <w:rPr>
          <w:rFonts w:cs="Arial"/>
          <w:color w:val="auto"/>
        </w:rPr>
        <w:t xml:space="preserve"> </w:t>
      </w:r>
      <w:r w:rsidR="00EF3DBA">
        <w:rPr>
          <w:rFonts w:cs="Arial"/>
          <w:color w:val="auto"/>
        </w:rPr>
        <w:t xml:space="preserve">Those Commonwealth funded </w:t>
      </w:r>
      <w:r w:rsidR="0031080B">
        <w:rPr>
          <w:rFonts w:cs="Arial"/>
          <w:color w:val="auto"/>
        </w:rPr>
        <w:t xml:space="preserve">providers </w:t>
      </w:r>
      <w:r w:rsidR="00EF3DBA" w:rsidRPr="00EF3DBA">
        <w:rPr>
          <w:rFonts w:cs="Arial"/>
          <w:color w:val="auto"/>
        </w:rPr>
        <w:t xml:space="preserve">who transition to deliver the same services through the NDIS </w:t>
      </w:r>
      <w:r>
        <w:rPr>
          <w:rFonts w:cs="Arial"/>
          <w:color w:val="auto"/>
        </w:rPr>
        <w:t>will have a streamlined registration process due to existing accreditation and certification. Please see section 4.</w:t>
      </w:r>
      <w:r w:rsidR="00EF3DBA">
        <w:rPr>
          <w:rFonts w:cs="Arial"/>
          <w:color w:val="auto"/>
        </w:rPr>
        <w:t>6</w:t>
      </w:r>
      <w:r>
        <w:rPr>
          <w:rFonts w:cs="Arial"/>
          <w:color w:val="auto"/>
        </w:rPr>
        <w:t xml:space="preserve"> for further information. </w:t>
      </w:r>
    </w:p>
    <w:p w:rsidR="00431FD0" w:rsidRPr="00124558" w:rsidRDefault="00047DFA" w:rsidP="00431FD0">
      <w:pPr>
        <w:rPr>
          <w:rFonts w:cs="Arial"/>
          <w:color w:val="auto"/>
        </w:rPr>
      </w:pPr>
      <w:r w:rsidRPr="00124558">
        <w:rPr>
          <w:rFonts w:cs="Arial"/>
          <w:color w:val="auto"/>
        </w:rPr>
        <w:t xml:space="preserve">The </w:t>
      </w:r>
      <w:r>
        <w:rPr>
          <w:rFonts w:cs="Arial"/>
          <w:color w:val="auto"/>
        </w:rPr>
        <w:t xml:space="preserve">NT Framework supports a flexible approach to </w:t>
      </w:r>
      <w:r w:rsidRPr="00124558">
        <w:rPr>
          <w:rFonts w:cs="Arial"/>
          <w:color w:val="auto"/>
        </w:rPr>
        <w:t xml:space="preserve">the assessment acknowledging </w:t>
      </w:r>
      <w:r>
        <w:rPr>
          <w:rFonts w:cs="Arial"/>
          <w:color w:val="auto"/>
        </w:rPr>
        <w:t xml:space="preserve">the need for a strong focus on service </w:t>
      </w:r>
      <w:r w:rsidRPr="00124558">
        <w:rPr>
          <w:rFonts w:cs="Arial"/>
          <w:color w:val="auto"/>
        </w:rPr>
        <w:t>development</w:t>
      </w:r>
      <w:r>
        <w:rPr>
          <w:rFonts w:cs="Arial"/>
          <w:color w:val="auto"/>
        </w:rPr>
        <w:t xml:space="preserve"> </w:t>
      </w:r>
      <w:r w:rsidRPr="00124558">
        <w:rPr>
          <w:rFonts w:cs="Arial"/>
          <w:color w:val="auto"/>
        </w:rPr>
        <w:t>and capacity building</w:t>
      </w:r>
      <w:r>
        <w:rPr>
          <w:rFonts w:cs="Arial"/>
          <w:color w:val="auto"/>
        </w:rPr>
        <w:t>.</w:t>
      </w:r>
    </w:p>
    <w:p w:rsidR="00431FD0" w:rsidRPr="00124558" w:rsidRDefault="00047DFA" w:rsidP="00431FD0">
      <w:pPr>
        <w:rPr>
          <w:rFonts w:cs="Arial"/>
          <w:color w:val="auto"/>
        </w:rPr>
      </w:pPr>
      <w:r>
        <w:rPr>
          <w:rFonts w:cs="Arial"/>
          <w:color w:val="auto"/>
        </w:rPr>
        <w:t xml:space="preserve">NDIS registration includes </w:t>
      </w:r>
      <w:r w:rsidR="00431FD0" w:rsidRPr="00124558">
        <w:rPr>
          <w:rFonts w:cs="Arial"/>
          <w:color w:val="auto"/>
        </w:rPr>
        <w:t xml:space="preserve">an ongoing obligation </w:t>
      </w:r>
      <w:r>
        <w:rPr>
          <w:rFonts w:cs="Arial"/>
          <w:color w:val="auto"/>
        </w:rPr>
        <w:t>to m</w:t>
      </w:r>
      <w:r w:rsidR="007916AE">
        <w:rPr>
          <w:rFonts w:cs="Arial"/>
          <w:color w:val="auto"/>
        </w:rPr>
        <w:t xml:space="preserve">aintain compliance with the NT Framework </w:t>
      </w:r>
      <w:r w:rsidR="00431FD0" w:rsidRPr="00124558">
        <w:rPr>
          <w:rFonts w:cs="Arial"/>
          <w:color w:val="auto"/>
        </w:rPr>
        <w:t>during the NDIS transition</w:t>
      </w:r>
      <w:r w:rsidR="008C4A50">
        <w:rPr>
          <w:rFonts w:cs="Arial"/>
          <w:color w:val="auto"/>
        </w:rPr>
        <w:t xml:space="preserve"> (as reflected in the NDIA Terms of Business)</w:t>
      </w:r>
      <w:r w:rsidR="00431FD0" w:rsidRPr="00124558">
        <w:rPr>
          <w:rFonts w:cs="Arial"/>
          <w:color w:val="auto"/>
        </w:rPr>
        <w:t xml:space="preserve">, and the </w:t>
      </w:r>
      <w:r w:rsidR="00F54D3F" w:rsidRPr="00124558">
        <w:rPr>
          <w:rFonts w:cs="Arial"/>
          <w:color w:val="auto"/>
        </w:rPr>
        <w:t>N</w:t>
      </w:r>
      <w:r w:rsidR="00F54D3F">
        <w:rPr>
          <w:rFonts w:cs="Arial"/>
          <w:color w:val="auto"/>
        </w:rPr>
        <w:t xml:space="preserve">T </w:t>
      </w:r>
      <w:r w:rsidR="00F54D3F" w:rsidRPr="00124558">
        <w:rPr>
          <w:rFonts w:cs="Arial"/>
          <w:color w:val="auto"/>
        </w:rPr>
        <w:t>Government</w:t>
      </w:r>
      <w:r w:rsidR="00431FD0" w:rsidRPr="00124558">
        <w:rPr>
          <w:rFonts w:cs="Arial"/>
          <w:color w:val="auto"/>
        </w:rPr>
        <w:t xml:space="preserve"> may initiate a review of a provider or service type during the transition period to ensure adherence to the Framework. </w:t>
      </w:r>
    </w:p>
    <w:p w:rsidR="003D1545" w:rsidRPr="00124558" w:rsidRDefault="00431FD0" w:rsidP="00431FD0">
      <w:pPr>
        <w:rPr>
          <w:rFonts w:cs="Arial"/>
          <w:color w:val="auto"/>
        </w:rPr>
      </w:pPr>
      <w:r w:rsidRPr="00124558">
        <w:rPr>
          <w:rFonts w:cs="Arial"/>
          <w:color w:val="auto"/>
        </w:rPr>
        <w:t>The N</w:t>
      </w:r>
      <w:r w:rsidR="00EF3DBA">
        <w:rPr>
          <w:rFonts w:cs="Arial"/>
          <w:color w:val="auto"/>
        </w:rPr>
        <w:t>T</w:t>
      </w:r>
      <w:r w:rsidRPr="00124558">
        <w:rPr>
          <w:rFonts w:cs="Arial"/>
          <w:color w:val="auto"/>
        </w:rPr>
        <w:t xml:space="preserve"> Government may issue practice guidelines and directions throughout the NDIS transition period. The practice guidelines and directions are </w:t>
      </w:r>
      <w:r w:rsidR="00D2436B">
        <w:rPr>
          <w:rFonts w:cs="Arial"/>
          <w:color w:val="auto"/>
        </w:rPr>
        <w:t xml:space="preserve">a function of </w:t>
      </w:r>
      <w:r w:rsidRPr="00124558">
        <w:rPr>
          <w:rFonts w:cs="Arial"/>
          <w:color w:val="auto"/>
        </w:rPr>
        <w:t>the Framework and providers will be notified in writing of practice guidelines and directions to which they will be required to adhere to throughout the transition.</w:t>
      </w:r>
      <w:r w:rsidR="003D1545">
        <w:rPr>
          <w:rFonts w:cs="Arial"/>
          <w:color w:val="auto"/>
        </w:rPr>
        <w:t xml:space="preserve"> Details of NT practice guidance, directions and policy can be found at </w:t>
      </w:r>
      <w:hyperlink r:id="rId14" w:history="1">
        <w:r w:rsidR="006E3F5E" w:rsidRPr="00EA70B6">
          <w:rPr>
            <w:rStyle w:val="Hyperlink"/>
            <w:rFonts w:cs="Arial"/>
          </w:rPr>
          <w:t>http://digitallibrary.health.nt.gov.au/prodjspui/</w:t>
        </w:r>
      </w:hyperlink>
      <w:r w:rsidR="006E3F5E">
        <w:rPr>
          <w:rFonts w:cs="Arial"/>
          <w:color w:val="auto"/>
        </w:rPr>
        <w:t xml:space="preserve"> </w:t>
      </w:r>
    </w:p>
    <w:p w:rsidR="00431FD0" w:rsidRPr="00124558" w:rsidRDefault="00431FD0" w:rsidP="00FF4501">
      <w:pPr>
        <w:pStyle w:val="Finding"/>
        <w:pBdr>
          <w:top w:val="none" w:sz="0" w:space="0" w:color="auto"/>
          <w:left w:val="none" w:sz="0" w:space="0" w:color="auto"/>
          <w:bottom w:val="none" w:sz="0" w:space="0" w:color="auto"/>
          <w:right w:val="none" w:sz="0" w:space="0" w:color="auto"/>
        </w:pBdr>
        <w:ind w:left="360" w:hanging="360"/>
        <w:jc w:val="left"/>
        <w:rPr>
          <w:rFonts w:ascii="Arial" w:hAnsi="Arial" w:cs="Arial"/>
        </w:rPr>
      </w:pPr>
    </w:p>
    <w:p w:rsidR="00C244AE" w:rsidRPr="00124558" w:rsidRDefault="00C244AE" w:rsidP="00876883">
      <w:pPr>
        <w:pStyle w:val="Heading1"/>
        <w:rPr>
          <w:rFonts w:cs="Arial"/>
          <w:color w:val="auto"/>
        </w:rPr>
      </w:pPr>
      <w:bookmarkStart w:id="8" w:name="_Toc513450467"/>
      <w:r w:rsidRPr="00124558">
        <w:rPr>
          <w:rFonts w:cs="Arial"/>
          <w:color w:val="auto"/>
        </w:rPr>
        <w:t xml:space="preserve">Registration </w:t>
      </w:r>
      <w:r w:rsidR="00087D04" w:rsidRPr="00124558">
        <w:rPr>
          <w:rFonts w:cs="Arial"/>
          <w:color w:val="auto"/>
        </w:rPr>
        <w:t>p</w:t>
      </w:r>
      <w:r w:rsidRPr="00124558">
        <w:rPr>
          <w:rFonts w:cs="Arial"/>
          <w:color w:val="auto"/>
        </w:rPr>
        <w:t xml:space="preserve">rocess for </w:t>
      </w:r>
      <w:r w:rsidR="003810D9" w:rsidRPr="00124558">
        <w:rPr>
          <w:rFonts w:cs="Arial"/>
          <w:color w:val="auto"/>
        </w:rPr>
        <w:t xml:space="preserve">providers of </w:t>
      </w:r>
      <w:r w:rsidRPr="00124558">
        <w:rPr>
          <w:rFonts w:cs="Arial"/>
          <w:color w:val="auto"/>
        </w:rPr>
        <w:t>specialist disability s</w:t>
      </w:r>
      <w:r w:rsidR="00F563A5">
        <w:rPr>
          <w:rFonts w:cs="Arial"/>
          <w:color w:val="auto"/>
        </w:rPr>
        <w:t>upports</w:t>
      </w:r>
      <w:r w:rsidRPr="00124558">
        <w:rPr>
          <w:rFonts w:cs="Arial"/>
          <w:color w:val="auto"/>
        </w:rPr>
        <w:t xml:space="preserve"> in </w:t>
      </w:r>
      <w:r w:rsidR="00133E1E" w:rsidRPr="00124558">
        <w:rPr>
          <w:rFonts w:cs="Arial"/>
          <w:color w:val="auto"/>
        </w:rPr>
        <w:t>Northern Territory</w:t>
      </w:r>
      <w:bookmarkEnd w:id="8"/>
    </w:p>
    <w:p w:rsidR="00EA147F" w:rsidRPr="00124558" w:rsidRDefault="00425C8A" w:rsidP="00EA147F">
      <w:pPr>
        <w:rPr>
          <w:rFonts w:cs="Arial"/>
          <w:color w:val="auto"/>
        </w:rPr>
      </w:pPr>
      <w:r w:rsidRPr="00124558">
        <w:rPr>
          <w:rFonts w:cs="Arial"/>
          <w:color w:val="auto"/>
        </w:rPr>
        <w:t>Refer</w:t>
      </w:r>
      <w:r w:rsidR="00EA147F" w:rsidRPr="00124558">
        <w:rPr>
          <w:rFonts w:cs="Arial"/>
          <w:color w:val="auto"/>
        </w:rPr>
        <w:t xml:space="preserve"> to Appendix 1: </w:t>
      </w:r>
      <w:r w:rsidR="006D2CB0" w:rsidRPr="00124558">
        <w:rPr>
          <w:rFonts w:cs="Arial"/>
          <w:color w:val="auto"/>
        </w:rPr>
        <w:t xml:space="preserve"> </w:t>
      </w:r>
      <w:r w:rsidR="00EA147F" w:rsidRPr="00124558">
        <w:rPr>
          <w:rFonts w:cs="Arial"/>
          <w:color w:val="auto"/>
        </w:rPr>
        <w:t xml:space="preserve">Provider </w:t>
      </w:r>
      <w:r w:rsidR="00087D04" w:rsidRPr="00124558">
        <w:rPr>
          <w:rFonts w:cs="Arial"/>
          <w:color w:val="auto"/>
        </w:rPr>
        <w:t>r</w:t>
      </w:r>
      <w:r w:rsidR="00EA147F" w:rsidRPr="00124558">
        <w:rPr>
          <w:rFonts w:cs="Arial"/>
          <w:color w:val="auto"/>
        </w:rPr>
        <w:t xml:space="preserve">egistration </w:t>
      </w:r>
      <w:r w:rsidR="00087D04" w:rsidRPr="00124558">
        <w:rPr>
          <w:rFonts w:cs="Arial"/>
          <w:color w:val="auto"/>
        </w:rPr>
        <w:t>process</w:t>
      </w:r>
      <w:r w:rsidR="00DA6DF6" w:rsidRPr="00124558">
        <w:rPr>
          <w:rFonts w:cs="Arial"/>
          <w:color w:val="auto"/>
        </w:rPr>
        <w:t xml:space="preserve"> (for organisations delivering specialist disability services)</w:t>
      </w:r>
    </w:p>
    <w:p w:rsidR="00D21373" w:rsidRPr="00124558" w:rsidRDefault="00087D04" w:rsidP="001D0710">
      <w:pPr>
        <w:pStyle w:val="Heading2"/>
      </w:pPr>
      <w:r w:rsidRPr="00124558">
        <w:t xml:space="preserve"> </w:t>
      </w:r>
      <w:bookmarkStart w:id="9" w:name="_Toc513450468"/>
      <w:r w:rsidR="00C244AE" w:rsidRPr="00124558">
        <w:t xml:space="preserve">Provider </w:t>
      </w:r>
      <w:r w:rsidR="003810D9" w:rsidRPr="00124558">
        <w:t xml:space="preserve">registration </w:t>
      </w:r>
      <w:r w:rsidR="00213CBD" w:rsidRPr="00124558">
        <w:t xml:space="preserve">application </w:t>
      </w:r>
      <w:r w:rsidRPr="00124558">
        <w:t>f</w:t>
      </w:r>
      <w:r w:rsidR="00C244AE" w:rsidRPr="00124558">
        <w:t>orm</w:t>
      </w:r>
      <w:bookmarkEnd w:id="9"/>
    </w:p>
    <w:p w:rsidR="00C244AE" w:rsidRPr="00124558" w:rsidRDefault="00074D55" w:rsidP="00C244AE">
      <w:pPr>
        <w:rPr>
          <w:rFonts w:cs="Arial"/>
          <w:color w:val="auto"/>
        </w:rPr>
      </w:pPr>
      <w:r w:rsidRPr="00124558">
        <w:rPr>
          <w:rFonts w:cs="Arial"/>
          <w:color w:val="auto"/>
        </w:rPr>
        <w:t>P</w:t>
      </w:r>
      <w:r w:rsidR="00C244AE" w:rsidRPr="00124558">
        <w:rPr>
          <w:rFonts w:cs="Arial"/>
          <w:color w:val="auto"/>
        </w:rPr>
        <w:t>roviders registering with the NDIA must complete a Provider Registration Application Form and submit this form to the NDIA</w:t>
      </w:r>
      <w:r w:rsidR="000F5ACD" w:rsidRPr="00124558">
        <w:rPr>
          <w:rFonts w:cs="Arial"/>
          <w:color w:val="auto"/>
        </w:rPr>
        <w:t>.</w:t>
      </w:r>
      <w:r w:rsidR="00B209F9">
        <w:rPr>
          <w:rFonts w:cs="Arial"/>
          <w:color w:val="auto"/>
        </w:rPr>
        <w:t xml:space="preserve"> Further information on how to register with the NDIA can be found in the </w:t>
      </w:r>
      <w:hyperlink r:id="rId15" w:history="1">
        <w:r w:rsidR="00B209F9" w:rsidRPr="00B209F9">
          <w:rPr>
            <w:rStyle w:val="Hyperlink"/>
            <w:rFonts w:cs="Arial"/>
          </w:rPr>
          <w:t>Provider Toolkit</w:t>
        </w:r>
      </w:hyperlink>
      <w:r w:rsidR="00B209F9">
        <w:rPr>
          <w:rFonts w:cs="Arial"/>
          <w:color w:val="auto"/>
        </w:rPr>
        <w:t>.</w:t>
      </w:r>
    </w:p>
    <w:p w:rsidR="00C244AE" w:rsidRPr="00124558" w:rsidRDefault="00087D04" w:rsidP="001D0710">
      <w:pPr>
        <w:pStyle w:val="Heading2"/>
      </w:pPr>
      <w:r w:rsidRPr="00124558">
        <w:t xml:space="preserve"> </w:t>
      </w:r>
      <w:bookmarkStart w:id="10" w:name="_Toc513450469"/>
      <w:r w:rsidR="00D42EE4">
        <w:t>Registration Groups</w:t>
      </w:r>
      <w:bookmarkEnd w:id="10"/>
    </w:p>
    <w:p w:rsidR="00C244AE" w:rsidRPr="00124558" w:rsidRDefault="002106C8" w:rsidP="00C244AE">
      <w:pPr>
        <w:rPr>
          <w:rFonts w:cs="Arial"/>
          <w:color w:val="auto"/>
        </w:rPr>
      </w:pPr>
      <w:r w:rsidRPr="00124558">
        <w:rPr>
          <w:rFonts w:cs="Arial"/>
          <w:color w:val="auto"/>
        </w:rPr>
        <w:t>As part of the registration process, p</w:t>
      </w:r>
      <w:r w:rsidR="00C244AE" w:rsidRPr="00124558">
        <w:rPr>
          <w:rFonts w:cs="Arial"/>
          <w:color w:val="auto"/>
        </w:rPr>
        <w:t xml:space="preserve">roviders </w:t>
      </w:r>
      <w:r w:rsidR="003810D9" w:rsidRPr="00124558">
        <w:rPr>
          <w:rFonts w:cs="Arial"/>
          <w:color w:val="auto"/>
        </w:rPr>
        <w:t>must</w:t>
      </w:r>
      <w:r w:rsidR="00C244AE" w:rsidRPr="00124558">
        <w:rPr>
          <w:rFonts w:cs="Arial"/>
          <w:color w:val="auto"/>
        </w:rPr>
        <w:t xml:space="preserve"> </w:t>
      </w:r>
      <w:r w:rsidRPr="00124558">
        <w:rPr>
          <w:rFonts w:cs="Arial"/>
          <w:color w:val="auto"/>
        </w:rPr>
        <w:t>declare</w:t>
      </w:r>
      <w:r w:rsidR="00560DB8" w:rsidRPr="00124558">
        <w:rPr>
          <w:rFonts w:cs="Arial"/>
          <w:color w:val="auto"/>
        </w:rPr>
        <w:t xml:space="preserve"> that </w:t>
      </w:r>
      <w:r w:rsidR="00C244AE" w:rsidRPr="00124558">
        <w:rPr>
          <w:rFonts w:cs="Arial"/>
          <w:color w:val="auto"/>
        </w:rPr>
        <w:t xml:space="preserve">the people in their organisation are appropriately skilled to deliver the </w:t>
      </w:r>
      <w:r w:rsidR="00C43939">
        <w:rPr>
          <w:rFonts w:cs="Arial"/>
          <w:color w:val="auto"/>
        </w:rPr>
        <w:t xml:space="preserve">Registration </w:t>
      </w:r>
      <w:r w:rsidR="009D6B5B">
        <w:rPr>
          <w:rFonts w:cs="Arial"/>
          <w:color w:val="auto"/>
        </w:rPr>
        <w:t>Groups they</w:t>
      </w:r>
      <w:r w:rsidR="00C244AE" w:rsidRPr="00124558">
        <w:rPr>
          <w:rFonts w:cs="Arial"/>
          <w:color w:val="auto"/>
        </w:rPr>
        <w:t xml:space="preserve"> are registering </w:t>
      </w:r>
      <w:r w:rsidR="00776FD9" w:rsidRPr="00124558">
        <w:rPr>
          <w:rFonts w:cs="Arial"/>
          <w:color w:val="auto"/>
        </w:rPr>
        <w:t>to deliver</w:t>
      </w:r>
      <w:r w:rsidR="00C244AE" w:rsidRPr="00124558">
        <w:rPr>
          <w:rFonts w:cs="Arial"/>
          <w:color w:val="auto"/>
        </w:rPr>
        <w:t xml:space="preserve">. </w:t>
      </w:r>
      <w:r w:rsidRPr="00124558">
        <w:rPr>
          <w:rFonts w:cs="Arial"/>
          <w:color w:val="auto"/>
        </w:rPr>
        <w:t xml:space="preserve">The Provider Guide to Suitability describes the expectations </w:t>
      </w:r>
      <w:r w:rsidR="003810D9" w:rsidRPr="00124558">
        <w:rPr>
          <w:rFonts w:cs="Arial"/>
          <w:color w:val="auto"/>
        </w:rPr>
        <w:t xml:space="preserve">for </w:t>
      </w:r>
      <w:r w:rsidRPr="00124558">
        <w:rPr>
          <w:rFonts w:cs="Arial"/>
          <w:color w:val="auto"/>
        </w:rPr>
        <w:t xml:space="preserve">professional qualifications, professional </w:t>
      </w:r>
      <w:r w:rsidR="009D6B5B">
        <w:rPr>
          <w:rFonts w:cs="Arial"/>
          <w:color w:val="auto"/>
        </w:rPr>
        <w:t>association membership</w:t>
      </w:r>
      <w:r w:rsidRPr="00124558">
        <w:rPr>
          <w:rFonts w:cs="Arial"/>
          <w:color w:val="auto"/>
        </w:rPr>
        <w:t xml:space="preserve"> and experience.</w:t>
      </w:r>
    </w:p>
    <w:p w:rsidR="00C244AE" w:rsidRPr="00124558" w:rsidRDefault="00C244AE" w:rsidP="001D0710">
      <w:pPr>
        <w:pStyle w:val="Heading2"/>
      </w:pPr>
      <w:bookmarkStart w:id="11" w:name="_Toc513450470"/>
      <w:r w:rsidRPr="00124558">
        <w:t xml:space="preserve">Providing evidence for </w:t>
      </w:r>
      <w:r w:rsidR="00087D04" w:rsidRPr="00124558">
        <w:t>s</w:t>
      </w:r>
      <w:r w:rsidRPr="00124558">
        <w:t xml:space="preserve">pecialist </w:t>
      </w:r>
      <w:r w:rsidR="00087D04" w:rsidRPr="00124558">
        <w:t>d</w:t>
      </w:r>
      <w:r w:rsidRPr="00124558">
        <w:t xml:space="preserve">isability </w:t>
      </w:r>
      <w:r w:rsidR="00133E1E" w:rsidRPr="00124558">
        <w:t>registration groups</w:t>
      </w:r>
      <w:bookmarkEnd w:id="11"/>
    </w:p>
    <w:p w:rsidR="00C244AE" w:rsidRPr="00124558" w:rsidRDefault="003810D9" w:rsidP="00C244AE">
      <w:pPr>
        <w:rPr>
          <w:rFonts w:cs="Arial"/>
          <w:color w:val="auto"/>
        </w:rPr>
      </w:pPr>
      <w:r w:rsidRPr="00124558">
        <w:rPr>
          <w:rFonts w:cs="Arial"/>
          <w:color w:val="auto"/>
        </w:rPr>
        <w:t xml:space="preserve">In </w:t>
      </w:r>
      <w:r w:rsidR="00EF3DBA">
        <w:rPr>
          <w:rFonts w:cs="Arial"/>
          <w:color w:val="auto"/>
        </w:rPr>
        <w:t xml:space="preserve">the </w:t>
      </w:r>
      <w:r w:rsidR="00133E1E" w:rsidRPr="00124558">
        <w:rPr>
          <w:rFonts w:cs="Arial"/>
          <w:color w:val="auto"/>
        </w:rPr>
        <w:t>NT</w:t>
      </w:r>
      <w:r w:rsidR="00107D98" w:rsidRPr="00124558">
        <w:rPr>
          <w:rFonts w:cs="Arial"/>
          <w:color w:val="auto"/>
        </w:rPr>
        <w:t>,</w:t>
      </w:r>
      <w:r w:rsidRPr="00124558">
        <w:rPr>
          <w:rFonts w:cs="Arial"/>
          <w:color w:val="auto"/>
        </w:rPr>
        <w:t xml:space="preserve"> </w:t>
      </w:r>
      <w:r w:rsidR="00083E02" w:rsidRPr="00124558">
        <w:rPr>
          <w:rFonts w:cs="Arial"/>
          <w:color w:val="auto"/>
        </w:rPr>
        <w:t xml:space="preserve">NDIS </w:t>
      </w:r>
      <w:r w:rsidRPr="00124558">
        <w:rPr>
          <w:rFonts w:cs="Arial"/>
          <w:color w:val="auto"/>
        </w:rPr>
        <w:t>p</w:t>
      </w:r>
      <w:r w:rsidR="00083E02" w:rsidRPr="00124558">
        <w:rPr>
          <w:rFonts w:cs="Arial"/>
          <w:color w:val="auto"/>
        </w:rPr>
        <w:t>roviders of</w:t>
      </w:r>
      <w:r w:rsidR="00C244AE" w:rsidRPr="00124558">
        <w:rPr>
          <w:rFonts w:cs="Arial"/>
          <w:color w:val="auto"/>
        </w:rPr>
        <w:t xml:space="preserve"> specialist disability services must </w:t>
      </w:r>
      <w:r w:rsidR="00BD2E30" w:rsidRPr="00124558">
        <w:rPr>
          <w:rFonts w:cs="Arial"/>
          <w:color w:val="auto"/>
        </w:rPr>
        <w:t xml:space="preserve">comply with </w:t>
      </w:r>
      <w:r w:rsidR="009D6B5B">
        <w:rPr>
          <w:rFonts w:cs="Arial"/>
          <w:color w:val="auto"/>
        </w:rPr>
        <w:t>relevant N</w:t>
      </w:r>
      <w:r w:rsidR="008D0631">
        <w:rPr>
          <w:rFonts w:cs="Arial"/>
          <w:color w:val="auto"/>
        </w:rPr>
        <w:t>T</w:t>
      </w:r>
      <w:r w:rsidR="009D6B5B">
        <w:rPr>
          <w:rFonts w:cs="Arial"/>
          <w:color w:val="auto"/>
        </w:rPr>
        <w:t xml:space="preserve"> and Commonwealth legislation</w:t>
      </w:r>
      <w:r w:rsidR="00A65B07">
        <w:rPr>
          <w:rFonts w:cs="Arial"/>
          <w:color w:val="auto"/>
        </w:rPr>
        <w:t>.  Providers</w:t>
      </w:r>
      <w:r w:rsidR="00F51E5E" w:rsidRPr="00124558">
        <w:rPr>
          <w:rFonts w:cs="Arial"/>
          <w:color w:val="auto"/>
        </w:rPr>
        <w:t xml:space="preserve"> must also </w:t>
      </w:r>
      <w:r w:rsidR="002106C8" w:rsidRPr="00124558">
        <w:rPr>
          <w:rFonts w:cs="Arial"/>
          <w:color w:val="auto"/>
        </w:rPr>
        <w:t>comply</w:t>
      </w:r>
      <w:r w:rsidR="00C244AE" w:rsidRPr="00124558">
        <w:rPr>
          <w:rFonts w:cs="Arial"/>
          <w:color w:val="auto"/>
        </w:rPr>
        <w:t xml:space="preserve"> with the </w:t>
      </w:r>
      <w:r w:rsidR="00431FD0" w:rsidRPr="00124558">
        <w:rPr>
          <w:rFonts w:cs="Arial"/>
          <w:color w:val="auto"/>
        </w:rPr>
        <w:t>NT</w:t>
      </w:r>
      <w:r w:rsidR="00F51E5E" w:rsidRPr="00124558">
        <w:rPr>
          <w:rFonts w:cs="Arial"/>
          <w:color w:val="auto"/>
        </w:rPr>
        <w:t xml:space="preserve"> Quality </w:t>
      </w:r>
      <w:r w:rsidR="00431FD0" w:rsidRPr="00124558">
        <w:rPr>
          <w:rFonts w:cs="Arial"/>
          <w:color w:val="auto"/>
        </w:rPr>
        <w:t xml:space="preserve">and Safeguarding </w:t>
      </w:r>
      <w:r w:rsidR="00F51E5E" w:rsidRPr="00124558">
        <w:rPr>
          <w:rFonts w:cs="Arial"/>
          <w:color w:val="auto"/>
        </w:rPr>
        <w:t>Framework</w:t>
      </w:r>
      <w:r w:rsidR="00431FD0" w:rsidRPr="00124558">
        <w:rPr>
          <w:rFonts w:cs="Arial"/>
          <w:color w:val="auto"/>
        </w:rPr>
        <w:t>.</w:t>
      </w:r>
      <w:r w:rsidR="000C3419">
        <w:rPr>
          <w:rFonts w:cs="Arial"/>
          <w:color w:val="auto"/>
        </w:rPr>
        <w:t xml:space="preserve"> The Fram</w:t>
      </w:r>
      <w:r w:rsidR="00F54D3F">
        <w:rPr>
          <w:rFonts w:cs="Arial"/>
          <w:color w:val="auto"/>
        </w:rPr>
        <w:t>e</w:t>
      </w:r>
      <w:r w:rsidR="00A65B07">
        <w:rPr>
          <w:rFonts w:cs="Arial"/>
          <w:color w:val="auto"/>
        </w:rPr>
        <w:t>w</w:t>
      </w:r>
      <w:r w:rsidR="000C3419">
        <w:rPr>
          <w:rFonts w:cs="Arial"/>
          <w:color w:val="auto"/>
        </w:rPr>
        <w:t xml:space="preserve">ork is available to view at </w:t>
      </w:r>
      <w:hyperlink r:id="rId16" w:history="1">
        <w:r w:rsidR="000C3419" w:rsidRPr="00EA70B6">
          <w:rPr>
            <w:rStyle w:val="Hyperlink"/>
            <w:rFonts w:cs="Arial"/>
          </w:rPr>
          <w:t>http://hdl.handle.net/10137/1155</w:t>
        </w:r>
      </w:hyperlink>
      <w:r w:rsidR="000C3419">
        <w:rPr>
          <w:rFonts w:cs="Arial"/>
          <w:color w:val="auto"/>
        </w:rPr>
        <w:t xml:space="preserve">. </w:t>
      </w:r>
    </w:p>
    <w:p w:rsidR="00431FD0" w:rsidRPr="00124558" w:rsidRDefault="00431FD0" w:rsidP="00431FD0">
      <w:pPr>
        <w:rPr>
          <w:rFonts w:cs="Arial"/>
          <w:color w:val="auto"/>
        </w:rPr>
      </w:pPr>
      <w:r w:rsidRPr="00124558">
        <w:rPr>
          <w:rFonts w:cs="Arial"/>
          <w:color w:val="auto"/>
        </w:rPr>
        <w:lastRenderedPageBreak/>
        <w:t xml:space="preserve">Within the Framework domains, there are elements with indicators of good practice that have been classified as ‘mandatory’ and others as ‘desirable’. Mandatory indicators are a mix of quality and safeguarding indicators that are essential for underpinning the safety, security and well-being of people with disability to fully exercise their rights and to lead the life they would like to live with the support of providers. Providers must demonstrate achievement </w:t>
      </w:r>
      <w:r w:rsidR="000C3419">
        <w:rPr>
          <w:rFonts w:cs="Arial"/>
          <w:color w:val="auto"/>
        </w:rPr>
        <w:t xml:space="preserve">or progress </w:t>
      </w:r>
      <w:r w:rsidRPr="00124558">
        <w:rPr>
          <w:rFonts w:cs="Arial"/>
          <w:color w:val="auto"/>
        </w:rPr>
        <w:t xml:space="preserve">against the mandatory </w:t>
      </w:r>
      <w:r w:rsidR="008D0631">
        <w:rPr>
          <w:rFonts w:cs="Arial"/>
          <w:color w:val="auto"/>
        </w:rPr>
        <w:t xml:space="preserve">and desirable </w:t>
      </w:r>
      <w:r w:rsidRPr="00124558">
        <w:rPr>
          <w:rFonts w:cs="Arial"/>
          <w:color w:val="auto"/>
        </w:rPr>
        <w:t xml:space="preserve">indicators of good practice to be registered. </w:t>
      </w:r>
    </w:p>
    <w:p w:rsidR="00431FD0" w:rsidRPr="00124558" w:rsidRDefault="00431FD0" w:rsidP="00431FD0">
      <w:pPr>
        <w:rPr>
          <w:rFonts w:cs="Arial"/>
          <w:color w:val="auto"/>
        </w:rPr>
      </w:pPr>
      <w:r w:rsidRPr="00124558">
        <w:rPr>
          <w:rFonts w:cs="Arial"/>
          <w:color w:val="auto"/>
        </w:rPr>
        <w:t>The majority of indicators have been classified as desirable – meaning that these indicators reflect good practice and contemporary approaches to minimising the risk of harm, abuse or neglect of people with disability in circumstances of greater vulnerability. These indicators also focus on the quality of support provision within a person-</w:t>
      </w:r>
      <w:r w:rsidR="001D0710" w:rsidRPr="00124558">
        <w:rPr>
          <w:rFonts w:cs="Arial"/>
          <w:color w:val="auto"/>
        </w:rPr>
        <w:t>centered</w:t>
      </w:r>
      <w:r w:rsidRPr="00124558">
        <w:rPr>
          <w:rFonts w:cs="Arial"/>
          <w:color w:val="auto"/>
        </w:rPr>
        <w:t xml:space="preserve"> practice where participants are able to fully exercise choice and control in relation to the supports they receive.</w:t>
      </w:r>
    </w:p>
    <w:p w:rsidR="00431FD0" w:rsidRPr="00124558" w:rsidRDefault="00431FD0" w:rsidP="00431FD0">
      <w:pPr>
        <w:rPr>
          <w:rFonts w:cs="Arial"/>
          <w:color w:val="auto"/>
        </w:rPr>
      </w:pPr>
      <w:r w:rsidRPr="00124558">
        <w:rPr>
          <w:rFonts w:cs="Arial"/>
          <w:color w:val="auto"/>
        </w:rPr>
        <w:t xml:space="preserve">Assessment involves two key steps: a provider self-assessment, followed by an independent assessment conducted on-site by approved </w:t>
      </w:r>
      <w:r w:rsidR="008D0631">
        <w:rPr>
          <w:rFonts w:cs="Arial"/>
          <w:color w:val="auto"/>
        </w:rPr>
        <w:t xml:space="preserve">accredited </w:t>
      </w:r>
      <w:r w:rsidRPr="00124558">
        <w:rPr>
          <w:rFonts w:cs="Arial"/>
          <w:color w:val="auto"/>
        </w:rPr>
        <w:t>assessors who have the necessary qualifications, skills and experience.</w:t>
      </w:r>
    </w:p>
    <w:p w:rsidR="00431FD0" w:rsidRPr="00124558" w:rsidRDefault="00431FD0" w:rsidP="000C3419">
      <w:pPr>
        <w:pStyle w:val="BodyText"/>
        <w:rPr>
          <w:rFonts w:cs="Arial"/>
          <w:color w:val="auto"/>
        </w:rPr>
      </w:pPr>
      <w:r w:rsidRPr="00124558">
        <w:rPr>
          <w:rFonts w:cs="Arial"/>
          <w:color w:val="auto"/>
        </w:rPr>
        <w:t xml:space="preserve">A self-assessment tool has been developed to enable providers to self-assess against the indicators of good practice requirements of the Framework. The tool is available through Breaking New Ground (BNG), NGO Services Online </w:t>
      </w:r>
      <w:r w:rsidRPr="00124558">
        <w:rPr>
          <w:rFonts w:cs="Arial"/>
          <w:i/>
          <w:color w:val="auto"/>
        </w:rPr>
        <w:t>Standards and Performance Pathways</w:t>
      </w:r>
      <w:r w:rsidRPr="00124558">
        <w:rPr>
          <w:rFonts w:cs="Arial"/>
          <w:color w:val="auto"/>
        </w:rPr>
        <w:t xml:space="preserve"> (SPP) website.</w:t>
      </w:r>
      <w:r w:rsidRPr="00124558">
        <w:rPr>
          <w:rStyle w:val="FootnoteReference"/>
          <w:rFonts w:cs="Arial"/>
          <w:color w:val="auto"/>
        </w:rPr>
        <w:footnoteReference w:id="1"/>
      </w:r>
      <w:r w:rsidRPr="00124558">
        <w:rPr>
          <w:rFonts w:cs="Arial"/>
          <w:color w:val="auto"/>
        </w:rPr>
        <w:t xml:space="preserve"> </w:t>
      </w:r>
    </w:p>
    <w:p w:rsidR="00431FD0" w:rsidRPr="00124558" w:rsidRDefault="00431FD0" w:rsidP="00431FD0">
      <w:pPr>
        <w:pStyle w:val="BodyText"/>
        <w:rPr>
          <w:rFonts w:cs="Arial"/>
          <w:color w:val="auto"/>
        </w:rPr>
      </w:pPr>
      <w:r w:rsidRPr="00124558">
        <w:rPr>
          <w:rFonts w:cs="Arial"/>
          <w:color w:val="auto"/>
        </w:rPr>
        <w:t>The independent assessment will be conducted onsite by two qualified assessors (the assessment team) over a period of several days depending on the size, structure and geographic spread of the organisation. As part of the assessment process, assessors will seek to:</w:t>
      </w:r>
    </w:p>
    <w:p w:rsidR="00431FD0" w:rsidRPr="00124558" w:rsidRDefault="00431FD0" w:rsidP="00431FD0">
      <w:pPr>
        <w:pStyle w:val="ListBullet"/>
        <w:spacing w:before="0" w:after="0"/>
        <w:rPr>
          <w:rFonts w:cs="Arial"/>
          <w:color w:val="auto"/>
        </w:rPr>
      </w:pPr>
      <w:r w:rsidRPr="00124558">
        <w:rPr>
          <w:rFonts w:cs="Arial"/>
          <w:color w:val="auto"/>
        </w:rPr>
        <w:t xml:space="preserve">review a range of documented evidence </w:t>
      </w:r>
    </w:p>
    <w:p w:rsidR="00431FD0" w:rsidRPr="00124558" w:rsidRDefault="00431FD0" w:rsidP="00431FD0">
      <w:pPr>
        <w:pStyle w:val="ListBullet"/>
        <w:spacing w:before="0" w:after="0"/>
        <w:rPr>
          <w:rFonts w:cs="Arial"/>
          <w:color w:val="auto"/>
        </w:rPr>
      </w:pPr>
      <w:r w:rsidRPr="00124558">
        <w:rPr>
          <w:rFonts w:cs="Arial"/>
          <w:color w:val="auto"/>
        </w:rPr>
        <w:t>interview a range of staff within the organisation as well as participants, families and carers</w:t>
      </w:r>
    </w:p>
    <w:p w:rsidR="00431FD0" w:rsidRPr="00124558" w:rsidRDefault="00431FD0" w:rsidP="00431FD0">
      <w:pPr>
        <w:pStyle w:val="ListBullet"/>
        <w:spacing w:before="0" w:after="0"/>
        <w:rPr>
          <w:rFonts w:cs="Arial"/>
          <w:color w:val="auto"/>
        </w:rPr>
      </w:pPr>
      <w:r w:rsidRPr="00124558">
        <w:rPr>
          <w:rFonts w:cs="Arial"/>
          <w:color w:val="auto"/>
        </w:rPr>
        <w:t>observe support provision, where appropriate.</w:t>
      </w:r>
    </w:p>
    <w:p w:rsidR="000C3419" w:rsidRPr="00124558" w:rsidRDefault="000C3419" w:rsidP="00F54D3F">
      <w:pPr>
        <w:pStyle w:val="ListBullet"/>
        <w:numPr>
          <w:ilvl w:val="0"/>
          <w:numId w:val="0"/>
        </w:numPr>
        <w:spacing w:before="0" w:after="0"/>
        <w:ind w:left="227" w:hanging="227"/>
        <w:rPr>
          <w:rFonts w:cs="Arial"/>
          <w:color w:val="auto"/>
        </w:rPr>
      </w:pPr>
    </w:p>
    <w:p w:rsidR="00431FD0" w:rsidRPr="00F54D3F" w:rsidRDefault="00431FD0" w:rsidP="00F54D3F">
      <w:pPr>
        <w:pStyle w:val="ListBullet"/>
        <w:numPr>
          <w:ilvl w:val="0"/>
          <w:numId w:val="0"/>
        </w:numPr>
        <w:spacing w:before="0" w:after="0"/>
        <w:ind w:left="227" w:hanging="227"/>
        <w:rPr>
          <w:rFonts w:cs="Arial"/>
          <w:color w:val="auto"/>
        </w:rPr>
      </w:pPr>
      <w:r w:rsidRPr="00F54D3F">
        <w:rPr>
          <w:rFonts w:cs="Arial"/>
          <w:color w:val="auto"/>
        </w:rPr>
        <w:t>The independent assessment process will result in the following:</w:t>
      </w:r>
    </w:p>
    <w:p w:rsidR="00431FD0" w:rsidRPr="00124558" w:rsidRDefault="00431FD0" w:rsidP="00431FD0">
      <w:pPr>
        <w:pStyle w:val="ListBullet"/>
        <w:spacing w:before="0" w:after="0"/>
        <w:rPr>
          <w:rFonts w:cs="Arial"/>
          <w:color w:val="auto"/>
        </w:rPr>
      </w:pPr>
      <w:r w:rsidRPr="00124558">
        <w:rPr>
          <w:rFonts w:cs="Arial"/>
          <w:color w:val="auto"/>
        </w:rPr>
        <w:t xml:space="preserve">A </w:t>
      </w:r>
      <w:r w:rsidR="00F54D3F" w:rsidRPr="00124558">
        <w:rPr>
          <w:rFonts w:cs="Arial"/>
          <w:color w:val="auto"/>
        </w:rPr>
        <w:t xml:space="preserve">comprehensive </w:t>
      </w:r>
      <w:r w:rsidR="00F54D3F" w:rsidRPr="00124558">
        <w:rPr>
          <w:rFonts w:cs="Arial"/>
          <w:b/>
          <w:color w:val="auto"/>
        </w:rPr>
        <w:t>Assessment</w:t>
      </w:r>
      <w:r w:rsidRPr="00124558">
        <w:rPr>
          <w:rFonts w:cs="Arial"/>
          <w:b/>
          <w:color w:val="auto"/>
        </w:rPr>
        <w:t xml:space="preserve"> Report</w:t>
      </w:r>
      <w:r w:rsidRPr="00124558">
        <w:rPr>
          <w:rFonts w:cs="Arial"/>
          <w:color w:val="auto"/>
        </w:rPr>
        <w:t xml:space="preserve"> of achievement against the Framework requirements. It will contain a detailed commentary and assessment of each domain and its elements, including indicators of practice. The assessment process applies a four point developmental rating scale, and developmental scores will be determined for each domain that will quantify a provider’s achievement against Framework requirements.</w:t>
      </w:r>
    </w:p>
    <w:p w:rsidR="00431FD0" w:rsidRPr="00124558" w:rsidRDefault="00431FD0" w:rsidP="00431FD0">
      <w:pPr>
        <w:pStyle w:val="ListBullet"/>
        <w:spacing w:before="0" w:after="0"/>
        <w:rPr>
          <w:rFonts w:cs="Arial"/>
          <w:color w:val="auto"/>
        </w:rPr>
      </w:pPr>
      <w:r w:rsidRPr="00124558">
        <w:rPr>
          <w:rFonts w:cs="Arial"/>
          <w:color w:val="auto"/>
        </w:rPr>
        <w:t xml:space="preserve">A </w:t>
      </w:r>
      <w:r w:rsidRPr="00124558">
        <w:rPr>
          <w:rFonts w:cs="Arial"/>
          <w:b/>
          <w:color w:val="auto"/>
        </w:rPr>
        <w:t>Quality Improvement Plan</w:t>
      </w:r>
      <w:r w:rsidRPr="00124558">
        <w:rPr>
          <w:rFonts w:cs="Arial"/>
          <w:i/>
          <w:color w:val="auto"/>
        </w:rPr>
        <w:t xml:space="preserve"> </w:t>
      </w:r>
      <w:r w:rsidRPr="00124558">
        <w:rPr>
          <w:rFonts w:cs="Arial"/>
          <w:color w:val="auto"/>
        </w:rPr>
        <w:t>(where applicable) against the Framework domains and elements with a checklist of key actions required and suggested timeframes for addressing actions.</w:t>
      </w:r>
    </w:p>
    <w:p w:rsidR="00431FD0" w:rsidRPr="00124558" w:rsidRDefault="00431FD0" w:rsidP="00431FD0">
      <w:pPr>
        <w:pStyle w:val="Normal-QLD"/>
      </w:pPr>
      <w:r w:rsidRPr="00124558">
        <w:t>The N</w:t>
      </w:r>
      <w:r w:rsidR="008D0631">
        <w:t xml:space="preserve">T </w:t>
      </w:r>
      <w:r w:rsidRPr="00124558">
        <w:t>Government will consider the outcome of the assessment process and make a determination if the provider meets the Framework requirements. The N</w:t>
      </w:r>
      <w:r w:rsidR="008D0631">
        <w:t>T</w:t>
      </w:r>
      <w:r w:rsidRPr="00124558">
        <w:t xml:space="preserve"> Government will exercise a degree of flexibility regarding assessment – acknowledging the capacity building focus of the Framework. Based on the outcome of the assessment, the N</w:t>
      </w:r>
      <w:r w:rsidR="008D0631">
        <w:t>T</w:t>
      </w:r>
      <w:r w:rsidRPr="00124558">
        <w:t xml:space="preserve"> Government will </w:t>
      </w:r>
      <w:r w:rsidR="005823AC">
        <w:t xml:space="preserve">recommend to </w:t>
      </w:r>
      <w:r w:rsidRPr="00124558">
        <w:t xml:space="preserve">the NDIA if a provider </w:t>
      </w:r>
      <w:r w:rsidR="005823AC">
        <w:t xml:space="preserve">should </w:t>
      </w:r>
      <w:r w:rsidRPr="00124558">
        <w:t xml:space="preserve">be registered to deliver NDIS </w:t>
      </w:r>
      <w:r w:rsidR="00527374">
        <w:t>supports</w:t>
      </w:r>
      <w:r w:rsidR="00527374" w:rsidRPr="00124558">
        <w:t xml:space="preserve"> </w:t>
      </w:r>
      <w:r w:rsidRPr="00124558">
        <w:t xml:space="preserve">in the NT. </w:t>
      </w:r>
    </w:p>
    <w:p w:rsidR="00164256" w:rsidRPr="00124558" w:rsidRDefault="00527374" w:rsidP="00431FD0">
      <w:pPr>
        <w:pStyle w:val="Normal-QLD"/>
      </w:pPr>
      <w:r>
        <w:t>A provider</w:t>
      </w:r>
      <w:r w:rsidR="00431FD0" w:rsidRPr="00124558">
        <w:t xml:space="preserve"> </w:t>
      </w:r>
      <w:r>
        <w:t xml:space="preserve">will not </w:t>
      </w:r>
      <w:r w:rsidR="00431FD0" w:rsidRPr="00124558">
        <w:t xml:space="preserve">be </w:t>
      </w:r>
      <w:r w:rsidR="00F551DC">
        <w:t xml:space="preserve">for </w:t>
      </w:r>
      <w:r w:rsidR="00431FD0" w:rsidRPr="00124558">
        <w:t>regist</w:t>
      </w:r>
      <w:r w:rsidR="00F551DC">
        <w:t>ration</w:t>
      </w:r>
      <w:r>
        <w:t xml:space="preserve"> with the NDIA</w:t>
      </w:r>
      <w:r w:rsidR="00431FD0" w:rsidRPr="00124558">
        <w:t xml:space="preserve"> if the</w:t>
      </w:r>
      <w:r>
        <w:t>y</w:t>
      </w:r>
      <w:r w:rsidR="00431FD0" w:rsidRPr="00124558">
        <w:t xml:space="preserve"> fail to meet the mandatory indicators of good practice and is unable to demonstrate capacity to achieve these requirements within specified timeframes. </w:t>
      </w:r>
    </w:p>
    <w:p w:rsidR="00164256" w:rsidRDefault="00164256" w:rsidP="001D0710">
      <w:pPr>
        <w:pStyle w:val="Heading2"/>
      </w:pPr>
      <w:bookmarkStart w:id="12" w:name="_Toc513450471"/>
      <w:r>
        <w:lastRenderedPageBreak/>
        <w:t>Allied Health Professionals</w:t>
      </w:r>
      <w:r w:rsidR="000C3419">
        <w:t xml:space="preserve"> and Streamlined Assessment</w:t>
      </w:r>
      <w:bookmarkEnd w:id="12"/>
    </w:p>
    <w:p w:rsidR="00B54CA9" w:rsidRPr="00D31FDD" w:rsidRDefault="00B54CA9" w:rsidP="00B54CA9">
      <w:pPr>
        <w:spacing w:before="0" w:after="0"/>
        <w:rPr>
          <w:rFonts w:cs="Arial"/>
          <w:color w:val="auto"/>
          <w:szCs w:val="22"/>
        </w:rPr>
      </w:pPr>
      <w:r w:rsidRPr="00D31FDD">
        <w:rPr>
          <w:rFonts w:cs="Arial"/>
          <w:color w:val="auto"/>
          <w:szCs w:val="22"/>
        </w:rPr>
        <w:t>The N</w:t>
      </w:r>
      <w:r w:rsidR="008D0631" w:rsidRPr="00D31FDD">
        <w:rPr>
          <w:rFonts w:cs="Arial"/>
          <w:color w:val="auto"/>
          <w:szCs w:val="22"/>
        </w:rPr>
        <w:t>T</w:t>
      </w:r>
      <w:r w:rsidRPr="00D31FDD">
        <w:rPr>
          <w:rFonts w:cs="Arial"/>
          <w:color w:val="auto"/>
          <w:szCs w:val="22"/>
        </w:rPr>
        <w:t xml:space="preserve"> Quality and Safeguarding assessment process includes a streamlined assessment component. This process is for sole traders and organisations who are registered with the NDIA to provide allied health supports and/or the NDIS registration groups identified as ‘streamlined’ under the Northern Territory Quality and Safeguarding Framework. </w:t>
      </w:r>
    </w:p>
    <w:p w:rsidR="00B54CA9" w:rsidRPr="00D31FDD" w:rsidRDefault="00B54CA9" w:rsidP="00B54CA9">
      <w:pPr>
        <w:spacing w:before="0" w:after="0"/>
        <w:rPr>
          <w:rFonts w:cs="Arial"/>
          <w:color w:val="auto"/>
          <w:szCs w:val="22"/>
        </w:rPr>
      </w:pPr>
    </w:p>
    <w:p w:rsidR="00D31FDD" w:rsidRDefault="00B54CA9" w:rsidP="00D31FDD">
      <w:pPr>
        <w:spacing w:before="0" w:after="0"/>
        <w:rPr>
          <w:rFonts w:cs="Arial"/>
          <w:color w:val="auto"/>
          <w:szCs w:val="22"/>
        </w:rPr>
      </w:pPr>
      <w:r w:rsidRPr="00D31FDD">
        <w:rPr>
          <w:rFonts w:cs="Arial"/>
          <w:color w:val="auto"/>
          <w:szCs w:val="22"/>
        </w:rPr>
        <w:t>The streamlined assessment process, like the full assessment process, is facilitated by the N</w:t>
      </w:r>
      <w:r w:rsidR="008D0631" w:rsidRPr="00D31FDD">
        <w:rPr>
          <w:rFonts w:cs="Arial"/>
          <w:color w:val="auto"/>
          <w:szCs w:val="22"/>
        </w:rPr>
        <w:t xml:space="preserve">T </w:t>
      </w:r>
      <w:r w:rsidRPr="00D31FDD">
        <w:rPr>
          <w:rFonts w:cs="Arial"/>
          <w:color w:val="auto"/>
          <w:szCs w:val="22"/>
        </w:rPr>
        <w:t>Government. A key feature of the streamlined assessment process is the convening of a specialised panel for review and assessment of providers.</w:t>
      </w:r>
    </w:p>
    <w:p w:rsidR="00D31FDD" w:rsidRDefault="00D31FDD" w:rsidP="00D31FDD">
      <w:pPr>
        <w:spacing w:before="0" w:after="0"/>
        <w:rPr>
          <w:rFonts w:cs="Arial"/>
          <w:color w:val="auto"/>
          <w:szCs w:val="22"/>
        </w:rPr>
      </w:pPr>
    </w:p>
    <w:p w:rsidR="00B54CA9" w:rsidRPr="001D0710" w:rsidRDefault="008D0631" w:rsidP="00D31FDD">
      <w:pPr>
        <w:spacing w:before="0" w:after="0"/>
        <w:rPr>
          <w:rFonts w:cs="Arial"/>
          <w:color w:val="auto"/>
          <w:szCs w:val="22"/>
        </w:rPr>
      </w:pPr>
      <w:r w:rsidRPr="001D0710">
        <w:rPr>
          <w:rFonts w:cs="Arial"/>
          <w:color w:val="auto"/>
          <w:szCs w:val="22"/>
        </w:rPr>
        <w:t>S</w:t>
      </w:r>
      <w:r w:rsidR="00B54CA9" w:rsidRPr="001D0710">
        <w:rPr>
          <w:rFonts w:cs="Arial"/>
          <w:color w:val="auto"/>
          <w:szCs w:val="22"/>
        </w:rPr>
        <w:t>ole traders and organisations within this cohort</w:t>
      </w:r>
      <w:r w:rsidRPr="001D0710">
        <w:rPr>
          <w:rFonts w:cs="Arial"/>
          <w:color w:val="auto"/>
          <w:szCs w:val="22"/>
        </w:rPr>
        <w:t xml:space="preserve"> will be asked to provide </w:t>
      </w:r>
      <w:r w:rsidR="00B54CA9" w:rsidRPr="001D0710">
        <w:rPr>
          <w:rFonts w:cs="Arial"/>
          <w:color w:val="auto"/>
          <w:szCs w:val="22"/>
        </w:rPr>
        <w:t xml:space="preserve">the Office of Disability </w:t>
      </w:r>
      <w:r w:rsidRPr="001D0710">
        <w:rPr>
          <w:rFonts w:cs="Arial"/>
          <w:color w:val="auto"/>
          <w:szCs w:val="22"/>
        </w:rPr>
        <w:t xml:space="preserve">with </w:t>
      </w:r>
      <w:r w:rsidR="00B54CA9" w:rsidRPr="001D0710">
        <w:rPr>
          <w:rFonts w:cs="Arial"/>
          <w:color w:val="auto"/>
          <w:szCs w:val="22"/>
        </w:rPr>
        <w:t>evidence to support the applicants’ streamlined assessment</w:t>
      </w:r>
      <w:r w:rsidRPr="001D0710">
        <w:rPr>
          <w:rFonts w:cs="Arial"/>
          <w:color w:val="auto"/>
          <w:szCs w:val="22"/>
        </w:rPr>
        <w:t xml:space="preserve"> to support their request for registration</w:t>
      </w:r>
      <w:r w:rsidR="00B54CA9" w:rsidRPr="001D0710">
        <w:rPr>
          <w:rFonts w:cs="Arial"/>
          <w:color w:val="auto"/>
          <w:szCs w:val="22"/>
        </w:rPr>
        <w:t xml:space="preserve">. </w:t>
      </w:r>
    </w:p>
    <w:p w:rsidR="00B54CA9" w:rsidRDefault="00B54CA9" w:rsidP="001D0710">
      <w:pPr>
        <w:spacing w:before="0" w:after="0"/>
        <w:rPr>
          <w:rFonts w:cs="Arial"/>
          <w:color w:val="auto"/>
          <w:szCs w:val="22"/>
        </w:rPr>
      </w:pPr>
      <w:r w:rsidRPr="001D0710">
        <w:rPr>
          <w:rFonts w:cs="Arial"/>
          <w:color w:val="auto"/>
          <w:szCs w:val="22"/>
        </w:rPr>
        <w:t>The purpose of the Panel is to provide expert advice on the suitability of sole traders and organisations requesting registration groups being delivered by an allied health professional and/or streamlined registration groups against the N</w:t>
      </w:r>
      <w:r w:rsidR="008D0631" w:rsidRPr="001D0710">
        <w:rPr>
          <w:rFonts w:cs="Arial"/>
          <w:color w:val="auto"/>
          <w:szCs w:val="22"/>
        </w:rPr>
        <w:t xml:space="preserve">T </w:t>
      </w:r>
      <w:r w:rsidRPr="001D0710">
        <w:rPr>
          <w:rFonts w:cs="Arial"/>
          <w:color w:val="auto"/>
          <w:szCs w:val="22"/>
        </w:rPr>
        <w:t xml:space="preserve">Quality and Safeguarding Framework, and make recommendations based on their assessments to the Assessor. </w:t>
      </w:r>
    </w:p>
    <w:p w:rsidR="001D0710" w:rsidRPr="001D0710" w:rsidRDefault="001D0710" w:rsidP="001D0710">
      <w:pPr>
        <w:spacing w:before="0" w:after="0"/>
        <w:rPr>
          <w:rFonts w:cs="Arial"/>
          <w:color w:val="auto"/>
          <w:szCs w:val="22"/>
        </w:rPr>
      </w:pPr>
    </w:p>
    <w:p w:rsidR="00B54CA9" w:rsidRDefault="00B54CA9" w:rsidP="001D0710">
      <w:pPr>
        <w:spacing w:before="0" w:after="0"/>
        <w:rPr>
          <w:rFonts w:cs="Arial"/>
          <w:color w:val="auto"/>
          <w:szCs w:val="22"/>
        </w:rPr>
      </w:pPr>
      <w:r w:rsidRPr="001D0710">
        <w:rPr>
          <w:rFonts w:cs="Arial"/>
          <w:color w:val="auto"/>
          <w:szCs w:val="22"/>
        </w:rPr>
        <w:t>The Panel will operate from the date of formation (July 2017) to June 2019 when the NDIS is fully implemented in the N</w:t>
      </w:r>
      <w:r w:rsidR="008D0631" w:rsidRPr="001D0710">
        <w:rPr>
          <w:rFonts w:cs="Arial"/>
          <w:color w:val="auto"/>
          <w:szCs w:val="22"/>
        </w:rPr>
        <w:t>T</w:t>
      </w:r>
      <w:r w:rsidRPr="001D0710">
        <w:rPr>
          <w:rFonts w:cs="Arial"/>
          <w:color w:val="auto"/>
          <w:szCs w:val="22"/>
        </w:rPr>
        <w:t xml:space="preserve">. On behalf of the Panel, the Chairperson will make a written recommendation to the </w:t>
      </w:r>
      <w:r w:rsidR="008D0631" w:rsidRPr="001D0710">
        <w:rPr>
          <w:rFonts w:cs="Arial"/>
          <w:color w:val="auto"/>
          <w:szCs w:val="22"/>
        </w:rPr>
        <w:t xml:space="preserve">Office of Disability </w:t>
      </w:r>
      <w:r w:rsidRPr="001D0710">
        <w:rPr>
          <w:rFonts w:cs="Arial"/>
          <w:color w:val="auto"/>
          <w:szCs w:val="22"/>
        </w:rPr>
        <w:t xml:space="preserve">Assessor on the provider’s suitability to deliver requested supports under the NDIS based on the assessment outcomes of the Panel. </w:t>
      </w:r>
    </w:p>
    <w:p w:rsidR="001D0710" w:rsidRPr="001D0710" w:rsidRDefault="001D0710" w:rsidP="001D0710">
      <w:pPr>
        <w:spacing w:before="0" w:after="0"/>
        <w:rPr>
          <w:rFonts w:cs="Arial"/>
          <w:color w:val="auto"/>
          <w:szCs w:val="22"/>
        </w:rPr>
      </w:pPr>
    </w:p>
    <w:p w:rsidR="00B54CA9" w:rsidRPr="001D0710" w:rsidRDefault="00B54CA9" w:rsidP="001D0710">
      <w:pPr>
        <w:spacing w:before="0" w:after="0"/>
        <w:rPr>
          <w:rFonts w:cs="Arial"/>
          <w:color w:val="auto"/>
          <w:szCs w:val="22"/>
        </w:rPr>
      </w:pPr>
      <w:r w:rsidRPr="00D31FDD">
        <w:rPr>
          <w:rFonts w:cs="Arial"/>
          <w:color w:val="auto"/>
          <w:szCs w:val="22"/>
        </w:rPr>
        <w:t xml:space="preserve">The Assessor will follow procedures as outlined in the </w:t>
      </w:r>
      <w:r w:rsidRPr="001D0710">
        <w:rPr>
          <w:rFonts w:cs="Arial"/>
          <w:color w:val="auto"/>
          <w:szCs w:val="22"/>
        </w:rPr>
        <w:t xml:space="preserve">Decision making guidelines for making recommendations for provider registration </w:t>
      </w:r>
      <w:r w:rsidRPr="00D31FDD">
        <w:rPr>
          <w:rFonts w:cs="Arial"/>
          <w:color w:val="auto"/>
          <w:szCs w:val="22"/>
        </w:rPr>
        <w:t>(May 2017)</w:t>
      </w:r>
      <w:r w:rsidRPr="001D0710">
        <w:rPr>
          <w:color w:val="auto"/>
          <w:vertAlign w:val="superscript"/>
        </w:rPr>
        <w:footnoteReference w:id="2"/>
      </w:r>
      <w:r w:rsidRPr="001D0710">
        <w:rPr>
          <w:rFonts w:cs="Arial"/>
          <w:color w:val="auto"/>
          <w:szCs w:val="22"/>
          <w:vertAlign w:val="superscript"/>
        </w:rPr>
        <w:t xml:space="preserve"> </w:t>
      </w:r>
      <w:r w:rsidR="001D0710">
        <w:rPr>
          <w:rFonts w:cs="Arial"/>
          <w:color w:val="auto"/>
          <w:szCs w:val="22"/>
          <w:vertAlign w:val="superscript"/>
        </w:rPr>
        <w:t xml:space="preserve"> </w:t>
      </w:r>
      <w:r w:rsidRPr="00D31FDD">
        <w:rPr>
          <w:rFonts w:cs="Arial"/>
          <w:color w:val="auto"/>
          <w:szCs w:val="22"/>
        </w:rPr>
        <w:t xml:space="preserve">to make a recommendation to the NDIA on a providers suitability to provide </w:t>
      </w:r>
      <w:r w:rsidR="008D0631" w:rsidRPr="00D31FDD">
        <w:rPr>
          <w:rFonts w:cs="Arial"/>
          <w:color w:val="auto"/>
          <w:szCs w:val="22"/>
        </w:rPr>
        <w:t xml:space="preserve">NDIS supports in </w:t>
      </w:r>
      <w:r w:rsidRPr="00D31FDD">
        <w:rPr>
          <w:rFonts w:cs="Arial"/>
          <w:color w:val="auto"/>
          <w:szCs w:val="22"/>
        </w:rPr>
        <w:t>the N</w:t>
      </w:r>
      <w:r w:rsidR="008D0631" w:rsidRPr="00D31FDD">
        <w:rPr>
          <w:rFonts w:cs="Arial"/>
          <w:color w:val="auto"/>
          <w:szCs w:val="22"/>
        </w:rPr>
        <w:t>T</w:t>
      </w:r>
      <w:r w:rsidRPr="00D31FDD">
        <w:rPr>
          <w:rFonts w:cs="Arial"/>
          <w:color w:val="auto"/>
          <w:szCs w:val="22"/>
        </w:rPr>
        <w:t>.</w:t>
      </w:r>
    </w:p>
    <w:p w:rsidR="00C73A58" w:rsidRPr="00124558" w:rsidRDefault="00C73A58" w:rsidP="00431FD0">
      <w:pPr>
        <w:rPr>
          <w:rFonts w:cs="Arial"/>
          <w:color w:val="auto"/>
        </w:rPr>
      </w:pPr>
    </w:p>
    <w:p w:rsidR="00C73A58" w:rsidRPr="00124558" w:rsidRDefault="000428C5" w:rsidP="001D0710">
      <w:pPr>
        <w:pStyle w:val="Heading2"/>
      </w:pPr>
      <w:bookmarkStart w:id="13" w:name="_Toc513450472"/>
      <w:r w:rsidRPr="00124558">
        <w:t xml:space="preserve">NDIS </w:t>
      </w:r>
      <w:r w:rsidR="00E7559C">
        <w:t>Registration Groups</w:t>
      </w:r>
      <w:bookmarkEnd w:id="13"/>
      <w:r w:rsidR="00E7559C">
        <w:t xml:space="preserve"> </w:t>
      </w:r>
    </w:p>
    <w:p w:rsidR="000428C5" w:rsidRPr="00124558" w:rsidRDefault="000428C5" w:rsidP="003E7F55">
      <w:pPr>
        <w:rPr>
          <w:rFonts w:cs="Arial"/>
          <w:color w:val="auto"/>
        </w:rPr>
      </w:pPr>
      <w:r w:rsidRPr="00124558">
        <w:rPr>
          <w:rFonts w:cs="Arial"/>
          <w:color w:val="auto"/>
        </w:rPr>
        <w:t xml:space="preserve">The NDIS </w:t>
      </w:r>
      <w:r w:rsidR="00E7559C">
        <w:rPr>
          <w:rFonts w:cs="Arial"/>
          <w:color w:val="auto"/>
        </w:rPr>
        <w:t xml:space="preserve">Registration Groups </w:t>
      </w:r>
      <w:r w:rsidR="00F551DC">
        <w:rPr>
          <w:rFonts w:cs="Arial"/>
          <w:color w:val="auto"/>
        </w:rPr>
        <w:t xml:space="preserve">for which </w:t>
      </w:r>
      <w:r w:rsidR="00D31FDD" w:rsidRPr="00124558">
        <w:rPr>
          <w:rFonts w:cs="Arial"/>
          <w:color w:val="auto"/>
        </w:rPr>
        <w:t>assess</w:t>
      </w:r>
      <w:r w:rsidR="00D31FDD">
        <w:rPr>
          <w:rFonts w:cs="Arial"/>
          <w:color w:val="auto"/>
        </w:rPr>
        <w:t xml:space="preserve">ment </w:t>
      </w:r>
      <w:r w:rsidR="00D31FDD" w:rsidRPr="00124558">
        <w:rPr>
          <w:rFonts w:cs="Arial"/>
          <w:color w:val="auto"/>
        </w:rPr>
        <w:t>against</w:t>
      </w:r>
      <w:r w:rsidRPr="00124558">
        <w:rPr>
          <w:rFonts w:cs="Arial"/>
          <w:color w:val="auto"/>
        </w:rPr>
        <w:t xml:space="preserve"> the Framework </w:t>
      </w:r>
      <w:r w:rsidR="00F551DC">
        <w:rPr>
          <w:rFonts w:cs="Arial"/>
          <w:color w:val="auto"/>
        </w:rPr>
        <w:t xml:space="preserve">is required </w:t>
      </w:r>
      <w:r w:rsidRPr="00124558">
        <w:rPr>
          <w:rFonts w:cs="Arial"/>
          <w:color w:val="auto"/>
        </w:rPr>
        <w:t>are outlined</w:t>
      </w:r>
      <w:r w:rsidR="00E7559C">
        <w:rPr>
          <w:rFonts w:cs="Arial"/>
          <w:color w:val="auto"/>
        </w:rPr>
        <w:t xml:space="preserve"> below:</w:t>
      </w:r>
    </w:p>
    <w:tbl>
      <w:tblPr>
        <w:tblStyle w:val="GridTable1Light"/>
        <w:tblW w:w="5003" w:type="pct"/>
        <w:tblLayout w:type="fixed"/>
        <w:tblLook w:val="04A0" w:firstRow="1" w:lastRow="0" w:firstColumn="1" w:lastColumn="0" w:noHBand="0" w:noVBand="1"/>
        <w:tblCaption w:val="NDIS Registration Groups"/>
        <w:tblDescription w:val="This table lists all the NDIS Registration Groups in the left side column, and in the right column provides details of the Requirements of the Framework. Each row discusses the requirements of a different registration groups"/>
      </w:tblPr>
      <w:tblGrid>
        <w:gridCol w:w="5984"/>
        <w:gridCol w:w="3509"/>
      </w:tblGrid>
      <w:tr w:rsidR="00124558" w:rsidRPr="00285147" w:rsidTr="00064F46">
        <w:trPr>
          <w:cnfStyle w:val="100000000000" w:firstRow="1" w:lastRow="0" w:firstColumn="0" w:lastColumn="0" w:oddVBand="0" w:evenVBand="0" w:oddHBand="0" w:evenHBand="0" w:firstRowFirstColumn="0" w:firstRowLastColumn="0" w:lastRowFirstColumn="0" w:lastRowLastColumn="0"/>
          <w:trHeight w:val="489"/>
          <w:tblHeader/>
        </w:trPr>
        <w:tc>
          <w:tcPr>
            <w:cnfStyle w:val="001000000000" w:firstRow="0" w:lastRow="0" w:firstColumn="1" w:lastColumn="0" w:oddVBand="0" w:evenVBand="0" w:oddHBand="0" w:evenHBand="0" w:firstRowFirstColumn="0" w:firstRowLastColumn="0" w:lastRowFirstColumn="0" w:lastRowLastColumn="0"/>
            <w:tcW w:w="3152" w:type="pct"/>
            <w:vAlign w:val="center"/>
          </w:tcPr>
          <w:p w:rsidR="000428C5" w:rsidRPr="00064F46" w:rsidRDefault="00285147" w:rsidP="000428C5">
            <w:pPr>
              <w:spacing w:before="120" w:after="120"/>
              <w:rPr>
                <w:rFonts w:cs="Arial"/>
                <w:bCs w:val="0"/>
                <w:color w:val="auto"/>
                <w:szCs w:val="22"/>
              </w:rPr>
            </w:pPr>
            <w:r w:rsidRPr="00064F46">
              <w:rPr>
                <w:rFonts w:cs="Arial"/>
                <w:color w:val="auto"/>
                <w:szCs w:val="22"/>
              </w:rPr>
              <w:t>Registration Group</w:t>
            </w:r>
          </w:p>
        </w:tc>
        <w:tc>
          <w:tcPr>
            <w:tcW w:w="1848" w:type="pct"/>
            <w:noWrap/>
          </w:tcPr>
          <w:p w:rsidR="000428C5" w:rsidRPr="00064F46" w:rsidRDefault="00285147" w:rsidP="000428C5">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auto"/>
                <w:szCs w:val="22"/>
              </w:rPr>
              <w:t>Requirement of the Framework/Full/Streamlined Assessment</w:t>
            </w:r>
            <w:r w:rsidRPr="00064F46" w:rsidDel="00E519A7">
              <w:rPr>
                <w:rFonts w:cs="Arial"/>
                <w:color w:val="auto"/>
                <w:szCs w:val="22"/>
              </w:rPr>
              <w:t xml:space="preserve"> </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bCs w:val="0"/>
                <w:color w:val="auto"/>
                <w:szCs w:val="22"/>
              </w:rPr>
            </w:pPr>
            <w:r w:rsidRPr="00064F46">
              <w:rPr>
                <w:rFonts w:cs="Arial"/>
                <w:color w:val="000000"/>
                <w:szCs w:val="22"/>
              </w:rPr>
              <w:t>Accommodation</w:t>
            </w:r>
            <w:r w:rsidRPr="00064F46" w:rsidDel="0034714E">
              <w:rPr>
                <w:rFonts w:cs="Arial"/>
                <w:color w:val="000000"/>
                <w:szCs w:val="22"/>
              </w:rPr>
              <w:t xml:space="preserve"> </w:t>
            </w:r>
            <w:r w:rsidRPr="00064F46">
              <w:rPr>
                <w:rFonts w:cs="Arial"/>
                <w:color w:val="000000"/>
                <w:szCs w:val="22"/>
              </w:rPr>
              <w:t>/</w:t>
            </w:r>
            <w:r w:rsidRPr="00064F46" w:rsidDel="0034714E">
              <w:rPr>
                <w:rFonts w:cs="Arial"/>
                <w:color w:val="000000"/>
                <w:szCs w:val="22"/>
              </w:rPr>
              <w:t xml:space="preserve"> </w:t>
            </w:r>
            <w:r w:rsidRPr="00064F46">
              <w:rPr>
                <w:rFonts w:cs="Arial"/>
                <w:color w:val="000000"/>
                <w:szCs w:val="22"/>
              </w:rPr>
              <w:t>Tenancy</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Cs/>
                <w:color w:val="auto"/>
                <w:szCs w:val="22"/>
              </w:rPr>
            </w:pPr>
            <w:r w:rsidRPr="00064F46">
              <w:rPr>
                <w:rFonts w:cs="Arial"/>
                <w:bCs/>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bCs w:val="0"/>
                <w:color w:val="auto"/>
                <w:szCs w:val="22"/>
              </w:rPr>
            </w:pPr>
            <w:r w:rsidRPr="00064F46">
              <w:rPr>
                <w:rFonts w:cs="Arial"/>
                <w:color w:val="000000"/>
                <w:szCs w:val="22"/>
              </w:rPr>
              <w:t xml:space="preserve">Assistance Animals </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Assist Access</w:t>
            </w:r>
            <w:r w:rsidRPr="00064F46" w:rsidDel="0034714E">
              <w:rPr>
                <w:rFonts w:cs="Arial"/>
                <w:color w:val="000000"/>
                <w:szCs w:val="22"/>
              </w:rPr>
              <w:t xml:space="preserve"> </w:t>
            </w:r>
            <w:r w:rsidRPr="00064F46">
              <w:rPr>
                <w:rFonts w:cs="Arial"/>
                <w:color w:val="000000"/>
                <w:szCs w:val="22"/>
              </w:rPr>
              <w:t>/</w:t>
            </w:r>
            <w:r w:rsidRPr="00064F46" w:rsidDel="0034714E">
              <w:rPr>
                <w:rFonts w:cs="Arial"/>
                <w:color w:val="000000"/>
                <w:szCs w:val="22"/>
              </w:rPr>
              <w:t xml:space="preserve"> </w:t>
            </w:r>
            <w:r w:rsidRPr="00064F46">
              <w:rPr>
                <w:rFonts w:cs="Arial"/>
                <w:color w:val="000000"/>
                <w:szCs w:val="22"/>
              </w:rPr>
              <w:t>Maintain Employment or Higher Education</w:t>
            </w:r>
          </w:p>
        </w:tc>
        <w:tc>
          <w:tcPr>
            <w:tcW w:w="1848" w:type="pct"/>
            <w:noWrap/>
          </w:tcPr>
          <w:p w:rsidR="00285147" w:rsidRPr="00064F46" w:rsidRDefault="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pPr>
              <w:spacing w:before="120" w:after="120"/>
              <w:rPr>
                <w:rFonts w:cs="Arial"/>
                <w:b w:val="0"/>
                <w:color w:val="auto"/>
                <w:szCs w:val="22"/>
              </w:rPr>
            </w:pPr>
            <w:r w:rsidRPr="00064F46">
              <w:rPr>
                <w:rFonts w:cs="Arial"/>
                <w:color w:val="000000"/>
                <w:szCs w:val="22"/>
              </w:rPr>
              <w:lastRenderedPageBreak/>
              <w:t>Assistive Equipment for</w:t>
            </w:r>
            <w:r w:rsidRPr="00A85ED9">
              <w:rPr>
                <w:rFonts w:cs="Arial"/>
                <w:color w:val="000000"/>
                <w:szCs w:val="22"/>
              </w:rPr>
              <w:t xml:space="preserve"> </w:t>
            </w:r>
            <w:r w:rsidRPr="00064F46">
              <w:rPr>
                <w:rFonts w:cs="Arial"/>
                <w:color w:val="000000"/>
                <w:szCs w:val="22"/>
              </w:rPr>
              <w:t>Recreation</w:t>
            </w:r>
          </w:p>
        </w:tc>
        <w:tc>
          <w:tcPr>
            <w:tcW w:w="1848" w:type="pct"/>
            <w:noWrap/>
          </w:tcPr>
          <w:p w:rsidR="00285147" w:rsidRPr="00064F46" w:rsidRDefault="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 xml:space="preserve">Assistive Products for </w:t>
            </w:r>
            <w:r w:rsidRPr="00A85ED9">
              <w:rPr>
                <w:rFonts w:cs="Arial"/>
                <w:color w:val="000000"/>
                <w:szCs w:val="22"/>
              </w:rPr>
              <w:t>P</w:t>
            </w:r>
            <w:r w:rsidRPr="00064F46">
              <w:rPr>
                <w:rFonts w:cs="Arial"/>
                <w:color w:val="000000"/>
                <w:szCs w:val="22"/>
              </w:rPr>
              <w:t>ersonal Care and Safety</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4E1278">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Assistive Products for Household Tasks</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4E1278">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Assist-Life Stage, Transition</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4E1278">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Assistance with Travel/Transport arrangements</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4E1278">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Behaviour Support</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4E1278">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Communications and Information Equipment</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Community Nursing Care</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1C226B">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Custom</w:t>
            </w:r>
            <w:r w:rsidRPr="00064F46" w:rsidDel="0034714E">
              <w:rPr>
                <w:rFonts w:cs="Arial"/>
                <w:color w:val="000000"/>
                <w:szCs w:val="22"/>
              </w:rPr>
              <w:t>ised</w:t>
            </w:r>
            <w:r w:rsidRPr="00064F46">
              <w:rPr>
                <w:rFonts w:cs="Arial"/>
                <w:color w:val="000000"/>
                <w:szCs w:val="22"/>
              </w:rPr>
              <w:t xml:space="preserve"> Prosthetics</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1C226B">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Daily Personal Activities</w:t>
            </w:r>
          </w:p>
        </w:tc>
        <w:tc>
          <w:tcPr>
            <w:tcW w:w="1848" w:type="pct"/>
            <w:noWrap/>
          </w:tcPr>
          <w:p w:rsidR="00285147" w:rsidRPr="00064F46" w:rsidRDefault="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Full</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Daily Tasks/Shared Living</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26149B">
              <w:rPr>
                <w:rFonts w:cs="Arial"/>
                <w:color w:val="000000"/>
                <w:szCs w:val="22"/>
              </w:rPr>
              <w:t>Full</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Development-Life Skills</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26149B">
              <w:rPr>
                <w:rFonts w:cs="Arial"/>
                <w:color w:val="000000"/>
                <w:szCs w:val="22"/>
              </w:rPr>
              <w:t>Full</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Early Intervention Supports for Early Childhood</w:t>
            </w:r>
            <w:r w:rsidRPr="00064F46" w:rsidDel="0034714E">
              <w:rPr>
                <w:rFonts w:cs="Arial"/>
                <w:color w:val="000000"/>
                <w:szCs w:val="22"/>
              </w:rPr>
              <w:t xml:space="preserve"> </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FE4B6C">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 xml:space="preserve">Exercise Physiology </w:t>
            </w:r>
            <w:r w:rsidRPr="00064F46" w:rsidDel="0034714E">
              <w:rPr>
                <w:rFonts w:cs="Arial"/>
                <w:color w:val="000000"/>
                <w:szCs w:val="22"/>
              </w:rPr>
              <w:t xml:space="preserve">and </w:t>
            </w:r>
            <w:r w:rsidRPr="00064F46">
              <w:rPr>
                <w:rFonts w:cs="Arial"/>
                <w:color w:val="000000"/>
                <w:szCs w:val="22"/>
              </w:rPr>
              <w:t>Personal Training</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FE4B6C">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Group</w:t>
            </w:r>
            <w:r w:rsidRPr="00A85ED9">
              <w:rPr>
                <w:rFonts w:cs="Arial"/>
                <w:color w:val="000000"/>
                <w:szCs w:val="22"/>
              </w:rPr>
              <w:t xml:space="preserve"> </w:t>
            </w:r>
            <w:r w:rsidRPr="00064F46" w:rsidDel="0034714E">
              <w:rPr>
                <w:rFonts w:cs="Arial"/>
                <w:color w:val="000000"/>
                <w:szCs w:val="22"/>
              </w:rPr>
              <w:t xml:space="preserve">and </w:t>
            </w:r>
            <w:r w:rsidRPr="00064F46">
              <w:rPr>
                <w:rFonts w:cs="Arial"/>
                <w:color w:val="000000"/>
                <w:szCs w:val="22"/>
              </w:rPr>
              <w:t xml:space="preserve">Centre </w:t>
            </w:r>
            <w:r w:rsidRPr="00064F46" w:rsidDel="0034714E">
              <w:rPr>
                <w:rFonts w:cs="Arial"/>
                <w:color w:val="000000"/>
                <w:szCs w:val="22"/>
              </w:rPr>
              <w:t xml:space="preserve">Based </w:t>
            </w:r>
            <w:r w:rsidRPr="00064F46">
              <w:rPr>
                <w:rFonts w:cs="Arial"/>
                <w:color w:val="000000"/>
                <w:szCs w:val="22"/>
              </w:rPr>
              <w:t>Activities</w:t>
            </w:r>
          </w:p>
        </w:tc>
        <w:tc>
          <w:tcPr>
            <w:tcW w:w="1848" w:type="pct"/>
            <w:noWrap/>
          </w:tcPr>
          <w:p w:rsidR="00285147" w:rsidRPr="00064F46" w:rsidRDefault="00A85ED9"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AE0F6F">
              <w:rPr>
                <w:rFonts w:cs="Arial"/>
                <w:color w:val="000000"/>
                <w:szCs w:val="22"/>
              </w:rPr>
              <w:t>Full</w:t>
            </w:r>
            <w:r w:rsidRPr="00285147" w:rsidDel="00873F42">
              <w:rPr>
                <w:rFonts w:cs="Arial"/>
                <w:color w:val="auto"/>
                <w:szCs w:val="22"/>
              </w:rPr>
              <w:t xml:space="preserve"> </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Hearing Equipment</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Hearing Services</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High Intensity Daily Personal Activities</w:t>
            </w:r>
          </w:p>
        </w:tc>
        <w:tc>
          <w:tcPr>
            <w:tcW w:w="1848" w:type="pct"/>
            <w:noWrap/>
          </w:tcPr>
          <w:p w:rsidR="00285147" w:rsidRPr="00064F46" w:rsidRDefault="00A85ED9"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AE0F6F">
              <w:rPr>
                <w:rFonts w:cs="Arial"/>
                <w:color w:val="000000"/>
                <w:szCs w:val="22"/>
              </w:rPr>
              <w:t>Full</w:t>
            </w:r>
            <w:r w:rsidRPr="00285147" w:rsidDel="00873F42">
              <w:rPr>
                <w:rFonts w:cs="Arial"/>
                <w:color w:val="auto"/>
                <w:szCs w:val="22"/>
              </w:rPr>
              <w:t xml:space="preserve"> </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Home Modification</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140D71">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Household Tasks</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140D71">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Innovative Community Participation</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pPr>
              <w:spacing w:before="120" w:after="120"/>
              <w:rPr>
                <w:rFonts w:cs="Arial"/>
                <w:b w:val="0"/>
                <w:color w:val="auto"/>
                <w:szCs w:val="22"/>
              </w:rPr>
            </w:pPr>
            <w:r w:rsidRPr="00064F46">
              <w:rPr>
                <w:rFonts w:cs="Arial"/>
                <w:color w:val="000000"/>
                <w:szCs w:val="22"/>
              </w:rPr>
              <w:t>Interpreting and Translation</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Participate Community</w:t>
            </w:r>
          </w:p>
        </w:tc>
        <w:tc>
          <w:tcPr>
            <w:tcW w:w="1848" w:type="pct"/>
            <w:noWrap/>
          </w:tcPr>
          <w:p w:rsidR="00285147" w:rsidRPr="00064F46" w:rsidRDefault="00A85ED9"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AE0F6F">
              <w:rPr>
                <w:rFonts w:cs="Arial"/>
                <w:color w:val="000000"/>
                <w:szCs w:val="22"/>
              </w:rPr>
              <w:t>Full</w:t>
            </w:r>
            <w:r w:rsidRPr="00285147" w:rsidDel="00873F42">
              <w:rPr>
                <w:rFonts w:cs="Arial"/>
                <w:color w:val="auto"/>
                <w:szCs w:val="22"/>
              </w:rPr>
              <w:t xml:space="preserve"> </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lastRenderedPageBreak/>
              <w:t>Personal Mobility Equipment</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6325E5">
              <w:rPr>
                <w:rFonts w:cs="Arial"/>
                <w:color w:val="000000"/>
                <w:szCs w:val="22"/>
              </w:rPr>
              <w:t>Streamlined</w:t>
            </w:r>
          </w:p>
        </w:tc>
      </w:tr>
      <w:tr w:rsidR="00A85ED9"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A85ED9" w:rsidRPr="00064F46" w:rsidRDefault="00A85ED9" w:rsidP="00A85ED9">
            <w:pPr>
              <w:spacing w:before="120" w:after="120"/>
              <w:rPr>
                <w:rFonts w:cs="Arial"/>
                <w:b w:val="0"/>
                <w:color w:val="auto"/>
                <w:szCs w:val="22"/>
              </w:rPr>
            </w:pPr>
            <w:r w:rsidRPr="00064F46">
              <w:rPr>
                <w:rFonts w:cs="Arial"/>
                <w:color w:val="000000"/>
                <w:szCs w:val="22"/>
              </w:rPr>
              <w:t>Plan Management</w:t>
            </w:r>
          </w:p>
        </w:tc>
        <w:tc>
          <w:tcPr>
            <w:tcW w:w="1848" w:type="pct"/>
            <w:noWrap/>
          </w:tcPr>
          <w:p w:rsidR="00A85ED9" w:rsidRPr="00064F46" w:rsidRDefault="00A85ED9" w:rsidP="00A85ED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6325E5">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pPr>
              <w:spacing w:before="120" w:after="120"/>
              <w:rPr>
                <w:rFonts w:cs="Arial"/>
                <w:b w:val="0"/>
                <w:color w:val="auto"/>
                <w:szCs w:val="22"/>
              </w:rPr>
            </w:pPr>
            <w:r w:rsidRPr="00064F46">
              <w:rPr>
                <w:rFonts w:cs="Arial"/>
                <w:color w:val="000000"/>
                <w:szCs w:val="22"/>
              </w:rPr>
              <w:t xml:space="preserve">Specialist Disability Accommodation </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Specialised Driver Training</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pPr>
              <w:spacing w:before="120" w:after="120"/>
              <w:rPr>
                <w:rFonts w:cs="Arial"/>
                <w:b w:val="0"/>
                <w:color w:val="auto"/>
                <w:szCs w:val="22"/>
              </w:rPr>
            </w:pPr>
            <w:r w:rsidRPr="00064F46">
              <w:rPr>
                <w:rFonts w:cs="Arial"/>
                <w:color w:val="000000"/>
                <w:szCs w:val="22"/>
              </w:rPr>
              <w:t>Specialis</w:t>
            </w:r>
            <w:r w:rsidRPr="00A85ED9">
              <w:rPr>
                <w:rFonts w:cs="Arial"/>
                <w:color w:val="000000"/>
                <w:szCs w:val="22"/>
              </w:rPr>
              <w:t xml:space="preserve">t </w:t>
            </w:r>
            <w:r w:rsidRPr="00064F46">
              <w:rPr>
                <w:rFonts w:cs="Arial"/>
                <w:color w:val="000000"/>
                <w:szCs w:val="22"/>
              </w:rPr>
              <w:t>Hearing Services</w:t>
            </w:r>
          </w:p>
        </w:tc>
        <w:tc>
          <w:tcPr>
            <w:tcW w:w="1848" w:type="pct"/>
            <w:noWrap/>
          </w:tcPr>
          <w:p w:rsidR="00285147" w:rsidRPr="00064F46" w:rsidRDefault="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A85ED9">
              <w:rPr>
                <w:rFonts w:cs="Arial"/>
                <w:color w:val="000000"/>
                <w:szCs w:val="22"/>
              </w:rPr>
              <w:t>Support</w:t>
            </w:r>
            <w:r w:rsidRPr="00064F46">
              <w:rPr>
                <w:rFonts w:cs="Arial"/>
                <w:color w:val="000000"/>
                <w:szCs w:val="22"/>
              </w:rPr>
              <w:t xml:space="preserve"> Co-ordination</w:t>
            </w:r>
          </w:p>
        </w:tc>
        <w:tc>
          <w:tcPr>
            <w:tcW w:w="1848" w:type="pct"/>
            <w:noWrap/>
          </w:tcPr>
          <w:p w:rsidR="00285147" w:rsidRPr="00064F46" w:rsidRDefault="00A85ED9"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AE0F6F">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Specialised Supported Employment</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Therapeutic Supports</w:t>
            </w:r>
          </w:p>
        </w:tc>
        <w:tc>
          <w:tcPr>
            <w:tcW w:w="1848" w:type="pct"/>
            <w:noWrap/>
          </w:tcPr>
          <w:p w:rsidR="00285147" w:rsidRPr="00064F46" w:rsidRDefault="00A85ED9"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AE0F6F">
              <w:rPr>
                <w:rFonts w:cs="Arial"/>
                <w:color w:val="000000"/>
                <w:szCs w:val="22"/>
              </w:rPr>
              <w:t>Streamlined</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auto"/>
                <w:szCs w:val="22"/>
              </w:rPr>
            </w:pPr>
            <w:r w:rsidRPr="00064F46">
              <w:rPr>
                <w:rFonts w:cs="Arial"/>
                <w:color w:val="000000"/>
                <w:szCs w:val="22"/>
              </w:rPr>
              <w:t>Vehicle modifications</w:t>
            </w:r>
          </w:p>
        </w:tc>
        <w:tc>
          <w:tcPr>
            <w:tcW w:w="1848" w:type="pct"/>
            <w:noWrap/>
          </w:tcPr>
          <w:p w:rsidR="00285147" w:rsidRPr="00064F46"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auto"/>
                <w:szCs w:val="22"/>
              </w:rPr>
            </w:pPr>
            <w:r w:rsidRPr="00064F46">
              <w:rPr>
                <w:rFonts w:cs="Arial"/>
                <w:color w:val="000000"/>
                <w:szCs w:val="22"/>
              </w:rPr>
              <w:t>No</w:t>
            </w:r>
          </w:p>
        </w:tc>
      </w:tr>
      <w:tr w:rsidR="00285147" w:rsidRPr="00285147" w:rsidTr="00064F46">
        <w:trPr>
          <w:trHeight w:val="300"/>
        </w:trPr>
        <w:tc>
          <w:tcPr>
            <w:cnfStyle w:val="001000000000" w:firstRow="0" w:lastRow="0" w:firstColumn="1" w:lastColumn="0" w:oddVBand="0" w:evenVBand="0" w:oddHBand="0" w:evenHBand="0" w:firstRowFirstColumn="0" w:firstRowLastColumn="0" w:lastRowFirstColumn="0" w:lastRowLastColumn="0"/>
            <w:tcW w:w="3152" w:type="pct"/>
          </w:tcPr>
          <w:p w:rsidR="00285147" w:rsidRPr="00064F46" w:rsidRDefault="00285147" w:rsidP="00285147">
            <w:pPr>
              <w:spacing w:before="120" w:after="120"/>
              <w:rPr>
                <w:rFonts w:cs="Arial"/>
                <w:b w:val="0"/>
                <w:color w:val="000000"/>
                <w:szCs w:val="22"/>
              </w:rPr>
            </w:pPr>
            <w:r w:rsidRPr="00A85ED9">
              <w:rPr>
                <w:rFonts w:cs="Arial"/>
                <w:color w:val="000000"/>
                <w:szCs w:val="22"/>
              </w:rPr>
              <w:t>Vision Equipment</w:t>
            </w:r>
          </w:p>
        </w:tc>
        <w:tc>
          <w:tcPr>
            <w:tcW w:w="1848" w:type="pct"/>
            <w:noWrap/>
          </w:tcPr>
          <w:p w:rsidR="00285147" w:rsidRPr="00285147" w:rsidRDefault="00285147" w:rsidP="00285147">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D42259">
              <w:rPr>
                <w:rFonts w:cs="Arial"/>
                <w:color w:val="000000"/>
                <w:szCs w:val="22"/>
              </w:rPr>
              <w:t>No</w:t>
            </w:r>
          </w:p>
        </w:tc>
      </w:tr>
    </w:tbl>
    <w:p w:rsidR="00C73A58" w:rsidRPr="00124558" w:rsidRDefault="00C73A58" w:rsidP="003E7F55">
      <w:pPr>
        <w:rPr>
          <w:rFonts w:cs="Arial"/>
          <w:color w:val="auto"/>
        </w:rPr>
        <w:sectPr w:rsidR="00C73A58" w:rsidRPr="00124558" w:rsidSect="00054A9A">
          <w:pgSz w:w="11906" w:h="16838"/>
          <w:pgMar w:top="1134" w:right="1133" w:bottom="993" w:left="1276" w:header="708" w:footer="123" w:gutter="0"/>
          <w:cols w:space="708"/>
          <w:titlePg/>
          <w:docGrid w:linePitch="360"/>
        </w:sectPr>
      </w:pPr>
    </w:p>
    <w:p w:rsidR="00842B73" w:rsidRPr="00124558" w:rsidRDefault="00842B73" w:rsidP="001D0710">
      <w:pPr>
        <w:pStyle w:val="Heading2"/>
      </w:pPr>
      <w:bookmarkStart w:id="14" w:name="_Toc513450473"/>
      <w:r w:rsidRPr="00124558">
        <w:lastRenderedPageBreak/>
        <w:t>Commonwealth providers</w:t>
      </w:r>
      <w:bookmarkEnd w:id="14"/>
    </w:p>
    <w:p w:rsidR="007A4882" w:rsidRPr="00124558" w:rsidRDefault="00530651" w:rsidP="001D0710">
      <w:pPr>
        <w:pStyle w:val="Heading3"/>
      </w:pPr>
      <w:r w:rsidRPr="00124558">
        <w:t>Commonwealth Quality and Safeguard Arrangements</w:t>
      </w:r>
    </w:p>
    <w:p w:rsidR="00530651" w:rsidRPr="00124558" w:rsidRDefault="00530651" w:rsidP="00530651">
      <w:pPr>
        <w:pStyle w:val="Normal-QLD"/>
      </w:pPr>
      <w:r w:rsidRPr="00124558">
        <w:t xml:space="preserve">Existing Commonwealth providers who transition to deliver </w:t>
      </w:r>
      <w:r w:rsidR="00AD565C" w:rsidRPr="00124558">
        <w:t xml:space="preserve">the same </w:t>
      </w:r>
      <w:r w:rsidRPr="00124558">
        <w:t>services through the NDIS will continue to be required to meet the Quality and Safeguards terms outlined in their Commonwealth funding agreements in accordance with the Terms of Business for Registered Providers for the NDIA. These include</w:t>
      </w:r>
      <w:r w:rsidR="00AD565C" w:rsidRPr="00124558">
        <w:t xml:space="preserve"> the requirement for providers to</w:t>
      </w:r>
      <w:r w:rsidRPr="00124558">
        <w:t>:</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engage appropriately qualified  staff to deliver the agreed services including meeting relevant Commonwealth arrangements and policies relating to Vulnerable Persons, Pol</w:t>
      </w:r>
      <w:r w:rsidR="00AD565C" w:rsidRPr="00124558">
        <w:rPr>
          <w:rFonts w:ascii="Arial" w:eastAsia="MS Mincho" w:hAnsi="Arial" w:cs="Arial"/>
          <w:color w:val="auto"/>
          <w:spacing w:val="-2"/>
          <w:szCs w:val="20"/>
          <w:lang w:val="en-US"/>
        </w:rPr>
        <w:t>ice Check and Criminal Offences</w:t>
      </w:r>
    </w:p>
    <w:p w:rsidR="00530651" w:rsidRPr="00124558" w:rsidRDefault="00AD565C"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 xml:space="preserve">ensure services </w:t>
      </w:r>
      <w:r w:rsidR="00530651" w:rsidRPr="00124558">
        <w:rPr>
          <w:rFonts w:ascii="Arial" w:eastAsia="MS Mincho" w:hAnsi="Arial" w:cs="Arial"/>
          <w:color w:val="auto"/>
          <w:spacing w:val="-2"/>
          <w:szCs w:val="20"/>
          <w:lang w:val="en-US"/>
        </w:rPr>
        <w:t xml:space="preserve">are delivered in accordance with the National Standards for Disability Services under the Commonwealth Disability Services Act 1986 </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meet</w:t>
      </w:r>
      <w:r w:rsidR="00AD565C" w:rsidRPr="00124558">
        <w:rPr>
          <w:rFonts w:ascii="Arial" w:eastAsia="MS Mincho" w:hAnsi="Arial" w:cs="Arial"/>
          <w:color w:val="auto"/>
          <w:spacing w:val="-2"/>
          <w:szCs w:val="20"/>
          <w:lang w:val="en-US"/>
        </w:rPr>
        <w:t>s the</w:t>
      </w:r>
      <w:r w:rsidRPr="00124558">
        <w:rPr>
          <w:rFonts w:ascii="Arial" w:eastAsia="MS Mincho" w:hAnsi="Arial" w:cs="Arial"/>
          <w:color w:val="auto"/>
          <w:spacing w:val="-2"/>
          <w:szCs w:val="20"/>
          <w:lang w:val="en-US"/>
        </w:rPr>
        <w:t xml:space="preserve"> relevant national standards</w:t>
      </w:r>
      <w:r w:rsidR="00AD565C" w:rsidRPr="00124558">
        <w:rPr>
          <w:rFonts w:ascii="Arial" w:eastAsia="MS Mincho" w:hAnsi="Arial" w:cs="Arial"/>
          <w:color w:val="auto"/>
          <w:spacing w:val="-2"/>
          <w:szCs w:val="20"/>
          <w:lang w:val="en-US"/>
        </w:rPr>
        <w:t xml:space="preserve"> and accreditation requirements</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 xml:space="preserve">operate in line and comply with the requirements as set out within all state and territory and Commonwealth legislation and </w:t>
      </w:r>
      <w:r w:rsidR="00AD565C" w:rsidRPr="00124558">
        <w:rPr>
          <w:rFonts w:ascii="Arial" w:eastAsia="MS Mincho" w:hAnsi="Arial" w:cs="Arial"/>
          <w:color w:val="auto"/>
          <w:spacing w:val="-2"/>
          <w:szCs w:val="20"/>
          <w:lang w:val="en-US"/>
        </w:rPr>
        <w:t>regulations</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apply the hi</w:t>
      </w:r>
      <w:r w:rsidR="00AD565C" w:rsidRPr="00124558">
        <w:rPr>
          <w:rFonts w:ascii="Arial" w:eastAsia="MS Mincho" w:hAnsi="Arial" w:cs="Arial"/>
          <w:color w:val="auto"/>
          <w:spacing w:val="-2"/>
          <w:szCs w:val="20"/>
          <w:lang w:val="en-US"/>
        </w:rPr>
        <w:t>ghest standards of duty of care</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ensure service provision is effective, effici</w:t>
      </w:r>
      <w:r w:rsidR="00AD565C" w:rsidRPr="00124558">
        <w:rPr>
          <w:rFonts w:ascii="Arial" w:eastAsia="MS Mincho" w:hAnsi="Arial" w:cs="Arial"/>
          <w:color w:val="auto"/>
          <w:spacing w:val="-2"/>
          <w:szCs w:val="20"/>
          <w:lang w:val="en-US"/>
        </w:rPr>
        <w:t>ent, and appropriately targeted</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 xml:space="preserve">ensure </w:t>
      </w:r>
      <w:r w:rsidR="00AD565C" w:rsidRPr="00124558">
        <w:rPr>
          <w:rFonts w:ascii="Arial" w:eastAsia="MS Mincho" w:hAnsi="Arial" w:cs="Arial"/>
          <w:color w:val="auto"/>
          <w:spacing w:val="-2"/>
          <w:szCs w:val="20"/>
          <w:lang w:val="en-US"/>
        </w:rPr>
        <w:t>Aboriginal and Torres Strait Islander people</w:t>
      </w:r>
      <w:r w:rsidRPr="00124558">
        <w:rPr>
          <w:rFonts w:ascii="Arial" w:eastAsia="MS Mincho" w:hAnsi="Arial" w:cs="Arial"/>
          <w:color w:val="auto"/>
          <w:spacing w:val="-2"/>
          <w:szCs w:val="20"/>
          <w:lang w:val="en-US"/>
        </w:rPr>
        <w:t xml:space="preserve"> have equal a</w:t>
      </w:r>
      <w:r w:rsidR="00AD565C" w:rsidRPr="00124558">
        <w:rPr>
          <w:rFonts w:ascii="Arial" w:eastAsia="MS Mincho" w:hAnsi="Arial" w:cs="Arial"/>
          <w:color w:val="auto"/>
          <w:spacing w:val="-2"/>
          <w:szCs w:val="20"/>
          <w:lang w:val="en-US"/>
        </w:rPr>
        <w:t>nd equitable access to services</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have appropriate internal complaints mechan</w:t>
      </w:r>
      <w:r w:rsidR="00AD565C" w:rsidRPr="00124558">
        <w:rPr>
          <w:rFonts w:ascii="Arial" w:eastAsia="MS Mincho" w:hAnsi="Arial" w:cs="Arial"/>
          <w:color w:val="auto"/>
          <w:spacing w:val="-2"/>
          <w:szCs w:val="20"/>
          <w:lang w:val="en-US"/>
        </w:rPr>
        <w:t>isms in place</w:t>
      </w:r>
    </w:p>
    <w:p w:rsidR="00530651" w:rsidRPr="00124558" w:rsidRDefault="00AD565C"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maintain adequate insurance</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report performance against id</w:t>
      </w:r>
      <w:r w:rsidR="00AD565C" w:rsidRPr="00124558">
        <w:rPr>
          <w:rFonts w:ascii="Arial" w:eastAsia="MS Mincho" w:hAnsi="Arial" w:cs="Arial"/>
          <w:color w:val="auto"/>
          <w:spacing w:val="-2"/>
          <w:szCs w:val="20"/>
          <w:lang w:val="en-US"/>
        </w:rPr>
        <w:t>entified performance indicators</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notify the Commonwealth of anything reasonably likely to affect the performance of the Activity or otherwise required under this Agreement</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provide necessary verification that the Grant was spent in ac</w:t>
      </w:r>
      <w:r w:rsidR="00AD565C" w:rsidRPr="00124558">
        <w:rPr>
          <w:rFonts w:ascii="Arial" w:eastAsia="MS Mincho" w:hAnsi="Arial" w:cs="Arial"/>
          <w:color w:val="auto"/>
          <w:spacing w:val="-2"/>
          <w:szCs w:val="20"/>
          <w:lang w:val="en-US"/>
        </w:rPr>
        <w:t>cordance with the grant details</w:t>
      </w:r>
    </w:p>
    <w:p w:rsidR="00530651" w:rsidRPr="00124558" w:rsidRDefault="007B1430" w:rsidP="00530651">
      <w:pPr>
        <w:pStyle w:val="Normal-QLD"/>
      </w:pPr>
      <w:r w:rsidRPr="00124558">
        <w:t xml:space="preserve">These providers will ensure </w:t>
      </w:r>
      <w:r w:rsidR="00530651" w:rsidRPr="00124558">
        <w:t xml:space="preserve">NDIS participants </w:t>
      </w:r>
      <w:r w:rsidR="00AD565C" w:rsidRPr="00124558">
        <w:t xml:space="preserve">who are accessing </w:t>
      </w:r>
      <w:r w:rsidRPr="00124558">
        <w:t>their</w:t>
      </w:r>
      <w:r w:rsidR="00AD565C" w:rsidRPr="00124558">
        <w:t xml:space="preserve"> services</w:t>
      </w:r>
      <w:r w:rsidRPr="00124558">
        <w:t xml:space="preserve"> are aware they can still </w:t>
      </w:r>
      <w:r w:rsidR="00530651" w:rsidRPr="00124558">
        <w:t>access the existing Commonwealth safeguard arrangements</w:t>
      </w:r>
      <w:r w:rsidR="00D31D27" w:rsidRPr="00124558">
        <w:t>, when required,</w:t>
      </w:r>
      <w:r w:rsidRPr="00124558">
        <w:t xml:space="preserve"> including</w:t>
      </w:r>
      <w:r w:rsidR="00530651" w:rsidRPr="00124558">
        <w:t>:</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servic</w:t>
      </w:r>
      <w:r w:rsidR="007B1430" w:rsidRPr="00124558">
        <w:rPr>
          <w:rFonts w:ascii="Arial" w:eastAsia="MS Mincho" w:hAnsi="Arial" w:cs="Arial"/>
          <w:color w:val="auto"/>
          <w:spacing w:val="-2"/>
          <w:szCs w:val="20"/>
          <w:lang w:val="en-US"/>
        </w:rPr>
        <w:t>e provider complaints processes</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Department of Social S</w:t>
      </w:r>
      <w:r w:rsidR="007B1430" w:rsidRPr="00124558">
        <w:rPr>
          <w:rFonts w:ascii="Arial" w:eastAsia="MS Mincho" w:hAnsi="Arial" w:cs="Arial"/>
          <w:color w:val="auto"/>
          <w:spacing w:val="-2"/>
          <w:szCs w:val="20"/>
          <w:lang w:val="en-US"/>
        </w:rPr>
        <w:t>ervices complaints processes</w:t>
      </w:r>
    </w:p>
    <w:p w:rsidR="00530651" w:rsidRPr="00124558" w:rsidRDefault="007B1430"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The Commonwealth Ombudsman</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The Austral</w:t>
      </w:r>
      <w:r w:rsidR="007B1430" w:rsidRPr="00124558">
        <w:rPr>
          <w:rFonts w:ascii="Arial" w:eastAsia="MS Mincho" w:hAnsi="Arial" w:cs="Arial"/>
          <w:color w:val="auto"/>
          <w:spacing w:val="-2"/>
          <w:szCs w:val="20"/>
          <w:lang w:val="en-US"/>
        </w:rPr>
        <w:t>ian Human Rights Commission</w:t>
      </w:r>
    </w:p>
    <w:p w:rsidR="00530651" w:rsidRPr="00124558" w:rsidRDefault="00530651" w:rsidP="007D22BA">
      <w:pPr>
        <w:pStyle w:val="ListParagraph"/>
        <w:numPr>
          <w:ilvl w:val="0"/>
          <w:numId w:val="20"/>
        </w:numPr>
        <w:spacing w:after="0" w:line="240" w:lineRule="auto"/>
        <w:jc w:val="both"/>
        <w:rPr>
          <w:rFonts w:ascii="Arial" w:eastAsia="MS Mincho" w:hAnsi="Arial" w:cs="Arial"/>
          <w:color w:val="auto"/>
          <w:spacing w:val="-2"/>
          <w:szCs w:val="20"/>
          <w:lang w:val="en-US"/>
        </w:rPr>
      </w:pPr>
      <w:r w:rsidRPr="00124558">
        <w:rPr>
          <w:rFonts w:ascii="Arial" w:eastAsia="MS Mincho" w:hAnsi="Arial" w:cs="Arial"/>
          <w:color w:val="auto"/>
          <w:spacing w:val="-2"/>
          <w:szCs w:val="20"/>
          <w:lang w:val="en-US"/>
        </w:rPr>
        <w:t>Other mainstream la</w:t>
      </w:r>
      <w:r w:rsidR="007B1430" w:rsidRPr="00124558">
        <w:rPr>
          <w:rFonts w:ascii="Arial" w:eastAsia="MS Mincho" w:hAnsi="Arial" w:cs="Arial"/>
          <w:color w:val="auto"/>
          <w:spacing w:val="-2"/>
          <w:szCs w:val="20"/>
          <w:lang w:val="en-US"/>
        </w:rPr>
        <w:t>w enforcement and legal avenues</w:t>
      </w:r>
    </w:p>
    <w:p w:rsidR="007A4882" w:rsidRPr="00124558" w:rsidRDefault="00D31FDD" w:rsidP="001D0710">
      <w:pPr>
        <w:pStyle w:val="Heading3"/>
      </w:pPr>
      <w:r>
        <w:t xml:space="preserve"> </w:t>
      </w:r>
      <w:r w:rsidR="007A4882" w:rsidRPr="00124558">
        <w:t>Arrangements for existing Commonwealth funded services to expand their support offering</w:t>
      </w:r>
    </w:p>
    <w:p w:rsidR="007B1430" w:rsidRPr="00124558" w:rsidRDefault="007B1430" w:rsidP="007B1430">
      <w:pPr>
        <w:pStyle w:val="Normal-QLD"/>
      </w:pPr>
      <w:r w:rsidRPr="00124558">
        <w:t xml:space="preserve">Current Commonwealth funded providers that intend to expand their service offering through the NDIS will need to apply directly to the NDIA for registration of new </w:t>
      </w:r>
      <w:r w:rsidR="00C73A58" w:rsidRPr="00124558">
        <w:t>registration groups</w:t>
      </w:r>
      <w:r w:rsidRPr="00124558">
        <w:t xml:space="preserve">. </w:t>
      </w:r>
    </w:p>
    <w:p w:rsidR="007B1430" w:rsidRPr="00124558" w:rsidRDefault="007B1430" w:rsidP="007B1430">
      <w:pPr>
        <w:pStyle w:val="Normal-QLD"/>
      </w:pPr>
      <w:r w:rsidRPr="00124558">
        <w:t xml:space="preserve">Providers will be required to attain and maintain certification for the expanded service type under the </w:t>
      </w:r>
      <w:r w:rsidR="00C73A58" w:rsidRPr="00124558">
        <w:t>NT</w:t>
      </w:r>
      <w:r w:rsidRPr="00124558">
        <w:t xml:space="preserve"> Quality</w:t>
      </w:r>
      <w:r w:rsidR="00C73A58" w:rsidRPr="00124558">
        <w:t xml:space="preserve"> and Safeguards</w:t>
      </w:r>
      <w:r w:rsidRPr="00124558">
        <w:t xml:space="preserve"> Framew</w:t>
      </w:r>
      <w:r w:rsidR="00C73A58" w:rsidRPr="00124558">
        <w:t>ork for the transition period or</w:t>
      </w:r>
      <w:r w:rsidRPr="00124558">
        <w:t xml:space="preserve"> until a national quality and safeguard arrangement is agreed to. </w:t>
      </w:r>
    </w:p>
    <w:p w:rsidR="007E6B10" w:rsidRPr="00124558" w:rsidRDefault="007E6B10" w:rsidP="007B1430">
      <w:pPr>
        <w:pStyle w:val="Normal-QLD"/>
      </w:pPr>
    </w:p>
    <w:p w:rsidR="007E6B10" w:rsidRPr="00124558" w:rsidRDefault="001D0710" w:rsidP="001D0710">
      <w:pPr>
        <w:pStyle w:val="Heading3"/>
        <w:rPr>
          <w:shd w:val="clear" w:color="auto" w:fill="FFFFFF"/>
        </w:rPr>
      </w:pPr>
      <w:r>
        <w:t xml:space="preserve"> </w:t>
      </w:r>
      <w:r w:rsidR="007E6B10" w:rsidRPr="00124558">
        <w:t>Australian Disability Enterprises and employment support services</w:t>
      </w:r>
      <w:r w:rsidR="007A4882" w:rsidRPr="00124558">
        <w:t xml:space="preserve"> delivered by the Commonwealth </w:t>
      </w:r>
    </w:p>
    <w:p w:rsidR="009B691A" w:rsidRPr="00124558" w:rsidRDefault="009B691A" w:rsidP="009B691A">
      <w:pPr>
        <w:rPr>
          <w:rFonts w:cs="Arial"/>
          <w:color w:val="auto"/>
          <w:shd w:val="clear" w:color="auto" w:fill="FFFFFF"/>
        </w:rPr>
      </w:pPr>
      <w:r w:rsidRPr="00124558">
        <w:rPr>
          <w:rFonts w:cs="Arial"/>
          <w:color w:val="auto"/>
          <w:shd w:val="clear" w:color="auto" w:fill="FFFFFF"/>
        </w:rPr>
        <w:t>Transitioning Australian Disability Enterprises will be required to continue to meet their obligations against their Funding Agreements while also maintaining certification under JAS-ANZ against the National Standards for Disability Services.</w:t>
      </w:r>
    </w:p>
    <w:p w:rsidR="007A4882" w:rsidRPr="00124558" w:rsidRDefault="007E6B10" w:rsidP="007E6B10">
      <w:pPr>
        <w:pStyle w:val="Normal-QLD"/>
      </w:pPr>
      <w:r w:rsidRPr="00124558">
        <w:t>New Australian Disability Enterprises (ADE) and employment support providers continue to be required to attain and maintain certification under the National Standards for Disability Services for the transition period or until a national quality and safeguard systems is in place.</w:t>
      </w:r>
    </w:p>
    <w:p w:rsidR="007A4882" w:rsidRPr="00124558" w:rsidRDefault="001D0710" w:rsidP="001D0710">
      <w:pPr>
        <w:pStyle w:val="Heading3"/>
      </w:pPr>
      <w:r>
        <w:t xml:space="preserve"> </w:t>
      </w:r>
      <w:r w:rsidR="007A4882" w:rsidRPr="00124558">
        <w:t>Commonwealth Continuity of Support Program</w:t>
      </w:r>
    </w:p>
    <w:p w:rsidR="009B691A" w:rsidRPr="00124558" w:rsidRDefault="009B691A" w:rsidP="009B691A">
      <w:pPr>
        <w:pStyle w:val="Normal-QLD"/>
      </w:pPr>
      <w:r w:rsidRPr="00124558">
        <w:t xml:space="preserve">During the transition to full scheme, for providers delivering services to older people with disability under the Commonwealth Continuity of Support Program, </w:t>
      </w:r>
      <w:r w:rsidR="00C73A58" w:rsidRPr="00124558">
        <w:t>NT</w:t>
      </w:r>
      <w:r w:rsidRPr="00124558">
        <w:t xml:space="preserve"> and the Commonwealth intend to continue existing or comparable quality and safeguards arrangements using established mechanisms.</w:t>
      </w:r>
    </w:p>
    <w:p w:rsidR="009B691A" w:rsidRPr="00124558" w:rsidRDefault="009B691A" w:rsidP="009B691A">
      <w:pPr>
        <w:pStyle w:val="Normal-QLD"/>
        <w:rPr>
          <w:highlight w:val="yellow"/>
        </w:rPr>
        <w:sectPr w:rsidR="009B691A" w:rsidRPr="00124558" w:rsidSect="006D2CB0">
          <w:headerReference w:type="default" r:id="rId17"/>
          <w:pgSz w:w="11906" w:h="16838"/>
          <w:pgMar w:top="993" w:right="1274" w:bottom="1440" w:left="1418" w:header="709" w:footer="709" w:gutter="0"/>
          <w:cols w:space="708"/>
          <w:docGrid w:linePitch="360"/>
        </w:sectPr>
      </w:pPr>
    </w:p>
    <w:p w:rsidR="00A43AB2" w:rsidRPr="00124558" w:rsidRDefault="006D2CB0" w:rsidP="00876883">
      <w:pPr>
        <w:pStyle w:val="Heading1"/>
        <w:rPr>
          <w:rFonts w:cs="Arial"/>
          <w:color w:val="auto"/>
        </w:rPr>
      </w:pPr>
      <w:r w:rsidRPr="00124558">
        <w:rPr>
          <w:rFonts w:cs="Arial"/>
          <w:color w:val="auto"/>
        </w:rPr>
        <w:lastRenderedPageBreak/>
        <w:t xml:space="preserve"> </w:t>
      </w:r>
      <w:bookmarkStart w:id="15" w:name="_Toc513450474"/>
      <w:r w:rsidR="00A43AB2" w:rsidRPr="00124558">
        <w:rPr>
          <w:rFonts w:cs="Arial"/>
          <w:color w:val="auto"/>
        </w:rPr>
        <w:t xml:space="preserve">Quality </w:t>
      </w:r>
      <w:r w:rsidRPr="00124558">
        <w:rPr>
          <w:rFonts w:cs="Arial"/>
          <w:color w:val="auto"/>
        </w:rPr>
        <w:t>f</w:t>
      </w:r>
      <w:r w:rsidR="00A43AB2" w:rsidRPr="00124558">
        <w:rPr>
          <w:rFonts w:cs="Arial"/>
          <w:color w:val="auto"/>
        </w:rPr>
        <w:t>ramework</w:t>
      </w:r>
      <w:bookmarkEnd w:id="15"/>
      <w:r w:rsidR="00A43AB2" w:rsidRPr="00124558">
        <w:rPr>
          <w:rFonts w:cs="Arial"/>
          <w:color w:val="auto"/>
        </w:rPr>
        <w:t xml:space="preserve"> </w:t>
      </w:r>
    </w:p>
    <w:p w:rsidR="00A43AB2" w:rsidRPr="00124558" w:rsidRDefault="00C73A58" w:rsidP="001D0710">
      <w:pPr>
        <w:pStyle w:val="Heading2"/>
      </w:pPr>
      <w:bookmarkStart w:id="16" w:name="_Toc513450475"/>
      <w:r w:rsidRPr="00124558">
        <w:t>Northern Territory</w:t>
      </w:r>
      <w:r w:rsidR="00EB5D9B" w:rsidRPr="00124558">
        <w:t xml:space="preserve"> q</w:t>
      </w:r>
      <w:r w:rsidR="00A43AB2" w:rsidRPr="00124558">
        <w:t xml:space="preserve">uality </w:t>
      </w:r>
      <w:r w:rsidR="006D2CB0" w:rsidRPr="00124558">
        <w:t>f</w:t>
      </w:r>
      <w:r w:rsidR="00A43AB2" w:rsidRPr="00124558">
        <w:t>ramework</w:t>
      </w:r>
      <w:bookmarkEnd w:id="16"/>
      <w:r w:rsidR="00A43AB2" w:rsidRPr="00124558">
        <w:t xml:space="preserve"> </w:t>
      </w:r>
    </w:p>
    <w:p w:rsidR="0029788B" w:rsidRPr="00124558" w:rsidRDefault="005823AC" w:rsidP="0029788B">
      <w:pPr>
        <w:rPr>
          <w:rFonts w:cs="Arial"/>
          <w:color w:val="auto"/>
        </w:rPr>
      </w:pPr>
      <w:r>
        <w:rPr>
          <w:rFonts w:cs="Arial"/>
          <w:color w:val="auto"/>
        </w:rPr>
        <w:t xml:space="preserve">The </w:t>
      </w:r>
      <w:r w:rsidR="00C73A58" w:rsidRPr="00124558">
        <w:rPr>
          <w:rFonts w:cs="Arial"/>
          <w:color w:val="auto"/>
        </w:rPr>
        <w:t>NT</w:t>
      </w:r>
      <w:r w:rsidR="00DD1111" w:rsidRPr="00124558">
        <w:rPr>
          <w:rFonts w:cs="Arial"/>
          <w:color w:val="auto"/>
        </w:rPr>
        <w:t xml:space="preserve"> </w:t>
      </w:r>
      <w:r w:rsidR="00DF7EAF" w:rsidRPr="00124558">
        <w:rPr>
          <w:rFonts w:cs="Arial"/>
          <w:color w:val="auto"/>
        </w:rPr>
        <w:t>Q</w:t>
      </w:r>
      <w:r w:rsidR="00DD1111" w:rsidRPr="00124558">
        <w:rPr>
          <w:rFonts w:cs="Arial"/>
          <w:color w:val="auto"/>
        </w:rPr>
        <w:t xml:space="preserve">uality </w:t>
      </w:r>
      <w:r w:rsidR="00C73A58" w:rsidRPr="00124558">
        <w:rPr>
          <w:rFonts w:cs="Arial"/>
          <w:color w:val="auto"/>
        </w:rPr>
        <w:t>and Safeguard</w:t>
      </w:r>
      <w:r w:rsidR="008D0631">
        <w:rPr>
          <w:rFonts w:cs="Arial"/>
          <w:color w:val="auto"/>
        </w:rPr>
        <w:t>ing</w:t>
      </w:r>
      <w:r w:rsidR="00C73A58" w:rsidRPr="00124558">
        <w:rPr>
          <w:rFonts w:cs="Arial"/>
          <w:color w:val="auto"/>
        </w:rPr>
        <w:t xml:space="preserve"> </w:t>
      </w:r>
      <w:r w:rsidR="00DF7EAF" w:rsidRPr="00124558">
        <w:rPr>
          <w:rFonts w:cs="Arial"/>
          <w:color w:val="auto"/>
        </w:rPr>
        <w:t>F</w:t>
      </w:r>
      <w:r w:rsidR="00DD1111" w:rsidRPr="00124558">
        <w:rPr>
          <w:rFonts w:cs="Arial"/>
          <w:color w:val="auto"/>
        </w:rPr>
        <w:t>ramework</w:t>
      </w:r>
      <w:r w:rsidR="00A43AB2" w:rsidRPr="00124558">
        <w:rPr>
          <w:rFonts w:cs="Arial"/>
          <w:color w:val="auto"/>
        </w:rPr>
        <w:t xml:space="preserve"> is a system for assessing and improving the quality of </w:t>
      </w:r>
      <w:r>
        <w:rPr>
          <w:rFonts w:cs="Arial"/>
          <w:color w:val="auto"/>
        </w:rPr>
        <w:t xml:space="preserve">disability </w:t>
      </w:r>
      <w:r w:rsidR="00A43AB2" w:rsidRPr="00124558">
        <w:rPr>
          <w:rFonts w:cs="Arial"/>
          <w:color w:val="auto"/>
        </w:rPr>
        <w:t xml:space="preserve">services and </w:t>
      </w:r>
      <w:r w:rsidR="00DD1111" w:rsidRPr="00124558">
        <w:rPr>
          <w:rFonts w:cs="Arial"/>
          <w:color w:val="auto"/>
        </w:rPr>
        <w:t xml:space="preserve">for </w:t>
      </w:r>
      <w:r w:rsidR="00A43AB2" w:rsidRPr="00124558">
        <w:rPr>
          <w:rFonts w:cs="Arial"/>
          <w:color w:val="auto"/>
        </w:rPr>
        <w:t>promoting quality outcomes to pe</w:t>
      </w:r>
      <w:r w:rsidR="0029788B" w:rsidRPr="00124558">
        <w:rPr>
          <w:rFonts w:cs="Arial"/>
          <w:color w:val="auto"/>
        </w:rPr>
        <w:t xml:space="preserve">ople </w:t>
      </w:r>
      <w:r>
        <w:rPr>
          <w:rFonts w:cs="Arial"/>
          <w:color w:val="auto"/>
        </w:rPr>
        <w:t xml:space="preserve">with disability </w:t>
      </w:r>
      <w:r w:rsidR="0029788B" w:rsidRPr="00124558">
        <w:rPr>
          <w:rFonts w:cs="Arial"/>
          <w:color w:val="auto"/>
        </w:rPr>
        <w:t xml:space="preserve">who access </w:t>
      </w:r>
      <w:r>
        <w:rPr>
          <w:rFonts w:cs="Arial"/>
          <w:color w:val="auto"/>
        </w:rPr>
        <w:t xml:space="preserve">those </w:t>
      </w:r>
      <w:r w:rsidR="0029788B" w:rsidRPr="00124558">
        <w:rPr>
          <w:rFonts w:cs="Arial"/>
          <w:color w:val="auto"/>
        </w:rPr>
        <w:t xml:space="preserve">services. The Framework is designed to: </w:t>
      </w:r>
    </w:p>
    <w:p w:rsidR="0029788B" w:rsidRPr="00124558" w:rsidRDefault="00D31FDD" w:rsidP="0029788B">
      <w:pPr>
        <w:pStyle w:val="ListNumber"/>
        <w:numPr>
          <w:ilvl w:val="0"/>
          <w:numId w:val="25"/>
        </w:numPr>
        <w:rPr>
          <w:rFonts w:ascii="Arial" w:eastAsia="MS Mincho" w:hAnsi="Arial" w:cs="Arial"/>
          <w:color w:val="auto"/>
          <w:spacing w:val="-2"/>
          <w:szCs w:val="20"/>
          <w:lang w:val="en-US" w:eastAsia="en-US"/>
        </w:rPr>
      </w:pPr>
      <w:r>
        <w:rPr>
          <w:rFonts w:ascii="Arial" w:eastAsia="MS Mincho" w:hAnsi="Arial" w:cs="Arial"/>
          <w:color w:val="auto"/>
          <w:spacing w:val="-2"/>
          <w:szCs w:val="20"/>
          <w:lang w:val="en-US" w:eastAsia="en-US"/>
        </w:rPr>
        <w:t>e</w:t>
      </w:r>
      <w:r w:rsidR="0029788B" w:rsidRPr="00124558">
        <w:rPr>
          <w:rFonts w:ascii="Arial" w:eastAsia="MS Mincho" w:hAnsi="Arial" w:cs="Arial"/>
          <w:color w:val="auto"/>
          <w:spacing w:val="-2"/>
          <w:szCs w:val="20"/>
          <w:lang w:val="en-US" w:eastAsia="en-US"/>
        </w:rPr>
        <w:t>nsure</w:t>
      </w:r>
      <w:r>
        <w:rPr>
          <w:rFonts w:ascii="Arial" w:eastAsia="MS Mincho" w:hAnsi="Arial" w:cs="Arial"/>
          <w:color w:val="auto"/>
          <w:spacing w:val="-2"/>
          <w:szCs w:val="20"/>
          <w:lang w:val="en-US" w:eastAsia="en-US"/>
        </w:rPr>
        <w:t xml:space="preserve"> </w:t>
      </w:r>
      <w:r w:rsidR="0029788B" w:rsidRPr="00124558">
        <w:rPr>
          <w:rFonts w:ascii="Arial" w:eastAsia="MS Mincho" w:hAnsi="Arial" w:cs="Arial"/>
          <w:color w:val="auto"/>
          <w:spacing w:val="-2"/>
          <w:szCs w:val="20"/>
          <w:lang w:val="en-US" w:eastAsia="en-US"/>
        </w:rPr>
        <w:t>providers are delivering the right supports through the right support staff</w:t>
      </w:r>
    </w:p>
    <w:p w:rsidR="0029788B" w:rsidRPr="00124558" w:rsidRDefault="00D31FDD" w:rsidP="0029788B">
      <w:pPr>
        <w:pStyle w:val="ListNumber"/>
        <w:numPr>
          <w:ilvl w:val="0"/>
          <w:numId w:val="25"/>
        </w:numPr>
        <w:rPr>
          <w:rFonts w:ascii="Arial" w:eastAsia="MS Mincho" w:hAnsi="Arial" w:cs="Arial"/>
          <w:color w:val="auto"/>
          <w:spacing w:val="-2"/>
          <w:szCs w:val="20"/>
          <w:lang w:val="en-US" w:eastAsia="en-US"/>
        </w:rPr>
      </w:pPr>
      <w:r>
        <w:rPr>
          <w:rFonts w:ascii="Arial" w:eastAsia="MS Mincho" w:hAnsi="Arial" w:cs="Arial"/>
          <w:color w:val="auto"/>
          <w:spacing w:val="-2"/>
          <w:szCs w:val="20"/>
          <w:lang w:val="en-US" w:eastAsia="en-US"/>
        </w:rPr>
        <w:t>e</w:t>
      </w:r>
      <w:r w:rsidR="0029788B" w:rsidRPr="00124558">
        <w:rPr>
          <w:rFonts w:ascii="Arial" w:eastAsia="MS Mincho" w:hAnsi="Arial" w:cs="Arial"/>
          <w:color w:val="auto"/>
          <w:spacing w:val="-2"/>
          <w:szCs w:val="20"/>
          <w:lang w:val="en-US" w:eastAsia="en-US"/>
        </w:rPr>
        <w:t>nsure</w:t>
      </w:r>
      <w:r>
        <w:rPr>
          <w:rFonts w:ascii="Arial" w:eastAsia="MS Mincho" w:hAnsi="Arial" w:cs="Arial"/>
          <w:color w:val="auto"/>
          <w:spacing w:val="-2"/>
          <w:szCs w:val="20"/>
          <w:lang w:val="en-US" w:eastAsia="en-US"/>
        </w:rPr>
        <w:t xml:space="preserve"> </w:t>
      </w:r>
      <w:r w:rsidR="0029788B" w:rsidRPr="00124558">
        <w:rPr>
          <w:rFonts w:ascii="Arial" w:eastAsia="MS Mincho" w:hAnsi="Arial" w:cs="Arial"/>
          <w:color w:val="auto"/>
          <w:spacing w:val="-2"/>
          <w:szCs w:val="20"/>
          <w:lang w:val="en-US" w:eastAsia="en-US"/>
        </w:rPr>
        <w:t xml:space="preserve">supports are delivered in an appropriate manner, that they reflect and respond to the needs and goals of the individual </w:t>
      </w:r>
    </w:p>
    <w:p w:rsidR="0029788B" w:rsidRPr="00124558" w:rsidRDefault="00D31FDD" w:rsidP="0029788B">
      <w:pPr>
        <w:pStyle w:val="ListNumber"/>
        <w:numPr>
          <w:ilvl w:val="0"/>
          <w:numId w:val="25"/>
        </w:numPr>
        <w:rPr>
          <w:rFonts w:ascii="Arial" w:eastAsia="MS Mincho" w:hAnsi="Arial" w:cs="Arial"/>
          <w:color w:val="auto"/>
          <w:spacing w:val="-2"/>
          <w:szCs w:val="20"/>
          <w:lang w:val="en-US" w:eastAsia="en-US"/>
        </w:rPr>
      </w:pPr>
      <w:r>
        <w:rPr>
          <w:rFonts w:ascii="Arial" w:eastAsia="MS Mincho" w:hAnsi="Arial" w:cs="Arial"/>
          <w:color w:val="auto"/>
          <w:spacing w:val="-2"/>
          <w:szCs w:val="20"/>
          <w:lang w:val="en-US" w:eastAsia="en-US"/>
        </w:rPr>
        <w:t>e</w:t>
      </w:r>
      <w:r w:rsidR="0029788B" w:rsidRPr="00124558">
        <w:rPr>
          <w:rFonts w:ascii="Arial" w:eastAsia="MS Mincho" w:hAnsi="Arial" w:cs="Arial"/>
          <w:color w:val="auto"/>
          <w:spacing w:val="-2"/>
          <w:szCs w:val="20"/>
          <w:lang w:val="en-US" w:eastAsia="en-US"/>
        </w:rPr>
        <w:t>nsure</w:t>
      </w:r>
      <w:r>
        <w:rPr>
          <w:rFonts w:ascii="Arial" w:eastAsia="MS Mincho" w:hAnsi="Arial" w:cs="Arial"/>
          <w:color w:val="auto"/>
          <w:spacing w:val="-2"/>
          <w:szCs w:val="20"/>
          <w:lang w:val="en-US" w:eastAsia="en-US"/>
        </w:rPr>
        <w:t xml:space="preserve"> </w:t>
      </w:r>
      <w:r w:rsidR="0029788B" w:rsidRPr="00124558">
        <w:rPr>
          <w:rFonts w:ascii="Arial" w:eastAsia="MS Mincho" w:hAnsi="Arial" w:cs="Arial"/>
          <w:color w:val="auto"/>
          <w:spacing w:val="-2"/>
          <w:szCs w:val="20"/>
          <w:lang w:val="en-US" w:eastAsia="en-US"/>
        </w:rPr>
        <w:t>people with disability have access to information and education to make informed decisions</w:t>
      </w:r>
    </w:p>
    <w:p w:rsidR="0029788B" w:rsidRPr="00124558" w:rsidRDefault="0029788B" w:rsidP="0029788B">
      <w:pPr>
        <w:pStyle w:val="ListNumber"/>
        <w:numPr>
          <w:ilvl w:val="0"/>
          <w:numId w:val="25"/>
        </w:numPr>
        <w:rPr>
          <w:rFonts w:ascii="Arial" w:eastAsia="MS Mincho" w:hAnsi="Arial" w:cs="Arial"/>
          <w:color w:val="auto"/>
          <w:spacing w:val="-2"/>
          <w:szCs w:val="20"/>
          <w:lang w:val="en-US" w:eastAsia="en-US"/>
        </w:rPr>
      </w:pPr>
      <w:r w:rsidRPr="00124558">
        <w:rPr>
          <w:rFonts w:ascii="Arial" w:eastAsia="MS Mincho" w:hAnsi="Arial" w:cs="Arial"/>
          <w:color w:val="auto"/>
          <w:spacing w:val="-2"/>
          <w:szCs w:val="20"/>
          <w:lang w:val="en-US" w:eastAsia="en-US"/>
        </w:rPr>
        <w:t>ensure participants in receipt of support are safe from the risk of harm, abuse and neglect</w:t>
      </w:r>
    </w:p>
    <w:p w:rsidR="0029788B" w:rsidRPr="00124558" w:rsidRDefault="0029788B" w:rsidP="0029788B">
      <w:pPr>
        <w:pStyle w:val="ListNumber"/>
        <w:numPr>
          <w:ilvl w:val="0"/>
          <w:numId w:val="25"/>
        </w:numPr>
        <w:rPr>
          <w:rFonts w:ascii="Arial" w:eastAsia="MS Mincho" w:hAnsi="Arial" w:cs="Arial"/>
          <w:color w:val="auto"/>
          <w:spacing w:val="-2"/>
          <w:szCs w:val="20"/>
          <w:lang w:val="en-US" w:eastAsia="en-US"/>
        </w:rPr>
      </w:pPr>
      <w:r w:rsidRPr="00124558">
        <w:rPr>
          <w:rFonts w:ascii="Arial" w:eastAsia="MS Mincho" w:hAnsi="Arial" w:cs="Arial"/>
          <w:color w:val="auto"/>
          <w:spacing w:val="-2"/>
          <w:szCs w:val="20"/>
          <w:lang w:val="en-US" w:eastAsia="en-US"/>
        </w:rPr>
        <w:t xml:space="preserve">protect and promote the rights of people with disability </w:t>
      </w:r>
    </w:p>
    <w:p w:rsidR="0029788B" w:rsidRPr="00124558" w:rsidRDefault="0029788B" w:rsidP="0029788B">
      <w:pPr>
        <w:pStyle w:val="ListNumber"/>
        <w:numPr>
          <w:ilvl w:val="0"/>
          <w:numId w:val="25"/>
        </w:numPr>
        <w:rPr>
          <w:rFonts w:ascii="Arial" w:eastAsia="MS Mincho" w:hAnsi="Arial" w:cs="Arial"/>
          <w:color w:val="auto"/>
          <w:spacing w:val="-2"/>
          <w:szCs w:val="20"/>
          <w:lang w:val="en-US" w:eastAsia="en-US"/>
        </w:rPr>
      </w:pPr>
      <w:r w:rsidRPr="00124558">
        <w:rPr>
          <w:rFonts w:ascii="Arial" w:eastAsia="MS Mincho" w:hAnsi="Arial" w:cs="Arial"/>
          <w:color w:val="auto"/>
          <w:spacing w:val="-2"/>
          <w:szCs w:val="20"/>
          <w:lang w:val="en-US" w:eastAsia="en-US"/>
        </w:rPr>
        <w:t>allow participants to take reasonable risks to achieve their goals.</w:t>
      </w:r>
    </w:p>
    <w:p w:rsidR="0029788B" w:rsidRPr="00124558" w:rsidRDefault="0029788B" w:rsidP="0029788B">
      <w:pPr>
        <w:pStyle w:val="BodyText"/>
        <w:rPr>
          <w:rFonts w:cs="Arial"/>
          <w:color w:val="auto"/>
        </w:rPr>
      </w:pPr>
      <w:r w:rsidRPr="00124558">
        <w:rPr>
          <w:rFonts w:cs="Arial"/>
          <w:color w:val="auto"/>
        </w:rPr>
        <w:t>The Framework has been designed to be fit-for-purpose, and while it aligns with the National Standards for Disability Standards and other relevant standards, it provides a level of flexibility to ensure service providers are given the opportunity to continually improve and innovate over time to meet the needs of participants.</w:t>
      </w:r>
    </w:p>
    <w:p w:rsidR="0029788B" w:rsidRPr="00124558" w:rsidRDefault="0029788B" w:rsidP="0029788B">
      <w:pPr>
        <w:pStyle w:val="ListNumber"/>
        <w:rPr>
          <w:rFonts w:ascii="Arial" w:eastAsia="MS Mincho" w:hAnsi="Arial" w:cs="Arial"/>
          <w:color w:val="auto"/>
          <w:spacing w:val="-2"/>
          <w:szCs w:val="20"/>
          <w:lang w:val="en-US" w:eastAsia="en-US"/>
        </w:rPr>
      </w:pPr>
      <w:r w:rsidRPr="00124558">
        <w:rPr>
          <w:rFonts w:ascii="Arial" w:hAnsi="Arial" w:cs="Arial"/>
          <w:color w:val="auto"/>
        </w:rPr>
        <w:t xml:space="preserve">The Framework and the assessment process during the NDIS transition period will be used as an opportunity to support service providers to prepare and meet the NDIS full </w:t>
      </w:r>
      <w:r w:rsidR="00695E34">
        <w:rPr>
          <w:rFonts w:ascii="Arial" w:hAnsi="Arial" w:cs="Arial"/>
          <w:color w:val="auto"/>
        </w:rPr>
        <w:t>S</w:t>
      </w:r>
      <w:r w:rsidRPr="00124558">
        <w:rPr>
          <w:rFonts w:ascii="Arial" w:hAnsi="Arial" w:cs="Arial"/>
          <w:color w:val="auto"/>
        </w:rPr>
        <w:t>cheme national Framework in 2019. The assessment process will also support the N</w:t>
      </w:r>
      <w:r w:rsidR="00695E34">
        <w:rPr>
          <w:rFonts w:ascii="Arial" w:hAnsi="Arial" w:cs="Arial"/>
          <w:color w:val="auto"/>
        </w:rPr>
        <w:t>T</w:t>
      </w:r>
      <w:r w:rsidRPr="00124558">
        <w:rPr>
          <w:rFonts w:ascii="Arial" w:hAnsi="Arial" w:cs="Arial"/>
          <w:color w:val="auto"/>
        </w:rPr>
        <w:t xml:space="preserve"> disability sector to strengthen its support offerings and will assist in the establishment of a sustainable provider market post full Scheme implementation.</w:t>
      </w:r>
    </w:p>
    <w:p w:rsidR="00A43AB2" w:rsidRPr="00124558" w:rsidRDefault="00EB5D9B" w:rsidP="001D0710">
      <w:pPr>
        <w:pStyle w:val="Heading2"/>
      </w:pPr>
      <w:bookmarkStart w:id="17" w:name="_Toc513450476"/>
      <w:r w:rsidRPr="00124558">
        <w:t>D</w:t>
      </w:r>
      <w:r w:rsidR="00A43AB2" w:rsidRPr="00124558">
        <w:t xml:space="preserve">uring </w:t>
      </w:r>
      <w:r w:rsidR="006D2CB0" w:rsidRPr="00124558">
        <w:t>t</w:t>
      </w:r>
      <w:r w:rsidR="00A43AB2" w:rsidRPr="00124558">
        <w:t>ransition</w:t>
      </w:r>
      <w:bookmarkEnd w:id="17"/>
    </w:p>
    <w:p w:rsidR="0029788B" w:rsidRPr="00124558" w:rsidRDefault="00DF7EAF" w:rsidP="00A43AB2">
      <w:pPr>
        <w:rPr>
          <w:rFonts w:cs="Arial"/>
          <w:color w:val="auto"/>
        </w:rPr>
      </w:pPr>
      <w:r w:rsidRPr="00124558">
        <w:rPr>
          <w:rFonts w:cs="Arial"/>
          <w:color w:val="auto"/>
        </w:rPr>
        <w:t xml:space="preserve">All </w:t>
      </w:r>
      <w:r w:rsidR="008E6586" w:rsidRPr="00124558">
        <w:rPr>
          <w:rFonts w:cs="Arial"/>
          <w:color w:val="auto"/>
        </w:rPr>
        <w:t>NDIS providers of specialist disability s</w:t>
      </w:r>
      <w:r w:rsidR="00E7559C">
        <w:rPr>
          <w:rFonts w:cs="Arial"/>
          <w:color w:val="auto"/>
        </w:rPr>
        <w:t>upports</w:t>
      </w:r>
      <w:r w:rsidR="008E6586" w:rsidRPr="00124558" w:rsidDel="008E6586">
        <w:rPr>
          <w:rFonts w:cs="Arial"/>
          <w:color w:val="auto"/>
        </w:rPr>
        <w:t xml:space="preserve"> </w:t>
      </w:r>
      <w:r w:rsidR="00DD1111" w:rsidRPr="00124558">
        <w:rPr>
          <w:rFonts w:cs="Arial"/>
          <w:color w:val="auto"/>
        </w:rPr>
        <w:t xml:space="preserve">must </w:t>
      </w:r>
      <w:r w:rsidR="00A43AB2" w:rsidRPr="00124558">
        <w:rPr>
          <w:rFonts w:cs="Arial"/>
          <w:color w:val="auto"/>
        </w:rPr>
        <w:t xml:space="preserve">comply with the </w:t>
      </w:r>
      <w:r w:rsidR="0029788B" w:rsidRPr="00124558">
        <w:rPr>
          <w:rFonts w:cs="Arial"/>
          <w:color w:val="auto"/>
        </w:rPr>
        <w:t>F</w:t>
      </w:r>
      <w:r w:rsidR="00DD1111" w:rsidRPr="00124558">
        <w:rPr>
          <w:rFonts w:cs="Arial"/>
          <w:color w:val="auto"/>
        </w:rPr>
        <w:t>ramework</w:t>
      </w:r>
      <w:r w:rsidR="0029788B" w:rsidRPr="00124558">
        <w:rPr>
          <w:rFonts w:cs="Arial"/>
          <w:color w:val="auto"/>
        </w:rPr>
        <w:t xml:space="preserve"> and any practice guidelines or directions issued by the NT Government throughout the NDIS transition period. </w:t>
      </w:r>
      <w:r w:rsidR="00E7559C">
        <w:rPr>
          <w:rFonts w:cs="Arial"/>
          <w:color w:val="auto"/>
        </w:rPr>
        <w:t>Please see section 4.</w:t>
      </w:r>
      <w:r w:rsidR="00695E34">
        <w:rPr>
          <w:rFonts w:cs="Arial"/>
          <w:color w:val="auto"/>
        </w:rPr>
        <w:t>5</w:t>
      </w:r>
      <w:r w:rsidR="00E7559C">
        <w:rPr>
          <w:rFonts w:cs="Arial"/>
          <w:color w:val="auto"/>
        </w:rPr>
        <w:t xml:space="preserve"> for a list of those Registration Groups that require compliance with the NT Quality and Safeguard</w:t>
      </w:r>
      <w:r w:rsidR="00695E34">
        <w:rPr>
          <w:rFonts w:cs="Arial"/>
          <w:color w:val="auto"/>
        </w:rPr>
        <w:t>ing</w:t>
      </w:r>
      <w:r w:rsidR="00E7559C">
        <w:rPr>
          <w:rFonts w:cs="Arial"/>
          <w:color w:val="auto"/>
        </w:rPr>
        <w:t xml:space="preserve"> Framework. </w:t>
      </w:r>
    </w:p>
    <w:p w:rsidR="00A43AB2" w:rsidRPr="00124558" w:rsidRDefault="001D0710" w:rsidP="001D0710">
      <w:pPr>
        <w:pStyle w:val="Heading3"/>
      </w:pPr>
      <w:r>
        <w:t xml:space="preserve"> </w:t>
      </w:r>
      <w:r w:rsidR="00725448">
        <w:t>Alternative accreditation/certification</w:t>
      </w:r>
    </w:p>
    <w:p w:rsidR="00A43AB2" w:rsidRPr="00124558" w:rsidRDefault="00A43AB2" w:rsidP="00A43AB2">
      <w:pPr>
        <w:rPr>
          <w:rFonts w:cs="Arial"/>
          <w:color w:val="auto"/>
        </w:rPr>
      </w:pPr>
      <w:r w:rsidRPr="00124558">
        <w:rPr>
          <w:rFonts w:cs="Arial"/>
          <w:color w:val="auto"/>
        </w:rPr>
        <w:t>Providers can</w:t>
      </w:r>
      <w:r w:rsidR="00B5770A" w:rsidRPr="00124558">
        <w:rPr>
          <w:rFonts w:cs="Arial"/>
          <w:color w:val="auto"/>
        </w:rPr>
        <w:t xml:space="preserve"> request the </w:t>
      </w:r>
      <w:r w:rsidR="00C73A58" w:rsidRPr="00124558">
        <w:rPr>
          <w:rFonts w:cs="Arial"/>
          <w:color w:val="auto"/>
        </w:rPr>
        <w:t>NT</w:t>
      </w:r>
      <w:r w:rsidR="00B5770A" w:rsidRPr="00124558">
        <w:rPr>
          <w:rFonts w:cs="Arial"/>
          <w:color w:val="auto"/>
        </w:rPr>
        <w:t xml:space="preserve"> consider</w:t>
      </w:r>
      <w:r w:rsidRPr="00124558">
        <w:rPr>
          <w:rFonts w:cs="Arial"/>
          <w:color w:val="auto"/>
        </w:rPr>
        <w:t xml:space="preserve"> </w:t>
      </w:r>
      <w:r w:rsidR="00DF7EAF" w:rsidRPr="00124558">
        <w:rPr>
          <w:rFonts w:cs="Arial"/>
          <w:color w:val="auto"/>
        </w:rPr>
        <w:t xml:space="preserve">an </w:t>
      </w:r>
      <w:r w:rsidRPr="00124558">
        <w:rPr>
          <w:rFonts w:cs="Arial"/>
          <w:color w:val="auto"/>
        </w:rPr>
        <w:t>existing alter</w:t>
      </w:r>
      <w:r w:rsidR="00DF7EAF" w:rsidRPr="00124558">
        <w:rPr>
          <w:rFonts w:cs="Arial"/>
          <w:color w:val="auto"/>
        </w:rPr>
        <w:t>n</w:t>
      </w:r>
      <w:r w:rsidRPr="00124558">
        <w:rPr>
          <w:rFonts w:cs="Arial"/>
          <w:color w:val="auto"/>
        </w:rPr>
        <w:t xml:space="preserve">ative accreditation or certification </w:t>
      </w:r>
      <w:r w:rsidR="00B5770A" w:rsidRPr="00124558">
        <w:rPr>
          <w:rFonts w:cs="Arial"/>
          <w:color w:val="auto"/>
        </w:rPr>
        <w:t xml:space="preserve">as evidence of meeting the </w:t>
      </w:r>
      <w:r w:rsidR="00C73A58" w:rsidRPr="00124558">
        <w:rPr>
          <w:rFonts w:cs="Arial"/>
          <w:color w:val="auto"/>
        </w:rPr>
        <w:t>NT Quality and Safeguard</w:t>
      </w:r>
      <w:r w:rsidR="00695E34">
        <w:rPr>
          <w:rFonts w:cs="Arial"/>
          <w:color w:val="auto"/>
        </w:rPr>
        <w:t>ing</w:t>
      </w:r>
      <w:r w:rsidR="00C73A58" w:rsidRPr="00124558">
        <w:rPr>
          <w:rFonts w:cs="Arial"/>
          <w:color w:val="auto"/>
        </w:rPr>
        <w:t xml:space="preserve"> Framework</w:t>
      </w:r>
      <w:r w:rsidRPr="00124558">
        <w:rPr>
          <w:rFonts w:cs="Arial"/>
          <w:color w:val="auto"/>
        </w:rPr>
        <w:t xml:space="preserve">. </w:t>
      </w:r>
      <w:r w:rsidR="00B5770A" w:rsidRPr="00124558">
        <w:rPr>
          <w:rFonts w:cs="Arial"/>
          <w:color w:val="auto"/>
        </w:rPr>
        <w:t>R</w:t>
      </w:r>
      <w:r w:rsidR="00883F0E" w:rsidRPr="00124558">
        <w:rPr>
          <w:rFonts w:cs="Arial"/>
          <w:color w:val="auto"/>
        </w:rPr>
        <w:t xml:space="preserve">equests </w:t>
      </w:r>
      <w:r w:rsidR="00B5770A" w:rsidRPr="00124558">
        <w:rPr>
          <w:rFonts w:cs="Arial"/>
          <w:color w:val="auto"/>
        </w:rPr>
        <w:t xml:space="preserve">will be considered </w:t>
      </w:r>
      <w:r w:rsidRPr="00124558">
        <w:rPr>
          <w:rFonts w:cs="Arial"/>
          <w:color w:val="auto"/>
        </w:rPr>
        <w:t>on a case-by-case basis.</w:t>
      </w:r>
      <w:r w:rsidR="00F20B6E" w:rsidRPr="00124558">
        <w:rPr>
          <w:rFonts w:cs="Arial"/>
          <w:color w:val="auto"/>
        </w:rPr>
        <w:t xml:space="preserve"> </w:t>
      </w:r>
      <w:r w:rsidR="00B5770A" w:rsidRPr="00124558">
        <w:rPr>
          <w:rFonts w:cs="Arial"/>
          <w:color w:val="auto"/>
        </w:rPr>
        <w:t>If accepted</w:t>
      </w:r>
      <w:r w:rsidR="007452C3" w:rsidRPr="00124558">
        <w:rPr>
          <w:rFonts w:cs="Arial"/>
          <w:color w:val="auto"/>
        </w:rPr>
        <w:t>,</w:t>
      </w:r>
      <w:r w:rsidR="00B5770A" w:rsidRPr="00124558">
        <w:rPr>
          <w:rFonts w:cs="Arial"/>
          <w:color w:val="auto"/>
        </w:rPr>
        <w:t xml:space="preserve"> the </w:t>
      </w:r>
      <w:r w:rsidR="0028409E" w:rsidRPr="00124558">
        <w:rPr>
          <w:rFonts w:cs="Arial"/>
          <w:color w:val="auto"/>
        </w:rPr>
        <w:t>alternative c</w:t>
      </w:r>
      <w:r w:rsidR="00F20B6E" w:rsidRPr="00124558">
        <w:rPr>
          <w:rFonts w:cs="Arial"/>
          <w:color w:val="auto"/>
        </w:rPr>
        <w:t>ertification must be maintained for the transition period.</w:t>
      </w:r>
    </w:p>
    <w:p w:rsidR="00A43AB2" w:rsidRPr="00124558" w:rsidRDefault="00D31FDD" w:rsidP="001D0710">
      <w:pPr>
        <w:pStyle w:val="Heading3"/>
      </w:pPr>
      <w:r>
        <w:lastRenderedPageBreak/>
        <w:t xml:space="preserve"> Notifiable</w:t>
      </w:r>
      <w:r w:rsidR="00216F5E">
        <w:t xml:space="preserve"> issue – m</w:t>
      </w:r>
      <w:r w:rsidR="00A43AB2" w:rsidRPr="00124558">
        <w:t>ajor non-co</w:t>
      </w:r>
      <w:r w:rsidR="00534505">
        <w:t>mpliance</w:t>
      </w:r>
    </w:p>
    <w:p w:rsidR="00216F5E" w:rsidRDefault="00A43AB2" w:rsidP="00A43AB2">
      <w:pPr>
        <w:rPr>
          <w:rFonts w:cs="Arial"/>
          <w:color w:val="auto"/>
        </w:rPr>
      </w:pPr>
      <w:r w:rsidRPr="00124558">
        <w:rPr>
          <w:rFonts w:cs="Arial"/>
          <w:color w:val="auto"/>
        </w:rPr>
        <w:t xml:space="preserve">The </w:t>
      </w:r>
      <w:r w:rsidR="00725448">
        <w:rPr>
          <w:rFonts w:cs="Arial"/>
          <w:color w:val="auto"/>
        </w:rPr>
        <w:t>NT Government</w:t>
      </w:r>
      <w:r w:rsidRPr="00124558">
        <w:rPr>
          <w:rFonts w:cs="Arial"/>
          <w:color w:val="auto"/>
        </w:rPr>
        <w:t xml:space="preserve"> will notify the NDIA when a</w:t>
      </w:r>
      <w:r w:rsidR="006D2CB0" w:rsidRPr="00124558">
        <w:rPr>
          <w:rFonts w:cs="Arial"/>
          <w:color w:val="auto"/>
        </w:rPr>
        <w:t>n</w:t>
      </w:r>
      <w:r w:rsidRPr="00124558">
        <w:rPr>
          <w:rFonts w:cs="Arial"/>
          <w:color w:val="auto"/>
        </w:rPr>
        <w:t xml:space="preserve"> </w:t>
      </w:r>
      <w:r w:rsidR="00F20B6E" w:rsidRPr="00124558">
        <w:rPr>
          <w:rFonts w:cs="Arial"/>
          <w:color w:val="auto"/>
        </w:rPr>
        <w:t xml:space="preserve">NDIS </w:t>
      </w:r>
      <w:r w:rsidRPr="00124558">
        <w:rPr>
          <w:rFonts w:cs="Arial"/>
          <w:color w:val="auto"/>
        </w:rPr>
        <w:t xml:space="preserve">provider </w:t>
      </w:r>
      <w:r w:rsidR="00946409" w:rsidRPr="00124558">
        <w:rPr>
          <w:rFonts w:cs="Arial"/>
          <w:color w:val="auto"/>
        </w:rPr>
        <w:t xml:space="preserve">of specialist disability services </w:t>
      </w:r>
      <w:r w:rsidRPr="00124558">
        <w:rPr>
          <w:rFonts w:cs="Arial"/>
          <w:color w:val="auto"/>
        </w:rPr>
        <w:t>has a major non-</w:t>
      </w:r>
      <w:r w:rsidR="00C73A58" w:rsidRPr="00124558">
        <w:rPr>
          <w:rFonts w:cs="Arial"/>
          <w:color w:val="auto"/>
        </w:rPr>
        <w:t>compliance</w:t>
      </w:r>
      <w:r w:rsidRPr="00124558">
        <w:rPr>
          <w:rFonts w:cs="Arial"/>
          <w:color w:val="auto"/>
        </w:rPr>
        <w:t xml:space="preserve"> </w:t>
      </w:r>
      <w:r w:rsidR="00534505">
        <w:rPr>
          <w:rFonts w:cs="Arial"/>
          <w:color w:val="auto"/>
        </w:rPr>
        <w:t>to the</w:t>
      </w:r>
      <w:r w:rsidR="00725448">
        <w:rPr>
          <w:rFonts w:cs="Arial"/>
          <w:color w:val="auto"/>
        </w:rPr>
        <w:t xml:space="preserve"> NT Quality and Safeguard</w:t>
      </w:r>
      <w:r w:rsidR="00695E34">
        <w:rPr>
          <w:rFonts w:cs="Arial"/>
          <w:color w:val="auto"/>
        </w:rPr>
        <w:t>ing</w:t>
      </w:r>
      <w:r w:rsidR="00725448">
        <w:rPr>
          <w:rFonts w:cs="Arial"/>
          <w:color w:val="auto"/>
        </w:rPr>
        <w:t xml:space="preserve"> Framework.</w:t>
      </w:r>
      <w:r w:rsidR="00216F5E">
        <w:rPr>
          <w:rStyle w:val="FootnoteReference"/>
          <w:rFonts w:cs="Arial"/>
          <w:color w:val="auto"/>
        </w:rPr>
        <w:footnoteReference w:id="3"/>
      </w:r>
      <w:r w:rsidRPr="00124558">
        <w:rPr>
          <w:rFonts w:cs="Arial"/>
          <w:color w:val="auto"/>
        </w:rPr>
        <w:t xml:space="preserve"> </w:t>
      </w:r>
    </w:p>
    <w:p w:rsidR="00A43AB2" w:rsidRPr="00124558" w:rsidRDefault="00725448" w:rsidP="00A43AB2">
      <w:pPr>
        <w:rPr>
          <w:rFonts w:cs="Arial"/>
          <w:color w:val="auto"/>
        </w:rPr>
      </w:pPr>
      <w:r>
        <w:rPr>
          <w:rFonts w:cs="Arial"/>
          <w:color w:val="auto"/>
        </w:rPr>
        <w:t xml:space="preserve">The NDIA will then initiate ‘show-cause’ action under s72 of the </w:t>
      </w:r>
      <w:r w:rsidRPr="00C81566">
        <w:rPr>
          <w:rFonts w:cs="Arial"/>
          <w:i/>
          <w:color w:val="auto"/>
        </w:rPr>
        <w:t>National Disability Insurance Scheme Act 2013.</w:t>
      </w:r>
    </w:p>
    <w:p w:rsidR="0029788B" w:rsidRPr="00124558" w:rsidRDefault="0029788B" w:rsidP="0029788B">
      <w:pPr>
        <w:spacing w:before="130" w:after="130"/>
        <w:jc w:val="both"/>
        <w:rPr>
          <w:rFonts w:cs="Arial"/>
          <w:color w:val="auto"/>
        </w:rPr>
      </w:pPr>
    </w:p>
    <w:p w:rsidR="00A43AB2" w:rsidRPr="00124558" w:rsidRDefault="001D0710" w:rsidP="001D0710">
      <w:pPr>
        <w:pStyle w:val="Heading3"/>
      </w:pPr>
      <w:r>
        <w:t xml:space="preserve"> </w:t>
      </w:r>
      <w:r w:rsidR="00A43AB2" w:rsidRPr="00124558">
        <w:t xml:space="preserve">Contact </w:t>
      </w:r>
      <w:r w:rsidR="006D2CB0" w:rsidRPr="00124558">
        <w:t>p</w:t>
      </w:r>
      <w:r w:rsidR="00A43AB2" w:rsidRPr="00124558">
        <w:t xml:space="preserve">oints – </w:t>
      </w:r>
      <w:r w:rsidR="00883F0E" w:rsidRPr="00124558">
        <w:t>q</w:t>
      </w:r>
      <w:r w:rsidR="00A43AB2" w:rsidRPr="00124558">
        <w:t xml:space="preserve">uality </w:t>
      </w:r>
      <w:r w:rsidR="006D2CB0" w:rsidRPr="00124558">
        <w:t>a</w:t>
      </w:r>
      <w:r w:rsidR="00A43AB2" w:rsidRPr="00124558">
        <w:t>ssurance</w:t>
      </w:r>
    </w:p>
    <w:tbl>
      <w:tblPr>
        <w:tblW w:w="952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ntact points - quality assurance"/>
        <w:tblDescription w:val="The table contains contact details (email addresses) for quality and safeguards issues."/>
      </w:tblPr>
      <w:tblGrid>
        <w:gridCol w:w="3233"/>
        <w:gridCol w:w="1249"/>
        <w:gridCol w:w="1249"/>
        <w:gridCol w:w="3796"/>
      </w:tblGrid>
      <w:tr w:rsidR="00124558" w:rsidRPr="00124558" w:rsidTr="00B534D7">
        <w:trPr>
          <w:trHeight w:val="653"/>
        </w:trPr>
        <w:tc>
          <w:tcPr>
            <w:tcW w:w="3233" w:type="dxa"/>
          </w:tcPr>
          <w:p w:rsidR="00A43AB2" w:rsidRPr="00124558" w:rsidRDefault="00A43AB2" w:rsidP="00A762B1">
            <w:pPr>
              <w:rPr>
                <w:rFonts w:cs="Arial"/>
                <w:b/>
                <w:color w:val="auto"/>
              </w:rPr>
            </w:pPr>
            <w:r w:rsidRPr="00124558">
              <w:rPr>
                <w:rFonts w:cs="Arial"/>
                <w:b/>
                <w:color w:val="auto"/>
              </w:rPr>
              <w:t xml:space="preserve">Contact </w:t>
            </w:r>
            <w:r w:rsidR="00A762B1" w:rsidRPr="00124558">
              <w:rPr>
                <w:rFonts w:cs="Arial"/>
                <w:b/>
                <w:color w:val="auto"/>
              </w:rPr>
              <w:t>p</w:t>
            </w:r>
            <w:r w:rsidRPr="00124558">
              <w:rPr>
                <w:rFonts w:cs="Arial"/>
                <w:b/>
                <w:color w:val="auto"/>
              </w:rPr>
              <w:t>oint</w:t>
            </w:r>
          </w:p>
        </w:tc>
        <w:tc>
          <w:tcPr>
            <w:tcW w:w="1249" w:type="dxa"/>
          </w:tcPr>
          <w:p w:rsidR="00A43AB2" w:rsidRPr="00124558" w:rsidRDefault="00A43AB2" w:rsidP="00AA6B31">
            <w:pPr>
              <w:rPr>
                <w:rFonts w:cs="Arial"/>
                <w:b/>
                <w:color w:val="auto"/>
              </w:rPr>
            </w:pPr>
            <w:r w:rsidRPr="00124558">
              <w:rPr>
                <w:rFonts w:cs="Arial"/>
                <w:b/>
                <w:color w:val="auto"/>
              </w:rPr>
              <w:t>By whom</w:t>
            </w:r>
          </w:p>
        </w:tc>
        <w:tc>
          <w:tcPr>
            <w:tcW w:w="1249" w:type="dxa"/>
          </w:tcPr>
          <w:p w:rsidR="00A43AB2" w:rsidRPr="00124558" w:rsidRDefault="00A43AB2" w:rsidP="00AA6B31">
            <w:pPr>
              <w:rPr>
                <w:rFonts w:cs="Arial"/>
                <w:b/>
                <w:color w:val="auto"/>
              </w:rPr>
            </w:pPr>
            <w:r w:rsidRPr="00124558">
              <w:rPr>
                <w:rFonts w:cs="Arial"/>
                <w:b/>
                <w:color w:val="auto"/>
              </w:rPr>
              <w:t>To whom</w:t>
            </w:r>
          </w:p>
        </w:tc>
        <w:tc>
          <w:tcPr>
            <w:tcW w:w="3796" w:type="dxa"/>
          </w:tcPr>
          <w:p w:rsidR="00A43AB2" w:rsidRPr="00124558" w:rsidRDefault="00A43AB2" w:rsidP="00A762B1">
            <w:pPr>
              <w:rPr>
                <w:rFonts w:cs="Arial"/>
                <w:b/>
                <w:color w:val="auto"/>
              </w:rPr>
            </w:pPr>
            <w:r w:rsidRPr="00124558">
              <w:rPr>
                <w:rFonts w:cs="Arial"/>
                <w:b/>
                <w:color w:val="auto"/>
              </w:rPr>
              <w:t xml:space="preserve">Contact </w:t>
            </w:r>
            <w:r w:rsidR="00A762B1" w:rsidRPr="00124558">
              <w:rPr>
                <w:rFonts w:cs="Arial"/>
                <w:b/>
                <w:color w:val="auto"/>
              </w:rPr>
              <w:t>d</w:t>
            </w:r>
            <w:r w:rsidRPr="00124558">
              <w:rPr>
                <w:rFonts w:cs="Arial"/>
                <w:b/>
                <w:color w:val="auto"/>
              </w:rPr>
              <w:t>etails</w:t>
            </w:r>
          </w:p>
        </w:tc>
      </w:tr>
      <w:tr w:rsidR="00124558" w:rsidRPr="00124558" w:rsidTr="00B534D7">
        <w:trPr>
          <w:trHeight w:val="675"/>
        </w:trPr>
        <w:tc>
          <w:tcPr>
            <w:tcW w:w="3233" w:type="dxa"/>
          </w:tcPr>
          <w:p w:rsidR="00A43AB2" w:rsidRPr="00124558" w:rsidRDefault="00B44E5C" w:rsidP="00B534D7">
            <w:pPr>
              <w:rPr>
                <w:rFonts w:cs="Arial"/>
                <w:color w:val="auto"/>
              </w:rPr>
            </w:pPr>
            <w:r w:rsidRPr="00124558">
              <w:rPr>
                <w:rFonts w:cs="Arial"/>
                <w:color w:val="auto"/>
              </w:rPr>
              <w:t>Initiate NT Quality and Safeguard</w:t>
            </w:r>
            <w:r w:rsidR="00695E34">
              <w:rPr>
                <w:rFonts w:cs="Arial"/>
                <w:color w:val="auto"/>
              </w:rPr>
              <w:t>ing</w:t>
            </w:r>
            <w:r w:rsidRPr="00124558">
              <w:rPr>
                <w:rFonts w:cs="Arial"/>
                <w:color w:val="auto"/>
              </w:rPr>
              <w:t xml:space="preserve"> Framework </w:t>
            </w:r>
            <w:r w:rsidR="00B534D7">
              <w:rPr>
                <w:rFonts w:cs="Arial"/>
                <w:color w:val="auto"/>
              </w:rPr>
              <w:t xml:space="preserve">assessment process </w:t>
            </w:r>
          </w:p>
        </w:tc>
        <w:tc>
          <w:tcPr>
            <w:tcW w:w="1249" w:type="dxa"/>
          </w:tcPr>
          <w:p w:rsidR="00A43AB2" w:rsidRPr="00124558" w:rsidRDefault="00A43AB2" w:rsidP="00AA6B31">
            <w:pPr>
              <w:rPr>
                <w:rFonts w:cs="Arial"/>
                <w:color w:val="auto"/>
              </w:rPr>
            </w:pPr>
            <w:r w:rsidRPr="00124558">
              <w:rPr>
                <w:rFonts w:cs="Arial"/>
                <w:color w:val="auto"/>
              </w:rPr>
              <w:t>Provider</w:t>
            </w:r>
            <w:r w:rsidR="00695E34">
              <w:rPr>
                <w:rFonts w:cs="Arial"/>
                <w:color w:val="auto"/>
              </w:rPr>
              <w:t xml:space="preserve"> </w:t>
            </w:r>
          </w:p>
        </w:tc>
        <w:tc>
          <w:tcPr>
            <w:tcW w:w="1249" w:type="dxa"/>
          </w:tcPr>
          <w:p w:rsidR="00A43AB2" w:rsidRPr="00124558" w:rsidRDefault="00F97B51" w:rsidP="00AA6B31">
            <w:pPr>
              <w:rPr>
                <w:rFonts w:cs="Arial"/>
                <w:color w:val="auto"/>
              </w:rPr>
            </w:pPr>
            <w:r w:rsidRPr="00124558">
              <w:rPr>
                <w:rFonts w:cs="Arial"/>
                <w:color w:val="auto"/>
              </w:rPr>
              <w:t>Territory</w:t>
            </w:r>
          </w:p>
        </w:tc>
        <w:tc>
          <w:tcPr>
            <w:tcW w:w="3796" w:type="dxa"/>
          </w:tcPr>
          <w:p w:rsidR="00A43AB2" w:rsidRPr="00124558" w:rsidRDefault="00060B01" w:rsidP="0029788B">
            <w:pPr>
              <w:rPr>
                <w:rStyle w:val="Hyperlink"/>
                <w:rFonts w:cs="Arial"/>
                <w:color w:val="auto"/>
              </w:rPr>
            </w:pPr>
            <w:hyperlink r:id="rId18" w:history="1">
              <w:r w:rsidR="0029788B" w:rsidRPr="00124558">
                <w:rPr>
                  <w:rStyle w:val="Hyperlink"/>
                  <w:rFonts w:cs="Arial"/>
                  <w:color w:val="auto"/>
                </w:rPr>
                <w:t>NDISProviderRegistration@nt.gov.au</w:t>
              </w:r>
            </w:hyperlink>
            <w:r w:rsidR="0029788B" w:rsidRPr="00124558">
              <w:rPr>
                <w:rFonts w:cs="Arial"/>
                <w:color w:val="auto"/>
              </w:rPr>
              <w:t xml:space="preserve"> </w:t>
            </w:r>
          </w:p>
        </w:tc>
      </w:tr>
      <w:tr w:rsidR="00124558" w:rsidRPr="00124558" w:rsidTr="00B534D7">
        <w:trPr>
          <w:trHeight w:val="600"/>
        </w:trPr>
        <w:tc>
          <w:tcPr>
            <w:tcW w:w="3233" w:type="dxa"/>
          </w:tcPr>
          <w:p w:rsidR="00A43AB2" w:rsidRPr="00124558" w:rsidRDefault="00216F5E" w:rsidP="00216F5E">
            <w:pPr>
              <w:rPr>
                <w:rFonts w:cs="Arial"/>
                <w:color w:val="auto"/>
              </w:rPr>
            </w:pPr>
            <w:r>
              <w:rPr>
                <w:rFonts w:cs="Arial"/>
                <w:color w:val="auto"/>
              </w:rPr>
              <w:t>M</w:t>
            </w:r>
            <w:r w:rsidR="00534505">
              <w:rPr>
                <w:rFonts w:cs="Arial"/>
                <w:color w:val="auto"/>
              </w:rPr>
              <w:t>ajor non-compliance</w:t>
            </w:r>
            <w:r w:rsidR="00A43AB2" w:rsidRPr="00124558">
              <w:rPr>
                <w:rFonts w:cs="Arial"/>
                <w:color w:val="auto"/>
              </w:rPr>
              <w:t xml:space="preserve"> </w:t>
            </w:r>
          </w:p>
        </w:tc>
        <w:tc>
          <w:tcPr>
            <w:tcW w:w="1249" w:type="dxa"/>
          </w:tcPr>
          <w:p w:rsidR="00A43AB2" w:rsidRPr="00124558" w:rsidRDefault="00F97B51" w:rsidP="00AA6B31">
            <w:pPr>
              <w:rPr>
                <w:rFonts w:cs="Arial"/>
                <w:color w:val="auto"/>
              </w:rPr>
            </w:pPr>
            <w:r w:rsidRPr="00124558">
              <w:rPr>
                <w:rFonts w:cs="Arial"/>
                <w:color w:val="auto"/>
              </w:rPr>
              <w:t>Territory</w:t>
            </w:r>
          </w:p>
        </w:tc>
        <w:tc>
          <w:tcPr>
            <w:tcW w:w="1249" w:type="dxa"/>
          </w:tcPr>
          <w:p w:rsidR="00A43AB2" w:rsidRPr="00124558" w:rsidRDefault="00A43AB2" w:rsidP="00AA6B31">
            <w:pPr>
              <w:rPr>
                <w:rFonts w:cs="Arial"/>
                <w:color w:val="auto"/>
              </w:rPr>
            </w:pPr>
            <w:r w:rsidRPr="00124558">
              <w:rPr>
                <w:rFonts w:cs="Arial"/>
                <w:color w:val="auto"/>
              </w:rPr>
              <w:t>NDIA</w:t>
            </w:r>
          </w:p>
        </w:tc>
        <w:tc>
          <w:tcPr>
            <w:tcW w:w="3796" w:type="dxa"/>
          </w:tcPr>
          <w:p w:rsidR="00A43AB2" w:rsidRPr="00124558" w:rsidRDefault="00564109" w:rsidP="00A762B1">
            <w:pPr>
              <w:rPr>
                <w:rStyle w:val="Hyperlink"/>
                <w:rFonts w:cs="Arial"/>
                <w:color w:val="auto"/>
              </w:rPr>
            </w:pPr>
            <w:r w:rsidRPr="00124558">
              <w:rPr>
                <w:rStyle w:val="Hyperlink"/>
                <w:rFonts w:cs="Arial"/>
                <w:color w:val="auto"/>
              </w:rPr>
              <w:t>Quality.safeguards@ndis.gov.au</w:t>
            </w:r>
          </w:p>
        </w:tc>
      </w:tr>
      <w:tr w:rsidR="00124558" w:rsidRPr="00124558" w:rsidTr="00B534D7">
        <w:trPr>
          <w:trHeight w:val="600"/>
        </w:trPr>
        <w:tc>
          <w:tcPr>
            <w:tcW w:w="3233" w:type="dxa"/>
          </w:tcPr>
          <w:p w:rsidR="00A43AB2" w:rsidRPr="00124558" w:rsidRDefault="00A762B1" w:rsidP="008D2783">
            <w:pPr>
              <w:rPr>
                <w:rFonts w:cs="Arial"/>
                <w:color w:val="auto"/>
              </w:rPr>
            </w:pPr>
            <w:r w:rsidRPr="00124558">
              <w:rPr>
                <w:rFonts w:cs="Arial"/>
                <w:color w:val="auto"/>
              </w:rPr>
              <w:t xml:space="preserve">Advice </w:t>
            </w:r>
            <w:r w:rsidR="008D2783">
              <w:rPr>
                <w:rFonts w:cs="Arial"/>
                <w:color w:val="auto"/>
              </w:rPr>
              <w:t xml:space="preserve">that provider no longer meets requirements of the NT Q&amp;S Framework (triggering s.72 of </w:t>
            </w:r>
            <w:r w:rsidR="008D2783" w:rsidRPr="00C81566">
              <w:rPr>
                <w:rFonts w:cs="Arial"/>
                <w:i/>
                <w:color w:val="auto"/>
              </w:rPr>
              <w:t>NDIS Act 2013</w:t>
            </w:r>
            <w:r w:rsidR="008D2783">
              <w:rPr>
                <w:rFonts w:cs="Arial"/>
                <w:color w:val="auto"/>
              </w:rPr>
              <w:t>)</w:t>
            </w:r>
          </w:p>
        </w:tc>
        <w:tc>
          <w:tcPr>
            <w:tcW w:w="1249" w:type="dxa"/>
          </w:tcPr>
          <w:p w:rsidR="00A43AB2" w:rsidRPr="00124558" w:rsidRDefault="00F97B51" w:rsidP="00AA6B31">
            <w:pPr>
              <w:rPr>
                <w:rFonts w:cs="Arial"/>
                <w:color w:val="auto"/>
              </w:rPr>
            </w:pPr>
            <w:r w:rsidRPr="00124558">
              <w:rPr>
                <w:rFonts w:cs="Arial"/>
                <w:color w:val="auto"/>
              </w:rPr>
              <w:t>Territory</w:t>
            </w:r>
          </w:p>
        </w:tc>
        <w:tc>
          <w:tcPr>
            <w:tcW w:w="1249" w:type="dxa"/>
          </w:tcPr>
          <w:p w:rsidR="00A43AB2" w:rsidRPr="00124558" w:rsidRDefault="00A43AB2" w:rsidP="00AA6B31">
            <w:pPr>
              <w:rPr>
                <w:rFonts w:cs="Arial"/>
                <w:color w:val="auto"/>
              </w:rPr>
            </w:pPr>
            <w:r w:rsidRPr="00124558">
              <w:rPr>
                <w:rFonts w:cs="Arial"/>
                <w:color w:val="auto"/>
              </w:rPr>
              <w:t>NDIA</w:t>
            </w:r>
          </w:p>
        </w:tc>
        <w:tc>
          <w:tcPr>
            <w:tcW w:w="3796" w:type="dxa"/>
          </w:tcPr>
          <w:p w:rsidR="00A43AB2" w:rsidRPr="00124558" w:rsidRDefault="00564109" w:rsidP="00A762B1">
            <w:pPr>
              <w:rPr>
                <w:rStyle w:val="Hyperlink"/>
                <w:rFonts w:cs="Arial"/>
                <w:color w:val="auto"/>
              </w:rPr>
            </w:pPr>
            <w:r w:rsidRPr="00124558">
              <w:rPr>
                <w:rStyle w:val="Hyperlink"/>
                <w:rFonts w:cs="Arial"/>
                <w:color w:val="auto"/>
              </w:rPr>
              <w:t>Quality.safeguards@ndis.gov.au</w:t>
            </w:r>
          </w:p>
        </w:tc>
      </w:tr>
    </w:tbl>
    <w:p w:rsidR="00A43AB2" w:rsidRPr="00124558" w:rsidRDefault="00A43AB2" w:rsidP="00A43AB2">
      <w:pPr>
        <w:rPr>
          <w:rFonts w:cs="Arial"/>
          <w:color w:val="auto"/>
        </w:rPr>
      </w:pPr>
      <w:r w:rsidRPr="00124558">
        <w:rPr>
          <w:rFonts w:cs="Arial"/>
          <w:color w:val="auto"/>
        </w:rPr>
        <w:br w:type="page"/>
      </w:r>
    </w:p>
    <w:p w:rsidR="00A43AB2" w:rsidRPr="00124558" w:rsidRDefault="006D2CB0" w:rsidP="00876883">
      <w:pPr>
        <w:pStyle w:val="Heading1"/>
        <w:rPr>
          <w:rFonts w:cs="Arial"/>
          <w:color w:val="auto"/>
        </w:rPr>
      </w:pPr>
      <w:r w:rsidRPr="00124558">
        <w:rPr>
          <w:rFonts w:cs="Arial"/>
          <w:color w:val="auto"/>
        </w:rPr>
        <w:lastRenderedPageBreak/>
        <w:t xml:space="preserve"> </w:t>
      </w:r>
      <w:bookmarkStart w:id="18" w:name="_Toc513450477"/>
      <w:r w:rsidR="00A43AB2" w:rsidRPr="00124558">
        <w:rPr>
          <w:rFonts w:cs="Arial"/>
          <w:color w:val="auto"/>
        </w:rPr>
        <w:t xml:space="preserve">Criminal </w:t>
      </w:r>
      <w:r w:rsidRPr="00124558">
        <w:rPr>
          <w:rFonts w:cs="Arial"/>
          <w:color w:val="auto"/>
        </w:rPr>
        <w:t>h</w:t>
      </w:r>
      <w:r w:rsidR="00A43AB2" w:rsidRPr="00124558">
        <w:rPr>
          <w:rFonts w:cs="Arial"/>
          <w:color w:val="auto"/>
        </w:rPr>
        <w:t xml:space="preserve">istory </w:t>
      </w:r>
      <w:r w:rsidRPr="00124558">
        <w:rPr>
          <w:rFonts w:cs="Arial"/>
          <w:color w:val="auto"/>
        </w:rPr>
        <w:t>s</w:t>
      </w:r>
      <w:r w:rsidR="00A43AB2" w:rsidRPr="00124558">
        <w:rPr>
          <w:rFonts w:cs="Arial"/>
          <w:color w:val="auto"/>
        </w:rPr>
        <w:t>creening</w:t>
      </w:r>
      <w:bookmarkEnd w:id="18"/>
    </w:p>
    <w:p w:rsidR="00A43AB2" w:rsidRPr="00124558" w:rsidRDefault="006D2CB0" w:rsidP="001D0710">
      <w:pPr>
        <w:pStyle w:val="Heading2"/>
      </w:pPr>
      <w:r w:rsidRPr="00124558">
        <w:t xml:space="preserve"> </w:t>
      </w:r>
      <w:bookmarkStart w:id="19" w:name="_Toc513450478"/>
      <w:r w:rsidR="00126F57" w:rsidRPr="00124558">
        <w:t>NT</w:t>
      </w:r>
      <w:r w:rsidR="00EB5D9B" w:rsidRPr="00124558">
        <w:t xml:space="preserve"> c</w:t>
      </w:r>
      <w:r w:rsidR="00A43AB2" w:rsidRPr="00124558">
        <w:t xml:space="preserve">riminal </w:t>
      </w:r>
      <w:r w:rsidRPr="00124558">
        <w:t>h</w:t>
      </w:r>
      <w:r w:rsidR="00A43AB2" w:rsidRPr="00124558">
        <w:t xml:space="preserve">istory </w:t>
      </w:r>
      <w:r w:rsidRPr="00124558">
        <w:t>s</w:t>
      </w:r>
      <w:r w:rsidR="00A43AB2" w:rsidRPr="00124558">
        <w:t>creening</w:t>
      </w:r>
      <w:bookmarkEnd w:id="19"/>
      <w:r w:rsidR="00A43AB2" w:rsidRPr="00124558">
        <w:t xml:space="preserve"> </w:t>
      </w:r>
    </w:p>
    <w:p w:rsidR="00DA1600" w:rsidRPr="00124558" w:rsidRDefault="00DA1600" w:rsidP="00A43AB2">
      <w:pPr>
        <w:rPr>
          <w:rFonts w:eastAsia="Calibri" w:cs="Arial"/>
          <w:color w:val="auto"/>
          <w:szCs w:val="22"/>
        </w:rPr>
      </w:pPr>
      <w:r w:rsidRPr="00124558">
        <w:rPr>
          <w:rFonts w:eastAsia="Calibri" w:cs="Arial"/>
          <w:color w:val="auto"/>
          <w:szCs w:val="22"/>
        </w:rPr>
        <w:t xml:space="preserve">Provider must act in accordance with all relevant Commonwealth and NT legislation, policies and guidelines, in regards to workforce screening, including </w:t>
      </w:r>
      <w:r w:rsidRPr="00124558">
        <w:rPr>
          <w:rFonts w:cs="Arial"/>
          <w:color w:val="auto"/>
          <w:szCs w:val="22"/>
          <w:lang w:eastAsia="en-AU"/>
        </w:rPr>
        <w:t xml:space="preserve">a criminal history check through a national police check and obtaining a working with children clearance for the NT (Ochre card). </w:t>
      </w:r>
    </w:p>
    <w:p w:rsidR="00A43AB2" w:rsidRPr="00124558" w:rsidRDefault="006D2CB0" w:rsidP="001D0710">
      <w:pPr>
        <w:pStyle w:val="Heading2"/>
      </w:pPr>
      <w:r w:rsidRPr="00124558">
        <w:t xml:space="preserve"> </w:t>
      </w:r>
      <w:bookmarkStart w:id="20" w:name="_Toc513450479"/>
      <w:r w:rsidR="00EB5D9B" w:rsidRPr="00124558">
        <w:t>D</w:t>
      </w:r>
      <w:r w:rsidR="00A43AB2" w:rsidRPr="00124558">
        <w:t xml:space="preserve">uring </w:t>
      </w:r>
      <w:r w:rsidRPr="00124558">
        <w:t>t</w:t>
      </w:r>
      <w:r w:rsidR="00A43AB2" w:rsidRPr="00124558">
        <w:t>ransition</w:t>
      </w:r>
      <w:bookmarkEnd w:id="20"/>
      <w:r w:rsidR="00A43AB2" w:rsidRPr="00124558">
        <w:t xml:space="preserve"> </w:t>
      </w:r>
    </w:p>
    <w:p w:rsidR="0037608D" w:rsidRPr="00124558" w:rsidRDefault="00DA1600" w:rsidP="001D0710">
      <w:pPr>
        <w:spacing w:before="130" w:after="130"/>
        <w:rPr>
          <w:rFonts w:cs="Arial"/>
          <w:color w:val="auto"/>
        </w:rPr>
      </w:pPr>
      <w:r w:rsidRPr="00124558">
        <w:rPr>
          <w:rFonts w:cs="Arial"/>
          <w:color w:val="auto"/>
        </w:rPr>
        <w:t xml:space="preserve">Provider must act in accordance with all relevant Commonwealth and NT legislation, policies and guidelines, in regards to workforce screening.  This includes the mandatory good practice indicators outlined in the ‘Recruitment, Selection and Induction’ section of the Domains, Elements and Indicators Guide of the </w:t>
      </w:r>
      <w:r w:rsidR="00695E34">
        <w:rPr>
          <w:rFonts w:cs="Arial"/>
          <w:color w:val="auto"/>
        </w:rPr>
        <w:t xml:space="preserve">NT </w:t>
      </w:r>
      <w:r w:rsidRPr="00124558">
        <w:rPr>
          <w:rFonts w:cs="Arial"/>
          <w:color w:val="auto"/>
        </w:rPr>
        <w:t>Framework.</w:t>
      </w:r>
    </w:p>
    <w:p w:rsidR="00DA1600" w:rsidRDefault="00DA1600" w:rsidP="001D0710">
      <w:pPr>
        <w:spacing w:before="130" w:after="130"/>
        <w:rPr>
          <w:rFonts w:cs="Arial"/>
          <w:color w:val="auto"/>
        </w:rPr>
      </w:pPr>
      <w:r w:rsidRPr="00124558">
        <w:rPr>
          <w:rFonts w:cs="Arial"/>
          <w:color w:val="auto"/>
        </w:rPr>
        <w:t>Providers must ensure that all staff, volunteers and executive decision makers have undergone appropriate screening checks before commencing work</w:t>
      </w:r>
      <w:r w:rsidR="00695E34">
        <w:rPr>
          <w:rFonts w:cs="Arial"/>
          <w:color w:val="auto"/>
        </w:rPr>
        <w:t>ing</w:t>
      </w:r>
      <w:r w:rsidRPr="00124558">
        <w:rPr>
          <w:rFonts w:cs="Arial"/>
          <w:color w:val="auto"/>
        </w:rPr>
        <w:t xml:space="preserve"> with </w:t>
      </w:r>
      <w:r w:rsidR="00695E34">
        <w:rPr>
          <w:rFonts w:cs="Arial"/>
          <w:color w:val="auto"/>
        </w:rPr>
        <w:t>their o</w:t>
      </w:r>
      <w:r w:rsidRPr="00124558">
        <w:rPr>
          <w:rFonts w:cs="Arial"/>
          <w:color w:val="auto"/>
        </w:rPr>
        <w:t xml:space="preserve">rganisation.  This includes a criminal history check through a national police check and obtaining a working with children clearance for the NT (Ochre card). </w:t>
      </w:r>
    </w:p>
    <w:p w:rsidR="008D2783" w:rsidRPr="00C81566" w:rsidRDefault="001D0710" w:rsidP="001D0710">
      <w:pPr>
        <w:pStyle w:val="Heading3"/>
      </w:pPr>
      <w:r>
        <w:t xml:space="preserve"> </w:t>
      </w:r>
      <w:r w:rsidR="008D2783">
        <w:t>Workforce</w:t>
      </w:r>
    </w:p>
    <w:p w:rsidR="00DA1600" w:rsidRPr="00124558" w:rsidRDefault="00DA1600" w:rsidP="001D0710">
      <w:pPr>
        <w:spacing w:before="130" w:after="130"/>
        <w:rPr>
          <w:rFonts w:cs="Arial"/>
          <w:color w:val="auto"/>
        </w:rPr>
      </w:pPr>
      <w:r w:rsidRPr="00124558">
        <w:rPr>
          <w:rFonts w:cs="Arial"/>
          <w:color w:val="auto"/>
        </w:rPr>
        <w:t>Providers must ensure that all staff, volunteers and executive decision makers are suitable for the roles they are performing. In particular, providers must ensure services are delivered by an appropriately skilled workforce that can support the health, developmental, complex care and behavioural needs of clients. Staff providing care should have a minimum qualification level of Certificate III Community Services Disability or equivalent, or a supported training plan to ensure that they achieve it in a reasonable timeframe. Where staff have no formal qualifications, they should have demonstrated skills and experience relevant to their duties.</w:t>
      </w:r>
    </w:p>
    <w:p w:rsidR="00DA1600" w:rsidRPr="00124558" w:rsidRDefault="00DA1600" w:rsidP="001D0710">
      <w:pPr>
        <w:spacing w:before="130" w:after="130"/>
        <w:rPr>
          <w:rFonts w:cs="Arial"/>
          <w:color w:val="auto"/>
        </w:rPr>
      </w:pPr>
      <w:r w:rsidRPr="00124558">
        <w:rPr>
          <w:rFonts w:cs="Arial"/>
          <w:color w:val="auto"/>
        </w:rPr>
        <w:t xml:space="preserve">Providers must ensure that all staff </w:t>
      </w:r>
      <w:r w:rsidR="009F3085">
        <w:rPr>
          <w:rFonts w:cs="Arial"/>
          <w:color w:val="auto"/>
        </w:rPr>
        <w:t>have</w:t>
      </w:r>
      <w:r w:rsidRPr="00124558">
        <w:rPr>
          <w:rFonts w:cs="Arial"/>
          <w:color w:val="auto"/>
        </w:rPr>
        <w:t xml:space="preserve"> appropriate support from supervisors with a minimum of Certificate IV Community Services Disability or equivalent.</w:t>
      </w:r>
    </w:p>
    <w:p w:rsidR="00A43AB2" w:rsidRPr="00124558" w:rsidRDefault="008E4999" w:rsidP="001D0710">
      <w:pPr>
        <w:pStyle w:val="Heading3"/>
      </w:pPr>
      <w:r>
        <w:t xml:space="preserve"> </w:t>
      </w:r>
      <w:r w:rsidR="00A43AB2" w:rsidRPr="00124558">
        <w:t>Non-compliance</w:t>
      </w:r>
    </w:p>
    <w:p w:rsidR="00A43AB2" w:rsidRPr="00124558" w:rsidRDefault="00BA7FE5" w:rsidP="00A43AB2">
      <w:pPr>
        <w:rPr>
          <w:rFonts w:cs="Arial"/>
          <w:color w:val="auto"/>
        </w:rPr>
      </w:pPr>
      <w:r w:rsidRPr="00124558">
        <w:rPr>
          <w:rFonts w:cs="Arial"/>
          <w:color w:val="auto"/>
        </w:rPr>
        <w:t xml:space="preserve">If an </w:t>
      </w:r>
      <w:r w:rsidR="008A10BC" w:rsidRPr="00124558">
        <w:rPr>
          <w:rFonts w:cs="Arial"/>
          <w:color w:val="auto"/>
        </w:rPr>
        <w:t>NDIS provider of specialist disability services</w:t>
      </w:r>
      <w:r w:rsidR="00A43AB2" w:rsidRPr="00124558">
        <w:rPr>
          <w:rFonts w:cs="Arial"/>
          <w:color w:val="auto"/>
        </w:rPr>
        <w:t xml:space="preserve"> </w:t>
      </w:r>
      <w:r w:rsidRPr="00124558">
        <w:rPr>
          <w:rFonts w:cs="Arial"/>
          <w:color w:val="auto"/>
        </w:rPr>
        <w:t xml:space="preserve">fails </w:t>
      </w:r>
      <w:r w:rsidR="00A43AB2" w:rsidRPr="00124558">
        <w:rPr>
          <w:rFonts w:cs="Arial"/>
          <w:color w:val="auto"/>
        </w:rPr>
        <w:t>to comply with the</w:t>
      </w:r>
      <w:r w:rsidRPr="00124558">
        <w:rPr>
          <w:rFonts w:cs="Arial"/>
          <w:color w:val="auto"/>
        </w:rPr>
        <w:t xml:space="preserve"> criminal history</w:t>
      </w:r>
      <w:r w:rsidR="00A43AB2" w:rsidRPr="00124558">
        <w:rPr>
          <w:rFonts w:cs="Arial"/>
          <w:color w:val="auto"/>
        </w:rPr>
        <w:t xml:space="preserve"> screening requirements</w:t>
      </w:r>
      <w:r w:rsidRPr="00124558">
        <w:rPr>
          <w:rFonts w:cs="Arial"/>
          <w:color w:val="auto"/>
        </w:rPr>
        <w:t xml:space="preserve">, </w:t>
      </w:r>
      <w:r w:rsidR="008D2783">
        <w:rPr>
          <w:rFonts w:cs="Arial"/>
          <w:color w:val="auto"/>
        </w:rPr>
        <w:t xml:space="preserve">they no longer meet the requirements of the NT Quality and Safeguards Framework and </w:t>
      </w:r>
      <w:r w:rsidRPr="00124558">
        <w:rPr>
          <w:rFonts w:cs="Arial"/>
          <w:color w:val="auto"/>
        </w:rPr>
        <w:t xml:space="preserve">the </w:t>
      </w:r>
      <w:r w:rsidR="0037608D" w:rsidRPr="00124558">
        <w:rPr>
          <w:rFonts w:cs="Arial"/>
          <w:color w:val="auto"/>
        </w:rPr>
        <w:t>NT Government</w:t>
      </w:r>
      <w:r w:rsidRPr="00124558">
        <w:rPr>
          <w:rFonts w:cs="Arial"/>
          <w:color w:val="auto"/>
        </w:rPr>
        <w:t xml:space="preserve"> </w:t>
      </w:r>
      <w:r w:rsidR="009F3085">
        <w:rPr>
          <w:rFonts w:cs="Arial"/>
          <w:color w:val="auto"/>
        </w:rPr>
        <w:t>may</w:t>
      </w:r>
      <w:r w:rsidR="009F3085" w:rsidRPr="00124558">
        <w:rPr>
          <w:rFonts w:cs="Arial"/>
          <w:color w:val="auto"/>
        </w:rPr>
        <w:t xml:space="preserve"> </w:t>
      </w:r>
      <w:r w:rsidR="009F3085">
        <w:rPr>
          <w:rFonts w:cs="Arial"/>
          <w:color w:val="auto"/>
        </w:rPr>
        <w:t xml:space="preserve">rescind </w:t>
      </w:r>
      <w:r w:rsidR="006A5876">
        <w:rPr>
          <w:rFonts w:cs="Arial"/>
          <w:color w:val="auto"/>
        </w:rPr>
        <w:t xml:space="preserve">its recommendation </w:t>
      </w:r>
      <w:r w:rsidR="009F3085">
        <w:rPr>
          <w:rFonts w:cs="Arial"/>
          <w:color w:val="auto"/>
        </w:rPr>
        <w:t>for NDIS registration and advise the NDIA.</w:t>
      </w:r>
      <w:r w:rsidR="00A43AB2" w:rsidRPr="00124558">
        <w:rPr>
          <w:rFonts w:cs="Arial"/>
          <w:color w:val="auto"/>
        </w:rPr>
        <w:t xml:space="preserve"> </w:t>
      </w:r>
    </w:p>
    <w:p w:rsidR="0037608D" w:rsidRPr="00124558" w:rsidRDefault="0037608D" w:rsidP="00A43AB2">
      <w:pPr>
        <w:rPr>
          <w:rFonts w:cs="Arial"/>
          <w:color w:val="auto"/>
        </w:rPr>
      </w:pPr>
    </w:p>
    <w:p w:rsidR="00773BF7" w:rsidRPr="00124558" w:rsidRDefault="00773BF7">
      <w:pPr>
        <w:spacing w:before="0" w:after="0"/>
        <w:rPr>
          <w:rFonts w:cs="Arial"/>
          <w:color w:val="auto"/>
        </w:rPr>
      </w:pPr>
      <w:r w:rsidRPr="00124558">
        <w:rPr>
          <w:rFonts w:cs="Arial"/>
          <w:color w:val="auto"/>
        </w:rPr>
        <w:br w:type="page"/>
      </w:r>
    </w:p>
    <w:p w:rsidR="00C244AE" w:rsidRPr="00124558" w:rsidRDefault="00054A9A" w:rsidP="00876883">
      <w:pPr>
        <w:pStyle w:val="Heading1"/>
        <w:rPr>
          <w:rFonts w:cs="Arial"/>
          <w:color w:val="auto"/>
        </w:rPr>
      </w:pPr>
      <w:r w:rsidRPr="00124558">
        <w:rPr>
          <w:rFonts w:cs="Arial"/>
          <w:color w:val="auto"/>
        </w:rPr>
        <w:lastRenderedPageBreak/>
        <w:t xml:space="preserve"> </w:t>
      </w:r>
      <w:bookmarkStart w:id="21" w:name="_Toc513450480"/>
      <w:r w:rsidR="00C244AE" w:rsidRPr="00124558">
        <w:rPr>
          <w:rFonts w:cs="Arial"/>
          <w:color w:val="auto"/>
        </w:rPr>
        <w:t>Complaints</w:t>
      </w:r>
      <w:bookmarkEnd w:id="21"/>
    </w:p>
    <w:p w:rsidR="00C244AE" w:rsidRPr="00124558" w:rsidRDefault="00C244AE" w:rsidP="001D0710">
      <w:pPr>
        <w:pStyle w:val="Heading2"/>
      </w:pPr>
      <w:bookmarkStart w:id="22" w:name="_Toc513450481"/>
      <w:r w:rsidRPr="00124558">
        <w:t>Commonwealth</w:t>
      </w:r>
      <w:r w:rsidR="00EB5D9B" w:rsidRPr="00124558">
        <w:t xml:space="preserve"> complaints systems</w:t>
      </w:r>
      <w:r w:rsidR="00BA07AA" w:rsidRPr="00124558">
        <w:t xml:space="preserve"> during transition</w:t>
      </w:r>
      <w:bookmarkEnd w:id="22"/>
    </w:p>
    <w:p w:rsidR="00027671" w:rsidRPr="00124558" w:rsidRDefault="00BA7FE5" w:rsidP="00680FE6">
      <w:pPr>
        <w:pStyle w:val="Normal-QLD"/>
      </w:pPr>
      <w:r w:rsidRPr="00124558">
        <w:t xml:space="preserve">Any person </w:t>
      </w:r>
      <w:r w:rsidR="00C244AE" w:rsidRPr="00124558">
        <w:t xml:space="preserve">who </w:t>
      </w:r>
      <w:r w:rsidRPr="00124558">
        <w:t>is</w:t>
      </w:r>
      <w:r w:rsidR="00C244AE" w:rsidRPr="00124558">
        <w:t xml:space="preserve"> not satisfied with their service provider's internal complaints and disputes mechanisms can contact the </w:t>
      </w:r>
      <w:hyperlink r:id="rId19" w:history="1">
        <w:r w:rsidR="00C244AE" w:rsidRPr="00124558">
          <w:rPr>
            <w:rStyle w:val="Hyperlink"/>
            <w:rFonts w:cs="Arial"/>
            <w:color w:val="auto"/>
          </w:rPr>
          <w:t>Complaints Resolution and Referral Service</w:t>
        </w:r>
      </w:hyperlink>
      <w:r w:rsidRPr="00124558">
        <w:t>.</w:t>
      </w:r>
      <w:r w:rsidR="00C244AE" w:rsidRPr="00124558">
        <w:t xml:space="preserve"> </w:t>
      </w:r>
      <w:r w:rsidRPr="00124558">
        <w:t>Find more information about the service at</w:t>
      </w:r>
      <w:r w:rsidR="00967975" w:rsidRPr="00124558">
        <w:t xml:space="preserve"> online at</w:t>
      </w:r>
      <w:r w:rsidR="00B20808" w:rsidRPr="00124558">
        <w:t xml:space="preserve"> www.crrs.net.au </w:t>
      </w:r>
    </w:p>
    <w:p w:rsidR="00C244AE" w:rsidRPr="00124558" w:rsidRDefault="00C244AE" w:rsidP="00680FE6">
      <w:pPr>
        <w:pStyle w:val="Normal-QLD"/>
        <w:rPr>
          <w:rStyle w:val="Hyperlink"/>
          <w:rFonts w:cs="Arial"/>
          <w:color w:val="auto"/>
        </w:rPr>
      </w:pPr>
      <w:r w:rsidRPr="00124558">
        <w:t xml:space="preserve">The National Disability Abuse and Neglect </w:t>
      </w:r>
      <w:r w:rsidR="00BA7FE5" w:rsidRPr="00124558">
        <w:t xml:space="preserve">Hotline </w:t>
      </w:r>
      <w:r w:rsidRPr="00124558">
        <w:t xml:space="preserve">is a telephone service for reporting cases of </w:t>
      </w:r>
      <w:r w:rsidR="00BA7FE5" w:rsidRPr="00124558">
        <w:t xml:space="preserve">abuse and </w:t>
      </w:r>
      <w:r w:rsidRPr="00124558">
        <w:t>neglect of people with disability in the community. If a caller reports abuse or neglect</w:t>
      </w:r>
      <w:r w:rsidR="00654EF5" w:rsidRPr="00124558">
        <w:t xml:space="preserve"> in any situation</w:t>
      </w:r>
      <w:r w:rsidRPr="00124558">
        <w:t>, the Hotline will refer the report to an agency able to investigate or otherwise address the report, such as an ombudsman or complaints-handling body. The Hotline provides support to callers on how a complaint about abuse and neglect might be raised and resolved at the local level.</w:t>
      </w:r>
      <w:r w:rsidR="00BA7FE5" w:rsidRPr="00124558">
        <w:t xml:space="preserve"> Find more information about the Hotline at </w:t>
      </w:r>
      <w:r w:rsidR="00BA7FE5" w:rsidRPr="00124558">
        <w:rPr>
          <w:rStyle w:val="Hyperlink"/>
          <w:rFonts w:cs="Arial"/>
          <w:color w:val="auto"/>
        </w:rPr>
        <w:t>www.disabilityhotline.net.au/general/contact-us/</w:t>
      </w:r>
    </w:p>
    <w:p w:rsidR="00C244AE" w:rsidRPr="00124558" w:rsidRDefault="00C244AE" w:rsidP="00680FE6">
      <w:pPr>
        <w:pStyle w:val="Normal-QLD"/>
      </w:pPr>
      <w:r w:rsidRPr="00124558">
        <w:t xml:space="preserve">The </w:t>
      </w:r>
      <w:r w:rsidR="00BA7FE5" w:rsidRPr="00124558">
        <w:t>Complaints Resolution and Referral Service</w:t>
      </w:r>
      <w:r w:rsidR="00BA7FE5" w:rsidRPr="00124558" w:rsidDel="00BA7FE5">
        <w:t xml:space="preserve"> </w:t>
      </w:r>
      <w:r w:rsidRPr="00124558">
        <w:t xml:space="preserve">and the National Disability Abuse and Neglect </w:t>
      </w:r>
      <w:r w:rsidR="006B7E5D" w:rsidRPr="00124558">
        <w:t>Hotline</w:t>
      </w:r>
      <w:r w:rsidRPr="00124558">
        <w:t xml:space="preserve"> will operate through </w:t>
      </w:r>
      <w:r w:rsidR="00027671" w:rsidRPr="00124558">
        <w:t xml:space="preserve">NDIS </w:t>
      </w:r>
      <w:r w:rsidRPr="00124558">
        <w:t xml:space="preserve">transition. </w:t>
      </w:r>
    </w:p>
    <w:p w:rsidR="00C244AE" w:rsidRPr="00124558" w:rsidRDefault="00C244AE" w:rsidP="00680FE6">
      <w:pPr>
        <w:pStyle w:val="Normal-QLD"/>
      </w:pPr>
      <w:r w:rsidRPr="00124558">
        <w:t>The Commonwealth Ombudsman can investigate complaints about the actions and decisions of Australian Government agenc</w:t>
      </w:r>
      <w:r w:rsidR="006B7E5D" w:rsidRPr="00124558">
        <w:t>y</w:t>
      </w:r>
      <w:r w:rsidRPr="00124558">
        <w:t xml:space="preserve"> actions and decisions to see if they are wrong, unjust, unlawful, discriminatory or unfair. The Ombudsman also seeks remedies for </w:t>
      </w:r>
      <w:r w:rsidR="006B7E5D" w:rsidRPr="00124558">
        <w:t xml:space="preserve">people </w:t>
      </w:r>
      <w:r w:rsidRPr="00124558">
        <w:t xml:space="preserve">affected by administrative deficiencies and acts to improve public administration. </w:t>
      </w:r>
    </w:p>
    <w:p w:rsidR="00C244AE" w:rsidRPr="00124558" w:rsidRDefault="00C244AE" w:rsidP="00680FE6">
      <w:pPr>
        <w:pStyle w:val="Normal-QLD"/>
      </w:pPr>
      <w:r w:rsidRPr="00124558">
        <w:t xml:space="preserve">The Ombudsman has strong investigatory powers. If required, officers working in government agencies must produce documents and answer questions under oath during Ombudsman investigations. </w:t>
      </w:r>
    </w:p>
    <w:p w:rsidR="00680FE6" w:rsidRPr="00124558" w:rsidRDefault="00054A9A" w:rsidP="001D0710">
      <w:pPr>
        <w:pStyle w:val="Heading2"/>
      </w:pPr>
      <w:r w:rsidRPr="00124558">
        <w:t xml:space="preserve"> </w:t>
      </w:r>
      <w:bookmarkStart w:id="23" w:name="_Toc513450482"/>
      <w:r w:rsidR="0037608D" w:rsidRPr="00124558">
        <w:t>NT</w:t>
      </w:r>
      <w:r w:rsidR="00EB5D9B" w:rsidRPr="00124558">
        <w:t xml:space="preserve"> c</w:t>
      </w:r>
      <w:r w:rsidR="00027671" w:rsidRPr="00124558">
        <w:t xml:space="preserve">omplaints </w:t>
      </w:r>
      <w:r w:rsidR="00EB5D9B" w:rsidRPr="00124558">
        <w:t>systems</w:t>
      </w:r>
      <w:bookmarkEnd w:id="23"/>
      <w:r w:rsidR="00C244AE" w:rsidRPr="00124558">
        <w:t xml:space="preserve"> </w:t>
      </w:r>
    </w:p>
    <w:p w:rsidR="00B20808" w:rsidRPr="00124558" w:rsidRDefault="00654EF5" w:rsidP="00B20808">
      <w:pPr>
        <w:pStyle w:val="Normal-QLD"/>
      </w:pPr>
      <w:r w:rsidRPr="00124558">
        <w:t xml:space="preserve">The </w:t>
      </w:r>
      <w:r w:rsidR="0037608D" w:rsidRPr="00124558">
        <w:t>NT</w:t>
      </w:r>
      <w:r w:rsidR="006B7E5D" w:rsidRPr="00124558">
        <w:t xml:space="preserve"> </w:t>
      </w:r>
      <w:r w:rsidR="00027671" w:rsidRPr="00124558">
        <w:t>Q</w:t>
      </w:r>
      <w:r w:rsidR="006B7E5D" w:rsidRPr="00124558">
        <w:t>uality</w:t>
      </w:r>
      <w:r w:rsidR="0037608D" w:rsidRPr="00124558">
        <w:t xml:space="preserve"> and Safeguards</w:t>
      </w:r>
      <w:r w:rsidR="006B7E5D" w:rsidRPr="00124558">
        <w:t xml:space="preserve"> </w:t>
      </w:r>
      <w:r w:rsidR="00027671" w:rsidRPr="00124558">
        <w:t>F</w:t>
      </w:r>
      <w:r w:rsidR="006B7E5D" w:rsidRPr="00124558">
        <w:t>ramework</w:t>
      </w:r>
      <w:r w:rsidR="00C244AE" w:rsidRPr="00124558">
        <w:t xml:space="preserve"> requires all </w:t>
      </w:r>
      <w:r w:rsidR="00083E02" w:rsidRPr="00124558">
        <w:t xml:space="preserve">NDIS </w:t>
      </w:r>
      <w:r w:rsidR="006B7E5D" w:rsidRPr="00124558">
        <w:t xml:space="preserve">providers of </w:t>
      </w:r>
      <w:r w:rsidR="00C244AE" w:rsidRPr="00124558">
        <w:t>specialist disability service</w:t>
      </w:r>
      <w:r w:rsidR="006B7E5D" w:rsidRPr="00124558">
        <w:t>s</w:t>
      </w:r>
      <w:r w:rsidR="00C244AE" w:rsidRPr="00124558">
        <w:t xml:space="preserve"> to establish and operate a clear and accessible complaints system to receive and resolve complaints about the services they provide. The service provider’s complaints system should include a mechanism to advise their service users of their right to complain to the </w:t>
      </w:r>
      <w:r w:rsidR="006A5876">
        <w:t>Health and Community Services Complaints Commission</w:t>
      </w:r>
      <w:r w:rsidR="006A5876" w:rsidRPr="00124558">
        <w:t xml:space="preserve"> </w:t>
      </w:r>
      <w:r w:rsidR="00C244AE" w:rsidRPr="00124558">
        <w:t>if they are not satisfied with the outcome of their complaint.</w:t>
      </w:r>
    </w:p>
    <w:p w:rsidR="00027671" w:rsidRPr="00124558" w:rsidRDefault="00054A9A" w:rsidP="001D0710">
      <w:pPr>
        <w:pStyle w:val="Heading2"/>
      </w:pPr>
      <w:r w:rsidRPr="00124558">
        <w:t xml:space="preserve"> </w:t>
      </w:r>
      <w:bookmarkStart w:id="24" w:name="_Toc513450483"/>
      <w:r w:rsidR="00EB5D9B" w:rsidRPr="00124558">
        <w:t>D</w:t>
      </w:r>
      <w:r w:rsidR="00027671" w:rsidRPr="00124558">
        <w:t>uring transition</w:t>
      </w:r>
      <w:bookmarkEnd w:id="24"/>
    </w:p>
    <w:p w:rsidR="00C244AE" w:rsidRPr="00124558" w:rsidRDefault="008E4999" w:rsidP="001D0710">
      <w:pPr>
        <w:pStyle w:val="Heading3"/>
      </w:pPr>
      <w:r>
        <w:t xml:space="preserve"> </w:t>
      </w:r>
      <w:r w:rsidR="00C244AE" w:rsidRPr="00124558">
        <w:t>Complaints managed by NDIA</w:t>
      </w:r>
    </w:p>
    <w:p w:rsidR="00C244AE" w:rsidRPr="00124558" w:rsidRDefault="00C244AE" w:rsidP="00C244AE">
      <w:pPr>
        <w:spacing w:before="120"/>
        <w:rPr>
          <w:rFonts w:cs="Arial"/>
          <w:color w:val="auto"/>
        </w:rPr>
      </w:pPr>
      <w:r w:rsidRPr="00124558">
        <w:rPr>
          <w:rFonts w:cs="Arial"/>
          <w:color w:val="auto"/>
        </w:rPr>
        <w:t>During</w:t>
      </w:r>
      <w:r w:rsidR="006B7E5D" w:rsidRPr="00124558">
        <w:rPr>
          <w:rFonts w:cs="Arial"/>
          <w:color w:val="auto"/>
        </w:rPr>
        <w:t xml:space="preserve"> NDIS</w:t>
      </w:r>
      <w:r w:rsidRPr="00124558">
        <w:rPr>
          <w:rFonts w:cs="Arial"/>
          <w:color w:val="auto"/>
        </w:rPr>
        <w:t xml:space="preserve"> transition</w:t>
      </w:r>
      <w:r w:rsidR="00654EF5" w:rsidRPr="00124558">
        <w:rPr>
          <w:rFonts w:cs="Arial"/>
          <w:color w:val="auto"/>
        </w:rPr>
        <w:t>,</w:t>
      </w:r>
      <w:r w:rsidRPr="00124558">
        <w:rPr>
          <w:rFonts w:cs="Arial"/>
          <w:color w:val="auto"/>
        </w:rPr>
        <w:t xml:space="preserve"> the NDIA will </w:t>
      </w:r>
      <w:r w:rsidR="006B7E5D" w:rsidRPr="00124558">
        <w:rPr>
          <w:rFonts w:cs="Arial"/>
          <w:color w:val="auto"/>
        </w:rPr>
        <w:t xml:space="preserve">operate </w:t>
      </w:r>
      <w:r w:rsidRPr="00124558">
        <w:rPr>
          <w:rFonts w:cs="Arial"/>
          <w:color w:val="auto"/>
        </w:rPr>
        <w:t xml:space="preserve">a complaints management system for complaints </w:t>
      </w:r>
      <w:r w:rsidR="00946409" w:rsidRPr="00124558">
        <w:rPr>
          <w:rFonts w:cs="Arial"/>
          <w:color w:val="auto"/>
        </w:rPr>
        <w:t>in relation to</w:t>
      </w:r>
      <w:r w:rsidRPr="00124558">
        <w:rPr>
          <w:rFonts w:cs="Arial"/>
          <w:color w:val="auto"/>
        </w:rPr>
        <w:t>:</w:t>
      </w:r>
    </w:p>
    <w:p w:rsidR="00C244AE" w:rsidRPr="00124558" w:rsidRDefault="00054A9A" w:rsidP="007D22BA">
      <w:pPr>
        <w:numPr>
          <w:ilvl w:val="0"/>
          <w:numId w:val="7"/>
        </w:numPr>
        <w:spacing w:after="120" w:line="256" w:lineRule="auto"/>
        <w:contextualSpacing/>
        <w:rPr>
          <w:rFonts w:cs="Arial"/>
          <w:color w:val="auto"/>
        </w:rPr>
      </w:pPr>
      <w:r w:rsidRPr="00124558">
        <w:rPr>
          <w:rFonts w:cs="Arial"/>
          <w:color w:val="auto"/>
        </w:rPr>
        <w:t>a</w:t>
      </w:r>
      <w:r w:rsidR="00C244AE" w:rsidRPr="00124558">
        <w:rPr>
          <w:rFonts w:cs="Arial"/>
          <w:color w:val="auto"/>
        </w:rPr>
        <w:t>gency staff</w:t>
      </w:r>
    </w:p>
    <w:p w:rsidR="00C244AE" w:rsidRPr="00124558" w:rsidRDefault="00054A9A" w:rsidP="007D22BA">
      <w:pPr>
        <w:numPr>
          <w:ilvl w:val="0"/>
          <w:numId w:val="7"/>
        </w:numPr>
        <w:spacing w:after="120" w:line="256" w:lineRule="auto"/>
        <w:contextualSpacing/>
        <w:rPr>
          <w:rFonts w:cs="Arial"/>
          <w:color w:val="auto"/>
        </w:rPr>
      </w:pPr>
      <w:r w:rsidRPr="00124558">
        <w:rPr>
          <w:rFonts w:cs="Arial"/>
          <w:color w:val="auto"/>
        </w:rPr>
        <w:t>a</w:t>
      </w:r>
      <w:r w:rsidR="00C244AE" w:rsidRPr="00124558">
        <w:rPr>
          <w:rFonts w:cs="Arial"/>
          <w:color w:val="auto"/>
        </w:rPr>
        <w:t>gency process</w:t>
      </w:r>
      <w:r w:rsidR="006B7E5D" w:rsidRPr="00124558">
        <w:rPr>
          <w:rFonts w:cs="Arial"/>
          <w:color w:val="auto"/>
        </w:rPr>
        <w:t>es</w:t>
      </w:r>
      <w:r w:rsidR="00C244AE" w:rsidRPr="00124558">
        <w:rPr>
          <w:rFonts w:cs="Arial"/>
          <w:color w:val="auto"/>
        </w:rPr>
        <w:t xml:space="preserve"> </w:t>
      </w:r>
    </w:p>
    <w:p w:rsidR="00C244AE" w:rsidRPr="00124558" w:rsidRDefault="00054A9A" w:rsidP="007D22BA">
      <w:pPr>
        <w:numPr>
          <w:ilvl w:val="0"/>
          <w:numId w:val="7"/>
        </w:numPr>
        <w:spacing w:after="120" w:line="256" w:lineRule="auto"/>
        <w:contextualSpacing/>
        <w:rPr>
          <w:rFonts w:cs="Arial"/>
          <w:color w:val="auto"/>
        </w:rPr>
      </w:pPr>
      <w:r w:rsidRPr="00124558">
        <w:rPr>
          <w:rFonts w:cs="Arial"/>
          <w:color w:val="auto"/>
        </w:rPr>
        <w:lastRenderedPageBreak/>
        <w:t>c</w:t>
      </w:r>
      <w:r w:rsidR="004B75F5" w:rsidRPr="00124558">
        <w:rPr>
          <w:rFonts w:cs="Arial"/>
          <w:color w:val="auto"/>
        </w:rPr>
        <w:t xml:space="preserve">omplaints about market </w:t>
      </w:r>
      <w:r w:rsidR="00946409" w:rsidRPr="00124558">
        <w:rPr>
          <w:rFonts w:cs="Arial"/>
          <w:color w:val="auto"/>
        </w:rPr>
        <w:t>capacity and availability of service provision</w:t>
      </w:r>
      <w:r w:rsidR="00C244AE" w:rsidRPr="00124558">
        <w:rPr>
          <w:rFonts w:cs="Arial"/>
          <w:color w:val="auto"/>
        </w:rPr>
        <w:t>.</w:t>
      </w:r>
    </w:p>
    <w:p w:rsidR="009D0DD8" w:rsidRPr="00124558" w:rsidRDefault="009D0DD8" w:rsidP="00C244AE">
      <w:pPr>
        <w:spacing w:before="120" w:after="120"/>
        <w:rPr>
          <w:rFonts w:cs="Arial"/>
          <w:color w:val="auto"/>
        </w:rPr>
      </w:pPr>
    </w:p>
    <w:p w:rsidR="00C244AE" w:rsidRPr="00124558" w:rsidRDefault="006B7E5D" w:rsidP="00C244AE">
      <w:pPr>
        <w:spacing w:before="120" w:after="120"/>
        <w:rPr>
          <w:rFonts w:cs="Arial"/>
          <w:color w:val="auto"/>
        </w:rPr>
      </w:pPr>
      <w:r w:rsidRPr="00124558">
        <w:rPr>
          <w:rFonts w:cs="Arial"/>
          <w:color w:val="auto"/>
        </w:rPr>
        <w:t>C</w:t>
      </w:r>
      <w:r w:rsidR="00C244AE" w:rsidRPr="00124558">
        <w:rPr>
          <w:rFonts w:cs="Arial"/>
          <w:color w:val="auto"/>
        </w:rPr>
        <w:t xml:space="preserve">omplaints </w:t>
      </w:r>
      <w:r w:rsidRPr="00124558">
        <w:rPr>
          <w:rFonts w:cs="Arial"/>
          <w:color w:val="auto"/>
        </w:rPr>
        <w:t xml:space="preserve">about these matters </w:t>
      </w:r>
      <w:r w:rsidR="00C244AE" w:rsidRPr="00124558">
        <w:rPr>
          <w:rFonts w:cs="Arial"/>
          <w:color w:val="auto"/>
        </w:rPr>
        <w:t>can be made to the</w:t>
      </w:r>
      <w:r w:rsidR="009D0DD8" w:rsidRPr="00124558">
        <w:rPr>
          <w:rFonts w:cs="Arial"/>
          <w:color w:val="auto"/>
        </w:rPr>
        <w:t xml:space="preserve"> NDIA</w:t>
      </w:r>
      <w:r w:rsidR="00C244AE" w:rsidRPr="00124558">
        <w:rPr>
          <w:rFonts w:cs="Arial"/>
          <w:color w:val="auto"/>
        </w:rPr>
        <w:t xml:space="preserve"> </w:t>
      </w:r>
      <w:r w:rsidRPr="00124558">
        <w:rPr>
          <w:rFonts w:cs="Arial"/>
          <w:color w:val="auto"/>
        </w:rPr>
        <w:t xml:space="preserve">at </w:t>
      </w:r>
      <w:r w:rsidR="000D2EC8" w:rsidRPr="00124558">
        <w:rPr>
          <w:rFonts w:cs="Arial"/>
          <w:color w:val="auto"/>
        </w:rPr>
        <w:t>feedback@ndis.gov.au.</w:t>
      </w:r>
      <w:r w:rsidR="00C244AE" w:rsidRPr="00124558">
        <w:rPr>
          <w:rFonts w:cs="Arial"/>
          <w:color w:val="auto"/>
        </w:rPr>
        <w:t xml:space="preserve"> </w:t>
      </w:r>
      <w:r w:rsidRPr="00124558">
        <w:rPr>
          <w:rFonts w:cs="Arial"/>
          <w:color w:val="auto"/>
        </w:rPr>
        <w:t xml:space="preserve">Find more information about </w:t>
      </w:r>
      <w:r w:rsidR="00C244AE" w:rsidRPr="00124558">
        <w:rPr>
          <w:rFonts w:cs="Arial"/>
          <w:color w:val="auto"/>
        </w:rPr>
        <w:t xml:space="preserve">this process </w:t>
      </w:r>
      <w:r w:rsidRPr="00124558">
        <w:rPr>
          <w:rFonts w:cs="Arial"/>
          <w:color w:val="auto"/>
        </w:rPr>
        <w:t>at</w:t>
      </w:r>
      <w:r w:rsidR="00C244AE" w:rsidRPr="00124558">
        <w:rPr>
          <w:rFonts w:cs="Arial"/>
          <w:color w:val="auto"/>
        </w:rPr>
        <w:t xml:space="preserve"> </w:t>
      </w:r>
      <w:hyperlink r:id="rId20" w:history="1">
        <w:r w:rsidR="000D2EC8" w:rsidRPr="00124558">
          <w:rPr>
            <w:rStyle w:val="Hyperlink"/>
            <w:rFonts w:cs="Arial"/>
            <w:color w:val="auto"/>
          </w:rPr>
          <w:t>www.ndis.gov.au/about-us/contact-us/feedback-complaints</w:t>
        </w:r>
      </w:hyperlink>
      <w:r w:rsidR="00D10296" w:rsidRPr="00124558">
        <w:rPr>
          <w:rStyle w:val="Hyperlink"/>
          <w:rFonts w:cs="Arial"/>
          <w:color w:val="auto"/>
        </w:rPr>
        <w:t>.</w:t>
      </w:r>
    </w:p>
    <w:p w:rsidR="00C244AE" w:rsidRPr="00124558" w:rsidRDefault="008E4999" w:rsidP="001D0710">
      <w:pPr>
        <w:pStyle w:val="Heading3"/>
      </w:pPr>
      <w:r>
        <w:t xml:space="preserve"> </w:t>
      </w:r>
      <w:r w:rsidR="00C244AE" w:rsidRPr="00124558">
        <w:t xml:space="preserve">Complaints managed by the </w:t>
      </w:r>
      <w:r w:rsidR="00054A9A" w:rsidRPr="00124558">
        <w:t>s</w:t>
      </w:r>
      <w:r w:rsidR="00C244AE" w:rsidRPr="00124558">
        <w:t>tate</w:t>
      </w:r>
    </w:p>
    <w:p w:rsidR="007759B5" w:rsidRPr="00124558" w:rsidRDefault="007759B5" w:rsidP="007759B5">
      <w:pPr>
        <w:spacing w:before="120" w:after="120"/>
        <w:rPr>
          <w:rFonts w:cs="Arial"/>
          <w:color w:val="auto"/>
        </w:rPr>
      </w:pPr>
      <w:r w:rsidRPr="00124558">
        <w:rPr>
          <w:rFonts w:cs="Arial"/>
          <w:color w:val="auto"/>
        </w:rPr>
        <w:t xml:space="preserve">The </w:t>
      </w:r>
      <w:r w:rsidR="0037608D" w:rsidRPr="00124558">
        <w:rPr>
          <w:rFonts w:cs="Arial"/>
          <w:color w:val="auto"/>
        </w:rPr>
        <w:t xml:space="preserve">NT Government will have </w:t>
      </w:r>
      <w:r w:rsidRPr="00124558">
        <w:rPr>
          <w:rFonts w:cs="Arial"/>
          <w:color w:val="auto"/>
        </w:rPr>
        <w:t xml:space="preserve">a role in managing complaints lodged </w:t>
      </w:r>
      <w:r w:rsidR="00F551DC">
        <w:rPr>
          <w:rFonts w:cs="Arial"/>
          <w:color w:val="auto"/>
        </w:rPr>
        <w:t>about</w:t>
      </w:r>
      <w:r w:rsidRPr="00124558">
        <w:rPr>
          <w:rFonts w:cs="Arial"/>
          <w:color w:val="auto"/>
        </w:rPr>
        <w:t>:</w:t>
      </w:r>
    </w:p>
    <w:p w:rsidR="007759B5" w:rsidRPr="00124558" w:rsidRDefault="0037608D" w:rsidP="007D22BA">
      <w:pPr>
        <w:numPr>
          <w:ilvl w:val="0"/>
          <w:numId w:val="7"/>
        </w:numPr>
        <w:spacing w:before="120" w:after="120"/>
        <w:rPr>
          <w:rFonts w:cs="Arial"/>
          <w:color w:val="auto"/>
        </w:rPr>
      </w:pPr>
      <w:r w:rsidRPr="00124558">
        <w:rPr>
          <w:rFonts w:cs="Arial"/>
          <w:color w:val="auto"/>
        </w:rPr>
        <w:t>NT funded</w:t>
      </w:r>
      <w:r w:rsidR="006B7E5D" w:rsidRPr="00124558">
        <w:rPr>
          <w:rFonts w:cs="Arial"/>
          <w:color w:val="auto"/>
        </w:rPr>
        <w:t xml:space="preserve"> </w:t>
      </w:r>
      <w:r w:rsidRPr="00124558">
        <w:rPr>
          <w:rFonts w:cs="Arial"/>
          <w:color w:val="auto"/>
        </w:rPr>
        <w:t xml:space="preserve">disability </w:t>
      </w:r>
      <w:r w:rsidR="007759B5" w:rsidRPr="00124558">
        <w:rPr>
          <w:rFonts w:cs="Arial"/>
          <w:color w:val="auto"/>
        </w:rPr>
        <w:t>providers</w:t>
      </w:r>
    </w:p>
    <w:p w:rsidR="006A5876" w:rsidRDefault="0037608D" w:rsidP="00B116F3">
      <w:pPr>
        <w:numPr>
          <w:ilvl w:val="0"/>
          <w:numId w:val="7"/>
        </w:numPr>
        <w:spacing w:before="120" w:after="120"/>
        <w:rPr>
          <w:rFonts w:cs="Arial"/>
          <w:color w:val="auto"/>
        </w:rPr>
      </w:pPr>
      <w:r w:rsidRPr="00124558">
        <w:rPr>
          <w:rFonts w:cs="Arial"/>
          <w:color w:val="auto"/>
        </w:rPr>
        <w:t>NT</w:t>
      </w:r>
      <w:r w:rsidR="006B7E5D" w:rsidRPr="00124558">
        <w:rPr>
          <w:rFonts w:cs="Arial"/>
          <w:color w:val="auto"/>
        </w:rPr>
        <w:t xml:space="preserve"> </w:t>
      </w:r>
      <w:r w:rsidR="007759B5" w:rsidRPr="00124558">
        <w:rPr>
          <w:rFonts w:cs="Arial"/>
          <w:color w:val="auto"/>
        </w:rPr>
        <w:t xml:space="preserve">directly delivered disability services </w:t>
      </w:r>
    </w:p>
    <w:p w:rsidR="00D31D27" w:rsidRDefault="00D31D27" w:rsidP="00B116F3">
      <w:pPr>
        <w:numPr>
          <w:ilvl w:val="0"/>
          <w:numId w:val="7"/>
        </w:numPr>
        <w:spacing w:before="120" w:after="120"/>
        <w:rPr>
          <w:rFonts w:cs="Arial"/>
          <w:color w:val="auto"/>
        </w:rPr>
      </w:pPr>
      <w:r w:rsidRPr="00534505">
        <w:rPr>
          <w:rFonts w:cs="Arial"/>
          <w:color w:val="auto"/>
        </w:rPr>
        <w:t xml:space="preserve">NDIS providers of specialist disability services, when made by participants, their family, carers or advocates. </w:t>
      </w:r>
    </w:p>
    <w:p w:rsidR="00D54502" w:rsidRPr="00124558" w:rsidRDefault="00D54502" w:rsidP="00D31D27">
      <w:pPr>
        <w:spacing w:before="120" w:after="120"/>
        <w:rPr>
          <w:rFonts w:cs="Arial"/>
          <w:color w:val="auto"/>
        </w:rPr>
      </w:pPr>
      <w:r w:rsidRPr="00124558">
        <w:rPr>
          <w:rFonts w:cs="Arial"/>
          <w:color w:val="auto"/>
        </w:rPr>
        <w:t>Providers are expected to manage complaints about the delivery of services and have established and published clear and accessible complaints process</w:t>
      </w:r>
      <w:r w:rsidR="00415F10">
        <w:rPr>
          <w:rFonts w:cs="Arial"/>
          <w:color w:val="auto"/>
        </w:rPr>
        <w:t>es</w:t>
      </w:r>
      <w:r w:rsidRPr="00124558">
        <w:rPr>
          <w:rFonts w:cs="Arial"/>
          <w:color w:val="auto"/>
        </w:rPr>
        <w:t xml:space="preserve"> for any complaints</w:t>
      </w:r>
      <w:r w:rsidR="00415F10">
        <w:rPr>
          <w:rFonts w:cs="Arial"/>
          <w:color w:val="auto"/>
        </w:rPr>
        <w:t xml:space="preserve"> received.</w:t>
      </w:r>
      <w:r w:rsidRPr="00124558">
        <w:rPr>
          <w:rFonts w:cs="Arial"/>
          <w:color w:val="auto"/>
        </w:rPr>
        <w:t xml:space="preserve"> The provider must keep a register of all complaints received, including the outcomes and resolutions.</w:t>
      </w:r>
    </w:p>
    <w:p w:rsidR="0029788B" w:rsidRPr="00124558" w:rsidRDefault="0029788B" w:rsidP="00D54502">
      <w:pPr>
        <w:spacing w:before="120" w:after="120"/>
        <w:rPr>
          <w:rFonts w:cs="Arial"/>
          <w:color w:val="auto"/>
        </w:rPr>
      </w:pPr>
      <w:r w:rsidRPr="00124558">
        <w:rPr>
          <w:rFonts w:cs="Arial"/>
          <w:color w:val="auto"/>
        </w:rPr>
        <w:t xml:space="preserve">Where complaints are unable to be raised or resolved with </w:t>
      </w:r>
      <w:r w:rsidR="00D54502" w:rsidRPr="00124558">
        <w:rPr>
          <w:rFonts w:cs="Arial"/>
          <w:color w:val="auto"/>
        </w:rPr>
        <w:t>the provider</w:t>
      </w:r>
      <w:r w:rsidRPr="00124558">
        <w:rPr>
          <w:rFonts w:cs="Arial"/>
          <w:color w:val="auto"/>
        </w:rPr>
        <w:t xml:space="preserve">, the NT Department of Health </w:t>
      </w:r>
      <w:r w:rsidR="00D54502" w:rsidRPr="00124558">
        <w:rPr>
          <w:rFonts w:cs="Arial"/>
          <w:color w:val="auto"/>
        </w:rPr>
        <w:t xml:space="preserve">may refer the complaint </w:t>
      </w:r>
      <w:r w:rsidRPr="00124558">
        <w:rPr>
          <w:rFonts w:cs="Arial"/>
          <w:color w:val="auto"/>
        </w:rPr>
        <w:t>to the appropriate body.  Depending on the nature of the complaint, this may be either:</w:t>
      </w:r>
    </w:p>
    <w:p w:rsidR="0029788B" w:rsidRPr="00124558" w:rsidRDefault="0029788B" w:rsidP="00D54502">
      <w:pPr>
        <w:pStyle w:val="ListParagraph"/>
        <w:numPr>
          <w:ilvl w:val="0"/>
          <w:numId w:val="32"/>
        </w:numPr>
        <w:spacing w:before="120" w:after="120"/>
        <w:rPr>
          <w:rFonts w:ascii="Arial" w:eastAsia="MS Mincho" w:hAnsi="Arial" w:cs="Arial"/>
          <w:color w:val="auto"/>
        </w:rPr>
      </w:pPr>
      <w:r w:rsidRPr="00124558">
        <w:rPr>
          <w:rFonts w:ascii="Arial" w:eastAsia="MS Mincho" w:hAnsi="Arial" w:cs="Arial"/>
          <w:color w:val="auto"/>
        </w:rPr>
        <w:t>the Health and Community Services Complaints Commission</w:t>
      </w:r>
    </w:p>
    <w:p w:rsidR="001375DF" w:rsidRDefault="0029788B" w:rsidP="00D54502">
      <w:pPr>
        <w:pStyle w:val="ListParagraph"/>
        <w:numPr>
          <w:ilvl w:val="0"/>
          <w:numId w:val="32"/>
        </w:numPr>
        <w:spacing w:before="120" w:after="120"/>
        <w:rPr>
          <w:rFonts w:ascii="Arial" w:eastAsia="MS Mincho" w:hAnsi="Arial" w:cs="Arial"/>
          <w:color w:val="auto"/>
        </w:rPr>
      </w:pPr>
      <w:r w:rsidRPr="00124558">
        <w:rPr>
          <w:rFonts w:ascii="Arial" w:eastAsia="MS Mincho" w:hAnsi="Arial" w:cs="Arial"/>
          <w:color w:val="auto"/>
        </w:rPr>
        <w:t>the Office of the Public Guardian</w:t>
      </w:r>
    </w:p>
    <w:p w:rsidR="0029788B" w:rsidRPr="00124558" w:rsidRDefault="001375DF" w:rsidP="001375DF">
      <w:pPr>
        <w:pStyle w:val="ListParagraph"/>
        <w:numPr>
          <w:ilvl w:val="0"/>
          <w:numId w:val="32"/>
        </w:numPr>
        <w:spacing w:before="120" w:after="120"/>
        <w:rPr>
          <w:rFonts w:ascii="Arial" w:eastAsia="MS Mincho" w:hAnsi="Arial" w:cs="Arial"/>
          <w:color w:val="auto"/>
        </w:rPr>
      </w:pPr>
      <w:r>
        <w:rPr>
          <w:rFonts w:ascii="Arial" w:eastAsia="MS Mincho" w:hAnsi="Arial" w:cs="Arial"/>
          <w:color w:val="auto"/>
        </w:rPr>
        <w:t xml:space="preserve">the </w:t>
      </w:r>
      <w:r w:rsidRPr="001375DF">
        <w:rPr>
          <w:rFonts w:ascii="Arial" w:eastAsia="MS Mincho" w:hAnsi="Arial" w:cs="Arial"/>
          <w:color w:val="auto"/>
        </w:rPr>
        <w:t>Office of the Children’s Commissioner</w:t>
      </w:r>
      <w:r>
        <w:rPr>
          <w:rFonts w:ascii="Arial" w:eastAsia="MS Mincho" w:hAnsi="Arial" w:cs="Arial"/>
          <w:color w:val="auto"/>
        </w:rPr>
        <w:t xml:space="preserve"> (</w:t>
      </w:r>
      <w:r w:rsidRPr="00B534D7">
        <w:rPr>
          <w:rFonts w:ascii="Arial" w:eastAsia="MS Mincho" w:hAnsi="Arial" w:cs="Arial"/>
          <w:color w:val="auto"/>
        </w:rPr>
        <w:t>complaints about vulnerable children, including children with disability)</w:t>
      </w:r>
    </w:p>
    <w:p w:rsidR="0029788B" w:rsidRPr="00124558" w:rsidRDefault="0029788B" w:rsidP="00D54502">
      <w:pPr>
        <w:pStyle w:val="ListParagraph"/>
        <w:numPr>
          <w:ilvl w:val="0"/>
          <w:numId w:val="32"/>
        </w:numPr>
        <w:spacing w:before="120" w:after="120"/>
        <w:rPr>
          <w:rFonts w:ascii="Arial" w:eastAsia="MS Mincho" w:hAnsi="Arial" w:cs="Arial"/>
          <w:color w:val="auto"/>
        </w:rPr>
      </w:pPr>
      <w:r w:rsidRPr="00124558">
        <w:rPr>
          <w:rFonts w:ascii="Arial" w:eastAsia="MS Mincho" w:hAnsi="Arial" w:cs="Arial"/>
          <w:color w:val="auto"/>
        </w:rPr>
        <w:t>the Anti-Discrimination Commission.</w:t>
      </w:r>
    </w:p>
    <w:p w:rsidR="000D2EC8" w:rsidRDefault="000D2EC8" w:rsidP="00C244AE">
      <w:pPr>
        <w:rPr>
          <w:rFonts w:cs="Arial"/>
          <w:color w:val="auto"/>
        </w:rPr>
      </w:pPr>
      <w:r w:rsidRPr="00124558">
        <w:rPr>
          <w:rFonts w:cs="Arial"/>
          <w:color w:val="auto"/>
        </w:rPr>
        <w:t xml:space="preserve">The complaints process will reflect a ‘no wrong door’ approach ensuring effective access to complaints resolution for all participants, </w:t>
      </w:r>
      <w:r w:rsidR="006B7E5D" w:rsidRPr="00124558">
        <w:rPr>
          <w:rFonts w:cs="Arial"/>
          <w:color w:val="auto"/>
        </w:rPr>
        <w:t xml:space="preserve">their family, carers, </w:t>
      </w:r>
      <w:r w:rsidRPr="00124558">
        <w:rPr>
          <w:rFonts w:cs="Arial"/>
          <w:color w:val="auto"/>
        </w:rPr>
        <w:t xml:space="preserve">providers and advocates interacting with the </w:t>
      </w:r>
      <w:r w:rsidR="006B7E5D" w:rsidRPr="00124558">
        <w:rPr>
          <w:rFonts w:cs="Arial"/>
          <w:color w:val="auto"/>
        </w:rPr>
        <w:t>NDIS.</w:t>
      </w:r>
    </w:p>
    <w:p w:rsidR="006A5876" w:rsidRPr="008E4999" w:rsidRDefault="006A5876" w:rsidP="00C244AE">
      <w:pPr>
        <w:rPr>
          <w:b/>
          <w:color w:val="auto"/>
        </w:rPr>
      </w:pPr>
      <w:r w:rsidRPr="008E4999">
        <w:rPr>
          <w:b/>
          <w:color w:val="auto"/>
        </w:rPr>
        <w:t>Health and Community Services Complaints Commission</w:t>
      </w:r>
    </w:p>
    <w:p w:rsidR="006A5876" w:rsidRPr="00124558" w:rsidRDefault="006A5876" w:rsidP="006A5876">
      <w:pPr>
        <w:rPr>
          <w:rFonts w:cs="Arial"/>
          <w:color w:val="auto"/>
        </w:rPr>
      </w:pPr>
      <w:r>
        <w:rPr>
          <w:rFonts w:cs="Arial"/>
          <w:color w:val="auto"/>
        </w:rPr>
        <w:t>All disability services</w:t>
      </w:r>
      <w:r w:rsidRPr="008948A0">
        <w:rPr>
          <w:rFonts w:cs="Arial"/>
          <w:color w:val="auto"/>
        </w:rPr>
        <w:t xml:space="preserve"> </w:t>
      </w:r>
      <w:r>
        <w:rPr>
          <w:rFonts w:cs="Arial"/>
          <w:color w:val="auto"/>
        </w:rPr>
        <w:t xml:space="preserve">in the NT are subject to the </w:t>
      </w:r>
      <w:r w:rsidRPr="008948A0">
        <w:rPr>
          <w:rFonts w:cs="Arial"/>
          <w:color w:val="auto"/>
        </w:rPr>
        <w:t>Health and Community Services Complaints Commission</w:t>
      </w:r>
      <w:r>
        <w:rPr>
          <w:rFonts w:cs="Arial"/>
          <w:color w:val="auto"/>
        </w:rPr>
        <w:t xml:space="preserve"> (Commission) regardless of </w:t>
      </w:r>
      <w:r w:rsidR="004C5F33">
        <w:rPr>
          <w:rFonts w:cs="Arial"/>
          <w:color w:val="auto"/>
        </w:rPr>
        <w:t>their funding source</w:t>
      </w:r>
      <w:r w:rsidRPr="008948A0">
        <w:rPr>
          <w:rFonts w:cs="Arial"/>
          <w:color w:val="auto"/>
        </w:rPr>
        <w:t>.</w:t>
      </w:r>
      <w:r>
        <w:rPr>
          <w:rFonts w:cs="Arial"/>
          <w:color w:val="auto"/>
        </w:rPr>
        <w:t xml:space="preserve"> The Commission </w:t>
      </w:r>
      <w:r w:rsidRPr="008948A0">
        <w:rPr>
          <w:rFonts w:cs="Arial"/>
          <w:color w:val="auto"/>
        </w:rPr>
        <w:t>provide</w:t>
      </w:r>
      <w:r>
        <w:rPr>
          <w:rFonts w:cs="Arial"/>
          <w:color w:val="auto"/>
        </w:rPr>
        <w:t>s</w:t>
      </w:r>
      <w:r w:rsidRPr="008948A0">
        <w:rPr>
          <w:rFonts w:cs="Arial"/>
          <w:color w:val="auto"/>
        </w:rPr>
        <w:t xml:space="preserve"> assistance to Territorians to resolve complaints about health, disability and aged services and make recommendations to improve the quality of these services.</w:t>
      </w:r>
      <w:r>
        <w:rPr>
          <w:rFonts w:cs="Arial"/>
          <w:color w:val="auto"/>
        </w:rPr>
        <w:t xml:space="preserve"> </w:t>
      </w:r>
    </w:p>
    <w:p w:rsidR="00534505" w:rsidRPr="00124558" w:rsidRDefault="00534505" w:rsidP="00C244AE">
      <w:pPr>
        <w:rPr>
          <w:rFonts w:cs="Arial"/>
          <w:color w:val="auto"/>
        </w:rPr>
      </w:pPr>
      <w:r>
        <w:rPr>
          <w:rFonts w:cs="Arial"/>
          <w:color w:val="auto"/>
        </w:rPr>
        <w:t xml:space="preserve">Please also see Appendix 2 for details of complaints process. </w:t>
      </w:r>
    </w:p>
    <w:p w:rsidR="000D2EC8" w:rsidRDefault="005C4F6B" w:rsidP="001D0710">
      <w:pPr>
        <w:pStyle w:val="Heading3"/>
      </w:pPr>
      <w:r>
        <w:lastRenderedPageBreak/>
        <w:t xml:space="preserve"> </w:t>
      </w:r>
      <w:r w:rsidR="00164256">
        <w:t xml:space="preserve">Referral pathway </w:t>
      </w:r>
      <w:r w:rsidR="00793179">
        <w:t>–</w:t>
      </w:r>
      <w:r w:rsidR="00164256">
        <w:t xml:space="preserve"> Complaints</w:t>
      </w:r>
      <w:r w:rsidR="00793179">
        <w:t xml:space="preserve"> </w:t>
      </w:r>
    </w:p>
    <w:tbl>
      <w:tblPr>
        <w:tblStyle w:val="TableGrid"/>
        <w:tblW w:w="9918" w:type="dxa"/>
        <w:tblLook w:val="04A0" w:firstRow="1" w:lastRow="0" w:firstColumn="1" w:lastColumn="0" w:noHBand="0" w:noVBand="1"/>
        <w:tblCaption w:val="Referral pathway for Complaints"/>
        <w:tblDescription w:val="This table lists all the complaint types, the responsible authority for each complaint and the key contact point. "/>
      </w:tblPr>
      <w:tblGrid>
        <w:gridCol w:w="2956"/>
        <w:gridCol w:w="2952"/>
        <w:gridCol w:w="4010"/>
      </w:tblGrid>
      <w:tr w:rsidR="00164256" w:rsidTr="009E25AE">
        <w:trPr>
          <w:tblHeader/>
        </w:trPr>
        <w:tc>
          <w:tcPr>
            <w:tcW w:w="3074" w:type="dxa"/>
          </w:tcPr>
          <w:p w:rsidR="00164256" w:rsidRDefault="00164256" w:rsidP="00164256">
            <w:bookmarkStart w:id="25" w:name="ColumnTitle_5"/>
            <w:r>
              <w:t>Type of complaint</w:t>
            </w:r>
          </w:p>
        </w:tc>
        <w:tc>
          <w:tcPr>
            <w:tcW w:w="3048" w:type="dxa"/>
          </w:tcPr>
          <w:p w:rsidR="00164256" w:rsidRDefault="00164256" w:rsidP="00164256">
            <w:r>
              <w:t>Responsibility</w:t>
            </w:r>
          </w:p>
        </w:tc>
        <w:tc>
          <w:tcPr>
            <w:tcW w:w="3796" w:type="dxa"/>
          </w:tcPr>
          <w:p w:rsidR="00164256" w:rsidRDefault="00164256" w:rsidP="00164256">
            <w:r>
              <w:t>Contact point</w:t>
            </w:r>
          </w:p>
        </w:tc>
      </w:tr>
      <w:bookmarkEnd w:id="25"/>
      <w:tr w:rsidR="004C5F33" w:rsidTr="004C5F33">
        <w:tc>
          <w:tcPr>
            <w:tcW w:w="3074" w:type="dxa"/>
          </w:tcPr>
          <w:p w:rsidR="004C5F33" w:rsidRDefault="004C5F33" w:rsidP="006011F3">
            <w:pPr>
              <w:tabs>
                <w:tab w:val="left" w:pos="1029"/>
              </w:tabs>
            </w:pPr>
            <w:r>
              <w:rPr>
                <w:rFonts w:cs="Helvetica"/>
                <w:sz w:val="20"/>
                <w:szCs w:val="20"/>
                <w:shd w:val="clear" w:color="auto" w:fill="FFFFFF"/>
              </w:rPr>
              <w:t>About  a disability service provider or support, or about how the provider has managed a complaint</w:t>
            </w:r>
          </w:p>
        </w:tc>
        <w:tc>
          <w:tcPr>
            <w:tcW w:w="3048" w:type="dxa"/>
          </w:tcPr>
          <w:p w:rsidR="004C5F33" w:rsidRDefault="004C5F33" w:rsidP="00164256">
            <w:r>
              <w:t xml:space="preserve">NT Office of Disability </w:t>
            </w:r>
          </w:p>
          <w:p w:rsidR="004C5F33" w:rsidRDefault="004C5F33" w:rsidP="00164256"/>
          <w:p w:rsidR="004C5F33" w:rsidRDefault="004C5F33" w:rsidP="00164256">
            <w:r>
              <w:t>Health and Community Services Complaints Commission</w:t>
            </w:r>
          </w:p>
        </w:tc>
        <w:tc>
          <w:tcPr>
            <w:tcW w:w="3796" w:type="dxa"/>
          </w:tcPr>
          <w:p w:rsidR="004C5F33" w:rsidRDefault="00060B01" w:rsidP="00164256">
            <w:pPr>
              <w:rPr>
                <w:rFonts w:cs="Arial"/>
                <w:color w:val="auto"/>
              </w:rPr>
            </w:pPr>
            <w:hyperlink r:id="rId21" w:history="1">
              <w:r w:rsidR="00B534D7" w:rsidRPr="00B534D7">
                <w:rPr>
                  <w:rStyle w:val="Hyperlink"/>
                  <w:rFonts w:cs="Arial"/>
                </w:rPr>
                <w:t>NDISProviderRegistration@nt.gov.a</w:t>
              </w:r>
              <w:r w:rsidR="00B534D7" w:rsidRPr="00D64B16">
                <w:rPr>
                  <w:rStyle w:val="Hyperlink"/>
                  <w:rFonts w:cs="Arial"/>
                </w:rPr>
                <w:t>u</w:t>
              </w:r>
            </w:hyperlink>
            <w:r w:rsidR="00B534D7">
              <w:rPr>
                <w:rFonts w:cs="Arial"/>
                <w:color w:val="auto"/>
              </w:rPr>
              <w:t xml:space="preserve"> </w:t>
            </w:r>
            <w:r w:rsidR="004C5F33" w:rsidRPr="00124558">
              <w:rPr>
                <w:rFonts w:cs="Arial"/>
                <w:color w:val="auto"/>
              </w:rPr>
              <w:t xml:space="preserve"> </w:t>
            </w:r>
          </w:p>
          <w:p w:rsidR="004C5F33" w:rsidRDefault="004C5F33" w:rsidP="00164256">
            <w:pPr>
              <w:rPr>
                <w:rFonts w:cs="Arial"/>
                <w:color w:val="auto"/>
              </w:rPr>
            </w:pPr>
          </w:p>
          <w:p w:rsidR="004C5F33" w:rsidRDefault="00060B01" w:rsidP="00164256">
            <w:hyperlink r:id="rId22" w:history="1">
              <w:r w:rsidR="004C5F33">
                <w:rPr>
                  <w:rStyle w:val="Hyperlink"/>
                  <w:rFonts w:cs="Arial"/>
                  <w:lang w:val="en"/>
                </w:rPr>
                <w:t>hcscc@nt.gov.au</w:t>
              </w:r>
            </w:hyperlink>
          </w:p>
        </w:tc>
      </w:tr>
      <w:tr w:rsidR="004C5F33" w:rsidTr="004C5F33">
        <w:tc>
          <w:tcPr>
            <w:tcW w:w="3074" w:type="dxa"/>
          </w:tcPr>
          <w:p w:rsidR="004C5F33" w:rsidRDefault="004C5F33" w:rsidP="00164256">
            <w:r>
              <w:t>About how the NT Government has handled a complaint about a provider</w:t>
            </w:r>
          </w:p>
        </w:tc>
        <w:tc>
          <w:tcPr>
            <w:tcW w:w="3048" w:type="dxa"/>
          </w:tcPr>
          <w:p w:rsidR="004C5F33" w:rsidRDefault="004C5F33" w:rsidP="00164256">
            <w:r>
              <w:t>Health and Community Services Complaints Commission</w:t>
            </w:r>
          </w:p>
          <w:p w:rsidR="004C5F33" w:rsidRDefault="004C5F33" w:rsidP="00164256"/>
          <w:p w:rsidR="004C5F33" w:rsidRDefault="004C5F33" w:rsidP="00164256">
            <w:r w:rsidRPr="004C5F33">
              <w:t>Ombudsman NT</w:t>
            </w:r>
          </w:p>
        </w:tc>
        <w:tc>
          <w:tcPr>
            <w:tcW w:w="3796" w:type="dxa"/>
          </w:tcPr>
          <w:p w:rsidR="004C5F33" w:rsidRDefault="00060B01" w:rsidP="00164256">
            <w:pPr>
              <w:rPr>
                <w:rFonts w:cs="Arial"/>
                <w:lang w:val="en"/>
              </w:rPr>
            </w:pPr>
            <w:hyperlink r:id="rId23" w:history="1">
              <w:r w:rsidR="004C5F33">
                <w:rPr>
                  <w:rStyle w:val="Hyperlink"/>
                  <w:rFonts w:cs="Arial"/>
                  <w:lang w:val="en"/>
                </w:rPr>
                <w:t>hcscc@nt.gov.au</w:t>
              </w:r>
            </w:hyperlink>
          </w:p>
          <w:p w:rsidR="004C5F33" w:rsidRDefault="004C5F33" w:rsidP="00164256">
            <w:pPr>
              <w:rPr>
                <w:rFonts w:cs="Arial"/>
                <w:lang w:val="en"/>
              </w:rPr>
            </w:pPr>
          </w:p>
          <w:p w:rsidR="00B534D7" w:rsidRDefault="00B534D7" w:rsidP="00164256"/>
          <w:p w:rsidR="004C5F33" w:rsidRDefault="00060B01" w:rsidP="00164256">
            <w:hyperlink r:id="rId24" w:history="1">
              <w:r w:rsidR="00B534D7" w:rsidRPr="00D64B16">
                <w:rPr>
                  <w:rStyle w:val="Hyperlink"/>
                  <w:rFonts w:cs="FSMe-Bold"/>
                </w:rPr>
                <w:t>nt.ombudsman@nt.gov.au</w:t>
              </w:r>
            </w:hyperlink>
            <w:r w:rsidR="00B534D7">
              <w:t xml:space="preserve"> </w:t>
            </w:r>
          </w:p>
        </w:tc>
      </w:tr>
      <w:tr w:rsidR="004C5F33" w:rsidTr="004C5F33">
        <w:tc>
          <w:tcPr>
            <w:tcW w:w="3074" w:type="dxa"/>
          </w:tcPr>
          <w:p w:rsidR="004C5F33" w:rsidRDefault="004C5F33" w:rsidP="00164256">
            <w:r>
              <w:t>About a decision to use restrictive practices</w:t>
            </w:r>
          </w:p>
        </w:tc>
        <w:tc>
          <w:tcPr>
            <w:tcW w:w="3048" w:type="dxa"/>
          </w:tcPr>
          <w:p w:rsidR="004C5F33" w:rsidRDefault="004C5F33" w:rsidP="00081DE0">
            <w:r>
              <w:t xml:space="preserve">NT Office of Disability </w:t>
            </w:r>
          </w:p>
          <w:p w:rsidR="004C5F33" w:rsidRDefault="004C5F33" w:rsidP="00081DE0"/>
          <w:p w:rsidR="004C5F33" w:rsidRDefault="004C5F33" w:rsidP="00164256">
            <w:r>
              <w:t>Health and Community Services Complaints Commission</w:t>
            </w:r>
          </w:p>
        </w:tc>
        <w:tc>
          <w:tcPr>
            <w:tcW w:w="3796" w:type="dxa"/>
          </w:tcPr>
          <w:p w:rsidR="004C5F33" w:rsidRDefault="00060B01" w:rsidP="00081DE0">
            <w:pPr>
              <w:rPr>
                <w:rFonts w:cs="Arial"/>
                <w:color w:val="auto"/>
              </w:rPr>
            </w:pPr>
            <w:hyperlink r:id="rId25" w:history="1">
              <w:r w:rsidR="00B534D7" w:rsidRPr="005C4F6B">
                <w:rPr>
                  <w:rStyle w:val="Hyperlink"/>
                  <w:rFonts w:cs="Arial"/>
                </w:rPr>
                <w:t>NDISProviderRegistration@nt.gov.a</w:t>
              </w:r>
              <w:r w:rsidR="00B534D7" w:rsidRPr="00D64B16">
                <w:rPr>
                  <w:rStyle w:val="Hyperlink"/>
                  <w:rFonts w:cs="Arial"/>
                </w:rPr>
                <w:t>u</w:t>
              </w:r>
            </w:hyperlink>
            <w:r w:rsidR="00B534D7">
              <w:rPr>
                <w:rFonts w:cs="Arial"/>
                <w:color w:val="auto"/>
              </w:rPr>
              <w:t xml:space="preserve"> </w:t>
            </w:r>
            <w:r w:rsidR="004C5F33" w:rsidRPr="00124558">
              <w:rPr>
                <w:rFonts w:cs="Arial"/>
                <w:color w:val="auto"/>
              </w:rPr>
              <w:t xml:space="preserve"> </w:t>
            </w:r>
          </w:p>
          <w:p w:rsidR="004C5F33" w:rsidRDefault="004C5F33" w:rsidP="00081DE0">
            <w:pPr>
              <w:rPr>
                <w:rFonts w:cs="Arial"/>
                <w:color w:val="auto"/>
              </w:rPr>
            </w:pPr>
          </w:p>
          <w:p w:rsidR="004C5F33" w:rsidRDefault="00060B01" w:rsidP="00164256">
            <w:hyperlink r:id="rId26" w:history="1">
              <w:r w:rsidR="004C5F33">
                <w:rPr>
                  <w:rStyle w:val="Hyperlink"/>
                  <w:rFonts w:cs="Arial"/>
                  <w:lang w:val="en"/>
                </w:rPr>
                <w:t>hcscc@nt.gov.au</w:t>
              </w:r>
            </w:hyperlink>
          </w:p>
        </w:tc>
      </w:tr>
      <w:tr w:rsidR="004C5F33" w:rsidTr="004C5F33">
        <w:tc>
          <w:tcPr>
            <w:tcW w:w="3074" w:type="dxa"/>
          </w:tcPr>
          <w:p w:rsidR="004C5F33" w:rsidRDefault="004C5F33" w:rsidP="00164256">
            <w:r>
              <w:t>About a service or support provided by an unregistered provider, including consumer complaints covered by the Australian Consumer Law</w:t>
            </w:r>
          </w:p>
        </w:tc>
        <w:tc>
          <w:tcPr>
            <w:tcW w:w="3048" w:type="dxa"/>
          </w:tcPr>
          <w:p w:rsidR="00B534D7" w:rsidRDefault="004C5F33" w:rsidP="004C5F33">
            <w:r>
              <w:t>Health and Community Services Complaints Commission</w:t>
            </w:r>
          </w:p>
          <w:p w:rsidR="00FA7F1D" w:rsidRDefault="00FA7F1D" w:rsidP="004C5F33"/>
          <w:p w:rsidR="004C5F33" w:rsidRDefault="004C5F33" w:rsidP="004C5F33">
            <w:r>
              <w:t>NT Consumer Affairs</w:t>
            </w:r>
          </w:p>
        </w:tc>
        <w:tc>
          <w:tcPr>
            <w:tcW w:w="3796" w:type="dxa"/>
          </w:tcPr>
          <w:p w:rsidR="004C5F33" w:rsidRDefault="00060B01" w:rsidP="00164256">
            <w:pPr>
              <w:rPr>
                <w:rFonts w:cs="Arial"/>
                <w:lang w:val="en"/>
              </w:rPr>
            </w:pPr>
            <w:hyperlink r:id="rId27" w:history="1">
              <w:r w:rsidR="004C5F33">
                <w:rPr>
                  <w:rStyle w:val="Hyperlink"/>
                  <w:rFonts w:cs="Arial"/>
                  <w:lang w:val="en"/>
                </w:rPr>
                <w:t>hcscc@nt.gov.au</w:t>
              </w:r>
            </w:hyperlink>
          </w:p>
          <w:p w:rsidR="004C5F33" w:rsidRDefault="004C5F33" w:rsidP="00164256">
            <w:pPr>
              <w:rPr>
                <w:rFonts w:cs="Arial"/>
                <w:lang w:val="en"/>
              </w:rPr>
            </w:pPr>
          </w:p>
          <w:p w:rsidR="004C5F33" w:rsidRDefault="004C5F33" w:rsidP="00164256">
            <w:pPr>
              <w:rPr>
                <w:rFonts w:cs="Arial"/>
                <w:lang w:val="en"/>
              </w:rPr>
            </w:pPr>
          </w:p>
          <w:p w:rsidR="004C5F33" w:rsidRPr="00B534D7" w:rsidRDefault="00060B01" w:rsidP="00164256">
            <w:pPr>
              <w:rPr>
                <w:rFonts w:cs="Arial"/>
              </w:rPr>
            </w:pPr>
            <w:hyperlink r:id="rId28" w:history="1">
              <w:r w:rsidR="00B534D7" w:rsidRPr="00B534D7">
                <w:rPr>
                  <w:rStyle w:val="Hyperlink"/>
                  <w:rFonts w:cs="Arial"/>
                </w:rPr>
                <w:t>consumer@nt.gov.au</w:t>
              </w:r>
            </w:hyperlink>
            <w:r w:rsidR="00B534D7" w:rsidRPr="00B534D7">
              <w:rPr>
                <w:rFonts w:cs="Arial"/>
                <w:color w:val="333333"/>
              </w:rPr>
              <w:t xml:space="preserve"> </w:t>
            </w:r>
          </w:p>
        </w:tc>
      </w:tr>
      <w:tr w:rsidR="004C5F33" w:rsidTr="004C5F33">
        <w:tc>
          <w:tcPr>
            <w:tcW w:w="3074" w:type="dxa"/>
          </w:tcPr>
          <w:p w:rsidR="004C5F33" w:rsidRDefault="004C5F33" w:rsidP="00164256">
            <w:r>
              <w:t>About an NDIA decision or staff member</w:t>
            </w:r>
          </w:p>
        </w:tc>
        <w:tc>
          <w:tcPr>
            <w:tcW w:w="3048" w:type="dxa"/>
          </w:tcPr>
          <w:p w:rsidR="004C5F33" w:rsidRDefault="004C5F33" w:rsidP="00164256">
            <w:r>
              <w:t>NDIA</w:t>
            </w:r>
          </w:p>
        </w:tc>
        <w:tc>
          <w:tcPr>
            <w:tcW w:w="3796" w:type="dxa"/>
          </w:tcPr>
          <w:p w:rsidR="004C5F33" w:rsidRDefault="00060B01" w:rsidP="00164256">
            <w:hyperlink r:id="rId29" w:history="1">
              <w:r w:rsidR="004C5F33" w:rsidRPr="008835FE">
                <w:rPr>
                  <w:rStyle w:val="Hyperlink"/>
                  <w:rFonts w:cs="FSMe-Bold"/>
                </w:rPr>
                <w:t>feedback@ndis.gov.au</w:t>
              </w:r>
            </w:hyperlink>
          </w:p>
        </w:tc>
      </w:tr>
      <w:tr w:rsidR="004C5F33" w:rsidTr="004C5F33">
        <w:tc>
          <w:tcPr>
            <w:tcW w:w="3074" w:type="dxa"/>
          </w:tcPr>
          <w:p w:rsidR="004C5F33" w:rsidRDefault="004C5F33" w:rsidP="00164256">
            <w:r>
              <w:t>An NDIA provided service or support (e.g. planning, Local Area Coordination etc.)</w:t>
            </w:r>
          </w:p>
        </w:tc>
        <w:tc>
          <w:tcPr>
            <w:tcW w:w="3048" w:type="dxa"/>
          </w:tcPr>
          <w:p w:rsidR="004C5F33" w:rsidRDefault="004C5F33" w:rsidP="00164256">
            <w:r>
              <w:t>NDIA</w:t>
            </w:r>
          </w:p>
        </w:tc>
        <w:tc>
          <w:tcPr>
            <w:tcW w:w="3796" w:type="dxa"/>
          </w:tcPr>
          <w:p w:rsidR="004C5F33" w:rsidRDefault="00060B01" w:rsidP="00164256">
            <w:hyperlink r:id="rId30" w:history="1">
              <w:r w:rsidR="004C5F33" w:rsidRPr="008835FE">
                <w:rPr>
                  <w:rStyle w:val="Hyperlink"/>
                  <w:rFonts w:cs="FSMe-Bold"/>
                </w:rPr>
                <w:t>feedback@ndis.gov.au</w:t>
              </w:r>
            </w:hyperlink>
          </w:p>
        </w:tc>
      </w:tr>
      <w:tr w:rsidR="004C5F33" w:rsidTr="004C5F33">
        <w:tc>
          <w:tcPr>
            <w:tcW w:w="3074" w:type="dxa"/>
          </w:tcPr>
          <w:p w:rsidR="004C5F33" w:rsidRDefault="004C5F33" w:rsidP="00164256">
            <w:r>
              <w:t>How the NDIA has managed a complaint</w:t>
            </w:r>
          </w:p>
        </w:tc>
        <w:tc>
          <w:tcPr>
            <w:tcW w:w="3048" w:type="dxa"/>
          </w:tcPr>
          <w:p w:rsidR="004C5F33" w:rsidRDefault="004C5F33" w:rsidP="00164256">
            <w:r>
              <w:t>NDIA</w:t>
            </w:r>
          </w:p>
          <w:p w:rsidR="004C5F33" w:rsidRDefault="004C5F33" w:rsidP="00164256">
            <w:r>
              <w:t>Commonwealth Ombudsman</w:t>
            </w:r>
          </w:p>
        </w:tc>
        <w:tc>
          <w:tcPr>
            <w:tcW w:w="3796" w:type="dxa"/>
          </w:tcPr>
          <w:p w:rsidR="004C5F33" w:rsidRDefault="00060B01" w:rsidP="00164256">
            <w:hyperlink r:id="rId31" w:history="1">
              <w:r w:rsidR="004C5F33" w:rsidRPr="008835FE">
                <w:rPr>
                  <w:rStyle w:val="Hyperlink"/>
                  <w:rFonts w:cs="FSMe-Bold"/>
                </w:rPr>
                <w:t>feedback@ndis.gov.au</w:t>
              </w:r>
            </w:hyperlink>
          </w:p>
          <w:p w:rsidR="004C5F33" w:rsidRDefault="00B534D7" w:rsidP="00164256">
            <w:r>
              <w:t xml:space="preserve">via online complaint form at </w:t>
            </w:r>
            <w:hyperlink r:id="rId32" w:history="1">
              <w:r w:rsidRPr="00D64B16">
                <w:rPr>
                  <w:rStyle w:val="Hyperlink"/>
                  <w:rFonts w:cs="FSMe-Bold"/>
                </w:rPr>
                <w:t>http://www.ombudsman.gov.au/making-a-complaint</w:t>
              </w:r>
            </w:hyperlink>
            <w:r>
              <w:t xml:space="preserve"> </w:t>
            </w:r>
          </w:p>
        </w:tc>
      </w:tr>
    </w:tbl>
    <w:p w:rsidR="00164256" w:rsidRPr="00164256" w:rsidRDefault="00164256" w:rsidP="00164256"/>
    <w:p w:rsidR="009A3FCD" w:rsidRPr="00124558" w:rsidRDefault="009A3FCD" w:rsidP="00C244AE">
      <w:pPr>
        <w:rPr>
          <w:rFonts w:cs="Arial"/>
          <w:b/>
          <w:color w:val="auto"/>
        </w:rPr>
      </w:pPr>
    </w:p>
    <w:p w:rsidR="00CA2799" w:rsidRPr="00124558" w:rsidRDefault="00CA2799" w:rsidP="00CA2799">
      <w:pPr>
        <w:pStyle w:val="Heading1"/>
        <w:rPr>
          <w:rFonts w:cs="Arial"/>
          <w:color w:val="auto"/>
        </w:rPr>
      </w:pPr>
      <w:bookmarkStart w:id="26" w:name="_Toc513450484"/>
      <w:r w:rsidRPr="00124558">
        <w:rPr>
          <w:rFonts w:cs="Arial"/>
          <w:color w:val="auto"/>
        </w:rPr>
        <w:t>Serious Incidents</w:t>
      </w:r>
      <w:bookmarkEnd w:id="26"/>
    </w:p>
    <w:p w:rsidR="00CA2799" w:rsidRPr="00124558" w:rsidRDefault="00CA2799" w:rsidP="001D0710">
      <w:pPr>
        <w:pStyle w:val="Heading2"/>
      </w:pPr>
      <w:r w:rsidRPr="00124558">
        <w:t xml:space="preserve"> </w:t>
      </w:r>
      <w:bookmarkStart w:id="27" w:name="_Toc513450485"/>
      <w:r w:rsidRPr="00124558">
        <w:t>NT Serious Incidents requirements</w:t>
      </w:r>
      <w:bookmarkEnd w:id="27"/>
    </w:p>
    <w:p w:rsidR="00081DE0" w:rsidRDefault="00081DE0" w:rsidP="009E4A84">
      <w:pPr>
        <w:rPr>
          <w:rFonts w:cs="Arial"/>
          <w:color w:val="auto"/>
        </w:rPr>
      </w:pPr>
      <w:r w:rsidRPr="00081DE0">
        <w:rPr>
          <w:rFonts w:cs="Arial"/>
          <w:color w:val="auto"/>
        </w:rPr>
        <w:t xml:space="preserve">The </w:t>
      </w:r>
      <w:r w:rsidRPr="005C4F6B">
        <w:rPr>
          <w:rFonts w:cs="Arial"/>
          <w:i/>
          <w:color w:val="auto"/>
        </w:rPr>
        <w:t>NT Quality and Safeguarding Framework</w:t>
      </w:r>
      <w:r w:rsidRPr="00081DE0">
        <w:rPr>
          <w:rFonts w:cs="Arial"/>
          <w:color w:val="auto"/>
        </w:rPr>
        <w:t xml:space="preserve"> </w:t>
      </w:r>
      <w:r w:rsidR="009F0537">
        <w:rPr>
          <w:rFonts w:cs="Arial"/>
          <w:color w:val="auto"/>
        </w:rPr>
        <w:t xml:space="preserve">(Framework) </w:t>
      </w:r>
      <w:r w:rsidRPr="00081DE0">
        <w:rPr>
          <w:rFonts w:cs="Arial"/>
          <w:color w:val="auto"/>
        </w:rPr>
        <w:t xml:space="preserve">requires all providers </w:t>
      </w:r>
      <w:r>
        <w:rPr>
          <w:rFonts w:cs="Arial"/>
          <w:color w:val="auto"/>
        </w:rPr>
        <w:t>delivering</w:t>
      </w:r>
      <w:r w:rsidRPr="00081DE0">
        <w:rPr>
          <w:rFonts w:cs="Arial"/>
          <w:color w:val="auto"/>
        </w:rPr>
        <w:t xml:space="preserve"> supports under the NDIS in the Northern Territory to have policies and procedures t</w:t>
      </w:r>
      <w:r w:rsidR="009F0537">
        <w:rPr>
          <w:rFonts w:cs="Arial"/>
          <w:color w:val="auto"/>
        </w:rPr>
        <w:t xml:space="preserve">o </w:t>
      </w:r>
      <w:r w:rsidR="007F3B62" w:rsidRPr="00081DE0">
        <w:rPr>
          <w:rFonts w:cs="Arial"/>
          <w:color w:val="auto"/>
        </w:rPr>
        <w:t>assist in</w:t>
      </w:r>
      <w:r w:rsidRPr="00081DE0">
        <w:rPr>
          <w:rFonts w:cs="Arial"/>
          <w:color w:val="auto"/>
        </w:rPr>
        <w:t xml:space="preserve"> </w:t>
      </w:r>
      <w:r w:rsidR="009F0537">
        <w:rPr>
          <w:rFonts w:cs="Arial"/>
          <w:color w:val="auto"/>
        </w:rPr>
        <w:t xml:space="preserve">the </w:t>
      </w:r>
      <w:r w:rsidRPr="00081DE0">
        <w:rPr>
          <w:rFonts w:cs="Arial"/>
          <w:color w:val="auto"/>
        </w:rPr>
        <w:t>preventi</w:t>
      </w:r>
      <w:r w:rsidR="009F0537">
        <w:rPr>
          <w:rFonts w:cs="Arial"/>
          <w:color w:val="auto"/>
        </w:rPr>
        <w:t>on</w:t>
      </w:r>
      <w:r w:rsidRPr="00081DE0">
        <w:rPr>
          <w:rFonts w:cs="Arial"/>
          <w:color w:val="auto"/>
        </w:rPr>
        <w:t>, identif</w:t>
      </w:r>
      <w:r w:rsidR="009F0537">
        <w:rPr>
          <w:rFonts w:cs="Arial"/>
          <w:color w:val="auto"/>
        </w:rPr>
        <w:t>ication</w:t>
      </w:r>
      <w:r w:rsidRPr="00081DE0">
        <w:rPr>
          <w:rFonts w:cs="Arial"/>
          <w:color w:val="auto"/>
        </w:rPr>
        <w:t xml:space="preserve"> and respon</w:t>
      </w:r>
      <w:r w:rsidR="009F0537">
        <w:rPr>
          <w:rFonts w:cs="Arial"/>
          <w:color w:val="auto"/>
        </w:rPr>
        <w:t>se</w:t>
      </w:r>
      <w:r w:rsidRPr="00081DE0">
        <w:rPr>
          <w:rFonts w:cs="Arial"/>
          <w:color w:val="auto"/>
        </w:rPr>
        <w:t xml:space="preserve"> to critical incidents that impact upon participants.</w:t>
      </w:r>
    </w:p>
    <w:p w:rsidR="00D54502" w:rsidRPr="00124558" w:rsidRDefault="00081DE0" w:rsidP="00D54502">
      <w:pPr>
        <w:rPr>
          <w:rFonts w:cs="Arial"/>
          <w:color w:val="auto"/>
        </w:rPr>
      </w:pPr>
      <w:r>
        <w:rPr>
          <w:rFonts w:cs="Arial"/>
          <w:color w:val="auto"/>
        </w:rPr>
        <w:t>The N</w:t>
      </w:r>
      <w:r w:rsidR="00B54CA9">
        <w:rPr>
          <w:rFonts w:cs="Arial"/>
          <w:color w:val="auto"/>
        </w:rPr>
        <w:t xml:space="preserve">T </w:t>
      </w:r>
      <w:r>
        <w:rPr>
          <w:rFonts w:cs="Arial"/>
          <w:color w:val="auto"/>
        </w:rPr>
        <w:t xml:space="preserve">Government </w:t>
      </w:r>
      <w:r w:rsidR="00A65B07">
        <w:rPr>
          <w:rFonts w:cs="Arial"/>
          <w:color w:val="auto"/>
        </w:rPr>
        <w:t xml:space="preserve">will </w:t>
      </w:r>
      <w:r>
        <w:rPr>
          <w:rFonts w:cs="Arial"/>
          <w:color w:val="auto"/>
        </w:rPr>
        <w:t>issu</w:t>
      </w:r>
      <w:r w:rsidR="007E040C">
        <w:rPr>
          <w:rFonts w:cs="Arial"/>
          <w:color w:val="auto"/>
        </w:rPr>
        <w:t>e</w:t>
      </w:r>
      <w:r>
        <w:rPr>
          <w:rFonts w:cs="Arial"/>
          <w:color w:val="auto"/>
        </w:rPr>
        <w:t xml:space="preserve"> all NDIS providers </w:t>
      </w:r>
      <w:r w:rsidR="009F0537">
        <w:rPr>
          <w:rFonts w:cs="Arial"/>
          <w:color w:val="auto"/>
        </w:rPr>
        <w:t>in the N</w:t>
      </w:r>
      <w:r w:rsidR="00A65B07">
        <w:rPr>
          <w:rFonts w:cs="Arial"/>
          <w:color w:val="auto"/>
        </w:rPr>
        <w:t xml:space="preserve">T </w:t>
      </w:r>
      <w:r w:rsidR="009F0537">
        <w:rPr>
          <w:rFonts w:cs="Arial"/>
          <w:color w:val="auto"/>
        </w:rPr>
        <w:t xml:space="preserve">with </w:t>
      </w:r>
      <w:r>
        <w:rPr>
          <w:rFonts w:cs="Arial"/>
          <w:i/>
          <w:color w:val="auto"/>
        </w:rPr>
        <w:t>Critical Incident Reporting Guidelines</w:t>
      </w:r>
      <w:r w:rsidR="00B54CA9">
        <w:rPr>
          <w:rFonts w:cs="Arial"/>
          <w:color w:val="auto"/>
        </w:rPr>
        <w:t xml:space="preserve"> (Guidelines)</w:t>
      </w:r>
      <w:r w:rsidR="009F0537">
        <w:rPr>
          <w:rFonts w:cs="Arial"/>
          <w:i/>
          <w:color w:val="auto"/>
        </w:rPr>
        <w:t xml:space="preserve">, </w:t>
      </w:r>
      <w:r w:rsidR="009F0537" w:rsidRPr="005C4F6B">
        <w:rPr>
          <w:rFonts w:cs="Arial"/>
          <w:color w:val="auto"/>
        </w:rPr>
        <w:t>which</w:t>
      </w:r>
      <w:r w:rsidRPr="005C4F6B">
        <w:rPr>
          <w:rFonts w:cs="Arial"/>
          <w:color w:val="auto"/>
        </w:rPr>
        <w:t xml:space="preserve"> </w:t>
      </w:r>
      <w:r>
        <w:rPr>
          <w:rFonts w:cs="Arial"/>
          <w:color w:val="auto"/>
        </w:rPr>
        <w:t>outlin</w:t>
      </w:r>
      <w:r w:rsidR="009F0537">
        <w:rPr>
          <w:rFonts w:cs="Arial"/>
          <w:color w:val="auto"/>
        </w:rPr>
        <w:t>es</w:t>
      </w:r>
      <w:r>
        <w:rPr>
          <w:rFonts w:cs="Arial"/>
          <w:color w:val="auto"/>
        </w:rPr>
        <w:t xml:space="preserve"> the roles and responsibilities of providers </w:t>
      </w:r>
      <w:r w:rsidR="009F0537">
        <w:rPr>
          <w:rFonts w:cs="Arial"/>
          <w:color w:val="auto"/>
        </w:rPr>
        <w:t xml:space="preserve">in relation </w:t>
      </w:r>
      <w:r>
        <w:rPr>
          <w:rFonts w:cs="Arial"/>
          <w:color w:val="auto"/>
        </w:rPr>
        <w:t>to</w:t>
      </w:r>
      <w:r w:rsidR="001D766A">
        <w:rPr>
          <w:rFonts w:cs="Arial"/>
          <w:color w:val="auto"/>
        </w:rPr>
        <w:t xml:space="preserve"> </w:t>
      </w:r>
      <w:r>
        <w:rPr>
          <w:rFonts w:cs="Arial"/>
          <w:color w:val="auto"/>
        </w:rPr>
        <w:t xml:space="preserve">the </w:t>
      </w:r>
      <w:r w:rsidRPr="00081DE0">
        <w:rPr>
          <w:rFonts w:cs="Arial"/>
          <w:color w:val="auto"/>
        </w:rPr>
        <w:t xml:space="preserve">occurrence of a reportable incident. The </w:t>
      </w:r>
      <w:r w:rsidR="009F0537">
        <w:rPr>
          <w:rFonts w:cs="Arial"/>
          <w:color w:val="auto"/>
        </w:rPr>
        <w:t>G</w:t>
      </w:r>
      <w:r w:rsidRPr="00081DE0">
        <w:rPr>
          <w:rFonts w:cs="Arial"/>
          <w:color w:val="auto"/>
        </w:rPr>
        <w:t xml:space="preserve">uidelines specify </w:t>
      </w:r>
      <w:r w:rsidR="009F0537">
        <w:rPr>
          <w:rFonts w:cs="Arial"/>
          <w:color w:val="auto"/>
        </w:rPr>
        <w:t xml:space="preserve">the scope of a critical incident, the </w:t>
      </w:r>
      <w:r w:rsidRPr="00081DE0">
        <w:rPr>
          <w:rFonts w:cs="Arial"/>
          <w:color w:val="auto"/>
        </w:rPr>
        <w:t>reporting requirements and timeframes</w:t>
      </w:r>
      <w:r w:rsidR="001D766A">
        <w:rPr>
          <w:rFonts w:cs="Arial"/>
          <w:color w:val="auto"/>
        </w:rPr>
        <w:t xml:space="preserve"> </w:t>
      </w:r>
      <w:r w:rsidRPr="00081DE0">
        <w:rPr>
          <w:rFonts w:cs="Arial"/>
          <w:color w:val="auto"/>
        </w:rPr>
        <w:t xml:space="preserve">for </w:t>
      </w:r>
      <w:r w:rsidR="00B54CA9">
        <w:rPr>
          <w:rFonts w:cs="Arial"/>
          <w:color w:val="auto"/>
        </w:rPr>
        <w:t xml:space="preserve">notification </w:t>
      </w:r>
      <w:r w:rsidR="009F0537">
        <w:rPr>
          <w:rFonts w:cs="Arial"/>
          <w:color w:val="auto"/>
        </w:rPr>
        <w:t>to the Office of Disability</w:t>
      </w:r>
      <w:r w:rsidRPr="00081DE0">
        <w:rPr>
          <w:rFonts w:cs="Arial"/>
          <w:color w:val="auto"/>
        </w:rPr>
        <w:t>.</w:t>
      </w:r>
      <w:r w:rsidR="009F0537">
        <w:rPr>
          <w:rFonts w:cs="Arial"/>
          <w:color w:val="auto"/>
        </w:rPr>
        <w:t xml:space="preserve">  The Guidelines also provide opportunity to develop a Quality Improvement Plan to address actions against the indicators within the Framework</w:t>
      </w:r>
      <w:r w:rsidRPr="00081DE0">
        <w:rPr>
          <w:rFonts w:cs="Arial"/>
          <w:color w:val="auto"/>
        </w:rPr>
        <w:t xml:space="preserve"> aimed at the prevention of</w:t>
      </w:r>
      <w:r>
        <w:rPr>
          <w:rFonts w:cs="Arial"/>
          <w:color w:val="auto"/>
        </w:rPr>
        <w:t xml:space="preserve"> future critical incidents and p</w:t>
      </w:r>
      <w:r w:rsidRPr="00081DE0">
        <w:rPr>
          <w:rFonts w:cs="Arial"/>
          <w:color w:val="auto"/>
        </w:rPr>
        <w:t>articipant harm</w:t>
      </w:r>
      <w:r>
        <w:rPr>
          <w:rFonts w:cs="Arial"/>
          <w:color w:val="auto"/>
        </w:rPr>
        <w:t xml:space="preserve">. </w:t>
      </w:r>
    </w:p>
    <w:p w:rsidR="00CA2799" w:rsidRPr="00124558" w:rsidRDefault="00CA2799" w:rsidP="001D0710">
      <w:pPr>
        <w:pStyle w:val="Heading2"/>
      </w:pPr>
      <w:bookmarkStart w:id="28" w:name="_Toc513450486"/>
      <w:r w:rsidRPr="00124558">
        <w:t>During transition</w:t>
      </w:r>
      <w:bookmarkEnd w:id="28"/>
    </w:p>
    <w:p w:rsidR="00D54502" w:rsidRPr="00124558" w:rsidRDefault="00D54502" w:rsidP="00D54502">
      <w:pPr>
        <w:rPr>
          <w:rFonts w:cs="Arial"/>
          <w:color w:val="auto"/>
        </w:rPr>
      </w:pPr>
      <w:r w:rsidRPr="00124558">
        <w:rPr>
          <w:rFonts w:cs="Arial"/>
          <w:color w:val="auto"/>
        </w:rPr>
        <w:t>Providers must adhere to the mandatory good practice indicators outlined in the ‘Critical Incident Management’ sections of the Framework and any practice guideline issued pursuant to the Framework and these practice indicators.</w:t>
      </w:r>
    </w:p>
    <w:p w:rsidR="00081DE0" w:rsidRDefault="00081DE0" w:rsidP="00081DE0">
      <w:pPr>
        <w:rPr>
          <w:rFonts w:cs="Arial"/>
          <w:color w:val="auto"/>
        </w:rPr>
      </w:pPr>
      <w:r>
        <w:rPr>
          <w:rFonts w:cs="Arial"/>
          <w:color w:val="auto"/>
        </w:rPr>
        <w:t xml:space="preserve">Providers have an </w:t>
      </w:r>
      <w:r w:rsidRPr="00B439C4">
        <w:rPr>
          <w:rFonts w:cs="Arial"/>
          <w:color w:val="auto"/>
        </w:rPr>
        <w:t xml:space="preserve">obligation to </w:t>
      </w:r>
      <w:r>
        <w:rPr>
          <w:rFonts w:cs="Arial"/>
          <w:color w:val="auto"/>
        </w:rPr>
        <w:t>notify</w:t>
      </w:r>
      <w:r w:rsidRPr="00B439C4">
        <w:rPr>
          <w:rFonts w:cs="Arial"/>
          <w:color w:val="auto"/>
        </w:rPr>
        <w:t xml:space="preserve"> the </w:t>
      </w:r>
      <w:r w:rsidR="00FA14E3">
        <w:rPr>
          <w:rFonts w:cs="Arial"/>
          <w:color w:val="auto"/>
        </w:rPr>
        <w:t>NT Government</w:t>
      </w:r>
      <w:r>
        <w:rPr>
          <w:rFonts w:cs="Arial"/>
          <w:color w:val="auto"/>
        </w:rPr>
        <w:t xml:space="preserve"> </w:t>
      </w:r>
      <w:r w:rsidRPr="00B439C4">
        <w:rPr>
          <w:rFonts w:cs="Arial"/>
          <w:color w:val="auto"/>
        </w:rPr>
        <w:t>of a critical incident</w:t>
      </w:r>
      <w:r>
        <w:rPr>
          <w:rFonts w:cs="Arial"/>
          <w:color w:val="auto"/>
        </w:rPr>
        <w:t xml:space="preserve"> and provide information on the management of incidents within the determined timeframes. </w:t>
      </w:r>
      <w:r w:rsidRPr="00B439C4">
        <w:rPr>
          <w:rFonts w:cs="Arial"/>
          <w:color w:val="auto"/>
        </w:rPr>
        <w:t>P</w:t>
      </w:r>
      <w:r>
        <w:rPr>
          <w:rFonts w:cs="Arial"/>
          <w:color w:val="auto"/>
        </w:rPr>
        <w:t xml:space="preserve">roviders </w:t>
      </w:r>
      <w:r w:rsidR="009F0537">
        <w:rPr>
          <w:rFonts w:cs="Arial"/>
          <w:color w:val="auto"/>
        </w:rPr>
        <w:t xml:space="preserve">are to </w:t>
      </w:r>
      <w:r>
        <w:rPr>
          <w:rFonts w:cs="Arial"/>
          <w:color w:val="auto"/>
        </w:rPr>
        <w:t xml:space="preserve">have </w:t>
      </w:r>
      <w:r w:rsidR="009F0537">
        <w:rPr>
          <w:rFonts w:cs="Arial"/>
          <w:color w:val="auto"/>
        </w:rPr>
        <w:t xml:space="preserve">a </w:t>
      </w:r>
      <w:r>
        <w:rPr>
          <w:rFonts w:cs="Arial"/>
          <w:color w:val="auto"/>
        </w:rPr>
        <w:t xml:space="preserve">policy and </w:t>
      </w:r>
      <w:r w:rsidR="006F57D0">
        <w:rPr>
          <w:rFonts w:cs="Arial"/>
          <w:color w:val="auto"/>
        </w:rPr>
        <w:t>procedures</w:t>
      </w:r>
      <w:r w:rsidRPr="00B439C4">
        <w:rPr>
          <w:rFonts w:cs="Arial"/>
          <w:color w:val="auto"/>
        </w:rPr>
        <w:t xml:space="preserve"> in place for </w:t>
      </w:r>
      <w:r>
        <w:rPr>
          <w:rFonts w:cs="Arial"/>
          <w:color w:val="auto"/>
        </w:rPr>
        <w:t>internal</w:t>
      </w:r>
      <w:r w:rsidRPr="00B439C4">
        <w:rPr>
          <w:rFonts w:cs="Arial"/>
          <w:color w:val="auto"/>
        </w:rPr>
        <w:t xml:space="preserve"> reporting, recording and manage</w:t>
      </w:r>
      <w:r>
        <w:rPr>
          <w:rFonts w:cs="Arial"/>
          <w:color w:val="auto"/>
        </w:rPr>
        <w:t>ment of near misses and</w:t>
      </w:r>
      <w:r w:rsidRPr="00B439C4">
        <w:rPr>
          <w:rFonts w:cs="Arial"/>
          <w:color w:val="auto"/>
        </w:rPr>
        <w:t xml:space="preserve"> incidents n</w:t>
      </w:r>
      <w:r>
        <w:rPr>
          <w:rFonts w:cs="Arial"/>
          <w:color w:val="auto"/>
        </w:rPr>
        <w:t>ot within the scope of reportable incidents</w:t>
      </w:r>
      <w:r w:rsidR="002E6E30">
        <w:rPr>
          <w:rFonts w:cs="Arial"/>
          <w:color w:val="auto"/>
        </w:rPr>
        <w:t xml:space="preserve">, and </w:t>
      </w:r>
      <w:r>
        <w:rPr>
          <w:rFonts w:cs="Arial"/>
          <w:color w:val="auto"/>
        </w:rPr>
        <w:t xml:space="preserve">to </w:t>
      </w:r>
      <w:r w:rsidRPr="005B4C90">
        <w:rPr>
          <w:rFonts w:cs="Arial"/>
          <w:color w:val="auto"/>
        </w:rPr>
        <w:t>undertake corrective action, and where necessary review and amend policies and procedures to prevent reoccurrence</w:t>
      </w:r>
      <w:r>
        <w:rPr>
          <w:rFonts w:cs="Arial"/>
          <w:color w:val="auto"/>
        </w:rPr>
        <w:t xml:space="preserve"> of incidents. </w:t>
      </w:r>
    </w:p>
    <w:p w:rsidR="00D54502" w:rsidRPr="00124558" w:rsidRDefault="00D54502" w:rsidP="00D54502">
      <w:pPr>
        <w:rPr>
          <w:rFonts w:cs="Arial"/>
          <w:color w:val="auto"/>
        </w:rPr>
      </w:pPr>
      <w:r w:rsidRPr="00124558">
        <w:rPr>
          <w:rFonts w:cs="Arial"/>
          <w:color w:val="auto"/>
        </w:rPr>
        <w:t>Whe</w:t>
      </w:r>
      <w:r w:rsidR="009F0537">
        <w:rPr>
          <w:rFonts w:cs="Arial"/>
          <w:color w:val="auto"/>
        </w:rPr>
        <w:t>n</w:t>
      </w:r>
      <w:r w:rsidRPr="00124558">
        <w:rPr>
          <w:rFonts w:cs="Arial"/>
          <w:color w:val="auto"/>
        </w:rPr>
        <w:t xml:space="preserve"> a critical incident occurs, providers are required to follow the</w:t>
      </w:r>
      <w:r w:rsidR="00081DE0">
        <w:rPr>
          <w:rFonts w:cs="Arial"/>
          <w:color w:val="auto"/>
        </w:rPr>
        <w:t xml:space="preserve"> Guidelines</w:t>
      </w:r>
      <w:r w:rsidR="00FA14E3">
        <w:rPr>
          <w:rFonts w:cs="Arial"/>
          <w:color w:val="auto"/>
        </w:rPr>
        <w:t>,</w:t>
      </w:r>
      <w:r w:rsidRPr="00124558">
        <w:rPr>
          <w:rFonts w:cs="Arial"/>
          <w:color w:val="auto"/>
        </w:rPr>
        <w:t xml:space="preserve"> including reporting the critical incident to </w:t>
      </w:r>
      <w:hyperlink r:id="rId33" w:history="1">
        <w:r w:rsidR="006F57D0" w:rsidRPr="006F57D0">
          <w:rPr>
            <w:rStyle w:val="Hyperlink"/>
            <w:rFonts w:cs="Arial"/>
            <w:lang w:val="en-AU"/>
          </w:rPr>
          <w:t>cirDisability.DOH@nt.gov.au</w:t>
        </w:r>
      </w:hyperlink>
      <w:r w:rsidR="006F57D0">
        <w:rPr>
          <w:rFonts w:cs="Arial"/>
          <w:color w:val="auto"/>
        </w:rPr>
        <w:t xml:space="preserve"> within the timeframes outlined within the </w:t>
      </w:r>
      <w:r w:rsidR="005C14FF">
        <w:rPr>
          <w:rFonts w:cs="Arial"/>
          <w:color w:val="auto"/>
        </w:rPr>
        <w:t>G</w:t>
      </w:r>
      <w:r w:rsidR="006F57D0">
        <w:rPr>
          <w:rFonts w:cs="Arial"/>
          <w:color w:val="auto"/>
        </w:rPr>
        <w:t xml:space="preserve">uidelines. </w:t>
      </w:r>
    </w:p>
    <w:p w:rsidR="00DA1600" w:rsidRPr="00124558" w:rsidRDefault="00D54502" w:rsidP="00DA1600">
      <w:pPr>
        <w:rPr>
          <w:rFonts w:cs="Arial"/>
          <w:color w:val="auto"/>
        </w:rPr>
      </w:pPr>
      <w:r w:rsidRPr="00124558">
        <w:rPr>
          <w:rFonts w:cs="Arial"/>
          <w:color w:val="auto"/>
        </w:rPr>
        <w:t xml:space="preserve">A reported critical incident may constitute non-compliance under the Framework. </w:t>
      </w:r>
      <w:r w:rsidR="00DA1600" w:rsidRPr="00124558">
        <w:rPr>
          <w:rFonts w:cs="Arial"/>
          <w:color w:val="auto"/>
        </w:rPr>
        <w:t>If an NDIS provider of disability services fails to comply with the requirements</w:t>
      </w:r>
      <w:r w:rsidR="006F57D0">
        <w:rPr>
          <w:rFonts w:cs="Arial"/>
          <w:color w:val="auto"/>
        </w:rPr>
        <w:t xml:space="preserve"> of the </w:t>
      </w:r>
      <w:r w:rsidR="006F57D0" w:rsidRPr="00334407">
        <w:rPr>
          <w:rFonts w:cs="Arial"/>
          <w:i/>
          <w:color w:val="auto"/>
        </w:rPr>
        <w:t>Critical Incident Reporting Guidelines</w:t>
      </w:r>
      <w:r w:rsidR="00DA1600" w:rsidRPr="00124558">
        <w:rPr>
          <w:rFonts w:cs="Arial"/>
          <w:color w:val="auto"/>
        </w:rPr>
        <w:t>, the N</w:t>
      </w:r>
      <w:r w:rsidR="006F57D0">
        <w:rPr>
          <w:rFonts w:cs="Arial"/>
          <w:color w:val="auto"/>
        </w:rPr>
        <w:t xml:space="preserve">orthern </w:t>
      </w:r>
      <w:r w:rsidR="00FA14E3">
        <w:rPr>
          <w:rFonts w:cs="Arial"/>
          <w:color w:val="auto"/>
        </w:rPr>
        <w:t xml:space="preserve">Territory </w:t>
      </w:r>
      <w:r w:rsidR="00FA14E3" w:rsidRPr="00124558">
        <w:rPr>
          <w:rFonts w:cs="Arial"/>
          <w:color w:val="auto"/>
        </w:rPr>
        <w:t>Government</w:t>
      </w:r>
      <w:r w:rsidR="006F57D0">
        <w:rPr>
          <w:rFonts w:cs="Arial"/>
          <w:color w:val="auto"/>
        </w:rPr>
        <w:t xml:space="preserve"> may engage the provider in quality improvement measures</w:t>
      </w:r>
      <w:r w:rsidR="002E6E30">
        <w:rPr>
          <w:rFonts w:cs="Arial"/>
          <w:color w:val="auto"/>
        </w:rPr>
        <w:t xml:space="preserve">.  </w:t>
      </w:r>
      <w:r w:rsidR="006F57D0">
        <w:rPr>
          <w:rFonts w:cs="Arial"/>
          <w:color w:val="auto"/>
        </w:rPr>
        <w:t xml:space="preserve">If non-compliance with the requirements of the </w:t>
      </w:r>
      <w:r w:rsidR="006F57D0" w:rsidRPr="00334407">
        <w:rPr>
          <w:rFonts w:cs="Arial"/>
          <w:i/>
          <w:color w:val="auto"/>
        </w:rPr>
        <w:t>Critical Incident Reporting Guidelines</w:t>
      </w:r>
      <w:r w:rsidR="006F57D0">
        <w:rPr>
          <w:rFonts w:cs="Arial"/>
          <w:color w:val="auto"/>
        </w:rPr>
        <w:t xml:space="preserve"> is apparent</w:t>
      </w:r>
      <w:r w:rsidR="002E6E30">
        <w:rPr>
          <w:rFonts w:cs="Arial"/>
          <w:color w:val="auto"/>
        </w:rPr>
        <w:t>,</w:t>
      </w:r>
      <w:r w:rsidR="006F57D0">
        <w:rPr>
          <w:rFonts w:cs="Arial"/>
          <w:color w:val="auto"/>
        </w:rPr>
        <w:t xml:space="preserve"> the Northern Territory Government</w:t>
      </w:r>
      <w:r w:rsidR="00DA1600" w:rsidRPr="00124558">
        <w:rPr>
          <w:rFonts w:cs="Arial"/>
          <w:color w:val="auto"/>
        </w:rPr>
        <w:t xml:space="preserve"> will report this failure to the NDIA</w:t>
      </w:r>
      <w:r w:rsidR="00E274E3">
        <w:rPr>
          <w:rFonts w:cs="Arial"/>
          <w:color w:val="auto"/>
        </w:rPr>
        <w:t xml:space="preserve"> as a major non-compliance, and recommend the NDIA</w:t>
      </w:r>
      <w:r w:rsidR="002E6E30">
        <w:rPr>
          <w:rFonts w:cs="Arial"/>
          <w:color w:val="auto"/>
        </w:rPr>
        <w:t xml:space="preserve"> initiate</w:t>
      </w:r>
      <w:r w:rsidR="00E274E3">
        <w:rPr>
          <w:rFonts w:cs="Arial"/>
          <w:color w:val="auto"/>
        </w:rPr>
        <w:t xml:space="preserve"> ‘show cause’ process under s72 of the NDIS Act.</w:t>
      </w:r>
      <w:r w:rsidR="00DA1600" w:rsidRPr="00124558">
        <w:rPr>
          <w:rFonts w:cs="Arial"/>
          <w:color w:val="auto"/>
        </w:rPr>
        <w:t xml:space="preserve"> </w:t>
      </w:r>
    </w:p>
    <w:p w:rsidR="00CA2799" w:rsidRPr="00124558" w:rsidRDefault="00CA2799" w:rsidP="00CA2799">
      <w:pPr>
        <w:rPr>
          <w:rFonts w:cs="Arial"/>
          <w:color w:val="auto"/>
        </w:rPr>
      </w:pPr>
      <w:r w:rsidRPr="00124558">
        <w:rPr>
          <w:rFonts w:cs="Arial"/>
          <w:color w:val="auto"/>
        </w:rPr>
        <w:t xml:space="preserve">The NDIA’s role is limited to situations where a NDIA staff member witnesses or becomes aware of a critical incident involving a NT registered NDIS provider. </w:t>
      </w:r>
      <w:r w:rsidR="00D54502" w:rsidRPr="00124558">
        <w:rPr>
          <w:rFonts w:cs="Arial"/>
          <w:color w:val="auto"/>
        </w:rPr>
        <w:t xml:space="preserve"> </w:t>
      </w:r>
      <w:r w:rsidRPr="00124558">
        <w:rPr>
          <w:rFonts w:cs="Arial"/>
          <w:color w:val="auto"/>
        </w:rPr>
        <w:t>In these circumstances</w:t>
      </w:r>
      <w:r w:rsidR="006F57D0">
        <w:rPr>
          <w:rFonts w:cs="Arial"/>
          <w:color w:val="auto"/>
        </w:rPr>
        <w:t>,</w:t>
      </w:r>
      <w:r w:rsidRPr="00124558">
        <w:rPr>
          <w:rFonts w:cs="Arial"/>
          <w:color w:val="auto"/>
        </w:rPr>
        <w:t xml:space="preserve"> the NDIA will:</w:t>
      </w:r>
    </w:p>
    <w:p w:rsidR="00CA2799" w:rsidRPr="00124558" w:rsidRDefault="00CA2799" w:rsidP="00CA2799">
      <w:pPr>
        <w:pStyle w:val="ListParagraph"/>
        <w:numPr>
          <w:ilvl w:val="0"/>
          <w:numId w:val="23"/>
        </w:numPr>
        <w:rPr>
          <w:rFonts w:ascii="Arial" w:hAnsi="Arial" w:cs="Arial"/>
          <w:color w:val="auto"/>
        </w:rPr>
      </w:pPr>
      <w:r w:rsidRPr="00124558">
        <w:rPr>
          <w:rFonts w:ascii="Arial" w:hAnsi="Arial" w:cs="Arial"/>
          <w:color w:val="auto"/>
        </w:rPr>
        <w:lastRenderedPageBreak/>
        <w:t>Where necessary, initia</w:t>
      </w:r>
      <w:r w:rsidR="002833EA" w:rsidRPr="00124558">
        <w:rPr>
          <w:rFonts w:ascii="Arial" w:hAnsi="Arial" w:cs="Arial"/>
          <w:color w:val="auto"/>
        </w:rPr>
        <w:t>te a crisis response to respond</w:t>
      </w:r>
      <w:r w:rsidRPr="00124558">
        <w:rPr>
          <w:rFonts w:ascii="Arial" w:hAnsi="Arial" w:cs="Arial"/>
          <w:color w:val="auto"/>
        </w:rPr>
        <w:t xml:space="preserve"> to the immediate needs of the </w:t>
      </w:r>
      <w:r w:rsidR="005C14FF">
        <w:rPr>
          <w:rFonts w:ascii="Arial" w:hAnsi="Arial" w:cs="Arial"/>
          <w:color w:val="auto"/>
        </w:rPr>
        <w:t xml:space="preserve">participant </w:t>
      </w:r>
      <w:r w:rsidRPr="00124558">
        <w:rPr>
          <w:rFonts w:ascii="Arial" w:hAnsi="Arial" w:cs="Arial"/>
          <w:color w:val="auto"/>
        </w:rPr>
        <w:t>invol</w:t>
      </w:r>
      <w:r w:rsidR="002833EA" w:rsidRPr="00124558">
        <w:rPr>
          <w:rFonts w:ascii="Arial" w:hAnsi="Arial" w:cs="Arial"/>
          <w:color w:val="auto"/>
        </w:rPr>
        <w:t>v</w:t>
      </w:r>
      <w:r w:rsidRPr="00124558">
        <w:rPr>
          <w:rFonts w:ascii="Arial" w:hAnsi="Arial" w:cs="Arial"/>
          <w:color w:val="auto"/>
        </w:rPr>
        <w:t xml:space="preserve">ed and re-establish a safe </w:t>
      </w:r>
      <w:r w:rsidR="002833EA" w:rsidRPr="00124558">
        <w:rPr>
          <w:rFonts w:ascii="Arial" w:hAnsi="Arial" w:cs="Arial"/>
          <w:color w:val="auto"/>
        </w:rPr>
        <w:t>environment if required;</w:t>
      </w:r>
    </w:p>
    <w:p w:rsidR="00793179" w:rsidRPr="008E4999" w:rsidRDefault="002833EA" w:rsidP="00793179">
      <w:pPr>
        <w:pStyle w:val="ListParagraph"/>
        <w:numPr>
          <w:ilvl w:val="0"/>
          <w:numId w:val="23"/>
        </w:numPr>
        <w:rPr>
          <w:rFonts w:ascii="Arial" w:hAnsi="Arial" w:cs="Arial"/>
          <w:color w:val="auto"/>
        </w:rPr>
      </w:pPr>
      <w:r w:rsidRPr="00124558">
        <w:rPr>
          <w:rFonts w:ascii="Arial" w:hAnsi="Arial" w:cs="Arial"/>
          <w:color w:val="auto"/>
        </w:rPr>
        <w:t>Inform the designated NT Government contact as soon as possible</w:t>
      </w:r>
      <w:r w:rsidR="005C14FF">
        <w:rPr>
          <w:rFonts w:ascii="Arial" w:hAnsi="Arial" w:cs="Arial"/>
          <w:color w:val="auto"/>
        </w:rPr>
        <w:t>.</w:t>
      </w:r>
      <w:r w:rsidRPr="00124558">
        <w:rPr>
          <w:rFonts w:ascii="Arial" w:hAnsi="Arial" w:cs="Arial"/>
          <w:color w:val="auto"/>
        </w:rPr>
        <w:t xml:space="preserve"> </w:t>
      </w:r>
    </w:p>
    <w:p w:rsidR="00081DE0" w:rsidRPr="00793179" w:rsidRDefault="00081DE0" w:rsidP="00793179">
      <w:pPr>
        <w:rPr>
          <w:rFonts w:cs="Arial"/>
          <w:color w:val="auto"/>
        </w:rPr>
      </w:pPr>
      <w:r w:rsidRPr="00081DE0">
        <w:rPr>
          <w:rFonts w:cs="Arial"/>
          <w:color w:val="auto"/>
        </w:rPr>
        <w:t>The N</w:t>
      </w:r>
      <w:r w:rsidR="00B54CA9">
        <w:rPr>
          <w:rFonts w:cs="Arial"/>
          <w:color w:val="auto"/>
        </w:rPr>
        <w:t>T</w:t>
      </w:r>
      <w:r w:rsidRPr="00081DE0">
        <w:rPr>
          <w:rFonts w:cs="Arial"/>
          <w:color w:val="auto"/>
        </w:rPr>
        <w:t xml:space="preserve"> Government will continue to support providers during transition </w:t>
      </w:r>
      <w:r w:rsidR="005C14FF">
        <w:rPr>
          <w:rFonts w:cs="Arial"/>
          <w:color w:val="auto"/>
        </w:rPr>
        <w:t xml:space="preserve">to </w:t>
      </w:r>
      <w:r w:rsidRPr="00081DE0">
        <w:rPr>
          <w:rFonts w:cs="Arial"/>
          <w:color w:val="auto"/>
        </w:rPr>
        <w:t>develop a positive reporting culture to assist providers to meet the full Scheme NDIS Quality and Safeguards Framework in 2019.</w:t>
      </w:r>
    </w:p>
    <w:p w:rsidR="00C244AE" w:rsidRPr="00124558" w:rsidRDefault="00054A9A" w:rsidP="00876883">
      <w:pPr>
        <w:pStyle w:val="Heading1"/>
        <w:rPr>
          <w:rFonts w:cs="Arial"/>
          <w:color w:val="auto"/>
        </w:rPr>
      </w:pPr>
      <w:r w:rsidRPr="00124558">
        <w:rPr>
          <w:rFonts w:cs="Arial"/>
          <w:color w:val="auto"/>
        </w:rPr>
        <w:t xml:space="preserve"> </w:t>
      </w:r>
      <w:bookmarkStart w:id="29" w:name="_Toc513450487"/>
      <w:r w:rsidR="00C244AE" w:rsidRPr="00124558">
        <w:rPr>
          <w:rFonts w:cs="Arial"/>
          <w:color w:val="auto"/>
        </w:rPr>
        <w:t xml:space="preserve">Restrictive </w:t>
      </w:r>
      <w:r w:rsidRPr="00124558">
        <w:rPr>
          <w:rFonts w:cs="Arial"/>
          <w:color w:val="auto"/>
        </w:rPr>
        <w:t>p</w:t>
      </w:r>
      <w:r w:rsidR="00C244AE" w:rsidRPr="00124558">
        <w:rPr>
          <w:rFonts w:cs="Arial"/>
          <w:color w:val="auto"/>
        </w:rPr>
        <w:t>ractices</w:t>
      </w:r>
      <w:bookmarkEnd w:id="29"/>
    </w:p>
    <w:p w:rsidR="00C244AE" w:rsidRPr="00124558" w:rsidRDefault="00054A9A" w:rsidP="001D0710">
      <w:pPr>
        <w:pStyle w:val="Heading2"/>
      </w:pPr>
      <w:r w:rsidRPr="00124558">
        <w:t xml:space="preserve"> </w:t>
      </w:r>
      <w:bookmarkStart w:id="30" w:name="_Toc513450488"/>
      <w:r w:rsidR="00F97B51" w:rsidRPr="00124558">
        <w:t>NT</w:t>
      </w:r>
      <w:r w:rsidR="00EB5D9B" w:rsidRPr="00124558">
        <w:t xml:space="preserve"> r</w:t>
      </w:r>
      <w:r w:rsidR="00C244AE" w:rsidRPr="00124558">
        <w:t xml:space="preserve">estrictive </w:t>
      </w:r>
      <w:r w:rsidRPr="00124558">
        <w:t>p</w:t>
      </w:r>
      <w:r w:rsidR="00C244AE" w:rsidRPr="00124558">
        <w:t>ractices</w:t>
      </w:r>
      <w:bookmarkEnd w:id="30"/>
      <w:r w:rsidR="00C244AE" w:rsidRPr="00124558">
        <w:t xml:space="preserve"> </w:t>
      </w:r>
    </w:p>
    <w:p w:rsidR="00D54502" w:rsidRDefault="00D54502" w:rsidP="00D54502">
      <w:pPr>
        <w:rPr>
          <w:rFonts w:eastAsia="Calibri" w:cs="Arial"/>
          <w:color w:val="auto"/>
          <w:szCs w:val="22"/>
        </w:rPr>
      </w:pPr>
      <w:r w:rsidRPr="00124558">
        <w:rPr>
          <w:rFonts w:eastAsia="Calibri" w:cs="Arial"/>
          <w:color w:val="auto"/>
          <w:szCs w:val="22"/>
        </w:rPr>
        <w:t xml:space="preserve">Providers must act in accordance with all relevant Commonwealth and NT legislation, policies and guidelines, in regards to the use of restrictive practices.  </w:t>
      </w:r>
    </w:p>
    <w:p w:rsidR="00B54CA9" w:rsidRPr="008E4999" w:rsidRDefault="00D426C1" w:rsidP="00D54502">
      <w:pPr>
        <w:rPr>
          <w:rFonts w:eastAsia="Calibri" w:cs="Arial"/>
          <w:color w:val="auto"/>
          <w:szCs w:val="22"/>
        </w:rPr>
      </w:pPr>
      <w:r w:rsidRPr="00B54CA9">
        <w:rPr>
          <w:rFonts w:eastAsia="Calibri" w:cs="Arial"/>
          <w:color w:val="auto"/>
          <w:szCs w:val="22"/>
        </w:rPr>
        <w:t>The NT Government will issue guidelines regarding the use of restrictive practices to NDIS registered providers of specialist disability services.  These guidelines reflect Commonwealth and NT legislation as well as NT Government policies and current best practice with regard to the implementation of restrictive practices.  Throughout the transition to the NDIS, the NT Government will work with providers to ensure these guidelines are applied.  Support will be made available to providers on an as needs basis.</w:t>
      </w:r>
    </w:p>
    <w:p w:rsidR="00C244AE" w:rsidRPr="00124558" w:rsidRDefault="00EB5D9B" w:rsidP="001D0710">
      <w:pPr>
        <w:pStyle w:val="Heading2"/>
      </w:pPr>
      <w:bookmarkStart w:id="31" w:name="_Toc513450489"/>
      <w:r w:rsidRPr="00124558">
        <w:t>D</w:t>
      </w:r>
      <w:r w:rsidR="00C244AE" w:rsidRPr="00124558">
        <w:t>uring transition</w:t>
      </w:r>
      <w:bookmarkEnd w:id="31"/>
    </w:p>
    <w:p w:rsidR="00D54502" w:rsidRPr="00124558" w:rsidRDefault="00D54502" w:rsidP="00DA1600">
      <w:pPr>
        <w:rPr>
          <w:rFonts w:cs="Arial"/>
          <w:color w:val="auto"/>
        </w:rPr>
      </w:pPr>
      <w:r w:rsidRPr="00124558">
        <w:rPr>
          <w:rFonts w:cs="Arial"/>
          <w:color w:val="auto"/>
        </w:rPr>
        <w:t xml:space="preserve">Providers must act in accordance with all relevant Commonwealth and NT legislation, policies and guidelines, in regards to the use of restrictive practices.  This includes the mandatory good practice indicators outlined in the ‘Information and Education for Participants and Support Workers’ and ‘Restrictive Practices’ sections of the Domains, Elements and Indicators Guide of the Framework and any practice guidelines issued pursuant to the Framework and these practice indicators.. </w:t>
      </w:r>
    </w:p>
    <w:p w:rsidR="00D54502" w:rsidRPr="00124558" w:rsidRDefault="00DA1600" w:rsidP="00DA1600">
      <w:pPr>
        <w:rPr>
          <w:rFonts w:cs="Arial"/>
          <w:color w:val="auto"/>
        </w:rPr>
      </w:pPr>
      <w:r w:rsidRPr="00124558">
        <w:rPr>
          <w:rFonts w:cs="Arial"/>
          <w:color w:val="auto"/>
        </w:rPr>
        <w:t xml:space="preserve">Providers are </w:t>
      </w:r>
      <w:r w:rsidR="00D54502" w:rsidRPr="00124558">
        <w:rPr>
          <w:rFonts w:cs="Arial"/>
          <w:color w:val="auto"/>
        </w:rPr>
        <w:t>required to have appropriate processes in place to authorise the use of restrictive practices</w:t>
      </w:r>
      <w:r w:rsidR="009F3085">
        <w:rPr>
          <w:rFonts w:cs="Arial"/>
          <w:color w:val="auto"/>
        </w:rPr>
        <w:t>,</w:t>
      </w:r>
      <w:r w:rsidR="00D54502" w:rsidRPr="00124558">
        <w:rPr>
          <w:rFonts w:cs="Arial"/>
          <w:color w:val="auto"/>
        </w:rPr>
        <w:t xml:space="preserve"> which includes restraint (physical, mechanical, environmental or chemical) or seclusion.</w:t>
      </w:r>
    </w:p>
    <w:p w:rsidR="00C244AE" w:rsidRPr="00124558" w:rsidRDefault="00FA14E3" w:rsidP="001D0710">
      <w:pPr>
        <w:pStyle w:val="Heading3"/>
        <w:numPr>
          <w:ilvl w:val="0"/>
          <w:numId w:val="0"/>
        </w:numPr>
      </w:pPr>
      <w:r>
        <w:t xml:space="preserve"> </w:t>
      </w:r>
      <w:r w:rsidR="00C244AE" w:rsidRPr="00124558">
        <w:t xml:space="preserve">Major </w:t>
      </w:r>
      <w:r w:rsidR="00054A9A" w:rsidRPr="00124558">
        <w:t>n</w:t>
      </w:r>
      <w:r w:rsidR="00C244AE" w:rsidRPr="00124558">
        <w:t>on-</w:t>
      </w:r>
      <w:r w:rsidR="00E274E3" w:rsidRPr="00124558">
        <w:t>co</w:t>
      </w:r>
      <w:r w:rsidR="00E274E3">
        <w:t>mpliance</w:t>
      </w:r>
    </w:p>
    <w:p w:rsidR="00DA1600" w:rsidRPr="00124558" w:rsidRDefault="00DA1600" w:rsidP="00DA1600">
      <w:pPr>
        <w:rPr>
          <w:rFonts w:cs="Arial"/>
          <w:color w:val="auto"/>
        </w:rPr>
      </w:pPr>
      <w:r w:rsidRPr="00124558">
        <w:rPr>
          <w:rFonts w:cs="Arial"/>
          <w:color w:val="auto"/>
        </w:rPr>
        <w:t>Failure to follow the Framework, its guidelines or directions with respect to restrictive practices may constitute</w:t>
      </w:r>
      <w:r w:rsidR="009E4A84">
        <w:rPr>
          <w:rFonts w:cs="Arial"/>
          <w:color w:val="auto"/>
        </w:rPr>
        <w:t xml:space="preserve"> major</w:t>
      </w:r>
      <w:r w:rsidRPr="00124558">
        <w:rPr>
          <w:rFonts w:cs="Arial"/>
          <w:color w:val="auto"/>
        </w:rPr>
        <w:t xml:space="preserve"> non-compliance under the Framework. </w:t>
      </w:r>
    </w:p>
    <w:p w:rsidR="00DA1600" w:rsidRPr="00124558" w:rsidRDefault="00DA1600" w:rsidP="00DA1600">
      <w:pPr>
        <w:rPr>
          <w:rFonts w:cs="Arial"/>
          <w:color w:val="auto"/>
        </w:rPr>
      </w:pPr>
      <w:r w:rsidRPr="00124558">
        <w:rPr>
          <w:rFonts w:cs="Arial"/>
          <w:color w:val="auto"/>
        </w:rPr>
        <w:t xml:space="preserve">If an NDIS provider of specialist disability services fails to comply with the restrictive practice requirements, </w:t>
      </w:r>
      <w:r w:rsidR="009F3085">
        <w:rPr>
          <w:rFonts w:cs="Arial"/>
          <w:color w:val="auto"/>
        </w:rPr>
        <w:t xml:space="preserve">they may </w:t>
      </w:r>
      <w:r w:rsidR="001375DF">
        <w:rPr>
          <w:rFonts w:cs="Arial"/>
          <w:color w:val="auto"/>
        </w:rPr>
        <w:t xml:space="preserve">no </w:t>
      </w:r>
      <w:r w:rsidR="009F3085">
        <w:rPr>
          <w:rFonts w:cs="Arial"/>
          <w:color w:val="auto"/>
        </w:rPr>
        <w:t xml:space="preserve">longer meet the requirements of the NT Quality and Safeguards Framework and </w:t>
      </w:r>
      <w:r w:rsidR="009F3085" w:rsidRPr="00124558">
        <w:rPr>
          <w:rFonts w:cs="Arial"/>
          <w:color w:val="auto"/>
        </w:rPr>
        <w:t xml:space="preserve">the NT Government </w:t>
      </w:r>
      <w:r w:rsidR="009F3085">
        <w:rPr>
          <w:rFonts w:cs="Arial"/>
          <w:color w:val="auto"/>
        </w:rPr>
        <w:t xml:space="preserve">may rescind approval for NDIS registration and advise the </w:t>
      </w:r>
      <w:r w:rsidR="009F3085" w:rsidRPr="00124558">
        <w:rPr>
          <w:rFonts w:cs="Arial"/>
          <w:color w:val="auto"/>
        </w:rPr>
        <w:t>NDIA.</w:t>
      </w:r>
    </w:p>
    <w:p w:rsidR="00DA1600" w:rsidRPr="00124558" w:rsidRDefault="00DA1600" w:rsidP="00DA1600">
      <w:pPr>
        <w:rPr>
          <w:rFonts w:cs="Arial"/>
          <w:color w:val="auto"/>
        </w:rPr>
      </w:pPr>
    </w:p>
    <w:p w:rsidR="00C244AE" w:rsidRPr="00124558" w:rsidRDefault="00C244AE" w:rsidP="00876883">
      <w:pPr>
        <w:pStyle w:val="Heading1"/>
        <w:rPr>
          <w:rFonts w:cs="Arial"/>
          <w:color w:val="auto"/>
        </w:rPr>
      </w:pPr>
      <w:bookmarkStart w:id="32" w:name="_Toc513450490"/>
      <w:r w:rsidRPr="00124558">
        <w:rPr>
          <w:rFonts w:cs="Arial"/>
          <w:color w:val="auto"/>
        </w:rPr>
        <w:lastRenderedPageBreak/>
        <w:t xml:space="preserve">Monitoring and </w:t>
      </w:r>
      <w:r w:rsidR="00054A9A" w:rsidRPr="00124558">
        <w:rPr>
          <w:rFonts w:cs="Arial"/>
          <w:color w:val="auto"/>
        </w:rPr>
        <w:t>c</w:t>
      </w:r>
      <w:r w:rsidRPr="00124558">
        <w:rPr>
          <w:rFonts w:cs="Arial"/>
          <w:color w:val="auto"/>
        </w:rPr>
        <w:t>ompliance</w:t>
      </w:r>
      <w:bookmarkEnd w:id="32"/>
    </w:p>
    <w:p w:rsidR="00C244AE" w:rsidRPr="00124558" w:rsidRDefault="00F97B51" w:rsidP="001D0710">
      <w:pPr>
        <w:pStyle w:val="Heading2"/>
      </w:pPr>
      <w:bookmarkStart w:id="33" w:name="_Toc513450491"/>
      <w:r w:rsidRPr="00124558">
        <w:t xml:space="preserve">NT </w:t>
      </w:r>
      <w:r w:rsidR="00EB5D9B" w:rsidRPr="00124558">
        <w:t>m</w:t>
      </w:r>
      <w:r w:rsidR="00C244AE" w:rsidRPr="00124558">
        <w:t xml:space="preserve">onitoring and </w:t>
      </w:r>
      <w:r w:rsidR="00054A9A" w:rsidRPr="00124558">
        <w:t>c</w:t>
      </w:r>
      <w:r w:rsidR="00C244AE" w:rsidRPr="00124558">
        <w:t>ompliance</w:t>
      </w:r>
      <w:r w:rsidR="00F43FA0" w:rsidRPr="00124558">
        <w:t xml:space="preserve"> systems</w:t>
      </w:r>
      <w:bookmarkEnd w:id="33"/>
      <w:r w:rsidR="00C244AE" w:rsidRPr="00124558">
        <w:t xml:space="preserve"> </w:t>
      </w:r>
    </w:p>
    <w:p w:rsidR="001375DF" w:rsidRDefault="001375DF" w:rsidP="001375DF">
      <w:pPr>
        <w:rPr>
          <w:rFonts w:cs="Arial"/>
          <w:color w:val="auto"/>
          <w:szCs w:val="22"/>
        </w:rPr>
      </w:pPr>
      <w:r>
        <w:rPr>
          <w:rFonts w:cs="Arial"/>
          <w:color w:val="auto"/>
          <w:szCs w:val="22"/>
        </w:rPr>
        <w:t>S</w:t>
      </w:r>
      <w:r w:rsidRPr="00C81566">
        <w:rPr>
          <w:rFonts w:cs="Arial"/>
          <w:color w:val="auto"/>
          <w:szCs w:val="22"/>
        </w:rPr>
        <w:t xml:space="preserve">ervice providers </w:t>
      </w:r>
      <w:r>
        <w:rPr>
          <w:rFonts w:cs="Arial"/>
          <w:color w:val="auto"/>
          <w:szCs w:val="22"/>
        </w:rPr>
        <w:t xml:space="preserve">are </w:t>
      </w:r>
      <w:r w:rsidRPr="00C81566">
        <w:rPr>
          <w:rFonts w:cs="Arial"/>
          <w:color w:val="auto"/>
          <w:szCs w:val="22"/>
        </w:rPr>
        <w:t xml:space="preserve">subject to complaints </w:t>
      </w:r>
      <w:r>
        <w:rPr>
          <w:rFonts w:cs="Arial"/>
          <w:color w:val="auto"/>
          <w:szCs w:val="22"/>
        </w:rPr>
        <w:t xml:space="preserve">jurisdiction of the </w:t>
      </w:r>
      <w:r w:rsidRPr="00C81566">
        <w:rPr>
          <w:rFonts w:cs="Arial"/>
          <w:color w:val="auto"/>
          <w:szCs w:val="22"/>
        </w:rPr>
        <w:t>Health and Community Services Commissioner</w:t>
      </w:r>
      <w:r>
        <w:rPr>
          <w:rFonts w:cs="Arial"/>
          <w:color w:val="auto"/>
          <w:szCs w:val="22"/>
        </w:rPr>
        <w:t xml:space="preserve">. The </w:t>
      </w:r>
      <w:r w:rsidRPr="00C81566">
        <w:rPr>
          <w:rFonts w:cs="Arial"/>
          <w:color w:val="auto"/>
          <w:szCs w:val="22"/>
        </w:rPr>
        <w:t>Health and Community Services Commissioner</w:t>
      </w:r>
      <w:r>
        <w:rPr>
          <w:rFonts w:cs="Arial"/>
          <w:color w:val="auto"/>
          <w:szCs w:val="22"/>
        </w:rPr>
        <w:t xml:space="preserve"> may </w:t>
      </w:r>
      <w:r w:rsidRPr="00E274E3">
        <w:rPr>
          <w:color w:val="auto"/>
        </w:rPr>
        <w:t xml:space="preserve">monitor the outcome of a complaint following conciliation or an investigation. </w:t>
      </w:r>
    </w:p>
    <w:p w:rsidR="00C244AE" w:rsidRPr="00124558" w:rsidRDefault="00EB5D9B" w:rsidP="001D0710">
      <w:pPr>
        <w:pStyle w:val="Heading2"/>
      </w:pPr>
      <w:bookmarkStart w:id="34" w:name="_Toc513450492"/>
      <w:r w:rsidRPr="00124558">
        <w:t>D</w:t>
      </w:r>
      <w:r w:rsidR="00C244AE" w:rsidRPr="00124558">
        <w:t xml:space="preserve">uring </w:t>
      </w:r>
      <w:r w:rsidR="00054A9A" w:rsidRPr="00124558">
        <w:t>t</w:t>
      </w:r>
      <w:r w:rsidR="00C244AE" w:rsidRPr="00124558">
        <w:t>ransition</w:t>
      </w:r>
      <w:bookmarkEnd w:id="34"/>
    </w:p>
    <w:p w:rsidR="001375DF" w:rsidRDefault="00124558" w:rsidP="00F97B51">
      <w:pPr>
        <w:rPr>
          <w:rFonts w:cs="Arial"/>
          <w:color w:val="auto"/>
          <w:szCs w:val="22"/>
        </w:rPr>
      </w:pPr>
      <w:r w:rsidRPr="00C81566">
        <w:rPr>
          <w:rFonts w:cs="Arial"/>
          <w:color w:val="auto"/>
          <w:szCs w:val="22"/>
        </w:rPr>
        <w:t xml:space="preserve">In transition, </w:t>
      </w:r>
      <w:r w:rsidR="009E4A84" w:rsidRPr="00C81566">
        <w:rPr>
          <w:rFonts w:cs="Arial"/>
          <w:color w:val="auto"/>
          <w:szCs w:val="22"/>
        </w:rPr>
        <w:t xml:space="preserve">all </w:t>
      </w:r>
      <w:r w:rsidRPr="00C81566">
        <w:rPr>
          <w:rFonts w:cs="Arial"/>
          <w:color w:val="auto"/>
          <w:szCs w:val="22"/>
        </w:rPr>
        <w:t xml:space="preserve">NDIS service providers will be subject to complaints </w:t>
      </w:r>
      <w:r w:rsidR="001375DF">
        <w:rPr>
          <w:rFonts w:cs="Arial"/>
          <w:color w:val="auto"/>
          <w:szCs w:val="22"/>
        </w:rPr>
        <w:t xml:space="preserve">jurisdiction </w:t>
      </w:r>
      <w:r w:rsidRPr="00C81566">
        <w:rPr>
          <w:rFonts w:cs="Arial"/>
          <w:color w:val="auto"/>
          <w:szCs w:val="22"/>
        </w:rPr>
        <w:t xml:space="preserve">by the Health and Community Services </w:t>
      </w:r>
      <w:r w:rsidRPr="00FA14E3">
        <w:rPr>
          <w:rFonts w:cs="Arial"/>
          <w:color w:val="auto"/>
          <w:szCs w:val="22"/>
        </w:rPr>
        <w:t>Commissioner</w:t>
      </w:r>
      <w:r w:rsidR="001375DF" w:rsidRPr="00FA14E3">
        <w:rPr>
          <w:rFonts w:cs="Arial"/>
          <w:color w:val="auto"/>
          <w:szCs w:val="22"/>
        </w:rPr>
        <w:t xml:space="preserve">; </w:t>
      </w:r>
      <w:r w:rsidR="001375DF" w:rsidRPr="00FA14E3">
        <w:rPr>
          <w:color w:val="auto"/>
        </w:rPr>
        <w:t xml:space="preserve">following a complaint, the </w:t>
      </w:r>
      <w:r w:rsidR="001375DF" w:rsidRPr="00FA14E3">
        <w:rPr>
          <w:rFonts w:cs="Arial"/>
          <w:color w:val="auto"/>
          <w:szCs w:val="22"/>
        </w:rPr>
        <w:t xml:space="preserve">Health and Community Services Commissioner may </w:t>
      </w:r>
      <w:r w:rsidR="001375DF" w:rsidRPr="00FA14E3">
        <w:rPr>
          <w:color w:val="auto"/>
        </w:rPr>
        <w:t xml:space="preserve">monitor the outcome following conciliation or an investigation. </w:t>
      </w:r>
    </w:p>
    <w:p w:rsidR="00F97B51" w:rsidRPr="00124558" w:rsidRDefault="00FA14E3" w:rsidP="00F97B51">
      <w:pPr>
        <w:rPr>
          <w:rFonts w:cs="Arial"/>
          <w:color w:val="auto"/>
        </w:rPr>
      </w:pPr>
      <w:r w:rsidRPr="00C81566">
        <w:rPr>
          <w:rFonts w:cs="Arial"/>
          <w:color w:val="auto"/>
          <w:szCs w:val="22"/>
        </w:rPr>
        <w:t>In addition</w:t>
      </w:r>
      <w:r w:rsidR="00124558" w:rsidRPr="00C81566">
        <w:rPr>
          <w:rFonts w:cs="Arial"/>
          <w:color w:val="auto"/>
          <w:szCs w:val="22"/>
        </w:rPr>
        <w:t>,</w:t>
      </w:r>
      <w:r w:rsidR="00124558" w:rsidRPr="00124558">
        <w:rPr>
          <w:rFonts w:cs="Arial"/>
          <w:color w:val="auto"/>
          <w:sz w:val="23"/>
          <w:szCs w:val="23"/>
        </w:rPr>
        <w:t xml:space="preserve"> t</w:t>
      </w:r>
      <w:r w:rsidR="00124558" w:rsidRPr="00124558">
        <w:rPr>
          <w:rFonts w:cs="Arial"/>
          <w:color w:val="auto"/>
        </w:rPr>
        <w:t>he requirement of meeting the Framework, its guidelines and directions are an ongoing obligation during the NDIS transition, and the Northern Territory Government may initiate a review of a provider or service type during the transition period to ensure adherence to the Framework.</w:t>
      </w:r>
    </w:p>
    <w:p w:rsidR="00767E08" w:rsidRPr="00124558" w:rsidRDefault="00767E08" w:rsidP="001D0710">
      <w:pPr>
        <w:pStyle w:val="Heading3"/>
      </w:pPr>
      <w:r w:rsidRPr="00124558">
        <w:t xml:space="preserve">Preliminary </w:t>
      </w:r>
      <w:r w:rsidR="003E5809" w:rsidRPr="00124558">
        <w:t>n</w:t>
      </w:r>
      <w:r w:rsidRPr="00124558">
        <w:t>otification</w:t>
      </w:r>
    </w:p>
    <w:p w:rsidR="00767E08" w:rsidRPr="00124558" w:rsidRDefault="00F1313F" w:rsidP="00C244AE">
      <w:pPr>
        <w:rPr>
          <w:rFonts w:cs="Arial"/>
          <w:color w:val="auto"/>
        </w:rPr>
      </w:pPr>
      <w:r w:rsidRPr="00124558">
        <w:rPr>
          <w:rFonts w:cs="Arial"/>
          <w:color w:val="auto"/>
        </w:rPr>
        <w:t>At the start of an investigation, t</w:t>
      </w:r>
      <w:r w:rsidR="00767E08" w:rsidRPr="00124558">
        <w:rPr>
          <w:rFonts w:cs="Arial"/>
          <w:color w:val="auto"/>
        </w:rPr>
        <w:t>he</w:t>
      </w:r>
      <w:r w:rsidR="00531E88">
        <w:rPr>
          <w:rFonts w:cs="Arial"/>
          <w:color w:val="auto"/>
        </w:rPr>
        <w:t xml:space="preserve"> NT</w:t>
      </w:r>
      <w:r w:rsidR="00767E08" w:rsidRPr="00124558">
        <w:rPr>
          <w:rFonts w:cs="Arial"/>
          <w:color w:val="auto"/>
        </w:rPr>
        <w:t xml:space="preserve"> </w:t>
      </w:r>
      <w:r w:rsidR="00531E88">
        <w:rPr>
          <w:rFonts w:cs="Arial"/>
          <w:color w:val="auto"/>
        </w:rPr>
        <w:t>Government</w:t>
      </w:r>
      <w:r w:rsidRPr="00124558">
        <w:rPr>
          <w:rFonts w:cs="Arial"/>
          <w:color w:val="auto"/>
        </w:rPr>
        <w:t xml:space="preserve"> </w:t>
      </w:r>
      <w:r w:rsidR="00767E08" w:rsidRPr="00124558">
        <w:rPr>
          <w:rFonts w:cs="Arial"/>
          <w:color w:val="auto"/>
        </w:rPr>
        <w:t>will notify the NDIA</w:t>
      </w:r>
      <w:r w:rsidRPr="00124558">
        <w:rPr>
          <w:rFonts w:cs="Arial"/>
          <w:color w:val="auto"/>
        </w:rPr>
        <w:t xml:space="preserve"> at </w:t>
      </w:r>
      <w:r w:rsidR="00F97B51" w:rsidRPr="00124558">
        <w:rPr>
          <w:rFonts w:cs="Arial"/>
          <w:color w:val="auto"/>
        </w:rPr>
        <w:t>quality.safeguards</w:t>
      </w:r>
      <w:r w:rsidR="003B3CC7" w:rsidRPr="00124558">
        <w:rPr>
          <w:rFonts w:cs="Arial"/>
          <w:color w:val="auto"/>
        </w:rPr>
        <w:t>@</w:t>
      </w:r>
      <w:r w:rsidRPr="00124558">
        <w:rPr>
          <w:rFonts w:cs="Arial"/>
          <w:color w:val="auto"/>
        </w:rPr>
        <w:t>ndis</w:t>
      </w:r>
      <w:r w:rsidR="003B3CC7" w:rsidRPr="00124558">
        <w:rPr>
          <w:rFonts w:cs="Arial"/>
          <w:color w:val="auto"/>
        </w:rPr>
        <w:t>.gov.au</w:t>
      </w:r>
      <w:r w:rsidR="003537F1" w:rsidRPr="00124558">
        <w:rPr>
          <w:rFonts w:cs="Arial"/>
          <w:color w:val="auto"/>
        </w:rPr>
        <w:t xml:space="preserve"> of any </w:t>
      </w:r>
      <w:r w:rsidR="008E6586" w:rsidRPr="00124558">
        <w:rPr>
          <w:rFonts w:cs="Arial"/>
          <w:color w:val="auto"/>
        </w:rPr>
        <w:t>NDIS provider of specialist disability services</w:t>
      </w:r>
      <w:r w:rsidR="003537F1" w:rsidRPr="00124558">
        <w:rPr>
          <w:rFonts w:cs="Arial"/>
          <w:color w:val="auto"/>
        </w:rPr>
        <w:t xml:space="preserve"> </w:t>
      </w:r>
      <w:r w:rsidRPr="00124558">
        <w:rPr>
          <w:rFonts w:cs="Arial"/>
          <w:color w:val="auto"/>
        </w:rPr>
        <w:t xml:space="preserve">that does not comply </w:t>
      </w:r>
      <w:r w:rsidR="00F97B51" w:rsidRPr="00124558">
        <w:rPr>
          <w:rFonts w:cs="Arial"/>
          <w:color w:val="auto"/>
        </w:rPr>
        <w:t>with the requirements in NT</w:t>
      </w:r>
      <w:r w:rsidRPr="00124558">
        <w:rPr>
          <w:rFonts w:cs="Arial"/>
          <w:color w:val="auto"/>
        </w:rPr>
        <w:t>.</w:t>
      </w:r>
    </w:p>
    <w:p w:rsidR="00C244AE" w:rsidRPr="00124558" w:rsidRDefault="00C244AE" w:rsidP="001D0710">
      <w:pPr>
        <w:pStyle w:val="Heading3"/>
        <w:numPr>
          <w:ilvl w:val="0"/>
          <w:numId w:val="0"/>
        </w:numPr>
      </w:pPr>
      <w:r w:rsidRPr="00124558">
        <w:t xml:space="preserve">Contact </w:t>
      </w:r>
      <w:r w:rsidR="00530F83" w:rsidRPr="00124558">
        <w:t>p</w:t>
      </w:r>
      <w:r w:rsidRPr="00124558">
        <w:t xml:space="preserve">oints – </w:t>
      </w:r>
      <w:r w:rsidR="00883F0E" w:rsidRPr="00124558">
        <w:t>m</w:t>
      </w:r>
      <w:r w:rsidRPr="00124558">
        <w:t xml:space="preserve">onitoring and </w:t>
      </w:r>
      <w:r w:rsidR="00530F83" w:rsidRPr="00124558">
        <w:t>c</w:t>
      </w:r>
      <w:r w:rsidRPr="00124558">
        <w:t>ompliance</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1255"/>
        <w:gridCol w:w="1256"/>
        <w:gridCol w:w="3798"/>
      </w:tblGrid>
      <w:tr w:rsidR="00124558" w:rsidRPr="00124558" w:rsidTr="00FE7139">
        <w:trPr>
          <w:trHeight w:val="653"/>
        </w:trPr>
        <w:tc>
          <w:tcPr>
            <w:tcW w:w="2724" w:type="dxa"/>
          </w:tcPr>
          <w:p w:rsidR="00C244AE" w:rsidRPr="00124558" w:rsidRDefault="00C244AE" w:rsidP="00530F83">
            <w:pPr>
              <w:rPr>
                <w:rFonts w:cs="Arial"/>
                <w:b/>
                <w:color w:val="auto"/>
              </w:rPr>
            </w:pPr>
            <w:r w:rsidRPr="00124558">
              <w:rPr>
                <w:rFonts w:cs="Arial"/>
                <w:b/>
                <w:color w:val="auto"/>
              </w:rPr>
              <w:t xml:space="preserve">Contact </w:t>
            </w:r>
            <w:r w:rsidR="00530F83" w:rsidRPr="00124558">
              <w:rPr>
                <w:rFonts w:cs="Arial"/>
                <w:b/>
                <w:color w:val="auto"/>
              </w:rPr>
              <w:t>p</w:t>
            </w:r>
            <w:r w:rsidRPr="00124558">
              <w:rPr>
                <w:rFonts w:cs="Arial"/>
                <w:b/>
                <w:color w:val="auto"/>
              </w:rPr>
              <w:t>oint</w:t>
            </w:r>
          </w:p>
        </w:tc>
        <w:tc>
          <w:tcPr>
            <w:tcW w:w="1275" w:type="dxa"/>
          </w:tcPr>
          <w:p w:rsidR="00C244AE" w:rsidRPr="00124558" w:rsidRDefault="00C244AE" w:rsidP="00680FE6">
            <w:pPr>
              <w:rPr>
                <w:rFonts w:cs="Arial"/>
                <w:b/>
                <w:color w:val="auto"/>
              </w:rPr>
            </w:pPr>
            <w:r w:rsidRPr="00124558">
              <w:rPr>
                <w:rFonts w:cs="Arial"/>
                <w:b/>
                <w:color w:val="auto"/>
              </w:rPr>
              <w:t>By whom</w:t>
            </w:r>
          </w:p>
        </w:tc>
        <w:tc>
          <w:tcPr>
            <w:tcW w:w="1276" w:type="dxa"/>
          </w:tcPr>
          <w:p w:rsidR="00C244AE" w:rsidRPr="00124558" w:rsidRDefault="00C244AE" w:rsidP="00680FE6">
            <w:pPr>
              <w:rPr>
                <w:rFonts w:cs="Arial"/>
                <w:b/>
                <w:color w:val="auto"/>
              </w:rPr>
            </w:pPr>
            <w:r w:rsidRPr="00124558">
              <w:rPr>
                <w:rFonts w:cs="Arial"/>
                <w:b/>
                <w:color w:val="auto"/>
              </w:rPr>
              <w:t>To whom</w:t>
            </w:r>
          </w:p>
        </w:tc>
        <w:tc>
          <w:tcPr>
            <w:tcW w:w="3798" w:type="dxa"/>
          </w:tcPr>
          <w:p w:rsidR="00C244AE" w:rsidRPr="00124558" w:rsidRDefault="00C244AE" w:rsidP="00530F83">
            <w:pPr>
              <w:rPr>
                <w:rFonts w:cs="Arial"/>
                <w:b/>
                <w:color w:val="auto"/>
              </w:rPr>
            </w:pPr>
            <w:r w:rsidRPr="00124558">
              <w:rPr>
                <w:rFonts w:cs="Arial"/>
                <w:b/>
                <w:color w:val="auto"/>
              </w:rPr>
              <w:t xml:space="preserve">Contact </w:t>
            </w:r>
            <w:r w:rsidR="00530F83" w:rsidRPr="00124558">
              <w:rPr>
                <w:rFonts w:cs="Arial"/>
                <w:b/>
                <w:color w:val="auto"/>
              </w:rPr>
              <w:t>d</w:t>
            </w:r>
            <w:r w:rsidRPr="00124558">
              <w:rPr>
                <w:rFonts w:cs="Arial"/>
                <w:b/>
                <w:color w:val="auto"/>
              </w:rPr>
              <w:t>etails</w:t>
            </w:r>
          </w:p>
        </w:tc>
      </w:tr>
      <w:tr w:rsidR="00124558" w:rsidRPr="00124558" w:rsidTr="00FE7139">
        <w:trPr>
          <w:trHeight w:val="675"/>
        </w:trPr>
        <w:tc>
          <w:tcPr>
            <w:tcW w:w="2724" w:type="dxa"/>
          </w:tcPr>
          <w:p w:rsidR="00C244AE" w:rsidRPr="00124558" w:rsidRDefault="00C244AE" w:rsidP="00F97B51">
            <w:pPr>
              <w:rPr>
                <w:rFonts w:cs="Arial"/>
                <w:color w:val="auto"/>
              </w:rPr>
            </w:pPr>
            <w:r w:rsidRPr="00124558">
              <w:rPr>
                <w:rFonts w:cs="Arial"/>
                <w:color w:val="auto"/>
              </w:rPr>
              <w:t>Investigation that results in</w:t>
            </w:r>
            <w:r w:rsidR="00531E88">
              <w:rPr>
                <w:rFonts w:cs="Arial"/>
                <w:color w:val="auto"/>
              </w:rPr>
              <w:t xml:space="preserve"> major</w:t>
            </w:r>
            <w:r w:rsidRPr="00124558">
              <w:rPr>
                <w:rFonts w:cs="Arial"/>
                <w:color w:val="auto"/>
              </w:rPr>
              <w:t xml:space="preserve"> </w:t>
            </w:r>
            <w:r w:rsidR="00654EF5" w:rsidRPr="00124558">
              <w:rPr>
                <w:rFonts w:cs="Arial"/>
                <w:color w:val="auto"/>
              </w:rPr>
              <w:t xml:space="preserve">non-compliance with </w:t>
            </w:r>
            <w:r w:rsidR="009E4A84">
              <w:rPr>
                <w:rFonts w:cs="Arial"/>
                <w:color w:val="auto"/>
              </w:rPr>
              <w:t>NT Q</w:t>
            </w:r>
            <w:r w:rsidR="00116C2D" w:rsidRPr="00124558">
              <w:rPr>
                <w:rFonts w:cs="Arial"/>
                <w:color w:val="auto"/>
              </w:rPr>
              <w:t xml:space="preserve">uality and </w:t>
            </w:r>
            <w:r w:rsidR="009E4A84">
              <w:rPr>
                <w:rFonts w:cs="Arial"/>
                <w:color w:val="auto"/>
              </w:rPr>
              <w:t>S</w:t>
            </w:r>
            <w:r w:rsidR="00116C2D" w:rsidRPr="00124558">
              <w:rPr>
                <w:rFonts w:cs="Arial"/>
                <w:color w:val="auto"/>
              </w:rPr>
              <w:t xml:space="preserve">afeguard </w:t>
            </w:r>
            <w:r w:rsidR="009E4A84">
              <w:rPr>
                <w:rFonts w:cs="Arial"/>
                <w:color w:val="auto"/>
              </w:rPr>
              <w:t xml:space="preserve">Framework </w:t>
            </w:r>
            <w:r w:rsidR="00116C2D" w:rsidRPr="00124558">
              <w:rPr>
                <w:rFonts w:cs="Arial"/>
                <w:color w:val="auto"/>
              </w:rPr>
              <w:t>requirements</w:t>
            </w:r>
          </w:p>
        </w:tc>
        <w:tc>
          <w:tcPr>
            <w:tcW w:w="1275" w:type="dxa"/>
          </w:tcPr>
          <w:p w:rsidR="00C244AE" w:rsidRPr="00124558" w:rsidRDefault="00F97B51" w:rsidP="00680FE6">
            <w:pPr>
              <w:rPr>
                <w:rFonts w:cs="Arial"/>
                <w:color w:val="auto"/>
              </w:rPr>
            </w:pPr>
            <w:r w:rsidRPr="00124558">
              <w:rPr>
                <w:rFonts w:cs="Arial"/>
                <w:color w:val="auto"/>
              </w:rPr>
              <w:t>Territory</w:t>
            </w:r>
          </w:p>
        </w:tc>
        <w:tc>
          <w:tcPr>
            <w:tcW w:w="1276" w:type="dxa"/>
          </w:tcPr>
          <w:p w:rsidR="00C244AE" w:rsidRPr="00124558" w:rsidRDefault="00C244AE" w:rsidP="00680FE6">
            <w:pPr>
              <w:rPr>
                <w:rFonts w:cs="Arial"/>
                <w:color w:val="auto"/>
              </w:rPr>
            </w:pPr>
            <w:r w:rsidRPr="00124558">
              <w:rPr>
                <w:rFonts w:cs="Arial"/>
                <w:color w:val="auto"/>
              </w:rPr>
              <w:t>NDIA</w:t>
            </w:r>
          </w:p>
        </w:tc>
        <w:tc>
          <w:tcPr>
            <w:tcW w:w="3798" w:type="dxa"/>
          </w:tcPr>
          <w:p w:rsidR="00C244AE" w:rsidRPr="00124558" w:rsidRDefault="00CB28F5" w:rsidP="00B751E6">
            <w:pPr>
              <w:rPr>
                <w:rStyle w:val="Hyperlink"/>
                <w:rFonts w:cs="Arial"/>
                <w:color w:val="auto"/>
              </w:rPr>
            </w:pPr>
            <w:r w:rsidRPr="00124558">
              <w:rPr>
                <w:rStyle w:val="Hyperlink"/>
                <w:rFonts w:cs="Arial"/>
                <w:color w:val="auto"/>
              </w:rPr>
              <w:t>Quality.safeguards@ndis.gov.au</w:t>
            </w:r>
          </w:p>
        </w:tc>
      </w:tr>
      <w:tr w:rsidR="00C244AE" w:rsidRPr="00124558" w:rsidTr="00FE7139">
        <w:trPr>
          <w:trHeight w:val="600"/>
        </w:trPr>
        <w:tc>
          <w:tcPr>
            <w:tcW w:w="2724" w:type="dxa"/>
          </w:tcPr>
          <w:p w:rsidR="00C244AE" w:rsidRPr="00124558" w:rsidRDefault="00B751E6" w:rsidP="009E4A84">
            <w:pPr>
              <w:rPr>
                <w:rFonts w:cs="Arial"/>
                <w:color w:val="auto"/>
              </w:rPr>
            </w:pPr>
            <w:r w:rsidRPr="00124558">
              <w:rPr>
                <w:rFonts w:cs="Arial"/>
                <w:color w:val="auto"/>
              </w:rPr>
              <w:t xml:space="preserve">Request for </w:t>
            </w:r>
            <w:r w:rsidR="00C244AE" w:rsidRPr="00124558">
              <w:rPr>
                <w:rFonts w:cs="Arial"/>
                <w:color w:val="auto"/>
              </w:rPr>
              <w:t xml:space="preserve">advice </w:t>
            </w:r>
            <w:r w:rsidR="009E4A84">
              <w:rPr>
                <w:rFonts w:cs="Arial"/>
                <w:color w:val="auto"/>
              </w:rPr>
              <w:t>regarding provider status</w:t>
            </w:r>
          </w:p>
        </w:tc>
        <w:tc>
          <w:tcPr>
            <w:tcW w:w="1275" w:type="dxa"/>
          </w:tcPr>
          <w:p w:rsidR="00C244AE" w:rsidRPr="00124558" w:rsidRDefault="00C244AE" w:rsidP="00680FE6">
            <w:pPr>
              <w:rPr>
                <w:rFonts w:cs="Arial"/>
                <w:color w:val="auto"/>
              </w:rPr>
            </w:pPr>
            <w:r w:rsidRPr="00124558">
              <w:rPr>
                <w:rFonts w:cs="Arial"/>
                <w:color w:val="auto"/>
              </w:rPr>
              <w:t>NDIA</w:t>
            </w:r>
          </w:p>
        </w:tc>
        <w:tc>
          <w:tcPr>
            <w:tcW w:w="1276" w:type="dxa"/>
          </w:tcPr>
          <w:p w:rsidR="00C244AE" w:rsidRPr="00124558" w:rsidRDefault="00F97B51" w:rsidP="00680FE6">
            <w:pPr>
              <w:rPr>
                <w:rFonts w:cs="Arial"/>
                <w:color w:val="auto"/>
              </w:rPr>
            </w:pPr>
            <w:r w:rsidRPr="00124558">
              <w:rPr>
                <w:rFonts w:cs="Arial"/>
                <w:color w:val="auto"/>
              </w:rPr>
              <w:t>Territory</w:t>
            </w:r>
          </w:p>
        </w:tc>
        <w:tc>
          <w:tcPr>
            <w:tcW w:w="3798" w:type="dxa"/>
          </w:tcPr>
          <w:p w:rsidR="00C244AE" w:rsidRPr="00124558" w:rsidRDefault="00060B01" w:rsidP="00680FE6">
            <w:pPr>
              <w:rPr>
                <w:rStyle w:val="Hyperlink"/>
                <w:rFonts w:cs="Arial"/>
                <w:color w:val="auto"/>
              </w:rPr>
            </w:pPr>
            <w:hyperlink r:id="rId34" w:history="1">
              <w:r w:rsidR="0029788B" w:rsidRPr="00124558">
                <w:rPr>
                  <w:rStyle w:val="Hyperlink"/>
                  <w:rFonts w:cs="Arial"/>
                  <w:color w:val="auto"/>
                </w:rPr>
                <w:t>NDISProviderRegistration@nt.gov.au</w:t>
              </w:r>
            </w:hyperlink>
          </w:p>
        </w:tc>
      </w:tr>
    </w:tbl>
    <w:p w:rsidR="0011720F" w:rsidRPr="00124558" w:rsidRDefault="0011720F" w:rsidP="00C244AE">
      <w:pPr>
        <w:rPr>
          <w:rFonts w:cs="Arial"/>
          <w:color w:val="auto"/>
        </w:rPr>
        <w:sectPr w:rsidR="0011720F" w:rsidRPr="00124558" w:rsidSect="0011720F">
          <w:headerReference w:type="default" r:id="rId35"/>
          <w:pgSz w:w="11906" w:h="16838" w:code="9"/>
          <w:pgMar w:top="1440" w:right="1440" w:bottom="1440" w:left="1440" w:header="709" w:footer="709" w:gutter="0"/>
          <w:cols w:space="708"/>
          <w:docGrid w:linePitch="360"/>
        </w:sectPr>
      </w:pPr>
    </w:p>
    <w:p w:rsidR="00D144A0" w:rsidRDefault="00285147" w:rsidP="0098008F">
      <w:pPr>
        <w:spacing w:before="0" w:after="0"/>
        <w:rPr>
          <w:rFonts w:cs="Arial"/>
          <w:color w:val="auto"/>
        </w:rPr>
      </w:pPr>
      <w:bookmarkStart w:id="35" w:name="_Toc446074325"/>
      <w:bookmarkStart w:id="36" w:name="_Toc446076137"/>
      <w:bookmarkStart w:id="37" w:name="_Toc446076723"/>
      <w:bookmarkStart w:id="38" w:name="_Toc446079307"/>
      <w:bookmarkStart w:id="39" w:name="_Toc447709153"/>
      <w:bookmarkStart w:id="40" w:name="_Toc447722787"/>
      <w:bookmarkStart w:id="41" w:name="_Toc447725254"/>
      <w:bookmarkStart w:id="42" w:name="_Toc448232540"/>
      <w:bookmarkStart w:id="43" w:name="_Toc448308570"/>
      <w:bookmarkStart w:id="44" w:name="_Toc450919363"/>
      <w:bookmarkStart w:id="45" w:name="_Toc450919535"/>
      <w:bookmarkStart w:id="46" w:name="_Toc450919599"/>
      <w:bookmarkStart w:id="47" w:name="_Toc450919645"/>
      <w:bookmarkStart w:id="48" w:name="_Toc450919721"/>
      <w:bookmarkStart w:id="49" w:name="_Toc45271521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64F46">
        <w:rPr>
          <w:rFonts w:cs="Arial"/>
          <w:i/>
          <w:color w:val="auto"/>
        </w:rPr>
        <w:lastRenderedPageBreak/>
        <w:t>Appendix 1 – NT Provider Registration Process</w:t>
      </w:r>
      <w:r w:rsidR="00545D42">
        <w:rPr>
          <w:noProof/>
          <w:lang w:val="en-AU" w:eastAsia="en-AU"/>
        </w:rPr>
        <w:drawing>
          <wp:inline distT="0" distB="0" distL="0" distR="0" wp14:anchorId="39D5305F" wp14:editId="42062453">
            <wp:extent cx="8686800" cy="5914234"/>
            <wp:effectExtent l="0" t="0" r="0" b="0"/>
            <wp:docPr id="6" name="Picture 6" descr="This whole page diagram is in landscape format and is a flowchart of the steps in the provider registration process for specialist disability supports. The background of the diagram is divided into  three horizontal sections labelled  Provider, NDIA and NT Government from the top to the bottom of the page for each of the stakeholders in the process.  The steps in the process are set out so that they are located in the section of the diagram belonging to the stakeholder responsible for that  task.  &#10;The steps in the process are: &#10;1. The provider makes a decision to become and NDIS provider &#10;2. The provider obtains PRODA and the Provider Registration Application form including the Provider agreement to the NDIA terms of business from the NDIS website and completes and submits these to the NDIA. &#10;3. The NDIS undertakes first stage approval. &#10;4. The provider accesses the NDIS portal. &#10;5. The provider adds Registration Groups that require NT Government approval. &#10;6. Next is a decision point with two alternatives for the provider.  &#10;a) If they have letter/certificate of evidence that have met the requirements of the NT Framework they submit the evidence via the “upload evidence” tile in myplace.&#10;Or &#10;b) The NDIS issues the provider a “Pending State Approval Letter” &#10;&#10;7. If the action was a) in 6. above the NDIA will register the provider when the NT evidence/certificate is received and supply the provider with an NDIS provider registration certificate.  &#10;Or &#10;If the action was b) in 6. above the provider emails NDISProviderRegistration@nt.gov.au&#10;Including an attached copy of the “Pending State Approval Letter” sent to them by the NDIA to initiate the NT Framework assessment. If providers who do not supply a copy of the “Pending State Approval Letter” will be redirected to the NDIA . &#10;&#10;8. If the action was a) in 7 above the provider can commence providing NDIS supports when the NDIS provider registration certificate is received.  &#10;Or &#10;If the action was b) in 7 Applications are assessed by the NT Government and evidence of meeting the requirements of the NT Quality and Safeguarding Framework is issued to the provider (in the form of a letter). &#10;9. If the action was b) in 7 the provider submits the letter from NT Government that provides evidence of meeting the requirements of the NT Quality and Safeguarding Framework &#10;via the “upload evidence” tile in myplace.&#10;&#10;10. If the provider performed the action  in 9. Above the NDIA will register the provider when the NT evidence/certificate is received and supply the provider with an NDIS provider registration certificate.  &#10;&#10;11. The provider can commence providing NDIS supports when the NDIS provider registration certificate is received.  &#10;" title="Appendix 1 - NT Provider registration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705774" cy="5927152"/>
                    </a:xfrm>
                    <a:prstGeom prst="rect">
                      <a:avLst/>
                    </a:prstGeom>
                  </pic:spPr>
                </pic:pic>
              </a:graphicData>
            </a:graphic>
          </wp:inline>
        </w:drawing>
      </w:r>
      <w:r w:rsidR="005C7BC5">
        <w:rPr>
          <w:rFonts w:cs="Arial"/>
          <w:color w:val="auto"/>
        </w:rPr>
        <w:br w:type="textWrapping" w:clear="all"/>
      </w:r>
      <w:r w:rsidR="009524C3">
        <w:rPr>
          <w:noProof/>
          <w:lang w:val="en-AU" w:eastAsia="en-AU"/>
        </w:rPr>
        <w:lastRenderedPageBreak/>
        <w:drawing>
          <wp:inline distT="0" distB="0" distL="0" distR="0" wp14:anchorId="0FCB7964" wp14:editId="0BFCAAF4">
            <wp:extent cx="9797143" cy="7007428"/>
            <wp:effectExtent l="0" t="0" r="0" b="3175"/>
            <wp:docPr id="1" name="Picture 1" descr="This whole page diagram is in landscape format and is a flowchart of the steps in the Complaints process. The background of the diagram is divided into four horizontal sections labelled Complaint, Provider, NDIA and NT Government from the top to the bottom of the page for each of the stakeholders in the process.  The steps in the process are set out so that they are located in the section of the diagram belonging to the stakeholder responsible for that task.&#10;The steps in the process are: &#10;1. There is a complaint. &#10;2. This might go to first to NDIA or NT Government. &#10;3. Next is a decision point with two alternatives for the NDIA or the NT Government.   Is referral required, based on the roles and responsibilities outlined in Section 7 of the Working Arrangements? &#10;a) If Yes, the complaint is referred.  &#10;Or &#10;b) If No, the NDIA or the NT Government records the complaint &#10;&#10;4.  Then the NDIA or the NT Government  undertake investigation or mediation &#10;5. Next is a decision point with two alternatives for the NDIA or the NT Government. Is the complaint resolved? &#10;a) If Yes, both the NDIA or the NT Government make notification of the outcome where appropriate.  &#10;Or &#10;b) If No, the NDIA refers the complaint to the NT Government for final determination. &#10;Complaints processed by the NT Government where investigation or mediation does not resolve the complaint are also finally determined by NT Government. &#10;&#10;6. The Provider is notified when a  final determination is made by NT Government&#10;" title="Appendix 2 - Complaints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803157" cy="7011730"/>
                    </a:xfrm>
                    <a:prstGeom prst="rect">
                      <a:avLst/>
                    </a:prstGeom>
                  </pic:spPr>
                </pic:pic>
              </a:graphicData>
            </a:graphic>
          </wp:inline>
        </w:drawing>
      </w:r>
    </w:p>
    <w:p w:rsidR="009E4A84" w:rsidRDefault="00244DB2" w:rsidP="0098008F">
      <w:pPr>
        <w:spacing w:before="0" w:after="0"/>
        <w:rPr>
          <w:rFonts w:cs="Arial"/>
          <w:color w:val="auto"/>
        </w:rPr>
      </w:pPr>
      <w:r>
        <w:rPr>
          <w:noProof/>
          <w:lang w:val="en-AU" w:eastAsia="en-AU"/>
        </w:rPr>
        <w:lastRenderedPageBreak/>
        <w:drawing>
          <wp:inline distT="0" distB="0" distL="0" distR="0" wp14:anchorId="74DE719B" wp14:editId="6FE9AB59">
            <wp:extent cx="9571222" cy="6923426"/>
            <wp:effectExtent l="0" t="0" r="0" b="0"/>
            <wp:docPr id="3" name="Picture 3" descr="This whole page diagram is in landscape format and is a flowchart of the steps in the Compliance process. The background of the diagram is divided into three horizontal sections labelled Provider, NT Government and NDIA  from the top to the bottom of the page for each of the stakeholders in the process.  The steps in the process are set out so that they are located in the section of the diagram belonging to the stakeholder responsible for that task.&#10;The steps in the process are: &#10;1. There is a compliance concern that might arise with either NDIA or NT Government. &#10;2. If the compliance concern arises with NDIA they refer it to NT Government. &#10;3. If the compliance concern arises with NT Government with an NDIS provider, NT Government informs NDIA. &#10;4. NDIA provides relevant advice on participant plan review (if required) to NT Government.&#10;5. NT Government undertakes a compliance investigation in either of the following cases: &#10;abuse, neglect and harm; significant service delivery failure. &#10;&#10;6. Next is a decision point with two alternatives for the NT Government.   Is the provider compliant?  &#10;a) If Yes, the process reaches an end point.  &#10;Or &#10;b) If No, there is major non- compliance, then the NT Government informs the NDIA.  &#10;&#10;7.  Then the NDIA initiates action under Section 72 of the NDIS Act 2013 and contacts the Provider. &#10;8. Next is a decision point with two alternatives for the Provider. Do they respond to the NDIA? &#10;a) If the provider decides Yes, to respond to the NDIA, the NT Government may then provide relevant advice to the NDIA on the provider’s response (if required).  &#10;Or &#10;b) If the provider decides No, not to respond, the NDIA will revoke the provider’s registration. &#10;&#10;9. Next is a decision point with two alternatives for the NDIA. If the provider has responded to respond to the NDIA, have they provided evidence that they are compliant?  &#10;&#10;a) If the NDIA decides Yes, they have provided evidence that they are complaint the process ends. &#10; Or &#10;b) NDIA decides No, they have not provided evidence that they are complaint, the &#10;NDIA will revoke the provider’s registration. &#10;" title="Appendix 3 -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579559" cy="6929457"/>
                    </a:xfrm>
                    <a:prstGeom prst="rect">
                      <a:avLst/>
                    </a:prstGeom>
                  </pic:spPr>
                </pic:pic>
              </a:graphicData>
            </a:graphic>
          </wp:inline>
        </w:drawing>
      </w:r>
    </w:p>
    <w:p w:rsidR="00E65C59" w:rsidRPr="00124558" w:rsidRDefault="00BC39F7" w:rsidP="0098008F">
      <w:pPr>
        <w:spacing w:before="0" w:after="0"/>
        <w:rPr>
          <w:rFonts w:cs="Arial"/>
          <w:color w:val="auto"/>
        </w:rPr>
      </w:pPr>
      <w:r>
        <w:rPr>
          <w:noProof/>
          <w:lang w:val="en-AU" w:eastAsia="en-AU"/>
        </w:rPr>
        <w:lastRenderedPageBreak/>
        <w:drawing>
          <wp:inline distT="0" distB="0" distL="0" distR="0" wp14:anchorId="668B1FB8" wp14:editId="024CB827">
            <wp:extent cx="9277985" cy="6646545"/>
            <wp:effectExtent l="0" t="0" r="0" b="1905"/>
            <wp:docPr id="2" name="Picture 2" descr="This whole page diagram is in landscape format and is a flowchart of the steps in the Serious Incidents process. The background of the diagram is divided into three horizontal sections labelled Provider, NT Government and NDIA from the top to the bottom of the page for each of the stakeholders in the process.  The steps in the process are set out so that they are located in the section of the diagram belonging to the stakeholder responsible for that task.&#10;The steps in the process are: &#10;1. The provider becomes aware of a serious incident and follows the NT Critical Incident Reporting Guidelines. This involves informing the NT Government.&#10;2. The NT Government becomes aware of a serious incident involving an NDIS participant. They receive or request a Critical Incident Report from the provider. &#10;3. The NT Government informs NDIA of the incident.  &#10;4. Next is a large text box containing the following dot points:&#10;• Within Critical Incident Report provider sets actions to address participant risk and reduce likelihood of future incidents/participant harm &#10;• NT Government may engage provider in quality improvement measures&#10;• If critical incident or the management of the critical incidents constitutes non- compliance NT Government to trigger compliance process &#10;5. A diamond shaped text box comes next with the text: Trigger compliance process (Appendix 3)  &#10;6.  NDIA become aware of a serious incident involving an NDIS participant.&#10;7.  NDIA  establish the immediate safety and wellbeing of the participant &#10;&#10;8.  Then the NDIA informs the NT Government of the incident. &#10;&#10;9. The NDIA initiate a plan review, if required.  This is an end point for NDIA. &#10;&#10;10. When the NDIA inform the NT Government the process previously described in steps 4 and 5 occurs. &#10;11. Next is a large text box containing the following dot points:&#10;• Within Critical Incident Report provider sets actions to address participant risk and reduce likelihood of future incidents/participant harm &#10;• NT Government may engage provider in quality improvement measures&#10;• If critical incident or the management of the critical incidents constitutes non- compliance NT Government to trigger compliance process &#10;12. A diamond shaped text box comes next with the text: Trigger compliance process (Appendix 3)" title="Appendix 4 - Serious Inci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277985" cy="6646545"/>
                    </a:xfrm>
                    <a:prstGeom prst="rect">
                      <a:avLst/>
                    </a:prstGeom>
                  </pic:spPr>
                </pic:pic>
              </a:graphicData>
            </a:graphic>
          </wp:inline>
        </w:drawing>
      </w:r>
    </w:p>
    <w:sectPr w:rsidR="00E65C59" w:rsidRPr="00124558" w:rsidSect="005C7BC5">
      <w:headerReference w:type="default" r:id="rId40"/>
      <w:pgSz w:w="16840" w:h="11907" w:orient="landscape"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01" w:rsidRDefault="00060B01" w:rsidP="00EB7A2A">
      <w:r>
        <w:separator/>
      </w:r>
    </w:p>
  </w:endnote>
  <w:endnote w:type="continuationSeparator" w:id="0">
    <w:p w:rsidR="00060B01" w:rsidRDefault="00060B01"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054A9A">
    <w:pPr>
      <w:pStyle w:val="Title"/>
    </w:pPr>
    <w:r w:rsidRPr="00054A9A">
      <w:rPr>
        <w:rStyle w:val="BookTitle"/>
        <w:rFonts w:asciiTheme="majorHAnsi" w:hAnsiTheme="majorHAnsi" w:cstheme="majorHAnsi"/>
        <w:i w:val="0"/>
        <w:smallCaps w:val="0"/>
        <w:sz w:val="18"/>
        <w:szCs w:val="18"/>
      </w:rPr>
      <w:t>Q</w:t>
    </w:r>
    <w:r>
      <w:rPr>
        <w:rStyle w:val="BookTitle"/>
        <w:rFonts w:asciiTheme="majorHAnsi" w:hAnsiTheme="majorHAnsi" w:cstheme="majorHAnsi"/>
        <w:i w:val="0"/>
        <w:smallCaps w:val="0"/>
        <w:sz w:val="18"/>
        <w:szCs w:val="18"/>
      </w:rPr>
      <w:t>uality and S</w:t>
    </w:r>
    <w:r w:rsidRPr="00054A9A">
      <w:rPr>
        <w:rStyle w:val="BookTitle"/>
        <w:rFonts w:asciiTheme="majorHAnsi" w:hAnsiTheme="majorHAnsi" w:cstheme="majorHAnsi"/>
        <w:i w:val="0"/>
        <w:smallCaps w:val="0"/>
        <w:sz w:val="18"/>
        <w:szCs w:val="18"/>
      </w:rPr>
      <w:t>afeguards working arrangements for transition of</w:t>
    </w:r>
    <w:r>
      <w:rPr>
        <w:rStyle w:val="BookTitle"/>
        <w:rFonts w:asciiTheme="majorHAnsi" w:hAnsiTheme="majorHAnsi" w:cstheme="majorHAnsi"/>
        <w:i w:val="0"/>
        <w:smallCaps w:val="0"/>
        <w:sz w:val="18"/>
        <w:szCs w:val="18"/>
      </w:rPr>
      <w:t xml:space="preserve"> the NDIS in Northern Territory</w:t>
    </w:r>
    <w:r>
      <w:rPr>
        <w:rStyle w:val="BookTitle"/>
        <w:rFonts w:asciiTheme="majorHAnsi" w:hAnsiTheme="majorHAnsi" w:cstheme="majorHAnsi"/>
        <w:i w:val="0"/>
        <w:smallCaps w:val="0"/>
        <w:sz w:val="18"/>
        <w:szCs w:val="18"/>
      </w:rPr>
      <w:tab/>
    </w:r>
    <w:r w:rsidRPr="00054A9A">
      <w:rPr>
        <w:b w:val="0"/>
        <w:sz w:val="22"/>
        <w:szCs w:val="22"/>
      </w:rPr>
      <w:fldChar w:fldCharType="begin"/>
    </w:r>
    <w:r w:rsidRPr="00054A9A">
      <w:rPr>
        <w:b w:val="0"/>
        <w:sz w:val="22"/>
        <w:szCs w:val="22"/>
      </w:rPr>
      <w:instrText xml:space="preserve"> PAGE   \* MERGEFORMAT </w:instrText>
    </w:r>
    <w:r w:rsidRPr="00054A9A">
      <w:rPr>
        <w:b w:val="0"/>
        <w:sz w:val="22"/>
        <w:szCs w:val="22"/>
      </w:rPr>
      <w:fldChar w:fldCharType="separate"/>
    </w:r>
    <w:r w:rsidR="0066002C">
      <w:rPr>
        <w:b w:val="0"/>
        <w:noProof/>
        <w:sz w:val="22"/>
        <w:szCs w:val="22"/>
      </w:rPr>
      <w:t>26</w:t>
    </w:r>
    <w:r w:rsidRPr="00054A9A">
      <w:rPr>
        <w:b w:val="0"/>
        <w:sz w:val="22"/>
        <w:szCs w:val="22"/>
      </w:rPr>
      <w:fldChar w:fldCharType="end"/>
    </w:r>
  </w:p>
  <w:p w:rsidR="00285147" w:rsidRDefault="0028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C172DD">
    <w:pPr>
      <w:pStyle w:val="Title"/>
    </w:pPr>
    <w:r w:rsidRPr="00054A9A">
      <w:rPr>
        <w:rStyle w:val="BookTitle"/>
        <w:rFonts w:asciiTheme="majorHAnsi" w:hAnsiTheme="majorHAnsi" w:cstheme="majorHAnsi"/>
        <w:i w:val="0"/>
        <w:smallCaps w:val="0"/>
        <w:sz w:val="18"/>
        <w:szCs w:val="18"/>
      </w:rPr>
      <w:t>Q</w:t>
    </w:r>
    <w:r>
      <w:rPr>
        <w:rStyle w:val="BookTitle"/>
        <w:rFonts w:asciiTheme="majorHAnsi" w:hAnsiTheme="majorHAnsi" w:cstheme="majorHAnsi"/>
        <w:i w:val="0"/>
        <w:smallCaps w:val="0"/>
        <w:sz w:val="18"/>
        <w:szCs w:val="18"/>
      </w:rPr>
      <w:t>uality and S</w:t>
    </w:r>
    <w:r w:rsidRPr="00054A9A">
      <w:rPr>
        <w:rStyle w:val="BookTitle"/>
        <w:rFonts w:asciiTheme="majorHAnsi" w:hAnsiTheme="majorHAnsi" w:cstheme="majorHAnsi"/>
        <w:i w:val="0"/>
        <w:smallCaps w:val="0"/>
        <w:sz w:val="18"/>
        <w:szCs w:val="18"/>
      </w:rPr>
      <w:t>afeguards working arrangements for tran</w:t>
    </w:r>
    <w:r>
      <w:rPr>
        <w:rStyle w:val="BookTitle"/>
        <w:rFonts w:asciiTheme="majorHAnsi" w:hAnsiTheme="majorHAnsi" w:cstheme="majorHAnsi"/>
        <w:i w:val="0"/>
        <w:smallCaps w:val="0"/>
        <w:sz w:val="18"/>
        <w:szCs w:val="18"/>
      </w:rPr>
      <w:t>sition of the NDIS in Northern Territory</w:t>
    </w:r>
    <w:r>
      <w:rPr>
        <w:rStyle w:val="BookTitle"/>
        <w:rFonts w:asciiTheme="majorHAnsi" w:hAnsiTheme="majorHAnsi" w:cstheme="majorHAnsi"/>
        <w:i w:val="0"/>
        <w:smallCaps w:val="0"/>
        <w:sz w:val="18"/>
        <w:szCs w:val="18"/>
      </w:rPr>
      <w:tab/>
    </w:r>
    <w:r>
      <w:rPr>
        <w:rStyle w:val="BookTitle"/>
        <w:rFonts w:asciiTheme="majorHAnsi" w:hAnsiTheme="majorHAnsi" w:cstheme="majorHAnsi"/>
        <w:i w:val="0"/>
        <w:smallCaps w:val="0"/>
        <w:sz w:val="18"/>
        <w:szCs w:val="18"/>
      </w:rPr>
      <w:tab/>
    </w:r>
    <w:r w:rsidRPr="00054A9A">
      <w:rPr>
        <w:b w:val="0"/>
        <w:sz w:val="22"/>
        <w:szCs w:val="22"/>
      </w:rPr>
      <w:fldChar w:fldCharType="begin"/>
    </w:r>
    <w:r w:rsidRPr="00054A9A">
      <w:rPr>
        <w:b w:val="0"/>
        <w:sz w:val="22"/>
        <w:szCs w:val="22"/>
      </w:rPr>
      <w:instrText xml:space="preserve"> PAGE   \* MERGEFORMAT </w:instrText>
    </w:r>
    <w:r w:rsidRPr="00054A9A">
      <w:rPr>
        <w:b w:val="0"/>
        <w:sz w:val="22"/>
        <w:szCs w:val="22"/>
      </w:rPr>
      <w:fldChar w:fldCharType="separate"/>
    </w:r>
    <w:r w:rsidR="0066002C">
      <w:rPr>
        <w:b w:val="0"/>
        <w:noProof/>
        <w:sz w:val="22"/>
        <w:szCs w:val="22"/>
      </w:rPr>
      <w:t>4</w:t>
    </w:r>
    <w:r w:rsidRPr="00054A9A">
      <w:rPr>
        <w:b w:val="0"/>
        <w:sz w:val="22"/>
        <w:szCs w:val="22"/>
      </w:rPr>
      <w:fldChar w:fldCharType="end"/>
    </w:r>
  </w:p>
  <w:p w:rsidR="00285147" w:rsidRDefault="0028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01" w:rsidRDefault="00060B01" w:rsidP="00EB7A2A">
      <w:r>
        <w:separator/>
      </w:r>
    </w:p>
  </w:footnote>
  <w:footnote w:type="continuationSeparator" w:id="0">
    <w:p w:rsidR="00060B01" w:rsidRDefault="00060B01" w:rsidP="00EB7A2A">
      <w:r>
        <w:continuationSeparator/>
      </w:r>
    </w:p>
  </w:footnote>
  <w:footnote w:id="1">
    <w:p w:rsidR="00285147" w:rsidRDefault="00285147" w:rsidP="00431FD0">
      <w:pPr>
        <w:pStyle w:val="FootnoteText"/>
      </w:pPr>
      <w:r>
        <w:rPr>
          <w:rStyle w:val="FootnoteReference"/>
        </w:rPr>
        <w:footnoteRef/>
      </w:r>
      <w:r>
        <w:t xml:space="preserve"> The Northern Territory Government has engaged BNG, a non-government organisation, to host the self-assessment tool. The tool is available from: &lt;</w:t>
      </w:r>
      <w:hyperlink r:id="rId1" w:history="1">
        <w:r w:rsidRPr="00024C68">
          <w:rPr>
            <w:rStyle w:val="Hyperlink"/>
          </w:rPr>
          <w:t>https://www.ngoservicesonline.com.au/nds-quality</w:t>
        </w:r>
      </w:hyperlink>
      <w:r>
        <w:t xml:space="preserve">&gt; </w:t>
      </w:r>
    </w:p>
  </w:footnote>
  <w:footnote w:id="2">
    <w:p w:rsidR="00285147" w:rsidRDefault="00285147" w:rsidP="00B54CA9">
      <w:pPr>
        <w:pStyle w:val="FootnoteText"/>
      </w:pPr>
      <w:r>
        <w:rPr>
          <w:rStyle w:val="FootnoteReference"/>
        </w:rPr>
        <w:footnoteRef/>
      </w:r>
      <w:r>
        <w:t xml:space="preserve"> Refer to Table 1 of these Guidelines: ‘Process for assessment reporting and decision-making’.</w:t>
      </w:r>
    </w:p>
  </w:footnote>
  <w:footnote w:id="3">
    <w:p w:rsidR="00285147" w:rsidRPr="00F62BB9" w:rsidRDefault="00285147" w:rsidP="00B534D7">
      <w:pPr>
        <w:rPr>
          <w:rFonts w:cs="Arial"/>
          <w:color w:val="auto"/>
        </w:rPr>
      </w:pPr>
      <w:r>
        <w:rPr>
          <w:rStyle w:val="FootnoteReference"/>
        </w:rPr>
        <w:footnoteRef/>
      </w:r>
      <w:r>
        <w:t xml:space="preserve"> </w:t>
      </w:r>
      <w:r>
        <w:rPr>
          <w:szCs w:val="22"/>
        </w:rPr>
        <w:t xml:space="preserve">A major non-conformity issue in most cases will relate to a matter of serious concern or noncompliance with key legislative safeguards.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BA3A41">
    <w:pPr>
      <w:pStyle w:val="Header"/>
      <w:ind w:hanging="1418"/>
    </w:pPr>
    <w:r>
      <w:rPr>
        <w:noProof/>
        <w:lang w:val="en-AU" w:eastAsia="en-AU"/>
      </w:rPr>
      <w:drawing>
        <wp:inline distT="0" distB="0" distL="0" distR="0" wp14:anchorId="1B4CB576" wp14:editId="68DA38EC">
          <wp:extent cx="7612882" cy="2150772"/>
          <wp:effectExtent l="0" t="0" r="7620" b="1905"/>
          <wp:docPr id="4" name="Picture 4"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47674" cy="21606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A165E6">
    <w:pPr>
      <w:pStyle w:val="Header"/>
      <w:jc w:val="center"/>
    </w:pPr>
    <w:r>
      <w:rPr>
        <w:noProof/>
        <w:lang w:val="en-AU" w:eastAsia="en-AU"/>
      </w:rPr>
      <w:drawing>
        <wp:inline distT="0" distB="0" distL="0" distR="0" wp14:anchorId="520E2F14" wp14:editId="0530E13E">
          <wp:extent cx="5143500" cy="893445"/>
          <wp:effectExtent l="0" t="0" r="0" b="1905"/>
          <wp:docPr id="7" name="Picture 7" descr="NDIS logo; Commonwealth Government logo, NT Government logo"/>
          <wp:cNvGraphicFramePr/>
          <a:graphic xmlns:a="http://schemas.openxmlformats.org/drawingml/2006/main">
            <a:graphicData uri="http://schemas.openxmlformats.org/drawingml/2006/picture">
              <pic:pic xmlns:pic="http://schemas.openxmlformats.org/drawingml/2006/picture">
                <pic:nvPicPr>
                  <pic:cNvPr id="5" name="Picture 5" descr="NDIS logo; Commonwealth Government logo, NT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143500" cy="893445"/>
                  </a:xfrm>
                  <a:prstGeom prst="rect">
                    <a:avLst/>
                  </a:prstGeom>
                </pic:spPr>
              </pic:pic>
            </a:graphicData>
          </a:graphic>
        </wp:inline>
      </w:drawing>
    </w:r>
  </w:p>
  <w:p w:rsidR="00285147" w:rsidRDefault="00060B01" w:rsidP="00A165E6">
    <w:pPr>
      <w:pStyle w:val="Header"/>
      <w:jc w:val="center"/>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FE0558">
    <w:pPr>
      <w:pStyle w:val="Header"/>
      <w:ind w:hanging="284"/>
      <w:jc w:val="center"/>
    </w:pPr>
    <w:r>
      <w:rPr>
        <w:noProof/>
        <w:lang w:val="en-AU" w:eastAsia="en-AU"/>
      </w:rPr>
      <w:drawing>
        <wp:inline distT="0" distB="0" distL="0" distR="0" wp14:anchorId="35C8917F" wp14:editId="6A827B58">
          <wp:extent cx="5143500" cy="893445"/>
          <wp:effectExtent l="0" t="0" r="0" b="1905"/>
          <wp:docPr id="11" name="Picture 11" descr="NDIS logo; Commonwealth Government logo, NT Government logo"/>
          <wp:cNvGraphicFramePr/>
          <a:graphic xmlns:a="http://schemas.openxmlformats.org/drawingml/2006/main">
            <a:graphicData uri="http://schemas.openxmlformats.org/drawingml/2006/picture">
              <pic:pic xmlns:pic="http://schemas.openxmlformats.org/drawingml/2006/picture">
                <pic:nvPicPr>
                  <pic:cNvPr id="5" name="Picture 5" descr="NDIS logo; Commonwealth Government logo, NT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143500" cy="893445"/>
                  </a:xfrm>
                  <a:prstGeom prst="rect">
                    <a:avLst/>
                  </a:prstGeom>
                </pic:spPr>
              </pic:pic>
            </a:graphicData>
          </a:graphic>
        </wp:inline>
      </w:drawing>
    </w:r>
  </w:p>
  <w:p w:rsidR="00285147" w:rsidRDefault="00060B01" w:rsidP="00FE0558">
    <w:pPr>
      <w:pStyle w:val="Header"/>
      <w:ind w:hanging="284"/>
      <w:jc w:val="center"/>
    </w:pPr>
    <w:r>
      <w:pict>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Default="00285147" w:rsidP="00FE0558">
    <w:pPr>
      <w:pStyle w:val="Header"/>
      <w:jc w:val="center"/>
    </w:pPr>
    <w:r>
      <w:rPr>
        <w:noProof/>
        <w:lang w:val="en-AU" w:eastAsia="en-AU"/>
      </w:rPr>
      <w:drawing>
        <wp:inline distT="0" distB="0" distL="0" distR="0" wp14:anchorId="35C8917F" wp14:editId="6A827B58">
          <wp:extent cx="5143500" cy="893445"/>
          <wp:effectExtent l="0" t="0" r="0" b="1905"/>
          <wp:docPr id="12" name="Picture 12" descr="NDIS logo; Commonwealth Government logo, NT Government logo"/>
          <wp:cNvGraphicFramePr/>
          <a:graphic xmlns:a="http://schemas.openxmlformats.org/drawingml/2006/main">
            <a:graphicData uri="http://schemas.openxmlformats.org/drawingml/2006/picture">
              <pic:pic xmlns:pic="http://schemas.openxmlformats.org/drawingml/2006/picture">
                <pic:nvPicPr>
                  <pic:cNvPr id="5" name="Picture 5" descr="NDIS logo; Commonwealth Government logo, NT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143500" cy="893445"/>
                  </a:xfrm>
                  <a:prstGeom prst="rect">
                    <a:avLst/>
                  </a:prstGeom>
                </pic:spPr>
              </pic:pic>
            </a:graphicData>
          </a:graphic>
        </wp:inline>
      </w:drawing>
    </w:r>
  </w:p>
  <w:p w:rsidR="00285147" w:rsidRPr="00BA3A41" w:rsidRDefault="00060B01" w:rsidP="00BA3A41">
    <w:pPr>
      <w:pStyle w:val="Header"/>
    </w:pPr>
    <w:r>
      <w:pict>
        <v:rect id="_x0000_i1027" style="width:0;height:1.5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11135"/>
      <w:docPartObj>
        <w:docPartGallery w:val="Watermarks"/>
        <w:docPartUnique/>
      </w:docPartObj>
    </w:sdtPr>
    <w:sdtEndPr/>
    <w:sdtContent>
      <w:p w:rsidR="00285147" w:rsidRDefault="00060B01" w:rsidP="00FE0558">
        <w:pPr>
          <w:pStyle w:val="Header"/>
          <w:jc w:val="center"/>
        </w:pPr>
        <w:r>
          <w:rPr>
            <w:noProof/>
          </w:rPr>
          <w:pict w14:anchorId="16C69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85147">
          <w:rPr>
            <w:noProof/>
            <w:lang w:val="en-AU" w:eastAsia="en-AU"/>
          </w:rPr>
          <w:drawing>
            <wp:inline distT="0" distB="0" distL="0" distR="0" wp14:anchorId="1DF04E32" wp14:editId="26F4A949">
              <wp:extent cx="5143500" cy="893445"/>
              <wp:effectExtent l="0" t="0" r="0" b="1905"/>
              <wp:docPr id="10" name="Picture 10" descr="NDIS logo; Commonwealth Government logo, NT Government logo"/>
              <wp:cNvGraphicFramePr/>
              <a:graphic xmlns:a="http://schemas.openxmlformats.org/drawingml/2006/main">
                <a:graphicData uri="http://schemas.openxmlformats.org/drawingml/2006/picture">
                  <pic:pic xmlns:pic="http://schemas.openxmlformats.org/drawingml/2006/picture">
                    <pic:nvPicPr>
                      <pic:cNvPr id="5" name="Picture 5" descr="NDIS logo; Commonwealth Government logo, NT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143500" cy="893445"/>
                      </a:xfrm>
                      <a:prstGeom prst="rect">
                        <a:avLst/>
                      </a:prstGeom>
                    </pic:spPr>
                  </pic:pic>
                </a:graphicData>
              </a:graphic>
            </wp:inline>
          </w:drawing>
        </w:r>
      </w:p>
    </w:sdtContent>
  </w:sdt>
  <w:p w:rsidR="00285147" w:rsidRPr="006D2CB0" w:rsidRDefault="00060B01" w:rsidP="00FE0558">
    <w:pPr>
      <w:pStyle w:val="Header"/>
      <w:jc w:val="center"/>
    </w:pPr>
    <w:r>
      <w:pict>
        <v:rect id="_x0000_i1028"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47" w:rsidRPr="00F62BB9" w:rsidRDefault="00285147" w:rsidP="00444534">
    <w:pPr>
      <w:pStyle w:val="Header"/>
      <w:ind w:hanging="851"/>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91072"/>
    <w:multiLevelType w:val="hybridMultilevel"/>
    <w:tmpl w:val="16AE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04A1F"/>
    <w:multiLevelType w:val="multilevel"/>
    <w:tmpl w:val="311C5802"/>
    <w:lvl w:ilvl="0">
      <w:start w:val="1"/>
      <w:numFmt w:val="decimal"/>
      <w:lvlText w:val="%1"/>
      <w:lvlJc w:val="left"/>
      <w:pPr>
        <w:tabs>
          <w:tab w:val="num" w:pos="432"/>
        </w:tabs>
        <w:ind w:left="432" w:hanging="432"/>
      </w:pPr>
      <w:rPr>
        <w:i w:val="0"/>
      </w:r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pStyle w:val="Heading4"/>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3" w15:restartNumberingAfterBreak="0">
    <w:nsid w:val="0AFC0836"/>
    <w:multiLevelType w:val="hybridMultilevel"/>
    <w:tmpl w:val="5EEAA034"/>
    <w:lvl w:ilvl="0" w:tplc="EF844AA8">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0C943309"/>
    <w:multiLevelType w:val="hybridMultilevel"/>
    <w:tmpl w:val="1626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75ADD"/>
    <w:multiLevelType w:val="hybridMultilevel"/>
    <w:tmpl w:val="7A4E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947A1"/>
    <w:multiLevelType w:val="hybridMultilevel"/>
    <w:tmpl w:val="2B32AB4C"/>
    <w:lvl w:ilvl="0" w:tplc="85CC62F0">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A5172"/>
    <w:multiLevelType w:val="hybridMultilevel"/>
    <w:tmpl w:val="966C53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745E51"/>
    <w:multiLevelType w:val="hybridMultilevel"/>
    <w:tmpl w:val="0826E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993DA1"/>
    <w:multiLevelType w:val="hybridMultilevel"/>
    <w:tmpl w:val="08B8D8F8"/>
    <w:lvl w:ilvl="0" w:tplc="478E88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0E55A8"/>
    <w:multiLevelType w:val="multilevel"/>
    <w:tmpl w:val="9D2048D6"/>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isLgl/>
      <w:lvlText w:val="%1.%2"/>
      <w:lvlJc w:val="left"/>
      <w:pPr>
        <w:ind w:left="390" w:hanging="390"/>
      </w:pPr>
      <w:rPr>
        <w:rFonts w:cs="Times New Roman" w:hint="default"/>
      </w:rPr>
    </w:lvl>
    <w:lvl w:ilvl="2">
      <w:start w:val="1"/>
      <w:numFmt w:val="decimal"/>
      <w:pStyle w:val="Heading3"/>
      <w:isLgl/>
      <w:lvlText w:val="%1.%2.%3"/>
      <w:lvlJc w:val="left"/>
      <w:pPr>
        <w:ind w:left="357" w:hanging="357"/>
      </w:pPr>
      <w:rPr>
        <w:rFonts w:cs="Times New Roman" w:hint="default"/>
        <w:color w:val="auto"/>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15:restartNumberingAfterBreak="0">
    <w:nsid w:val="26210093"/>
    <w:multiLevelType w:val="hybridMultilevel"/>
    <w:tmpl w:val="56AA1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C4FEE"/>
    <w:multiLevelType w:val="multilevel"/>
    <w:tmpl w:val="DD44F68A"/>
    <w:lvl w:ilvl="0">
      <w:start w:val="1"/>
      <w:numFmt w:val="decimal"/>
      <w:pStyle w:val="ClauseLevel1"/>
      <w:lvlText w:val="%1."/>
      <w:lvlJc w:val="left"/>
      <w:pPr>
        <w:tabs>
          <w:tab w:val="num" w:pos="1134"/>
        </w:tabs>
        <w:ind w:left="1134" w:hanging="1134"/>
      </w:pPr>
      <w:rPr>
        <w:rFonts w:ascii="Arial" w:hAnsi="Arial" w:cs="Arial" w:hint="default"/>
        <w:sz w:val="20"/>
      </w:rPr>
    </w:lvl>
    <w:lvl w:ilvl="1">
      <w:start w:val="1"/>
      <w:numFmt w:val="decimal"/>
      <w:pStyle w:val="ClauseLevel2"/>
      <w:lvlText w:val="%1.%2."/>
      <w:lvlJc w:val="left"/>
      <w:pPr>
        <w:tabs>
          <w:tab w:val="num" w:pos="1134"/>
        </w:tabs>
        <w:ind w:left="1134" w:hanging="1134"/>
      </w:pPr>
      <w:rPr>
        <w:rFonts w:hint="default"/>
        <w:i w:val="0"/>
        <w:sz w:val="20"/>
        <w:effect w:val="none"/>
      </w:rPr>
    </w:lvl>
    <w:lvl w:ilvl="2">
      <w:start w:val="1"/>
      <w:numFmt w:val="decimal"/>
      <w:pStyle w:val="ClauseLevel3"/>
      <w:lvlText w:val="%1.%2.%3."/>
      <w:lvlJc w:val="left"/>
      <w:pPr>
        <w:tabs>
          <w:tab w:val="num" w:pos="1134"/>
        </w:tabs>
        <w:ind w:left="1134" w:hanging="1134"/>
      </w:pPr>
      <w:rPr>
        <w:rFonts w:hint="default"/>
        <w:b w:val="0"/>
        <w:sz w:val="20"/>
      </w:rPr>
    </w:lvl>
    <w:lvl w:ilvl="3">
      <w:start w:val="1"/>
      <w:numFmt w:val="lowerLetter"/>
      <w:pStyle w:val="ClauseLevel4"/>
      <w:lvlText w:val="%4."/>
      <w:lvlJc w:val="left"/>
      <w:pPr>
        <w:tabs>
          <w:tab w:val="num" w:pos="1559"/>
        </w:tabs>
        <w:ind w:left="1559" w:hanging="425"/>
      </w:pPr>
      <w:rPr>
        <w:rFonts w:hint="default"/>
        <w:b w:val="0"/>
        <w:i w:val="0"/>
        <w:sz w:val="22"/>
        <w:szCs w:val="22"/>
      </w:rPr>
    </w:lvl>
    <w:lvl w:ilvl="4">
      <w:start w:val="1"/>
      <w:numFmt w:val="lowerRoman"/>
      <w:pStyle w:val="ClauseLevel1"/>
      <w:lvlText w:val="%5."/>
      <w:lvlJc w:val="left"/>
      <w:pPr>
        <w:tabs>
          <w:tab w:val="num" w:pos="1985"/>
        </w:tabs>
        <w:ind w:left="1985" w:hanging="426"/>
      </w:pPr>
      <w:rPr>
        <w:rFonts w:hint="default"/>
      </w:rPr>
    </w:lvl>
    <w:lvl w:ilvl="5">
      <w:start w:val="1"/>
      <w:numFmt w:val="upperLetter"/>
      <w:pStyle w:val="ClauseLevel2"/>
      <w:lvlText w:val="%6."/>
      <w:lvlJc w:val="left"/>
      <w:pPr>
        <w:tabs>
          <w:tab w:val="num" w:pos="2410"/>
        </w:tabs>
        <w:ind w:left="2410" w:hanging="425"/>
      </w:pPr>
      <w:rPr>
        <w:rFonts w:hint="default"/>
      </w:rPr>
    </w:lvl>
    <w:lvl w:ilvl="6">
      <w:start w:val="1"/>
      <w:numFmt w:val="upperLetter"/>
      <w:pStyle w:val="ClauseLevel3"/>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3" w15:restartNumberingAfterBreak="0">
    <w:nsid w:val="313B6F7F"/>
    <w:multiLevelType w:val="hybridMultilevel"/>
    <w:tmpl w:val="462C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D69C6"/>
    <w:multiLevelType w:val="hybridMultilevel"/>
    <w:tmpl w:val="5D38A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1239F5"/>
    <w:multiLevelType w:val="hybridMultilevel"/>
    <w:tmpl w:val="726C36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B6E38CC"/>
    <w:multiLevelType w:val="hybridMultilevel"/>
    <w:tmpl w:val="665067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2D06396"/>
    <w:multiLevelType w:val="hybridMultilevel"/>
    <w:tmpl w:val="8E78380E"/>
    <w:lvl w:ilvl="0" w:tplc="96D855F8">
      <w:start w:val="1"/>
      <w:numFmt w:val="lowerLetter"/>
      <w:lvlText w:val="%1."/>
      <w:lvlJc w:val="left"/>
      <w:pPr>
        <w:ind w:left="1800" w:hanging="360"/>
      </w:pPr>
      <w:rPr>
        <w:rFonts w:hint="default"/>
      </w:r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50E7F5D"/>
    <w:multiLevelType w:val="hybridMultilevel"/>
    <w:tmpl w:val="DC78A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3D62D7"/>
    <w:multiLevelType w:val="hybridMultilevel"/>
    <w:tmpl w:val="DAF46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2A6447"/>
    <w:multiLevelType w:val="hybridMultilevel"/>
    <w:tmpl w:val="AB9C1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0A0AD5"/>
    <w:multiLevelType w:val="hybridMultilevel"/>
    <w:tmpl w:val="6086703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B0211"/>
    <w:multiLevelType w:val="hybridMultilevel"/>
    <w:tmpl w:val="EB34D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70629B"/>
    <w:multiLevelType w:val="hybridMultilevel"/>
    <w:tmpl w:val="548ABD88"/>
    <w:lvl w:ilvl="0" w:tplc="0C090001">
      <w:start w:val="1"/>
      <w:numFmt w:val="bullet"/>
      <w:lvlText w:val=""/>
      <w:lvlJc w:val="left"/>
      <w:pPr>
        <w:ind w:left="360" w:hanging="360"/>
      </w:pPr>
      <w:rPr>
        <w:rFonts w:ascii="Symbol" w:hAnsi="Symbol" w:hint="default"/>
      </w:rPr>
    </w:lvl>
    <w:lvl w:ilvl="1" w:tplc="2C0AFBB2">
      <w:numFmt w:val="bullet"/>
      <w:lvlText w:val="•"/>
      <w:lvlJc w:val="left"/>
      <w:pPr>
        <w:ind w:left="1440" w:hanging="720"/>
      </w:pPr>
      <w:rPr>
        <w:rFonts w:ascii="Arial" w:eastAsia="MS Mincho"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CF1B84"/>
    <w:multiLevelType w:val="hybridMultilevel"/>
    <w:tmpl w:val="9CB0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154A5"/>
    <w:multiLevelType w:val="hybridMultilevel"/>
    <w:tmpl w:val="9C501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63166E"/>
    <w:multiLevelType w:val="hybridMultilevel"/>
    <w:tmpl w:val="9D1830FA"/>
    <w:lvl w:ilvl="0" w:tplc="0C090019">
      <w:start w:val="1"/>
      <w:numFmt w:val="lowerLetter"/>
      <w:lvlText w:val="%1."/>
      <w:lvlJc w:val="left"/>
      <w:pPr>
        <w:ind w:left="360" w:hanging="360"/>
      </w:pPr>
    </w:lvl>
    <w:lvl w:ilvl="1" w:tplc="2C0AFBB2">
      <w:numFmt w:val="bullet"/>
      <w:lvlText w:val="•"/>
      <w:lvlJc w:val="left"/>
      <w:pPr>
        <w:ind w:left="1440" w:hanging="720"/>
      </w:pPr>
      <w:rPr>
        <w:rFonts w:ascii="Arial" w:eastAsia="MS Mincho"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90250CF"/>
    <w:multiLevelType w:val="hybridMultilevel"/>
    <w:tmpl w:val="CD96911C"/>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932037A"/>
    <w:multiLevelType w:val="hybridMultilevel"/>
    <w:tmpl w:val="1712844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6C4030FF"/>
    <w:multiLevelType w:val="singleLevel"/>
    <w:tmpl w:val="F8F67ECC"/>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30" w15:restartNumberingAfterBreak="0">
    <w:nsid w:val="6EC25841"/>
    <w:multiLevelType w:val="hybridMultilevel"/>
    <w:tmpl w:val="E0B2A8A6"/>
    <w:lvl w:ilvl="0" w:tplc="FD6A91EA">
      <w:start w:val="1"/>
      <w:numFmt w:val="bullet"/>
      <w:pStyle w:val="Bulletedlist"/>
      <w:lvlText w:val="■"/>
      <w:lvlJc w:val="left"/>
      <w:pPr>
        <w:tabs>
          <w:tab w:val="num" w:pos="505"/>
        </w:tabs>
        <w:ind w:left="505" w:hanging="363"/>
      </w:pPr>
    </w:lvl>
    <w:lvl w:ilvl="1" w:tplc="307C630E">
      <w:start w:val="1"/>
      <w:numFmt w:val="bullet"/>
      <w:lvlText w:val="o"/>
      <w:lvlJc w:val="left"/>
      <w:pPr>
        <w:tabs>
          <w:tab w:val="num" w:pos="1440"/>
        </w:tabs>
        <w:ind w:left="1440" w:hanging="360"/>
      </w:pPr>
      <w:rPr>
        <w:rFonts w:ascii="Courier New" w:hAnsi="Courier New" w:cs="Times New Roman" w:hint="default"/>
      </w:rPr>
    </w:lvl>
    <w:lvl w:ilvl="2" w:tplc="6A7EFC9A">
      <w:start w:val="1"/>
      <w:numFmt w:val="bullet"/>
      <w:lvlText w:val=""/>
      <w:lvlJc w:val="left"/>
      <w:pPr>
        <w:tabs>
          <w:tab w:val="num" w:pos="2160"/>
        </w:tabs>
        <w:ind w:left="2160" w:hanging="360"/>
      </w:pPr>
      <w:rPr>
        <w:rFonts w:ascii="Wingdings" w:hAnsi="Wingdings" w:hint="default"/>
      </w:rPr>
    </w:lvl>
    <w:lvl w:ilvl="3" w:tplc="57D28FA2">
      <w:start w:val="1"/>
      <w:numFmt w:val="bullet"/>
      <w:lvlText w:val=""/>
      <w:lvlJc w:val="left"/>
      <w:pPr>
        <w:tabs>
          <w:tab w:val="num" w:pos="2880"/>
        </w:tabs>
        <w:ind w:left="2880" w:hanging="360"/>
      </w:pPr>
      <w:rPr>
        <w:rFonts w:ascii="Symbol" w:hAnsi="Symbol" w:hint="default"/>
      </w:rPr>
    </w:lvl>
    <w:lvl w:ilvl="4" w:tplc="D1BEFB2E">
      <w:start w:val="1"/>
      <w:numFmt w:val="bullet"/>
      <w:lvlText w:val="o"/>
      <w:lvlJc w:val="left"/>
      <w:pPr>
        <w:tabs>
          <w:tab w:val="num" w:pos="3600"/>
        </w:tabs>
        <w:ind w:left="3600" w:hanging="360"/>
      </w:pPr>
      <w:rPr>
        <w:rFonts w:ascii="Courier New" w:hAnsi="Courier New" w:cs="Times New Roman" w:hint="default"/>
      </w:rPr>
    </w:lvl>
    <w:lvl w:ilvl="5" w:tplc="9B98C626">
      <w:start w:val="1"/>
      <w:numFmt w:val="bullet"/>
      <w:lvlText w:val=""/>
      <w:lvlJc w:val="left"/>
      <w:pPr>
        <w:tabs>
          <w:tab w:val="num" w:pos="4320"/>
        </w:tabs>
        <w:ind w:left="4320" w:hanging="360"/>
      </w:pPr>
      <w:rPr>
        <w:rFonts w:ascii="Wingdings" w:hAnsi="Wingdings" w:hint="default"/>
      </w:rPr>
    </w:lvl>
    <w:lvl w:ilvl="6" w:tplc="119C04E4">
      <w:start w:val="1"/>
      <w:numFmt w:val="bullet"/>
      <w:lvlText w:val=""/>
      <w:lvlJc w:val="left"/>
      <w:pPr>
        <w:tabs>
          <w:tab w:val="num" w:pos="5040"/>
        </w:tabs>
        <w:ind w:left="5040" w:hanging="360"/>
      </w:pPr>
      <w:rPr>
        <w:rFonts w:ascii="Symbol" w:hAnsi="Symbol" w:hint="default"/>
      </w:rPr>
    </w:lvl>
    <w:lvl w:ilvl="7" w:tplc="F8BCD192">
      <w:start w:val="1"/>
      <w:numFmt w:val="bullet"/>
      <w:lvlText w:val="o"/>
      <w:lvlJc w:val="left"/>
      <w:pPr>
        <w:tabs>
          <w:tab w:val="num" w:pos="5760"/>
        </w:tabs>
        <w:ind w:left="5760" w:hanging="360"/>
      </w:pPr>
      <w:rPr>
        <w:rFonts w:ascii="Courier New" w:hAnsi="Courier New" w:cs="Times New Roman" w:hint="default"/>
      </w:rPr>
    </w:lvl>
    <w:lvl w:ilvl="8" w:tplc="7A4E697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2916"/>
    <w:multiLevelType w:val="hybridMultilevel"/>
    <w:tmpl w:val="F76EF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4F589A"/>
    <w:multiLevelType w:val="hybridMultilevel"/>
    <w:tmpl w:val="B4F6D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0F459C"/>
    <w:multiLevelType w:val="hybridMultilevel"/>
    <w:tmpl w:val="55AE6E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26"/>
  </w:num>
  <w:num w:numId="4">
    <w:abstractNumId w:val="33"/>
  </w:num>
  <w:num w:numId="5">
    <w:abstractNumId w:val="16"/>
  </w:num>
  <w:num w:numId="6">
    <w:abstractNumId w:val="22"/>
  </w:num>
  <w:num w:numId="7">
    <w:abstractNumId w:val="25"/>
  </w:num>
  <w:num w:numId="8">
    <w:abstractNumId w:val="9"/>
  </w:num>
  <w:num w:numId="9">
    <w:abstractNumId w:val="8"/>
  </w:num>
  <w:num w:numId="10">
    <w:abstractNumId w:val="19"/>
  </w:num>
  <w:num w:numId="11">
    <w:abstractNumId w:val="21"/>
  </w:num>
  <w:num w:numId="12">
    <w:abstractNumId w:val="20"/>
  </w:num>
  <w:num w:numId="13">
    <w:abstractNumId w:val="31"/>
  </w:num>
  <w:num w:numId="14">
    <w:abstractNumId w:val="4"/>
  </w:num>
  <w:num w:numId="15">
    <w:abstractNumId w:val="14"/>
  </w:num>
  <w:num w:numId="16">
    <w:abstractNumId w:val="11"/>
  </w:num>
  <w:num w:numId="17">
    <w:abstractNumId w:val="32"/>
  </w:num>
  <w:num w:numId="18">
    <w:abstractNumId w:val="2"/>
  </w:num>
  <w:num w:numId="19">
    <w:abstractNumId w:val="30"/>
  </w:num>
  <w:num w:numId="20">
    <w:abstractNumId w:val="18"/>
  </w:num>
  <w:num w:numId="21">
    <w:abstractNumId w:val="24"/>
  </w:num>
  <w:num w:numId="22">
    <w:abstractNumId w:val="5"/>
  </w:num>
  <w:num w:numId="23">
    <w:abstractNumId w:val="13"/>
  </w:num>
  <w:num w:numId="24">
    <w:abstractNumId w:val="1"/>
  </w:num>
  <w:num w:numId="25">
    <w:abstractNumId w:val="23"/>
  </w:num>
  <w:num w:numId="26">
    <w:abstractNumId w:val="29"/>
  </w:num>
  <w:num w:numId="27">
    <w:abstractNumId w:val="10"/>
  </w:num>
  <w:num w:numId="28">
    <w:abstractNumId w:val="10"/>
  </w:num>
  <w:num w:numId="29">
    <w:abstractNumId w:val="15"/>
  </w:num>
  <w:num w:numId="30">
    <w:abstractNumId w:val="17"/>
  </w:num>
  <w:num w:numId="31">
    <w:abstractNumId w:val="27"/>
  </w:num>
  <w:num w:numId="32">
    <w:abstractNumId w:val="7"/>
  </w:num>
  <w:num w:numId="33">
    <w:abstractNumId w:val="12"/>
  </w:num>
  <w:num w:numId="34">
    <w:abstractNumId w:val="3"/>
  </w:num>
  <w:num w:numId="35">
    <w:abstractNumId w:val="28"/>
  </w:num>
  <w:num w:numId="36">
    <w:abstractNumId w:val="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34"/>
    <w:rsid w:val="00004679"/>
    <w:rsid w:val="00006AAC"/>
    <w:rsid w:val="00015327"/>
    <w:rsid w:val="0002623D"/>
    <w:rsid w:val="000273F3"/>
    <w:rsid w:val="00027671"/>
    <w:rsid w:val="000278EA"/>
    <w:rsid w:val="0003033A"/>
    <w:rsid w:val="000324A2"/>
    <w:rsid w:val="000428C5"/>
    <w:rsid w:val="00044CF0"/>
    <w:rsid w:val="00045AA4"/>
    <w:rsid w:val="00046CBA"/>
    <w:rsid w:val="00047DFA"/>
    <w:rsid w:val="000536C9"/>
    <w:rsid w:val="00054A9A"/>
    <w:rsid w:val="00060B01"/>
    <w:rsid w:val="00062D49"/>
    <w:rsid w:val="0006324F"/>
    <w:rsid w:val="00063673"/>
    <w:rsid w:val="00064F46"/>
    <w:rsid w:val="00065831"/>
    <w:rsid w:val="00067DC7"/>
    <w:rsid w:val="00074D55"/>
    <w:rsid w:val="00077ECF"/>
    <w:rsid w:val="00081DE0"/>
    <w:rsid w:val="00082A8F"/>
    <w:rsid w:val="00083606"/>
    <w:rsid w:val="00083E02"/>
    <w:rsid w:val="00087D04"/>
    <w:rsid w:val="000975B9"/>
    <w:rsid w:val="00097994"/>
    <w:rsid w:val="000B0298"/>
    <w:rsid w:val="000B402D"/>
    <w:rsid w:val="000B7D9F"/>
    <w:rsid w:val="000C0009"/>
    <w:rsid w:val="000C3419"/>
    <w:rsid w:val="000C6FF8"/>
    <w:rsid w:val="000D08CC"/>
    <w:rsid w:val="000D2EC8"/>
    <w:rsid w:val="000D563D"/>
    <w:rsid w:val="000D7335"/>
    <w:rsid w:val="000D7FD9"/>
    <w:rsid w:val="000F5ACD"/>
    <w:rsid w:val="001002D4"/>
    <w:rsid w:val="0010174D"/>
    <w:rsid w:val="00107D98"/>
    <w:rsid w:val="00116C2D"/>
    <w:rsid w:val="0011720F"/>
    <w:rsid w:val="00117DC4"/>
    <w:rsid w:val="00124558"/>
    <w:rsid w:val="00126E12"/>
    <w:rsid w:val="00126F57"/>
    <w:rsid w:val="00133E1E"/>
    <w:rsid w:val="001375DF"/>
    <w:rsid w:val="00141A23"/>
    <w:rsid w:val="00154DED"/>
    <w:rsid w:val="00164256"/>
    <w:rsid w:val="001663AA"/>
    <w:rsid w:val="00174723"/>
    <w:rsid w:val="00176C7C"/>
    <w:rsid w:val="00177B09"/>
    <w:rsid w:val="00186AE8"/>
    <w:rsid w:val="00187091"/>
    <w:rsid w:val="00191F38"/>
    <w:rsid w:val="001942B5"/>
    <w:rsid w:val="00195225"/>
    <w:rsid w:val="001A2DC7"/>
    <w:rsid w:val="001A5C41"/>
    <w:rsid w:val="001A688B"/>
    <w:rsid w:val="001B40E5"/>
    <w:rsid w:val="001B6BDC"/>
    <w:rsid w:val="001D0710"/>
    <w:rsid w:val="001D1026"/>
    <w:rsid w:val="001D1561"/>
    <w:rsid w:val="001D6EEF"/>
    <w:rsid w:val="001D766A"/>
    <w:rsid w:val="001E18EB"/>
    <w:rsid w:val="001E1E14"/>
    <w:rsid w:val="001E1E78"/>
    <w:rsid w:val="001E49EC"/>
    <w:rsid w:val="001F476D"/>
    <w:rsid w:val="002106C8"/>
    <w:rsid w:val="00213CBD"/>
    <w:rsid w:val="00215EDC"/>
    <w:rsid w:val="002167D3"/>
    <w:rsid w:val="00216F5E"/>
    <w:rsid w:val="002276FD"/>
    <w:rsid w:val="00242ED2"/>
    <w:rsid w:val="00243FAA"/>
    <w:rsid w:val="00244DB2"/>
    <w:rsid w:val="00254E1B"/>
    <w:rsid w:val="0025646A"/>
    <w:rsid w:val="002638C7"/>
    <w:rsid w:val="002739D2"/>
    <w:rsid w:val="00280616"/>
    <w:rsid w:val="002833EA"/>
    <w:rsid w:val="0028409E"/>
    <w:rsid w:val="00285147"/>
    <w:rsid w:val="002917BF"/>
    <w:rsid w:val="002919D9"/>
    <w:rsid w:val="002975B5"/>
    <w:rsid w:val="0029788B"/>
    <w:rsid w:val="002A47DD"/>
    <w:rsid w:val="002A5B2B"/>
    <w:rsid w:val="002C125E"/>
    <w:rsid w:val="002C3E70"/>
    <w:rsid w:val="002C5FD4"/>
    <w:rsid w:val="002D0454"/>
    <w:rsid w:val="002E06DD"/>
    <w:rsid w:val="002E4469"/>
    <w:rsid w:val="002E6BD0"/>
    <w:rsid w:val="002E6E30"/>
    <w:rsid w:val="002F13F6"/>
    <w:rsid w:val="00302322"/>
    <w:rsid w:val="00302F97"/>
    <w:rsid w:val="0031080B"/>
    <w:rsid w:val="00310893"/>
    <w:rsid w:val="0031109B"/>
    <w:rsid w:val="0032370B"/>
    <w:rsid w:val="00327A53"/>
    <w:rsid w:val="00330452"/>
    <w:rsid w:val="0033124A"/>
    <w:rsid w:val="00334407"/>
    <w:rsid w:val="00335117"/>
    <w:rsid w:val="00337522"/>
    <w:rsid w:val="0033788B"/>
    <w:rsid w:val="00341D27"/>
    <w:rsid w:val="003510C2"/>
    <w:rsid w:val="003537F1"/>
    <w:rsid w:val="00354503"/>
    <w:rsid w:val="00354577"/>
    <w:rsid w:val="00355E52"/>
    <w:rsid w:val="00362B82"/>
    <w:rsid w:val="003668A6"/>
    <w:rsid w:val="0037608D"/>
    <w:rsid w:val="003810D9"/>
    <w:rsid w:val="00381A58"/>
    <w:rsid w:val="0038612B"/>
    <w:rsid w:val="0039266A"/>
    <w:rsid w:val="0039312E"/>
    <w:rsid w:val="003934A3"/>
    <w:rsid w:val="003A67FE"/>
    <w:rsid w:val="003B2C7C"/>
    <w:rsid w:val="003B3CC7"/>
    <w:rsid w:val="003C2D70"/>
    <w:rsid w:val="003C562F"/>
    <w:rsid w:val="003D1545"/>
    <w:rsid w:val="003D73E7"/>
    <w:rsid w:val="003E26B1"/>
    <w:rsid w:val="003E334E"/>
    <w:rsid w:val="003E3AE7"/>
    <w:rsid w:val="003E3BD8"/>
    <w:rsid w:val="003E3D17"/>
    <w:rsid w:val="003E5809"/>
    <w:rsid w:val="003E7F55"/>
    <w:rsid w:val="003F2679"/>
    <w:rsid w:val="0040549E"/>
    <w:rsid w:val="004078B6"/>
    <w:rsid w:val="00412C1E"/>
    <w:rsid w:val="00414EDE"/>
    <w:rsid w:val="00415F10"/>
    <w:rsid w:val="004216C8"/>
    <w:rsid w:val="00425C8A"/>
    <w:rsid w:val="0043016E"/>
    <w:rsid w:val="00431BFD"/>
    <w:rsid w:val="00431FD0"/>
    <w:rsid w:val="00437467"/>
    <w:rsid w:val="004426A0"/>
    <w:rsid w:val="00444534"/>
    <w:rsid w:val="00455D23"/>
    <w:rsid w:val="00462FCA"/>
    <w:rsid w:val="00470205"/>
    <w:rsid w:val="00481006"/>
    <w:rsid w:val="004834EE"/>
    <w:rsid w:val="004838A7"/>
    <w:rsid w:val="00484E48"/>
    <w:rsid w:val="004942F2"/>
    <w:rsid w:val="004A1122"/>
    <w:rsid w:val="004A25C3"/>
    <w:rsid w:val="004A3EC0"/>
    <w:rsid w:val="004B52EE"/>
    <w:rsid w:val="004B75F5"/>
    <w:rsid w:val="004C1EA3"/>
    <w:rsid w:val="004C5AAC"/>
    <w:rsid w:val="004C5F33"/>
    <w:rsid w:val="004D3FE7"/>
    <w:rsid w:val="004D605E"/>
    <w:rsid w:val="004E26C0"/>
    <w:rsid w:val="004F0743"/>
    <w:rsid w:val="00510E5B"/>
    <w:rsid w:val="0051230C"/>
    <w:rsid w:val="00513C1C"/>
    <w:rsid w:val="00523CD0"/>
    <w:rsid w:val="00523F9B"/>
    <w:rsid w:val="00524208"/>
    <w:rsid w:val="00527374"/>
    <w:rsid w:val="00530651"/>
    <w:rsid w:val="00530F83"/>
    <w:rsid w:val="00531E88"/>
    <w:rsid w:val="00532F88"/>
    <w:rsid w:val="00534505"/>
    <w:rsid w:val="00537678"/>
    <w:rsid w:val="00545D42"/>
    <w:rsid w:val="005462DB"/>
    <w:rsid w:val="00547A01"/>
    <w:rsid w:val="00560DB8"/>
    <w:rsid w:val="00561B8B"/>
    <w:rsid w:val="00564109"/>
    <w:rsid w:val="00571EE0"/>
    <w:rsid w:val="005823AC"/>
    <w:rsid w:val="00582504"/>
    <w:rsid w:val="00582B1D"/>
    <w:rsid w:val="0058351F"/>
    <w:rsid w:val="005839DA"/>
    <w:rsid w:val="0058461B"/>
    <w:rsid w:val="00585F7E"/>
    <w:rsid w:val="0059597C"/>
    <w:rsid w:val="005A2C4D"/>
    <w:rsid w:val="005A6434"/>
    <w:rsid w:val="005B3999"/>
    <w:rsid w:val="005B4324"/>
    <w:rsid w:val="005C04BF"/>
    <w:rsid w:val="005C14FF"/>
    <w:rsid w:val="005C4F6B"/>
    <w:rsid w:val="005C7BC5"/>
    <w:rsid w:val="005D372A"/>
    <w:rsid w:val="005E054C"/>
    <w:rsid w:val="005E1A14"/>
    <w:rsid w:val="005E5918"/>
    <w:rsid w:val="005E6E67"/>
    <w:rsid w:val="005F5D61"/>
    <w:rsid w:val="005F781A"/>
    <w:rsid w:val="006011F3"/>
    <w:rsid w:val="00605443"/>
    <w:rsid w:val="006146FE"/>
    <w:rsid w:val="00617B26"/>
    <w:rsid w:val="00631979"/>
    <w:rsid w:val="00636226"/>
    <w:rsid w:val="00651D7C"/>
    <w:rsid w:val="00652C61"/>
    <w:rsid w:val="00654EF5"/>
    <w:rsid w:val="00657026"/>
    <w:rsid w:val="0066002C"/>
    <w:rsid w:val="00665E5F"/>
    <w:rsid w:val="00670BCD"/>
    <w:rsid w:val="00672421"/>
    <w:rsid w:val="00674700"/>
    <w:rsid w:val="00675375"/>
    <w:rsid w:val="00677F54"/>
    <w:rsid w:val="00680FE6"/>
    <w:rsid w:val="00681E1E"/>
    <w:rsid w:val="0068581F"/>
    <w:rsid w:val="00687275"/>
    <w:rsid w:val="0069132C"/>
    <w:rsid w:val="006931A9"/>
    <w:rsid w:val="0069344E"/>
    <w:rsid w:val="0069440D"/>
    <w:rsid w:val="00695188"/>
    <w:rsid w:val="00695E34"/>
    <w:rsid w:val="0069796A"/>
    <w:rsid w:val="006A12AC"/>
    <w:rsid w:val="006A20AA"/>
    <w:rsid w:val="006A22FA"/>
    <w:rsid w:val="006A5876"/>
    <w:rsid w:val="006B1740"/>
    <w:rsid w:val="006B6144"/>
    <w:rsid w:val="006B704C"/>
    <w:rsid w:val="006B7DD8"/>
    <w:rsid w:val="006B7E5D"/>
    <w:rsid w:val="006C2342"/>
    <w:rsid w:val="006C731D"/>
    <w:rsid w:val="006D2CB0"/>
    <w:rsid w:val="006D4444"/>
    <w:rsid w:val="006D7C0C"/>
    <w:rsid w:val="006E101E"/>
    <w:rsid w:val="006E3F5E"/>
    <w:rsid w:val="006F57D0"/>
    <w:rsid w:val="0070153A"/>
    <w:rsid w:val="00701586"/>
    <w:rsid w:val="007023E3"/>
    <w:rsid w:val="00702B90"/>
    <w:rsid w:val="00706D19"/>
    <w:rsid w:val="00707D03"/>
    <w:rsid w:val="007113DF"/>
    <w:rsid w:val="0071246D"/>
    <w:rsid w:val="007160C5"/>
    <w:rsid w:val="00716512"/>
    <w:rsid w:val="007178C6"/>
    <w:rsid w:val="007231D6"/>
    <w:rsid w:val="007244B1"/>
    <w:rsid w:val="00725448"/>
    <w:rsid w:val="00734EFB"/>
    <w:rsid w:val="007353A8"/>
    <w:rsid w:val="0073560D"/>
    <w:rsid w:val="00742D48"/>
    <w:rsid w:val="007452C3"/>
    <w:rsid w:val="00751632"/>
    <w:rsid w:val="00763885"/>
    <w:rsid w:val="00765D68"/>
    <w:rsid w:val="00767E08"/>
    <w:rsid w:val="007700D0"/>
    <w:rsid w:val="00770B32"/>
    <w:rsid w:val="00771876"/>
    <w:rsid w:val="00771B65"/>
    <w:rsid w:val="00773BF7"/>
    <w:rsid w:val="007759B5"/>
    <w:rsid w:val="00776030"/>
    <w:rsid w:val="00776814"/>
    <w:rsid w:val="00776FD9"/>
    <w:rsid w:val="00791399"/>
    <w:rsid w:val="007916AE"/>
    <w:rsid w:val="00793179"/>
    <w:rsid w:val="007949AF"/>
    <w:rsid w:val="007A04FB"/>
    <w:rsid w:val="007A4882"/>
    <w:rsid w:val="007A49C6"/>
    <w:rsid w:val="007A579E"/>
    <w:rsid w:val="007B1430"/>
    <w:rsid w:val="007B5A71"/>
    <w:rsid w:val="007C4E68"/>
    <w:rsid w:val="007D22BA"/>
    <w:rsid w:val="007D498E"/>
    <w:rsid w:val="007E0020"/>
    <w:rsid w:val="007E040C"/>
    <w:rsid w:val="007E147E"/>
    <w:rsid w:val="007E6B10"/>
    <w:rsid w:val="007F0ED7"/>
    <w:rsid w:val="007F3B62"/>
    <w:rsid w:val="008012D0"/>
    <w:rsid w:val="008063EE"/>
    <w:rsid w:val="008132BD"/>
    <w:rsid w:val="0082021A"/>
    <w:rsid w:val="00820D48"/>
    <w:rsid w:val="008243B4"/>
    <w:rsid w:val="00842B73"/>
    <w:rsid w:val="008437B7"/>
    <w:rsid w:val="008451C9"/>
    <w:rsid w:val="00865120"/>
    <w:rsid w:val="00865785"/>
    <w:rsid w:val="008668B6"/>
    <w:rsid w:val="00870D21"/>
    <w:rsid w:val="00876883"/>
    <w:rsid w:val="0087695C"/>
    <w:rsid w:val="00881C87"/>
    <w:rsid w:val="00883F0E"/>
    <w:rsid w:val="0088624A"/>
    <w:rsid w:val="00887DF9"/>
    <w:rsid w:val="0089164E"/>
    <w:rsid w:val="00892E04"/>
    <w:rsid w:val="008948A0"/>
    <w:rsid w:val="008A030D"/>
    <w:rsid w:val="008A10BC"/>
    <w:rsid w:val="008A6FA3"/>
    <w:rsid w:val="008B4430"/>
    <w:rsid w:val="008C0C78"/>
    <w:rsid w:val="008C4A50"/>
    <w:rsid w:val="008C7405"/>
    <w:rsid w:val="008D0631"/>
    <w:rsid w:val="008D2783"/>
    <w:rsid w:val="008D656D"/>
    <w:rsid w:val="008D7111"/>
    <w:rsid w:val="008E07D5"/>
    <w:rsid w:val="008E4999"/>
    <w:rsid w:val="008E6586"/>
    <w:rsid w:val="008F04B7"/>
    <w:rsid w:val="0091102C"/>
    <w:rsid w:val="00913C2A"/>
    <w:rsid w:val="00915B44"/>
    <w:rsid w:val="00925E2B"/>
    <w:rsid w:val="00927C7A"/>
    <w:rsid w:val="00927DA5"/>
    <w:rsid w:val="00936A79"/>
    <w:rsid w:val="0093720F"/>
    <w:rsid w:val="00941D3D"/>
    <w:rsid w:val="00942BA5"/>
    <w:rsid w:val="00946409"/>
    <w:rsid w:val="009524C3"/>
    <w:rsid w:val="00956608"/>
    <w:rsid w:val="009575DB"/>
    <w:rsid w:val="00966F01"/>
    <w:rsid w:val="00967975"/>
    <w:rsid w:val="00971699"/>
    <w:rsid w:val="009720CE"/>
    <w:rsid w:val="0098008F"/>
    <w:rsid w:val="009825FD"/>
    <w:rsid w:val="00990F9C"/>
    <w:rsid w:val="0099163B"/>
    <w:rsid w:val="00992CCD"/>
    <w:rsid w:val="009953D9"/>
    <w:rsid w:val="009A3FCD"/>
    <w:rsid w:val="009A4F7F"/>
    <w:rsid w:val="009B057D"/>
    <w:rsid w:val="009B691A"/>
    <w:rsid w:val="009B7C21"/>
    <w:rsid w:val="009C2131"/>
    <w:rsid w:val="009C3F12"/>
    <w:rsid w:val="009C717A"/>
    <w:rsid w:val="009D035C"/>
    <w:rsid w:val="009D0DD8"/>
    <w:rsid w:val="009D5274"/>
    <w:rsid w:val="009D6B5B"/>
    <w:rsid w:val="009E25AE"/>
    <w:rsid w:val="009E3E0E"/>
    <w:rsid w:val="009E4A84"/>
    <w:rsid w:val="009F0537"/>
    <w:rsid w:val="009F3085"/>
    <w:rsid w:val="00A015D5"/>
    <w:rsid w:val="00A1184E"/>
    <w:rsid w:val="00A165E6"/>
    <w:rsid w:val="00A17B14"/>
    <w:rsid w:val="00A2126F"/>
    <w:rsid w:val="00A35932"/>
    <w:rsid w:val="00A43AB2"/>
    <w:rsid w:val="00A65B07"/>
    <w:rsid w:val="00A70A4A"/>
    <w:rsid w:val="00A76135"/>
    <w:rsid w:val="00A762B1"/>
    <w:rsid w:val="00A7770B"/>
    <w:rsid w:val="00A81589"/>
    <w:rsid w:val="00A827EF"/>
    <w:rsid w:val="00A82904"/>
    <w:rsid w:val="00A85ED9"/>
    <w:rsid w:val="00A873ED"/>
    <w:rsid w:val="00A90383"/>
    <w:rsid w:val="00A91709"/>
    <w:rsid w:val="00A931FF"/>
    <w:rsid w:val="00AA0C6F"/>
    <w:rsid w:val="00AA6B31"/>
    <w:rsid w:val="00AA73EC"/>
    <w:rsid w:val="00AA7556"/>
    <w:rsid w:val="00AB0E4E"/>
    <w:rsid w:val="00AB20F5"/>
    <w:rsid w:val="00AB2C4B"/>
    <w:rsid w:val="00AB3A1A"/>
    <w:rsid w:val="00AB55B7"/>
    <w:rsid w:val="00AC0F14"/>
    <w:rsid w:val="00AC3AE8"/>
    <w:rsid w:val="00AD565C"/>
    <w:rsid w:val="00AD5FCD"/>
    <w:rsid w:val="00AE7581"/>
    <w:rsid w:val="00AF1A83"/>
    <w:rsid w:val="00AF6F4C"/>
    <w:rsid w:val="00B02C89"/>
    <w:rsid w:val="00B03264"/>
    <w:rsid w:val="00B054D6"/>
    <w:rsid w:val="00B06779"/>
    <w:rsid w:val="00B10532"/>
    <w:rsid w:val="00B116F3"/>
    <w:rsid w:val="00B13DA3"/>
    <w:rsid w:val="00B16A00"/>
    <w:rsid w:val="00B20808"/>
    <w:rsid w:val="00B209F9"/>
    <w:rsid w:val="00B22EAE"/>
    <w:rsid w:val="00B24536"/>
    <w:rsid w:val="00B27ED2"/>
    <w:rsid w:val="00B31D9A"/>
    <w:rsid w:val="00B4313F"/>
    <w:rsid w:val="00B44E5C"/>
    <w:rsid w:val="00B534D7"/>
    <w:rsid w:val="00B54CA9"/>
    <w:rsid w:val="00B56F20"/>
    <w:rsid w:val="00B5770A"/>
    <w:rsid w:val="00B60E36"/>
    <w:rsid w:val="00B6351C"/>
    <w:rsid w:val="00B718E7"/>
    <w:rsid w:val="00B751E6"/>
    <w:rsid w:val="00B80CC4"/>
    <w:rsid w:val="00B91172"/>
    <w:rsid w:val="00B92052"/>
    <w:rsid w:val="00B941BC"/>
    <w:rsid w:val="00B95F54"/>
    <w:rsid w:val="00B97FB5"/>
    <w:rsid w:val="00BA07AA"/>
    <w:rsid w:val="00BA3261"/>
    <w:rsid w:val="00BA3A41"/>
    <w:rsid w:val="00BA664D"/>
    <w:rsid w:val="00BA763D"/>
    <w:rsid w:val="00BA7A9E"/>
    <w:rsid w:val="00BA7FE5"/>
    <w:rsid w:val="00BB15F5"/>
    <w:rsid w:val="00BB3FD7"/>
    <w:rsid w:val="00BB42D3"/>
    <w:rsid w:val="00BB76D0"/>
    <w:rsid w:val="00BC39F7"/>
    <w:rsid w:val="00BD050A"/>
    <w:rsid w:val="00BD0553"/>
    <w:rsid w:val="00BD250F"/>
    <w:rsid w:val="00BD2E30"/>
    <w:rsid w:val="00BD4581"/>
    <w:rsid w:val="00BF25A3"/>
    <w:rsid w:val="00BF3CDC"/>
    <w:rsid w:val="00BF44EC"/>
    <w:rsid w:val="00C032F6"/>
    <w:rsid w:val="00C033CE"/>
    <w:rsid w:val="00C154CB"/>
    <w:rsid w:val="00C154EA"/>
    <w:rsid w:val="00C172DD"/>
    <w:rsid w:val="00C214C2"/>
    <w:rsid w:val="00C23143"/>
    <w:rsid w:val="00C244AE"/>
    <w:rsid w:val="00C2696D"/>
    <w:rsid w:val="00C34EDA"/>
    <w:rsid w:val="00C360E8"/>
    <w:rsid w:val="00C43939"/>
    <w:rsid w:val="00C44A72"/>
    <w:rsid w:val="00C46661"/>
    <w:rsid w:val="00C46A84"/>
    <w:rsid w:val="00C53144"/>
    <w:rsid w:val="00C614DE"/>
    <w:rsid w:val="00C721C5"/>
    <w:rsid w:val="00C73A58"/>
    <w:rsid w:val="00C77503"/>
    <w:rsid w:val="00C81566"/>
    <w:rsid w:val="00C933E4"/>
    <w:rsid w:val="00C94362"/>
    <w:rsid w:val="00CA2799"/>
    <w:rsid w:val="00CA31C5"/>
    <w:rsid w:val="00CB28F5"/>
    <w:rsid w:val="00CB5AB2"/>
    <w:rsid w:val="00CB6E7E"/>
    <w:rsid w:val="00CC6FE5"/>
    <w:rsid w:val="00CD4183"/>
    <w:rsid w:val="00CD48E2"/>
    <w:rsid w:val="00CE56CB"/>
    <w:rsid w:val="00D04CC3"/>
    <w:rsid w:val="00D10296"/>
    <w:rsid w:val="00D10308"/>
    <w:rsid w:val="00D11974"/>
    <w:rsid w:val="00D144A0"/>
    <w:rsid w:val="00D21373"/>
    <w:rsid w:val="00D21CCD"/>
    <w:rsid w:val="00D2436B"/>
    <w:rsid w:val="00D307AA"/>
    <w:rsid w:val="00D31D27"/>
    <w:rsid w:val="00D31FDD"/>
    <w:rsid w:val="00D3781E"/>
    <w:rsid w:val="00D426C1"/>
    <w:rsid w:val="00D42EE4"/>
    <w:rsid w:val="00D47DBB"/>
    <w:rsid w:val="00D54502"/>
    <w:rsid w:val="00D67BB2"/>
    <w:rsid w:val="00D74164"/>
    <w:rsid w:val="00D83CD9"/>
    <w:rsid w:val="00D84702"/>
    <w:rsid w:val="00D84786"/>
    <w:rsid w:val="00D864F4"/>
    <w:rsid w:val="00D87878"/>
    <w:rsid w:val="00D923A0"/>
    <w:rsid w:val="00D96A0E"/>
    <w:rsid w:val="00DA1600"/>
    <w:rsid w:val="00DA6BCA"/>
    <w:rsid w:val="00DA6DF6"/>
    <w:rsid w:val="00DA6EF6"/>
    <w:rsid w:val="00DA7BB1"/>
    <w:rsid w:val="00DB2B2B"/>
    <w:rsid w:val="00DB4091"/>
    <w:rsid w:val="00DC6350"/>
    <w:rsid w:val="00DC7B08"/>
    <w:rsid w:val="00DD1111"/>
    <w:rsid w:val="00DD1C64"/>
    <w:rsid w:val="00DD4649"/>
    <w:rsid w:val="00DE04D6"/>
    <w:rsid w:val="00DE2CD7"/>
    <w:rsid w:val="00DE6C8E"/>
    <w:rsid w:val="00DF5A19"/>
    <w:rsid w:val="00DF7EAF"/>
    <w:rsid w:val="00E03A17"/>
    <w:rsid w:val="00E102E7"/>
    <w:rsid w:val="00E11178"/>
    <w:rsid w:val="00E11908"/>
    <w:rsid w:val="00E13550"/>
    <w:rsid w:val="00E17C8D"/>
    <w:rsid w:val="00E213EB"/>
    <w:rsid w:val="00E21DF2"/>
    <w:rsid w:val="00E26CA5"/>
    <w:rsid w:val="00E274E3"/>
    <w:rsid w:val="00E30E39"/>
    <w:rsid w:val="00E4523C"/>
    <w:rsid w:val="00E4720E"/>
    <w:rsid w:val="00E519A7"/>
    <w:rsid w:val="00E61617"/>
    <w:rsid w:val="00E62BE7"/>
    <w:rsid w:val="00E65168"/>
    <w:rsid w:val="00E65C59"/>
    <w:rsid w:val="00E706D7"/>
    <w:rsid w:val="00E7559C"/>
    <w:rsid w:val="00E75B0F"/>
    <w:rsid w:val="00E775D0"/>
    <w:rsid w:val="00E80D25"/>
    <w:rsid w:val="00E8639C"/>
    <w:rsid w:val="00EA1137"/>
    <w:rsid w:val="00EA147F"/>
    <w:rsid w:val="00EA155F"/>
    <w:rsid w:val="00EB2674"/>
    <w:rsid w:val="00EB522C"/>
    <w:rsid w:val="00EB5D9B"/>
    <w:rsid w:val="00EB7A2A"/>
    <w:rsid w:val="00EC25F5"/>
    <w:rsid w:val="00ED4E1F"/>
    <w:rsid w:val="00EE2EA4"/>
    <w:rsid w:val="00EF3DBA"/>
    <w:rsid w:val="00F02CEF"/>
    <w:rsid w:val="00F06689"/>
    <w:rsid w:val="00F1313F"/>
    <w:rsid w:val="00F164AA"/>
    <w:rsid w:val="00F20B6E"/>
    <w:rsid w:val="00F316B3"/>
    <w:rsid w:val="00F3201B"/>
    <w:rsid w:val="00F353AB"/>
    <w:rsid w:val="00F37F36"/>
    <w:rsid w:val="00F43FA0"/>
    <w:rsid w:val="00F51E5E"/>
    <w:rsid w:val="00F54D3F"/>
    <w:rsid w:val="00F54E80"/>
    <w:rsid w:val="00F551DC"/>
    <w:rsid w:val="00F563A5"/>
    <w:rsid w:val="00F62BB9"/>
    <w:rsid w:val="00F63D32"/>
    <w:rsid w:val="00F701C1"/>
    <w:rsid w:val="00F70511"/>
    <w:rsid w:val="00F70C6B"/>
    <w:rsid w:val="00F74EBE"/>
    <w:rsid w:val="00F750AD"/>
    <w:rsid w:val="00F76C45"/>
    <w:rsid w:val="00F80F4C"/>
    <w:rsid w:val="00F85C39"/>
    <w:rsid w:val="00F87A32"/>
    <w:rsid w:val="00F92D4C"/>
    <w:rsid w:val="00F97B51"/>
    <w:rsid w:val="00FA14E3"/>
    <w:rsid w:val="00FA2D87"/>
    <w:rsid w:val="00FA4C17"/>
    <w:rsid w:val="00FA5561"/>
    <w:rsid w:val="00FA7B21"/>
    <w:rsid w:val="00FA7F1D"/>
    <w:rsid w:val="00FB2DEE"/>
    <w:rsid w:val="00FB37FB"/>
    <w:rsid w:val="00FB6D7F"/>
    <w:rsid w:val="00FC351B"/>
    <w:rsid w:val="00FC606B"/>
    <w:rsid w:val="00FC7F76"/>
    <w:rsid w:val="00FD1111"/>
    <w:rsid w:val="00FD2467"/>
    <w:rsid w:val="00FD2604"/>
    <w:rsid w:val="00FD2DCA"/>
    <w:rsid w:val="00FD4162"/>
    <w:rsid w:val="00FE0558"/>
    <w:rsid w:val="00FE7139"/>
    <w:rsid w:val="00FF3168"/>
    <w:rsid w:val="00FF450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8E2D43C-A933-47D5-95E2-26E36F54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FSMe-Bold"/>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4A"/>
    <w:pPr>
      <w:spacing w:before="160" w:after="160"/>
    </w:pPr>
    <w:rPr>
      <w:rFonts w:ascii="Arial" w:hAnsi="Arial"/>
      <w:color w:val="0070C0"/>
      <w:spacing w:val="-2"/>
      <w:sz w:val="22"/>
      <w:lang w:val="en-US"/>
    </w:rPr>
  </w:style>
  <w:style w:type="paragraph" w:styleId="Heading1">
    <w:name w:val="heading 1"/>
    <w:basedOn w:val="Normal"/>
    <w:next w:val="Normal"/>
    <w:link w:val="Heading1Char"/>
    <w:autoRedefine/>
    <w:uiPriority w:val="9"/>
    <w:qFormat/>
    <w:rsid w:val="00876883"/>
    <w:pPr>
      <w:keepNext/>
      <w:numPr>
        <w:numId w:val="2"/>
      </w:numPr>
      <w:pBdr>
        <w:bottom w:val="single" w:sz="4" w:space="1" w:color="5F497A" w:themeColor="accent4" w:themeShade="BF"/>
      </w:pBdr>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1D0710"/>
    <w:pPr>
      <w:keepNext/>
      <w:numPr>
        <w:ilvl w:val="1"/>
        <w:numId w:val="2"/>
      </w:numPr>
      <w:spacing w:before="240"/>
      <w:ind w:left="532"/>
      <w:outlineLvl w:val="1"/>
    </w:pPr>
    <w:rPr>
      <w:rFonts w:eastAsia="MS Gothic" w:cs="Times New Roman"/>
      <w:b/>
      <w:bCs/>
      <w:iCs/>
      <w:color w:val="auto"/>
      <w:sz w:val="36"/>
      <w:szCs w:val="28"/>
    </w:rPr>
  </w:style>
  <w:style w:type="paragraph" w:styleId="Heading3">
    <w:name w:val="heading 3"/>
    <w:basedOn w:val="Normal"/>
    <w:next w:val="Normal"/>
    <w:link w:val="Heading3Char"/>
    <w:autoRedefine/>
    <w:uiPriority w:val="9"/>
    <w:unhideWhenUsed/>
    <w:qFormat/>
    <w:rsid w:val="001D0710"/>
    <w:pPr>
      <w:keepNext/>
      <w:numPr>
        <w:ilvl w:val="2"/>
        <w:numId w:val="2"/>
      </w:numPr>
      <w:spacing w:before="240" w:after="60"/>
      <w:outlineLvl w:val="2"/>
    </w:pPr>
    <w:rPr>
      <w:rFonts w:eastAsia="MS Gothic" w:cs="Arial"/>
      <w:b/>
      <w:bCs/>
      <w:iCs/>
      <w:color w:val="auto"/>
      <w:sz w:val="32"/>
      <w:szCs w:val="28"/>
    </w:rPr>
  </w:style>
  <w:style w:type="paragraph" w:styleId="Heading4">
    <w:name w:val="heading 4"/>
    <w:basedOn w:val="Normal"/>
    <w:next w:val="Normal"/>
    <w:link w:val="Heading4Char"/>
    <w:uiPriority w:val="9"/>
    <w:semiHidden/>
    <w:unhideWhenUsed/>
    <w:qFormat/>
    <w:rsid w:val="007A4882"/>
    <w:pPr>
      <w:numPr>
        <w:ilvl w:val="3"/>
        <w:numId w:val="18"/>
      </w:numPr>
      <w:autoSpaceDE w:val="0"/>
      <w:autoSpaceDN w:val="0"/>
      <w:adjustRightInd w:val="0"/>
      <w:spacing w:before="230" w:after="60" w:line="280" w:lineRule="exact"/>
      <w:outlineLvl w:val="3"/>
    </w:pPr>
    <w:rPr>
      <w:rFonts w:eastAsia="Times New Roman" w:cs="Times New Roman"/>
      <w:color w:val="002664"/>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883"/>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1D0710"/>
    <w:rPr>
      <w:rFonts w:ascii="Arial" w:eastAsia="MS Gothic" w:hAnsi="Arial" w:cs="Times New Roman"/>
      <w:b/>
      <w:bCs/>
      <w:iCs/>
      <w:spacing w:val="-2"/>
      <w:sz w:val="36"/>
      <w:szCs w:val="28"/>
      <w:lang w:val="en-US"/>
    </w:rPr>
  </w:style>
  <w:style w:type="character" w:customStyle="1" w:styleId="Heading3Char">
    <w:name w:val="Heading 3 Char"/>
    <w:link w:val="Heading3"/>
    <w:uiPriority w:val="9"/>
    <w:rsid w:val="001D0710"/>
    <w:rPr>
      <w:rFonts w:ascii="Arial" w:eastAsia="MS Gothic" w:hAnsi="Arial" w:cs="Arial"/>
      <w:b/>
      <w:bCs/>
      <w:iCs/>
      <w:spacing w:val="-2"/>
      <w:sz w:val="32"/>
      <w:szCs w:val="28"/>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qFormat/>
    <w:rsid w:val="008A6FA3"/>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rsid w:val="008A6FA3"/>
    <w:rPr>
      <w:rFonts w:ascii="Arial" w:eastAsiaTheme="majorEastAsia" w:hAnsi="Arial" w:cstheme="majorBidi"/>
      <w:b/>
      <w:color w:val="17365D" w:themeColor="text2" w:themeShade="BF"/>
      <w:spacing w:val="5"/>
      <w:kern w:val="28"/>
      <w:sz w:val="52"/>
      <w:szCs w:val="52"/>
      <w:lang w:val="en-US"/>
    </w:rPr>
  </w:style>
  <w:style w:type="paragraph" w:styleId="ListParagraph">
    <w:name w:val="List Paragraph"/>
    <w:basedOn w:val="Normal"/>
    <w:link w:val="ListParagraphChar"/>
    <w:uiPriority w:val="34"/>
    <w:qFormat/>
    <w:rsid w:val="00444534"/>
    <w:pPr>
      <w:spacing w:before="0" w:after="200" w:line="276" w:lineRule="auto"/>
      <w:ind w:left="720"/>
      <w:contextualSpacing/>
    </w:pPr>
    <w:rPr>
      <w:rFonts w:ascii="Calibri" w:eastAsia="Times New Roman" w:hAnsi="Calibri" w:cs="Times New Roman"/>
      <w:spacing w:val="0"/>
      <w:szCs w:val="22"/>
      <w:lang w:val="en-AU" w:eastAsia="en-AU"/>
    </w:rPr>
  </w:style>
  <w:style w:type="character" w:styleId="BookTitle">
    <w:name w:val="Book Title"/>
    <w:qFormat/>
    <w:rsid w:val="00444534"/>
    <w:rPr>
      <w:rFonts w:cs="Times New Roman"/>
      <w:b/>
      <w:i/>
      <w:smallCaps/>
      <w:spacing w:val="5"/>
    </w:rPr>
  </w:style>
  <w:style w:type="paragraph" w:styleId="TOCHeading">
    <w:name w:val="TOC Heading"/>
    <w:basedOn w:val="Heading1"/>
    <w:next w:val="Normal"/>
    <w:uiPriority w:val="39"/>
    <w:qFormat/>
    <w:rsid w:val="00444534"/>
    <w:pPr>
      <w:outlineLvl w:val="9"/>
    </w:pPr>
    <w:rPr>
      <w:rFonts w:ascii="Calibri" w:eastAsia="Times New Roman" w:hAnsi="Calibri"/>
      <w:bCs w:val="0"/>
      <w:color w:val="auto"/>
      <w:spacing w:val="0"/>
      <w:kern w:val="0"/>
      <w:sz w:val="28"/>
      <w:szCs w:val="20"/>
      <w:lang w:val="x-none" w:eastAsia="x-none"/>
    </w:rPr>
  </w:style>
  <w:style w:type="paragraph" w:styleId="ListNumber">
    <w:name w:val="List Number"/>
    <w:basedOn w:val="Normal"/>
    <w:rsid w:val="00444534"/>
    <w:pPr>
      <w:spacing w:before="0" w:after="200" w:line="276" w:lineRule="auto"/>
      <w:contextualSpacing/>
    </w:pPr>
    <w:rPr>
      <w:rFonts w:ascii="Calibri" w:eastAsia="Times New Roman" w:hAnsi="Calibri" w:cs="Times New Roman"/>
      <w:spacing w:val="0"/>
      <w:szCs w:val="22"/>
      <w:lang w:val="en-AU" w:eastAsia="en-AU"/>
    </w:rPr>
  </w:style>
  <w:style w:type="paragraph" w:styleId="TOC1">
    <w:name w:val="toc 1"/>
    <w:basedOn w:val="Normal"/>
    <w:next w:val="Normal"/>
    <w:autoRedefine/>
    <w:uiPriority w:val="39"/>
    <w:qFormat/>
    <w:rsid w:val="00530F83"/>
    <w:pPr>
      <w:tabs>
        <w:tab w:val="left" w:pos="709"/>
        <w:tab w:val="left" w:pos="8789"/>
        <w:tab w:val="left" w:pos="9072"/>
        <w:tab w:val="right" w:leader="dot" w:pos="9214"/>
      </w:tabs>
      <w:spacing w:before="0" w:after="120"/>
      <w:ind w:right="261"/>
    </w:pPr>
    <w:rPr>
      <w:rFonts w:ascii="Calibri" w:eastAsia="Times New Roman" w:hAnsi="Calibri" w:cs="Times New Roman"/>
      <w:spacing w:val="0"/>
      <w:szCs w:val="22"/>
      <w:lang w:val="en-AU" w:eastAsia="en-AU"/>
    </w:rPr>
  </w:style>
  <w:style w:type="paragraph" w:styleId="TOC2">
    <w:name w:val="toc 2"/>
    <w:basedOn w:val="Normal"/>
    <w:next w:val="Normal"/>
    <w:autoRedefine/>
    <w:uiPriority w:val="39"/>
    <w:qFormat/>
    <w:rsid w:val="00530F83"/>
    <w:pPr>
      <w:tabs>
        <w:tab w:val="left" w:pos="880"/>
        <w:tab w:val="left" w:pos="8789"/>
        <w:tab w:val="right" w:leader="dot" w:pos="9072"/>
        <w:tab w:val="right" w:leader="dot" w:pos="9214"/>
      </w:tabs>
      <w:spacing w:before="0" w:after="120"/>
      <w:ind w:right="261" w:firstLine="284"/>
    </w:pPr>
    <w:rPr>
      <w:rFonts w:ascii="Calibri" w:eastAsia="Times New Roman" w:hAnsi="Calibri" w:cs="Times New Roman"/>
      <w:spacing w:val="0"/>
      <w:szCs w:val="22"/>
      <w:lang w:val="en-AU" w:eastAsia="en-AU"/>
    </w:rPr>
  </w:style>
  <w:style w:type="character" w:styleId="Hyperlink">
    <w:name w:val="Hyperlink"/>
    <w:uiPriority w:val="99"/>
    <w:rsid w:val="00444534"/>
    <w:rPr>
      <w:rFonts w:cs="Times New Roman"/>
      <w:color w:val="0000FF"/>
      <w:u w:val="single"/>
    </w:rPr>
  </w:style>
  <w:style w:type="paragraph" w:customStyle="1" w:styleId="Normal-QLD">
    <w:name w:val="Normal-QLD"/>
    <w:basedOn w:val="Normal"/>
    <w:link w:val="Normal-QLDChar"/>
    <w:qFormat/>
    <w:rsid w:val="005E1A14"/>
    <w:rPr>
      <w:rFonts w:cs="Arial"/>
      <w:color w:val="auto"/>
    </w:rPr>
  </w:style>
  <w:style w:type="character" w:styleId="CommentReference">
    <w:name w:val="annotation reference"/>
    <w:basedOn w:val="DefaultParagraphFont"/>
    <w:unhideWhenUsed/>
    <w:rsid w:val="0039266A"/>
    <w:rPr>
      <w:sz w:val="16"/>
      <w:szCs w:val="16"/>
    </w:rPr>
  </w:style>
  <w:style w:type="character" w:customStyle="1" w:styleId="Normal-QLDChar">
    <w:name w:val="Normal-QLD Char"/>
    <w:basedOn w:val="DefaultParagraphFont"/>
    <w:link w:val="Normal-QLD"/>
    <w:rsid w:val="005E1A14"/>
    <w:rPr>
      <w:rFonts w:ascii="Arial" w:hAnsi="Arial" w:cs="Arial"/>
      <w:spacing w:val="-2"/>
      <w:sz w:val="22"/>
      <w:lang w:val="en-US"/>
    </w:rPr>
  </w:style>
  <w:style w:type="paragraph" w:styleId="CommentText">
    <w:name w:val="annotation text"/>
    <w:basedOn w:val="Normal"/>
    <w:link w:val="CommentTextChar"/>
    <w:unhideWhenUsed/>
    <w:rsid w:val="0039266A"/>
    <w:rPr>
      <w:sz w:val="20"/>
    </w:rPr>
  </w:style>
  <w:style w:type="character" w:customStyle="1" w:styleId="CommentTextChar">
    <w:name w:val="Comment Text Char"/>
    <w:basedOn w:val="DefaultParagraphFont"/>
    <w:link w:val="CommentText"/>
    <w:rsid w:val="0039266A"/>
    <w:rPr>
      <w:rFonts w:ascii="Arial" w:hAnsi="Arial"/>
      <w:color w:val="0070C0"/>
      <w:spacing w:val="-2"/>
      <w:lang w:val="en-US"/>
    </w:rPr>
  </w:style>
  <w:style w:type="paragraph" w:styleId="CommentSubject">
    <w:name w:val="annotation subject"/>
    <w:basedOn w:val="CommentText"/>
    <w:next w:val="CommentText"/>
    <w:link w:val="CommentSubjectChar"/>
    <w:uiPriority w:val="99"/>
    <w:semiHidden/>
    <w:unhideWhenUsed/>
    <w:rsid w:val="0039266A"/>
    <w:rPr>
      <w:b/>
      <w:bCs/>
    </w:rPr>
  </w:style>
  <w:style w:type="character" w:customStyle="1" w:styleId="CommentSubjectChar">
    <w:name w:val="Comment Subject Char"/>
    <w:basedOn w:val="CommentTextChar"/>
    <w:link w:val="CommentSubject"/>
    <w:uiPriority w:val="99"/>
    <w:semiHidden/>
    <w:rsid w:val="0039266A"/>
    <w:rPr>
      <w:rFonts w:ascii="Arial" w:hAnsi="Arial"/>
      <w:b/>
      <w:bCs/>
      <w:color w:val="0070C0"/>
      <w:spacing w:val="-2"/>
      <w:lang w:val="en-US"/>
    </w:rPr>
  </w:style>
  <w:style w:type="paragraph" w:styleId="FootnoteText">
    <w:name w:val="footnote text"/>
    <w:basedOn w:val="Normal"/>
    <w:link w:val="FootnoteTextChar"/>
    <w:uiPriority w:val="99"/>
    <w:unhideWhenUsed/>
    <w:rsid w:val="008012D0"/>
    <w:pPr>
      <w:spacing w:before="0" w:after="0"/>
    </w:pPr>
    <w:rPr>
      <w:sz w:val="20"/>
    </w:rPr>
  </w:style>
  <w:style w:type="character" w:customStyle="1" w:styleId="FootnoteTextChar">
    <w:name w:val="Footnote Text Char"/>
    <w:basedOn w:val="DefaultParagraphFont"/>
    <w:link w:val="FootnoteText"/>
    <w:uiPriority w:val="99"/>
    <w:rsid w:val="008012D0"/>
    <w:rPr>
      <w:rFonts w:ascii="Arial" w:hAnsi="Arial"/>
      <w:color w:val="0070C0"/>
      <w:spacing w:val="-2"/>
      <w:lang w:val="en-US"/>
    </w:rPr>
  </w:style>
  <w:style w:type="character" w:styleId="FootnoteReference">
    <w:name w:val="footnote reference"/>
    <w:basedOn w:val="DefaultParagraphFont"/>
    <w:uiPriority w:val="99"/>
    <w:unhideWhenUsed/>
    <w:rsid w:val="008012D0"/>
    <w:rPr>
      <w:vertAlign w:val="superscript"/>
    </w:rPr>
  </w:style>
  <w:style w:type="paragraph" w:customStyle="1" w:styleId="Default">
    <w:name w:val="Default"/>
    <w:basedOn w:val="Normal"/>
    <w:rsid w:val="002C125E"/>
    <w:pPr>
      <w:autoSpaceDE w:val="0"/>
      <w:autoSpaceDN w:val="0"/>
      <w:spacing w:before="0" w:after="0"/>
    </w:pPr>
    <w:rPr>
      <w:rFonts w:eastAsiaTheme="minorHAnsi" w:cs="Arial"/>
      <w:color w:val="000000"/>
      <w:spacing w:val="0"/>
      <w:sz w:val="24"/>
      <w:szCs w:val="24"/>
      <w:lang w:val="en-AU"/>
    </w:rPr>
  </w:style>
  <w:style w:type="table" w:styleId="TableGrid">
    <w:name w:val="Table Grid"/>
    <w:basedOn w:val="TableNormal"/>
    <w:uiPriority w:val="59"/>
    <w:rsid w:val="00C244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qFormat/>
    <w:rsid w:val="00AA6B31"/>
    <w:pPr>
      <w:spacing w:before="0" w:after="100" w:line="276" w:lineRule="auto"/>
      <w:ind w:left="440"/>
    </w:pPr>
    <w:rPr>
      <w:rFonts w:asciiTheme="minorHAnsi" w:eastAsiaTheme="minorEastAsia" w:hAnsiTheme="minorHAnsi" w:cstheme="minorBidi"/>
      <w:color w:val="auto"/>
      <w:spacing w:val="0"/>
      <w:szCs w:val="22"/>
      <w:lang w:eastAsia="ja-JP"/>
    </w:rPr>
  </w:style>
  <w:style w:type="character" w:styleId="FollowedHyperlink">
    <w:name w:val="FollowedHyperlink"/>
    <w:basedOn w:val="DefaultParagraphFont"/>
    <w:uiPriority w:val="99"/>
    <w:semiHidden/>
    <w:unhideWhenUsed/>
    <w:rsid w:val="00F51E5E"/>
    <w:rPr>
      <w:color w:val="800080" w:themeColor="followedHyperlink"/>
      <w:u w:val="single"/>
    </w:rPr>
  </w:style>
  <w:style w:type="character" w:customStyle="1" w:styleId="Heading4Char">
    <w:name w:val="Heading 4 Char"/>
    <w:basedOn w:val="DefaultParagraphFont"/>
    <w:link w:val="Heading4"/>
    <w:uiPriority w:val="9"/>
    <w:semiHidden/>
    <w:rsid w:val="007A4882"/>
    <w:rPr>
      <w:rFonts w:ascii="Arial" w:eastAsia="Times New Roman" w:hAnsi="Arial" w:cs="Times New Roman"/>
      <w:color w:val="002664"/>
      <w:sz w:val="24"/>
      <w:lang w:val="en-US"/>
    </w:rPr>
  </w:style>
  <w:style w:type="character" w:customStyle="1" w:styleId="ListParagraphChar">
    <w:name w:val="List Paragraph Char"/>
    <w:link w:val="ListParagraph"/>
    <w:uiPriority w:val="34"/>
    <w:locked/>
    <w:rsid w:val="007A4882"/>
    <w:rPr>
      <w:rFonts w:eastAsia="Times New Roman" w:cs="Times New Roman"/>
      <w:color w:val="0070C0"/>
      <w:sz w:val="22"/>
      <w:szCs w:val="22"/>
      <w:lang w:eastAsia="en-AU"/>
    </w:rPr>
  </w:style>
  <w:style w:type="paragraph" w:customStyle="1" w:styleId="Bulletedlist">
    <w:name w:val="Bulleted list"/>
    <w:basedOn w:val="Normal"/>
    <w:uiPriority w:val="99"/>
    <w:rsid w:val="00530651"/>
    <w:pPr>
      <w:numPr>
        <w:numId w:val="19"/>
      </w:numPr>
      <w:spacing w:before="0" w:after="80"/>
    </w:pPr>
    <w:rPr>
      <w:rFonts w:eastAsiaTheme="minorHAnsi" w:cs="Arial"/>
      <w:color w:val="000000"/>
      <w:spacing w:val="0"/>
      <w:sz w:val="24"/>
      <w:szCs w:val="24"/>
      <w:lang w:val="en-AU"/>
    </w:rPr>
  </w:style>
  <w:style w:type="character" w:styleId="Strong">
    <w:name w:val="Strong"/>
    <w:basedOn w:val="DefaultParagraphFont"/>
    <w:uiPriority w:val="22"/>
    <w:qFormat/>
    <w:rsid w:val="00702B90"/>
    <w:rPr>
      <w:b/>
      <w:bCs/>
    </w:rPr>
  </w:style>
  <w:style w:type="paragraph" w:customStyle="1" w:styleId="Finding">
    <w:name w:val="Finding"/>
    <w:basedOn w:val="BodyText"/>
    <w:qFormat/>
    <w:rsid w:val="00FF4501"/>
    <w:pPr>
      <w:pBdr>
        <w:top w:val="single" w:sz="18" w:space="1" w:color="00A3A1"/>
        <w:left w:val="single" w:sz="18" w:space="4" w:color="00A3A1"/>
        <w:bottom w:val="single" w:sz="18" w:space="1" w:color="00A3A1"/>
        <w:right w:val="single" w:sz="18" w:space="4" w:color="00A3A1"/>
      </w:pBdr>
      <w:spacing w:before="130" w:after="130"/>
      <w:jc w:val="both"/>
    </w:pPr>
    <w:rPr>
      <w:rFonts w:ascii="Calibri" w:eastAsia="Times New Roman" w:hAnsi="Calibri" w:cs="Times New Roman"/>
      <w:color w:val="auto"/>
      <w:spacing w:val="0"/>
      <w:lang w:val="en-AU"/>
    </w:rPr>
  </w:style>
  <w:style w:type="paragraph" w:styleId="BodyText">
    <w:name w:val="Body Text"/>
    <w:basedOn w:val="Normal"/>
    <w:link w:val="BodyTextChar"/>
    <w:uiPriority w:val="99"/>
    <w:unhideWhenUsed/>
    <w:rsid w:val="00FF4501"/>
    <w:pPr>
      <w:spacing w:after="120"/>
    </w:pPr>
  </w:style>
  <w:style w:type="character" w:customStyle="1" w:styleId="BodyTextChar">
    <w:name w:val="Body Text Char"/>
    <w:basedOn w:val="DefaultParagraphFont"/>
    <w:link w:val="BodyText"/>
    <w:uiPriority w:val="99"/>
    <w:rsid w:val="00FF4501"/>
    <w:rPr>
      <w:rFonts w:ascii="Arial" w:hAnsi="Arial"/>
      <w:color w:val="0070C0"/>
      <w:spacing w:val="-2"/>
      <w:sz w:val="22"/>
      <w:lang w:val="en-US"/>
    </w:rPr>
  </w:style>
  <w:style w:type="paragraph" w:customStyle="1" w:styleId="Source">
    <w:name w:val="Source"/>
    <w:basedOn w:val="Caption"/>
    <w:qFormat/>
    <w:rsid w:val="00431FD0"/>
    <w:pPr>
      <w:spacing w:before="120" w:after="120"/>
    </w:pPr>
    <w:rPr>
      <w:rFonts w:ascii="Calibri" w:eastAsia="Times New Roman" w:hAnsi="Calibri" w:cs="Times New Roman"/>
      <w:b w:val="0"/>
      <w:i/>
      <w:color w:val="00338D"/>
      <w:spacing w:val="0"/>
      <w:szCs w:val="20"/>
      <w:lang w:val="en-AU"/>
    </w:rPr>
  </w:style>
  <w:style w:type="paragraph" w:styleId="Caption">
    <w:name w:val="caption"/>
    <w:basedOn w:val="Normal"/>
    <w:next w:val="Normal"/>
    <w:uiPriority w:val="35"/>
    <w:semiHidden/>
    <w:unhideWhenUsed/>
    <w:qFormat/>
    <w:rsid w:val="00431FD0"/>
    <w:pPr>
      <w:spacing w:before="0" w:after="200"/>
    </w:pPr>
    <w:rPr>
      <w:b/>
      <w:bCs/>
      <w:color w:val="4F81BD" w:themeColor="accent1"/>
      <w:sz w:val="18"/>
      <w:szCs w:val="18"/>
    </w:rPr>
  </w:style>
  <w:style w:type="paragraph" w:styleId="Quote">
    <w:name w:val="Quote"/>
    <w:basedOn w:val="Normal"/>
    <w:next w:val="Normal"/>
    <w:link w:val="QuoteChar"/>
    <w:uiPriority w:val="29"/>
    <w:rsid w:val="00431FD0"/>
    <w:pPr>
      <w:spacing w:before="0" w:after="0"/>
    </w:pPr>
    <w:rPr>
      <w:rFonts w:ascii="Calibri" w:eastAsia="Times New Roman" w:hAnsi="Calibri" w:cs="Times New Roman"/>
      <w:i/>
      <w:iCs/>
      <w:color w:val="000000" w:themeColor="text1"/>
      <w:spacing w:val="0"/>
      <w:lang w:val="en-AU"/>
    </w:rPr>
  </w:style>
  <w:style w:type="character" w:customStyle="1" w:styleId="QuoteChar">
    <w:name w:val="Quote Char"/>
    <w:basedOn w:val="DefaultParagraphFont"/>
    <w:link w:val="Quote"/>
    <w:uiPriority w:val="29"/>
    <w:rsid w:val="00431FD0"/>
    <w:rPr>
      <w:rFonts w:eastAsia="Times New Roman" w:cs="Times New Roman"/>
      <w:i/>
      <w:iCs/>
      <w:color w:val="000000" w:themeColor="text1"/>
      <w:sz w:val="22"/>
    </w:rPr>
  </w:style>
  <w:style w:type="paragraph" w:styleId="ListBullet2">
    <w:name w:val="List Bullet 2"/>
    <w:basedOn w:val="ListBullet"/>
    <w:qFormat/>
    <w:rsid w:val="00431FD0"/>
    <w:pPr>
      <w:numPr>
        <w:numId w:val="26"/>
      </w:numPr>
      <w:spacing w:before="130" w:after="130"/>
      <w:jc w:val="both"/>
    </w:pPr>
    <w:rPr>
      <w:rFonts w:ascii="Calibri" w:eastAsia="Times New Roman" w:hAnsi="Calibri" w:cs="Times New Roman"/>
      <w:color w:val="auto"/>
      <w:spacing w:val="0"/>
      <w:lang w:val="en-AU"/>
    </w:rPr>
  </w:style>
  <w:style w:type="table" w:customStyle="1" w:styleId="ListTable3-Accent11">
    <w:name w:val="List Table 3 - Accent 11"/>
    <w:basedOn w:val="TableNormal"/>
    <w:uiPriority w:val="48"/>
    <w:rsid w:val="000428C5"/>
    <w:rPr>
      <w:rFonts w:ascii="Tms Rmn" w:eastAsia="Times New Roman" w:hAnsi="Tms Rmn" w:cs="Times New Roman"/>
      <w:lang w:eastAsia="en-AU"/>
    </w:rPr>
    <w:tblPr>
      <w:tblStyleRowBandSize w:val="1"/>
      <w:tblStyleColBandSize w:val="1"/>
      <w:tblBorders>
        <w:top w:val="single" w:sz="4" w:space="0" w:color="912942"/>
        <w:left w:val="single" w:sz="4" w:space="0" w:color="912942"/>
        <w:bottom w:val="single" w:sz="4" w:space="0" w:color="912942"/>
        <w:right w:val="single" w:sz="4" w:space="0" w:color="912942"/>
        <w:insideH w:val="single" w:sz="6" w:space="0" w:color="912942"/>
        <w:insideV w:val="single" w:sz="6" w:space="0" w:color="912942"/>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zreportaddinfo">
    <w:name w:val="zreport addinfo"/>
    <w:basedOn w:val="Normal"/>
    <w:semiHidden/>
    <w:rsid w:val="0029788B"/>
    <w:pPr>
      <w:framePr w:wrap="around" w:hAnchor="margin" w:xAlign="center" w:yAlign="bottom"/>
      <w:spacing w:before="0" w:after="0" w:line="240" w:lineRule="exact"/>
      <w:jc w:val="center"/>
    </w:pPr>
    <w:rPr>
      <w:rFonts w:ascii="Calibri" w:eastAsia="Times New Roman" w:hAnsi="Calibri" w:cs="Times New Roman"/>
      <w:noProof/>
      <w:color w:val="auto"/>
      <w:spacing w:val="0"/>
      <w:sz w:val="20"/>
      <w:lang w:val="en-AU"/>
    </w:rPr>
  </w:style>
  <w:style w:type="paragraph" w:customStyle="1" w:styleId="ClauseLevel1">
    <w:name w:val="Clause Level 1"/>
    <w:aliases w:val="C1"/>
    <w:next w:val="ClauseLevel2"/>
    <w:qFormat/>
    <w:rsid w:val="00D54502"/>
    <w:pPr>
      <w:keepNext/>
      <w:numPr>
        <w:ilvl w:val="4"/>
        <w:numId w:val="33"/>
      </w:numPr>
      <w:pBdr>
        <w:bottom w:val="single" w:sz="2" w:space="0" w:color="auto"/>
      </w:pBdr>
      <w:spacing w:before="200" w:line="280" w:lineRule="atLeast"/>
      <w:outlineLvl w:val="0"/>
    </w:pPr>
    <w:rPr>
      <w:rFonts w:ascii="Arial" w:eastAsia="Times New Roman" w:hAnsi="Arial" w:cs="Arial"/>
      <w:b/>
      <w:sz w:val="22"/>
      <w:szCs w:val="22"/>
      <w:lang w:eastAsia="en-AU"/>
    </w:rPr>
  </w:style>
  <w:style w:type="paragraph" w:customStyle="1" w:styleId="ClauseLevel2">
    <w:name w:val="Clause Level 2"/>
    <w:next w:val="ClauseLevel3"/>
    <w:rsid w:val="00D54502"/>
    <w:pPr>
      <w:keepNext/>
      <w:numPr>
        <w:ilvl w:val="5"/>
        <w:numId w:val="33"/>
      </w:numPr>
      <w:spacing w:before="200" w:line="280" w:lineRule="atLeast"/>
      <w:outlineLvl w:val="1"/>
    </w:pPr>
    <w:rPr>
      <w:rFonts w:ascii="Arial" w:eastAsia="Times New Roman" w:hAnsi="Arial" w:cs="Arial"/>
      <w:b/>
      <w:sz w:val="22"/>
      <w:szCs w:val="22"/>
      <w:lang w:eastAsia="en-AU"/>
    </w:rPr>
  </w:style>
  <w:style w:type="paragraph" w:customStyle="1" w:styleId="ClauseLevel3">
    <w:name w:val="Clause Level 3"/>
    <w:aliases w:val="C3"/>
    <w:qFormat/>
    <w:rsid w:val="00D54502"/>
    <w:pPr>
      <w:numPr>
        <w:ilvl w:val="6"/>
        <w:numId w:val="33"/>
      </w:numPr>
      <w:spacing w:before="140" w:after="140" w:line="280" w:lineRule="atLeast"/>
      <w:outlineLvl w:val="2"/>
    </w:pPr>
    <w:rPr>
      <w:rFonts w:ascii="Arial" w:eastAsia="Times New Roman" w:hAnsi="Arial" w:cs="Arial"/>
      <w:sz w:val="22"/>
      <w:szCs w:val="22"/>
      <w:lang w:eastAsia="en-AU"/>
    </w:rPr>
  </w:style>
  <w:style w:type="paragraph" w:customStyle="1" w:styleId="ClauseLevel4">
    <w:name w:val="Clause Level 4"/>
    <w:aliases w:val="C4"/>
    <w:link w:val="ClauseLevel4Char"/>
    <w:qFormat/>
    <w:rsid w:val="00D54502"/>
    <w:pPr>
      <w:numPr>
        <w:ilvl w:val="3"/>
        <w:numId w:val="33"/>
      </w:numPr>
      <w:spacing w:after="140" w:line="280" w:lineRule="atLeast"/>
      <w:outlineLvl w:val="3"/>
    </w:pPr>
    <w:rPr>
      <w:rFonts w:ascii="Arial" w:eastAsia="Times New Roman" w:hAnsi="Arial" w:cs="Arial"/>
      <w:sz w:val="22"/>
      <w:szCs w:val="22"/>
      <w:lang w:eastAsia="en-AU"/>
    </w:rPr>
  </w:style>
  <w:style w:type="character" w:customStyle="1" w:styleId="ClauseLevel4Char">
    <w:name w:val="Clause Level 4 Char"/>
    <w:link w:val="ClauseLevel4"/>
    <w:rsid w:val="00D54502"/>
    <w:rPr>
      <w:rFonts w:ascii="Arial" w:eastAsia="Times New Roman" w:hAnsi="Arial" w:cs="Arial"/>
      <w:sz w:val="22"/>
      <w:szCs w:val="22"/>
      <w:lang w:eastAsia="en-AU"/>
    </w:rPr>
  </w:style>
  <w:style w:type="paragraph" w:customStyle="1" w:styleId="ClauseLevel8">
    <w:name w:val="Clause Level 8"/>
    <w:basedOn w:val="ClauseLevel4"/>
    <w:next w:val="Normal"/>
    <w:rsid w:val="00D54502"/>
    <w:pPr>
      <w:numPr>
        <w:ilvl w:val="7"/>
      </w:numPr>
      <w:tabs>
        <w:tab w:val="clear" w:pos="1985"/>
        <w:tab w:val="num" w:pos="360"/>
        <w:tab w:val="num" w:pos="926"/>
      </w:tabs>
      <w:ind w:left="926" w:hanging="360"/>
    </w:pPr>
  </w:style>
  <w:style w:type="paragraph" w:customStyle="1" w:styleId="ClauseLevel9">
    <w:name w:val="Clause Level 9"/>
    <w:basedOn w:val="ClauseLevel4"/>
    <w:next w:val="Normal"/>
    <w:rsid w:val="00D54502"/>
    <w:pPr>
      <w:numPr>
        <w:ilvl w:val="8"/>
      </w:numPr>
      <w:tabs>
        <w:tab w:val="clear" w:pos="1985"/>
        <w:tab w:val="num" w:pos="360"/>
        <w:tab w:val="num" w:pos="926"/>
      </w:tabs>
      <w:ind w:left="926" w:hanging="360"/>
    </w:pPr>
  </w:style>
  <w:style w:type="paragraph" w:customStyle="1" w:styleId="NTbodytext">
    <w:name w:val="NT_body text"/>
    <w:basedOn w:val="Normal"/>
    <w:qFormat/>
    <w:rsid w:val="00B54CA9"/>
    <w:pPr>
      <w:spacing w:before="120" w:after="120" w:line="280" w:lineRule="exact"/>
    </w:pPr>
    <w:rPr>
      <w:rFonts w:ascii="Lato" w:eastAsia="Times New Roman" w:hAnsi="Lato" w:cs="Times New Roman"/>
      <w:color w:val="auto"/>
      <w:spacing w:val="0"/>
      <w:sz w:val="20"/>
      <w:lang w:val="en-AU"/>
    </w:rPr>
  </w:style>
  <w:style w:type="table" w:styleId="GridTable1Light">
    <w:name w:val="Grid Table 1 Light"/>
    <w:basedOn w:val="TableNormal"/>
    <w:uiPriority w:val="46"/>
    <w:rsid w:val="002851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980">
      <w:bodyDiv w:val="1"/>
      <w:marLeft w:val="0"/>
      <w:marRight w:val="0"/>
      <w:marTop w:val="0"/>
      <w:marBottom w:val="0"/>
      <w:divBdr>
        <w:top w:val="none" w:sz="0" w:space="0" w:color="auto"/>
        <w:left w:val="none" w:sz="0" w:space="0" w:color="auto"/>
        <w:bottom w:val="none" w:sz="0" w:space="0" w:color="auto"/>
        <w:right w:val="none" w:sz="0" w:space="0" w:color="auto"/>
      </w:divBdr>
    </w:div>
    <w:div w:id="123887198">
      <w:bodyDiv w:val="1"/>
      <w:marLeft w:val="0"/>
      <w:marRight w:val="0"/>
      <w:marTop w:val="0"/>
      <w:marBottom w:val="0"/>
      <w:divBdr>
        <w:top w:val="none" w:sz="0" w:space="0" w:color="auto"/>
        <w:left w:val="none" w:sz="0" w:space="0" w:color="auto"/>
        <w:bottom w:val="none" w:sz="0" w:space="0" w:color="auto"/>
        <w:right w:val="none" w:sz="0" w:space="0" w:color="auto"/>
      </w:divBdr>
    </w:div>
    <w:div w:id="260260275">
      <w:bodyDiv w:val="1"/>
      <w:marLeft w:val="0"/>
      <w:marRight w:val="0"/>
      <w:marTop w:val="0"/>
      <w:marBottom w:val="0"/>
      <w:divBdr>
        <w:top w:val="none" w:sz="0" w:space="0" w:color="auto"/>
        <w:left w:val="none" w:sz="0" w:space="0" w:color="auto"/>
        <w:bottom w:val="none" w:sz="0" w:space="0" w:color="auto"/>
        <w:right w:val="none" w:sz="0" w:space="0" w:color="auto"/>
      </w:divBdr>
    </w:div>
    <w:div w:id="609708203">
      <w:bodyDiv w:val="1"/>
      <w:marLeft w:val="0"/>
      <w:marRight w:val="0"/>
      <w:marTop w:val="0"/>
      <w:marBottom w:val="0"/>
      <w:divBdr>
        <w:top w:val="none" w:sz="0" w:space="0" w:color="auto"/>
        <w:left w:val="none" w:sz="0" w:space="0" w:color="auto"/>
        <w:bottom w:val="none" w:sz="0" w:space="0" w:color="auto"/>
        <w:right w:val="none" w:sz="0" w:space="0" w:color="auto"/>
      </w:divBdr>
    </w:div>
    <w:div w:id="642849810">
      <w:bodyDiv w:val="1"/>
      <w:marLeft w:val="0"/>
      <w:marRight w:val="0"/>
      <w:marTop w:val="0"/>
      <w:marBottom w:val="0"/>
      <w:divBdr>
        <w:top w:val="none" w:sz="0" w:space="0" w:color="auto"/>
        <w:left w:val="none" w:sz="0" w:space="0" w:color="auto"/>
        <w:bottom w:val="none" w:sz="0" w:space="0" w:color="auto"/>
        <w:right w:val="none" w:sz="0" w:space="0" w:color="auto"/>
      </w:divBdr>
    </w:div>
    <w:div w:id="989676574">
      <w:bodyDiv w:val="1"/>
      <w:marLeft w:val="0"/>
      <w:marRight w:val="0"/>
      <w:marTop w:val="0"/>
      <w:marBottom w:val="0"/>
      <w:divBdr>
        <w:top w:val="none" w:sz="0" w:space="0" w:color="auto"/>
        <w:left w:val="none" w:sz="0" w:space="0" w:color="auto"/>
        <w:bottom w:val="none" w:sz="0" w:space="0" w:color="auto"/>
        <w:right w:val="none" w:sz="0" w:space="0" w:color="auto"/>
      </w:divBdr>
    </w:div>
    <w:div w:id="1046485855">
      <w:bodyDiv w:val="1"/>
      <w:marLeft w:val="0"/>
      <w:marRight w:val="0"/>
      <w:marTop w:val="0"/>
      <w:marBottom w:val="0"/>
      <w:divBdr>
        <w:top w:val="none" w:sz="0" w:space="0" w:color="auto"/>
        <w:left w:val="none" w:sz="0" w:space="0" w:color="auto"/>
        <w:bottom w:val="none" w:sz="0" w:space="0" w:color="auto"/>
        <w:right w:val="none" w:sz="0" w:space="0" w:color="auto"/>
      </w:divBdr>
    </w:div>
    <w:div w:id="1095438660">
      <w:bodyDiv w:val="1"/>
      <w:marLeft w:val="0"/>
      <w:marRight w:val="0"/>
      <w:marTop w:val="0"/>
      <w:marBottom w:val="0"/>
      <w:divBdr>
        <w:top w:val="none" w:sz="0" w:space="0" w:color="auto"/>
        <w:left w:val="none" w:sz="0" w:space="0" w:color="auto"/>
        <w:bottom w:val="none" w:sz="0" w:space="0" w:color="auto"/>
        <w:right w:val="none" w:sz="0" w:space="0" w:color="auto"/>
      </w:divBdr>
    </w:div>
    <w:div w:id="1104695124">
      <w:bodyDiv w:val="1"/>
      <w:marLeft w:val="0"/>
      <w:marRight w:val="0"/>
      <w:marTop w:val="0"/>
      <w:marBottom w:val="0"/>
      <w:divBdr>
        <w:top w:val="none" w:sz="0" w:space="0" w:color="auto"/>
        <w:left w:val="none" w:sz="0" w:space="0" w:color="auto"/>
        <w:bottom w:val="none" w:sz="0" w:space="0" w:color="auto"/>
        <w:right w:val="none" w:sz="0" w:space="0" w:color="auto"/>
      </w:divBdr>
    </w:div>
    <w:div w:id="1391999149">
      <w:bodyDiv w:val="1"/>
      <w:marLeft w:val="0"/>
      <w:marRight w:val="0"/>
      <w:marTop w:val="0"/>
      <w:marBottom w:val="0"/>
      <w:divBdr>
        <w:top w:val="none" w:sz="0" w:space="0" w:color="auto"/>
        <w:left w:val="none" w:sz="0" w:space="0" w:color="auto"/>
        <w:bottom w:val="none" w:sz="0" w:space="0" w:color="auto"/>
        <w:right w:val="none" w:sz="0" w:space="0" w:color="auto"/>
      </w:divBdr>
    </w:div>
    <w:div w:id="1946422267">
      <w:bodyDiv w:val="1"/>
      <w:marLeft w:val="0"/>
      <w:marRight w:val="0"/>
      <w:marTop w:val="0"/>
      <w:marBottom w:val="0"/>
      <w:divBdr>
        <w:top w:val="none" w:sz="0" w:space="0" w:color="auto"/>
        <w:left w:val="none" w:sz="0" w:space="0" w:color="auto"/>
        <w:bottom w:val="none" w:sz="0" w:space="0" w:color="auto"/>
        <w:right w:val="none" w:sz="0" w:space="0" w:color="auto"/>
      </w:divBdr>
    </w:div>
    <w:div w:id="2114471429">
      <w:bodyDiv w:val="1"/>
      <w:marLeft w:val="0"/>
      <w:marRight w:val="0"/>
      <w:marTop w:val="0"/>
      <w:marBottom w:val="0"/>
      <w:divBdr>
        <w:top w:val="none" w:sz="0" w:space="0" w:color="auto"/>
        <w:left w:val="none" w:sz="0" w:space="0" w:color="auto"/>
        <w:bottom w:val="none" w:sz="0" w:space="0" w:color="auto"/>
        <w:right w:val="none" w:sz="0" w:space="0" w:color="auto"/>
      </w:divBdr>
      <w:divsChild>
        <w:div w:id="822962790">
          <w:marLeft w:val="0"/>
          <w:marRight w:val="0"/>
          <w:marTop w:val="100"/>
          <w:marBottom w:val="100"/>
          <w:divBdr>
            <w:top w:val="none" w:sz="0" w:space="0" w:color="auto"/>
            <w:left w:val="none" w:sz="0" w:space="0" w:color="auto"/>
            <w:bottom w:val="none" w:sz="0" w:space="0" w:color="auto"/>
            <w:right w:val="none" w:sz="0" w:space="0" w:color="auto"/>
          </w:divBdr>
          <w:divsChild>
            <w:div w:id="2837367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2357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mailto:NDISProviderRegistration@nt.gov.au" TargetMode="External"/><Relationship Id="rId26" Type="http://schemas.openxmlformats.org/officeDocument/2006/relationships/hyperlink" Target="mailto:hcscc@nt.gov.au"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NDISProviderRegistration@nt.gov.au" TargetMode="External"/><Relationship Id="rId34" Type="http://schemas.openxmlformats.org/officeDocument/2006/relationships/hyperlink" Target="mailto:NDISProviderRegistration@nt.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NDISProviderRegistration@nt.gov.au" TargetMode="External"/><Relationship Id="rId33" Type="http://schemas.openxmlformats.org/officeDocument/2006/relationships/hyperlink" Target="mailto:cirDisability.DOH@nt.gov.au"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hdl.handle.net/10137/1155" TargetMode="External"/><Relationship Id="rId20" Type="http://schemas.openxmlformats.org/officeDocument/2006/relationships/hyperlink" Target="file:///\\ebus.root.internal\dc\SPPP\DCCMAQ\DPR\CSIR\CONSUMER%20CHOICE\Individualising%20support\NDIS%20projects%20-%20Transition\Quality%20and%20Safeguards\Working%20Arrangements\www.ndis.gov.au\about-us\contact-us\feedback-complaints" TargetMode="External"/><Relationship Id="rId29" Type="http://schemas.openxmlformats.org/officeDocument/2006/relationships/hyperlink" Target="mailto:feedback@ndis.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nt.ombudsman@nt.gov.au" TargetMode="External"/><Relationship Id="rId32" Type="http://schemas.openxmlformats.org/officeDocument/2006/relationships/hyperlink" Target="http://www.ombudsman.gov.au/making-a-complaint" TargetMode="External"/><Relationship Id="rId37" Type="http://schemas.openxmlformats.org/officeDocument/2006/relationships/image" Target="media/image5.png"/><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ndis.gov.au/providers/provider-toolkit.html" TargetMode="External"/><Relationship Id="rId23" Type="http://schemas.openxmlformats.org/officeDocument/2006/relationships/hyperlink" Target="mailto:hcscc@nt.gov.au" TargetMode="External"/><Relationship Id="rId28" Type="http://schemas.openxmlformats.org/officeDocument/2006/relationships/hyperlink" Target="mailto:consumer@nt.gov.au" TargetMode="External"/><Relationship Id="rId36"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www.crrs.net.au" TargetMode="External"/><Relationship Id="rId31" Type="http://schemas.openxmlformats.org/officeDocument/2006/relationships/hyperlink" Target="mailto:feedback@ndi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gitallibrary.health.nt.gov.au/prodjspui/" TargetMode="External"/><Relationship Id="rId22" Type="http://schemas.openxmlformats.org/officeDocument/2006/relationships/hyperlink" Target="mailto:hcscc@nt.gov.au" TargetMode="External"/><Relationship Id="rId27" Type="http://schemas.openxmlformats.org/officeDocument/2006/relationships/hyperlink" Target="mailto:hcscc@nt.gov.au" TargetMode="External"/><Relationship Id="rId30" Type="http://schemas.openxmlformats.org/officeDocument/2006/relationships/hyperlink" Target="mailto:feedback@ndis.gov.au"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ngoservicesonline.com.au/nds-qua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1E5B-321B-4047-A796-1A043935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Quality Assurance and Safeguards Working Arrangements for the Launch of the NDIS in Victoria</vt:lpstr>
    </vt:vector>
  </TitlesOfParts>
  <Company>NDIS</Company>
  <LinksUpToDate>false</LinksUpToDate>
  <CharactersWithSpaces>41548</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Safeguards Working Arrangements for the Launch of the NDIS in Victoria</dc:title>
  <dc:subject>NDIS</dc:subject>
  <dc:creator>NDIA</dc:creator>
  <cp:lastModifiedBy>HONEY, Richard</cp:lastModifiedBy>
  <cp:revision>2</cp:revision>
  <cp:lastPrinted>2018-05-07T00:26:00Z</cp:lastPrinted>
  <dcterms:created xsi:type="dcterms:W3CDTF">2018-12-02T09:28:00Z</dcterms:created>
  <dcterms:modified xsi:type="dcterms:W3CDTF">2018-12-02T09:28:00Z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